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896D6F" w14:textId="6DB5E87F" w:rsidR="00132ACF" w:rsidRPr="00B80144" w:rsidRDefault="00132ACF" w:rsidP="00B80144">
      <w:pPr>
        <w:pStyle w:val="VEOHRCBodytext"/>
      </w:pPr>
      <w:r w:rsidRPr="00B80144">
        <w:rPr>
          <w:noProof/>
          <w:lang w:val="en-AU"/>
        </w:rPr>
        <mc:AlternateContent>
          <mc:Choice Requires="wps">
            <w:drawing>
              <wp:anchor distT="0" distB="0" distL="114300" distR="114300" simplePos="0" relativeHeight="251670528" behindDoc="0" locked="0" layoutInCell="1" allowOverlap="1" wp14:anchorId="1E96B7D2" wp14:editId="386000AF">
                <wp:simplePos x="0" y="0"/>
                <wp:positionH relativeFrom="column">
                  <wp:posOffset>-913765</wp:posOffset>
                </wp:positionH>
                <wp:positionV relativeFrom="paragraph">
                  <wp:posOffset>-743585</wp:posOffset>
                </wp:positionV>
                <wp:extent cx="7658100" cy="5029200"/>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5029200"/>
                        </a:xfrm>
                        <a:prstGeom prst="rect">
                          <a:avLst/>
                        </a:prstGeom>
                        <a:solidFill>
                          <a:srgbClr val="00A5E6"/>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w14:anchorId="6D7FB3CA" id="Rectangle 11" o:spid="_x0000_s1026" style="position:absolute;margin-left:-71.95pt;margin-top:-58.55pt;width:603pt;height:39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" fillcolor="#00a5e6" stroked="f"/>
            </w:pict>
          </mc:Fallback>
        </mc:AlternateContent>
      </w:r>
      <w:r w:rsidRPr="00B80144">
        <w:rPr>
          <w:noProof/>
          <w:lang w:val="en-AU"/>
        </w:rPr>
        <mc:AlternateContent>
          <mc:Choice Requires="wps">
            <w:drawing>
              <wp:anchor distT="0" distB="0" distL="114300" distR="114300" simplePos="0" relativeHeight="251673600" behindDoc="0" locked="0" layoutInCell="1" allowOverlap="1" wp14:anchorId="1716BF6B" wp14:editId="35518482">
                <wp:simplePos x="0" y="0"/>
                <wp:positionH relativeFrom="column">
                  <wp:posOffset>-668020</wp:posOffset>
                </wp:positionH>
                <wp:positionV relativeFrom="paragraph">
                  <wp:posOffset>-456565</wp:posOffset>
                </wp:positionV>
                <wp:extent cx="3364865" cy="2057400"/>
                <wp:effectExtent l="0" t="0" r="0" b="381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865" cy="2057400"/>
                        </a:xfrm>
                        <a:prstGeom prst="rect">
                          <a:avLst/>
                        </a:prstGeom>
                        <a:noFill/>
                        <a:ln>
                          <a:noFill/>
                        </a:ln>
                        <a:extLst/>
                      </wps:spPr>
                      <wps:txbx>
                        <w:txbxContent>
                          <w:p w14:paraId="1DEF1675" w14:textId="12EACBA0" w:rsidR="00082543" w:rsidRDefault="00082543" w:rsidP="00132ACF">
                            <w:r>
                              <w:rPr>
                                <w:noProof/>
                              </w:rPr>
                              <w:drawing>
                                <wp:inline distT="0" distB="0" distL="0" distR="0" wp14:anchorId="56078434" wp14:editId="29EA0C68">
                                  <wp:extent cx="3175000" cy="894080"/>
                                  <wp:effectExtent l="0" t="0" r="6350" b="1270"/>
                                  <wp:docPr id="4" name="Picture 4" descr="transpa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ransparent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5000" cy="894080"/>
                                          </a:xfrm>
                                          <a:prstGeom prst="rect">
                                            <a:avLst/>
                                          </a:prstGeom>
                                          <a:noFill/>
                                          <a:ln>
                                            <a:noFill/>
                                          </a:ln>
                                        </pic:spPr>
                                      </pic:pic>
                                    </a:graphicData>
                                  </a:graphic>
                                </wp:inline>
                              </w:drawing>
                            </w:r>
                          </w:p>
                          <w:p w14:paraId="783D35DB" w14:textId="77777777" w:rsidR="00082543" w:rsidRDefault="00082543"/>
                          <w:p w14:paraId="7967932F" w14:textId="3479BCD1" w:rsidR="00082543" w:rsidRDefault="00082543" w:rsidP="00B80144"/>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16BF6B" id="_x0000_t202" coordsize="21600,21600" o:spt="202" path="m,l,21600r21600,l21600,xe">
                <v:stroke joinstyle="miter"/>
                <v:path gradientshapeok="t" o:connecttype="rect"/>
              </v:shapetype>
              <v:shape id="Text Box 10" o:spid="_x0000_s1026" type="#_x0000_t202" style="position:absolute;margin-left:-52.6pt;margin-top:-35.95pt;width:264.95pt;height:162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" filled="f" stroked="f">
                <v:textbox style="mso-fit-shape-to-text:t">
                  <w:txbxContent>
                    <w:p w14:paraId="1DEF1675" w14:textId="12EACBA0" w:rsidR="00082543" w:rsidRDefault="00082543" w:rsidP="00132ACF">
                      <w:r>
                        <w:rPr>
                          <w:noProof/>
                        </w:rPr>
                        <w:drawing>
                          <wp:inline distT="0" distB="0" distL="0" distR="0" wp14:anchorId="56078434" wp14:editId="29EA0C68">
                            <wp:extent cx="3175000" cy="894080"/>
                            <wp:effectExtent l="0" t="0" r="6350" b="1270"/>
                            <wp:docPr id="4" name="Picture 4" descr="transpa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ransparent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5000" cy="894080"/>
                                    </a:xfrm>
                                    <a:prstGeom prst="rect">
                                      <a:avLst/>
                                    </a:prstGeom>
                                    <a:noFill/>
                                    <a:ln>
                                      <a:noFill/>
                                    </a:ln>
                                  </pic:spPr>
                                </pic:pic>
                              </a:graphicData>
                            </a:graphic>
                          </wp:inline>
                        </w:drawing>
                      </w:r>
                    </w:p>
                    <w:p w14:paraId="783D35DB" w14:textId="77777777" w:rsidR="00082543" w:rsidRDefault="00082543"/>
                    <w:p w14:paraId="7967932F" w14:textId="3479BCD1" w:rsidR="00082543" w:rsidRDefault="00082543" w:rsidP="00B80144"/>
                  </w:txbxContent>
                </v:textbox>
              </v:shape>
            </w:pict>
          </mc:Fallback>
        </mc:AlternateContent>
      </w:r>
      <w:r w:rsidRPr="00B80144">
        <w:rPr>
          <w:noProof/>
          <w:lang w:val="en-AU"/>
        </w:rPr>
        <mc:AlternateContent>
          <mc:Choice Requires="wps">
            <w:drawing>
              <wp:anchor distT="0" distB="0" distL="114300" distR="114300" simplePos="0" relativeHeight="251671552" behindDoc="0" locked="0" layoutInCell="1" allowOverlap="1" wp14:anchorId="287646CB" wp14:editId="3CEB83AB">
                <wp:simplePos x="0" y="0"/>
                <wp:positionH relativeFrom="column">
                  <wp:posOffset>-913765</wp:posOffset>
                </wp:positionH>
                <wp:positionV relativeFrom="paragraph">
                  <wp:posOffset>4206240</wp:posOffset>
                </wp:positionV>
                <wp:extent cx="7658100" cy="5166360"/>
                <wp:effectExtent l="0" t="0" r="19050" b="1524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5166360"/>
                        </a:xfrm>
                        <a:prstGeom prst="rect">
                          <a:avLst/>
                        </a:prstGeom>
                        <a:solidFill>
                          <a:srgbClr val="F3F4E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w14:anchorId="2EE9A5E4" id="Rectangle 7" o:spid="_x0000_s1026" style="position:absolute;margin-left:-71.95pt;margin-top:331.2pt;width:603pt;height:406.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" fillcolor="#f3f4ea"/>
            </w:pict>
          </mc:Fallback>
        </mc:AlternateContent>
      </w:r>
    </w:p>
    <w:p w14:paraId="64382D23" w14:textId="77777777" w:rsidR="00132ACF" w:rsidRPr="00B80144" w:rsidRDefault="00132ACF" w:rsidP="00B80144">
      <w:pPr>
        <w:pStyle w:val="VEOHRCChapterTitle"/>
      </w:pPr>
      <w:bookmarkStart w:id="0" w:name="_Toc516668678"/>
      <w:bookmarkEnd w:id="0"/>
    </w:p>
    <w:p w14:paraId="5A28948B" w14:textId="77777777" w:rsidR="00132ACF" w:rsidRPr="00B80144" w:rsidRDefault="00132ACF" w:rsidP="00B80144">
      <w:pPr>
        <w:pStyle w:val="VEOHRCChapterTitle"/>
      </w:pPr>
      <w:bookmarkStart w:id="1" w:name="_Toc516668679"/>
      <w:bookmarkEnd w:id="1"/>
    </w:p>
    <w:p w14:paraId="0911BD6F" w14:textId="2FB30E69" w:rsidR="00A76969" w:rsidRPr="004D2862" w:rsidRDefault="00132ACF" w:rsidP="00132ACF">
      <w:pPr>
        <w:pStyle w:val="VEOHRCBodytext"/>
      </w:pPr>
      <w:r>
        <w:rPr>
          <w:noProof/>
          <w:lang w:val="en-AU"/>
        </w:rPr>
        <mc:AlternateContent>
          <mc:Choice Requires="wps">
            <w:drawing>
              <wp:anchor distT="0" distB="0" distL="114300" distR="114300" simplePos="0" relativeHeight="251674624" behindDoc="0" locked="0" layoutInCell="1" allowOverlap="1" wp14:anchorId="3620191D" wp14:editId="4FE6A9CE">
                <wp:simplePos x="0" y="0"/>
                <wp:positionH relativeFrom="column">
                  <wp:posOffset>-913765</wp:posOffset>
                </wp:positionH>
                <wp:positionV relativeFrom="paragraph">
                  <wp:posOffset>8090423</wp:posOffset>
                </wp:positionV>
                <wp:extent cx="7658100" cy="685800"/>
                <wp:effectExtent l="0" t="0" r="1905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685800"/>
                        </a:xfrm>
                        <a:prstGeom prst="rect">
                          <a:avLst/>
                        </a:prstGeom>
                        <a:solidFill>
                          <a:srgbClr val="454545"/>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w14:anchorId="2FB9BC35" id="Rectangle 5" o:spid="_x0000_s1026" style="position:absolute;margin-left:-71.95pt;margin-top:637.05pt;width:603pt;height: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" fillcolor="#454545"/>
            </w:pict>
          </mc:Fallback>
        </mc:AlternateContent>
      </w:r>
      <w:r>
        <w:rPr>
          <w:noProof/>
          <w:lang w:val="en-AU"/>
        </w:rPr>
        <mc:AlternateContent>
          <mc:Choice Requires="wps">
            <w:drawing>
              <wp:anchor distT="0" distB="0" distL="114300" distR="114300" simplePos="0" relativeHeight="251675648" behindDoc="0" locked="0" layoutInCell="1" allowOverlap="1" wp14:anchorId="5C86B023" wp14:editId="033CAB17">
                <wp:simplePos x="0" y="0"/>
                <wp:positionH relativeFrom="column">
                  <wp:posOffset>-570865</wp:posOffset>
                </wp:positionH>
                <wp:positionV relativeFrom="paragraph">
                  <wp:posOffset>8293854</wp:posOffset>
                </wp:positionV>
                <wp:extent cx="7429500" cy="4572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457200"/>
                        </a:xfrm>
                        <a:prstGeom prst="rect">
                          <a:avLst/>
                        </a:prstGeom>
                        <a:noFill/>
                        <a:ln>
                          <a:noFill/>
                        </a:ln>
                        <a:extLst/>
                      </wps:spPr>
                      <wps:txbx>
                        <w:txbxContent>
                          <w:p w14:paraId="32F8570D" w14:textId="77777777" w:rsidR="00082543" w:rsidRPr="00132003" w:rsidRDefault="00082543" w:rsidP="00132ACF">
                            <w:pPr>
                              <w:rPr>
                                <w:rFonts w:cs="Arial"/>
                                <w:color w:val="FFFFFF"/>
                                <w:sz w:val="28"/>
                                <w:szCs w:val="28"/>
                              </w:rPr>
                            </w:pPr>
                            <w:r>
                              <w:rPr>
                                <w:rFonts w:cs="Arial"/>
                                <w:color w:val="FFFFFF"/>
                                <w:sz w:val="28"/>
                                <w:szCs w:val="28"/>
                              </w:rPr>
                              <w:t>humanrightscommission.vic.gov.au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6B023" id="Text Box 6" o:spid="_x0000_s1027" type="#_x0000_t202" style="position:absolute;margin-left:-44.95pt;margin-top:653.05pt;width:585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" filled="f" stroked="f">
                <v:textbox>
                  <w:txbxContent>
                    <w:p w14:paraId="32F8570D" w14:textId="77777777" w:rsidR="00082543" w:rsidRPr="00132003" w:rsidRDefault="00082543" w:rsidP="00132ACF">
                      <w:pPr>
                        <w:rPr>
                          <w:rFonts w:cs="Arial"/>
                          <w:color w:val="FFFFFF"/>
                          <w:sz w:val="28"/>
                          <w:szCs w:val="28"/>
                        </w:rPr>
                      </w:pPr>
                      <w:r>
                        <w:rPr>
                          <w:rFonts w:cs="Arial"/>
                          <w:color w:val="FFFFFF"/>
                          <w:sz w:val="28"/>
                          <w:szCs w:val="28"/>
                        </w:rPr>
                        <w:t>humanrightscommission.vic.gov.au</w:t>
                      </w:r>
                    </w:p>
                  </w:txbxContent>
                </v:textbox>
              </v:shape>
            </w:pict>
          </mc:Fallback>
        </mc:AlternateContent>
      </w:r>
      <w:r>
        <w:rPr>
          <w:noProof/>
          <w:lang w:val="en-AU"/>
        </w:rPr>
        <mc:AlternateContent>
          <mc:Choice Requires="wps">
            <w:drawing>
              <wp:anchor distT="0" distB="0" distL="114300" distR="114300" simplePos="0" relativeHeight="251672576" behindDoc="0" locked="0" layoutInCell="1" allowOverlap="1" wp14:anchorId="5EBA3453" wp14:editId="20613A48">
                <wp:simplePos x="0" y="0"/>
                <wp:positionH relativeFrom="column">
                  <wp:posOffset>-568834</wp:posOffset>
                </wp:positionH>
                <wp:positionV relativeFrom="paragraph">
                  <wp:posOffset>223121</wp:posOffset>
                </wp:positionV>
                <wp:extent cx="6972300" cy="2984361"/>
                <wp:effectExtent l="0" t="0" r="0" b="698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2984361"/>
                        </a:xfrm>
                        <a:prstGeom prst="rect">
                          <a:avLst/>
                        </a:prstGeom>
                        <a:noFill/>
                        <a:ln>
                          <a:noFill/>
                        </a:ln>
                        <a:extLst/>
                      </wps:spPr>
                      <wps:txbx>
                        <w:txbxContent>
                          <w:p w14:paraId="2E50F9F0" w14:textId="2B1AE0A7" w:rsidR="00082543" w:rsidRPr="00132ACF" w:rsidRDefault="00082543" w:rsidP="00132ACF">
                            <w:pPr>
                              <w:rPr>
                                <w:rFonts w:cs="Arial"/>
                                <w:color w:val="FFFFFF"/>
                                <w:sz w:val="56"/>
                                <w:szCs w:val="56"/>
                              </w:rPr>
                            </w:pPr>
                            <w:r w:rsidRPr="00132ACF">
                              <w:rPr>
                                <w:rFonts w:cs="Arial"/>
                                <w:color w:val="FFFFFF"/>
                                <w:sz w:val="56"/>
                                <w:szCs w:val="56"/>
                              </w:rPr>
                              <w:t xml:space="preserve">Victorian Equal Opportunity </w:t>
                            </w:r>
                            <w:r w:rsidRPr="00132ACF">
                              <w:rPr>
                                <w:rFonts w:cs="Arial"/>
                                <w:color w:val="FFFFFF"/>
                                <w:sz w:val="56"/>
                                <w:szCs w:val="56"/>
                              </w:rPr>
                              <w:br/>
                              <w:t xml:space="preserve">and Human Rights Commission </w:t>
                            </w:r>
                          </w:p>
                          <w:p w14:paraId="7EE36BE3" w14:textId="77777777" w:rsidR="00082543" w:rsidRPr="00132ACF" w:rsidRDefault="00082543" w:rsidP="00132ACF">
                            <w:pPr>
                              <w:rPr>
                                <w:rFonts w:cs="Arial"/>
                                <w:color w:val="FFFFFF"/>
                                <w:sz w:val="56"/>
                                <w:szCs w:val="56"/>
                              </w:rPr>
                            </w:pPr>
                          </w:p>
                          <w:p w14:paraId="5697203F" w14:textId="62E7F793" w:rsidR="00082543" w:rsidRPr="00132ACF" w:rsidRDefault="00082543" w:rsidP="00132ACF">
                            <w:pPr>
                              <w:rPr>
                                <w:rFonts w:cs="Arial"/>
                                <w:color w:val="FFFFFF"/>
                                <w:sz w:val="56"/>
                                <w:szCs w:val="56"/>
                              </w:rPr>
                            </w:pPr>
                            <w:r w:rsidRPr="00132ACF">
                              <w:rPr>
                                <w:rFonts w:cs="Arial"/>
                                <w:color w:val="FFFFFF"/>
                                <w:sz w:val="56"/>
                                <w:szCs w:val="56"/>
                              </w:rPr>
                              <w:t>Annual Report 2017</w:t>
                            </w:r>
                            <w:r>
                              <w:rPr>
                                <w:rFonts w:cs="Arial"/>
                                <w:color w:val="FFFFFF"/>
                                <w:sz w:val="56"/>
                                <w:szCs w:val="56"/>
                              </w:rPr>
                              <w:t>–</w:t>
                            </w:r>
                            <w:r w:rsidRPr="00132ACF">
                              <w:rPr>
                                <w:rFonts w:cs="Arial"/>
                                <w:color w:val="FFFFFF"/>
                                <w:sz w:val="56"/>
                                <w:szCs w:val="56"/>
                              </w:rPr>
                              <w:t>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A3453" id="Text Box 8" o:spid="_x0000_s1028" type="#_x0000_t202" style="position:absolute;margin-left:-44.8pt;margin-top:17.55pt;width:549pt;height:2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" filled="f" stroked="f">
                <v:textbox>
                  <w:txbxContent>
                    <w:p w14:paraId="2E50F9F0" w14:textId="2B1AE0A7" w:rsidR="00082543" w:rsidRPr="00132ACF" w:rsidRDefault="00082543" w:rsidP="00132ACF">
                      <w:pPr>
                        <w:rPr>
                          <w:rFonts w:cs="Arial"/>
                          <w:color w:val="FFFFFF"/>
                          <w:sz w:val="56"/>
                          <w:szCs w:val="56"/>
                        </w:rPr>
                      </w:pPr>
                      <w:r w:rsidRPr="00132ACF">
                        <w:rPr>
                          <w:rFonts w:cs="Arial"/>
                          <w:color w:val="FFFFFF"/>
                          <w:sz w:val="56"/>
                          <w:szCs w:val="56"/>
                        </w:rPr>
                        <w:t xml:space="preserve">Victorian Equal Opportunity </w:t>
                      </w:r>
                      <w:r w:rsidRPr="00132ACF">
                        <w:rPr>
                          <w:rFonts w:cs="Arial"/>
                          <w:color w:val="FFFFFF"/>
                          <w:sz w:val="56"/>
                          <w:szCs w:val="56"/>
                        </w:rPr>
                        <w:br/>
                        <w:t xml:space="preserve">and Human Rights Commission </w:t>
                      </w:r>
                    </w:p>
                    <w:p w14:paraId="7EE36BE3" w14:textId="77777777" w:rsidR="00082543" w:rsidRPr="00132ACF" w:rsidRDefault="00082543" w:rsidP="00132ACF">
                      <w:pPr>
                        <w:rPr>
                          <w:rFonts w:cs="Arial"/>
                          <w:color w:val="FFFFFF"/>
                          <w:sz w:val="56"/>
                          <w:szCs w:val="56"/>
                        </w:rPr>
                      </w:pPr>
                    </w:p>
                    <w:p w14:paraId="5697203F" w14:textId="62E7F793" w:rsidR="00082543" w:rsidRPr="00132ACF" w:rsidRDefault="00082543" w:rsidP="00132ACF">
                      <w:pPr>
                        <w:rPr>
                          <w:rFonts w:cs="Arial"/>
                          <w:color w:val="FFFFFF"/>
                          <w:sz w:val="56"/>
                          <w:szCs w:val="56"/>
                        </w:rPr>
                      </w:pPr>
                      <w:r w:rsidRPr="00132ACF">
                        <w:rPr>
                          <w:rFonts w:cs="Arial"/>
                          <w:color w:val="FFFFFF"/>
                          <w:sz w:val="56"/>
                          <w:szCs w:val="56"/>
                        </w:rPr>
                        <w:t>Annual Report 2017</w:t>
                      </w:r>
                      <w:r>
                        <w:rPr>
                          <w:rFonts w:cs="Arial"/>
                          <w:color w:val="FFFFFF"/>
                          <w:sz w:val="56"/>
                          <w:szCs w:val="56"/>
                        </w:rPr>
                        <w:t>–</w:t>
                      </w:r>
                      <w:r w:rsidRPr="00132ACF">
                        <w:rPr>
                          <w:rFonts w:cs="Arial"/>
                          <w:color w:val="FFFFFF"/>
                          <w:sz w:val="56"/>
                          <w:szCs w:val="56"/>
                        </w:rPr>
                        <w:t>18</w:t>
                      </w:r>
                    </w:p>
                  </w:txbxContent>
                </v:textbox>
              </v:shape>
            </w:pict>
          </mc:Fallback>
        </mc:AlternateContent>
      </w:r>
      <w:r w:rsidRPr="004D2862">
        <w:br w:type="page"/>
      </w:r>
      <w:r w:rsidR="00F9699A" w:rsidRPr="00302B87">
        <w:rPr>
          <w:noProof/>
          <w:lang w:val="en-AU"/>
        </w:rPr>
        <w:lastRenderedPageBreak/>
        <w:drawing>
          <wp:inline distT="0" distB="0" distL="0" distR="0" wp14:anchorId="19DEC87C" wp14:editId="12BDF8EB">
            <wp:extent cx="2161540" cy="581660"/>
            <wp:effectExtent l="0" t="0" r="0" b="8890"/>
            <wp:docPr id="3" name="Picture 1" descr="HRC_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C__logo_B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1540" cy="581660"/>
                    </a:xfrm>
                    <a:prstGeom prst="rect">
                      <a:avLst/>
                    </a:prstGeom>
                    <a:noFill/>
                    <a:ln>
                      <a:noFill/>
                    </a:ln>
                  </pic:spPr>
                </pic:pic>
              </a:graphicData>
            </a:graphic>
          </wp:inline>
        </w:drawing>
      </w:r>
      <w:r w:rsidR="00A76969" w:rsidRPr="004D2862">
        <w:t xml:space="preserve"> </w:t>
      </w:r>
    </w:p>
    <w:p w14:paraId="089CFC8E" w14:textId="77777777" w:rsidR="00A76969" w:rsidRPr="004D2862" w:rsidRDefault="00302B87" w:rsidP="00302B87">
      <w:pPr>
        <w:pStyle w:val="VEOHRCBodytext"/>
      </w:pPr>
      <w:r>
        <w:tab/>
      </w:r>
    </w:p>
    <w:p w14:paraId="09919407" w14:textId="77777777" w:rsidR="00A76969" w:rsidRPr="004D2862" w:rsidRDefault="00A76969" w:rsidP="00A76969">
      <w:pPr>
        <w:pStyle w:val="VEOHRCBodytext"/>
      </w:pPr>
      <w:r w:rsidRPr="004D2862">
        <w:t xml:space="preserve">Published by the Victorian Equal Opportunity and Human Rights Commission, </w:t>
      </w:r>
      <w:r w:rsidR="00BF65E2">
        <w:br/>
      </w:r>
      <w:r w:rsidRPr="004D2862">
        <w:t xml:space="preserve">Level 3, 204 Lygon Street, Carlton, Victoria </w:t>
      </w:r>
      <w:r w:rsidRPr="00505BE9">
        <w:t xml:space="preserve">3053. </w:t>
      </w:r>
      <w:r w:rsidR="00AE626F" w:rsidRPr="00505BE9">
        <w:t>September</w:t>
      </w:r>
      <w:r w:rsidR="00E06A8A" w:rsidRPr="00505BE9">
        <w:t xml:space="preserve"> 201</w:t>
      </w:r>
      <w:r w:rsidR="00AE626F" w:rsidRPr="00505BE9">
        <w:t>8</w:t>
      </w:r>
    </w:p>
    <w:p w14:paraId="30E88C1D" w14:textId="77777777" w:rsidR="00A76969" w:rsidRPr="004D2862" w:rsidRDefault="00A76969" w:rsidP="00A76969">
      <w:pPr>
        <w:pStyle w:val="VEOHRCBodytext"/>
      </w:pPr>
      <w:r w:rsidRPr="004D2862">
        <w:rPr>
          <w:rStyle w:val="VEOHRCHeading3Char"/>
        </w:rPr>
        <w:t>Contact us</w:t>
      </w:r>
      <w:r w:rsidRPr="004D2862">
        <w:rPr>
          <w:rStyle w:val="VEOHRCHeading3Char"/>
        </w:rPr>
        <w:br/>
      </w:r>
      <w:r w:rsidRPr="004D2862">
        <w:t xml:space="preserve">Enquiry Line </w:t>
      </w:r>
      <w:r w:rsidRPr="004D2862">
        <w:tab/>
        <w:t>1300 292 153 or (03) 9032 3583</w:t>
      </w:r>
      <w:r w:rsidRPr="004D2862">
        <w:br/>
        <w:t>Fax</w:t>
      </w:r>
      <w:r w:rsidRPr="004D2862">
        <w:tab/>
        <w:t>1300 891 858</w:t>
      </w:r>
      <w:r w:rsidRPr="004D2862">
        <w:br/>
        <w:t>Hearing impaired (TTY)</w:t>
      </w:r>
      <w:r w:rsidRPr="004D2862">
        <w:tab/>
        <w:t>1300 289 621</w:t>
      </w:r>
      <w:r w:rsidRPr="004D2862">
        <w:br/>
        <w:t>Interpreters</w:t>
      </w:r>
      <w:r w:rsidRPr="004D2862">
        <w:tab/>
        <w:t>1300 152 494</w:t>
      </w:r>
      <w:r w:rsidRPr="004D2862">
        <w:br/>
        <w:t>Email</w:t>
      </w:r>
      <w:r w:rsidRPr="004D2862">
        <w:tab/>
      </w:r>
      <w:hyperlink r:id="rId10" w:history="1">
        <w:r w:rsidR="0029662A" w:rsidRPr="00F77069">
          <w:rPr>
            <w:rStyle w:val="Hyperlink"/>
          </w:rPr>
          <w:t>information@veohrc.vic.gov.au</w:t>
        </w:r>
      </w:hyperlink>
      <w:r w:rsidR="0029662A">
        <w:t xml:space="preserve"> </w:t>
      </w:r>
      <w:r w:rsidR="0029662A">
        <w:br/>
      </w:r>
      <w:r w:rsidRPr="004D2862">
        <w:t>Website</w:t>
      </w:r>
      <w:r w:rsidRPr="004D2862">
        <w:tab/>
      </w:r>
      <w:hyperlink r:id="rId11" w:history="1">
        <w:r w:rsidR="0029662A" w:rsidRPr="00F77069">
          <w:rPr>
            <w:rStyle w:val="Hyperlink"/>
          </w:rPr>
          <w:t>humanrightscommission.vic.gov.au</w:t>
        </w:r>
      </w:hyperlink>
      <w:r w:rsidR="00526B8B">
        <w:t xml:space="preserve"> </w:t>
      </w:r>
    </w:p>
    <w:p w14:paraId="6453F785" w14:textId="77777777" w:rsidR="00302B87" w:rsidRPr="004D2862" w:rsidRDefault="00302B87" w:rsidP="00302B87">
      <w:pPr>
        <w:pStyle w:val="VEOHRCBodytext"/>
      </w:pPr>
      <w:r>
        <w:tab/>
      </w:r>
    </w:p>
    <w:p w14:paraId="044B91FF" w14:textId="24B784DD" w:rsidR="00A76969" w:rsidRPr="004D2862" w:rsidRDefault="00302B87" w:rsidP="00302B87">
      <w:pPr>
        <w:pStyle w:val="VEOHRCHeading3"/>
      </w:pPr>
      <w:r w:rsidRPr="004D2862">
        <w:t>Victorian Equal Opportunity and Human Rights Commission</w:t>
      </w:r>
      <w:r w:rsidR="00A76969" w:rsidRPr="004D2862">
        <w:t xml:space="preserve"> </w:t>
      </w:r>
      <w:r w:rsidR="001948B8">
        <w:br/>
      </w:r>
      <w:r>
        <w:t xml:space="preserve">Annual Report </w:t>
      </w:r>
      <w:r w:rsidR="00982E9A">
        <w:t>2017–</w:t>
      </w:r>
      <w:r>
        <w:t>1</w:t>
      </w:r>
      <w:r w:rsidR="00132ACF">
        <w:t>8</w:t>
      </w:r>
    </w:p>
    <w:p w14:paraId="622C8D98" w14:textId="77777777" w:rsidR="00A76969" w:rsidRPr="004D2862" w:rsidRDefault="00A76969" w:rsidP="003001B3">
      <w:pPr>
        <w:pStyle w:val="VEOHRCBodytext"/>
      </w:pPr>
      <w:r w:rsidRPr="004D2862">
        <w:t xml:space="preserve">Copyright © State of Victoria </w:t>
      </w:r>
      <w:r w:rsidR="00302B87">
        <w:t>201</w:t>
      </w:r>
      <w:r w:rsidR="00AE626F">
        <w:t>8</w:t>
      </w:r>
    </w:p>
    <w:p w14:paraId="6240F5A1" w14:textId="77777777" w:rsidR="00A76969" w:rsidRPr="004D2862" w:rsidRDefault="00A76969" w:rsidP="00A76969">
      <w:pPr>
        <w:pStyle w:val="VEOHRCBodytext"/>
      </w:pPr>
      <w:r w:rsidRPr="004D2862">
        <w:t xml:space="preserve">This publication is copyright. No part of it may be reproduced by any process except with permission from the Victorian Equal Opportunity and Human Rights Commission (the Commission) or in accordance with the </w:t>
      </w:r>
      <w:r w:rsidRPr="004D2862">
        <w:rPr>
          <w:i/>
        </w:rPr>
        <w:t>Copyright Act 1968</w:t>
      </w:r>
      <w:r w:rsidRPr="004D2862">
        <w:t xml:space="preserve">. </w:t>
      </w:r>
    </w:p>
    <w:p w14:paraId="711C1387" w14:textId="77777777" w:rsidR="00A76969" w:rsidRPr="004D2862" w:rsidRDefault="00A76969" w:rsidP="00A76969">
      <w:pPr>
        <w:pStyle w:val="VEOHRCBodytext"/>
      </w:pPr>
      <w:r w:rsidRPr="004D2862">
        <w:t xml:space="preserve">On request the Commission may give permission for this material to be reproduced provided it is for a purpose consistent with the objectives of the </w:t>
      </w:r>
      <w:r w:rsidRPr="004D2862">
        <w:rPr>
          <w:i/>
        </w:rPr>
        <w:t>Equal Opportunity Act 2010</w:t>
      </w:r>
      <w:r w:rsidR="00193E85">
        <w:rPr>
          <w:i/>
        </w:rPr>
        <w:t xml:space="preserve">, </w:t>
      </w:r>
      <w:r w:rsidR="00193E85">
        <w:t xml:space="preserve">the </w:t>
      </w:r>
      <w:r w:rsidR="00193E85">
        <w:rPr>
          <w:i/>
        </w:rPr>
        <w:t>Charter of Human Rights and Responsibilities Act 2006</w:t>
      </w:r>
      <w:r w:rsidR="00193E85">
        <w:t xml:space="preserve"> or the </w:t>
      </w:r>
      <w:r w:rsidR="00193E85">
        <w:rPr>
          <w:i/>
        </w:rPr>
        <w:t>Racial and Religious Tolerance Act 2001</w:t>
      </w:r>
      <w:r w:rsidR="00526B8B">
        <w:t xml:space="preserve"> </w:t>
      </w:r>
      <w:r w:rsidRPr="004D2862">
        <w:t>and the Commission is acknowledged as the source.</w:t>
      </w:r>
    </w:p>
    <w:p w14:paraId="5D260D6A" w14:textId="77777777" w:rsidR="00A76969" w:rsidRPr="004D2862" w:rsidRDefault="00A76969" w:rsidP="00A76969">
      <w:pPr>
        <w:pStyle w:val="VEOHRCBodytext"/>
      </w:pPr>
      <w:r w:rsidRPr="004D2862">
        <w:t xml:space="preserve">Contact </w:t>
      </w:r>
      <w:hyperlink r:id="rId12" w:history="1">
        <w:r w:rsidR="0029662A" w:rsidRPr="00F77069">
          <w:rPr>
            <w:rStyle w:val="Hyperlink"/>
          </w:rPr>
          <w:t>communications@veohrc.vic.gov.au</w:t>
        </w:r>
      </w:hyperlink>
      <w:r w:rsidR="0029662A">
        <w:t xml:space="preserve"> </w:t>
      </w:r>
      <w:r w:rsidRPr="004D2862">
        <w:t xml:space="preserve">for permission to reproduce material from the publication. </w:t>
      </w:r>
    </w:p>
    <w:p w14:paraId="17DD8097" w14:textId="77777777" w:rsidR="00A76969" w:rsidRPr="004D2862" w:rsidRDefault="00A76969" w:rsidP="00A76969">
      <w:pPr>
        <w:pStyle w:val="VEOHRCHeading3"/>
      </w:pPr>
      <w:r w:rsidRPr="004D2862">
        <w:t xml:space="preserve">Accessible formats </w:t>
      </w:r>
    </w:p>
    <w:p w14:paraId="279AD59B" w14:textId="77777777" w:rsidR="00A76969" w:rsidRPr="004D2862" w:rsidRDefault="00A76969" w:rsidP="00A76969">
      <w:pPr>
        <w:pStyle w:val="VEOHRCBodytext"/>
      </w:pPr>
      <w:r w:rsidRPr="004D2862">
        <w:t xml:space="preserve">This document is available for downloading from our website at </w:t>
      </w:r>
      <w:hyperlink r:id="rId13" w:history="1">
        <w:r w:rsidR="0029662A" w:rsidRPr="00F77069">
          <w:rPr>
            <w:rStyle w:val="Hyperlink"/>
          </w:rPr>
          <w:t>humanrightscommission.vic.gov.au/resources</w:t>
        </w:r>
      </w:hyperlink>
      <w:r w:rsidR="0029662A">
        <w:t xml:space="preserve"> </w:t>
      </w:r>
      <w:r w:rsidRPr="004D2862">
        <w:t>in PDF and RTF. Please contact the Commission if you require other accessible formats.</w:t>
      </w:r>
    </w:p>
    <w:p w14:paraId="7A017059" w14:textId="77777777" w:rsidR="00A76969" w:rsidRPr="004D2862" w:rsidRDefault="00A76969" w:rsidP="00A76969">
      <w:pPr>
        <w:pStyle w:val="VEOHRCHeading3"/>
      </w:pPr>
      <w:r w:rsidRPr="004D2862">
        <w:t xml:space="preserve">Privacy </w:t>
      </w:r>
    </w:p>
    <w:p w14:paraId="24400CC1" w14:textId="77777777" w:rsidR="00A76969" w:rsidRPr="004D2862" w:rsidRDefault="00A76969" w:rsidP="00A76969">
      <w:pPr>
        <w:pStyle w:val="VEOHRCBodytext"/>
        <w:rPr>
          <w:szCs w:val="28"/>
        </w:rPr>
      </w:pPr>
      <w:r w:rsidRPr="004D2862">
        <w:t xml:space="preserve">The Commission complies with Victorian privacy laws and the confidentiality provisions of the Equal Opportunity Act. Our privacy policy is available online at </w:t>
      </w:r>
      <w:hyperlink r:id="rId14" w:history="1">
        <w:r w:rsidR="0029662A" w:rsidRPr="00F77069">
          <w:rPr>
            <w:rStyle w:val="Hyperlink"/>
          </w:rPr>
          <w:t>humanrightscommission.vic.gov.au/privacy</w:t>
        </w:r>
      </w:hyperlink>
      <w:r w:rsidR="0029662A">
        <w:t xml:space="preserve"> </w:t>
      </w:r>
      <w:r w:rsidRPr="004D2862">
        <w:t>or by contacting us.</w:t>
      </w:r>
    </w:p>
    <w:p w14:paraId="48361CDB" w14:textId="77777777" w:rsidR="00A76969" w:rsidRPr="00505BE9" w:rsidRDefault="00A76969" w:rsidP="00A76969">
      <w:pPr>
        <w:pStyle w:val="VEOHRCHeading3"/>
      </w:pPr>
      <w:r w:rsidRPr="00505BE9">
        <w:t xml:space="preserve">Disclaimer </w:t>
      </w:r>
    </w:p>
    <w:p w14:paraId="5EFDE81B" w14:textId="0F7F9C03" w:rsidR="00301490" w:rsidRPr="00505BE9" w:rsidRDefault="00A76969" w:rsidP="0098018E">
      <w:pPr>
        <w:pStyle w:val="VEOHRCBodytext"/>
      </w:pPr>
      <w:r w:rsidRPr="00505BE9">
        <w:t>This information is intended as a guide only. It is not a substitute for legal advice.</w:t>
      </w:r>
      <w:r w:rsidR="0098018E">
        <w:t xml:space="preserve"> </w:t>
      </w:r>
      <w:r w:rsidR="0098018E" w:rsidRPr="0098018E">
        <w:rPr>
          <w:lang w:val="en-AU"/>
        </w:rPr>
        <w:t>This</w:t>
      </w:r>
      <w:r w:rsidR="0098018E">
        <w:rPr>
          <w:lang w:val="en-AU"/>
        </w:rPr>
        <w:t xml:space="preserve"> </w:t>
      </w:r>
      <w:r w:rsidR="0098018E" w:rsidRPr="0098018E">
        <w:rPr>
          <w:lang w:val="en-AU"/>
        </w:rPr>
        <w:t>report was produced in September 2018, and relates to our work from 1 July 2017 to</w:t>
      </w:r>
      <w:r w:rsidR="0098018E">
        <w:rPr>
          <w:lang w:val="en-AU"/>
        </w:rPr>
        <w:t xml:space="preserve"> </w:t>
      </w:r>
      <w:bookmarkStart w:id="2" w:name="_GoBack"/>
      <w:bookmarkEnd w:id="2"/>
      <w:r w:rsidR="0098018E" w:rsidRPr="0098018E">
        <w:rPr>
          <w:lang w:val="en-AU"/>
        </w:rPr>
        <w:t>30 June 2018. All information was correct at time of production.</w:t>
      </w:r>
    </w:p>
    <w:p w14:paraId="4DBE38E3" w14:textId="77777777" w:rsidR="003001B3" w:rsidRPr="00505BE9" w:rsidRDefault="003001B3" w:rsidP="003001B3">
      <w:pPr>
        <w:pStyle w:val="VEOHRCBodytext"/>
      </w:pPr>
    </w:p>
    <w:p w14:paraId="15993795" w14:textId="77777777" w:rsidR="003001B3" w:rsidRPr="00505BE9" w:rsidRDefault="003001B3" w:rsidP="003001B3">
      <w:pPr>
        <w:pStyle w:val="VEOHRCBodytext"/>
      </w:pPr>
      <w:r w:rsidRPr="00505BE9">
        <w:t xml:space="preserve">Printed </w:t>
      </w:r>
    </w:p>
    <w:p w14:paraId="31F5FDCF" w14:textId="5046F302" w:rsidR="003001B3" w:rsidRPr="00301490" w:rsidRDefault="00786552" w:rsidP="00786552">
      <w:pPr>
        <w:pStyle w:val="VEOHRCBodytext"/>
        <w:rPr>
          <w:lang w:eastAsia="en-US"/>
        </w:rPr>
      </w:pPr>
      <w:r>
        <w:rPr>
          <w:lang w:eastAsia="en-US"/>
        </w:rPr>
        <w:t>Ordered to be published.</w:t>
      </w:r>
      <w:r>
        <w:rPr>
          <w:lang w:eastAsia="en-US"/>
        </w:rPr>
        <w:br/>
        <w:t>PP 4, Session 201</w:t>
      </w:r>
      <w:r w:rsidR="00701838">
        <w:rPr>
          <w:lang w:eastAsia="en-US"/>
        </w:rPr>
        <w:t>8</w:t>
      </w:r>
      <w:r>
        <w:rPr>
          <w:lang w:eastAsia="en-US"/>
        </w:rPr>
        <w:t>–1</w:t>
      </w:r>
      <w:r w:rsidR="00701838">
        <w:rPr>
          <w:lang w:eastAsia="en-US"/>
        </w:rPr>
        <w:t>9</w:t>
      </w:r>
      <w:r>
        <w:rPr>
          <w:lang w:eastAsia="en-US"/>
        </w:rPr>
        <w:br/>
        <w:t>ISSN 1836–1447 (print)</w:t>
      </w:r>
    </w:p>
    <w:p w14:paraId="4516CE42" w14:textId="77777777" w:rsidR="003A3EF4" w:rsidRPr="007B549E" w:rsidRDefault="00A76969" w:rsidP="000A4E9B">
      <w:pPr>
        <w:pStyle w:val="VEOHRCChapterTitle"/>
        <w:rPr>
          <w:lang w:val="en-US"/>
        </w:rPr>
      </w:pPr>
      <w:r w:rsidRPr="00130069">
        <w:br w:type="page"/>
      </w:r>
      <w:bookmarkStart w:id="3" w:name="_Toc524536461"/>
      <w:r w:rsidR="003A3EF4" w:rsidRPr="00130069">
        <w:lastRenderedPageBreak/>
        <w:t>Contents</w:t>
      </w:r>
      <w:bookmarkEnd w:id="3"/>
    </w:p>
    <w:p w14:paraId="1B58A144" w14:textId="77777777" w:rsidR="004B2AAA" w:rsidRDefault="00505BE9">
      <w:pPr>
        <w:pStyle w:val="TOC1"/>
        <w:rPr>
          <w:rFonts w:asciiTheme="minorHAnsi" w:eastAsiaTheme="minorEastAsia" w:hAnsiTheme="minorHAnsi" w:cstheme="minorBidi"/>
          <w:b w:val="0"/>
          <w:bCs w:val="0"/>
          <w:noProof/>
          <w:lang w:val="en-US" w:eastAsia="en-US"/>
        </w:rPr>
      </w:pPr>
      <w:r>
        <w:rPr>
          <w:sz w:val="20"/>
          <w:szCs w:val="20"/>
        </w:rPr>
        <w:fldChar w:fldCharType="begin"/>
      </w:r>
      <w:r>
        <w:rPr>
          <w:sz w:val="20"/>
          <w:szCs w:val="20"/>
        </w:rPr>
        <w:instrText xml:space="preserve"> TOC \h \z \t "Heading 1,1,Heading 2,2,Heading 3,3,VEOHRC Heading 1,2,VEOHRC Chapter Title,1" </w:instrText>
      </w:r>
      <w:r>
        <w:rPr>
          <w:sz w:val="20"/>
          <w:szCs w:val="20"/>
        </w:rPr>
        <w:fldChar w:fldCharType="separate"/>
      </w:r>
      <w:hyperlink w:anchor="_Toc524536461" w:history="1">
        <w:r w:rsidR="004B2AAA" w:rsidRPr="00485339">
          <w:rPr>
            <w:rStyle w:val="Hyperlink"/>
            <w:noProof/>
          </w:rPr>
          <w:t>Contents</w:t>
        </w:r>
        <w:r w:rsidR="004B2AAA">
          <w:rPr>
            <w:noProof/>
            <w:webHidden/>
          </w:rPr>
          <w:tab/>
        </w:r>
        <w:r w:rsidR="004B2AAA">
          <w:rPr>
            <w:noProof/>
            <w:webHidden/>
          </w:rPr>
          <w:fldChar w:fldCharType="begin"/>
        </w:r>
        <w:r w:rsidR="004B2AAA">
          <w:rPr>
            <w:noProof/>
            <w:webHidden/>
          </w:rPr>
          <w:instrText xml:space="preserve"> PAGEREF _Toc524536461 \h </w:instrText>
        </w:r>
        <w:r w:rsidR="004B2AAA">
          <w:rPr>
            <w:noProof/>
            <w:webHidden/>
          </w:rPr>
        </w:r>
        <w:r w:rsidR="004B2AAA">
          <w:rPr>
            <w:noProof/>
            <w:webHidden/>
          </w:rPr>
          <w:fldChar w:fldCharType="separate"/>
        </w:r>
        <w:r w:rsidR="004B2AAA">
          <w:rPr>
            <w:noProof/>
            <w:webHidden/>
          </w:rPr>
          <w:t>3</w:t>
        </w:r>
        <w:r w:rsidR="004B2AAA">
          <w:rPr>
            <w:noProof/>
            <w:webHidden/>
          </w:rPr>
          <w:fldChar w:fldCharType="end"/>
        </w:r>
      </w:hyperlink>
    </w:p>
    <w:p w14:paraId="322F8020" w14:textId="77777777" w:rsidR="004B2AAA" w:rsidRDefault="00A750B1">
      <w:pPr>
        <w:pStyle w:val="TOC2"/>
        <w:tabs>
          <w:tab w:val="right" w:pos="9060"/>
        </w:tabs>
        <w:rPr>
          <w:rFonts w:asciiTheme="minorHAnsi" w:eastAsiaTheme="minorEastAsia" w:hAnsiTheme="minorHAnsi" w:cstheme="minorBidi"/>
          <w:b w:val="0"/>
          <w:bCs w:val="0"/>
          <w:noProof/>
          <w:sz w:val="24"/>
          <w:szCs w:val="24"/>
          <w:lang w:val="en-US" w:eastAsia="en-US"/>
        </w:rPr>
      </w:pPr>
      <w:hyperlink w:anchor="_Toc524536462" w:history="1">
        <w:r w:rsidR="004B2AAA" w:rsidRPr="00485339">
          <w:rPr>
            <w:rStyle w:val="Hyperlink"/>
            <w:noProof/>
          </w:rPr>
          <w:t>Responsible Body’s declaration</w:t>
        </w:r>
        <w:r w:rsidR="004B2AAA">
          <w:rPr>
            <w:noProof/>
            <w:webHidden/>
          </w:rPr>
          <w:tab/>
        </w:r>
        <w:r w:rsidR="004B2AAA">
          <w:rPr>
            <w:noProof/>
            <w:webHidden/>
          </w:rPr>
          <w:fldChar w:fldCharType="begin"/>
        </w:r>
        <w:r w:rsidR="004B2AAA">
          <w:rPr>
            <w:noProof/>
            <w:webHidden/>
          </w:rPr>
          <w:instrText xml:space="preserve"> PAGEREF _Toc524536462 \h </w:instrText>
        </w:r>
        <w:r w:rsidR="004B2AAA">
          <w:rPr>
            <w:noProof/>
            <w:webHidden/>
          </w:rPr>
        </w:r>
        <w:r w:rsidR="004B2AAA">
          <w:rPr>
            <w:noProof/>
            <w:webHidden/>
          </w:rPr>
          <w:fldChar w:fldCharType="separate"/>
        </w:r>
        <w:r w:rsidR="004B2AAA">
          <w:rPr>
            <w:noProof/>
            <w:webHidden/>
          </w:rPr>
          <w:t>5</w:t>
        </w:r>
        <w:r w:rsidR="004B2AAA">
          <w:rPr>
            <w:noProof/>
            <w:webHidden/>
          </w:rPr>
          <w:fldChar w:fldCharType="end"/>
        </w:r>
      </w:hyperlink>
    </w:p>
    <w:p w14:paraId="63531DF8" w14:textId="77777777" w:rsidR="004B2AAA" w:rsidRDefault="00A750B1">
      <w:pPr>
        <w:pStyle w:val="TOC2"/>
        <w:tabs>
          <w:tab w:val="right" w:pos="9060"/>
        </w:tabs>
        <w:rPr>
          <w:rFonts w:asciiTheme="minorHAnsi" w:eastAsiaTheme="minorEastAsia" w:hAnsiTheme="minorHAnsi" w:cstheme="minorBidi"/>
          <w:b w:val="0"/>
          <w:bCs w:val="0"/>
          <w:noProof/>
          <w:sz w:val="24"/>
          <w:szCs w:val="24"/>
          <w:lang w:val="en-US" w:eastAsia="en-US"/>
        </w:rPr>
      </w:pPr>
      <w:hyperlink w:anchor="_Toc524536463" w:history="1">
        <w:r w:rsidR="004B2AAA" w:rsidRPr="00485339">
          <w:rPr>
            <w:rStyle w:val="Hyperlink"/>
            <w:noProof/>
          </w:rPr>
          <w:t>Chairperson's message</w:t>
        </w:r>
        <w:r w:rsidR="004B2AAA">
          <w:rPr>
            <w:noProof/>
            <w:webHidden/>
          </w:rPr>
          <w:tab/>
        </w:r>
        <w:r w:rsidR="004B2AAA">
          <w:rPr>
            <w:noProof/>
            <w:webHidden/>
          </w:rPr>
          <w:fldChar w:fldCharType="begin"/>
        </w:r>
        <w:r w:rsidR="004B2AAA">
          <w:rPr>
            <w:noProof/>
            <w:webHidden/>
          </w:rPr>
          <w:instrText xml:space="preserve"> PAGEREF _Toc524536463 \h </w:instrText>
        </w:r>
        <w:r w:rsidR="004B2AAA">
          <w:rPr>
            <w:noProof/>
            <w:webHidden/>
          </w:rPr>
        </w:r>
        <w:r w:rsidR="004B2AAA">
          <w:rPr>
            <w:noProof/>
            <w:webHidden/>
          </w:rPr>
          <w:fldChar w:fldCharType="separate"/>
        </w:r>
        <w:r w:rsidR="004B2AAA">
          <w:rPr>
            <w:noProof/>
            <w:webHidden/>
          </w:rPr>
          <w:t>6</w:t>
        </w:r>
        <w:r w:rsidR="004B2AAA">
          <w:rPr>
            <w:noProof/>
            <w:webHidden/>
          </w:rPr>
          <w:fldChar w:fldCharType="end"/>
        </w:r>
      </w:hyperlink>
    </w:p>
    <w:p w14:paraId="06B1A4D7" w14:textId="77777777" w:rsidR="004B2AAA" w:rsidRDefault="00A750B1">
      <w:pPr>
        <w:pStyle w:val="TOC2"/>
        <w:tabs>
          <w:tab w:val="right" w:pos="9060"/>
        </w:tabs>
        <w:rPr>
          <w:rFonts w:asciiTheme="minorHAnsi" w:eastAsiaTheme="minorEastAsia" w:hAnsiTheme="minorHAnsi" w:cstheme="minorBidi"/>
          <w:b w:val="0"/>
          <w:bCs w:val="0"/>
          <w:noProof/>
          <w:sz w:val="24"/>
          <w:szCs w:val="24"/>
          <w:lang w:val="en-US" w:eastAsia="en-US"/>
        </w:rPr>
      </w:pPr>
      <w:hyperlink w:anchor="_Toc524536464" w:history="1">
        <w:r w:rsidR="004B2AAA" w:rsidRPr="00485339">
          <w:rPr>
            <w:rStyle w:val="Hyperlink"/>
            <w:noProof/>
          </w:rPr>
          <w:t>Commissioner's message</w:t>
        </w:r>
        <w:r w:rsidR="004B2AAA">
          <w:rPr>
            <w:noProof/>
            <w:webHidden/>
          </w:rPr>
          <w:tab/>
        </w:r>
        <w:r w:rsidR="004B2AAA">
          <w:rPr>
            <w:noProof/>
            <w:webHidden/>
          </w:rPr>
          <w:fldChar w:fldCharType="begin"/>
        </w:r>
        <w:r w:rsidR="004B2AAA">
          <w:rPr>
            <w:noProof/>
            <w:webHidden/>
          </w:rPr>
          <w:instrText xml:space="preserve"> PAGEREF _Toc524536464 \h </w:instrText>
        </w:r>
        <w:r w:rsidR="004B2AAA">
          <w:rPr>
            <w:noProof/>
            <w:webHidden/>
          </w:rPr>
        </w:r>
        <w:r w:rsidR="004B2AAA">
          <w:rPr>
            <w:noProof/>
            <w:webHidden/>
          </w:rPr>
          <w:fldChar w:fldCharType="separate"/>
        </w:r>
        <w:r w:rsidR="004B2AAA">
          <w:rPr>
            <w:noProof/>
            <w:webHidden/>
          </w:rPr>
          <w:t>7</w:t>
        </w:r>
        <w:r w:rsidR="004B2AAA">
          <w:rPr>
            <w:noProof/>
            <w:webHidden/>
          </w:rPr>
          <w:fldChar w:fldCharType="end"/>
        </w:r>
      </w:hyperlink>
    </w:p>
    <w:p w14:paraId="680D753D" w14:textId="77777777" w:rsidR="004B2AAA" w:rsidRDefault="00A750B1">
      <w:pPr>
        <w:pStyle w:val="TOC1"/>
        <w:rPr>
          <w:rFonts w:asciiTheme="minorHAnsi" w:eastAsiaTheme="minorEastAsia" w:hAnsiTheme="minorHAnsi" w:cstheme="minorBidi"/>
          <w:b w:val="0"/>
          <w:bCs w:val="0"/>
          <w:noProof/>
          <w:lang w:val="en-US" w:eastAsia="en-US"/>
        </w:rPr>
      </w:pPr>
      <w:hyperlink w:anchor="_Toc524536465" w:history="1">
        <w:r w:rsidR="004B2AAA" w:rsidRPr="00485339">
          <w:rPr>
            <w:rStyle w:val="Hyperlink"/>
            <w:noProof/>
          </w:rPr>
          <w:t>Section 1:  About the Commission</w:t>
        </w:r>
        <w:r w:rsidR="004B2AAA">
          <w:rPr>
            <w:noProof/>
            <w:webHidden/>
          </w:rPr>
          <w:tab/>
        </w:r>
        <w:r w:rsidR="004B2AAA">
          <w:rPr>
            <w:noProof/>
            <w:webHidden/>
          </w:rPr>
          <w:fldChar w:fldCharType="begin"/>
        </w:r>
        <w:r w:rsidR="004B2AAA">
          <w:rPr>
            <w:noProof/>
            <w:webHidden/>
          </w:rPr>
          <w:instrText xml:space="preserve"> PAGEREF _Toc524536465 \h </w:instrText>
        </w:r>
        <w:r w:rsidR="004B2AAA">
          <w:rPr>
            <w:noProof/>
            <w:webHidden/>
          </w:rPr>
        </w:r>
        <w:r w:rsidR="004B2AAA">
          <w:rPr>
            <w:noProof/>
            <w:webHidden/>
          </w:rPr>
          <w:fldChar w:fldCharType="separate"/>
        </w:r>
        <w:r w:rsidR="004B2AAA">
          <w:rPr>
            <w:noProof/>
            <w:webHidden/>
          </w:rPr>
          <w:t>9</w:t>
        </w:r>
        <w:r w:rsidR="004B2AAA">
          <w:rPr>
            <w:noProof/>
            <w:webHidden/>
          </w:rPr>
          <w:fldChar w:fldCharType="end"/>
        </w:r>
      </w:hyperlink>
    </w:p>
    <w:p w14:paraId="67579AA5" w14:textId="77777777" w:rsidR="004B2AAA" w:rsidRDefault="00A750B1">
      <w:pPr>
        <w:pStyle w:val="TOC2"/>
        <w:tabs>
          <w:tab w:val="right" w:pos="9060"/>
        </w:tabs>
        <w:rPr>
          <w:rFonts w:asciiTheme="minorHAnsi" w:eastAsiaTheme="minorEastAsia" w:hAnsiTheme="minorHAnsi" w:cstheme="minorBidi"/>
          <w:b w:val="0"/>
          <w:bCs w:val="0"/>
          <w:noProof/>
          <w:sz w:val="24"/>
          <w:szCs w:val="24"/>
          <w:lang w:val="en-US" w:eastAsia="en-US"/>
        </w:rPr>
      </w:pPr>
      <w:hyperlink w:anchor="_Toc524536466" w:history="1">
        <w:r w:rsidR="004B2AAA" w:rsidRPr="00485339">
          <w:rPr>
            <w:rStyle w:val="Hyperlink"/>
            <w:noProof/>
          </w:rPr>
          <w:t>Our laws</w:t>
        </w:r>
        <w:r w:rsidR="004B2AAA">
          <w:rPr>
            <w:noProof/>
            <w:webHidden/>
          </w:rPr>
          <w:tab/>
        </w:r>
        <w:r w:rsidR="004B2AAA">
          <w:rPr>
            <w:noProof/>
            <w:webHidden/>
          </w:rPr>
          <w:fldChar w:fldCharType="begin"/>
        </w:r>
        <w:r w:rsidR="004B2AAA">
          <w:rPr>
            <w:noProof/>
            <w:webHidden/>
          </w:rPr>
          <w:instrText xml:space="preserve"> PAGEREF _Toc524536466 \h </w:instrText>
        </w:r>
        <w:r w:rsidR="004B2AAA">
          <w:rPr>
            <w:noProof/>
            <w:webHidden/>
          </w:rPr>
        </w:r>
        <w:r w:rsidR="004B2AAA">
          <w:rPr>
            <w:noProof/>
            <w:webHidden/>
          </w:rPr>
          <w:fldChar w:fldCharType="separate"/>
        </w:r>
        <w:r w:rsidR="004B2AAA">
          <w:rPr>
            <w:noProof/>
            <w:webHidden/>
          </w:rPr>
          <w:t>9</w:t>
        </w:r>
        <w:r w:rsidR="004B2AAA">
          <w:rPr>
            <w:noProof/>
            <w:webHidden/>
          </w:rPr>
          <w:fldChar w:fldCharType="end"/>
        </w:r>
      </w:hyperlink>
    </w:p>
    <w:p w14:paraId="26D4A4F4" w14:textId="77777777" w:rsidR="004B2AAA" w:rsidRDefault="00A750B1">
      <w:pPr>
        <w:pStyle w:val="TOC2"/>
        <w:tabs>
          <w:tab w:val="right" w:pos="9060"/>
        </w:tabs>
        <w:rPr>
          <w:rFonts w:asciiTheme="minorHAnsi" w:eastAsiaTheme="minorEastAsia" w:hAnsiTheme="minorHAnsi" w:cstheme="minorBidi"/>
          <w:b w:val="0"/>
          <w:bCs w:val="0"/>
          <w:noProof/>
          <w:sz w:val="24"/>
          <w:szCs w:val="24"/>
          <w:lang w:val="en-US" w:eastAsia="en-US"/>
        </w:rPr>
      </w:pPr>
      <w:hyperlink w:anchor="_Toc524536467" w:history="1">
        <w:r w:rsidR="004B2AAA" w:rsidRPr="00485339">
          <w:rPr>
            <w:rStyle w:val="Hyperlink"/>
            <w:noProof/>
          </w:rPr>
          <w:t>Vision, mission and principles</w:t>
        </w:r>
        <w:r w:rsidR="004B2AAA">
          <w:rPr>
            <w:noProof/>
            <w:webHidden/>
          </w:rPr>
          <w:tab/>
        </w:r>
        <w:r w:rsidR="004B2AAA">
          <w:rPr>
            <w:noProof/>
            <w:webHidden/>
          </w:rPr>
          <w:fldChar w:fldCharType="begin"/>
        </w:r>
        <w:r w:rsidR="004B2AAA">
          <w:rPr>
            <w:noProof/>
            <w:webHidden/>
          </w:rPr>
          <w:instrText xml:space="preserve"> PAGEREF _Toc524536467 \h </w:instrText>
        </w:r>
        <w:r w:rsidR="004B2AAA">
          <w:rPr>
            <w:noProof/>
            <w:webHidden/>
          </w:rPr>
        </w:r>
        <w:r w:rsidR="004B2AAA">
          <w:rPr>
            <w:noProof/>
            <w:webHidden/>
          </w:rPr>
          <w:fldChar w:fldCharType="separate"/>
        </w:r>
        <w:r w:rsidR="004B2AAA">
          <w:rPr>
            <w:noProof/>
            <w:webHidden/>
          </w:rPr>
          <w:t>9</w:t>
        </w:r>
        <w:r w:rsidR="004B2AAA">
          <w:rPr>
            <w:noProof/>
            <w:webHidden/>
          </w:rPr>
          <w:fldChar w:fldCharType="end"/>
        </w:r>
      </w:hyperlink>
    </w:p>
    <w:p w14:paraId="46C8E587" w14:textId="77777777" w:rsidR="004B2AAA" w:rsidRDefault="00A750B1">
      <w:pPr>
        <w:pStyle w:val="TOC2"/>
        <w:tabs>
          <w:tab w:val="right" w:pos="9060"/>
        </w:tabs>
        <w:rPr>
          <w:rFonts w:asciiTheme="minorHAnsi" w:eastAsiaTheme="minorEastAsia" w:hAnsiTheme="minorHAnsi" w:cstheme="minorBidi"/>
          <w:b w:val="0"/>
          <w:bCs w:val="0"/>
          <w:noProof/>
          <w:sz w:val="24"/>
          <w:szCs w:val="24"/>
          <w:lang w:val="en-US" w:eastAsia="en-US"/>
        </w:rPr>
      </w:pPr>
      <w:hyperlink w:anchor="_Toc524536468" w:history="1">
        <w:r w:rsidR="004B2AAA" w:rsidRPr="00485339">
          <w:rPr>
            <w:rStyle w:val="Hyperlink"/>
            <w:noProof/>
          </w:rPr>
          <w:t>Our 2017–2022 Strategic Plan: Upholding human rights close to home</w:t>
        </w:r>
        <w:r w:rsidR="004B2AAA">
          <w:rPr>
            <w:noProof/>
            <w:webHidden/>
          </w:rPr>
          <w:tab/>
        </w:r>
        <w:r w:rsidR="004B2AAA">
          <w:rPr>
            <w:noProof/>
            <w:webHidden/>
          </w:rPr>
          <w:fldChar w:fldCharType="begin"/>
        </w:r>
        <w:r w:rsidR="004B2AAA">
          <w:rPr>
            <w:noProof/>
            <w:webHidden/>
          </w:rPr>
          <w:instrText xml:space="preserve"> PAGEREF _Toc524536468 \h </w:instrText>
        </w:r>
        <w:r w:rsidR="004B2AAA">
          <w:rPr>
            <w:noProof/>
            <w:webHidden/>
          </w:rPr>
        </w:r>
        <w:r w:rsidR="004B2AAA">
          <w:rPr>
            <w:noProof/>
            <w:webHidden/>
          </w:rPr>
          <w:fldChar w:fldCharType="separate"/>
        </w:r>
        <w:r w:rsidR="004B2AAA">
          <w:rPr>
            <w:noProof/>
            <w:webHidden/>
          </w:rPr>
          <w:t>10</w:t>
        </w:r>
        <w:r w:rsidR="004B2AAA">
          <w:rPr>
            <w:noProof/>
            <w:webHidden/>
          </w:rPr>
          <w:fldChar w:fldCharType="end"/>
        </w:r>
      </w:hyperlink>
    </w:p>
    <w:p w14:paraId="241A516C" w14:textId="77777777" w:rsidR="004B2AAA" w:rsidRDefault="00A750B1">
      <w:pPr>
        <w:pStyle w:val="TOC2"/>
        <w:tabs>
          <w:tab w:val="right" w:pos="9060"/>
        </w:tabs>
        <w:rPr>
          <w:rFonts w:asciiTheme="minorHAnsi" w:eastAsiaTheme="minorEastAsia" w:hAnsiTheme="minorHAnsi" w:cstheme="minorBidi"/>
          <w:b w:val="0"/>
          <w:bCs w:val="0"/>
          <w:noProof/>
          <w:sz w:val="24"/>
          <w:szCs w:val="24"/>
          <w:lang w:val="en-US" w:eastAsia="en-US"/>
        </w:rPr>
      </w:pPr>
      <w:hyperlink w:anchor="_Toc524536469" w:history="1">
        <w:r w:rsidR="004B2AAA" w:rsidRPr="00485339">
          <w:rPr>
            <w:rStyle w:val="Hyperlink"/>
            <w:noProof/>
            <w:lang w:eastAsia="en-US"/>
          </w:rPr>
          <w:t>Organisational structure</w:t>
        </w:r>
        <w:r w:rsidR="004B2AAA">
          <w:rPr>
            <w:noProof/>
            <w:webHidden/>
          </w:rPr>
          <w:tab/>
        </w:r>
        <w:r w:rsidR="004B2AAA">
          <w:rPr>
            <w:noProof/>
            <w:webHidden/>
          </w:rPr>
          <w:fldChar w:fldCharType="begin"/>
        </w:r>
        <w:r w:rsidR="004B2AAA">
          <w:rPr>
            <w:noProof/>
            <w:webHidden/>
          </w:rPr>
          <w:instrText xml:space="preserve"> PAGEREF _Toc524536469 \h </w:instrText>
        </w:r>
        <w:r w:rsidR="004B2AAA">
          <w:rPr>
            <w:noProof/>
            <w:webHidden/>
          </w:rPr>
        </w:r>
        <w:r w:rsidR="004B2AAA">
          <w:rPr>
            <w:noProof/>
            <w:webHidden/>
          </w:rPr>
          <w:fldChar w:fldCharType="separate"/>
        </w:r>
        <w:r w:rsidR="004B2AAA">
          <w:rPr>
            <w:noProof/>
            <w:webHidden/>
          </w:rPr>
          <w:t>10</w:t>
        </w:r>
        <w:r w:rsidR="004B2AAA">
          <w:rPr>
            <w:noProof/>
            <w:webHidden/>
          </w:rPr>
          <w:fldChar w:fldCharType="end"/>
        </w:r>
      </w:hyperlink>
    </w:p>
    <w:p w14:paraId="20B26CDC" w14:textId="77777777" w:rsidR="004B2AAA" w:rsidRDefault="00A750B1">
      <w:pPr>
        <w:pStyle w:val="TOC1"/>
        <w:rPr>
          <w:rFonts w:asciiTheme="minorHAnsi" w:eastAsiaTheme="minorEastAsia" w:hAnsiTheme="minorHAnsi" w:cstheme="minorBidi"/>
          <w:b w:val="0"/>
          <w:bCs w:val="0"/>
          <w:noProof/>
          <w:lang w:val="en-US" w:eastAsia="en-US"/>
        </w:rPr>
      </w:pPr>
      <w:hyperlink w:anchor="_Toc524536470" w:history="1">
        <w:r w:rsidR="004B2AAA" w:rsidRPr="00485339">
          <w:rPr>
            <w:rStyle w:val="Hyperlink"/>
            <w:noProof/>
            <w:lang w:eastAsia="en-US"/>
          </w:rPr>
          <w:t>Section 2: 2017–18 in review</w:t>
        </w:r>
        <w:r w:rsidR="004B2AAA">
          <w:rPr>
            <w:noProof/>
            <w:webHidden/>
          </w:rPr>
          <w:tab/>
        </w:r>
        <w:r w:rsidR="004B2AAA">
          <w:rPr>
            <w:noProof/>
            <w:webHidden/>
          </w:rPr>
          <w:fldChar w:fldCharType="begin"/>
        </w:r>
        <w:r w:rsidR="004B2AAA">
          <w:rPr>
            <w:noProof/>
            <w:webHidden/>
          </w:rPr>
          <w:instrText xml:space="preserve"> PAGEREF _Toc524536470 \h </w:instrText>
        </w:r>
        <w:r w:rsidR="004B2AAA">
          <w:rPr>
            <w:noProof/>
            <w:webHidden/>
          </w:rPr>
        </w:r>
        <w:r w:rsidR="004B2AAA">
          <w:rPr>
            <w:noProof/>
            <w:webHidden/>
          </w:rPr>
          <w:fldChar w:fldCharType="separate"/>
        </w:r>
        <w:r w:rsidR="004B2AAA">
          <w:rPr>
            <w:noProof/>
            <w:webHidden/>
          </w:rPr>
          <w:t>12</w:t>
        </w:r>
        <w:r w:rsidR="004B2AAA">
          <w:rPr>
            <w:noProof/>
            <w:webHidden/>
          </w:rPr>
          <w:fldChar w:fldCharType="end"/>
        </w:r>
      </w:hyperlink>
    </w:p>
    <w:p w14:paraId="7806F87A" w14:textId="77777777" w:rsidR="004B2AAA" w:rsidRDefault="00A750B1">
      <w:pPr>
        <w:pStyle w:val="TOC2"/>
        <w:tabs>
          <w:tab w:val="right" w:pos="9060"/>
        </w:tabs>
        <w:rPr>
          <w:rFonts w:asciiTheme="minorHAnsi" w:eastAsiaTheme="minorEastAsia" w:hAnsiTheme="minorHAnsi" w:cstheme="minorBidi"/>
          <w:b w:val="0"/>
          <w:bCs w:val="0"/>
          <w:noProof/>
          <w:sz w:val="24"/>
          <w:szCs w:val="24"/>
          <w:lang w:val="en-US" w:eastAsia="en-US"/>
        </w:rPr>
      </w:pPr>
      <w:hyperlink w:anchor="_Toc524536471" w:history="1">
        <w:r w:rsidR="004B2AAA" w:rsidRPr="00485339">
          <w:rPr>
            <w:rStyle w:val="Hyperlink"/>
            <w:noProof/>
          </w:rPr>
          <w:t>Resolve complaints</w:t>
        </w:r>
        <w:r w:rsidR="004B2AAA">
          <w:rPr>
            <w:noProof/>
            <w:webHidden/>
          </w:rPr>
          <w:tab/>
        </w:r>
        <w:r w:rsidR="004B2AAA">
          <w:rPr>
            <w:noProof/>
            <w:webHidden/>
          </w:rPr>
          <w:fldChar w:fldCharType="begin"/>
        </w:r>
        <w:r w:rsidR="004B2AAA">
          <w:rPr>
            <w:noProof/>
            <w:webHidden/>
          </w:rPr>
          <w:instrText xml:space="preserve"> PAGEREF _Toc524536471 \h </w:instrText>
        </w:r>
        <w:r w:rsidR="004B2AAA">
          <w:rPr>
            <w:noProof/>
            <w:webHidden/>
          </w:rPr>
        </w:r>
        <w:r w:rsidR="004B2AAA">
          <w:rPr>
            <w:noProof/>
            <w:webHidden/>
          </w:rPr>
          <w:fldChar w:fldCharType="separate"/>
        </w:r>
        <w:r w:rsidR="004B2AAA">
          <w:rPr>
            <w:noProof/>
            <w:webHidden/>
          </w:rPr>
          <w:t>12</w:t>
        </w:r>
        <w:r w:rsidR="004B2AAA">
          <w:rPr>
            <w:noProof/>
            <w:webHidden/>
          </w:rPr>
          <w:fldChar w:fldCharType="end"/>
        </w:r>
      </w:hyperlink>
    </w:p>
    <w:p w14:paraId="3E77683E" w14:textId="77777777" w:rsidR="004B2AAA" w:rsidRDefault="00A750B1">
      <w:pPr>
        <w:pStyle w:val="TOC2"/>
        <w:tabs>
          <w:tab w:val="right" w:pos="9060"/>
        </w:tabs>
        <w:rPr>
          <w:rFonts w:asciiTheme="minorHAnsi" w:eastAsiaTheme="minorEastAsia" w:hAnsiTheme="minorHAnsi" w:cstheme="minorBidi"/>
          <w:b w:val="0"/>
          <w:bCs w:val="0"/>
          <w:noProof/>
          <w:sz w:val="24"/>
          <w:szCs w:val="24"/>
          <w:lang w:val="en-US" w:eastAsia="en-US"/>
        </w:rPr>
      </w:pPr>
      <w:hyperlink w:anchor="_Toc524536472" w:history="1">
        <w:r w:rsidR="004B2AAA" w:rsidRPr="00485339">
          <w:rPr>
            <w:rStyle w:val="Hyperlink"/>
            <w:noProof/>
          </w:rPr>
          <w:t>Research</w:t>
        </w:r>
        <w:r w:rsidR="004B2AAA">
          <w:rPr>
            <w:noProof/>
            <w:webHidden/>
          </w:rPr>
          <w:tab/>
        </w:r>
        <w:r w:rsidR="004B2AAA">
          <w:rPr>
            <w:noProof/>
            <w:webHidden/>
          </w:rPr>
          <w:fldChar w:fldCharType="begin"/>
        </w:r>
        <w:r w:rsidR="004B2AAA">
          <w:rPr>
            <w:noProof/>
            <w:webHidden/>
          </w:rPr>
          <w:instrText xml:space="preserve"> PAGEREF _Toc524536472 \h </w:instrText>
        </w:r>
        <w:r w:rsidR="004B2AAA">
          <w:rPr>
            <w:noProof/>
            <w:webHidden/>
          </w:rPr>
        </w:r>
        <w:r w:rsidR="004B2AAA">
          <w:rPr>
            <w:noProof/>
            <w:webHidden/>
          </w:rPr>
          <w:fldChar w:fldCharType="separate"/>
        </w:r>
        <w:r w:rsidR="004B2AAA">
          <w:rPr>
            <w:noProof/>
            <w:webHidden/>
          </w:rPr>
          <w:t>14</w:t>
        </w:r>
        <w:r w:rsidR="004B2AAA">
          <w:rPr>
            <w:noProof/>
            <w:webHidden/>
          </w:rPr>
          <w:fldChar w:fldCharType="end"/>
        </w:r>
      </w:hyperlink>
    </w:p>
    <w:p w14:paraId="05E6D92F" w14:textId="77777777" w:rsidR="004B2AAA" w:rsidRDefault="00A750B1">
      <w:pPr>
        <w:pStyle w:val="TOC2"/>
        <w:tabs>
          <w:tab w:val="right" w:pos="9060"/>
        </w:tabs>
        <w:rPr>
          <w:rFonts w:asciiTheme="minorHAnsi" w:eastAsiaTheme="minorEastAsia" w:hAnsiTheme="minorHAnsi" w:cstheme="minorBidi"/>
          <w:b w:val="0"/>
          <w:bCs w:val="0"/>
          <w:noProof/>
          <w:sz w:val="24"/>
          <w:szCs w:val="24"/>
          <w:lang w:val="en-US" w:eastAsia="en-US"/>
        </w:rPr>
      </w:pPr>
      <w:hyperlink w:anchor="_Toc524536473" w:history="1">
        <w:r w:rsidR="004B2AAA" w:rsidRPr="00485339">
          <w:rPr>
            <w:rStyle w:val="Hyperlink"/>
            <w:noProof/>
          </w:rPr>
          <w:t>Educate</w:t>
        </w:r>
        <w:r w:rsidR="004B2AAA">
          <w:rPr>
            <w:noProof/>
            <w:webHidden/>
          </w:rPr>
          <w:tab/>
        </w:r>
        <w:r w:rsidR="004B2AAA">
          <w:rPr>
            <w:noProof/>
            <w:webHidden/>
          </w:rPr>
          <w:fldChar w:fldCharType="begin"/>
        </w:r>
        <w:r w:rsidR="004B2AAA">
          <w:rPr>
            <w:noProof/>
            <w:webHidden/>
          </w:rPr>
          <w:instrText xml:space="preserve"> PAGEREF _Toc524536473 \h </w:instrText>
        </w:r>
        <w:r w:rsidR="004B2AAA">
          <w:rPr>
            <w:noProof/>
            <w:webHidden/>
          </w:rPr>
        </w:r>
        <w:r w:rsidR="004B2AAA">
          <w:rPr>
            <w:noProof/>
            <w:webHidden/>
          </w:rPr>
          <w:fldChar w:fldCharType="separate"/>
        </w:r>
        <w:r w:rsidR="004B2AAA">
          <w:rPr>
            <w:noProof/>
            <w:webHidden/>
          </w:rPr>
          <w:t>15</w:t>
        </w:r>
        <w:r w:rsidR="004B2AAA">
          <w:rPr>
            <w:noProof/>
            <w:webHidden/>
          </w:rPr>
          <w:fldChar w:fldCharType="end"/>
        </w:r>
      </w:hyperlink>
    </w:p>
    <w:p w14:paraId="04269E92" w14:textId="77777777" w:rsidR="004B2AAA" w:rsidRDefault="00A750B1">
      <w:pPr>
        <w:pStyle w:val="TOC2"/>
        <w:tabs>
          <w:tab w:val="right" w:pos="9060"/>
        </w:tabs>
        <w:rPr>
          <w:rFonts w:asciiTheme="minorHAnsi" w:eastAsiaTheme="minorEastAsia" w:hAnsiTheme="minorHAnsi" w:cstheme="minorBidi"/>
          <w:b w:val="0"/>
          <w:bCs w:val="0"/>
          <w:noProof/>
          <w:sz w:val="24"/>
          <w:szCs w:val="24"/>
          <w:lang w:val="en-US" w:eastAsia="en-US"/>
        </w:rPr>
      </w:pPr>
      <w:hyperlink w:anchor="_Toc524536474" w:history="1">
        <w:r w:rsidR="004B2AAA" w:rsidRPr="00485339">
          <w:rPr>
            <w:rStyle w:val="Hyperlink"/>
            <w:noProof/>
          </w:rPr>
          <w:t>Advocate</w:t>
        </w:r>
        <w:r w:rsidR="004B2AAA">
          <w:rPr>
            <w:noProof/>
            <w:webHidden/>
          </w:rPr>
          <w:tab/>
        </w:r>
        <w:r w:rsidR="004B2AAA">
          <w:rPr>
            <w:noProof/>
            <w:webHidden/>
          </w:rPr>
          <w:fldChar w:fldCharType="begin"/>
        </w:r>
        <w:r w:rsidR="004B2AAA">
          <w:rPr>
            <w:noProof/>
            <w:webHidden/>
          </w:rPr>
          <w:instrText xml:space="preserve"> PAGEREF _Toc524536474 \h </w:instrText>
        </w:r>
        <w:r w:rsidR="004B2AAA">
          <w:rPr>
            <w:noProof/>
            <w:webHidden/>
          </w:rPr>
        </w:r>
        <w:r w:rsidR="004B2AAA">
          <w:rPr>
            <w:noProof/>
            <w:webHidden/>
          </w:rPr>
          <w:fldChar w:fldCharType="separate"/>
        </w:r>
        <w:r w:rsidR="004B2AAA">
          <w:rPr>
            <w:noProof/>
            <w:webHidden/>
          </w:rPr>
          <w:t>18</w:t>
        </w:r>
        <w:r w:rsidR="004B2AAA">
          <w:rPr>
            <w:noProof/>
            <w:webHidden/>
          </w:rPr>
          <w:fldChar w:fldCharType="end"/>
        </w:r>
      </w:hyperlink>
    </w:p>
    <w:p w14:paraId="589DE6E2" w14:textId="77777777" w:rsidR="004B2AAA" w:rsidRDefault="00A750B1">
      <w:pPr>
        <w:pStyle w:val="TOC2"/>
        <w:tabs>
          <w:tab w:val="right" w:pos="9060"/>
        </w:tabs>
        <w:rPr>
          <w:rFonts w:asciiTheme="minorHAnsi" w:eastAsiaTheme="minorEastAsia" w:hAnsiTheme="minorHAnsi" w:cstheme="minorBidi"/>
          <w:b w:val="0"/>
          <w:bCs w:val="0"/>
          <w:noProof/>
          <w:sz w:val="24"/>
          <w:szCs w:val="24"/>
          <w:lang w:val="en-US" w:eastAsia="en-US"/>
        </w:rPr>
      </w:pPr>
      <w:hyperlink w:anchor="_Toc524536475" w:history="1">
        <w:r w:rsidR="004B2AAA" w:rsidRPr="00485339">
          <w:rPr>
            <w:rStyle w:val="Hyperlink"/>
            <w:noProof/>
          </w:rPr>
          <w:t>Monitor</w:t>
        </w:r>
        <w:r w:rsidR="004B2AAA">
          <w:rPr>
            <w:noProof/>
            <w:webHidden/>
          </w:rPr>
          <w:tab/>
        </w:r>
        <w:r w:rsidR="004B2AAA">
          <w:rPr>
            <w:noProof/>
            <w:webHidden/>
          </w:rPr>
          <w:fldChar w:fldCharType="begin"/>
        </w:r>
        <w:r w:rsidR="004B2AAA">
          <w:rPr>
            <w:noProof/>
            <w:webHidden/>
          </w:rPr>
          <w:instrText xml:space="preserve"> PAGEREF _Toc524536475 \h </w:instrText>
        </w:r>
        <w:r w:rsidR="004B2AAA">
          <w:rPr>
            <w:noProof/>
            <w:webHidden/>
          </w:rPr>
        </w:r>
        <w:r w:rsidR="004B2AAA">
          <w:rPr>
            <w:noProof/>
            <w:webHidden/>
          </w:rPr>
          <w:fldChar w:fldCharType="separate"/>
        </w:r>
        <w:r w:rsidR="004B2AAA">
          <w:rPr>
            <w:noProof/>
            <w:webHidden/>
          </w:rPr>
          <w:t>21</w:t>
        </w:r>
        <w:r w:rsidR="004B2AAA">
          <w:rPr>
            <w:noProof/>
            <w:webHidden/>
          </w:rPr>
          <w:fldChar w:fldCharType="end"/>
        </w:r>
      </w:hyperlink>
    </w:p>
    <w:p w14:paraId="3CAF4D82" w14:textId="77777777" w:rsidR="004B2AAA" w:rsidRDefault="00A750B1">
      <w:pPr>
        <w:pStyle w:val="TOC2"/>
        <w:tabs>
          <w:tab w:val="right" w:pos="9060"/>
        </w:tabs>
        <w:rPr>
          <w:rFonts w:asciiTheme="minorHAnsi" w:eastAsiaTheme="minorEastAsia" w:hAnsiTheme="minorHAnsi" w:cstheme="minorBidi"/>
          <w:b w:val="0"/>
          <w:bCs w:val="0"/>
          <w:noProof/>
          <w:sz w:val="24"/>
          <w:szCs w:val="24"/>
          <w:lang w:val="en-US" w:eastAsia="en-US"/>
        </w:rPr>
      </w:pPr>
      <w:hyperlink w:anchor="_Toc524536476" w:history="1">
        <w:r w:rsidR="004B2AAA" w:rsidRPr="00485339">
          <w:rPr>
            <w:rStyle w:val="Hyperlink"/>
            <w:noProof/>
          </w:rPr>
          <w:t>Enforce</w:t>
        </w:r>
        <w:r w:rsidR="004B2AAA">
          <w:rPr>
            <w:noProof/>
            <w:webHidden/>
          </w:rPr>
          <w:tab/>
        </w:r>
        <w:r w:rsidR="004B2AAA">
          <w:rPr>
            <w:noProof/>
            <w:webHidden/>
          </w:rPr>
          <w:fldChar w:fldCharType="begin"/>
        </w:r>
        <w:r w:rsidR="004B2AAA">
          <w:rPr>
            <w:noProof/>
            <w:webHidden/>
          </w:rPr>
          <w:instrText xml:space="preserve"> PAGEREF _Toc524536476 \h </w:instrText>
        </w:r>
        <w:r w:rsidR="004B2AAA">
          <w:rPr>
            <w:noProof/>
            <w:webHidden/>
          </w:rPr>
        </w:r>
        <w:r w:rsidR="004B2AAA">
          <w:rPr>
            <w:noProof/>
            <w:webHidden/>
          </w:rPr>
          <w:fldChar w:fldCharType="separate"/>
        </w:r>
        <w:r w:rsidR="004B2AAA">
          <w:rPr>
            <w:noProof/>
            <w:webHidden/>
          </w:rPr>
          <w:t>22</w:t>
        </w:r>
        <w:r w:rsidR="004B2AAA">
          <w:rPr>
            <w:noProof/>
            <w:webHidden/>
          </w:rPr>
          <w:fldChar w:fldCharType="end"/>
        </w:r>
      </w:hyperlink>
    </w:p>
    <w:p w14:paraId="2C3D532A" w14:textId="77777777" w:rsidR="004B2AAA" w:rsidRDefault="00A750B1">
      <w:pPr>
        <w:pStyle w:val="TOC2"/>
        <w:tabs>
          <w:tab w:val="right" w:pos="9060"/>
        </w:tabs>
        <w:rPr>
          <w:rFonts w:asciiTheme="minorHAnsi" w:eastAsiaTheme="minorEastAsia" w:hAnsiTheme="minorHAnsi" w:cstheme="minorBidi"/>
          <w:b w:val="0"/>
          <w:bCs w:val="0"/>
          <w:noProof/>
          <w:sz w:val="24"/>
          <w:szCs w:val="24"/>
          <w:lang w:val="en-US" w:eastAsia="en-US"/>
        </w:rPr>
      </w:pPr>
      <w:hyperlink w:anchor="_Toc524536477" w:history="1">
        <w:r w:rsidR="004B2AAA" w:rsidRPr="00485339">
          <w:rPr>
            <w:rStyle w:val="Hyperlink"/>
            <w:noProof/>
          </w:rPr>
          <w:t>Building a stronger organisation</w:t>
        </w:r>
        <w:r w:rsidR="004B2AAA">
          <w:rPr>
            <w:noProof/>
            <w:webHidden/>
          </w:rPr>
          <w:tab/>
        </w:r>
        <w:r w:rsidR="004B2AAA">
          <w:rPr>
            <w:noProof/>
            <w:webHidden/>
          </w:rPr>
          <w:fldChar w:fldCharType="begin"/>
        </w:r>
        <w:r w:rsidR="004B2AAA">
          <w:rPr>
            <w:noProof/>
            <w:webHidden/>
          </w:rPr>
          <w:instrText xml:space="preserve"> PAGEREF _Toc524536477 \h </w:instrText>
        </w:r>
        <w:r w:rsidR="004B2AAA">
          <w:rPr>
            <w:noProof/>
            <w:webHidden/>
          </w:rPr>
        </w:r>
        <w:r w:rsidR="004B2AAA">
          <w:rPr>
            <w:noProof/>
            <w:webHidden/>
          </w:rPr>
          <w:fldChar w:fldCharType="separate"/>
        </w:r>
        <w:r w:rsidR="004B2AAA">
          <w:rPr>
            <w:noProof/>
            <w:webHidden/>
          </w:rPr>
          <w:t>25</w:t>
        </w:r>
        <w:r w:rsidR="004B2AAA">
          <w:rPr>
            <w:noProof/>
            <w:webHidden/>
          </w:rPr>
          <w:fldChar w:fldCharType="end"/>
        </w:r>
      </w:hyperlink>
    </w:p>
    <w:p w14:paraId="47AC2B0E" w14:textId="77777777" w:rsidR="004B2AAA" w:rsidRDefault="00A750B1">
      <w:pPr>
        <w:pStyle w:val="TOC1"/>
        <w:rPr>
          <w:rFonts w:asciiTheme="minorHAnsi" w:eastAsiaTheme="minorEastAsia" w:hAnsiTheme="minorHAnsi" w:cstheme="minorBidi"/>
          <w:b w:val="0"/>
          <w:bCs w:val="0"/>
          <w:noProof/>
          <w:lang w:val="en-US" w:eastAsia="en-US"/>
        </w:rPr>
      </w:pPr>
      <w:hyperlink w:anchor="_Toc524536478" w:history="1">
        <w:r w:rsidR="004B2AAA" w:rsidRPr="00485339">
          <w:rPr>
            <w:rStyle w:val="Hyperlink"/>
            <w:noProof/>
          </w:rPr>
          <w:t>Section 3: Compliance reporting</w:t>
        </w:r>
        <w:r w:rsidR="004B2AAA">
          <w:rPr>
            <w:noProof/>
            <w:webHidden/>
          </w:rPr>
          <w:tab/>
        </w:r>
        <w:r w:rsidR="004B2AAA">
          <w:rPr>
            <w:noProof/>
            <w:webHidden/>
          </w:rPr>
          <w:fldChar w:fldCharType="begin"/>
        </w:r>
        <w:r w:rsidR="004B2AAA">
          <w:rPr>
            <w:noProof/>
            <w:webHidden/>
          </w:rPr>
          <w:instrText xml:space="preserve"> PAGEREF _Toc524536478 \h </w:instrText>
        </w:r>
        <w:r w:rsidR="004B2AAA">
          <w:rPr>
            <w:noProof/>
            <w:webHidden/>
          </w:rPr>
        </w:r>
        <w:r w:rsidR="004B2AAA">
          <w:rPr>
            <w:noProof/>
            <w:webHidden/>
          </w:rPr>
          <w:fldChar w:fldCharType="separate"/>
        </w:r>
        <w:r w:rsidR="004B2AAA">
          <w:rPr>
            <w:noProof/>
            <w:webHidden/>
          </w:rPr>
          <w:t>28</w:t>
        </w:r>
        <w:r w:rsidR="004B2AAA">
          <w:rPr>
            <w:noProof/>
            <w:webHidden/>
          </w:rPr>
          <w:fldChar w:fldCharType="end"/>
        </w:r>
      </w:hyperlink>
    </w:p>
    <w:p w14:paraId="32FC85CA" w14:textId="77777777" w:rsidR="004B2AAA" w:rsidRDefault="00A750B1">
      <w:pPr>
        <w:pStyle w:val="TOC2"/>
        <w:tabs>
          <w:tab w:val="right" w:pos="9060"/>
        </w:tabs>
        <w:rPr>
          <w:rFonts w:asciiTheme="minorHAnsi" w:eastAsiaTheme="minorEastAsia" w:hAnsiTheme="minorHAnsi" w:cstheme="minorBidi"/>
          <w:b w:val="0"/>
          <w:bCs w:val="0"/>
          <w:noProof/>
          <w:sz w:val="24"/>
          <w:szCs w:val="24"/>
          <w:lang w:val="en-US" w:eastAsia="en-US"/>
        </w:rPr>
      </w:pPr>
      <w:hyperlink w:anchor="_Toc524536479" w:history="1">
        <w:r w:rsidR="004B2AAA" w:rsidRPr="00485339">
          <w:rPr>
            <w:rStyle w:val="Hyperlink"/>
            <w:noProof/>
          </w:rPr>
          <w:t>Disclosure index</w:t>
        </w:r>
        <w:r w:rsidR="004B2AAA">
          <w:rPr>
            <w:noProof/>
            <w:webHidden/>
          </w:rPr>
          <w:tab/>
        </w:r>
        <w:r w:rsidR="004B2AAA">
          <w:rPr>
            <w:noProof/>
            <w:webHidden/>
          </w:rPr>
          <w:fldChar w:fldCharType="begin"/>
        </w:r>
        <w:r w:rsidR="004B2AAA">
          <w:rPr>
            <w:noProof/>
            <w:webHidden/>
          </w:rPr>
          <w:instrText xml:space="preserve"> PAGEREF _Toc524536479 \h </w:instrText>
        </w:r>
        <w:r w:rsidR="004B2AAA">
          <w:rPr>
            <w:noProof/>
            <w:webHidden/>
          </w:rPr>
        </w:r>
        <w:r w:rsidR="004B2AAA">
          <w:rPr>
            <w:noProof/>
            <w:webHidden/>
          </w:rPr>
          <w:fldChar w:fldCharType="separate"/>
        </w:r>
        <w:r w:rsidR="004B2AAA">
          <w:rPr>
            <w:noProof/>
            <w:webHidden/>
          </w:rPr>
          <w:t>28</w:t>
        </w:r>
        <w:r w:rsidR="004B2AAA">
          <w:rPr>
            <w:noProof/>
            <w:webHidden/>
          </w:rPr>
          <w:fldChar w:fldCharType="end"/>
        </w:r>
      </w:hyperlink>
    </w:p>
    <w:p w14:paraId="1CA557B9" w14:textId="77777777" w:rsidR="004B2AAA" w:rsidRDefault="00A750B1">
      <w:pPr>
        <w:pStyle w:val="TOC2"/>
        <w:tabs>
          <w:tab w:val="right" w:pos="9060"/>
        </w:tabs>
        <w:rPr>
          <w:rFonts w:asciiTheme="minorHAnsi" w:eastAsiaTheme="minorEastAsia" w:hAnsiTheme="minorHAnsi" w:cstheme="minorBidi"/>
          <w:b w:val="0"/>
          <w:bCs w:val="0"/>
          <w:noProof/>
          <w:sz w:val="24"/>
          <w:szCs w:val="24"/>
          <w:lang w:val="en-US" w:eastAsia="en-US"/>
        </w:rPr>
      </w:pPr>
      <w:hyperlink w:anchor="_Toc524536480" w:history="1">
        <w:r w:rsidR="004B2AAA" w:rsidRPr="00485339">
          <w:rPr>
            <w:rStyle w:val="Hyperlink"/>
            <w:noProof/>
          </w:rPr>
          <w:t>Non-financial disclosures</w:t>
        </w:r>
        <w:r w:rsidR="004B2AAA">
          <w:rPr>
            <w:noProof/>
            <w:webHidden/>
          </w:rPr>
          <w:tab/>
        </w:r>
        <w:r w:rsidR="004B2AAA">
          <w:rPr>
            <w:noProof/>
            <w:webHidden/>
          </w:rPr>
          <w:fldChar w:fldCharType="begin"/>
        </w:r>
        <w:r w:rsidR="004B2AAA">
          <w:rPr>
            <w:noProof/>
            <w:webHidden/>
          </w:rPr>
          <w:instrText xml:space="preserve"> PAGEREF _Toc524536480 \h </w:instrText>
        </w:r>
        <w:r w:rsidR="004B2AAA">
          <w:rPr>
            <w:noProof/>
            <w:webHidden/>
          </w:rPr>
        </w:r>
        <w:r w:rsidR="004B2AAA">
          <w:rPr>
            <w:noProof/>
            <w:webHidden/>
          </w:rPr>
          <w:fldChar w:fldCharType="separate"/>
        </w:r>
        <w:r w:rsidR="004B2AAA">
          <w:rPr>
            <w:noProof/>
            <w:webHidden/>
          </w:rPr>
          <w:t>30</w:t>
        </w:r>
        <w:r w:rsidR="004B2AAA">
          <w:rPr>
            <w:noProof/>
            <w:webHidden/>
          </w:rPr>
          <w:fldChar w:fldCharType="end"/>
        </w:r>
      </w:hyperlink>
    </w:p>
    <w:p w14:paraId="0E2316AC" w14:textId="77777777" w:rsidR="004B2AAA" w:rsidRDefault="00A750B1">
      <w:pPr>
        <w:pStyle w:val="TOC2"/>
        <w:tabs>
          <w:tab w:val="right" w:pos="9060"/>
        </w:tabs>
        <w:rPr>
          <w:rFonts w:asciiTheme="minorHAnsi" w:eastAsiaTheme="minorEastAsia" w:hAnsiTheme="minorHAnsi" w:cstheme="minorBidi"/>
          <w:b w:val="0"/>
          <w:bCs w:val="0"/>
          <w:noProof/>
          <w:sz w:val="24"/>
          <w:szCs w:val="24"/>
          <w:lang w:val="en-US" w:eastAsia="en-US"/>
        </w:rPr>
      </w:pPr>
      <w:hyperlink w:anchor="_Toc524536481" w:history="1">
        <w:r w:rsidR="004B2AAA" w:rsidRPr="00485339">
          <w:rPr>
            <w:rStyle w:val="Hyperlink"/>
            <w:noProof/>
            <w:lang w:eastAsia="en-US"/>
          </w:rPr>
          <w:t>The Board</w:t>
        </w:r>
        <w:r w:rsidR="004B2AAA">
          <w:rPr>
            <w:noProof/>
            <w:webHidden/>
          </w:rPr>
          <w:tab/>
        </w:r>
        <w:r w:rsidR="004B2AAA">
          <w:rPr>
            <w:noProof/>
            <w:webHidden/>
          </w:rPr>
          <w:fldChar w:fldCharType="begin"/>
        </w:r>
        <w:r w:rsidR="004B2AAA">
          <w:rPr>
            <w:noProof/>
            <w:webHidden/>
          </w:rPr>
          <w:instrText xml:space="preserve"> PAGEREF _Toc524536481 \h </w:instrText>
        </w:r>
        <w:r w:rsidR="004B2AAA">
          <w:rPr>
            <w:noProof/>
            <w:webHidden/>
          </w:rPr>
        </w:r>
        <w:r w:rsidR="004B2AAA">
          <w:rPr>
            <w:noProof/>
            <w:webHidden/>
          </w:rPr>
          <w:fldChar w:fldCharType="separate"/>
        </w:r>
        <w:r w:rsidR="004B2AAA">
          <w:rPr>
            <w:noProof/>
            <w:webHidden/>
          </w:rPr>
          <w:t>30</w:t>
        </w:r>
        <w:r w:rsidR="004B2AAA">
          <w:rPr>
            <w:noProof/>
            <w:webHidden/>
          </w:rPr>
          <w:fldChar w:fldCharType="end"/>
        </w:r>
      </w:hyperlink>
    </w:p>
    <w:p w14:paraId="73297C61" w14:textId="77777777" w:rsidR="004B2AAA" w:rsidRDefault="00A750B1">
      <w:pPr>
        <w:pStyle w:val="TOC2"/>
        <w:tabs>
          <w:tab w:val="right" w:pos="9060"/>
        </w:tabs>
        <w:rPr>
          <w:rFonts w:asciiTheme="minorHAnsi" w:eastAsiaTheme="minorEastAsia" w:hAnsiTheme="minorHAnsi" w:cstheme="minorBidi"/>
          <w:b w:val="0"/>
          <w:bCs w:val="0"/>
          <w:noProof/>
          <w:sz w:val="24"/>
          <w:szCs w:val="24"/>
          <w:lang w:val="en-US" w:eastAsia="en-US"/>
        </w:rPr>
      </w:pPr>
      <w:hyperlink w:anchor="_Toc524536482" w:history="1">
        <w:r w:rsidR="004B2AAA" w:rsidRPr="00485339">
          <w:rPr>
            <w:rStyle w:val="Hyperlink"/>
            <w:noProof/>
          </w:rPr>
          <w:t>Five year financial performance</w:t>
        </w:r>
        <w:r w:rsidR="004B2AAA">
          <w:rPr>
            <w:noProof/>
            <w:webHidden/>
          </w:rPr>
          <w:tab/>
        </w:r>
        <w:r w:rsidR="004B2AAA">
          <w:rPr>
            <w:noProof/>
            <w:webHidden/>
          </w:rPr>
          <w:fldChar w:fldCharType="begin"/>
        </w:r>
        <w:r w:rsidR="004B2AAA">
          <w:rPr>
            <w:noProof/>
            <w:webHidden/>
          </w:rPr>
          <w:instrText xml:space="preserve"> PAGEREF _Toc524536482 \h </w:instrText>
        </w:r>
        <w:r w:rsidR="004B2AAA">
          <w:rPr>
            <w:noProof/>
            <w:webHidden/>
          </w:rPr>
        </w:r>
        <w:r w:rsidR="004B2AAA">
          <w:rPr>
            <w:noProof/>
            <w:webHidden/>
          </w:rPr>
          <w:fldChar w:fldCharType="separate"/>
        </w:r>
        <w:r w:rsidR="004B2AAA">
          <w:rPr>
            <w:noProof/>
            <w:webHidden/>
          </w:rPr>
          <w:t>33</w:t>
        </w:r>
        <w:r w:rsidR="004B2AAA">
          <w:rPr>
            <w:noProof/>
            <w:webHidden/>
          </w:rPr>
          <w:fldChar w:fldCharType="end"/>
        </w:r>
      </w:hyperlink>
    </w:p>
    <w:p w14:paraId="19958269" w14:textId="77777777" w:rsidR="004B2AAA" w:rsidRDefault="00A750B1">
      <w:pPr>
        <w:pStyle w:val="TOC2"/>
        <w:tabs>
          <w:tab w:val="right" w:pos="9060"/>
        </w:tabs>
        <w:rPr>
          <w:rFonts w:asciiTheme="minorHAnsi" w:eastAsiaTheme="minorEastAsia" w:hAnsiTheme="minorHAnsi" w:cstheme="minorBidi"/>
          <w:b w:val="0"/>
          <w:bCs w:val="0"/>
          <w:noProof/>
          <w:sz w:val="24"/>
          <w:szCs w:val="24"/>
          <w:lang w:val="en-US" w:eastAsia="en-US"/>
        </w:rPr>
      </w:pPr>
      <w:hyperlink w:anchor="_Toc524536483" w:history="1">
        <w:r w:rsidR="004B2AAA" w:rsidRPr="00485339">
          <w:rPr>
            <w:rStyle w:val="Hyperlink"/>
            <w:noProof/>
          </w:rPr>
          <w:t>Current year financial review</w:t>
        </w:r>
        <w:r w:rsidR="004B2AAA">
          <w:rPr>
            <w:noProof/>
            <w:webHidden/>
          </w:rPr>
          <w:tab/>
        </w:r>
        <w:r w:rsidR="004B2AAA">
          <w:rPr>
            <w:noProof/>
            <w:webHidden/>
          </w:rPr>
          <w:fldChar w:fldCharType="begin"/>
        </w:r>
        <w:r w:rsidR="004B2AAA">
          <w:rPr>
            <w:noProof/>
            <w:webHidden/>
          </w:rPr>
          <w:instrText xml:space="preserve"> PAGEREF _Toc524536483 \h </w:instrText>
        </w:r>
        <w:r w:rsidR="004B2AAA">
          <w:rPr>
            <w:noProof/>
            <w:webHidden/>
          </w:rPr>
        </w:r>
        <w:r w:rsidR="004B2AAA">
          <w:rPr>
            <w:noProof/>
            <w:webHidden/>
          </w:rPr>
          <w:fldChar w:fldCharType="separate"/>
        </w:r>
        <w:r w:rsidR="004B2AAA">
          <w:rPr>
            <w:noProof/>
            <w:webHidden/>
          </w:rPr>
          <w:t>33</w:t>
        </w:r>
        <w:r w:rsidR="004B2AAA">
          <w:rPr>
            <w:noProof/>
            <w:webHidden/>
          </w:rPr>
          <w:fldChar w:fldCharType="end"/>
        </w:r>
      </w:hyperlink>
    </w:p>
    <w:p w14:paraId="17B8C2A6" w14:textId="77777777" w:rsidR="004B2AAA" w:rsidRDefault="00A750B1">
      <w:pPr>
        <w:pStyle w:val="TOC2"/>
        <w:tabs>
          <w:tab w:val="right" w:pos="9060"/>
        </w:tabs>
        <w:rPr>
          <w:rFonts w:asciiTheme="minorHAnsi" w:eastAsiaTheme="minorEastAsia" w:hAnsiTheme="minorHAnsi" w:cstheme="minorBidi"/>
          <w:b w:val="0"/>
          <w:bCs w:val="0"/>
          <w:noProof/>
          <w:sz w:val="24"/>
          <w:szCs w:val="24"/>
          <w:lang w:val="en-US" w:eastAsia="en-US"/>
        </w:rPr>
      </w:pPr>
      <w:hyperlink w:anchor="_Toc524536484" w:history="1">
        <w:r w:rsidR="004B2AAA" w:rsidRPr="00485339">
          <w:rPr>
            <w:rStyle w:val="Hyperlink"/>
            <w:noProof/>
          </w:rPr>
          <w:t>Occupational health and safety</w:t>
        </w:r>
        <w:r w:rsidR="004B2AAA">
          <w:rPr>
            <w:noProof/>
            <w:webHidden/>
          </w:rPr>
          <w:tab/>
        </w:r>
        <w:r w:rsidR="004B2AAA">
          <w:rPr>
            <w:noProof/>
            <w:webHidden/>
          </w:rPr>
          <w:fldChar w:fldCharType="begin"/>
        </w:r>
        <w:r w:rsidR="004B2AAA">
          <w:rPr>
            <w:noProof/>
            <w:webHidden/>
          </w:rPr>
          <w:instrText xml:space="preserve"> PAGEREF _Toc524536484 \h </w:instrText>
        </w:r>
        <w:r w:rsidR="004B2AAA">
          <w:rPr>
            <w:noProof/>
            <w:webHidden/>
          </w:rPr>
        </w:r>
        <w:r w:rsidR="004B2AAA">
          <w:rPr>
            <w:noProof/>
            <w:webHidden/>
          </w:rPr>
          <w:fldChar w:fldCharType="separate"/>
        </w:r>
        <w:r w:rsidR="004B2AAA">
          <w:rPr>
            <w:noProof/>
            <w:webHidden/>
          </w:rPr>
          <w:t>34</w:t>
        </w:r>
        <w:r w:rsidR="004B2AAA">
          <w:rPr>
            <w:noProof/>
            <w:webHidden/>
          </w:rPr>
          <w:fldChar w:fldCharType="end"/>
        </w:r>
      </w:hyperlink>
    </w:p>
    <w:p w14:paraId="26101F3E" w14:textId="77777777" w:rsidR="004B2AAA" w:rsidRDefault="00A750B1">
      <w:pPr>
        <w:pStyle w:val="TOC2"/>
        <w:tabs>
          <w:tab w:val="right" w:pos="9060"/>
        </w:tabs>
        <w:rPr>
          <w:rFonts w:asciiTheme="minorHAnsi" w:eastAsiaTheme="minorEastAsia" w:hAnsiTheme="minorHAnsi" w:cstheme="minorBidi"/>
          <w:b w:val="0"/>
          <w:bCs w:val="0"/>
          <w:noProof/>
          <w:sz w:val="24"/>
          <w:szCs w:val="24"/>
          <w:lang w:val="en-US" w:eastAsia="en-US"/>
        </w:rPr>
      </w:pPr>
      <w:hyperlink w:anchor="_Toc524536485" w:history="1">
        <w:r w:rsidR="004B2AAA" w:rsidRPr="00485339">
          <w:rPr>
            <w:rStyle w:val="Hyperlink"/>
            <w:noProof/>
          </w:rPr>
          <w:t>Employment and conduct principles</w:t>
        </w:r>
        <w:r w:rsidR="004B2AAA">
          <w:rPr>
            <w:noProof/>
            <w:webHidden/>
          </w:rPr>
          <w:tab/>
        </w:r>
        <w:r w:rsidR="004B2AAA">
          <w:rPr>
            <w:noProof/>
            <w:webHidden/>
          </w:rPr>
          <w:fldChar w:fldCharType="begin"/>
        </w:r>
        <w:r w:rsidR="004B2AAA">
          <w:rPr>
            <w:noProof/>
            <w:webHidden/>
          </w:rPr>
          <w:instrText xml:space="preserve"> PAGEREF _Toc524536485 \h </w:instrText>
        </w:r>
        <w:r w:rsidR="004B2AAA">
          <w:rPr>
            <w:noProof/>
            <w:webHidden/>
          </w:rPr>
        </w:r>
        <w:r w:rsidR="004B2AAA">
          <w:rPr>
            <w:noProof/>
            <w:webHidden/>
          </w:rPr>
          <w:fldChar w:fldCharType="separate"/>
        </w:r>
        <w:r w:rsidR="004B2AAA">
          <w:rPr>
            <w:noProof/>
            <w:webHidden/>
          </w:rPr>
          <w:t>35</w:t>
        </w:r>
        <w:r w:rsidR="004B2AAA">
          <w:rPr>
            <w:noProof/>
            <w:webHidden/>
          </w:rPr>
          <w:fldChar w:fldCharType="end"/>
        </w:r>
      </w:hyperlink>
    </w:p>
    <w:p w14:paraId="538B4532" w14:textId="77777777" w:rsidR="004B2AAA" w:rsidRDefault="00A750B1">
      <w:pPr>
        <w:pStyle w:val="TOC2"/>
        <w:tabs>
          <w:tab w:val="right" w:pos="9060"/>
        </w:tabs>
        <w:rPr>
          <w:rFonts w:asciiTheme="minorHAnsi" w:eastAsiaTheme="minorEastAsia" w:hAnsiTheme="minorHAnsi" w:cstheme="minorBidi"/>
          <w:b w:val="0"/>
          <w:bCs w:val="0"/>
          <w:noProof/>
          <w:sz w:val="24"/>
          <w:szCs w:val="24"/>
          <w:lang w:val="en-US" w:eastAsia="en-US"/>
        </w:rPr>
      </w:pPr>
      <w:hyperlink w:anchor="_Toc524536486" w:history="1">
        <w:r w:rsidR="004B2AAA" w:rsidRPr="00485339">
          <w:rPr>
            <w:rStyle w:val="Hyperlink"/>
            <w:noProof/>
          </w:rPr>
          <w:t>Consultancy expenditure</w:t>
        </w:r>
        <w:r w:rsidR="004B2AAA">
          <w:rPr>
            <w:noProof/>
            <w:webHidden/>
          </w:rPr>
          <w:tab/>
        </w:r>
        <w:r w:rsidR="004B2AAA">
          <w:rPr>
            <w:noProof/>
            <w:webHidden/>
          </w:rPr>
          <w:fldChar w:fldCharType="begin"/>
        </w:r>
        <w:r w:rsidR="004B2AAA">
          <w:rPr>
            <w:noProof/>
            <w:webHidden/>
          </w:rPr>
          <w:instrText xml:space="preserve"> PAGEREF _Toc524536486 \h </w:instrText>
        </w:r>
        <w:r w:rsidR="004B2AAA">
          <w:rPr>
            <w:noProof/>
            <w:webHidden/>
          </w:rPr>
        </w:r>
        <w:r w:rsidR="004B2AAA">
          <w:rPr>
            <w:noProof/>
            <w:webHidden/>
          </w:rPr>
          <w:fldChar w:fldCharType="separate"/>
        </w:r>
        <w:r w:rsidR="004B2AAA">
          <w:rPr>
            <w:noProof/>
            <w:webHidden/>
          </w:rPr>
          <w:t>37</w:t>
        </w:r>
        <w:r w:rsidR="004B2AAA">
          <w:rPr>
            <w:noProof/>
            <w:webHidden/>
          </w:rPr>
          <w:fldChar w:fldCharType="end"/>
        </w:r>
      </w:hyperlink>
    </w:p>
    <w:p w14:paraId="20EA676F" w14:textId="77777777" w:rsidR="004B2AAA" w:rsidRDefault="00A750B1">
      <w:pPr>
        <w:pStyle w:val="TOC2"/>
        <w:tabs>
          <w:tab w:val="right" w:pos="9060"/>
        </w:tabs>
        <w:rPr>
          <w:rFonts w:asciiTheme="minorHAnsi" w:eastAsiaTheme="minorEastAsia" w:hAnsiTheme="minorHAnsi" w:cstheme="minorBidi"/>
          <w:b w:val="0"/>
          <w:bCs w:val="0"/>
          <w:noProof/>
          <w:sz w:val="24"/>
          <w:szCs w:val="24"/>
          <w:lang w:val="en-US" w:eastAsia="en-US"/>
        </w:rPr>
      </w:pPr>
      <w:hyperlink w:anchor="_Toc524536487" w:history="1">
        <w:r w:rsidR="004B2AAA" w:rsidRPr="00485339">
          <w:rPr>
            <w:rStyle w:val="Hyperlink"/>
            <w:noProof/>
          </w:rPr>
          <w:t>Government advertising expenditure</w:t>
        </w:r>
        <w:r w:rsidR="004B2AAA">
          <w:rPr>
            <w:noProof/>
            <w:webHidden/>
          </w:rPr>
          <w:tab/>
        </w:r>
        <w:r w:rsidR="004B2AAA">
          <w:rPr>
            <w:noProof/>
            <w:webHidden/>
          </w:rPr>
          <w:fldChar w:fldCharType="begin"/>
        </w:r>
        <w:r w:rsidR="004B2AAA">
          <w:rPr>
            <w:noProof/>
            <w:webHidden/>
          </w:rPr>
          <w:instrText xml:space="preserve"> PAGEREF _Toc524536487 \h </w:instrText>
        </w:r>
        <w:r w:rsidR="004B2AAA">
          <w:rPr>
            <w:noProof/>
            <w:webHidden/>
          </w:rPr>
        </w:r>
        <w:r w:rsidR="004B2AAA">
          <w:rPr>
            <w:noProof/>
            <w:webHidden/>
          </w:rPr>
          <w:fldChar w:fldCharType="separate"/>
        </w:r>
        <w:r w:rsidR="004B2AAA">
          <w:rPr>
            <w:noProof/>
            <w:webHidden/>
          </w:rPr>
          <w:t>38</w:t>
        </w:r>
        <w:r w:rsidR="004B2AAA">
          <w:rPr>
            <w:noProof/>
            <w:webHidden/>
          </w:rPr>
          <w:fldChar w:fldCharType="end"/>
        </w:r>
      </w:hyperlink>
    </w:p>
    <w:p w14:paraId="5B8EBFC0" w14:textId="77777777" w:rsidR="004B2AAA" w:rsidRDefault="00A750B1">
      <w:pPr>
        <w:pStyle w:val="TOC2"/>
        <w:tabs>
          <w:tab w:val="right" w:pos="9060"/>
        </w:tabs>
        <w:rPr>
          <w:rFonts w:asciiTheme="minorHAnsi" w:eastAsiaTheme="minorEastAsia" w:hAnsiTheme="minorHAnsi" w:cstheme="minorBidi"/>
          <w:b w:val="0"/>
          <w:bCs w:val="0"/>
          <w:noProof/>
          <w:sz w:val="24"/>
          <w:szCs w:val="24"/>
          <w:lang w:val="en-US" w:eastAsia="en-US"/>
        </w:rPr>
      </w:pPr>
      <w:hyperlink w:anchor="_Toc524536488" w:history="1">
        <w:r w:rsidR="004B2AAA" w:rsidRPr="00485339">
          <w:rPr>
            <w:rStyle w:val="Hyperlink"/>
            <w:noProof/>
          </w:rPr>
          <w:t>Information and communication technology expenditure</w:t>
        </w:r>
        <w:r w:rsidR="004B2AAA">
          <w:rPr>
            <w:noProof/>
            <w:webHidden/>
          </w:rPr>
          <w:tab/>
        </w:r>
        <w:r w:rsidR="004B2AAA">
          <w:rPr>
            <w:noProof/>
            <w:webHidden/>
          </w:rPr>
          <w:fldChar w:fldCharType="begin"/>
        </w:r>
        <w:r w:rsidR="004B2AAA">
          <w:rPr>
            <w:noProof/>
            <w:webHidden/>
          </w:rPr>
          <w:instrText xml:space="preserve"> PAGEREF _Toc524536488 \h </w:instrText>
        </w:r>
        <w:r w:rsidR="004B2AAA">
          <w:rPr>
            <w:noProof/>
            <w:webHidden/>
          </w:rPr>
        </w:r>
        <w:r w:rsidR="004B2AAA">
          <w:rPr>
            <w:noProof/>
            <w:webHidden/>
          </w:rPr>
          <w:fldChar w:fldCharType="separate"/>
        </w:r>
        <w:r w:rsidR="004B2AAA">
          <w:rPr>
            <w:noProof/>
            <w:webHidden/>
          </w:rPr>
          <w:t>38</w:t>
        </w:r>
        <w:r w:rsidR="004B2AAA">
          <w:rPr>
            <w:noProof/>
            <w:webHidden/>
          </w:rPr>
          <w:fldChar w:fldCharType="end"/>
        </w:r>
      </w:hyperlink>
    </w:p>
    <w:p w14:paraId="0E5F0BF5" w14:textId="77777777" w:rsidR="004B2AAA" w:rsidRDefault="00A750B1">
      <w:pPr>
        <w:pStyle w:val="TOC2"/>
        <w:tabs>
          <w:tab w:val="right" w:pos="9060"/>
        </w:tabs>
        <w:rPr>
          <w:rFonts w:asciiTheme="minorHAnsi" w:eastAsiaTheme="minorEastAsia" w:hAnsiTheme="minorHAnsi" w:cstheme="minorBidi"/>
          <w:b w:val="0"/>
          <w:bCs w:val="0"/>
          <w:noProof/>
          <w:sz w:val="24"/>
          <w:szCs w:val="24"/>
          <w:lang w:val="en-US" w:eastAsia="en-US"/>
        </w:rPr>
      </w:pPr>
      <w:hyperlink w:anchor="_Toc524536489" w:history="1">
        <w:r w:rsidR="004B2AAA" w:rsidRPr="00485339">
          <w:rPr>
            <w:rStyle w:val="Hyperlink"/>
            <w:noProof/>
          </w:rPr>
          <w:t>Compliance with Competitive Neutrality Policy</w:t>
        </w:r>
        <w:r w:rsidR="004B2AAA">
          <w:rPr>
            <w:noProof/>
            <w:webHidden/>
          </w:rPr>
          <w:tab/>
        </w:r>
        <w:r w:rsidR="004B2AAA">
          <w:rPr>
            <w:noProof/>
            <w:webHidden/>
          </w:rPr>
          <w:fldChar w:fldCharType="begin"/>
        </w:r>
        <w:r w:rsidR="004B2AAA">
          <w:rPr>
            <w:noProof/>
            <w:webHidden/>
          </w:rPr>
          <w:instrText xml:space="preserve"> PAGEREF _Toc524536489 \h </w:instrText>
        </w:r>
        <w:r w:rsidR="004B2AAA">
          <w:rPr>
            <w:noProof/>
            <w:webHidden/>
          </w:rPr>
        </w:r>
        <w:r w:rsidR="004B2AAA">
          <w:rPr>
            <w:noProof/>
            <w:webHidden/>
          </w:rPr>
          <w:fldChar w:fldCharType="separate"/>
        </w:r>
        <w:r w:rsidR="004B2AAA">
          <w:rPr>
            <w:noProof/>
            <w:webHidden/>
          </w:rPr>
          <w:t>39</w:t>
        </w:r>
        <w:r w:rsidR="004B2AAA">
          <w:rPr>
            <w:noProof/>
            <w:webHidden/>
          </w:rPr>
          <w:fldChar w:fldCharType="end"/>
        </w:r>
      </w:hyperlink>
    </w:p>
    <w:p w14:paraId="6F5A7C5C" w14:textId="77777777" w:rsidR="004B2AAA" w:rsidRDefault="00A750B1">
      <w:pPr>
        <w:pStyle w:val="TOC2"/>
        <w:tabs>
          <w:tab w:val="right" w:pos="9060"/>
        </w:tabs>
        <w:rPr>
          <w:rFonts w:asciiTheme="minorHAnsi" w:eastAsiaTheme="minorEastAsia" w:hAnsiTheme="minorHAnsi" w:cstheme="minorBidi"/>
          <w:b w:val="0"/>
          <w:bCs w:val="0"/>
          <w:noProof/>
          <w:sz w:val="24"/>
          <w:szCs w:val="24"/>
          <w:lang w:val="en-US" w:eastAsia="en-US"/>
        </w:rPr>
      </w:pPr>
      <w:hyperlink w:anchor="_Toc524536490" w:history="1">
        <w:r w:rsidR="004B2AAA" w:rsidRPr="00485339">
          <w:rPr>
            <w:rStyle w:val="Hyperlink"/>
            <w:noProof/>
          </w:rPr>
          <w:t xml:space="preserve">Compliance with the </w:t>
        </w:r>
        <w:r w:rsidR="004B2AAA" w:rsidRPr="00485339">
          <w:rPr>
            <w:rStyle w:val="Hyperlink"/>
            <w:i/>
            <w:noProof/>
          </w:rPr>
          <w:t>Building Act 1993</w:t>
        </w:r>
        <w:r w:rsidR="004B2AAA">
          <w:rPr>
            <w:noProof/>
            <w:webHidden/>
          </w:rPr>
          <w:tab/>
        </w:r>
        <w:r w:rsidR="004B2AAA">
          <w:rPr>
            <w:noProof/>
            <w:webHidden/>
          </w:rPr>
          <w:fldChar w:fldCharType="begin"/>
        </w:r>
        <w:r w:rsidR="004B2AAA">
          <w:rPr>
            <w:noProof/>
            <w:webHidden/>
          </w:rPr>
          <w:instrText xml:space="preserve"> PAGEREF _Toc524536490 \h </w:instrText>
        </w:r>
        <w:r w:rsidR="004B2AAA">
          <w:rPr>
            <w:noProof/>
            <w:webHidden/>
          </w:rPr>
        </w:r>
        <w:r w:rsidR="004B2AAA">
          <w:rPr>
            <w:noProof/>
            <w:webHidden/>
          </w:rPr>
          <w:fldChar w:fldCharType="separate"/>
        </w:r>
        <w:r w:rsidR="004B2AAA">
          <w:rPr>
            <w:noProof/>
            <w:webHidden/>
          </w:rPr>
          <w:t>39</w:t>
        </w:r>
        <w:r w:rsidR="004B2AAA">
          <w:rPr>
            <w:noProof/>
            <w:webHidden/>
          </w:rPr>
          <w:fldChar w:fldCharType="end"/>
        </w:r>
      </w:hyperlink>
    </w:p>
    <w:p w14:paraId="7D61C4C3" w14:textId="77777777" w:rsidR="004B2AAA" w:rsidRDefault="00A750B1">
      <w:pPr>
        <w:pStyle w:val="TOC2"/>
        <w:tabs>
          <w:tab w:val="right" w:pos="9060"/>
        </w:tabs>
        <w:rPr>
          <w:rFonts w:asciiTheme="minorHAnsi" w:eastAsiaTheme="minorEastAsia" w:hAnsiTheme="minorHAnsi" w:cstheme="minorBidi"/>
          <w:b w:val="0"/>
          <w:bCs w:val="0"/>
          <w:noProof/>
          <w:sz w:val="24"/>
          <w:szCs w:val="24"/>
          <w:lang w:val="en-US" w:eastAsia="en-US"/>
        </w:rPr>
      </w:pPr>
      <w:hyperlink w:anchor="_Toc524536491" w:history="1">
        <w:r w:rsidR="004B2AAA" w:rsidRPr="00485339">
          <w:rPr>
            <w:rStyle w:val="Hyperlink"/>
            <w:noProof/>
          </w:rPr>
          <w:t>Compliance with the Protected Disclosure Act 2012</w:t>
        </w:r>
        <w:r w:rsidR="004B2AAA">
          <w:rPr>
            <w:noProof/>
            <w:webHidden/>
          </w:rPr>
          <w:tab/>
        </w:r>
        <w:r w:rsidR="004B2AAA">
          <w:rPr>
            <w:noProof/>
            <w:webHidden/>
          </w:rPr>
          <w:fldChar w:fldCharType="begin"/>
        </w:r>
        <w:r w:rsidR="004B2AAA">
          <w:rPr>
            <w:noProof/>
            <w:webHidden/>
          </w:rPr>
          <w:instrText xml:space="preserve"> PAGEREF _Toc524536491 \h </w:instrText>
        </w:r>
        <w:r w:rsidR="004B2AAA">
          <w:rPr>
            <w:noProof/>
            <w:webHidden/>
          </w:rPr>
        </w:r>
        <w:r w:rsidR="004B2AAA">
          <w:rPr>
            <w:noProof/>
            <w:webHidden/>
          </w:rPr>
          <w:fldChar w:fldCharType="separate"/>
        </w:r>
        <w:r w:rsidR="004B2AAA">
          <w:rPr>
            <w:noProof/>
            <w:webHidden/>
          </w:rPr>
          <w:t>39</w:t>
        </w:r>
        <w:r w:rsidR="004B2AAA">
          <w:rPr>
            <w:noProof/>
            <w:webHidden/>
          </w:rPr>
          <w:fldChar w:fldCharType="end"/>
        </w:r>
      </w:hyperlink>
    </w:p>
    <w:p w14:paraId="2AC66A0C" w14:textId="77777777" w:rsidR="004B2AAA" w:rsidRDefault="00A750B1">
      <w:pPr>
        <w:pStyle w:val="TOC2"/>
        <w:tabs>
          <w:tab w:val="right" w:pos="9060"/>
        </w:tabs>
        <w:rPr>
          <w:rFonts w:asciiTheme="minorHAnsi" w:eastAsiaTheme="minorEastAsia" w:hAnsiTheme="minorHAnsi" w:cstheme="minorBidi"/>
          <w:b w:val="0"/>
          <w:bCs w:val="0"/>
          <w:noProof/>
          <w:sz w:val="24"/>
          <w:szCs w:val="24"/>
          <w:lang w:val="en-US" w:eastAsia="en-US"/>
        </w:rPr>
      </w:pPr>
      <w:hyperlink w:anchor="_Toc524536492" w:history="1">
        <w:r w:rsidR="004B2AAA" w:rsidRPr="00485339">
          <w:rPr>
            <w:rStyle w:val="Hyperlink"/>
            <w:noProof/>
          </w:rPr>
          <w:t>Compliance with the Carers Recognition Act 2012</w:t>
        </w:r>
        <w:r w:rsidR="004B2AAA">
          <w:rPr>
            <w:noProof/>
            <w:webHidden/>
          </w:rPr>
          <w:tab/>
        </w:r>
        <w:r w:rsidR="004B2AAA">
          <w:rPr>
            <w:noProof/>
            <w:webHidden/>
          </w:rPr>
          <w:fldChar w:fldCharType="begin"/>
        </w:r>
        <w:r w:rsidR="004B2AAA">
          <w:rPr>
            <w:noProof/>
            <w:webHidden/>
          </w:rPr>
          <w:instrText xml:space="preserve"> PAGEREF _Toc524536492 \h </w:instrText>
        </w:r>
        <w:r w:rsidR="004B2AAA">
          <w:rPr>
            <w:noProof/>
            <w:webHidden/>
          </w:rPr>
        </w:r>
        <w:r w:rsidR="004B2AAA">
          <w:rPr>
            <w:noProof/>
            <w:webHidden/>
          </w:rPr>
          <w:fldChar w:fldCharType="separate"/>
        </w:r>
        <w:r w:rsidR="004B2AAA">
          <w:rPr>
            <w:noProof/>
            <w:webHidden/>
          </w:rPr>
          <w:t>40</w:t>
        </w:r>
        <w:r w:rsidR="004B2AAA">
          <w:rPr>
            <w:noProof/>
            <w:webHidden/>
          </w:rPr>
          <w:fldChar w:fldCharType="end"/>
        </w:r>
      </w:hyperlink>
    </w:p>
    <w:p w14:paraId="18DF15EB" w14:textId="77777777" w:rsidR="004B2AAA" w:rsidRDefault="00A750B1">
      <w:pPr>
        <w:pStyle w:val="TOC2"/>
        <w:tabs>
          <w:tab w:val="right" w:pos="9060"/>
        </w:tabs>
        <w:rPr>
          <w:rFonts w:asciiTheme="minorHAnsi" w:eastAsiaTheme="minorEastAsia" w:hAnsiTheme="minorHAnsi" w:cstheme="minorBidi"/>
          <w:b w:val="0"/>
          <w:bCs w:val="0"/>
          <w:noProof/>
          <w:sz w:val="24"/>
          <w:szCs w:val="24"/>
          <w:lang w:val="en-US" w:eastAsia="en-US"/>
        </w:rPr>
      </w:pPr>
      <w:hyperlink w:anchor="_Toc524536493" w:history="1">
        <w:r w:rsidR="004B2AAA" w:rsidRPr="00485339">
          <w:rPr>
            <w:rStyle w:val="Hyperlink"/>
            <w:noProof/>
          </w:rPr>
          <w:t>Freedom of information</w:t>
        </w:r>
        <w:r w:rsidR="004B2AAA">
          <w:rPr>
            <w:noProof/>
            <w:webHidden/>
          </w:rPr>
          <w:tab/>
        </w:r>
        <w:r w:rsidR="004B2AAA">
          <w:rPr>
            <w:noProof/>
            <w:webHidden/>
          </w:rPr>
          <w:fldChar w:fldCharType="begin"/>
        </w:r>
        <w:r w:rsidR="004B2AAA">
          <w:rPr>
            <w:noProof/>
            <w:webHidden/>
          </w:rPr>
          <w:instrText xml:space="preserve"> PAGEREF _Toc524536493 \h </w:instrText>
        </w:r>
        <w:r w:rsidR="004B2AAA">
          <w:rPr>
            <w:noProof/>
            <w:webHidden/>
          </w:rPr>
        </w:r>
        <w:r w:rsidR="004B2AAA">
          <w:rPr>
            <w:noProof/>
            <w:webHidden/>
          </w:rPr>
          <w:fldChar w:fldCharType="separate"/>
        </w:r>
        <w:r w:rsidR="004B2AAA">
          <w:rPr>
            <w:noProof/>
            <w:webHidden/>
          </w:rPr>
          <w:t>41</w:t>
        </w:r>
        <w:r w:rsidR="004B2AAA">
          <w:rPr>
            <w:noProof/>
            <w:webHidden/>
          </w:rPr>
          <w:fldChar w:fldCharType="end"/>
        </w:r>
      </w:hyperlink>
    </w:p>
    <w:p w14:paraId="41589DC1" w14:textId="77777777" w:rsidR="004B2AAA" w:rsidRDefault="00A750B1">
      <w:pPr>
        <w:pStyle w:val="TOC2"/>
        <w:tabs>
          <w:tab w:val="right" w:pos="9060"/>
        </w:tabs>
        <w:rPr>
          <w:rFonts w:asciiTheme="minorHAnsi" w:eastAsiaTheme="minorEastAsia" w:hAnsiTheme="minorHAnsi" w:cstheme="minorBidi"/>
          <w:b w:val="0"/>
          <w:bCs w:val="0"/>
          <w:noProof/>
          <w:sz w:val="24"/>
          <w:szCs w:val="24"/>
          <w:lang w:val="en-US" w:eastAsia="en-US"/>
        </w:rPr>
      </w:pPr>
      <w:hyperlink w:anchor="_Toc524536494" w:history="1">
        <w:r w:rsidR="004B2AAA" w:rsidRPr="00485339">
          <w:rPr>
            <w:rStyle w:val="Hyperlink"/>
            <w:noProof/>
          </w:rPr>
          <w:t>Local Jobs First – Victorian Industry Participation Policy</w:t>
        </w:r>
        <w:r w:rsidR="004B2AAA">
          <w:rPr>
            <w:noProof/>
            <w:webHidden/>
          </w:rPr>
          <w:tab/>
        </w:r>
        <w:r w:rsidR="004B2AAA">
          <w:rPr>
            <w:noProof/>
            <w:webHidden/>
          </w:rPr>
          <w:fldChar w:fldCharType="begin"/>
        </w:r>
        <w:r w:rsidR="004B2AAA">
          <w:rPr>
            <w:noProof/>
            <w:webHidden/>
          </w:rPr>
          <w:instrText xml:space="preserve"> PAGEREF _Toc524536494 \h </w:instrText>
        </w:r>
        <w:r w:rsidR="004B2AAA">
          <w:rPr>
            <w:noProof/>
            <w:webHidden/>
          </w:rPr>
        </w:r>
        <w:r w:rsidR="004B2AAA">
          <w:rPr>
            <w:noProof/>
            <w:webHidden/>
          </w:rPr>
          <w:fldChar w:fldCharType="separate"/>
        </w:r>
        <w:r w:rsidR="004B2AAA">
          <w:rPr>
            <w:noProof/>
            <w:webHidden/>
          </w:rPr>
          <w:t>42</w:t>
        </w:r>
        <w:r w:rsidR="004B2AAA">
          <w:rPr>
            <w:noProof/>
            <w:webHidden/>
          </w:rPr>
          <w:fldChar w:fldCharType="end"/>
        </w:r>
      </w:hyperlink>
    </w:p>
    <w:p w14:paraId="7FA8D697" w14:textId="77777777" w:rsidR="004B2AAA" w:rsidRDefault="00A750B1">
      <w:pPr>
        <w:pStyle w:val="TOC2"/>
        <w:tabs>
          <w:tab w:val="right" w:pos="9060"/>
        </w:tabs>
        <w:rPr>
          <w:rFonts w:asciiTheme="minorHAnsi" w:eastAsiaTheme="minorEastAsia" w:hAnsiTheme="minorHAnsi" w:cstheme="minorBidi"/>
          <w:b w:val="0"/>
          <w:bCs w:val="0"/>
          <w:noProof/>
          <w:sz w:val="24"/>
          <w:szCs w:val="24"/>
          <w:lang w:val="en-US" w:eastAsia="en-US"/>
        </w:rPr>
      </w:pPr>
      <w:hyperlink w:anchor="_Toc524536495" w:history="1">
        <w:r w:rsidR="004B2AAA" w:rsidRPr="00485339">
          <w:rPr>
            <w:rStyle w:val="Hyperlink"/>
            <w:noProof/>
          </w:rPr>
          <w:t xml:space="preserve">Compliance with the </w:t>
        </w:r>
        <w:r w:rsidR="004B2AAA" w:rsidRPr="00485339">
          <w:rPr>
            <w:rStyle w:val="Hyperlink"/>
            <w:i/>
            <w:noProof/>
          </w:rPr>
          <w:t>Disability Act 2006</w:t>
        </w:r>
        <w:r w:rsidR="004B2AAA">
          <w:rPr>
            <w:noProof/>
            <w:webHidden/>
          </w:rPr>
          <w:tab/>
        </w:r>
        <w:r w:rsidR="004B2AAA">
          <w:rPr>
            <w:noProof/>
            <w:webHidden/>
          </w:rPr>
          <w:fldChar w:fldCharType="begin"/>
        </w:r>
        <w:r w:rsidR="004B2AAA">
          <w:rPr>
            <w:noProof/>
            <w:webHidden/>
          </w:rPr>
          <w:instrText xml:space="preserve"> PAGEREF _Toc524536495 \h </w:instrText>
        </w:r>
        <w:r w:rsidR="004B2AAA">
          <w:rPr>
            <w:noProof/>
            <w:webHidden/>
          </w:rPr>
        </w:r>
        <w:r w:rsidR="004B2AAA">
          <w:rPr>
            <w:noProof/>
            <w:webHidden/>
          </w:rPr>
          <w:fldChar w:fldCharType="separate"/>
        </w:r>
        <w:r w:rsidR="004B2AAA">
          <w:rPr>
            <w:noProof/>
            <w:webHidden/>
          </w:rPr>
          <w:t>43</w:t>
        </w:r>
        <w:r w:rsidR="004B2AAA">
          <w:rPr>
            <w:noProof/>
            <w:webHidden/>
          </w:rPr>
          <w:fldChar w:fldCharType="end"/>
        </w:r>
      </w:hyperlink>
    </w:p>
    <w:p w14:paraId="0B3D6B20" w14:textId="77777777" w:rsidR="004B2AAA" w:rsidRDefault="00A750B1">
      <w:pPr>
        <w:pStyle w:val="TOC2"/>
        <w:tabs>
          <w:tab w:val="right" w:pos="9060"/>
        </w:tabs>
        <w:rPr>
          <w:rFonts w:asciiTheme="minorHAnsi" w:eastAsiaTheme="minorEastAsia" w:hAnsiTheme="minorHAnsi" w:cstheme="minorBidi"/>
          <w:b w:val="0"/>
          <w:bCs w:val="0"/>
          <w:noProof/>
          <w:sz w:val="24"/>
          <w:szCs w:val="24"/>
          <w:lang w:val="en-US" w:eastAsia="en-US"/>
        </w:rPr>
      </w:pPr>
      <w:hyperlink w:anchor="_Toc524536496" w:history="1">
        <w:r w:rsidR="004B2AAA" w:rsidRPr="00485339">
          <w:rPr>
            <w:rStyle w:val="Hyperlink"/>
            <w:noProof/>
          </w:rPr>
          <w:t>Additional Commission information available on request</w:t>
        </w:r>
        <w:r w:rsidR="004B2AAA">
          <w:rPr>
            <w:noProof/>
            <w:webHidden/>
          </w:rPr>
          <w:tab/>
        </w:r>
        <w:r w:rsidR="004B2AAA">
          <w:rPr>
            <w:noProof/>
            <w:webHidden/>
          </w:rPr>
          <w:fldChar w:fldCharType="begin"/>
        </w:r>
        <w:r w:rsidR="004B2AAA">
          <w:rPr>
            <w:noProof/>
            <w:webHidden/>
          </w:rPr>
          <w:instrText xml:space="preserve"> PAGEREF _Toc524536496 \h </w:instrText>
        </w:r>
        <w:r w:rsidR="004B2AAA">
          <w:rPr>
            <w:noProof/>
            <w:webHidden/>
          </w:rPr>
        </w:r>
        <w:r w:rsidR="004B2AAA">
          <w:rPr>
            <w:noProof/>
            <w:webHidden/>
          </w:rPr>
          <w:fldChar w:fldCharType="separate"/>
        </w:r>
        <w:r w:rsidR="004B2AAA">
          <w:rPr>
            <w:noProof/>
            <w:webHidden/>
          </w:rPr>
          <w:t>43</w:t>
        </w:r>
        <w:r w:rsidR="004B2AAA">
          <w:rPr>
            <w:noProof/>
            <w:webHidden/>
          </w:rPr>
          <w:fldChar w:fldCharType="end"/>
        </w:r>
      </w:hyperlink>
    </w:p>
    <w:p w14:paraId="4E435F4D" w14:textId="77777777" w:rsidR="004B2AAA" w:rsidRDefault="00A750B1">
      <w:pPr>
        <w:pStyle w:val="TOC2"/>
        <w:tabs>
          <w:tab w:val="right" w:pos="9060"/>
        </w:tabs>
        <w:rPr>
          <w:rFonts w:asciiTheme="minorHAnsi" w:eastAsiaTheme="minorEastAsia" w:hAnsiTheme="minorHAnsi" w:cstheme="minorBidi"/>
          <w:b w:val="0"/>
          <w:bCs w:val="0"/>
          <w:noProof/>
          <w:sz w:val="24"/>
          <w:szCs w:val="24"/>
          <w:lang w:val="en-US" w:eastAsia="en-US"/>
        </w:rPr>
      </w:pPr>
      <w:hyperlink w:anchor="_Toc524536497" w:history="1">
        <w:r w:rsidR="004B2AAA" w:rsidRPr="00485339">
          <w:rPr>
            <w:rStyle w:val="Hyperlink"/>
            <w:noProof/>
          </w:rPr>
          <w:t>Office based environmental impacts</w:t>
        </w:r>
        <w:r w:rsidR="004B2AAA">
          <w:rPr>
            <w:noProof/>
            <w:webHidden/>
          </w:rPr>
          <w:tab/>
        </w:r>
        <w:r w:rsidR="004B2AAA">
          <w:rPr>
            <w:noProof/>
            <w:webHidden/>
          </w:rPr>
          <w:fldChar w:fldCharType="begin"/>
        </w:r>
        <w:r w:rsidR="004B2AAA">
          <w:rPr>
            <w:noProof/>
            <w:webHidden/>
          </w:rPr>
          <w:instrText xml:space="preserve"> PAGEREF _Toc524536497 \h </w:instrText>
        </w:r>
        <w:r w:rsidR="004B2AAA">
          <w:rPr>
            <w:noProof/>
            <w:webHidden/>
          </w:rPr>
        </w:r>
        <w:r w:rsidR="004B2AAA">
          <w:rPr>
            <w:noProof/>
            <w:webHidden/>
          </w:rPr>
          <w:fldChar w:fldCharType="separate"/>
        </w:r>
        <w:r w:rsidR="004B2AAA">
          <w:rPr>
            <w:noProof/>
            <w:webHidden/>
          </w:rPr>
          <w:t>43</w:t>
        </w:r>
        <w:r w:rsidR="004B2AAA">
          <w:rPr>
            <w:noProof/>
            <w:webHidden/>
          </w:rPr>
          <w:fldChar w:fldCharType="end"/>
        </w:r>
      </w:hyperlink>
    </w:p>
    <w:p w14:paraId="09ABDB0D" w14:textId="77777777" w:rsidR="004B2AAA" w:rsidRDefault="00A750B1">
      <w:pPr>
        <w:pStyle w:val="TOC2"/>
        <w:tabs>
          <w:tab w:val="right" w:pos="9060"/>
        </w:tabs>
        <w:rPr>
          <w:rFonts w:asciiTheme="minorHAnsi" w:eastAsiaTheme="minorEastAsia" w:hAnsiTheme="minorHAnsi" w:cstheme="minorBidi"/>
          <w:b w:val="0"/>
          <w:bCs w:val="0"/>
          <w:noProof/>
          <w:sz w:val="24"/>
          <w:szCs w:val="24"/>
          <w:lang w:val="en-US" w:eastAsia="en-US"/>
        </w:rPr>
      </w:pPr>
      <w:hyperlink w:anchor="_Toc524536498" w:history="1">
        <w:r w:rsidR="004B2AAA" w:rsidRPr="00485339">
          <w:rPr>
            <w:rStyle w:val="Hyperlink"/>
            <w:noProof/>
          </w:rPr>
          <w:t>Attestation for financial management compliance with Ministerial Standing Direction 5.1.4</w:t>
        </w:r>
        <w:r w:rsidR="004B2AAA">
          <w:rPr>
            <w:noProof/>
            <w:webHidden/>
          </w:rPr>
          <w:tab/>
        </w:r>
        <w:r w:rsidR="004B2AAA">
          <w:rPr>
            <w:noProof/>
            <w:webHidden/>
          </w:rPr>
          <w:fldChar w:fldCharType="begin"/>
        </w:r>
        <w:r w:rsidR="004B2AAA">
          <w:rPr>
            <w:noProof/>
            <w:webHidden/>
          </w:rPr>
          <w:instrText xml:space="preserve"> PAGEREF _Toc524536498 \h </w:instrText>
        </w:r>
        <w:r w:rsidR="004B2AAA">
          <w:rPr>
            <w:noProof/>
            <w:webHidden/>
          </w:rPr>
        </w:r>
        <w:r w:rsidR="004B2AAA">
          <w:rPr>
            <w:noProof/>
            <w:webHidden/>
          </w:rPr>
          <w:fldChar w:fldCharType="separate"/>
        </w:r>
        <w:r w:rsidR="004B2AAA">
          <w:rPr>
            <w:noProof/>
            <w:webHidden/>
          </w:rPr>
          <w:t>44</w:t>
        </w:r>
        <w:r w:rsidR="004B2AAA">
          <w:rPr>
            <w:noProof/>
            <w:webHidden/>
          </w:rPr>
          <w:fldChar w:fldCharType="end"/>
        </w:r>
      </w:hyperlink>
    </w:p>
    <w:p w14:paraId="20FF3F8A" w14:textId="77777777" w:rsidR="004B2AAA" w:rsidRDefault="00A750B1">
      <w:pPr>
        <w:pStyle w:val="TOC1"/>
        <w:rPr>
          <w:rFonts w:asciiTheme="minorHAnsi" w:eastAsiaTheme="minorEastAsia" w:hAnsiTheme="minorHAnsi" w:cstheme="minorBidi"/>
          <w:b w:val="0"/>
          <w:bCs w:val="0"/>
          <w:noProof/>
          <w:lang w:val="en-US" w:eastAsia="en-US"/>
        </w:rPr>
      </w:pPr>
      <w:hyperlink w:anchor="_Toc524536499" w:history="1">
        <w:r w:rsidR="004B2AAA" w:rsidRPr="00485339">
          <w:rPr>
            <w:rStyle w:val="Hyperlink"/>
            <w:noProof/>
          </w:rPr>
          <w:t>Appendix 1: Complaints data</w:t>
        </w:r>
        <w:r w:rsidR="004B2AAA">
          <w:rPr>
            <w:noProof/>
            <w:webHidden/>
          </w:rPr>
          <w:tab/>
        </w:r>
        <w:r w:rsidR="004B2AAA">
          <w:rPr>
            <w:noProof/>
            <w:webHidden/>
          </w:rPr>
          <w:fldChar w:fldCharType="begin"/>
        </w:r>
        <w:r w:rsidR="004B2AAA">
          <w:rPr>
            <w:noProof/>
            <w:webHidden/>
          </w:rPr>
          <w:instrText xml:space="preserve"> PAGEREF _Toc524536499 \h </w:instrText>
        </w:r>
        <w:r w:rsidR="004B2AAA">
          <w:rPr>
            <w:noProof/>
            <w:webHidden/>
          </w:rPr>
        </w:r>
        <w:r w:rsidR="004B2AAA">
          <w:rPr>
            <w:noProof/>
            <w:webHidden/>
          </w:rPr>
          <w:fldChar w:fldCharType="separate"/>
        </w:r>
        <w:r w:rsidR="004B2AAA">
          <w:rPr>
            <w:noProof/>
            <w:webHidden/>
          </w:rPr>
          <w:t>47</w:t>
        </w:r>
        <w:r w:rsidR="004B2AAA">
          <w:rPr>
            <w:noProof/>
            <w:webHidden/>
          </w:rPr>
          <w:fldChar w:fldCharType="end"/>
        </w:r>
      </w:hyperlink>
    </w:p>
    <w:p w14:paraId="7B356559" w14:textId="77777777" w:rsidR="004B2AAA" w:rsidRDefault="00A750B1">
      <w:pPr>
        <w:pStyle w:val="TOC1"/>
        <w:rPr>
          <w:rFonts w:asciiTheme="minorHAnsi" w:eastAsiaTheme="minorEastAsia" w:hAnsiTheme="minorHAnsi" w:cstheme="minorBidi"/>
          <w:b w:val="0"/>
          <w:bCs w:val="0"/>
          <w:noProof/>
          <w:lang w:val="en-US" w:eastAsia="en-US"/>
        </w:rPr>
      </w:pPr>
      <w:hyperlink w:anchor="_Toc524536500" w:history="1">
        <w:r w:rsidR="004B2AAA" w:rsidRPr="00485339">
          <w:rPr>
            <w:rStyle w:val="Hyperlink"/>
            <w:noProof/>
          </w:rPr>
          <w:t>humanrightscommission.vic.gov.au</w:t>
        </w:r>
        <w:r w:rsidR="004B2AAA">
          <w:rPr>
            <w:noProof/>
            <w:webHidden/>
          </w:rPr>
          <w:tab/>
        </w:r>
        <w:r w:rsidR="004B2AAA">
          <w:rPr>
            <w:noProof/>
            <w:webHidden/>
          </w:rPr>
          <w:fldChar w:fldCharType="begin"/>
        </w:r>
        <w:r w:rsidR="004B2AAA">
          <w:rPr>
            <w:noProof/>
            <w:webHidden/>
          </w:rPr>
          <w:instrText xml:space="preserve"> PAGEREF _Toc524536500 \h </w:instrText>
        </w:r>
        <w:r w:rsidR="004B2AAA">
          <w:rPr>
            <w:noProof/>
            <w:webHidden/>
          </w:rPr>
        </w:r>
        <w:r w:rsidR="004B2AAA">
          <w:rPr>
            <w:noProof/>
            <w:webHidden/>
          </w:rPr>
          <w:fldChar w:fldCharType="separate"/>
        </w:r>
        <w:r w:rsidR="004B2AAA">
          <w:rPr>
            <w:noProof/>
            <w:webHidden/>
          </w:rPr>
          <w:t>50</w:t>
        </w:r>
        <w:r w:rsidR="004B2AAA">
          <w:rPr>
            <w:noProof/>
            <w:webHidden/>
          </w:rPr>
          <w:fldChar w:fldCharType="end"/>
        </w:r>
      </w:hyperlink>
    </w:p>
    <w:p w14:paraId="71D46EC7" w14:textId="4199FC98" w:rsidR="00794242" w:rsidRPr="000A4E9B" w:rsidRDefault="00505BE9" w:rsidP="00794242">
      <w:pPr>
        <w:pStyle w:val="VEOHRCHeading1"/>
      </w:pPr>
      <w:r>
        <w:rPr>
          <w:rFonts w:cs="Arial"/>
          <w:kern w:val="0"/>
          <w:sz w:val="20"/>
          <w:szCs w:val="20"/>
          <w:lang w:val="en-AU"/>
        </w:rPr>
        <w:fldChar w:fldCharType="end"/>
      </w:r>
    </w:p>
    <w:p w14:paraId="7DAABB9B" w14:textId="77777777" w:rsidR="00794242" w:rsidRPr="000A4E9B" w:rsidRDefault="00794242" w:rsidP="00B80144">
      <w:pPr>
        <w:pStyle w:val="VEOHRCBodytext"/>
      </w:pPr>
      <w:r w:rsidRPr="000A4E9B">
        <w:br w:type="page"/>
      </w:r>
    </w:p>
    <w:p w14:paraId="1AD38B30" w14:textId="77777777" w:rsidR="00102FB5" w:rsidRPr="00733636" w:rsidRDefault="00102FB5" w:rsidP="00102FB5">
      <w:pPr>
        <w:pStyle w:val="VEOHRCHeading1"/>
      </w:pPr>
      <w:bookmarkStart w:id="4" w:name="_Ref492631792"/>
      <w:bookmarkStart w:id="5" w:name="_Toc524536462"/>
      <w:r w:rsidRPr="00733636">
        <w:lastRenderedPageBreak/>
        <w:t>Responsible Body</w:t>
      </w:r>
      <w:r>
        <w:t>’</w:t>
      </w:r>
      <w:r w:rsidRPr="00733636">
        <w:t>s declaration</w:t>
      </w:r>
      <w:bookmarkEnd w:id="4"/>
      <w:bookmarkEnd w:id="5"/>
      <w:r w:rsidRPr="00733636">
        <w:t xml:space="preserve"> </w:t>
      </w:r>
    </w:p>
    <w:p w14:paraId="11667658" w14:textId="078D2A94" w:rsidR="00980F0A" w:rsidRDefault="00980F0A" w:rsidP="00980F0A">
      <w:pPr>
        <w:pStyle w:val="VEOHRCBodytext"/>
      </w:pPr>
      <w:r>
        <w:t xml:space="preserve">In accordance with the </w:t>
      </w:r>
      <w:r w:rsidRPr="0072383D">
        <w:rPr>
          <w:i/>
        </w:rPr>
        <w:t>Financial Management Act 1994</w:t>
      </w:r>
      <w:r>
        <w:t xml:space="preserve">, I am pleased to </w:t>
      </w:r>
      <w:r w:rsidR="00102FB5">
        <w:t xml:space="preserve">present the </w:t>
      </w:r>
      <w:r>
        <w:t>Victorian Equal Opportunity and Human Rights Commission</w:t>
      </w:r>
      <w:r w:rsidR="00102FB5">
        <w:t xml:space="preserve">’s Annual Report </w:t>
      </w:r>
      <w:r>
        <w:t xml:space="preserve">for the year </w:t>
      </w:r>
      <w:r w:rsidRPr="00F35DDD">
        <w:t>ending 30 June 201</w:t>
      </w:r>
      <w:r w:rsidR="00500601" w:rsidRPr="00F35DDD">
        <w:t>8</w:t>
      </w:r>
      <w:r w:rsidRPr="00F35DDD">
        <w:t>.</w:t>
      </w:r>
    </w:p>
    <w:p w14:paraId="22D6C4F8" w14:textId="77777777" w:rsidR="00794242" w:rsidRDefault="00980F0A" w:rsidP="00980F0A">
      <w:pPr>
        <w:pStyle w:val="VEOHRCBodytext"/>
      </w:pPr>
      <w:r>
        <w:t>Yours sincerely</w:t>
      </w:r>
    </w:p>
    <w:p w14:paraId="244F1E02" w14:textId="77777777" w:rsidR="00C94A9F" w:rsidRDefault="00C94A9F" w:rsidP="00980F0A">
      <w:pPr>
        <w:pStyle w:val="VEOHRCBodytext"/>
      </w:pPr>
    </w:p>
    <w:p w14:paraId="0A3F0A3F" w14:textId="77777777" w:rsidR="00794242" w:rsidRDefault="00C94A9F" w:rsidP="00980F0A">
      <w:pPr>
        <w:pStyle w:val="VEOHRCBodytext"/>
      </w:pPr>
      <w:r>
        <w:rPr>
          <w:noProof/>
          <w:lang w:val="en-AU"/>
        </w:rPr>
        <w:drawing>
          <wp:inline distT="0" distB="0" distL="0" distR="0" wp14:anchorId="1D0307DF" wp14:editId="1851A7D7">
            <wp:extent cx="2130425" cy="894080"/>
            <wp:effectExtent l="0" t="0" r="3175" b="1270"/>
            <wp:docPr id="2" name="Picture 2" descr="C:\Users\paobrien\AppData\Local\Microsoft\Windows\INetCache\Content.Word\Moana Weir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aobrien\AppData\Local\Microsoft\Windows\INetCache\Content.Word\Moana Weir Signature.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30425" cy="894080"/>
                    </a:xfrm>
                    <a:prstGeom prst="rect">
                      <a:avLst/>
                    </a:prstGeom>
                    <a:noFill/>
                    <a:ln>
                      <a:noFill/>
                    </a:ln>
                  </pic:spPr>
                </pic:pic>
              </a:graphicData>
            </a:graphic>
          </wp:inline>
        </w:drawing>
      </w:r>
    </w:p>
    <w:p w14:paraId="2F78CC5C" w14:textId="1FAE770D" w:rsidR="00102FB5" w:rsidRDefault="00980F0A" w:rsidP="00980F0A">
      <w:pPr>
        <w:pStyle w:val="VEOHRCBodytext"/>
      </w:pPr>
      <w:r>
        <w:br/>
        <w:t>Moana Weir</w:t>
      </w:r>
      <w:r>
        <w:br/>
        <w:t xml:space="preserve">Chairperson, </w:t>
      </w:r>
      <w:r w:rsidR="00BF2A65">
        <w:br/>
      </w:r>
      <w:r>
        <w:t xml:space="preserve">Victorian Equal Opportunity </w:t>
      </w:r>
      <w:r w:rsidR="006E401B">
        <w:br/>
      </w:r>
      <w:r>
        <w:t>and Human Rights Commission</w:t>
      </w:r>
    </w:p>
    <w:p w14:paraId="0319FF40" w14:textId="77777777" w:rsidR="00102FB5" w:rsidRDefault="00102FB5" w:rsidP="00B80144">
      <w:pPr>
        <w:pStyle w:val="VEOHRCBodytext"/>
      </w:pPr>
      <w:r>
        <w:br w:type="page"/>
      </w:r>
    </w:p>
    <w:p w14:paraId="7DE90B04" w14:textId="77777777" w:rsidR="00082543" w:rsidRDefault="00082543" w:rsidP="00082543">
      <w:pPr>
        <w:pStyle w:val="VEOHRCHeading1"/>
      </w:pPr>
      <w:bookmarkStart w:id="6" w:name="_Toc497232292"/>
      <w:bookmarkStart w:id="7" w:name="_Toc524536464"/>
      <w:bookmarkStart w:id="8" w:name="_Toc497232291"/>
      <w:bookmarkStart w:id="9" w:name="_Toc524536463"/>
      <w:r>
        <w:lastRenderedPageBreak/>
        <w:t>Commissioner's message</w:t>
      </w:r>
      <w:bookmarkEnd w:id="6"/>
      <w:bookmarkEnd w:id="7"/>
    </w:p>
    <w:p w14:paraId="70588506" w14:textId="77777777" w:rsidR="00082543" w:rsidRPr="0019294E" w:rsidRDefault="00082543" w:rsidP="00082543">
      <w:pPr>
        <w:pStyle w:val="VEOHRCBodytext"/>
        <w:rPr>
          <w:lang w:eastAsia="en-US"/>
        </w:rPr>
      </w:pPr>
      <w:r w:rsidRPr="0019294E">
        <w:rPr>
          <w:lang w:eastAsia="en-US"/>
        </w:rPr>
        <w:t>Making rights real for all Victorians is at the heart of the work we do at the Commission. This has been the Commission’s challenge for 40 years and it continued in 2017–18.</w:t>
      </w:r>
    </w:p>
    <w:p w14:paraId="0EF418AA" w14:textId="77777777" w:rsidR="00082543" w:rsidRPr="0019294E" w:rsidRDefault="00082543" w:rsidP="00082543">
      <w:pPr>
        <w:pStyle w:val="VEOHRCBodytext"/>
        <w:rPr>
          <w:lang w:eastAsia="en-US"/>
        </w:rPr>
      </w:pPr>
      <w:r w:rsidRPr="0019294E">
        <w:rPr>
          <w:lang w:eastAsia="en-US"/>
        </w:rPr>
        <w:t>This year saw the development and introduction of our new five-year strategic plan, informed by key stakeholders and individual community members across Victoria. During this process we thought deeply about the types of issues that were most important to Victorians and how we could play the most effective role in working towards a fairer, more inclusive Victoria where all people feel valued and connected. </w:t>
      </w:r>
    </w:p>
    <w:p w14:paraId="4562F15F" w14:textId="77777777" w:rsidR="00082543" w:rsidRPr="0019294E" w:rsidRDefault="00082543" w:rsidP="00082543">
      <w:pPr>
        <w:pStyle w:val="VEOHRCBodytext"/>
        <w:rPr>
          <w:lang w:eastAsia="en-US"/>
        </w:rPr>
      </w:pPr>
      <w:r w:rsidRPr="0019294E">
        <w:rPr>
          <w:lang w:eastAsia="en-US"/>
        </w:rPr>
        <w:t xml:space="preserve">Our strategic plan, </w:t>
      </w:r>
      <w:r w:rsidRPr="0019294E">
        <w:rPr>
          <w:i/>
          <w:iCs/>
          <w:lang w:eastAsia="en-US"/>
        </w:rPr>
        <w:t>Upholding human rights close to home,</w:t>
      </w:r>
      <w:r w:rsidRPr="0019294E">
        <w:rPr>
          <w:lang w:eastAsia="en-US"/>
        </w:rPr>
        <w:t xml:space="preserve"> identifies four key areas that we will focus on to achieve transformative change: embedding a human rights culture, workplace equality, reducing racism and protecting the rights of people in ‘closed environments’ such as prisons and mental health, disability and aged care facilities. It is an ambitious mandate, but a tremendously important one. We are a relatively small but deeply committed and high performing organisation. Part of our strategy has also been to understand how we can be more efficient, more innovative, more collaborative and better able to understand and track the progress of our work.</w:t>
      </w:r>
    </w:p>
    <w:p w14:paraId="7FD2AB84" w14:textId="77777777" w:rsidR="00082543" w:rsidRPr="0019294E" w:rsidRDefault="00082543" w:rsidP="00082543">
      <w:pPr>
        <w:pStyle w:val="VEOHRCBodytext"/>
        <w:rPr>
          <w:lang w:eastAsia="en-US"/>
        </w:rPr>
      </w:pPr>
      <w:r w:rsidRPr="0019294E">
        <w:rPr>
          <w:lang w:eastAsia="en-US"/>
        </w:rPr>
        <w:t>Every day at the Commission we hear stories of discrimination, harassment and exclusion. This year we received more complaints and enquiries than any other time in recent years. Within this context it is important to remember that Victoria has comparatively strong human rights and equality protections. But it is one thing to have these laws and quite another to know how to use them. </w:t>
      </w:r>
    </w:p>
    <w:p w14:paraId="500AD745" w14:textId="3D4D6CFA" w:rsidR="00082543" w:rsidRPr="0019294E" w:rsidRDefault="00082543" w:rsidP="00082543">
      <w:pPr>
        <w:pStyle w:val="VEOHRCBodytext"/>
        <w:rPr>
          <w:lang w:eastAsia="en-US"/>
        </w:rPr>
      </w:pPr>
      <w:r w:rsidRPr="0019294E">
        <w:rPr>
          <w:lang w:eastAsia="en-US"/>
        </w:rPr>
        <w:t xml:space="preserve">Embedding a human rights culture across the Victorian public sector has been a major endeavour in the past year. A human rights culture develops when </w:t>
      </w:r>
      <w:r w:rsidR="006F5027">
        <w:rPr>
          <w:lang w:eastAsia="en-US"/>
        </w:rPr>
        <w:t>g</w:t>
      </w:r>
      <w:r w:rsidRPr="0019294E">
        <w:rPr>
          <w:lang w:eastAsia="en-US"/>
        </w:rPr>
        <w:t>overnments act compatibly with human rights, when policies and law are informed by fairness, equality and respect and when services are delivered in a way that promotes human dignity.</w:t>
      </w:r>
    </w:p>
    <w:p w14:paraId="4AF156B2" w14:textId="77777777" w:rsidR="00082543" w:rsidRPr="0019294E" w:rsidRDefault="00082543" w:rsidP="00082543">
      <w:pPr>
        <w:pStyle w:val="VEOHRCBodytext"/>
        <w:rPr>
          <w:lang w:eastAsia="en-US"/>
        </w:rPr>
      </w:pPr>
      <w:r w:rsidRPr="0019294E">
        <w:rPr>
          <w:lang w:eastAsia="en-US"/>
        </w:rPr>
        <w:t>Through a fantastic partnership with the Department of Justice and Regulation we have now provided tailored education on the Charter of Human Rights and Responsibilities to more than 5000 public sector employees. With the support of the Victorian Secretaries Board we have established a group of senior leaders across government to promote the Charter and next year will roll out online Charter learning to many more public sector employees. </w:t>
      </w:r>
    </w:p>
    <w:p w14:paraId="2797C255" w14:textId="77777777" w:rsidR="00082543" w:rsidRPr="0019294E" w:rsidRDefault="00082543" w:rsidP="00082543">
      <w:pPr>
        <w:pStyle w:val="VEOHRCBodytext"/>
        <w:rPr>
          <w:lang w:eastAsia="en-US"/>
        </w:rPr>
      </w:pPr>
      <w:r w:rsidRPr="0019294E">
        <w:rPr>
          <w:lang w:eastAsia="en-US"/>
        </w:rPr>
        <w:t>For a number of years now the Commission has been at the forefront of working with organisations to make them more equitable, safe and inclusive. Over the past two years it has been a great privilege to work with Victoria Police as they lay the foundations for a more gender equitable workplace. We released our first audit of progress that Victoria Police have made against our 2015 recommendations and are now in the final phase of this work. Victoria Police is a large and complex organisation that plays an absolutely crucial role in the lives of all Victorians. Our work with Victoria Police is driven by commitment to eliminating sexual harassment and discrimination but also an understanding that a more inclusive, rights respecting culture internally will make for a more effective force that can better protect the rights of individuals and ensure community safety.</w:t>
      </w:r>
    </w:p>
    <w:p w14:paraId="0406FE4A" w14:textId="77777777" w:rsidR="00082543" w:rsidRPr="0019294E" w:rsidRDefault="00082543" w:rsidP="00082543">
      <w:pPr>
        <w:pStyle w:val="VEOHRCBodytext"/>
        <w:rPr>
          <w:lang w:eastAsia="en-US"/>
        </w:rPr>
      </w:pPr>
      <w:r w:rsidRPr="0019294E">
        <w:rPr>
          <w:lang w:eastAsia="en-US"/>
        </w:rPr>
        <w:t xml:space="preserve">We also completed our independent review into equity and diversity in Victoria’s fire services. This was a review requested by the Victorian Government, triggered by concerns of a difficult workplace culture and extremely low representation of women. This has been a challenging project and the report remains the subject of litigation. </w:t>
      </w:r>
      <w:r w:rsidRPr="0019294E">
        <w:rPr>
          <w:lang w:eastAsia="en-US"/>
        </w:rPr>
        <w:lastRenderedPageBreak/>
        <w:t>That notwithstanding, our work with people from both CFA and MFB over the past 12 months has already prompted change and a commitment among many to deal with discrimination, harassment and bullying.</w:t>
      </w:r>
    </w:p>
    <w:p w14:paraId="1B561455" w14:textId="77777777" w:rsidR="00082543" w:rsidRPr="0019294E" w:rsidRDefault="00082543" w:rsidP="00082543">
      <w:pPr>
        <w:pStyle w:val="VEOHRCBodytext"/>
        <w:rPr>
          <w:lang w:eastAsia="en-US"/>
        </w:rPr>
      </w:pPr>
      <w:r w:rsidRPr="0019294E">
        <w:rPr>
          <w:lang w:eastAsia="en-US"/>
        </w:rPr>
        <w:t>We’ve joined the long overdue global conversation about sexual harassment, brought to light through the #MeToo movement. It is encouraging to see a public debate to stamp out sexual harassment, and change behaviours that enable it and allow it to go unreported.</w:t>
      </w:r>
    </w:p>
    <w:p w14:paraId="5056C43D" w14:textId="0D734EA5" w:rsidR="00082543" w:rsidRPr="0019294E" w:rsidRDefault="00082543" w:rsidP="00082543">
      <w:pPr>
        <w:pStyle w:val="VEOHRCBodytext"/>
        <w:rPr>
          <w:lang w:eastAsia="en-US"/>
        </w:rPr>
      </w:pPr>
      <w:r w:rsidRPr="0019294E">
        <w:rPr>
          <w:lang w:eastAsia="en-US"/>
        </w:rPr>
        <w:t>In part, as a result of #MeToo we have seen a 31 per cent increase in complaints of sex discrimination and almost 20 per cent increase in complaints about sexual harassment. Indeed we have seen a 20 per cent increase of complaints including, most noticeably, an 88 per cent increase in the number of complaints about race. We've also seen an increase in the number of people contacting the Commission to make enquiries about discrimination.</w:t>
      </w:r>
    </w:p>
    <w:p w14:paraId="2BB33D51" w14:textId="77777777" w:rsidR="00082543" w:rsidRPr="0019294E" w:rsidRDefault="00082543" w:rsidP="00082543">
      <w:pPr>
        <w:pStyle w:val="VEOHRCBodytext"/>
        <w:rPr>
          <w:lang w:eastAsia="en-US"/>
        </w:rPr>
      </w:pPr>
      <w:r w:rsidRPr="0019294E">
        <w:rPr>
          <w:lang w:eastAsia="en-US"/>
        </w:rPr>
        <w:t>This year we used our investigation power to conduct an investigation into discrimination on the grounds of mental health in travel insurance. We are in the process of finalising the investigation but have already seen major insurers change their policies to make sure that they don’t discriminate against people with a mental health illness.</w:t>
      </w:r>
    </w:p>
    <w:p w14:paraId="16440826" w14:textId="77777777" w:rsidR="00082543" w:rsidRPr="0019294E" w:rsidRDefault="00082543" w:rsidP="00082543">
      <w:pPr>
        <w:pStyle w:val="VEOHRCBodytext"/>
        <w:rPr>
          <w:lang w:eastAsia="en-US"/>
        </w:rPr>
      </w:pPr>
      <w:r w:rsidRPr="0019294E">
        <w:rPr>
          <w:lang w:eastAsia="en-US"/>
        </w:rPr>
        <w:t>We've focused on promoting the distinct cultural rights of Aboriginal people to enjoy their identity and culture and have created resources to help public agencies consider cultural rights in decision making. We also made practical recommendations to government on how to better support cultural connections for Aboriginal children and young people in Victoria's youth justice centres.</w:t>
      </w:r>
    </w:p>
    <w:p w14:paraId="4AF9445D" w14:textId="77777777" w:rsidR="00082543" w:rsidRPr="0019294E" w:rsidRDefault="00082543" w:rsidP="00082543">
      <w:pPr>
        <w:pStyle w:val="VEOHRCBodytext"/>
        <w:rPr>
          <w:lang w:eastAsia="en-US"/>
        </w:rPr>
      </w:pPr>
      <w:r w:rsidRPr="0019294E">
        <w:rPr>
          <w:lang w:eastAsia="en-US"/>
        </w:rPr>
        <w:t>We've responded to incidents of racism in politics and the media, to explain its harmful consequences, and have continued our engagement with multicultural and multi-faith communities to raise public awareness of racial and religious discrimination protections through discussion forums, information sessions and training workshops.</w:t>
      </w:r>
    </w:p>
    <w:p w14:paraId="57C08437" w14:textId="77777777" w:rsidR="00082543" w:rsidRPr="0019294E" w:rsidRDefault="00082543" w:rsidP="00082543">
      <w:pPr>
        <w:pStyle w:val="VEOHRCBodytext"/>
        <w:rPr>
          <w:lang w:eastAsia="en-US"/>
        </w:rPr>
      </w:pPr>
      <w:r w:rsidRPr="0019294E">
        <w:rPr>
          <w:lang w:eastAsia="en-US"/>
        </w:rPr>
        <w:t>We are also extending our reach, with a 62 per cent increase in views of our social media posts that contribute to vital public conversations.</w:t>
      </w:r>
    </w:p>
    <w:p w14:paraId="0F9D296B" w14:textId="77777777" w:rsidR="00082543" w:rsidRPr="0019294E" w:rsidRDefault="00082543" w:rsidP="00082543">
      <w:pPr>
        <w:pStyle w:val="VEOHRCBodytext"/>
        <w:rPr>
          <w:lang w:eastAsia="en-US"/>
        </w:rPr>
      </w:pPr>
      <w:r w:rsidRPr="0019294E">
        <w:rPr>
          <w:lang w:eastAsia="en-US"/>
        </w:rPr>
        <w:t>Finally, I want to thank the wonderful, dynamic and committed staff at the Commission who make it a privilege to work with them in building a fairer, more connected and understanding society. </w:t>
      </w:r>
    </w:p>
    <w:p w14:paraId="1B4AB5E1" w14:textId="77777777" w:rsidR="00082543" w:rsidRDefault="00082543" w:rsidP="00082543">
      <w:pPr>
        <w:pStyle w:val="VEOHRCBodytext"/>
        <w:tabs>
          <w:tab w:val="clear" w:pos="2640"/>
          <w:tab w:val="left" w:pos="7640"/>
          <w:tab w:val="right" w:pos="9070"/>
        </w:tabs>
      </w:pPr>
      <w:r>
        <w:tab/>
      </w:r>
      <w:r>
        <w:tab/>
      </w:r>
    </w:p>
    <w:p w14:paraId="1C304192" w14:textId="77777777" w:rsidR="00082543" w:rsidRDefault="00082543" w:rsidP="00082543">
      <w:pPr>
        <w:pStyle w:val="VEOHRCBodytext"/>
        <w:tabs>
          <w:tab w:val="clear" w:pos="2640"/>
          <w:tab w:val="left" w:pos="3433"/>
        </w:tabs>
      </w:pPr>
      <w:r>
        <w:tab/>
      </w:r>
    </w:p>
    <w:p w14:paraId="025046CC" w14:textId="77777777" w:rsidR="00082543" w:rsidRDefault="00082543" w:rsidP="00082543">
      <w:pPr>
        <w:pStyle w:val="VEOHRCBodytext"/>
        <w:rPr>
          <w:b/>
        </w:rPr>
      </w:pPr>
      <w:r>
        <w:rPr>
          <w:noProof/>
          <w:lang w:val="en-AU"/>
        </w:rPr>
        <w:drawing>
          <wp:anchor distT="0" distB="0" distL="114300" distR="114300" simplePos="0" relativeHeight="251677696" behindDoc="0" locked="0" layoutInCell="1" allowOverlap="1" wp14:anchorId="36F35A77" wp14:editId="30E263C5">
            <wp:simplePos x="901700" y="3403600"/>
            <wp:positionH relativeFrom="column">
              <wp:align>left</wp:align>
            </wp:positionH>
            <wp:positionV relativeFrom="paragraph">
              <wp:align>top</wp:align>
            </wp:positionV>
            <wp:extent cx="2080008" cy="632188"/>
            <wp:effectExtent l="0" t="0" r="0" b="0"/>
            <wp:wrapSquare wrapText="bothSides"/>
            <wp:docPr id="19" name="Picture 19" descr="C:\Users\paobrien\AppData\Local\Microsoft\Windows\INetCache\Content.Word\Kristen hilton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paobrien\AppData\Local\Microsoft\Windows\INetCache\Content.Word\Kristen hilton signature.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80008" cy="632188"/>
                    </a:xfrm>
                    <a:prstGeom prst="rect">
                      <a:avLst/>
                    </a:prstGeom>
                    <a:noFill/>
                    <a:ln>
                      <a:noFill/>
                    </a:ln>
                  </pic:spPr>
                </pic:pic>
              </a:graphicData>
            </a:graphic>
          </wp:anchor>
        </w:drawing>
      </w:r>
      <w:r>
        <w:rPr>
          <w:b/>
        </w:rPr>
        <w:br w:type="textWrapping" w:clear="all"/>
      </w:r>
    </w:p>
    <w:p w14:paraId="5CB8C1E5" w14:textId="77777777" w:rsidR="00082543" w:rsidRPr="0016388D" w:rsidRDefault="00082543" w:rsidP="00082543">
      <w:pPr>
        <w:pStyle w:val="VEOHRCBodytext"/>
      </w:pPr>
      <w:r w:rsidRPr="00562709">
        <w:rPr>
          <w:b/>
        </w:rPr>
        <w:t>Kristen Hilton</w:t>
      </w:r>
      <w:r>
        <w:rPr>
          <w:b/>
        </w:rPr>
        <w:br/>
      </w:r>
      <w:r>
        <w:t xml:space="preserve">Victorian Equal Opportunity </w:t>
      </w:r>
      <w:r>
        <w:br/>
        <w:t>and Human Rights Commissioner</w:t>
      </w:r>
    </w:p>
    <w:p w14:paraId="2191F213" w14:textId="77777777" w:rsidR="00082543" w:rsidRDefault="00082543">
      <w:pPr>
        <w:rPr>
          <w:b/>
          <w:bCs/>
          <w:kern w:val="32"/>
          <w:sz w:val="36"/>
          <w:szCs w:val="32"/>
          <w:lang w:val="en-GB"/>
        </w:rPr>
      </w:pPr>
      <w:r>
        <w:br w:type="page"/>
      </w:r>
    </w:p>
    <w:p w14:paraId="0101D3A4" w14:textId="781A3C8D" w:rsidR="00973A1D" w:rsidRDefault="00973A1D" w:rsidP="0013173E">
      <w:pPr>
        <w:pStyle w:val="VEOHRCHeading1"/>
      </w:pPr>
      <w:r>
        <w:lastRenderedPageBreak/>
        <w:t>Chairperson's message</w:t>
      </w:r>
      <w:bookmarkEnd w:id="8"/>
      <w:bookmarkEnd w:id="9"/>
    </w:p>
    <w:p w14:paraId="4A17DEEF" w14:textId="65F98002" w:rsidR="000C5066" w:rsidRPr="00563253" w:rsidRDefault="000C5066" w:rsidP="000C5066">
      <w:pPr>
        <w:pStyle w:val="VEOHRCBodytext"/>
      </w:pPr>
      <w:r>
        <w:t>Imagine f</w:t>
      </w:r>
      <w:r w:rsidRPr="00563253">
        <w:t xml:space="preserve">ive year-old Sidak Singh Arora excitedly preparing for his first day of school, </w:t>
      </w:r>
      <w:r>
        <w:t xml:space="preserve">only to find out </w:t>
      </w:r>
      <w:r w:rsidRPr="00563253">
        <w:t>he was</w:t>
      </w:r>
      <w:r>
        <w:t xml:space="preserve"> to be</w:t>
      </w:r>
      <w:r w:rsidRPr="00563253">
        <w:t xml:space="preserve"> excluded from </w:t>
      </w:r>
      <w:r>
        <w:t xml:space="preserve">the </w:t>
      </w:r>
      <w:r w:rsidRPr="00563253">
        <w:t>nearby Melton Christian College because its uniform policy would not let him wear his patka</w:t>
      </w:r>
      <w:r>
        <w:t xml:space="preserve">, the </w:t>
      </w:r>
      <w:r w:rsidRPr="00563253">
        <w:t>head</w:t>
      </w:r>
      <w:r>
        <w:t xml:space="preserve"> covering that is one of the requisites of his Sikh faith.</w:t>
      </w:r>
      <w:r w:rsidRPr="00563253">
        <w:t xml:space="preserve"> </w:t>
      </w:r>
      <w:r>
        <w:t>I’m proud to say that t</w:t>
      </w:r>
      <w:r w:rsidRPr="00563253">
        <w:t xml:space="preserve">he Victorian Equal Opportunity and Human Rights Commission intervened in </w:t>
      </w:r>
      <w:r>
        <w:t>this</w:t>
      </w:r>
      <w:r w:rsidRPr="00563253">
        <w:t xml:space="preserve"> case and the court found that</w:t>
      </w:r>
      <w:r>
        <w:t xml:space="preserve"> </w:t>
      </w:r>
      <w:r w:rsidRPr="00AD295D">
        <w:t xml:space="preserve">the </w:t>
      </w:r>
      <w:r>
        <w:t>c</w:t>
      </w:r>
      <w:r w:rsidRPr="00AD295D">
        <w:t>ollege had discriminated against Sidak based on his religion</w:t>
      </w:r>
      <w:r w:rsidRPr="00563253">
        <w:t xml:space="preserve">. The </w:t>
      </w:r>
      <w:r>
        <w:t>c</w:t>
      </w:r>
      <w:r w:rsidRPr="00563253">
        <w:t xml:space="preserve">ollege </w:t>
      </w:r>
      <w:r>
        <w:t xml:space="preserve">then </w:t>
      </w:r>
      <w:r w:rsidRPr="00563253">
        <w:t>changed its uniform policy, and Sidak enrolled. </w:t>
      </w:r>
    </w:p>
    <w:p w14:paraId="10D04D72" w14:textId="2FB0B8D9" w:rsidR="000C5066" w:rsidRDefault="000C5066" w:rsidP="000C5066">
      <w:pPr>
        <w:pStyle w:val="VEOHRCBodytext"/>
      </w:pPr>
      <w:r>
        <w:t xml:space="preserve">It’s a brilliant example of the </w:t>
      </w:r>
      <w:r w:rsidRPr="000C5066">
        <w:rPr>
          <w:i/>
        </w:rPr>
        <w:t>Equal Opportunity Act 2010</w:t>
      </w:r>
      <w:r>
        <w:t xml:space="preserve"> in action, providing</w:t>
      </w:r>
      <w:r w:rsidRPr="00563253">
        <w:t xml:space="preserve"> real-life equality for Victorians like Sidak and his family. </w:t>
      </w:r>
      <w:r>
        <w:t xml:space="preserve">It’s been </w:t>
      </w:r>
      <w:r w:rsidRPr="00563253">
        <w:t>40</w:t>
      </w:r>
      <w:r>
        <w:t xml:space="preserve"> </w:t>
      </w:r>
      <w:r w:rsidRPr="00563253">
        <w:t>year</w:t>
      </w:r>
      <w:r>
        <w:t>s</w:t>
      </w:r>
      <w:r w:rsidRPr="00563253">
        <w:t xml:space="preserve"> </w:t>
      </w:r>
      <w:r>
        <w:t xml:space="preserve">since the Act was fully </w:t>
      </w:r>
      <w:r w:rsidR="00760B76">
        <w:t>implemented</w:t>
      </w:r>
      <w:r>
        <w:t xml:space="preserve">, </w:t>
      </w:r>
      <w:r w:rsidR="00760B76">
        <w:t xml:space="preserve">and we’re fortunate to reflect on </w:t>
      </w:r>
      <w:r>
        <w:t>its long legacy of driving greater equality</w:t>
      </w:r>
      <w:r w:rsidRPr="00563253">
        <w:t xml:space="preserve"> and the incredible impact </w:t>
      </w:r>
      <w:r w:rsidR="00760B76">
        <w:t>it has on people’s daily lives.</w:t>
      </w:r>
    </w:p>
    <w:p w14:paraId="2237C0FE" w14:textId="7DB68B07" w:rsidR="000C5066" w:rsidRPr="00563253" w:rsidRDefault="000C5066" w:rsidP="000C5066">
      <w:pPr>
        <w:pStyle w:val="VEOHRCBodytext"/>
      </w:pPr>
      <w:r>
        <w:t>Initially c</w:t>
      </w:r>
      <w:r w:rsidRPr="00563253">
        <w:t xml:space="preserve">reated to uphold the rights of women, the Act today </w:t>
      </w:r>
      <w:r w:rsidR="00760B76">
        <w:t xml:space="preserve">protects </w:t>
      </w:r>
      <w:r w:rsidRPr="00563253">
        <w:t>against all kinds of discrimination in Victoria. It has expanded over the years to reflect our values and community and, with new generations of issues and advocates, it will continue to evolve.</w:t>
      </w:r>
    </w:p>
    <w:p w14:paraId="4FF39B0D" w14:textId="385FB0EA" w:rsidR="000C5066" w:rsidRPr="00563253" w:rsidRDefault="00677856" w:rsidP="000C5066">
      <w:pPr>
        <w:pStyle w:val="VEOHRCBodytext"/>
      </w:pPr>
      <w:r>
        <w:t>T</w:t>
      </w:r>
      <w:r w:rsidR="000C5066" w:rsidRPr="00563253">
        <w:t xml:space="preserve">he Act crucially recognises that access to opportunities </w:t>
      </w:r>
      <w:r>
        <w:t xml:space="preserve">is </w:t>
      </w:r>
      <w:r w:rsidR="000C5066" w:rsidRPr="00563253">
        <w:t>not equitably distributed throughout society, and that legal protections are required to help create a level playing field for families like Sidak’s. The Act puts pressure on powerful institutions to prevent discrimination, and to evolve alongside our community. And it empowers all of us to take responsibility for elim</w:t>
      </w:r>
      <w:r w:rsidR="000C5066">
        <w:t>inating discrimination together – for the next 40 years, and beyond.</w:t>
      </w:r>
    </w:p>
    <w:p w14:paraId="3E20F925" w14:textId="77777777" w:rsidR="00B03E73" w:rsidRDefault="00B03E73" w:rsidP="00B80144">
      <w:pPr>
        <w:pStyle w:val="VEOHRCBodytext"/>
      </w:pPr>
    </w:p>
    <w:p w14:paraId="0E2CFC19" w14:textId="77777777" w:rsidR="00794242" w:rsidRPr="00B80144" w:rsidRDefault="00794242" w:rsidP="00B80144">
      <w:pPr>
        <w:pStyle w:val="VEOHRCBodytext"/>
        <w:rPr>
          <w:b/>
        </w:rPr>
      </w:pPr>
      <w:r>
        <w:rPr>
          <w:noProof/>
          <w:lang w:val="en-AU"/>
        </w:rPr>
        <w:drawing>
          <wp:inline distT="0" distB="0" distL="0" distR="0" wp14:anchorId="0FA0B4EE" wp14:editId="2349CF6D">
            <wp:extent cx="2130425" cy="894080"/>
            <wp:effectExtent l="0" t="0" r="3175" b="1270"/>
            <wp:docPr id="18" name="Picture 18" descr="C:\Users\paobrien\AppData\Local\Microsoft\Windows\INetCache\Content.Word\Moana Weir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aobrien\AppData\Local\Microsoft\Windows\INetCache\Content.Word\Moana Weir Signature.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30425" cy="894080"/>
                    </a:xfrm>
                    <a:prstGeom prst="rect">
                      <a:avLst/>
                    </a:prstGeom>
                    <a:noFill/>
                    <a:ln>
                      <a:noFill/>
                    </a:ln>
                  </pic:spPr>
                </pic:pic>
              </a:graphicData>
            </a:graphic>
          </wp:inline>
        </w:drawing>
      </w:r>
    </w:p>
    <w:p w14:paraId="6ED01602" w14:textId="77777777" w:rsidR="000A6187" w:rsidRDefault="000A6187" w:rsidP="00B80144">
      <w:pPr>
        <w:pStyle w:val="VEOHRCBodytext"/>
      </w:pPr>
      <w:r w:rsidRPr="00B80144">
        <w:rPr>
          <w:b/>
        </w:rPr>
        <w:t>Moana Weir</w:t>
      </w:r>
      <w:r w:rsidR="00562709" w:rsidRPr="00B80144">
        <w:rPr>
          <w:b/>
        </w:rPr>
        <w:br/>
      </w:r>
      <w:r>
        <w:t>Chairperson</w:t>
      </w:r>
    </w:p>
    <w:p w14:paraId="3FE93D24" w14:textId="77777777" w:rsidR="00794242" w:rsidRPr="000A4E9B" w:rsidRDefault="00794242" w:rsidP="00B80144">
      <w:pPr>
        <w:pStyle w:val="VEOHRCBodytext"/>
      </w:pPr>
      <w:r>
        <w:br w:type="page"/>
      </w:r>
    </w:p>
    <w:p w14:paraId="10CEAFB6" w14:textId="77777777" w:rsidR="005B2780" w:rsidRPr="000A4E9B" w:rsidRDefault="005B2780" w:rsidP="00B80144">
      <w:pPr>
        <w:pStyle w:val="VEOHRCBodytext"/>
      </w:pPr>
      <w:r>
        <w:lastRenderedPageBreak/>
        <w:br w:type="page"/>
      </w:r>
    </w:p>
    <w:p w14:paraId="42750A55" w14:textId="0BF4F8AA" w:rsidR="00E23370" w:rsidRDefault="009E359E" w:rsidP="00E23370">
      <w:pPr>
        <w:pStyle w:val="VEOHRCChapterTitle"/>
      </w:pPr>
      <w:bookmarkStart w:id="10" w:name="_Toc524536465"/>
      <w:bookmarkStart w:id="11" w:name="_Toc497232293"/>
      <w:r>
        <w:lastRenderedPageBreak/>
        <w:t>Section</w:t>
      </w:r>
      <w:r w:rsidR="002C3656">
        <w:t xml:space="preserve"> 1</w:t>
      </w:r>
      <w:r w:rsidR="00E23370">
        <w:t xml:space="preserve">: </w:t>
      </w:r>
      <w:r w:rsidR="002C3656">
        <w:t>About the Commission</w:t>
      </w:r>
      <w:bookmarkEnd w:id="10"/>
    </w:p>
    <w:p w14:paraId="305F4A6A" w14:textId="2786D50E" w:rsidR="002C3656" w:rsidRPr="00A44175" w:rsidRDefault="002C3656" w:rsidP="002C3656">
      <w:pPr>
        <w:pStyle w:val="VEOHRCBodytext"/>
      </w:pPr>
      <w:r w:rsidRPr="00A44175">
        <w:t>Since its establishment as the Equal Opportunity Board in 1977, the Commission has played a critical role in challenging discrimination, inequality and disadvantage</w:t>
      </w:r>
      <w:r w:rsidR="00A31F66">
        <w:t>,</w:t>
      </w:r>
      <w:r w:rsidRPr="00A44175">
        <w:t xml:space="preserve"> and to progress substantive equality for all people in Victoria. </w:t>
      </w:r>
    </w:p>
    <w:p w14:paraId="7A1C3138" w14:textId="77777777" w:rsidR="00082543" w:rsidRPr="00082543" w:rsidRDefault="00082543" w:rsidP="00082543">
      <w:pPr>
        <w:pStyle w:val="VEOHRCHeading1"/>
        <w:rPr>
          <w:lang w:eastAsia="en-US"/>
        </w:rPr>
      </w:pPr>
      <w:bookmarkStart w:id="12" w:name="_Toc524536468"/>
      <w:bookmarkEnd w:id="11"/>
      <w:r w:rsidRPr="00082543">
        <w:rPr>
          <w:lang w:eastAsia="en-US"/>
        </w:rPr>
        <w:t>Our laws</w:t>
      </w:r>
    </w:p>
    <w:p w14:paraId="269939DE" w14:textId="77777777" w:rsidR="00082543" w:rsidRPr="00082543" w:rsidRDefault="00082543" w:rsidP="00E2088A">
      <w:pPr>
        <w:pStyle w:val="VEOHRCBodytext"/>
        <w:rPr>
          <w:lang w:eastAsia="en-US"/>
        </w:rPr>
      </w:pPr>
      <w:r w:rsidRPr="00082543">
        <w:rPr>
          <w:lang w:eastAsia="en-US"/>
        </w:rPr>
        <w:t>The Victorian Equal Opportunity and Human Rights Commission is an independent statutory body that reports to Parliament through the Attorney-General.</w:t>
      </w:r>
    </w:p>
    <w:p w14:paraId="5F4DC241" w14:textId="77777777" w:rsidR="00082543" w:rsidRPr="00082543" w:rsidRDefault="00082543" w:rsidP="00E2088A">
      <w:pPr>
        <w:pStyle w:val="VEOHRCBodytext"/>
        <w:rPr>
          <w:lang w:eastAsia="en-US"/>
        </w:rPr>
      </w:pPr>
      <w:r w:rsidRPr="00082543">
        <w:rPr>
          <w:lang w:eastAsia="en-US"/>
        </w:rPr>
        <w:t>The Commission has responsibilities under three laws:</w:t>
      </w:r>
    </w:p>
    <w:p w14:paraId="452211D4" w14:textId="77777777" w:rsidR="00082543" w:rsidRPr="00E2088A" w:rsidRDefault="00082543" w:rsidP="00E2088A">
      <w:pPr>
        <w:pStyle w:val="VEOHRCListBullet"/>
        <w:rPr>
          <w:i/>
          <w:lang w:eastAsia="en-US"/>
        </w:rPr>
      </w:pPr>
      <w:r w:rsidRPr="00E2088A">
        <w:rPr>
          <w:i/>
          <w:lang w:eastAsia="en-US"/>
        </w:rPr>
        <w:t>Equal Opportunity Act 2010</w:t>
      </w:r>
    </w:p>
    <w:p w14:paraId="4712C02A" w14:textId="77777777" w:rsidR="00082543" w:rsidRPr="00E2088A" w:rsidRDefault="00082543" w:rsidP="00E2088A">
      <w:pPr>
        <w:pStyle w:val="VEOHRCListBullet"/>
        <w:rPr>
          <w:i/>
          <w:lang w:eastAsia="en-US"/>
        </w:rPr>
      </w:pPr>
      <w:r w:rsidRPr="00E2088A">
        <w:rPr>
          <w:i/>
          <w:lang w:eastAsia="en-US"/>
        </w:rPr>
        <w:t>Racial and Religious Tolerance Act 2001</w:t>
      </w:r>
    </w:p>
    <w:p w14:paraId="3562F668" w14:textId="3CECD95D" w:rsidR="00082543" w:rsidRPr="00082543" w:rsidRDefault="00082543" w:rsidP="00E2088A">
      <w:pPr>
        <w:pStyle w:val="VEOHRCListBullet"/>
        <w:rPr>
          <w:lang w:eastAsia="en-US"/>
        </w:rPr>
      </w:pPr>
      <w:r w:rsidRPr="00E2088A">
        <w:rPr>
          <w:i/>
          <w:lang w:eastAsia="en-US"/>
        </w:rPr>
        <w:t>Charter of Human Rights and Responsibilities Act 2006</w:t>
      </w:r>
      <w:r w:rsidRPr="00082543">
        <w:rPr>
          <w:lang w:eastAsia="en-US"/>
        </w:rPr>
        <w:t xml:space="preserve"> (the Charter). </w:t>
      </w:r>
    </w:p>
    <w:p w14:paraId="3093C3E2" w14:textId="5FA7A188" w:rsidR="00082543" w:rsidRPr="00082543" w:rsidRDefault="00082543" w:rsidP="00E2088A">
      <w:pPr>
        <w:pStyle w:val="VEOHRCBodytext"/>
        <w:rPr>
          <w:lang w:eastAsia="en-US"/>
        </w:rPr>
      </w:pPr>
      <w:r w:rsidRPr="00082543">
        <w:rPr>
          <w:lang w:eastAsia="en-US"/>
        </w:rPr>
        <w:t>The Equal Opportunity Act makes it against the law to discriminate against people on the basis of a number of personal characteristics. It also prohibits sexual harassment and victimisation.</w:t>
      </w:r>
    </w:p>
    <w:p w14:paraId="2FCE6F3F" w14:textId="77777777" w:rsidR="00082543" w:rsidRPr="00082543" w:rsidRDefault="00082543" w:rsidP="00E2088A">
      <w:pPr>
        <w:pStyle w:val="VEOHRCBodytext"/>
        <w:rPr>
          <w:lang w:eastAsia="en-US"/>
        </w:rPr>
      </w:pPr>
      <w:r w:rsidRPr="00082543">
        <w:rPr>
          <w:lang w:eastAsia="en-US"/>
        </w:rPr>
        <w:t>The Racial and Religious Tolerance Act makes it against the law to vilify people because of their race or religion.</w:t>
      </w:r>
    </w:p>
    <w:p w14:paraId="1D8E9BEE" w14:textId="5B5B7BC2" w:rsidR="00082543" w:rsidRPr="00082543" w:rsidRDefault="00082543" w:rsidP="00E2088A">
      <w:pPr>
        <w:pStyle w:val="VEOHRCBodytext"/>
        <w:rPr>
          <w:lang w:eastAsia="en-US"/>
        </w:rPr>
      </w:pPr>
      <w:r w:rsidRPr="00082543">
        <w:rPr>
          <w:lang w:eastAsia="en-US"/>
        </w:rPr>
        <w:t>The Charter identifies 20 human rights applicable to all Victorians, and requires government and public bodies to consider these rights when making laws and providing services.</w:t>
      </w:r>
    </w:p>
    <w:p w14:paraId="0300BD5A" w14:textId="77777777" w:rsidR="00082543" w:rsidRPr="00082543" w:rsidRDefault="00082543" w:rsidP="00082543">
      <w:pPr>
        <w:pStyle w:val="VEOHRCHeading1"/>
        <w:rPr>
          <w:lang w:eastAsia="en-US"/>
        </w:rPr>
      </w:pPr>
      <w:r w:rsidRPr="00082543">
        <w:rPr>
          <w:lang w:eastAsia="en-US"/>
        </w:rPr>
        <w:t>Our vision</w:t>
      </w:r>
    </w:p>
    <w:p w14:paraId="4E6CC889" w14:textId="4D088823" w:rsidR="00082543" w:rsidRPr="00082543" w:rsidRDefault="00082543" w:rsidP="00E2088A">
      <w:pPr>
        <w:pStyle w:val="VEOHRCBodytext"/>
        <w:rPr>
          <w:lang w:eastAsia="en-US"/>
        </w:rPr>
      </w:pPr>
      <w:r w:rsidRPr="00082543">
        <w:rPr>
          <w:lang w:eastAsia="en-US"/>
        </w:rPr>
        <w:t>Our vision is for a fair, safe and inclusive Victoria where every person is respected and treated with dignity. </w:t>
      </w:r>
    </w:p>
    <w:p w14:paraId="3E561B5F" w14:textId="77777777" w:rsidR="00082543" w:rsidRPr="00082543" w:rsidRDefault="00082543" w:rsidP="00082543">
      <w:pPr>
        <w:pStyle w:val="VEOHRCHeading1"/>
        <w:rPr>
          <w:lang w:eastAsia="en-US"/>
        </w:rPr>
      </w:pPr>
      <w:r w:rsidRPr="00082543">
        <w:rPr>
          <w:lang w:eastAsia="en-US"/>
        </w:rPr>
        <w:t>Our mission</w:t>
      </w:r>
    </w:p>
    <w:p w14:paraId="0864CFB3" w14:textId="56273DDC" w:rsidR="00082543" w:rsidRPr="00082543" w:rsidRDefault="00082543" w:rsidP="00E2088A">
      <w:pPr>
        <w:pStyle w:val="VEOHRCBodytext"/>
        <w:rPr>
          <w:lang w:eastAsia="en-US"/>
        </w:rPr>
      </w:pPr>
      <w:r w:rsidRPr="00082543">
        <w:rPr>
          <w:lang w:eastAsia="en-US"/>
        </w:rPr>
        <w:t>Our mission is to engage and influence law and policy makers, institutions, communities and individuals to protect and promote human rights in Victoria.</w:t>
      </w:r>
    </w:p>
    <w:p w14:paraId="7FAE19A6" w14:textId="3CF25DB7" w:rsidR="00383CDE" w:rsidRDefault="00EB6CA6" w:rsidP="001542E3">
      <w:pPr>
        <w:pStyle w:val="VEOHRCHeading1"/>
        <w:tabs>
          <w:tab w:val="left" w:pos="5871"/>
        </w:tabs>
      </w:pPr>
      <w:r>
        <w:t xml:space="preserve">Our </w:t>
      </w:r>
      <w:r w:rsidR="00961ABC" w:rsidRPr="00302E8D">
        <w:rPr>
          <w:lang w:val="en-AU"/>
        </w:rPr>
        <w:t>2017</w:t>
      </w:r>
      <w:r w:rsidR="00961ABC">
        <w:t>–</w:t>
      </w:r>
      <w:r w:rsidR="00961ABC">
        <w:rPr>
          <w:lang w:val="en-AU"/>
        </w:rPr>
        <w:t>20</w:t>
      </w:r>
      <w:r>
        <w:t>22 Strategic Plan: Upholding human rights close to home</w:t>
      </w:r>
      <w:bookmarkEnd w:id="12"/>
    </w:p>
    <w:p w14:paraId="4289DEC0" w14:textId="39020C2C" w:rsidR="001542E3" w:rsidRPr="002070DA" w:rsidRDefault="001542E3" w:rsidP="001542E3">
      <w:pPr>
        <w:pStyle w:val="VEOHRCBodytext"/>
      </w:pPr>
      <w:r>
        <w:t xml:space="preserve">In October </w:t>
      </w:r>
      <w:r w:rsidR="00EB6CA6">
        <w:t xml:space="preserve">2017 </w:t>
      </w:r>
      <w:r>
        <w:t>we publish</w:t>
      </w:r>
      <w:r w:rsidR="00EB6CA6">
        <w:t>ed the Commission’s five-</w:t>
      </w:r>
      <w:r>
        <w:t xml:space="preserve">year Strategic Plan, </w:t>
      </w:r>
      <w:r w:rsidRPr="000B0DE9">
        <w:t>which w</w:t>
      </w:r>
      <w:r>
        <w:t>ill guide the Commission’s work</w:t>
      </w:r>
      <w:r w:rsidR="00961ABC">
        <w:t xml:space="preserve"> </w:t>
      </w:r>
      <w:r>
        <w:t xml:space="preserve">from </w:t>
      </w:r>
      <w:r w:rsidRPr="002070DA">
        <w:t>2017</w:t>
      </w:r>
      <w:r w:rsidR="00961ABC">
        <w:t>–20</w:t>
      </w:r>
      <w:r w:rsidRPr="002070DA">
        <w:t xml:space="preserve">22 to achieve our vision for a fair, safe and inclusive Victoria where everyone is respected and treated with dignity. </w:t>
      </w:r>
    </w:p>
    <w:p w14:paraId="7E87B628" w14:textId="77777777" w:rsidR="00082543" w:rsidRPr="00082543" w:rsidRDefault="00082543" w:rsidP="00E2088A">
      <w:pPr>
        <w:pStyle w:val="VEOHRCHeading1"/>
        <w:rPr>
          <w:lang w:eastAsia="en-US"/>
        </w:rPr>
      </w:pPr>
      <w:bookmarkStart w:id="13" w:name="_Toc524536469"/>
      <w:r w:rsidRPr="00082543">
        <w:rPr>
          <w:lang w:eastAsia="en-US"/>
        </w:rPr>
        <w:t>Our priorities</w:t>
      </w:r>
    </w:p>
    <w:p w14:paraId="376426A0" w14:textId="6C2614B3" w:rsidR="00082543" w:rsidRPr="00082543" w:rsidRDefault="00082543" w:rsidP="00E2088A">
      <w:pPr>
        <w:pStyle w:val="VEOHRCBodytext"/>
        <w:rPr>
          <w:lang w:eastAsia="en-US"/>
        </w:rPr>
      </w:pPr>
      <w:r w:rsidRPr="00082543">
        <w:rPr>
          <w:lang w:eastAsia="en-US"/>
        </w:rPr>
        <w:t>Over the next five years we will focus on four strategic priorities. We set these priorities based on how we can best contribute to the change we want to see, taking into account our mandate, expertise and the current needs in the community.</w:t>
      </w:r>
    </w:p>
    <w:p w14:paraId="182A98FA" w14:textId="77777777" w:rsidR="00082543" w:rsidRPr="00082543" w:rsidRDefault="00082543" w:rsidP="00E2088A">
      <w:pPr>
        <w:pStyle w:val="VEOHRCHeading3"/>
        <w:rPr>
          <w:lang w:eastAsia="en-US"/>
        </w:rPr>
      </w:pPr>
      <w:r w:rsidRPr="00082543">
        <w:rPr>
          <w:lang w:eastAsia="en-US"/>
        </w:rPr>
        <w:lastRenderedPageBreak/>
        <w:t>Embedding a human rights culture</w:t>
      </w:r>
    </w:p>
    <w:p w14:paraId="353B61EC" w14:textId="673975AD" w:rsidR="00082543" w:rsidRPr="00082543" w:rsidRDefault="00082543" w:rsidP="00E2088A">
      <w:pPr>
        <w:pStyle w:val="VEOHRCBodytext"/>
        <w:rPr>
          <w:lang w:eastAsia="en-US"/>
        </w:rPr>
      </w:pPr>
      <w:r w:rsidRPr="00082543">
        <w:rPr>
          <w:lang w:eastAsia="en-US"/>
        </w:rPr>
        <w:t>Embedding a human rights culture across government and the broader community through increased knowledge and skills will lead to fairer decisions and outcomes for all Victorians. </w:t>
      </w:r>
    </w:p>
    <w:p w14:paraId="42286FEE" w14:textId="77777777" w:rsidR="00082543" w:rsidRPr="00082543" w:rsidRDefault="00082543" w:rsidP="00E2088A">
      <w:pPr>
        <w:pStyle w:val="VEOHRCHeading3"/>
        <w:rPr>
          <w:lang w:eastAsia="en-US"/>
        </w:rPr>
      </w:pPr>
      <w:r w:rsidRPr="00082543">
        <w:rPr>
          <w:lang w:eastAsia="en-US"/>
        </w:rPr>
        <w:t>Improving workplace equality</w:t>
      </w:r>
    </w:p>
    <w:p w14:paraId="245AC518" w14:textId="22645EEB" w:rsidR="00082543" w:rsidRPr="00082543" w:rsidRDefault="00082543" w:rsidP="00E2088A">
      <w:pPr>
        <w:pStyle w:val="VEOHRCBodytext"/>
        <w:rPr>
          <w:lang w:eastAsia="en-US"/>
        </w:rPr>
      </w:pPr>
      <w:r w:rsidRPr="00082543">
        <w:rPr>
          <w:lang w:eastAsia="en-US"/>
        </w:rPr>
        <w:t>The Commission’s laws provide a strong framework for the protection of equality, safety and inclusion for women and other groups who continue to experience discrimination and harm in employment and workplaces. </w:t>
      </w:r>
    </w:p>
    <w:p w14:paraId="4947F612" w14:textId="77777777" w:rsidR="00082543" w:rsidRPr="00082543" w:rsidRDefault="00082543" w:rsidP="00E2088A">
      <w:pPr>
        <w:pStyle w:val="VEOHRCHeading3"/>
        <w:rPr>
          <w:lang w:eastAsia="en-US"/>
        </w:rPr>
      </w:pPr>
      <w:r w:rsidRPr="00082543">
        <w:rPr>
          <w:lang w:eastAsia="en-US"/>
        </w:rPr>
        <w:t>Protecting human rights in closed environments</w:t>
      </w:r>
    </w:p>
    <w:p w14:paraId="68B7EDE6" w14:textId="5512002A" w:rsidR="00082543" w:rsidRPr="00082543" w:rsidRDefault="00082543" w:rsidP="00E2088A">
      <w:pPr>
        <w:pStyle w:val="VEOHRCBodytext"/>
        <w:rPr>
          <w:lang w:eastAsia="en-US"/>
        </w:rPr>
      </w:pPr>
      <w:r w:rsidRPr="00082543">
        <w:rPr>
          <w:lang w:eastAsia="en-US"/>
        </w:rPr>
        <w:t>In certain closed environments, we see systemic inequality in the overrepresentation of certain groups, for example the significant overrepresentation of Aboriginal children and young people in out-of-home-care and youth custody.</w:t>
      </w:r>
    </w:p>
    <w:p w14:paraId="732E76D4" w14:textId="77777777" w:rsidR="00082543" w:rsidRPr="00082543" w:rsidRDefault="00082543" w:rsidP="00E2088A">
      <w:pPr>
        <w:pStyle w:val="VEOHRCHeading3"/>
        <w:rPr>
          <w:lang w:eastAsia="en-US"/>
        </w:rPr>
      </w:pPr>
      <w:r w:rsidRPr="00082543">
        <w:rPr>
          <w:lang w:eastAsia="en-US"/>
        </w:rPr>
        <w:t>Reducing racism</w:t>
      </w:r>
    </w:p>
    <w:p w14:paraId="5891A0E5" w14:textId="61D251A5" w:rsidR="00082543" w:rsidRPr="00082543" w:rsidRDefault="00082543" w:rsidP="00E2088A">
      <w:pPr>
        <w:pStyle w:val="VEOHRCBodytext"/>
        <w:rPr>
          <w:lang w:eastAsia="en-US"/>
        </w:rPr>
      </w:pPr>
      <w:r w:rsidRPr="00082543">
        <w:rPr>
          <w:lang w:eastAsia="en-US"/>
        </w:rPr>
        <w:t>Significant levels of racism and discrimination are currently directed towards people based on their race and ethnic, cultural or religious background. </w:t>
      </w:r>
    </w:p>
    <w:p w14:paraId="65D65106" w14:textId="77777777" w:rsidR="00082543" w:rsidRPr="00082543" w:rsidRDefault="00082543" w:rsidP="00E2088A">
      <w:pPr>
        <w:pStyle w:val="VEOHRCHeading1"/>
        <w:rPr>
          <w:lang w:eastAsia="en-US"/>
        </w:rPr>
      </w:pPr>
      <w:r w:rsidRPr="00082543">
        <w:rPr>
          <w:lang w:eastAsia="en-US"/>
        </w:rPr>
        <w:t>Our principles</w:t>
      </w:r>
    </w:p>
    <w:p w14:paraId="69EF393B" w14:textId="0EBA0885" w:rsidR="00082543" w:rsidRPr="00082543" w:rsidRDefault="00082543" w:rsidP="00E2088A">
      <w:pPr>
        <w:pStyle w:val="VEOHRCBodytext"/>
        <w:rPr>
          <w:lang w:eastAsia="en-US"/>
        </w:rPr>
      </w:pPr>
      <w:r w:rsidRPr="00082543">
        <w:rPr>
          <w:lang w:eastAsia="en-US"/>
        </w:rPr>
        <w:t>The plan is also guided by four principles about how we will exercise our functions and deliver on our priorities over the next five years.</w:t>
      </w:r>
    </w:p>
    <w:p w14:paraId="19737569" w14:textId="77777777" w:rsidR="00082543" w:rsidRPr="00082543" w:rsidRDefault="00082543" w:rsidP="00E2088A">
      <w:pPr>
        <w:pStyle w:val="VEOHRCHeading3"/>
        <w:rPr>
          <w:lang w:eastAsia="en-US"/>
        </w:rPr>
      </w:pPr>
      <w:r w:rsidRPr="00082543">
        <w:rPr>
          <w:lang w:eastAsia="en-US"/>
        </w:rPr>
        <w:t>Make human rights real</w:t>
      </w:r>
    </w:p>
    <w:p w14:paraId="7D6C02F9" w14:textId="77777777" w:rsidR="00082543" w:rsidRPr="00082543" w:rsidRDefault="00082543" w:rsidP="00E2088A">
      <w:pPr>
        <w:pStyle w:val="VEOHRCBodytext"/>
        <w:rPr>
          <w:lang w:eastAsia="en-US"/>
        </w:rPr>
      </w:pPr>
      <w:r w:rsidRPr="00082543">
        <w:rPr>
          <w:lang w:eastAsia="en-US"/>
        </w:rPr>
        <w:t>We will prioritise storytelling as a vehicle for helping Victorians understand the importance of human rights to their work and lives. We will enhance our digital presence to ensure our information is accessible and well targeted through all parts of Victoria. </w:t>
      </w:r>
    </w:p>
    <w:p w14:paraId="33BB15C0" w14:textId="77777777" w:rsidR="00082543" w:rsidRPr="00082543" w:rsidRDefault="00082543" w:rsidP="00E2088A">
      <w:pPr>
        <w:pStyle w:val="VEOHRCHeading3"/>
        <w:rPr>
          <w:lang w:eastAsia="en-US"/>
        </w:rPr>
      </w:pPr>
      <w:r w:rsidRPr="00082543">
        <w:rPr>
          <w:lang w:eastAsia="en-US"/>
        </w:rPr>
        <w:t>Lead with evidence</w:t>
      </w:r>
    </w:p>
    <w:p w14:paraId="2B3E3401" w14:textId="11E59C61" w:rsidR="00082543" w:rsidRPr="00082543" w:rsidRDefault="00082543" w:rsidP="00E2088A">
      <w:pPr>
        <w:pStyle w:val="VEOHRCBodytext"/>
        <w:rPr>
          <w:lang w:eastAsia="en-US"/>
        </w:rPr>
      </w:pPr>
      <w:r w:rsidRPr="00082543">
        <w:rPr>
          <w:lang w:eastAsia="en-US"/>
        </w:rPr>
        <w:t>Our work will be informed by a rigorous evidence base drawing on our own and others’ research. We will prioritise reflective practice and improve our capability to monitor and evaluate our impact.</w:t>
      </w:r>
    </w:p>
    <w:p w14:paraId="0C5DC842" w14:textId="77777777" w:rsidR="00082543" w:rsidRPr="00082543" w:rsidRDefault="00082543" w:rsidP="00E2088A">
      <w:pPr>
        <w:pStyle w:val="VEOHRCHeading3"/>
        <w:rPr>
          <w:lang w:eastAsia="en-US"/>
        </w:rPr>
      </w:pPr>
      <w:r w:rsidRPr="00082543">
        <w:rPr>
          <w:lang w:eastAsia="en-US"/>
        </w:rPr>
        <w:t>Create enduring change</w:t>
      </w:r>
    </w:p>
    <w:p w14:paraId="04D840CE" w14:textId="77777777" w:rsidR="00082543" w:rsidRPr="00082543" w:rsidRDefault="00082543" w:rsidP="00E2088A">
      <w:pPr>
        <w:pStyle w:val="VEOHRCBodytext"/>
        <w:rPr>
          <w:lang w:eastAsia="en-US"/>
        </w:rPr>
      </w:pPr>
      <w:r w:rsidRPr="00082543">
        <w:rPr>
          <w:lang w:eastAsia="en-US"/>
        </w:rPr>
        <w:t>We will focus on work that leads to transformative change. In doing this, we will develop and maintain strategic and influential relationships and partnerships across government, the community and business. </w:t>
      </w:r>
    </w:p>
    <w:p w14:paraId="773AD47B" w14:textId="77777777" w:rsidR="00082543" w:rsidRPr="00082543" w:rsidRDefault="00082543" w:rsidP="00E2088A">
      <w:pPr>
        <w:pStyle w:val="VEOHRCHeading3"/>
        <w:rPr>
          <w:lang w:eastAsia="en-US"/>
        </w:rPr>
      </w:pPr>
      <w:r w:rsidRPr="00082543">
        <w:rPr>
          <w:lang w:eastAsia="en-US"/>
        </w:rPr>
        <w:t>Be the best we can be</w:t>
      </w:r>
    </w:p>
    <w:p w14:paraId="26F674FC" w14:textId="4B8E36DA" w:rsidR="00082543" w:rsidRPr="00082543" w:rsidRDefault="00082543" w:rsidP="00E2088A">
      <w:pPr>
        <w:pStyle w:val="VEOHRCBodytext"/>
        <w:rPr>
          <w:lang w:eastAsia="en-US"/>
        </w:rPr>
      </w:pPr>
      <w:r w:rsidRPr="00082543">
        <w:rPr>
          <w:lang w:eastAsia="en-US"/>
        </w:rPr>
        <w:t>We will develop and maintain a high performing team that thinks critically and carefully about all of its work. We will lead by example by nurturing a diverse and respectful workplace. We will invest in our organisation and staff to build capability, be creative and ensure strong governance and operations.</w:t>
      </w:r>
    </w:p>
    <w:p w14:paraId="4BCEA50E" w14:textId="17C25EDF" w:rsidR="00C62FA1" w:rsidRPr="00E366EB" w:rsidRDefault="00E366EB" w:rsidP="00E366EB">
      <w:pPr>
        <w:pStyle w:val="VEOHRCHeading1"/>
        <w:rPr>
          <w:lang w:eastAsia="en-US"/>
        </w:rPr>
      </w:pPr>
      <w:r w:rsidRPr="00E366EB">
        <w:rPr>
          <w:lang w:eastAsia="en-US"/>
        </w:rPr>
        <w:t>Organisational structure</w:t>
      </w:r>
      <w:bookmarkEnd w:id="13"/>
    </w:p>
    <w:p w14:paraId="4430E196" w14:textId="224B04E5" w:rsidR="00082543" w:rsidRPr="00082543" w:rsidRDefault="00082543" w:rsidP="00A12985">
      <w:pPr>
        <w:pStyle w:val="VEOHRCBodytext"/>
        <w:rPr>
          <w:lang w:eastAsia="en-US"/>
        </w:rPr>
      </w:pPr>
      <w:r w:rsidRPr="00082543">
        <w:rPr>
          <w:lang w:eastAsia="en-US"/>
        </w:rPr>
        <w:t>The Commissioner leads six branches to deliver the work of the Commission. These branches work in a collaborative way to bring different skills and expertise to bear on particular issues. The Commission has a Board of Governance comprising up to seven members appointed by the Governor-in-Council on the recommendation of the Attorney-General.</w:t>
      </w:r>
    </w:p>
    <w:p w14:paraId="726AB5E7" w14:textId="77777777" w:rsidR="00082543" w:rsidRPr="00082543" w:rsidRDefault="00082543" w:rsidP="00E2088A">
      <w:pPr>
        <w:pStyle w:val="VEOHRCHeading3"/>
        <w:rPr>
          <w:lang w:eastAsia="en-US"/>
        </w:rPr>
      </w:pPr>
      <w:r w:rsidRPr="00082543">
        <w:rPr>
          <w:lang w:eastAsia="en-US"/>
        </w:rPr>
        <w:lastRenderedPageBreak/>
        <w:t>Executive Branch</w:t>
      </w:r>
    </w:p>
    <w:p w14:paraId="02D14B1E" w14:textId="77777777" w:rsidR="00082543" w:rsidRPr="00082543" w:rsidRDefault="00082543" w:rsidP="00E2088A">
      <w:pPr>
        <w:pStyle w:val="VEOHRCBodytext"/>
        <w:rPr>
          <w:lang w:eastAsia="en-US"/>
        </w:rPr>
      </w:pPr>
      <w:r w:rsidRPr="00082543">
        <w:rPr>
          <w:lang w:eastAsia="en-US"/>
        </w:rPr>
        <w:t>Provides strategic and administrative support to the Commissioner and Executive Director, manages relationships with key government stakeholders, coordinates the Commission’s work flow and provides a secretariat function to the Board.</w:t>
      </w:r>
    </w:p>
    <w:p w14:paraId="323B7C77" w14:textId="77777777" w:rsidR="00082543" w:rsidRPr="00082543" w:rsidRDefault="00082543" w:rsidP="00E2088A">
      <w:pPr>
        <w:pStyle w:val="VEOHRCHeading3"/>
        <w:rPr>
          <w:lang w:eastAsia="en-US"/>
        </w:rPr>
      </w:pPr>
      <w:r w:rsidRPr="00082543">
        <w:rPr>
          <w:lang w:eastAsia="en-US"/>
        </w:rPr>
        <w:t>Legal and Dispute Resolution</w:t>
      </w:r>
    </w:p>
    <w:p w14:paraId="2F22AE69" w14:textId="77777777" w:rsidR="00082543" w:rsidRPr="00082543" w:rsidRDefault="00082543" w:rsidP="00E2088A">
      <w:pPr>
        <w:pStyle w:val="VEOHRCBodytext"/>
        <w:rPr>
          <w:lang w:eastAsia="en-US"/>
        </w:rPr>
      </w:pPr>
      <w:r w:rsidRPr="00082543">
        <w:rPr>
          <w:lang w:eastAsia="en-US"/>
        </w:rPr>
        <w:t>Leads the Commission’s dispute resolution service, its court and tribunal intervention, Charter of Human Rights reporting and investigation functions. It also provides expert legal advice to the Commission.</w:t>
      </w:r>
    </w:p>
    <w:p w14:paraId="6089C011" w14:textId="77777777" w:rsidR="00082543" w:rsidRPr="00082543" w:rsidRDefault="00082543" w:rsidP="00E2088A">
      <w:pPr>
        <w:pStyle w:val="VEOHRCHeading3"/>
        <w:rPr>
          <w:lang w:eastAsia="en-US"/>
        </w:rPr>
      </w:pPr>
      <w:r w:rsidRPr="00082543">
        <w:rPr>
          <w:lang w:eastAsia="en-US"/>
        </w:rPr>
        <w:t>Education and Engagement</w:t>
      </w:r>
    </w:p>
    <w:p w14:paraId="1F9A48C9" w14:textId="77777777" w:rsidR="00082543" w:rsidRPr="00082543" w:rsidRDefault="00082543" w:rsidP="00E2088A">
      <w:pPr>
        <w:pStyle w:val="VEOHRCBodytext"/>
        <w:rPr>
          <w:lang w:eastAsia="en-US"/>
        </w:rPr>
      </w:pPr>
      <w:r w:rsidRPr="00082543">
        <w:rPr>
          <w:lang w:eastAsia="en-US"/>
        </w:rPr>
        <w:t>Provides a range of services, including tailored and innovative digital information and education, face-to-face training and consultancy, community capacity building and workplace solutions. These services aim to reduce discrimination, overcome systemic and attitudinal barriers and incorporate an approach to service delivery and decision making that is based on human rights.</w:t>
      </w:r>
    </w:p>
    <w:p w14:paraId="44894748" w14:textId="77777777" w:rsidR="00082543" w:rsidRPr="00082543" w:rsidRDefault="00082543" w:rsidP="00E2088A">
      <w:pPr>
        <w:pStyle w:val="VEOHRCHeading3"/>
        <w:rPr>
          <w:lang w:eastAsia="en-US"/>
        </w:rPr>
      </w:pPr>
      <w:r w:rsidRPr="00082543">
        <w:rPr>
          <w:lang w:eastAsia="en-US"/>
        </w:rPr>
        <w:t>Policy and Research</w:t>
      </w:r>
    </w:p>
    <w:p w14:paraId="618077D6" w14:textId="29DB1DF1" w:rsidR="00082543" w:rsidRPr="00082543" w:rsidRDefault="00082543" w:rsidP="00E2088A">
      <w:pPr>
        <w:pStyle w:val="VEOHRCBodytext"/>
        <w:rPr>
          <w:lang w:eastAsia="en-US"/>
        </w:rPr>
      </w:pPr>
      <w:r w:rsidRPr="00082543">
        <w:rPr>
          <w:lang w:eastAsia="en-US"/>
        </w:rPr>
        <w:t>Identifies and addresses systemic equal opportunity and human rights issues in Victoria by providing policy advice and conducting best practice research to build a strong evidence base. The branch also leads the Commission’s reviews of organisational programs and practices to determine compliance with the Equal Opportunity Act and the Charter of Human Rights and Responsibilities.</w:t>
      </w:r>
    </w:p>
    <w:p w14:paraId="18822F0D" w14:textId="77777777" w:rsidR="00082543" w:rsidRPr="00082543" w:rsidRDefault="00082543" w:rsidP="00E2088A">
      <w:pPr>
        <w:pStyle w:val="VEOHRCHeading3"/>
        <w:rPr>
          <w:lang w:eastAsia="en-US"/>
        </w:rPr>
      </w:pPr>
      <w:r w:rsidRPr="00082543">
        <w:rPr>
          <w:lang w:eastAsia="en-US"/>
        </w:rPr>
        <w:t>Communications and Campaigns</w:t>
      </w:r>
    </w:p>
    <w:p w14:paraId="5553C530" w14:textId="77777777" w:rsidR="00082543" w:rsidRPr="00082543" w:rsidRDefault="00082543" w:rsidP="00E2088A">
      <w:pPr>
        <w:pStyle w:val="VEOHRCBodytext"/>
        <w:rPr>
          <w:lang w:eastAsia="en-US"/>
        </w:rPr>
      </w:pPr>
      <w:r w:rsidRPr="00082543">
        <w:rPr>
          <w:lang w:eastAsia="en-US"/>
        </w:rPr>
        <w:t>Manages campaigns to increase awareness, build compliance, and maintain a strong public voice on human rights and equal opportunity issues. The branch manages media liaison and provides specialist expertise and communication services across all the Commission’s functions.</w:t>
      </w:r>
    </w:p>
    <w:p w14:paraId="09C09683" w14:textId="77777777" w:rsidR="00082543" w:rsidRPr="00082543" w:rsidRDefault="00082543" w:rsidP="00E2088A">
      <w:pPr>
        <w:pStyle w:val="VEOHRCHeading3"/>
        <w:rPr>
          <w:lang w:eastAsia="en-US"/>
        </w:rPr>
      </w:pPr>
      <w:r w:rsidRPr="00082543">
        <w:rPr>
          <w:lang w:eastAsia="en-US"/>
        </w:rPr>
        <w:t>Business Services</w:t>
      </w:r>
    </w:p>
    <w:p w14:paraId="3C5ACB6C" w14:textId="56186ABC" w:rsidR="00082543" w:rsidRPr="00082543" w:rsidRDefault="00082543" w:rsidP="00E2088A">
      <w:pPr>
        <w:pStyle w:val="VEOHRCBodytext"/>
        <w:rPr>
          <w:lang w:eastAsia="en-US"/>
        </w:rPr>
      </w:pPr>
      <w:r w:rsidRPr="00082543">
        <w:rPr>
          <w:lang w:eastAsia="en-US"/>
        </w:rPr>
        <w:t>Supports and enables a professional, engaged and high-performing workforce and culture and provides organisational support for the Commission’s finance, people and culture, information management and technology, and office administration functions.</w:t>
      </w:r>
    </w:p>
    <w:p w14:paraId="4C1213B3" w14:textId="77777777" w:rsidR="00876966" w:rsidRPr="00B80144" w:rsidRDefault="00876966" w:rsidP="00B80144">
      <w:pPr>
        <w:pStyle w:val="VEOHRCBodytext"/>
      </w:pPr>
      <w:r>
        <w:rPr>
          <w:lang w:eastAsia="en-US"/>
        </w:rPr>
        <w:br w:type="page"/>
      </w:r>
    </w:p>
    <w:p w14:paraId="221C873F" w14:textId="24540025" w:rsidR="00BB4E4D" w:rsidRDefault="004B2AAA" w:rsidP="00833C18">
      <w:pPr>
        <w:pStyle w:val="VEOHRCChapterTitle"/>
        <w:rPr>
          <w:lang w:eastAsia="en-US"/>
        </w:rPr>
      </w:pPr>
      <w:bookmarkStart w:id="14" w:name="_Toc524536470"/>
      <w:r>
        <w:rPr>
          <w:lang w:eastAsia="en-US"/>
        </w:rPr>
        <w:lastRenderedPageBreak/>
        <w:t xml:space="preserve">Section 2: </w:t>
      </w:r>
      <w:r w:rsidR="00982E9A">
        <w:rPr>
          <w:lang w:eastAsia="en-US"/>
        </w:rPr>
        <w:t>2017–</w:t>
      </w:r>
      <w:r w:rsidR="00D73A77">
        <w:rPr>
          <w:lang w:eastAsia="en-US"/>
        </w:rPr>
        <w:t>18 in review</w:t>
      </w:r>
      <w:bookmarkEnd w:id="14"/>
    </w:p>
    <w:p w14:paraId="70F12FE7" w14:textId="46F9A4FD" w:rsidR="00082543" w:rsidRDefault="00082543" w:rsidP="00A12985">
      <w:pPr>
        <w:pStyle w:val="VEOHRCBodytext"/>
        <w:rPr>
          <w:lang w:eastAsia="en-US"/>
        </w:rPr>
      </w:pPr>
      <w:r w:rsidRPr="00082543">
        <w:rPr>
          <w:lang w:eastAsia="en-US"/>
        </w:rPr>
        <w:t>The Commission is an independent statutory body with responsibilities under Victoria’s key human rights laws: the Equal Opportunity Act, the Racial and Religious Tolerance Act and the Charter of Human Rights and Responsibilities. </w:t>
      </w:r>
    </w:p>
    <w:p w14:paraId="443A7341" w14:textId="004D31FF" w:rsidR="00082543" w:rsidRPr="00082543" w:rsidRDefault="00082543" w:rsidP="00A12985">
      <w:pPr>
        <w:pStyle w:val="VEOHRCBodytext"/>
        <w:rPr>
          <w:lang w:eastAsia="en-US"/>
        </w:rPr>
      </w:pPr>
      <w:r w:rsidRPr="00082543">
        <w:rPr>
          <w:lang w:eastAsia="en-US"/>
        </w:rPr>
        <w:t>Our role is to protect and promote human rights in Victoria, and we do this through a range of functions under our laws. These functions cover our important day-to-day work, as well as key projects and initiatives, and enable us to: </w:t>
      </w:r>
    </w:p>
    <w:p w14:paraId="628842CF" w14:textId="77777777" w:rsidR="00892941" w:rsidRDefault="00892941" w:rsidP="000420D8">
      <w:pPr>
        <w:pStyle w:val="VEOHRCListBullet"/>
        <w:sectPr w:rsidR="00892941" w:rsidSect="00E2047F">
          <w:headerReference w:type="default" r:id="rId17"/>
          <w:footerReference w:type="even" r:id="rId18"/>
          <w:footerReference w:type="default" r:id="rId19"/>
          <w:pgSz w:w="11906" w:h="16838" w:code="9"/>
          <w:pgMar w:top="1134" w:right="1418" w:bottom="1134" w:left="1418" w:header="709" w:footer="272" w:gutter="0"/>
          <w:cols w:space="708"/>
          <w:titlePg/>
          <w:docGrid w:linePitch="360"/>
        </w:sectPr>
      </w:pPr>
    </w:p>
    <w:p w14:paraId="2B76ECCD" w14:textId="32FBC3C3" w:rsidR="000420D8" w:rsidRPr="00C815D5" w:rsidRDefault="00A212AB" w:rsidP="000420D8">
      <w:pPr>
        <w:pStyle w:val="VEOHRCListBullet"/>
      </w:pPr>
      <w:r>
        <w:t>r</w:t>
      </w:r>
      <w:r w:rsidR="000420D8" w:rsidRPr="00C815D5">
        <w:t>esolv</w:t>
      </w:r>
      <w:r>
        <w:t xml:space="preserve">e </w:t>
      </w:r>
      <w:r w:rsidR="00C815D5">
        <w:t>c</w:t>
      </w:r>
      <w:r w:rsidR="000420D8" w:rsidRPr="00C815D5">
        <w:t>omplaints</w:t>
      </w:r>
    </w:p>
    <w:p w14:paraId="6A266A05" w14:textId="00EF4FE0" w:rsidR="000420D8" w:rsidRPr="00C815D5" w:rsidRDefault="00C815D5" w:rsidP="000420D8">
      <w:pPr>
        <w:pStyle w:val="VEOHRCListBullet"/>
      </w:pPr>
      <w:r>
        <w:t>r</w:t>
      </w:r>
      <w:r w:rsidR="000420D8" w:rsidRPr="00C815D5">
        <w:t>esearch</w:t>
      </w:r>
    </w:p>
    <w:p w14:paraId="3B43EB2C" w14:textId="0167D331" w:rsidR="000420D8" w:rsidRPr="00C815D5" w:rsidRDefault="00C815D5" w:rsidP="000420D8">
      <w:pPr>
        <w:pStyle w:val="VEOHRCListBullet"/>
      </w:pPr>
      <w:r>
        <w:t>e</w:t>
      </w:r>
      <w:r w:rsidR="000420D8" w:rsidRPr="00C815D5">
        <w:t>ducat</w:t>
      </w:r>
      <w:r w:rsidR="00A212AB">
        <w:t>e</w:t>
      </w:r>
    </w:p>
    <w:p w14:paraId="4F7F371D" w14:textId="2361D596" w:rsidR="000420D8" w:rsidRPr="00C815D5" w:rsidRDefault="00C815D5" w:rsidP="000420D8">
      <w:pPr>
        <w:pStyle w:val="VEOHRCListBullet"/>
      </w:pPr>
      <w:r>
        <w:t>a</w:t>
      </w:r>
      <w:r w:rsidR="000420D8" w:rsidRPr="00C815D5">
        <w:t>dvoca</w:t>
      </w:r>
      <w:r w:rsidR="00A212AB">
        <w:t>te</w:t>
      </w:r>
    </w:p>
    <w:p w14:paraId="2CF864F2" w14:textId="72C070A3" w:rsidR="000420D8" w:rsidRPr="00C815D5" w:rsidRDefault="00C815D5" w:rsidP="000420D8">
      <w:pPr>
        <w:pStyle w:val="VEOHRCListBullet"/>
      </w:pPr>
      <w:r>
        <w:t>m</w:t>
      </w:r>
      <w:r w:rsidR="000420D8" w:rsidRPr="00C815D5">
        <w:t>onitor</w:t>
      </w:r>
    </w:p>
    <w:p w14:paraId="3326EB47" w14:textId="566F2628" w:rsidR="00892941" w:rsidRDefault="00C815D5" w:rsidP="000420D8">
      <w:pPr>
        <w:pStyle w:val="VEOHRCListBullet"/>
      </w:pPr>
      <w:r>
        <w:t>e</w:t>
      </w:r>
      <w:r w:rsidR="00892941">
        <w:t>nforc</w:t>
      </w:r>
      <w:r w:rsidR="00A212AB">
        <w:t>e</w:t>
      </w:r>
      <w:r w:rsidR="001A4998">
        <w:t>.</w:t>
      </w:r>
    </w:p>
    <w:p w14:paraId="7962A3F1" w14:textId="77777777" w:rsidR="007B76BD" w:rsidRDefault="007B76BD" w:rsidP="001A4998">
      <w:pPr>
        <w:pStyle w:val="VEOHRCListBullet"/>
        <w:numPr>
          <w:ilvl w:val="0"/>
          <w:numId w:val="0"/>
        </w:numPr>
        <w:ind w:left="360"/>
        <w:sectPr w:rsidR="007B76BD" w:rsidSect="00892941">
          <w:type w:val="continuous"/>
          <w:pgSz w:w="11906" w:h="16838" w:code="9"/>
          <w:pgMar w:top="1134" w:right="1418" w:bottom="1134" w:left="1418" w:header="709" w:footer="272" w:gutter="0"/>
          <w:cols w:num="2" w:space="708"/>
          <w:titlePg/>
          <w:docGrid w:linePitch="360"/>
        </w:sectPr>
      </w:pPr>
    </w:p>
    <w:p w14:paraId="50423F4F" w14:textId="73DB1C9C" w:rsidR="00082543" w:rsidRPr="00082543" w:rsidRDefault="00082543" w:rsidP="00E2088A">
      <w:pPr>
        <w:pStyle w:val="VEOHRCBodytext"/>
        <w:rPr>
          <w:lang w:eastAsia="en-US"/>
        </w:rPr>
      </w:pPr>
      <w:r w:rsidRPr="00082543">
        <w:rPr>
          <w:lang w:eastAsia="en-US"/>
        </w:rPr>
        <w:t>In 2017–18 we undertook a wide range of work under these functions, as well as projects that aim to increase the impact of our work and build a stronger, more effective organisation.</w:t>
      </w:r>
    </w:p>
    <w:p w14:paraId="188395F0" w14:textId="77777777" w:rsidR="00082543" w:rsidRPr="00082543" w:rsidRDefault="00082543" w:rsidP="00E2088A">
      <w:pPr>
        <w:pStyle w:val="VEOHRCHeading1"/>
        <w:rPr>
          <w:lang w:eastAsia="en-US"/>
        </w:rPr>
      </w:pPr>
      <w:r w:rsidRPr="00082543">
        <w:rPr>
          <w:lang w:eastAsia="en-US"/>
        </w:rPr>
        <w:t>Resolve complaints</w:t>
      </w:r>
    </w:p>
    <w:p w14:paraId="0B1BE2AB" w14:textId="37E58AED" w:rsidR="00082543" w:rsidRPr="00C715B8" w:rsidRDefault="00082543" w:rsidP="00C715B8">
      <w:pPr>
        <w:pStyle w:val="VEOHRCBodytext"/>
        <w:rPr>
          <w:b/>
          <w:lang w:eastAsia="en-US"/>
        </w:rPr>
      </w:pPr>
      <w:r w:rsidRPr="00C715B8">
        <w:rPr>
          <w:b/>
          <w:lang w:eastAsia="en-US"/>
        </w:rPr>
        <w:t>We resolve complaints of discrimination, sexual harassment, victimisation and racial and religious vilification through our free and confidential dispute resolution service.</w:t>
      </w:r>
    </w:p>
    <w:p w14:paraId="47D382BA" w14:textId="77777777" w:rsidR="00082543" w:rsidRPr="00082543" w:rsidRDefault="00082543" w:rsidP="00E2088A">
      <w:pPr>
        <w:pStyle w:val="VEOHRCHeading2"/>
        <w:rPr>
          <w:lang w:eastAsia="en-US"/>
        </w:rPr>
      </w:pPr>
      <w:r w:rsidRPr="00082543">
        <w:rPr>
          <w:lang w:eastAsia="en-US"/>
        </w:rPr>
        <w:t>Dispute resolution service</w:t>
      </w:r>
    </w:p>
    <w:p w14:paraId="184AF3C9" w14:textId="77777777" w:rsidR="00082543" w:rsidRPr="00082543" w:rsidRDefault="00082543" w:rsidP="00E2088A">
      <w:pPr>
        <w:pStyle w:val="VEOHRCBodytext"/>
        <w:rPr>
          <w:lang w:eastAsia="en-US"/>
        </w:rPr>
      </w:pPr>
      <w:r w:rsidRPr="00082543">
        <w:rPr>
          <w:lang w:eastAsia="en-US"/>
        </w:rPr>
        <w:t xml:space="preserve">The Commission provides a dispute resolution service under the Equal Opportunity Act and Racial and Religious Tolerance Act. </w:t>
      </w:r>
    </w:p>
    <w:p w14:paraId="0E77342C" w14:textId="77777777" w:rsidR="00082543" w:rsidRPr="00082543" w:rsidRDefault="00082543" w:rsidP="00E2088A">
      <w:pPr>
        <w:pStyle w:val="VEOHRCBodytext"/>
        <w:rPr>
          <w:lang w:eastAsia="en-US"/>
        </w:rPr>
      </w:pPr>
      <w:r w:rsidRPr="00082543">
        <w:rPr>
          <w:lang w:eastAsia="en-US"/>
        </w:rPr>
        <w:t>The dispute resolution service is central to the Commission’s role in protecting and promoting human rights. It is not just about resolving complaints, it is also an opportunity to achieve more systemic change, for example, through educating workplaces on their legal obligations, or facilitating changes to policies and practices for a sporting club, school, government department or hospital. </w:t>
      </w:r>
    </w:p>
    <w:p w14:paraId="0E1940C6" w14:textId="77777777" w:rsidR="00082543" w:rsidRPr="00082543" w:rsidRDefault="00082543" w:rsidP="00E2088A">
      <w:pPr>
        <w:pStyle w:val="VEOHRCBodytext"/>
        <w:rPr>
          <w:lang w:eastAsia="en-US"/>
        </w:rPr>
      </w:pPr>
      <w:r w:rsidRPr="00082543">
        <w:rPr>
          <w:lang w:eastAsia="en-US"/>
        </w:rPr>
        <w:t>The Commission records data on the number of complainants who request access to the dispute resolution service. A complaint file is created for each complainant. A complaint file may contain a number of different complaint issues (for example, a complaint file might include an issue of sexual harassment in the workplace as well as discrimination on the basis of race). </w:t>
      </w:r>
    </w:p>
    <w:p w14:paraId="79D695A9" w14:textId="77777777" w:rsidR="00082543" w:rsidRPr="00082543" w:rsidRDefault="00082543" w:rsidP="00E2088A">
      <w:pPr>
        <w:pStyle w:val="VEOHRCBodytext"/>
        <w:rPr>
          <w:lang w:eastAsia="en-US"/>
        </w:rPr>
      </w:pPr>
      <w:r w:rsidRPr="00082543">
        <w:rPr>
          <w:lang w:eastAsia="en-US"/>
        </w:rPr>
        <w:t>Over the past three years, the Commission received the following number of complaint files:</w:t>
      </w:r>
    </w:p>
    <w:p w14:paraId="6A1908DA" w14:textId="0D6ACA72" w:rsidR="00D54BAC" w:rsidRPr="000420D8" w:rsidRDefault="00D54BAC" w:rsidP="00D54BAC">
      <w:pPr>
        <w:pStyle w:val="VEOHRCBodytext"/>
      </w:pPr>
      <w:r w:rsidRPr="000420D8">
        <w:rPr>
          <w:b/>
        </w:rPr>
        <w:t>2015</w:t>
      </w:r>
      <w:r w:rsidR="00982E9A" w:rsidRPr="00982E9A">
        <w:rPr>
          <w:rFonts w:cs="Arial"/>
          <w:b/>
          <w:lang w:val="en-US"/>
        </w:rPr>
        <w:t>–</w:t>
      </w:r>
      <w:r w:rsidRPr="000420D8">
        <w:rPr>
          <w:b/>
        </w:rPr>
        <w:t>16</w:t>
      </w:r>
      <w:r w:rsidRPr="000420D8">
        <w:tab/>
      </w:r>
      <w:r w:rsidRPr="000420D8">
        <w:tab/>
        <w:t xml:space="preserve">865 files raising 2116 </w:t>
      </w:r>
      <w:r w:rsidR="00572F99">
        <w:t>issues</w:t>
      </w:r>
      <w:r w:rsidRPr="000420D8">
        <w:t xml:space="preserve"> </w:t>
      </w:r>
    </w:p>
    <w:p w14:paraId="5D758B9B" w14:textId="559131F0" w:rsidR="00D54BAC" w:rsidRPr="000420D8" w:rsidRDefault="00D54BAC" w:rsidP="00D54BAC">
      <w:pPr>
        <w:pStyle w:val="VEOHRCBodytext"/>
      </w:pPr>
      <w:r w:rsidRPr="000420D8">
        <w:rPr>
          <w:b/>
        </w:rPr>
        <w:t>2016</w:t>
      </w:r>
      <w:r w:rsidR="00982E9A" w:rsidRPr="00982E9A">
        <w:rPr>
          <w:rFonts w:cs="Arial"/>
          <w:b/>
          <w:lang w:val="en-US"/>
        </w:rPr>
        <w:t>–</w:t>
      </w:r>
      <w:r w:rsidRPr="000420D8">
        <w:rPr>
          <w:b/>
        </w:rPr>
        <w:t>17</w:t>
      </w:r>
      <w:r w:rsidRPr="000420D8">
        <w:tab/>
      </w:r>
      <w:r w:rsidRPr="000420D8">
        <w:tab/>
        <w:t xml:space="preserve">748 files raising 1906 </w:t>
      </w:r>
      <w:r w:rsidR="00572F99">
        <w:t>issues</w:t>
      </w:r>
    </w:p>
    <w:p w14:paraId="01798F2E" w14:textId="7A913145" w:rsidR="00D54BAC" w:rsidRPr="000420D8" w:rsidRDefault="00D54BAC" w:rsidP="00D54BAC">
      <w:pPr>
        <w:pStyle w:val="VEOHRCBodytext"/>
      </w:pPr>
      <w:r w:rsidRPr="000420D8">
        <w:rPr>
          <w:b/>
        </w:rPr>
        <w:t>2017</w:t>
      </w:r>
      <w:r w:rsidR="00982E9A" w:rsidRPr="00982E9A">
        <w:rPr>
          <w:rFonts w:cs="Arial"/>
          <w:b/>
          <w:lang w:val="en-US"/>
        </w:rPr>
        <w:t>–</w:t>
      </w:r>
      <w:r w:rsidRPr="000420D8">
        <w:rPr>
          <w:b/>
        </w:rPr>
        <w:t>18</w:t>
      </w:r>
      <w:r w:rsidRPr="000420D8">
        <w:tab/>
      </w:r>
      <w:r w:rsidRPr="000420D8">
        <w:tab/>
      </w:r>
      <w:r w:rsidR="0029634D" w:rsidRPr="0029634D">
        <w:t xml:space="preserve">908 files raising 2246 </w:t>
      </w:r>
      <w:r w:rsidR="00572F99">
        <w:t>issues</w:t>
      </w:r>
    </w:p>
    <w:p w14:paraId="60924AB9" w14:textId="77777777" w:rsidR="003869DC" w:rsidRPr="003869DC" w:rsidRDefault="003869DC" w:rsidP="00E2088A">
      <w:pPr>
        <w:pStyle w:val="VEOHRCBodytext"/>
        <w:rPr>
          <w:lang w:eastAsia="en-US"/>
        </w:rPr>
      </w:pPr>
      <w:r w:rsidRPr="003869DC">
        <w:rPr>
          <w:lang w:eastAsia="en-US"/>
        </w:rPr>
        <w:t>The Commission finalised 941 complaint files in 2017–18, including some files that were opened in the previous financial year.</w:t>
      </w:r>
    </w:p>
    <w:p w14:paraId="6749824F" w14:textId="77777777" w:rsidR="003869DC" w:rsidRPr="003869DC" w:rsidRDefault="003869DC" w:rsidP="00E2088A">
      <w:pPr>
        <w:pStyle w:val="VEOHRCBodytext"/>
        <w:rPr>
          <w:lang w:eastAsia="en-US"/>
        </w:rPr>
      </w:pPr>
    </w:p>
    <w:p w14:paraId="0A18F39C" w14:textId="0D54DAD4" w:rsidR="003869DC" w:rsidRPr="003869DC" w:rsidRDefault="003869DC" w:rsidP="00A12985">
      <w:pPr>
        <w:pStyle w:val="VEOHRCBodytext"/>
        <w:rPr>
          <w:lang w:eastAsia="en-US"/>
        </w:rPr>
      </w:pPr>
      <w:r w:rsidRPr="003869DC">
        <w:rPr>
          <w:lang w:eastAsia="en-US"/>
        </w:rPr>
        <w:t xml:space="preserve">This year we saw an 88 per cent increase in the number of complaints about </w:t>
      </w:r>
      <w:r w:rsidRPr="00A12985">
        <w:rPr>
          <w:b/>
          <w:lang w:eastAsia="en-US"/>
        </w:rPr>
        <w:t>race</w:t>
      </w:r>
      <w:r w:rsidRPr="003869DC">
        <w:rPr>
          <w:lang w:eastAsia="en-US"/>
        </w:rPr>
        <w:t xml:space="preserve">, a </w:t>
      </w:r>
      <w:r w:rsidRPr="00A12985">
        <w:rPr>
          <w:b/>
          <w:lang w:eastAsia="en-US"/>
        </w:rPr>
        <w:t xml:space="preserve">31 per cent increase </w:t>
      </w:r>
      <w:r w:rsidRPr="003869DC">
        <w:rPr>
          <w:lang w:eastAsia="en-US"/>
        </w:rPr>
        <w:t xml:space="preserve">of complaints about </w:t>
      </w:r>
      <w:r w:rsidRPr="00A12985">
        <w:rPr>
          <w:b/>
          <w:lang w:eastAsia="en-US"/>
        </w:rPr>
        <w:t xml:space="preserve">sex </w:t>
      </w:r>
      <w:r w:rsidRPr="003869DC">
        <w:rPr>
          <w:lang w:eastAsia="en-US"/>
        </w:rPr>
        <w:t xml:space="preserve">and an almost </w:t>
      </w:r>
      <w:r w:rsidRPr="00A12985">
        <w:rPr>
          <w:b/>
          <w:lang w:eastAsia="en-US"/>
        </w:rPr>
        <w:t xml:space="preserve">20 per cent increase </w:t>
      </w:r>
      <w:r w:rsidRPr="003869DC">
        <w:rPr>
          <w:lang w:eastAsia="en-US"/>
        </w:rPr>
        <w:t xml:space="preserve">in complaints about </w:t>
      </w:r>
      <w:r w:rsidRPr="00A12985">
        <w:rPr>
          <w:b/>
          <w:lang w:eastAsia="en-US"/>
        </w:rPr>
        <w:t>sexual harassment</w:t>
      </w:r>
      <w:r w:rsidRPr="003869DC">
        <w:rPr>
          <w:lang w:eastAsia="en-US"/>
        </w:rPr>
        <w:t>. </w:t>
      </w:r>
    </w:p>
    <w:p w14:paraId="7A465227" w14:textId="0B5BC219" w:rsidR="003869DC" w:rsidRPr="003869DC" w:rsidRDefault="003869DC" w:rsidP="00A12985">
      <w:pPr>
        <w:pStyle w:val="VEOHRCBodytext"/>
        <w:rPr>
          <w:lang w:eastAsia="en-US"/>
        </w:rPr>
      </w:pPr>
      <w:r w:rsidRPr="003869DC">
        <w:rPr>
          <w:lang w:eastAsia="en-US"/>
        </w:rPr>
        <w:lastRenderedPageBreak/>
        <w:t xml:space="preserve">The Commission finalised 76 per cent of complaint files within six months of receipt. Of all complaint files finalised 31 per cent were resolved. Finalised files also consist of those withdrawn by complainant or respondent and where dispute resolution was not offered. Where conciliation was attempted 64 per cent were resolved. A </w:t>
      </w:r>
      <w:r w:rsidRPr="00A12985">
        <w:rPr>
          <w:b/>
          <w:lang w:eastAsia="en-US"/>
        </w:rPr>
        <w:t>customer satisfaction rating of 98 per cent</w:t>
      </w:r>
      <w:r w:rsidRPr="003869DC">
        <w:rPr>
          <w:lang w:eastAsia="en-US"/>
        </w:rPr>
        <w:t xml:space="preserve"> was achieved by the Dispute Resolution Unit. </w:t>
      </w:r>
    </w:p>
    <w:p w14:paraId="76CAA1FE" w14:textId="5A31ECB5" w:rsidR="003869DC" w:rsidRPr="003869DC" w:rsidRDefault="003869DC" w:rsidP="00E2088A">
      <w:pPr>
        <w:pStyle w:val="VEOHRCBodytext"/>
        <w:rPr>
          <w:lang w:eastAsia="en-US"/>
        </w:rPr>
      </w:pPr>
      <w:r w:rsidRPr="003869DC">
        <w:rPr>
          <w:lang w:eastAsia="en-US"/>
        </w:rPr>
        <w:t>In 2017–18 we conducted an independent process review of our dispute resolution service to help guide us on how we can provide the best service to consumers. Recommendations from the review will be implemented in the coming year. </w:t>
      </w:r>
    </w:p>
    <w:p w14:paraId="63953B9E" w14:textId="11199A2E" w:rsidR="004F561E" w:rsidRDefault="004F561E" w:rsidP="004F561E">
      <w:pPr>
        <w:pStyle w:val="VEOHRCHeading4"/>
      </w:pPr>
      <w:r>
        <w:t>10 most common attributes of complaint under the Equal Opportunity Act and Racial and Religious Tolerance Act for 201</w:t>
      </w:r>
      <w:r w:rsidR="008D6268">
        <w:t>7–</w:t>
      </w:r>
      <w:r>
        <w:t>18</w:t>
      </w:r>
    </w:p>
    <w:tbl>
      <w:tblPr>
        <w:tblStyle w:val="GridTable41"/>
        <w:tblpPr w:leftFromText="180" w:rightFromText="180" w:vertAnchor="text" w:tblpY="1"/>
        <w:tblOverlap w:val="never"/>
        <w:tblW w:w="3580" w:type="dxa"/>
        <w:tblLook w:val="04A0" w:firstRow="1" w:lastRow="0" w:firstColumn="1" w:lastColumn="0" w:noHBand="0" w:noVBand="1"/>
      </w:tblPr>
      <w:tblGrid>
        <w:gridCol w:w="3344"/>
        <w:gridCol w:w="790"/>
      </w:tblGrid>
      <w:tr w:rsidR="00F634C1" w:rsidRPr="00F634C1" w14:paraId="31AFA56F" w14:textId="77777777" w:rsidTr="0008254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44" w:type="dxa"/>
            <w:noWrap/>
            <w:hideMark/>
          </w:tcPr>
          <w:p w14:paraId="6DC815A7" w14:textId="77777777" w:rsidR="00F634C1" w:rsidRPr="00F634C1" w:rsidRDefault="00F634C1" w:rsidP="00082543">
            <w:pPr>
              <w:pStyle w:val="VEOHRCBodytext"/>
            </w:pPr>
            <w:r w:rsidRPr="00F634C1">
              <w:t>Attribute</w:t>
            </w:r>
          </w:p>
        </w:tc>
        <w:tc>
          <w:tcPr>
            <w:tcW w:w="236" w:type="dxa"/>
            <w:noWrap/>
            <w:hideMark/>
          </w:tcPr>
          <w:p w14:paraId="2FF3A938" w14:textId="77777777" w:rsidR="00F634C1" w:rsidRPr="00F634C1" w:rsidRDefault="00F634C1" w:rsidP="00082543">
            <w:pPr>
              <w:pStyle w:val="VEOHRCBodytext"/>
              <w:cnfStyle w:val="100000000000" w:firstRow="1" w:lastRow="0" w:firstColumn="0" w:lastColumn="0" w:oddVBand="0" w:evenVBand="0" w:oddHBand="0" w:evenHBand="0" w:firstRowFirstColumn="0" w:firstRowLastColumn="0" w:lastRowFirstColumn="0" w:lastRowLastColumn="0"/>
            </w:pPr>
            <w:r w:rsidRPr="00F634C1">
              <w:t>Total</w:t>
            </w:r>
          </w:p>
        </w:tc>
      </w:tr>
      <w:tr w:rsidR="00F634C1" w:rsidRPr="00F634C1" w14:paraId="1CC6899B" w14:textId="77777777" w:rsidTr="0008254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344" w:type="dxa"/>
            <w:noWrap/>
            <w:hideMark/>
          </w:tcPr>
          <w:p w14:paraId="3A6A4FDE" w14:textId="77777777" w:rsidR="00F634C1" w:rsidRPr="00F634C1" w:rsidRDefault="00F634C1" w:rsidP="00082543">
            <w:pPr>
              <w:pStyle w:val="VEOHRCBodytext"/>
            </w:pPr>
            <w:r w:rsidRPr="00F634C1">
              <w:t>Disability</w:t>
            </w:r>
          </w:p>
        </w:tc>
        <w:tc>
          <w:tcPr>
            <w:tcW w:w="790" w:type="dxa"/>
            <w:noWrap/>
            <w:hideMark/>
          </w:tcPr>
          <w:p w14:paraId="1B86C880" w14:textId="1B19E656" w:rsidR="00F634C1" w:rsidRPr="00F634C1" w:rsidRDefault="00136EA7" w:rsidP="00082543">
            <w:pPr>
              <w:pStyle w:val="VEOHRCBodytext"/>
              <w:cnfStyle w:val="000000100000" w:firstRow="0" w:lastRow="0" w:firstColumn="0" w:lastColumn="0" w:oddVBand="0" w:evenVBand="0" w:oddHBand="1" w:evenHBand="0" w:firstRowFirstColumn="0" w:firstRowLastColumn="0" w:lastRowFirstColumn="0" w:lastRowLastColumn="0"/>
            </w:pPr>
            <w:r>
              <w:t>663</w:t>
            </w:r>
          </w:p>
        </w:tc>
      </w:tr>
      <w:tr w:rsidR="00F634C1" w:rsidRPr="00F634C1" w14:paraId="6269AC78" w14:textId="77777777" w:rsidTr="00082543">
        <w:trPr>
          <w:trHeight w:val="255"/>
        </w:trPr>
        <w:tc>
          <w:tcPr>
            <w:cnfStyle w:val="001000000000" w:firstRow="0" w:lastRow="0" w:firstColumn="1" w:lastColumn="0" w:oddVBand="0" w:evenVBand="0" w:oddHBand="0" w:evenHBand="0" w:firstRowFirstColumn="0" w:firstRowLastColumn="0" w:lastRowFirstColumn="0" w:lastRowLastColumn="0"/>
            <w:tcW w:w="3344" w:type="dxa"/>
            <w:noWrap/>
            <w:hideMark/>
          </w:tcPr>
          <w:p w14:paraId="0799AE24" w14:textId="77777777" w:rsidR="00F634C1" w:rsidRPr="00F634C1" w:rsidRDefault="00F634C1" w:rsidP="00082543">
            <w:pPr>
              <w:pStyle w:val="VEOHRCBodytext"/>
            </w:pPr>
            <w:r w:rsidRPr="00F634C1">
              <w:t>Sex</w:t>
            </w:r>
          </w:p>
        </w:tc>
        <w:tc>
          <w:tcPr>
            <w:tcW w:w="790" w:type="dxa"/>
            <w:noWrap/>
            <w:hideMark/>
          </w:tcPr>
          <w:p w14:paraId="2DBA62B6" w14:textId="613CC5BF" w:rsidR="00F634C1" w:rsidRPr="00F634C1" w:rsidRDefault="00136EA7" w:rsidP="00082543">
            <w:pPr>
              <w:pStyle w:val="VEOHRCBodytext"/>
              <w:cnfStyle w:val="000000000000" w:firstRow="0" w:lastRow="0" w:firstColumn="0" w:lastColumn="0" w:oddVBand="0" w:evenVBand="0" w:oddHBand="0" w:evenHBand="0" w:firstRowFirstColumn="0" w:firstRowLastColumn="0" w:lastRowFirstColumn="0" w:lastRowLastColumn="0"/>
            </w:pPr>
            <w:r>
              <w:t>226</w:t>
            </w:r>
          </w:p>
        </w:tc>
      </w:tr>
      <w:tr w:rsidR="00F634C1" w:rsidRPr="00F634C1" w14:paraId="4ACBE0E3" w14:textId="77777777" w:rsidTr="0008254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344" w:type="dxa"/>
            <w:noWrap/>
            <w:hideMark/>
          </w:tcPr>
          <w:p w14:paraId="0B0A54F5" w14:textId="77777777" w:rsidR="00F634C1" w:rsidRPr="00F634C1" w:rsidRDefault="00F634C1" w:rsidP="00082543">
            <w:pPr>
              <w:pStyle w:val="VEOHRCBodytext"/>
            </w:pPr>
            <w:r w:rsidRPr="00F634C1">
              <w:t>Race</w:t>
            </w:r>
          </w:p>
        </w:tc>
        <w:tc>
          <w:tcPr>
            <w:tcW w:w="790" w:type="dxa"/>
            <w:noWrap/>
            <w:hideMark/>
          </w:tcPr>
          <w:p w14:paraId="2669FAEB" w14:textId="4FD1D050" w:rsidR="00F634C1" w:rsidRPr="00F634C1" w:rsidRDefault="00136EA7" w:rsidP="00082543">
            <w:pPr>
              <w:pStyle w:val="VEOHRCBodytext"/>
              <w:cnfStyle w:val="000000100000" w:firstRow="0" w:lastRow="0" w:firstColumn="0" w:lastColumn="0" w:oddVBand="0" w:evenVBand="0" w:oddHBand="1" w:evenHBand="0" w:firstRowFirstColumn="0" w:firstRowLastColumn="0" w:lastRowFirstColumn="0" w:lastRowLastColumn="0"/>
            </w:pPr>
            <w:r>
              <w:t>207</w:t>
            </w:r>
          </w:p>
        </w:tc>
      </w:tr>
      <w:tr w:rsidR="00F634C1" w:rsidRPr="00F634C1" w14:paraId="7CEF255E" w14:textId="77777777" w:rsidTr="00082543">
        <w:trPr>
          <w:trHeight w:val="255"/>
        </w:trPr>
        <w:tc>
          <w:tcPr>
            <w:cnfStyle w:val="001000000000" w:firstRow="0" w:lastRow="0" w:firstColumn="1" w:lastColumn="0" w:oddVBand="0" w:evenVBand="0" w:oddHBand="0" w:evenHBand="0" w:firstRowFirstColumn="0" w:firstRowLastColumn="0" w:lastRowFirstColumn="0" w:lastRowLastColumn="0"/>
            <w:tcW w:w="3344" w:type="dxa"/>
            <w:noWrap/>
            <w:hideMark/>
          </w:tcPr>
          <w:p w14:paraId="0A7F444D" w14:textId="77777777" w:rsidR="00F634C1" w:rsidRPr="00F634C1" w:rsidRDefault="00F634C1" w:rsidP="00082543">
            <w:pPr>
              <w:pStyle w:val="VEOHRCBodytext"/>
            </w:pPr>
            <w:r w:rsidRPr="00F634C1">
              <w:t>Sexual harassment</w:t>
            </w:r>
          </w:p>
        </w:tc>
        <w:tc>
          <w:tcPr>
            <w:tcW w:w="790" w:type="dxa"/>
            <w:noWrap/>
            <w:hideMark/>
          </w:tcPr>
          <w:p w14:paraId="4F6BFDA9" w14:textId="461E229B" w:rsidR="00F634C1" w:rsidRPr="00F634C1" w:rsidRDefault="0028785E" w:rsidP="00082543">
            <w:pPr>
              <w:pStyle w:val="VEOHRCBodytext"/>
              <w:cnfStyle w:val="000000000000" w:firstRow="0" w:lastRow="0" w:firstColumn="0" w:lastColumn="0" w:oddVBand="0" w:evenVBand="0" w:oddHBand="0" w:evenHBand="0" w:firstRowFirstColumn="0" w:firstRowLastColumn="0" w:lastRowFirstColumn="0" w:lastRowLastColumn="0"/>
            </w:pPr>
            <w:r>
              <w:t>156</w:t>
            </w:r>
          </w:p>
        </w:tc>
      </w:tr>
      <w:tr w:rsidR="00F634C1" w:rsidRPr="00F634C1" w14:paraId="4DE2D3CE" w14:textId="77777777" w:rsidTr="0008254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344" w:type="dxa"/>
            <w:noWrap/>
            <w:hideMark/>
          </w:tcPr>
          <w:p w14:paraId="7D797357" w14:textId="77777777" w:rsidR="00F634C1" w:rsidRPr="00F634C1" w:rsidRDefault="00F634C1" w:rsidP="00082543">
            <w:pPr>
              <w:pStyle w:val="VEOHRCBodytext"/>
            </w:pPr>
            <w:r w:rsidRPr="00F634C1">
              <w:t>Employment activity</w:t>
            </w:r>
          </w:p>
        </w:tc>
        <w:tc>
          <w:tcPr>
            <w:tcW w:w="790" w:type="dxa"/>
            <w:noWrap/>
            <w:hideMark/>
          </w:tcPr>
          <w:p w14:paraId="374ADBE6" w14:textId="6B90305C" w:rsidR="00F634C1" w:rsidRPr="00F634C1" w:rsidRDefault="0028785E" w:rsidP="00082543">
            <w:pPr>
              <w:pStyle w:val="VEOHRCBodytext"/>
              <w:cnfStyle w:val="000000100000" w:firstRow="0" w:lastRow="0" w:firstColumn="0" w:lastColumn="0" w:oddVBand="0" w:evenVBand="0" w:oddHBand="1" w:evenHBand="0" w:firstRowFirstColumn="0" w:firstRowLastColumn="0" w:lastRowFirstColumn="0" w:lastRowLastColumn="0"/>
            </w:pPr>
            <w:r>
              <w:t>113</w:t>
            </w:r>
          </w:p>
        </w:tc>
      </w:tr>
      <w:tr w:rsidR="00F634C1" w:rsidRPr="00F634C1" w14:paraId="2014E383" w14:textId="77777777" w:rsidTr="00082543">
        <w:trPr>
          <w:trHeight w:val="255"/>
        </w:trPr>
        <w:tc>
          <w:tcPr>
            <w:cnfStyle w:val="001000000000" w:firstRow="0" w:lastRow="0" w:firstColumn="1" w:lastColumn="0" w:oddVBand="0" w:evenVBand="0" w:oddHBand="0" w:evenHBand="0" w:firstRowFirstColumn="0" w:firstRowLastColumn="0" w:lastRowFirstColumn="0" w:lastRowLastColumn="0"/>
            <w:tcW w:w="3344" w:type="dxa"/>
            <w:noWrap/>
            <w:hideMark/>
          </w:tcPr>
          <w:p w14:paraId="11E46A18" w14:textId="77777777" w:rsidR="00F634C1" w:rsidRPr="00F634C1" w:rsidRDefault="00F634C1" w:rsidP="00082543">
            <w:pPr>
              <w:pStyle w:val="VEOHRCBodytext"/>
            </w:pPr>
            <w:r w:rsidRPr="00F634C1">
              <w:t>Age</w:t>
            </w:r>
          </w:p>
        </w:tc>
        <w:tc>
          <w:tcPr>
            <w:tcW w:w="790" w:type="dxa"/>
            <w:noWrap/>
            <w:hideMark/>
          </w:tcPr>
          <w:p w14:paraId="02C6CF8C" w14:textId="779C85B1" w:rsidR="00F634C1" w:rsidRPr="00F634C1" w:rsidRDefault="0028785E" w:rsidP="00082543">
            <w:pPr>
              <w:pStyle w:val="VEOHRCBodytext"/>
              <w:cnfStyle w:val="000000000000" w:firstRow="0" w:lastRow="0" w:firstColumn="0" w:lastColumn="0" w:oddVBand="0" w:evenVBand="0" w:oddHBand="0" w:evenHBand="0" w:firstRowFirstColumn="0" w:firstRowLastColumn="0" w:lastRowFirstColumn="0" w:lastRowLastColumn="0"/>
            </w:pPr>
            <w:r>
              <w:t>94</w:t>
            </w:r>
          </w:p>
        </w:tc>
      </w:tr>
      <w:tr w:rsidR="00F634C1" w:rsidRPr="00F634C1" w14:paraId="6B9A6074" w14:textId="77777777" w:rsidTr="0008254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344" w:type="dxa"/>
            <w:noWrap/>
            <w:hideMark/>
          </w:tcPr>
          <w:p w14:paraId="5C68CE2A" w14:textId="77777777" w:rsidR="00F634C1" w:rsidRPr="00F634C1" w:rsidRDefault="00F634C1" w:rsidP="00082543">
            <w:pPr>
              <w:pStyle w:val="VEOHRCBodytext"/>
            </w:pPr>
            <w:r w:rsidRPr="00F634C1">
              <w:t>Carer status</w:t>
            </w:r>
          </w:p>
        </w:tc>
        <w:tc>
          <w:tcPr>
            <w:tcW w:w="790" w:type="dxa"/>
            <w:noWrap/>
            <w:hideMark/>
          </w:tcPr>
          <w:p w14:paraId="3BBA0D3B" w14:textId="544AE0F8" w:rsidR="00F634C1" w:rsidRPr="00F634C1" w:rsidRDefault="0028785E" w:rsidP="00082543">
            <w:pPr>
              <w:pStyle w:val="VEOHRCBodytext"/>
              <w:cnfStyle w:val="000000100000" w:firstRow="0" w:lastRow="0" w:firstColumn="0" w:lastColumn="0" w:oddVBand="0" w:evenVBand="0" w:oddHBand="1" w:evenHBand="0" w:firstRowFirstColumn="0" w:firstRowLastColumn="0" w:lastRowFirstColumn="0" w:lastRowLastColumn="0"/>
            </w:pPr>
            <w:r>
              <w:t>92</w:t>
            </w:r>
          </w:p>
        </w:tc>
      </w:tr>
      <w:tr w:rsidR="00F634C1" w:rsidRPr="00F634C1" w14:paraId="42DFD447" w14:textId="77777777" w:rsidTr="00082543">
        <w:trPr>
          <w:trHeight w:val="255"/>
        </w:trPr>
        <w:tc>
          <w:tcPr>
            <w:cnfStyle w:val="001000000000" w:firstRow="0" w:lastRow="0" w:firstColumn="1" w:lastColumn="0" w:oddVBand="0" w:evenVBand="0" w:oddHBand="0" w:evenHBand="0" w:firstRowFirstColumn="0" w:firstRowLastColumn="0" w:lastRowFirstColumn="0" w:lastRowLastColumn="0"/>
            <w:tcW w:w="3344" w:type="dxa"/>
            <w:noWrap/>
            <w:hideMark/>
          </w:tcPr>
          <w:p w14:paraId="1C73420C" w14:textId="77777777" w:rsidR="00F634C1" w:rsidRPr="00F634C1" w:rsidRDefault="00F634C1" w:rsidP="00082543">
            <w:pPr>
              <w:pStyle w:val="VEOHRCBodytext"/>
            </w:pPr>
            <w:r w:rsidRPr="00F634C1">
              <w:t>Parental Status</w:t>
            </w:r>
          </w:p>
        </w:tc>
        <w:tc>
          <w:tcPr>
            <w:tcW w:w="790" w:type="dxa"/>
            <w:noWrap/>
            <w:hideMark/>
          </w:tcPr>
          <w:p w14:paraId="0CB97C3C" w14:textId="572CAA99" w:rsidR="00F634C1" w:rsidRPr="00F634C1" w:rsidRDefault="00F634C1" w:rsidP="00082543">
            <w:pPr>
              <w:pStyle w:val="VEOHRCBodytext"/>
              <w:cnfStyle w:val="000000000000" w:firstRow="0" w:lastRow="0" w:firstColumn="0" w:lastColumn="0" w:oddVBand="0" w:evenVBand="0" w:oddHBand="0" w:evenHBand="0" w:firstRowFirstColumn="0" w:firstRowLastColumn="0" w:lastRowFirstColumn="0" w:lastRowLastColumn="0"/>
            </w:pPr>
            <w:r w:rsidRPr="00F634C1">
              <w:t>7</w:t>
            </w:r>
            <w:r w:rsidR="0028785E">
              <w:t>2</w:t>
            </w:r>
          </w:p>
        </w:tc>
      </w:tr>
      <w:tr w:rsidR="00F634C1" w:rsidRPr="00F634C1" w14:paraId="2DA0CC38" w14:textId="77777777" w:rsidTr="0008254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344" w:type="dxa"/>
            <w:noWrap/>
            <w:hideMark/>
          </w:tcPr>
          <w:p w14:paraId="1FDF7067" w14:textId="10F107B1" w:rsidR="00F634C1" w:rsidRPr="00F634C1" w:rsidRDefault="00F634C1" w:rsidP="00082543">
            <w:pPr>
              <w:pStyle w:val="VEOHRCBodytext"/>
            </w:pPr>
            <w:r w:rsidRPr="00F634C1">
              <w:t xml:space="preserve">Religious </w:t>
            </w:r>
            <w:r w:rsidR="00A26A4F">
              <w:t>b</w:t>
            </w:r>
            <w:r w:rsidRPr="00F634C1">
              <w:t>elief/</w:t>
            </w:r>
            <w:r w:rsidR="00A26A4F">
              <w:t>a</w:t>
            </w:r>
            <w:r w:rsidRPr="00F634C1">
              <w:t>ctivity</w:t>
            </w:r>
          </w:p>
        </w:tc>
        <w:tc>
          <w:tcPr>
            <w:tcW w:w="236" w:type="dxa"/>
            <w:noWrap/>
            <w:hideMark/>
          </w:tcPr>
          <w:p w14:paraId="59E7D344" w14:textId="77777777" w:rsidR="00F634C1" w:rsidRPr="00F634C1" w:rsidRDefault="00F634C1" w:rsidP="00082543">
            <w:pPr>
              <w:pStyle w:val="VEOHRCBodytext"/>
              <w:cnfStyle w:val="000000100000" w:firstRow="0" w:lastRow="0" w:firstColumn="0" w:lastColumn="0" w:oddVBand="0" w:evenVBand="0" w:oddHBand="1" w:evenHBand="0" w:firstRowFirstColumn="0" w:firstRowLastColumn="0" w:lastRowFirstColumn="0" w:lastRowLastColumn="0"/>
            </w:pPr>
            <w:r w:rsidRPr="00F634C1">
              <w:t>65</w:t>
            </w:r>
          </w:p>
        </w:tc>
      </w:tr>
      <w:tr w:rsidR="00F634C1" w:rsidRPr="00F634C1" w14:paraId="34B5D380" w14:textId="77777777" w:rsidTr="00082543">
        <w:trPr>
          <w:trHeight w:val="255"/>
        </w:trPr>
        <w:tc>
          <w:tcPr>
            <w:cnfStyle w:val="001000000000" w:firstRow="0" w:lastRow="0" w:firstColumn="1" w:lastColumn="0" w:oddVBand="0" w:evenVBand="0" w:oddHBand="0" w:evenHBand="0" w:firstRowFirstColumn="0" w:firstRowLastColumn="0" w:lastRowFirstColumn="0" w:lastRowLastColumn="0"/>
            <w:tcW w:w="3344" w:type="dxa"/>
            <w:noWrap/>
            <w:hideMark/>
          </w:tcPr>
          <w:p w14:paraId="0CC74522" w14:textId="77777777" w:rsidR="00F634C1" w:rsidRPr="00F634C1" w:rsidRDefault="00F634C1" w:rsidP="00082543">
            <w:pPr>
              <w:pStyle w:val="VEOHRCBodytext"/>
            </w:pPr>
            <w:r w:rsidRPr="00F634C1">
              <w:t xml:space="preserve">Sexual orientation </w:t>
            </w:r>
          </w:p>
        </w:tc>
        <w:tc>
          <w:tcPr>
            <w:tcW w:w="236" w:type="dxa"/>
            <w:noWrap/>
            <w:hideMark/>
          </w:tcPr>
          <w:p w14:paraId="53B3D316" w14:textId="77777777" w:rsidR="00F634C1" w:rsidRPr="00F634C1" w:rsidRDefault="00F634C1" w:rsidP="00082543">
            <w:pPr>
              <w:pStyle w:val="VEOHRCBodytext"/>
              <w:cnfStyle w:val="000000000000" w:firstRow="0" w:lastRow="0" w:firstColumn="0" w:lastColumn="0" w:oddVBand="0" w:evenVBand="0" w:oddHBand="0" w:evenHBand="0" w:firstRowFirstColumn="0" w:firstRowLastColumn="0" w:lastRowFirstColumn="0" w:lastRowLastColumn="0"/>
            </w:pPr>
            <w:r w:rsidRPr="00F634C1">
              <w:t>65</w:t>
            </w:r>
          </w:p>
        </w:tc>
      </w:tr>
    </w:tbl>
    <w:p w14:paraId="2D9BF0F5" w14:textId="54AC993E" w:rsidR="00F634C1" w:rsidRPr="00B80144" w:rsidRDefault="00082543" w:rsidP="00A26A4F">
      <w:pPr>
        <w:pStyle w:val="VEOHRCBodytext"/>
      </w:pPr>
      <w:r>
        <w:br w:type="textWrapping" w:clear="all"/>
      </w:r>
    </w:p>
    <w:p w14:paraId="263E953D" w14:textId="77777777" w:rsidR="004F561E" w:rsidRDefault="004F561E" w:rsidP="004F561E">
      <w:pPr>
        <w:pStyle w:val="VEOHRCHeading4"/>
      </w:pPr>
      <w:r>
        <w:t>Respondent demographics</w:t>
      </w:r>
    </w:p>
    <w:tbl>
      <w:tblPr>
        <w:tblStyle w:val="GridTable41"/>
        <w:tblW w:w="9400" w:type="dxa"/>
        <w:tblLook w:val="04A0" w:firstRow="1" w:lastRow="0" w:firstColumn="1" w:lastColumn="0" w:noHBand="0" w:noVBand="1"/>
      </w:tblPr>
      <w:tblGrid>
        <w:gridCol w:w="5740"/>
        <w:gridCol w:w="960"/>
        <w:gridCol w:w="1160"/>
        <w:gridCol w:w="1540"/>
      </w:tblGrid>
      <w:tr w:rsidR="00F634C1" w:rsidRPr="00F634C1" w14:paraId="59AB1532" w14:textId="77777777" w:rsidTr="00F634C1">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740" w:type="dxa"/>
            <w:noWrap/>
            <w:hideMark/>
          </w:tcPr>
          <w:p w14:paraId="47E05D54" w14:textId="77777777" w:rsidR="00F634C1" w:rsidRPr="00F634C1" w:rsidRDefault="00F634C1" w:rsidP="00F634C1">
            <w:pPr>
              <w:pStyle w:val="VEOHRCBodytext"/>
            </w:pPr>
            <w:r w:rsidRPr="00F634C1">
              <w:t>Respondent Type</w:t>
            </w:r>
          </w:p>
        </w:tc>
        <w:tc>
          <w:tcPr>
            <w:tcW w:w="960" w:type="dxa"/>
            <w:noWrap/>
            <w:hideMark/>
          </w:tcPr>
          <w:p w14:paraId="0569347D" w14:textId="77777777" w:rsidR="00F634C1" w:rsidRPr="00F634C1" w:rsidRDefault="00F634C1" w:rsidP="00F634C1">
            <w:pPr>
              <w:pStyle w:val="VEOHRCBodytext"/>
              <w:cnfStyle w:val="100000000000" w:firstRow="1" w:lastRow="0" w:firstColumn="0" w:lastColumn="0" w:oddVBand="0" w:evenVBand="0" w:oddHBand="0" w:evenHBand="0" w:firstRowFirstColumn="0" w:firstRowLastColumn="0" w:lastRowFirstColumn="0" w:lastRowLastColumn="0"/>
            </w:pPr>
            <w:r w:rsidRPr="00F634C1">
              <w:t>EOA</w:t>
            </w:r>
          </w:p>
        </w:tc>
        <w:tc>
          <w:tcPr>
            <w:tcW w:w="1160" w:type="dxa"/>
            <w:noWrap/>
            <w:hideMark/>
          </w:tcPr>
          <w:p w14:paraId="300F5223" w14:textId="77777777" w:rsidR="00F634C1" w:rsidRPr="00F634C1" w:rsidRDefault="00F634C1" w:rsidP="00F634C1">
            <w:pPr>
              <w:pStyle w:val="VEOHRCBodytext"/>
              <w:cnfStyle w:val="100000000000" w:firstRow="1" w:lastRow="0" w:firstColumn="0" w:lastColumn="0" w:oddVBand="0" w:evenVBand="0" w:oddHBand="0" w:evenHBand="0" w:firstRowFirstColumn="0" w:firstRowLastColumn="0" w:lastRowFirstColumn="0" w:lastRowLastColumn="0"/>
            </w:pPr>
            <w:r w:rsidRPr="00F634C1">
              <w:t>RRTA</w:t>
            </w:r>
          </w:p>
        </w:tc>
        <w:tc>
          <w:tcPr>
            <w:tcW w:w="1540" w:type="dxa"/>
            <w:noWrap/>
            <w:hideMark/>
          </w:tcPr>
          <w:p w14:paraId="56CEE16E" w14:textId="77777777" w:rsidR="00F634C1" w:rsidRPr="00F634C1" w:rsidRDefault="00F634C1" w:rsidP="00F634C1">
            <w:pPr>
              <w:pStyle w:val="VEOHRCBodytext"/>
              <w:cnfStyle w:val="100000000000" w:firstRow="1" w:lastRow="0" w:firstColumn="0" w:lastColumn="0" w:oddVBand="0" w:evenVBand="0" w:oddHBand="0" w:evenHBand="0" w:firstRowFirstColumn="0" w:firstRowLastColumn="0" w:lastRowFirstColumn="0" w:lastRowLastColumn="0"/>
            </w:pPr>
            <w:r w:rsidRPr="00F634C1">
              <w:t>Total</w:t>
            </w:r>
          </w:p>
        </w:tc>
      </w:tr>
      <w:tr w:rsidR="00F634C1" w:rsidRPr="00F634C1" w14:paraId="63A945CB" w14:textId="77777777" w:rsidTr="00F634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40" w:type="dxa"/>
            <w:noWrap/>
            <w:hideMark/>
          </w:tcPr>
          <w:p w14:paraId="13591002" w14:textId="4414E845" w:rsidR="00F634C1" w:rsidRPr="00F634C1" w:rsidRDefault="00F634C1" w:rsidP="00F634C1">
            <w:pPr>
              <w:pStyle w:val="VEOHRCBodytext"/>
            </w:pPr>
            <w:r w:rsidRPr="00F634C1">
              <w:t>Clubs/incorporated associations</w:t>
            </w:r>
          </w:p>
        </w:tc>
        <w:tc>
          <w:tcPr>
            <w:tcW w:w="960" w:type="dxa"/>
            <w:noWrap/>
            <w:hideMark/>
          </w:tcPr>
          <w:p w14:paraId="5AC7E555" w14:textId="77777777" w:rsidR="00F634C1" w:rsidRPr="00F634C1" w:rsidRDefault="00F634C1" w:rsidP="00F634C1">
            <w:pPr>
              <w:pStyle w:val="VEOHRCBodytext"/>
              <w:cnfStyle w:val="000000100000" w:firstRow="0" w:lastRow="0" w:firstColumn="0" w:lastColumn="0" w:oddVBand="0" w:evenVBand="0" w:oddHBand="1" w:evenHBand="0" w:firstRowFirstColumn="0" w:firstRowLastColumn="0" w:lastRowFirstColumn="0" w:lastRowLastColumn="0"/>
            </w:pPr>
            <w:r w:rsidRPr="00F634C1">
              <w:t>6</w:t>
            </w:r>
          </w:p>
        </w:tc>
        <w:tc>
          <w:tcPr>
            <w:tcW w:w="1160" w:type="dxa"/>
            <w:noWrap/>
            <w:hideMark/>
          </w:tcPr>
          <w:p w14:paraId="41B5C818" w14:textId="77777777" w:rsidR="00F634C1" w:rsidRPr="00F634C1" w:rsidRDefault="00F634C1" w:rsidP="00F634C1">
            <w:pPr>
              <w:pStyle w:val="VEOHRCBodytext"/>
              <w:cnfStyle w:val="000000100000" w:firstRow="0" w:lastRow="0" w:firstColumn="0" w:lastColumn="0" w:oddVBand="0" w:evenVBand="0" w:oddHBand="1" w:evenHBand="0" w:firstRowFirstColumn="0" w:firstRowLastColumn="0" w:lastRowFirstColumn="0" w:lastRowLastColumn="0"/>
            </w:pPr>
            <w:r w:rsidRPr="00F634C1">
              <w:t> </w:t>
            </w:r>
          </w:p>
        </w:tc>
        <w:tc>
          <w:tcPr>
            <w:tcW w:w="1540" w:type="dxa"/>
            <w:noWrap/>
            <w:hideMark/>
          </w:tcPr>
          <w:p w14:paraId="75CA0EDE" w14:textId="77777777" w:rsidR="00F634C1" w:rsidRPr="00F634C1" w:rsidRDefault="00F634C1" w:rsidP="00F634C1">
            <w:pPr>
              <w:pStyle w:val="VEOHRCBodytext"/>
              <w:cnfStyle w:val="000000100000" w:firstRow="0" w:lastRow="0" w:firstColumn="0" w:lastColumn="0" w:oddVBand="0" w:evenVBand="0" w:oddHBand="1" w:evenHBand="0" w:firstRowFirstColumn="0" w:firstRowLastColumn="0" w:lastRowFirstColumn="0" w:lastRowLastColumn="0"/>
            </w:pPr>
            <w:r w:rsidRPr="00F634C1">
              <w:t>6</w:t>
            </w:r>
          </w:p>
        </w:tc>
      </w:tr>
      <w:tr w:rsidR="00F634C1" w:rsidRPr="00F634C1" w14:paraId="0B983ACA" w14:textId="77777777" w:rsidTr="00F634C1">
        <w:trPr>
          <w:trHeight w:val="300"/>
        </w:trPr>
        <w:tc>
          <w:tcPr>
            <w:cnfStyle w:val="001000000000" w:firstRow="0" w:lastRow="0" w:firstColumn="1" w:lastColumn="0" w:oddVBand="0" w:evenVBand="0" w:oddHBand="0" w:evenHBand="0" w:firstRowFirstColumn="0" w:firstRowLastColumn="0" w:lastRowFirstColumn="0" w:lastRowLastColumn="0"/>
            <w:tcW w:w="5740" w:type="dxa"/>
            <w:noWrap/>
            <w:hideMark/>
          </w:tcPr>
          <w:p w14:paraId="6FE7735B" w14:textId="3809ED23" w:rsidR="00F634C1" w:rsidRPr="00F634C1" w:rsidRDefault="00F634C1" w:rsidP="00F634C1">
            <w:pPr>
              <w:pStyle w:val="VEOHRCBodytext"/>
            </w:pPr>
            <w:r w:rsidRPr="00F634C1">
              <w:t xml:space="preserve">Commonwealth </w:t>
            </w:r>
            <w:r>
              <w:t>g</w:t>
            </w:r>
            <w:r w:rsidRPr="00F634C1">
              <w:t xml:space="preserve">overnment </w:t>
            </w:r>
            <w:r>
              <w:t>s</w:t>
            </w:r>
            <w:r w:rsidRPr="00F634C1">
              <w:t xml:space="preserve">tatutory </w:t>
            </w:r>
            <w:r>
              <w:t>a</w:t>
            </w:r>
            <w:r w:rsidRPr="00F634C1">
              <w:t>uthority</w:t>
            </w:r>
          </w:p>
        </w:tc>
        <w:tc>
          <w:tcPr>
            <w:tcW w:w="960" w:type="dxa"/>
            <w:noWrap/>
            <w:hideMark/>
          </w:tcPr>
          <w:p w14:paraId="1D415881" w14:textId="77777777" w:rsidR="00F634C1" w:rsidRPr="00F634C1" w:rsidRDefault="00F634C1" w:rsidP="00F634C1">
            <w:pPr>
              <w:pStyle w:val="VEOHRCBodytext"/>
              <w:cnfStyle w:val="000000000000" w:firstRow="0" w:lastRow="0" w:firstColumn="0" w:lastColumn="0" w:oddVBand="0" w:evenVBand="0" w:oddHBand="0" w:evenHBand="0" w:firstRowFirstColumn="0" w:firstRowLastColumn="0" w:lastRowFirstColumn="0" w:lastRowLastColumn="0"/>
            </w:pPr>
            <w:r w:rsidRPr="00F634C1">
              <w:t>1</w:t>
            </w:r>
          </w:p>
        </w:tc>
        <w:tc>
          <w:tcPr>
            <w:tcW w:w="1160" w:type="dxa"/>
            <w:noWrap/>
            <w:hideMark/>
          </w:tcPr>
          <w:p w14:paraId="6EED1CCF" w14:textId="77777777" w:rsidR="00F634C1" w:rsidRPr="00F634C1" w:rsidRDefault="00F634C1" w:rsidP="00F634C1">
            <w:pPr>
              <w:pStyle w:val="VEOHRCBodytext"/>
              <w:cnfStyle w:val="000000000000" w:firstRow="0" w:lastRow="0" w:firstColumn="0" w:lastColumn="0" w:oddVBand="0" w:evenVBand="0" w:oddHBand="0" w:evenHBand="0" w:firstRowFirstColumn="0" w:firstRowLastColumn="0" w:lastRowFirstColumn="0" w:lastRowLastColumn="0"/>
            </w:pPr>
            <w:r w:rsidRPr="00F634C1">
              <w:t>1</w:t>
            </w:r>
          </w:p>
        </w:tc>
        <w:tc>
          <w:tcPr>
            <w:tcW w:w="1540" w:type="dxa"/>
            <w:noWrap/>
            <w:hideMark/>
          </w:tcPr>
          <w:p w14:paraId="19772A23" w14:textId="77777777" w:rsidR="00F634C1" w:rsidRPr="00F634C1" w:rsidRDefault="00F634C1" w:rsidP="00F634C1">
            <w:pPr>
              <w:pStyle w:val="VEOHRCBodytext"/>
              <w:cnfStyle w:val="000000000000" w:firstRow="0" w:lastRow="0" w:firstColumn="0" w:lastColumn="0" w:oddVBand="0" w:evenVBand="0" w:oddHBand="0" w:evenHBand="0" w:firstRowFirstColumn="0" w:firstRowLastColumn="0" w:lastRowFirstColumn="0" w:lastRowLastColumn="0"/>
            </w:pPr>
            <w:r w:rsidRPr="00F634C1">
              <w:t>2</w:t>
            </w:r>
          </w:p>
        </w:tc>
      </w:tr>
      <w:tr w:rsidR="00F634C1" w:rsidRPr="00F634C1" w14:paraId="2D0D4236" w14:textId="77777777" w:rsidTr="00F634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40" w:type="dxa"/>
            <w:noWrap/>
            <w:hideMark/>
          </w:tcPr>
          <w:p w14:paraId="6A140217" w14:textId="77777777" w:rsidR="00F634C1" w:rsidRPr="00F634C1" w:rsidRDefault="00F634C1" w:rsidP="00F634C1">
            <w:pPr>
              <w:pStyle w:val="VEOHRCBodytext"/>
            </w:pPr>
            <w:r w:rsidRPr="00F634C1">
              <w:t>Educational institution</w:t>
            </w:r>
          </w:p>
        </w:tc>
        <w:tc>
          <w:tcPr>
            <w:tcW w:w="960" w:type="dxa"/>
            <w:noWrap/>
            <w:hideMark/>
          </w:tcPr>
          <w:p w14:paraId="1CA11ABA" w14:textId="77777777" w:rsidR="00F634C1" w:rsidRPr="00F634C1" w:rsidRDefault="00F634C1" w:rsidP="00F634C1">
            <w:pPr>
              <w:pStyle w:val="VEOHRCBodytext"/>
              <w:cnfStyle w:val="000000100000" w:firstRow="0" w:lastRow="0" w:firstColumn="0" w:lastColumn="0" w:oddVBand="0" w:evenVBand="0" w:oddHBand="1" w:evenHBand="0" w:firstRowFirstColumn="0" w:firstRowLastColumn="0" w:lastRowFirstColumn="0" w:lastRowLastColumn="0"/>
            </w:pPr>
            <w:r w:rsidRPr="00F634C1">
              <w:t>64</w:t>
            </w:r>
          </w:p>
        </w:tc>
        <w:tc>
          <w:tcPr>
            <w:tcW w:w="1160" w:type="dxa"/>
            <w:noWrap/>
            <w:hideMark/>
          </w:tcPr>
          <w:p w14:paraId="6B8B1A66" w14:textId="77777777" w:rsidR="00F634C1" w:rsidRPr="00F634C1" w:rsidRDefault="00F634C1" w:rsidP="00F634C1">
            <w:pPr>
              <w:pStyle w:val="VEOHRCBodytext"/>
              <w:cnfStyle w:val="000000100000" w:firstRow="0" w:lastRow="0" w:firstColumn="0" w:lastColumn="0" w:oddVBand="0" w:evenVBand="0" w:oddHBand="1" w:evenHBand="0" w:firstRowFirstColumn="0" w:firstRowLastColumn="0" w:lastRowFirstColumn="0" w:lastRowLastColumn="0"/>
            </w:pPr>
            <w:r w:rsidRPr="00F634C1">
              <w:t> </w:t>
            </w:r>
          </w:p>
        </w:tc>
        <w:tc>
          <w:tcPr>
            <w:tcW w:w="1540" w:type="dxa"/>
            <w:noWrap/>
            <w:hideMark/>
          </w:tcPr>
          <w:p w14:paraId="5280AA2C" w14:textId="77777777" w:rsidR="00F634C1" w:rsidRPr="00F634C1" w:rsidRDefault="00F634C1" w:rsidP="00F634C1">
            <w:pPr>
              <w:pStyle w:val="VEOHRCBodytext"/>
              <w:cnfStyle w:val="000000100000" w:firstRow="0" w:lastRow="0" w:firstColumn="0" w:lastColumn="0" w:oddVBand="0" w:evenVBand="0" w:oddHBand="1" w:evenHBand="0" w:firstRowFirstColumn="0" w:firstRowLastColumn="0" w:lastRowFirstColumn="0" w:lastRowLastColumn="0"/>
            </w:pPr>
            <w:r w:rsidRPr="00F634C1">
              <w:t>64</w:t>
            </w:r>
          </w:p>
        </w:tc>
      </w:tr>
      <w:tr w:rsidR="00F634C1" w:rsidRPr="00F634C1" w14:paraId="4C095B24" w14:textId="77777777" w:rsidTr="00F634C1">
        <w:trPr>
          <w:trHeight w:val="300"/>
        </w:trPr>
        <w:tc>
          <w:tcPr>
            <w:cnfStyle w:val="001000000000" w:firstRow="0" w:lastRow="0" w:firstColumn="1" w:lastColumn="0" w:oddVBand="0" w:evenVBand="0" w:oddHBand="0" w:evenHBand="0" w:firstRowFirstColumn="0" w:firstRowLastColumn="0" w:lastRowFirstColumn="0" w:lastRowLastColumn="0"/>
            <w:tcW w:w="5740" w:type="dxa"/>
            <w:noWrap/>
            <w:hideMark/>
          </w:tcPr>
          <w:p w14:paraId="70B1DE7E" w14:textId="77777777" w:rsidR="00F634C1" w:rsidRPr="00F634C1" w:rsidRDefault="00F634C1" w:rsidP="00F634C1">
            <w:pPr>
              <w:pStyle w:val="VEOHRCBodytext"/>
            </w:pPr>
            <w:r w:rsidRPr="00F634C1">
              <w:t>Government business enterprise</w:t>
            </w:r>
          </w:p>
        </w:tc>
        <w:tc>
          <w:tcPr>
            <w:tcW w:w="960" w:type="dxa"/>
            <w:noWrap/>
            <w:hideMark/>
          </w:tcPr>
          <w:p w14:paraId="72B16F8C" w14:textId="77777777" w:rsidR="00F634C1" w:rsidRPr="00F634C1" w:rsidRDefault="00F634C1" w:rsidP="00F634C1">
            <w:pPr>
              <w:pStyle w:val="VEOHRCBodytext"/>
              <w:cnfStyle w:val="000000000000" w:firstRow="0" w:lastRow="0" w:firstColumn="0" w:lastColumn="0" w:oddVBand="0" w:evenVBand="0" w:oddHBand="0" w:evenHBand="0" w:firstRowFirstColumn="0" w:firstRowLastColumn="0" w:lastRowFirstColumn="0" w:lastRowLastColumn="0"/>
            </w:pPr>
            <w:r w:rsidRPr="00F634C1">
              <w:t>24</w:t>
            </w:r>
          </w:p>
        </w:tc>
        <w:tc>
          <w:tcPr>
            <w:tcW w:w="1160" w:type="dxa"/>
            <w:noWrap/>
            <w:hideMark/>
          </w:tcPr>
          <w:p w14:paraId="1C113DBB" w14:textId="77777777" w:rsidR="00F634C1" w:rsidRPr="00F634C1" w:rsidRDefault="00F634C1" w:rsidP="00F634C1">
            <w:pPr>
              <w:pStyle w:val="VEOHRCBodytext"/>
              <w:cnfStyle w:val="000000000000" w:firstRow="0" w:lastRow="0" w:firstColumn="0" w:lastColumn="0" w:oddVBand="0" w:evenVBand="0" w:oddHBand="0" w:evenHBand="0" w:firstRowFirstColumn="0" w:firstRowLastColumn="0" w:lastRowFirstColumn="0" w:lastRowLastColumn="0"/>
            </w:pPr>
            <w:r w:rsidRPr="00F634C1">
              <w:t> </w:t>
            </w:r>
          </w:p>
        </w:tc>
        <w:tc>
          <w:tcPr>
            <w:tcW w:w="1540" w:type="dxa"/>
            <w:noWrap/>
            <w:hideMark/>
          </w:tcPr>
          <w:p w14:paraId="5C79E9C0" w14:textId="77777777" w:rsidR="00F634C1" w:rsidRPr="00F634C1" w:rsidRDefault="00F634C1" w:rsidP="00F634C1">
            <w:pPr>
              <w:pStyle w:val="VEOHRCBodytext"/>
              <w:cnfStyle w:val="000000000000" w:firstRow="0" w:lastRow="0" w:firstColumn="0" w:lastColumn="0" w:oddVBand="0" w:evenVBand="0" w:oddHBand="0" w:evenHBand="0" w:firstRowFirstColumn="0" w:firstRowLastColumn="0" w:lastRowFirstColumn="0" w:lastRowLastColumn="0"/>
            </w:pPr>
            <w:r w:rsidRPr="00F634C1">
              <w:t>24</w:t>
            </w:r>
          </w:p>
        </w:tc>
      </w:tr>
      <w:tr w:rsidR="00F634C1" w:rsidRPr="00F634C1" w14:paraId="262E03A3" w14:textId="77777777" w:rsidTr="00F634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40" w:type="dxa"/>
            <w:noWrap/>
            <w:hideMark/>
          </w:tcPr>
          <w:p w14:paraId="1DFA5F9A" w14:textId="0F656230" w:rsidR="00F634C1" w:rsidRPr="00F634C1" w:rsidRDefault="00F634C1" w:rsidP="00F634C1">
            <w:pPr>
              <w:pStyle w:val="VEOHRCBodytext"/>
            </w:pPr>
            <w:r w:rsidRPr="00F634C1">
              <w:t xml:space="preserve">Local </w:t>
            </w:r>
            <w:r>
              <w:t>g</w:t>
            </w:r>
            <w:r w:rsidRPr="00F634C1">
              <w:t>overnment</w:t>
            </w:r>
          </w:p>
        </w:tc>
        <w:tc>
          <w:tcPr>
            <w:tcW w:w="960" w:type="dxa"/>
            <w:noWrap/>
            <w:hideMark/>
          </w:tcPr>
          <w:p w14:paraId="29326386" w14:textId="77777777" w:rsidR="00F634C1" w:rsidRPr="00F634C1" w:rsidRDefault="00F634C1" w:rsidP="00F634C1">
            <w:pPr>
              <w:pStyle w:val="VEOHRCBodytext"/>
              <w:cnfStyle w:val="000000100000" w:firstRow="0" w:lastRow="0" w:firstColumn="0" w:lastColumn="0" w:oddVBand="0" w:evenVBand="0" w:oddHBand="1" w:evenHBand="0" w:firstRowFirstColumn="0" w:firstRowLastColumn="0" w:lastRowFirstColumn="0" w:lastRowLastColumn="0"/>
            </w:pPr>
            <w:r w:rsidRPr="00F634C1">
              <w:t>41</w:t>
            </w:r>
          </w:p>
        </w:tc>
        <w:tc>
          <w:tcPr>
            <w:tcW w:w="1160" w:type="dxa"/>
            <w:noWrap/>
            <w:hideMark/>
          </w:tcPr>
          <w:p w14:paraId="0D20D796" w14:textId="77777777" w:rsidR="00F634C1" w:rsidRPr="00F634C1" w:rsidRDefault="00F634C1" w:rsidP="00F634C1">
            <w:pPr>
              <w:pStyle w:val="VEOHRCBodytext"/>
              <w:cnfStyle w:val="000000100000" w:firstRow="0" w:lastRow="0" w:firstColumn="0" w:lastColumn="0" w:oddVBand="0" w:evenVBand="0" w:oddHBand="1" w:evenHBand="0" w:firstRowFirstColumn="0" w:firstRowLastColumn="0" w:lastRowFirstColumn="0" w:lastRowLastColumn="0"/>
            </w:pPr>
            <w:r w:rsidRPr="00F634C1">
              <w:t> </w:t>
            </w:r>
          </w:p>
        </w:tc>
        <w:tc>
          <w:tcPr>
            <w:tcW w:w="1540" w:type="dxa"/>
            <w:noWrap/>
            <w:hideMark/>
          </w:tcPr>
          <w:p w14:paraId="3FFB490B" w14:textId="77777777" w:rsidR="00F634C1" w:rsidRPr="00F634C1" w:rsidRDefault="00F634C1" w:rsidP="00F634C1">
            <w:pPr>
              <w:pStyle w:val="VEOHRCBodytext"/>
              <w:cnfStyle w:val="000000100000" w:firstRow="0" w:lastRow="0" w:firstColumn="0" w:lastColumn="0" w:oddVBand="0" w:evenVBand="0" w:oddHBand="1" w:evenHBand="0" w:firstRowFirstColumn="0" w:firstRowLastColumn="0" w:lastRowFirstColumn="0" w:lastRowLastColumn="0"/>
            </w:pPr>
            <w:r w:rsidRPr="00F634C1">
              <w:t>41</w:t>
            </w:r>
          </w:p>
        </w:tc>
      </w:tr>
      <w:tr w:rsidR="00F634C1" w:rsidRPr="00F634C1" w14:paraId="1A93689F" w14:textId="77777777" w:rsidTr="00F634C1">
        <w:trPr>
          <w:trHeight w:val="300"/>
        </w:trPr>
        <w:tc>
          <w:tcPr>
            <w:cnfStyle w:val="001000000000" w:firstRow="0" w:lastRow="0" w:firstColumn="1" w:lastColumn="0" w:oddVBand="0" w:evenVBand="0" w:oddHBand="0" w:evenHBand="0" w:firstRowFirstColumn="0" w:firstRowLastColumn="0" w:lastRowFirstColumn="0" w:lastRowLastColumn="0"/>
            <w:tcW w:w="5740" w:type="dxa"/>
            <w:noWrap/>
            <w:hideMark/>
          </w:tcPr>
          <w:p w14:paraId="4E4E597C" w14:textId="49495A7C" w:rsidR="00F634C1" w:rsidRPr="00F634C1" w:rsidRDefault="00F634C1" w:rsidP="00F634C1">
            <w:pPr>
              <w:pStyle w:val="VEOHRCBodytext"/>
            </w:pPr>
            <w:r w:rsidRPr="00F634C1">
              <w:t>Not-for-profit non-gov</w:t>
            </w:r>
            <w:r>
              <w:t>t</w:t>
            </w:r>
            <w:r w:rsidRPr="00F634C1">
              <w:t>. org/non-educational religious org.</w:t>
            </w:r>
          </w:p>
        </w:tc>
        <w:tc>
          <w:tcPr>
            <w:tcW w:w="960" w:type="dxa"/>
            <w:noWrap/>
            <w:hideMark/>
          </w:tcPr>
          <w:p w14:paraId="2ECBB8A6" w14:textId="77777777" w:rsidR="00F634C1" w:rsidRPr="00F634C1" w:rsidRDefault="00F634C1" w:rsidP="00F634C1">
            <w:pPr>
              <w:pStyle w:val="VEOHRCBodytext"/>
              <w:cnfStyle w:val="000000000000" w:firstRow="0" w:lastRow="0" w:firstColumn="0" w:lastColumn="0" w:oddVBand="0" w:evenVBand="0" w:oddHBand="0" w:evenHBand="0" w:firstRowFirstColumn="0" w:firstRowLastColumn="0" w:lastRowFirstColumn="0" w:lastRowLastColumn="0"/>
            </w:pPr>
            <w:r w:rsidRPr="00F634C1">
              <w:t>47</w:t>
            </w:r>
          </w:p>
        </w:tc>
        <w:tc>
          <w:tcPr>
            <w:tcW w:w="1160" w:type="dxa"/>
            <w:noWrap/>
            <w:hideMark/>
          </w:tcPr>
          <w:p w14:paraId="58778089" w14:textId="77777777" w:rsidR="00F634C1" w:rsidRPr="00F634C1" w:rsidRDefault="00F634C1" w:rsidP="00F634C1">
            <w:pPr>
              <w:pStyle w:val="VEOHRCBodytext"/>
              <w:cnfStyle w:val="000000000000" w:firstRow="0" w:lastRow="0" w:firstColumn="0" w:lastColumn="0" w:oddVBand="0" w:evenVBand="0" w:oddHBand="0" w:evenHBand="0" w:firstRowFirstColumn="0" w:firstRowLastColumn="0" w:lastRowFirstColumn="0" w:lastRowLastColumn="0"/>
            </w:pPr>
            <w:r w:rsidRPr="00F634C1">
              <w:t>1</w:t>
            </w:r>
          </w:p>
        </w:tc>
        <w:tc>
          <w:tcPr>
            <w:tcW w:w="1540" w:type="dxa"/>
            <w:noWrap/>
            <w:hideMark/>
          </w:tcPr>
          <w:p w14:paraId="7B8AE580" w14:textId="77777777" w:rsidR="00F634C1" w:rsidRPr="00F634C1" w:rsidRDefault="00F634C1" w:rsidP="00F634C1">
            <w:pPr>
              <w:pStyle w:val="VEOHRCBodytext"/>
              <w:cnfStyle w:val="000000000000" w:firstRow="0" w:lastRow="0" w:firstColumn="0" w:lastColumn="0" w:oddVBand="0" w:evenVBand="0" w:oddHBand="0" w:evenHBand="0" w:firstRowFirstColumn="0" w:firstRowLastColumn="0" w:lastRowFirstColumn="0" w:lastRowLastColumn="0"/>
            </w:pPr>
            <w:r w:rsidRPr="00F634C1">
              <w:t>48</w:t>
            </w:r>
          </w:p>
        </w:tc>
      </w:tr>
      <w:tr w:rsidR="00F634C1" w:rsidRPr="00F634C1" w14:paraId="27368740" w14:textId="77777777" w:rsidTr="00F634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40" w:type="dxa"/>
            <w:noWrap/>
            <w:hideMark/>
          </w:tcPr>
          <w:p w14:paraId="24215ED3" w14:textId="3F6DF21D" w:rsidR="00F634C1" w:rsidRPr="00F634C1" w:rsidRDefault="00F634C1" w:rsidP="00F634C1">
            <w:pPr>
              <w:pStyle w:val="VEOHRCBodytext"/>
            </w:pPr>
            <w:r w:rsidRPr="00F634C1">
              <w:t xml:space="preserve">Other </w:t>
            </w:r>
            <w:r w:rsidR="008D6268">
              <w:t>–</w:t>
            </w:r>
            <w:r w:rsidRPr="00F634C1">
              <w:t xml:space="preserve"> please specify</w:t>
            </w:r>
          </w:p>
        </w:tc>
        <w:tc>
          <w:tcPr>
            <w:tcW w:w="960" w:type="dxa"/>
            <w:noWrap/>
            <w:hideMark/>
          </w:tcPr>
          <w:p w14:paraId="2F3F8DEF" w14:textId="77777777" w:rsidR="00F634C1" w:rsidRPr="00F634C1" w:rsidRDefault="00F634C1" w:rsidP="00F634C1">
            <w:pPr>
              <w:pStyle w:val="VEOHRCBodytext"/>
              <w:cnfStyle w:val="000000100000" w:firstRow="0" w:lastRow="0" w:firstColumn="0" w:lastColumn="0" w:oddVBand="0" w:evenVBand="0" w:oddHBand="1" w:evenHBand="0" w:firstRowFirstColumn="0" w:firstRowLastColumn="0" w:lastRowFirstColumn="0" w:lastRowLastColumn="0"/>
            </w:pPr>
            <w:r w:rsidRPr="00F634C1">
              <w:t>8</w:t>
            </w:r>
          </w:p>
        </w:tc>
        <w:tc>
          <w:tcPr>
            <w:tcW w:w="1160" w:type="dxa"/>
            <w:noWrap/>
            <w:hideMark/>
          </w:tcPr>
          <w:p w14:paraId="3434D607" w14:textId="77777777" w:rsidR="00F634C1" w:rsidRPr="00F634C1" w:rsidRDefault="00F634C1" w:rsidP="00F634C1">
            <w:pPr>
              <w:pStyle w:val="VEOHRCBodytext"/>
              <w:cnfStyle w:val="000000100000" w:firstRow="0" w:lastRow="0" w:firstColumn="0" w:lastColumn="0" w:oddVBand="0" w:evenVBand="0" w:oddHBand="1" w:evenHBand="0" w:firstRowFirstColumn="0" w:firstRowLastColumn="0" w:lastRowFirstColumn="0" w:lastRowLastColumn="0"/>
            </w:pPr>
            <w:r w:rsidRPr="00F634C1">
              <w:t> </w:t>
            </w:r>
          </w:p>
        </w:tc>
        <w:tc>
          <w:tcPr>
            <w:tcW w:w="1540" w:type="dxa"/>
            <w:noWrap/>
            <w:hideMark/>
          </w:tcPr>
          <w:p w14:paraId="6A0399F7" w14:textId="77777777" w:rsidR="00F634C1" w:rsidRPr="00F634C1" w:rsidRDefault="00F634C1" w:rsidP="00F634C1">
            <w:pPr>
              <w:pStyle w:val="VEOHRCBodytext"/>
              <w:cnfStyle w:val="000000100000" w:firstRow="0" w:lastRow="0" w:firstColumn="0" w:lastColumn="0" w:oddVBand="0" w:evenVBand="0" w:oddHBand="1" w:evenHBand="0" w:firstRowFirstColumn="0" w:firstRowLastColumn="0" w:lastRowFirstColumn="0" w:lastRowLastColumn="0"/>
            </w:pPr>
            <w:r w:rsidRPr="00F634C1">
              <w:t>8</w:t>
            </w:r>
          </w:p>
        </w:tc>
      </w:tr>
      <w:tr w:rsidR="00F634C1" w:rsidRPr="00F634C1" w14:paraId="14A9CA3D" w14:textId="77777777" w:rsidTr="00F634C1">
        <w:trPr>
          <w:trHeight w:val="300"/>
        </w:trPr>
        <w:tc>
          <w:tcPr>
            <w:cnfStyle w:val="001000000000" w:firstRow="0" w:lastRow="0" w:firstColumn="1" w:lastColumn="0" w:oddVBand="0" w:evenVBand="0" w:oddHBand="0" w:evenHBand="0" w:firstRowFirstColumn="0" w:firstRowLastColumn="0" w:lastRowFirstColumn="0" w:lastRowLastColumn="0"/>
            <w:tcW w:w="5740" w:type="dxa"/>
            <w:noWrap/>
            <w:hideMark/>
          </w:tcPr>
          <w:p w14:paraId="71EF7904" w14:textId="77777777" w:rsidR="00F634C1" w:rsidRPr="00F634C1" w:rsidRDefault="00F634C1" w:rsidP="00F634C1">
            <w:pPr>
              <w:pStyle w:val="VEOHRCBodytext"/>
            </w:pPr>
            <w:r w:rsidRPr="00F634C1">
              <w:t>Private enterprise</w:t>
            </w:r>
          </w:p>
        </w:tc>
        <w:tc>
          <w:tcPr>
            <w:tcW w:w="960" w:type="dxa"/>
            <w:noWrap/>
            <w:hideMark/>
          </w:tcPr>
          <w:p w14:paraId="0B027555" w14:textId="77777777" w:rsidR="00F634C1" w:rsidRPr="00F634C1" w:rsidRDefault="00F634C1" w:rsidP="00F634C1">
            <w:pPr>
              <w:pStyle w:val="VEOHRCBodytext"/>
              <w:cnfStyle w:val="000000000000" w:firstRow="0" w:lastRow="0" w:firstColumn="0" w:lastColumn="0" w:oddVBand="0" w:evenVBand="0" w:oddHBand="0" w:evenHBand="0" w:firstRowFirstColumn="0" w:firstRowLastColumn="0" w:lastRowFirstColumn="0" w:lastRowLastColumn="0"/>
            </w:pPr>
            <w:r w:rsidRPr="00F634C1">
              <w:t>564</w:t>
            </w:r>
          </w:p>
        </w:tc>
        <w:tc>
          <w:tcPr>
            <w:tcW w:w="1160" w:type="dxa"/>
            <w:noWrap/>
            <w:hideMark/>
          </w:tcPr>
          <w:p w14:paraId="785C007D" w14:textId="77777777" w:rsidR="00F634C1" w:rsidRPr="00F634C1" w:rsidRDefault="00F634C1" w:rsidP="00F634C1">
            <w:pPr>
              <w:pStyle w:val="VEOHRCBodytext"/>
              <w:cnfStyle w:val="000000000000" w:firstRow="0" w:lastRow="0" w:firstColumn="0" w:lastColumn="0" w:oddVBand="0" w:evenVBand="0" w:oddHBand="0" w:evenHBand="0" w:firstRowFirstColumn="0" w:firstRowLastColumn="0" w:lastRowFirstColumn="0" w:lastRowLastColumn="0"/>
            </w:pPr>
            <w:r w:rsidRPr="00F634C1">
              <w:t>7</w:t>
            </w:r>
          </w:p>
        </w:tc>
        <w:tc>
          <w:tcPr>
            <w:tcW w:w="1540" w:type="dxa"/>
            <w:noWrap/>
            <w:hideMark/>
          </w:tcPr>
          <w:p w14:paraId="7C8BA79A" w14:textId="77777777" w:rsidR="00F634C1" w:rsidRPr="00F634C1" w:rsidRDefault="00F634C1" w:rsidP="00F634C1">
            <w:pPr>
              <w:pStyle w:val="VEOHRCBodytext"/>
              <w:cnfStyle w:val="000000000000" w:firstRow="0" w:lastRow="0" w:firstColumn="0" w:lastColumn="0" w:oddVBand="0" w:evenVBand="0" w:oddHBand="0" w:evenHBand="0" w:firstRowFirstColumn="0" w:firstRowLastColumn="0" w:lastRowFirstColumn="0" w:lastRowLastColumn="0"/>
            </w:pPr>
            <w:r w:rsidRPr="00F634C1">
              <w:t>571</w:t>
            </w:r>
          </w:p>
        </w:tc>
      </w:tr>
      <w:tr w:rsidR="00F634C1" w:rsidRPr="00F634C1" w14:paraId="1A783894" w14:textId="77777777" w:rsidTr="00F634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40" w:type="dxa"/>
            <w:noWrap/>
            <w:hideMark/>
          </w:tcPr>
          <w:p w14:paraId="50C05369" w14:textId="2BEC41D8" w:rsidR="00F634C1" w:rsidRPr="00F634C1" w:rsidRDefault="00F634C1" w:rsidP="00F634C1">
            <w:pPr>
              <w:pStyle w:val="VEOHRCBodytext"/>
            </w:pPr>
            <w:r w:rsidRPr="00F634C1">
              <w:t xml:space="preserve">State </w:t>
            </w:r>
            <w:r>
              <w:t>g</w:t>
            </w:r>
            <w:r w:rsidRPr="00F634C1">
              <w:t xml:space="preserve">overnment </w:t>
            </w:r>
            <w:r>
              <w:t>d</w:t>
            </w:r>
            <w:r w:rsidRPr="00F634C1">
              <w:t>epartment</w:t>
            </w:r>
          </w:p>
        </w:tc>
        <w:tc>
          <w:tcPr>
            <w:tcW w:w="960" w:type="dxa"/>
            <w:noWrap/>
            <w:hideMark/>
          </w:tcPr>
          <w:p w14:paraId="7D4CC765" w14:textId="77777777" w:rsidR="00F634C1" w:rsidRPr="00F634C1" w:rsidRDefault="00F634C1" w:rsidP="00F634C1">
            <w:pPr>
              <w:pStyle w:val="VEOHRCBodytext"/>
              <w:cnfStyle w:val="000000100000" w:firstRow="0" w:lastRow="0" w:firstColumn="0" w:lastColumn="0" w:oddVBand="0" w:evenVBand="0" w:oddHBand="1" w:evenHBand="0" w:firstRowFirstColumn="0" w:firstRowLastColumn="0" w:lastRowFirstColumn="0" w:lastRowLastColumn="0"/>
            </w:pPr>
            <w:r w:rsidRPr="00F634C1">
              <w:t>123</w:t>
            </w:r>
          </w:p>
        </w:tc>
        <w:tc>
          <w:tcPr>
            <w:tcW w:w="1160" w:type="dxa"/>
            <w:noWrap/>
            <w:hideMark/>
          </w:tcPr>
          <w:p w14:paraId="058A6F3F" w14:textId="77777777" w:rsidR="00F634C1" w:rsidRPr="00F634C1" w:rsidRDefault="00F634C1" w:rsidP="00F634C1">
            <w:pPr>
              <w:pStyle w:val="VEOHRCBodytext"/>
              <w:cnfStyle w:val="000000100000" w:firstRow="0" w:lastRow="0" w:firstColumn="0" w:lastColumn="0" w:oddVBand="0" w:evenVBand="0" w:oddHBand="1" w:evenHBand="0" w:firstRowFirstColumn="0" w:firstRowLastColumn="0" w:lastRowFirstColumn="0" w:lastRowLastColumn="0"/>
            </w:pPr>
            <w:r w:rsidRPr="00F634C1">
              <w:t> </w:t>
            </w:r>
          </w:p>
        </w:tc>
        <w:tc>
          <w:tcPr>
            <w:tcW w:w="1540" w:type="dxa"/>
            <w:noWrap/>
            <w:hideMark/>
          </w:tcPr>
          <w:p w14:paraId="2ADA799D" w14:textId="77777777" w:rsidR="00F634C1" w:rsidRPr="00F634C1" w:rsidRDefault="00F634C1" w:rsidP="00F634C1">
            <w:pPr>
              <w:pStyle w:val="VEOHRCBodytext"/>
              <w:cnfStyle w:val="000000100000" w:firstRow="0" w:lastRow="0" w:firstColumn="0" w:lastColumn="0" w:oddVBand="0" w:evenVBand="0" w:oddHBand="1" w:evenHBand="0" w:firstRowFirstColumn="0" w:firstRowLastColumn="0" w:lastRowFirstColumn="0" w:lastRowLastColumn="0"/>
            </w:pPr>
            <w:r w:rsidRPr="00F634C1">
              <w:t>123</w:t>
            </w:r>
          </w:p>
        </w:tc>
      </w:tr>
      <w:tr w:rsidR="00F634C1" w:rsidRPr="00F634C1" w14:paraId="67E6A4D4" w14:textId="77777777" w:rsidTr="00F634C1">
        <w:trPr>
          <w:trHeight w:val="300"/>
        </w:trPr>
        <w:tc>
          <w:tcPr>
            <w:cnfStyle w:val="001000000000" w:firstRow="0" w:lastRow="0" w:firstColumn="1" w:lastColumn="0" w:oddVBand="0" w:evenVBand="0" w:oddHBand="0" w:evenHBand="0" w:firstRowFirstColumn="0" w:firstRowLastColumn="0" w:lastRowFirstColumn="0" w:lastRowLastColumn="0"/>
            <w:tcW w:w="5740" w:type="dxa"/>
            <w:tcBorders>
              <w:bottom w:val="single" w:sz="18" w:space="0" w:color="auto"/>
            </w:tcBorders>
            <w:noWrap/>
            <w:hideMark/>
          </w:tcPr>
          <w:p w14:paraId="111F569E" w14:textId="631E427D" w:rsidR="00F634C1" w:rsidRPr="00F634C1" w:rsidRDefault="00F634C1" w:rsidP="00F634C1">
            <w:pPr>
              <w:pStyle w:val="VEOHRCBodytext"/>
            </w:pPr>
            <w:r w:rsidRPr="00F634C1">
              <w:lastRenderedPageBreak/>
              <w:t xml:space="preserve">State </w:t>
            </w:r>
            <w:r>
              <w:t>g</w:t>
            </w:r>
            <w:r w:rsidRPr="00F634C1">
              <w:t xml:space="preserve">overnment </w:t>
            </w:r>
            <w:r>
              <w:t>s</w:t>
            </w:r>
            <w:r w:rsidRPr="00F634C1">
              <w:t xml:space="preserve">tatutory </w:t>
            </w:r>
            <w:r>
              <w:t>a</w:t>
            </w:r>
            <w:r w:rsidRPr="00F634C1">
              <w:t>uthority</w:t>
            </w:r>
          </w:p>
        </w:tc>
        <w:tc>
          <w:tcPr>
            <w:tcW w:w="960" w:type="dxa"/>
            <w:tcBorders>
              <w:bottom w:val="single" w:sz="18" w:space="0" w:color="auto"/>
            </w:tcBorders>
            <w:noWrap/>
            <w:hideMark/>
          </w:tcPr>
          <w:p w14:paraId="7A4A9E7F" w14:textId="77777777" w:rsidR="00F634C1" w:rsidRPr="00F634C1" w:rsidRDefault="00F634C1" w:rsidP="00F634C1">
            <w:pPr>
              <w:pStyle w:val="VEOHRCBodytext"/>
              <w:cnfStyle w:val="000000000000" w:firstRow="0" w:lastRow="0" w:firstColumn="0" w:lastColumn="0" w:oddVBand="0" w:evenVBand="0" w:oddHBand="0" w:evenHBand="0" w:firstRowFirstColumn="0" w:firstRowLastColumn="0" w:lastRowFirstColumn="0" w:lastRowLastColumn="0"/>
            </w:pPr>
            <w:r w:rsidRPr="00F634C1">
              <w:t>5</w:t>
            </w:r>
          </w:p>
        </w:tc>
        <w:tc>
          <w:tcPr>
            <w:tcW w:w="1160" w:type="dxa"/>
            <w:tcBorders>
              <w:bottom w:val="single" w:sz="18" w:space="0" w:color="auto"/>
            </w:tcBorders>
            <w:noWrap/>
            <w:hideMark/>
          </w:tcPr>
          <w:p w14:paraId="1BAF69B2" w14:textId="77777777" w:rsidR="00F634C1" w:rsidRPr="00F634C1" w:rsidRDefault="00F634C1" w:rsidP="00F634C1">
            <w:pPr>
              <w:pStyle w:val="VEOHRCBodytext"/>
              <w:cnfStyle w:val="000000000000" w:firstRow="0" w:lastRow="0" w:firstColumn="0" w:lastColumn="0" w:oddVBand="0" w:evenVBand="0" w:oddHBand="0" w:evenHBand="0" w:firstRowFirstColumn="0" w:firstRowLastColumn="0" w:lastRowFirstColumn="0" w:lastRowLastColumn="0"/>
            </w:pPr>
            <w:r w:rsidRPr="00F634C1">
              <w:t> </w:t>
            </w:r>
          </w:p>
        </w:tc>
        <w:tc>
          <w:tcPr>
            <w:tcW w:w="1540" w:type="dxa"/>
            <w:tcBorders>
              <w:bottom w:val="single" w:sz="18" w:space="0" w:color="auto"/>
            </w:tcBorders>
            <w:noWrap/>
            <w:hideMark/>
          </w:tcPr>
          <w:p w14:paraId="3376995F" w14:textId="77777777" w:rsidR="00F634C1" w:rsidRPr="00F634C1" w:rsidRDefault="00F634C1" w:rsidP="00F634C1">
            <w:pPr>
              <w:pStyle w:val="VEOHRCBodytext"/>
              <w:cnfStyle w:val="000000000000" w:firstRow="0" w:lastRow="0" w:firstColumn="0" w:lastColumn="0" w:oddVBand="0" w:evenVBand="0" w:oddHBand="0" w:evenHBand="0" w:firstRowFirstColumn="0" w:firstRowLastColumn="0" w:lastRowFirstColumn="0" w:lastRowLastColumn="0"/>
            </w:pPr>
            <w:r w:rsidRPr="00F634C1">
              <w:t>5</w:t>
            </w:r>
          </w:p>
        </w:tc>
      </w:tr>
      <w:tr w:rsidR="00F634C1" w:rsidRPr="00F634C1" w14:paraId="2A29F277" w14:textId="77777777" w:rsidTr="00F634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40" w:type="dxa"/>
            <w:tcBorders>
              <w:top w:val="single" w:sz="18" w:space="0" w:color="auto"/>
            </w:tcBorders>
            <w:noWrap/>
            <w:hideMark/>
          </w:tcPr>
          <w:p w14:paraId="164E589F" w14:textId="711F8232" w:rsidR="00F634C1" w:rsidRPr="00F634C1" w:rsidRDefault="00F634C1" w:rsidP="00F634C1">
            <w:pPr>
              <w:pStyle w:val="VEOHRCBodytext"/>
            </w:pPr>
            <w:r w:rsidRPr="00F634C1">
              <w:t>Total</w:t>
            </w:r>
          </w:p>
        </w:tc>
        <w:tc>
          <w:tcPr>
            <w:tcW w:w="960" w:type="dxa"/>
            <w:tcBorders>
              <w:top w:val="single" w:sz="18" w:space="0" w:color="auto"/>
            </w:tcBorders>
            <w:noWrap/>
            <w:hideMark/>
          </w:tcPr>
          <w:p w14:paraId="56AA8C0D" w14:textId="77777777" w:rsidR="00F634C1" w:rsidRPr="00F634C1" w:rsidRDefault="00F634C1" w:rsidP="00F634C1">
            <w:pPr>
              <w:pStyle w:val="VEOHRCBodytext"/>
              <w:cnfStyle w:val="000000100000" w:firstRow="0" w:lastRow="0" w:firstColumn="0" w:lastColumn="0" w:oddVBand="0" w:evenVBand="0" w:oddHBand="1" w:evenHBand="0" w:firstRowFirstColumn="0" w:firstRowLastColumn="0" w:lastRowFirstColumn="0" w:lastRowLastColumn="0"/>
            </w:pPr>
            <w:r w:rsidRPr="00F634C1">
              <w:t>883</w:t>
            </w:r>
          </w:p>
        </w:tc>
        <w:tc>
          <w:tcPr>
            <w:tcW w:w="1160" w:type="dxa"/>
            <w:tcBorders>
              <w:top w:val="single" w:sz="18" w:space="0" w:color="auto"/>
            </w:tcBorders>
            <w:noWrap/>
            <w:hideMark/>
          </w:tcPr>
          <w:p w14:paraId="67CBA2B7" w14:textId="77777777" w:rsidR="00F634C1" w:rsidRPr="00F634C1" w:rsidRDefault="00F634C1" w:rsidP="00F634C1">
            <w:pPr>
              <w:pStyle w:val="VEOHRCBodytext"/>
              <w:cnfStyle w:val="000000100000" w:firstRow="0" w:lastRow="0" w:firstColumn="0" w:lastColumn="0" w:oddVBand="0" w:evenVBand="0" w:oddHBand="1" w:evenHBand="0" w:firstRowFirstColumn="0" w:firstRowLastColumn="0" w:lastRowFirstColumn="0" w:lastRowLastColumn="0"/>
            </w:pPr>
            <w:r w:rsidRPr="00F634C1">
              <w:t>9</w:t>
            </w:r>
          </w:p>
        </w:tc>
        <w:tc>
          <w:tcPr>
            <w:tcW w:w="1540" w:type="dxa"/>
            <w:tcBorders>
              <w:top w:val="single" w:sz="18" w:space="0" w:color="auto"/>
            </w:tcBorders>
            <w:noWrap/>
            <w:hideMark/>
          </w:tcPr>
          <w:p w14:paraId="0A2E3813" w14:textId="77777777" w:rsidR="00F634C1" w:rsidRPr="00F634C1" w:rsidRDefault="00F634C1" w:rsidP="00F634C1">
            <w:pPr>
              <w:pStyle w:val="VEOHRCBodytext"/>
              <w:cnfStyle w:val="000000100000" w:firstRow="0" w:lastRow="0" w:firstColumn="0" w:lastColumn="0" w:oddVBand="0" w:evenVBand="0" w:oddHBand="1" w:evenHBand="0" w:firstRowFirstColumn="0" w:firstRowLastColumn="0" w:lastRowFirstColumn="0" w:lastRowLastColumn="0"/>
            </w:pPr>
            <w:r w:rsidRPr="00F634C1">
              <w:t>892</w:t>
            </w:r>
          </w:p>
        </w:tc>
      </w:tr>
    </w:tbl>
    <w:p w14:paraId="1DFD3BAB" w14:textId="77777777" w:rsidR="00F634C1" w:rsidRDefault="00F634C1" w:rsidP="00B80144">
      <w:pPr>
        <w:pStyle w:val="VEOHRCBodytext"/>
      </w:pPr>
    </w:p>
    <w:p w14:paraId="6702D408" w14:textId="728D3276" w:rsidR="00F634C1" w:rsidRDefault="00F634C1" w:rsidP="00B80144">
      <w:pPr>
        <w:pStyle w:val="VEOHRCBodytext"/>
        <w:rPr>
          <w:rFonts w:cs="Arial"/>
          <w:lang w:val="en-US"/>
        </w:rPr>
      </w:pPr>
      <w:r w:rsidRPr="000420D8">
        <w:rPr>
          <w:lang w:eastAsia="en-US"/>
        </w:rPr>
        <w:t>Detailed data on enquiries and complaints can be found in Appendix 1.</w:t>
      </w:r>
    </w:p>
    <w:p w14:paraId="2F17BB30" w14:textId="77777777" w:rsidR="00E2088A" w:rsidRPr="00E2088A" w:rsidRDefault="00E2088A" w:rsidP="00E2088A">
      <w:pPr>
        <w:pStyle w:val="VEOHRCHeading1"/>
        <w:rPr>
          <w:lang w:eastAsia="en-US"/>
        </w:rPr>
      </w:pPr>
      <w:r w:rsidRPr="00E2088A">
        <w:rPr>
          <w:lang w:eastAsia="en-US"/>
        </w:rPr>
        <w:t>Research</w:t>
      </w:r>
    </w:p>
    <w:p w14:paraId="3C74F52F" w14:textId="68522DEB" w:rsidR="00E2088A" w:rsidRPr="00C715B8" w:rsidRDefault="00E2088A" w:rsidP="00C715B8">
      <w:pPr>
        <w:pStyle w:val="VEOHRCBodytext"/>
        <w:rPr>
          <w:b/>
          <w:lang w:eastAsia="en-US"/>
        </w:rPr>
      </w:pPr>
      <w:r w:rsidRPr="00C715B8">
        <w:rPr>
          <w:b/>
          <w:lang w:eastAsia="en-US"/>
        </w:rPr>
        <w:t>We undertake research and policy work to understand and find solutions to systemic causes of discrimination and human rights breaches.</w:t>
      </w:r>
    </w:p>
    <w:p w14:paraId="6DEED042" w14:textId="33B88FD3" w:rsidR="00E2088A" w:rsidRPr="00E2088A" w:rsidRDefault="00E2088A" w:rsidP="00E2088A">
      <w:pPr>
        <w:pStyle w:val="VEOHRCHeading2"/>
        <w:rPr>
          <w:lang w:eastAsia="en-US"/>
        </w:rPr>
      </w:pPr>
      <w:r w:rsidRPr="00E2088A">
        <w:rPr>
          <w:lang w:eastAsia="en-US"/>
        </w:rPr>
        <w:t>Independent Equity and Diversity Review into CFA and MFB</w:t>
      </w:r>
    </w:p>
    <w:p w14:paraId="7DB8590D" w14:textId="77777777" w:rsidR="00E2088A" w:rsidRPr="00E2088A" w:rsidRDefault="00E2088A" w:rsidP="00E2088A">
      <w:pPr>
        <w:pStyle w:val="VEOHRCBodytext"/>
        <w:rPr>
          <w:lang w:eastAsia="en-US"/>
        </w:rPr>
      </w:pPr>
      <w:r w:rsidRPr="00E2088A">
        <w:rPr>
          <w:lang w:eastAsia="en-US"/>
        </w:rPr>
        <w:t>In 2017 and 2018, the Commission’s review into the nature, prevalence, drivers and impacts of discrimination, sexual harassment and victimisation in the Country Fire Authority (CFA) and Metropolitan Fire Brigade (MFB) continued. </w:t>
      </w:r>
    </w:p>
    <w:p w14:paraId="243D4947" w14:textId="75E8C471" w:rsidR="00E2088A" w:rsidRPr="00E2088A" w:rsidRDefault="00E2088A" w:rsidP="00E2088A">
      <w:pPr>
        <w:pStyle w:val="VEOHRCBodytext"/>
        <w:rPr>
          <w:lang w:eastAsia="en-US"/>
        </w:rPr>
      </w:pPr>
      <w:r w:rsidRPr="00E2088A">
        <w:rPr>
          <w:lang w:eastAsia="en-US"/>
        </w:rPr>
        <w:t>The review is part of the Victorian Government's response to the O'Byrne Review, which recommended that Victoria’s fire services address significant issues in the workplace cultures of CFA and MFB. </w:t>
      </w:r>
    </w:p>
    <w:p w14:paraId="5E30DE84" w14:textId="0C51241C" w:rsidR="00E2088A" w:rsidRPr="00E2088A" w:rsidRDefault="00E2088A" w:rsidP="00E2088A">
      <w:pPr>
        <w:pStyle w:val="VEOHRCBodytext"/>
        <w:rPr>
          <w:lang w:eastAsia="en-US"/>
        </w:rPr>
      </w:pPr>
      <w:r w:rsidRPr="00E2088A">
        <w:rPr>
          <w:lang w:eastAsia="en-US"/>
        </w:rPr>
        <w:t>The review gathered information through an online survey, interviews, focus groups, written submissions, visits to CFA and MFB worksites, and an analysis of de-identified workforce data from the agencies, as well as a review of legislation, research and policy. </w:t>
      </w:r>
    </w:p>
    <w:p w14:paraId="13D550DD" w14:textId="1FE2F501" w:rsidR="00E2088A" w:rsidRPr="00E2088A" w:rsidRDefault="00E2088A" w:rsidP="00E2088A">
      <w:pPr>
        <w:pStyle w:val="VEOHRCBodytext"/>
        <w:rPr>
          <w:lang w:eastAsia="en-US"/>
        </w:rPr>
      </w:pPr>
      <w:r w:rsidRPr="00E2088A">
        <w:rPr>
          <w:lang w:eastAsia="en-US"/>
        </w:rPr>
        <w:t>In June 2017, the United Firefighters Union of Australia (Victoria Branch) applied to the Supreme Court to prevent publication of the final report of the review. In December 2017, the Supreme Court rejected this challenge. It found that the review was validly constituted and that the matters being investigated by the Commission are within our statutory powers. It also found that the Commission's research methodology is reasonable and appropriate, and acknowledged that the Commission had followed best practice. </w:t>
      </w:r>
    </w:p>
    <w:p w14:paraId="798BD8C4" w14:textId="3D2678FD" w:rsidR="00E2088A" w:rsidRPr="00E2088A" w:rsidRDefault="00E2088A" w:rsidP="00E2088A">
      <w:pPr>
        <w:pStyle w:val="VEOHRCBodytext"/>
        <w:rPr>
          <w:lang w:eastAsia="en-US"/>
        </w:rPr>
      </w:pPr>
      <w:r w:rsidRPr="00E2088A">
        <w:rPr>
          <w:lang w:eastAsia="en-US"/>
        </w:rPr>
        <w:t>The union later appealed this decision. The Court of Appeal heard arguments related to that appeal on 16 April. It reserved its decision, which will be issued at a later date.</w:t>
      </w:r>
    </w:p>
    <w:p w14:paraId="0507D709" w14:textId="600BBFE1" w:rsidR="00E2088A" w:rsidRPr="00E2088A" w:rsidRDefault="00E2088A" w:rsidP="00E2088A">
      <w:pPr>
        <w:pStyle w:val="VEOHRCBodytext"/>
        <w:rPr>
          <w:lang w:eastAsia="en-US"/>
        </w:rPr>
      </w:pPr>
      <w:r w:rsidRPr="00E2088A">
        <w:rPr>
          <w:lang w:eastAsia="en-US"/>
        </w:rPr>
        <w:t>Although the report of the Review has not yet been published we have seen indications of increased understanding of workplace gender inequality, including the recruitment of diversity and inclusion leads at CFA and MFB and the appointment of CFA's first female Deputy Chief Officer.</w:t>
      </w:r>
    </w:p>
    <w:p w14:paraId="18D12341" w14:textId="7CA42E5B" w:rsidR="00E2088A" w:rsidRPr="00E2088A" w:rsidRDefault="00E2088A" w:rsidP="00E2088A">
      <w:pPr>
        <w:pStyle w:val="VEOHRCBodytext"/>
        <w:rPr>
          <w:lang w:eastAsia="en-US"/>
        </w:rPr>
      </w:pPr>
      <w:r w:rsidRPr="00E2088A">
        <w:rPr>
          <w:lang w:eastAsia="en-US"/>
        </w:rPr>
        <w:t>Our work on gender equality in emergency services is also being progressed through the Commissioner's chairing of the national Male Champions of Change group of fire and emergency services.</w:t>
      </w:r>
    </w:p>
    <w:p w14:paraId="2A4223D2" w14:textId="77777777" w:rsidR="00E2088A" w:rsidRPr="00E2088A" w:rsidRDefault="00E2088A" w:rsidP="00E2088A">
      <w:pPr>
        <w:pStyle w:val="VEOHRCHeading2"/>
        <w:rPr>
          <w:lang w:eastAsia="en-US"/>
        </w:rPr>
      </w:pPr>
      <w:r w:rsidRPr="00E2088A">
        <w:rPr>
          <w:lang w:eastAsia="en-US"/>
        </w:rPr>
        <w:t>Independent Review into Sex Discrimination and Sexual Harassment, Including Predatory Behaviour, in Victoria Police</w:t>
      </w:r>
    </w:p>
    <w:p w14:paraId="4664F366" w14:textId="41934541" w:rsidR="00E2088A" w:rsidRPr="00E2088A" w:rsidRDefault="00E2088A" w:rsidP="00E2088A">
      <w:pPr>
        <w:pStyle w:val="VEOHRCBodytext"/>
        <w:rPr>
          <w:lang w:eastAsia="en-US"/>
        </w:rPr>
      </w:pPr>
      <w:r w:rsidRPr="00E2088A">
        <w:rPr>
          <w:lang w:eastAsia="en-US"/>
        </w:rPr>
        <w:t>In September 2017, the Commission completed and released Phase 2 of our Independent Review into Victoria Police, and in early 2018 we began Phase 3.</w:t>
      </w:r>
    </w:p>
    <w:p w14:paraId="29DA6E2B" w14:textId="49D4B38B" w:rsidR="00E2088A" w:rsidRPr="00E2088A" w:rsidRDefault="00E2088A" w:rsidP="00E2088A">
      <w:pPr>
        <w:pStyle w:val="VEOHRCBodytext"/>
        <w:rPr>
          <w:lang w:eastAsia="en-US"/>
        </w:rPr>
      </w:pPr>
      <w:r w:rsidRPr="00E2088A">
        <w:rPr>
          <w:lang w:eastAsia="en-US"/>
        </w:rPr>
        <w:t>The Independent Review, first released in December 2015, revealed an entrenched culture of sexism, a high tolerance for sexual harassment, and significant personal and professional costs within Victoria Police. The organisation accepted all of the Review’s 20 recommendations and agreed to two Audits.</w:t>
      </w:r>
    </w:p>
    <w:p w14:paraId="3BC1207E" w14:textId="7FF8A8AB" w:rsidR="00E2088A" w:rsidRPr="00E2088A" w:rsidRDefault="00E2088A" w:rsidP="00E2088A">
      <w:pPr>
        <w:pStyle w:val="VEOHRCBodytext"/>
        <w:rPr>
          <w:lang w:eastAsia="en-US"/>
        </w:rPr>
      </w:pPr>
      <w:r w:rsidRPr="00E2088A">
        <w:rPr>
          <w:lang w:eastAsia="en-US"/>
        </w:rPr>
        <w:lastRenderedPageBreak/>
        <w:t>Phase 2 was the first Audit assessing progress towards implementing the recommendations. It provided important insights on systemic reform programs that are relevant across a broad range of sectors. </w:t>
      </w:r>
    </w:p>
    <w:p w14:paraId="7B085670" w14:textId="77777777" w:rsidR="00E2088A" w:rsidRPr="00E2088A" w:rsidRDefault="00E2088A" w:rsidP="00E2088A">
      <w:pPr>
        <w:pStyle w:val="VEOHRCBodytext"/>
        <w:rPr>
          <w:lang w:eastAsia="en-US"/>
        </w:rPr>
      </w:pPr>
      <w:r w:rsidRPr="00E2088A">
        <w:rPr>
          <w:lang w:eastAsia="en-US"/>
        </w:rPr>
        <w:t>Phase 3, our final Audit, will assess the impact of the reforms to date, support ongoing implementation of our recommendations and provide Victoria Police with a framework to continue its progress toward gender equality. </w:t>
      </w:r>
    </w:p>
    <w:p w14:paraId="09E910A2" w14:textId="77777777" w:rsidR="00E2088A" w:rsidRPr="00E2088A" w:rsidRDefault="00E2088A" w:rsidP="00E2088A">
      <w:pPr>
        <w:pStyle w:val="VEOHRCHeading2"/>
        <w:rPr>
          <w:lang w:eastAsia="en-US"/>
        </w:rPr>
      </w:pPr>
      <w:r w:rsidRPr="00E2088A">
        <w:rPr>
          <w:lang w:eastAsia="en-US"/>
        </w:rPr>
        <w:t>Aboriginal Cultural Rights </w:t>
      </w:r>
    </w:p>
    <w:p w14:paraId="4D2FD9C3" w14:textId="016BABC6" w:rsidR="00E2088A" w:rsidRPr="00E2088A" w:rsidRDefault="00E2088A" w:rsidP="00E2088A">
      <w:pPr>
        <w:pStyle w:val="VEOHRCBodytext"/>
        <w:rPr>
          <w:lang w:eastAsia="en-US"/>
        </w:rPr>
      </w:pPr>
      <w:r w:rsidRPr="00E2088A">
        <w:rPr>
          <w:lang w:eastAsia="en-US"/>
        </w:rPr>
        <w:t>In June 2018 the Commission launched two pieces of work related to the distinct cultural rights held by Aboriginal Victorians under the Charter.</w:t>
      </w:r>
    </w:p>
    <w:p w14:paraId="3FC1EF8C" w14:textId="1AA983F4" w:rsidR="00E2088A" w:rsidRPr="00E2088A" w:rsidRDefault="00E2088A" w:rsidP="00E2088A">
      <w:pPr>
        <w:pStyle w:val="VEOHRCBodytext"/>
        <w:rPr>
          <w:lang w:eastAsia="en-US"/>
        </w:rPr>
      </w:pPr>
      <w:r w:rsidRPr="00E2088A">
        <w:rPr>
          <w:lang w:eastAsia="en-US"/>
        </w:rPr>
        <w:t>The Aboriginal Cultural Rights collection of print and online resources outlines the relevant rights under the Charter, and offers practical advice on how people can exercise their rights, and how public authorities can act compatibly with cultural rights.</w:t>
      </w:r>
    </w:p>
    <w:p w14:paraId="0E0FA24F" w14:textId="1F2E3BF1" w:rsidR="00E2088A" w:rsidRPr="00E2088A" w:rsidRDefault="00E2088A" w:rsidP="00A12985">
      <w:pPr>
        <w:pStyle w:val="VEOHRCBodytext"/>
        <w:rPr>
          <w:lang w:eastAsia="en-US"/>
        </w:rPr>
      </w:pPr>
      <w:r w:rsidRPr="00E2088A">
        <w:rPr>
          <w:lang w:eastAsia="en-US"/>
        </w:rPr>
        <w:t xml:space="preserve">The research report </w:t>
      </w:r>
      <w:r w:rsidRPr="00E2088A">
        <w:rPr>
          <w:i/>
          <w:lang w:eastAsia="en-US"/>
        </w:rPr>
        <w:t>Aboriginal cultural rights in youth justice centres</w:t>
      </w:r>
      <w:r w:rsidRPr="00E2088A">
        <w:rPr>
          <w:lang w:eastAsia="en-US"/>
        </w:rPr>
        <w:t xml:space="preserve"> was developed in partnership with the Victorian Commission for Children and Young People. The report and its recommendations are based on a series of consultations conducted with youth justice stakeholders and Aboriginal cultural knowledge holders about how young people in Victoria’s youth justice centres could be better supported to maintain and develop their connections to culture and community. </w:t>
      </w:r>
    </w:p>
    <w:p w14:paraId="08D25904" w14:textId="77777777" w:rsidR="00E2088A" w:rsidRPr="00E2088A" w:rsidRDefault="00E2088A" w:rsidP="00E2088A">
      <w:pPr>
        <w:pStyle w:val="VEOHRCHeading2"/>
        <w:rPr>
          <w:lang w:eastAsia="en-US"/>
        </w:rPr>
      </w:pPr>
      <w:r w:rsidRPr="00E2088A">
        <w:rPr>
          <w:lang w:eastAsia="en-US"/>
        </w:rPr>
        <w:t>Equal Opportunity in Golf</w:t>
      </w:r>
    </w:p>
    <w:p w14:paraId="08AD974B" w14:textId="614B68EE" w:rsidR="00E2088A" w:rsidRPr="00E2088A" w:rsidRDefault="00E2088A" w:rsidP="00A12985">
      <w:pPr>
        <w:pStyle w:val="VEOHRCBodytext"/>
        <w:rPr>
          <w:lang w:eastAsia="en-US"/>
        </w:rPr>
      </w:pPr>
      <w:r w:rsidRPr="00E2088A">
        <w:rPr>
          <w:lang w:eastAsia="en-US"/>
        </w:rPr>
        <w:t xml:space="preserve">In March 2018 the Commission released </w:t>
      </w:r>
      <w:r w:rsidRPr="00E2088A">
        <w:rPr>
          <w:i/>
          <w:lang w:eastAsia="en-US"/>
        </w:rPr>
        <w:t xml:space="preserve">Equal opportunity in golf, </w:t>
      </w:r>
      <w:r w:rsidRPr="00E2088A">
        <w:rPr>
          <w:lang w:eastAsia="en-US"/>
        </w:rPr>
        <w:t>the result of work done with Golf Victoria and Golf Australia to outline the obligations golf clubs have under the Equal Opportunity Act, particularly with regard to sex discrimination. This publication is a key part of the sport’s efforts to address the significant under-representation of women in golf. Less than 20 per cent of Australia’s golfers are women, and less than 10 per cent of Australia’s professional golfers are female, which is significantly out of step with other sports, and with contemporary Australian society.</w:t>
      </w:r>
    </w:p>
    <w:p w14:paraId="0691CB80" w14:textId="77777777" w:rsidR="00E2088A" w:rsidRPr="00E2088A" w:rsidRDefault="00E2088A" w:rsidP="00E2088A">
      <w:pPr>
        <w:pStyle w:val="VEOHRCHeading2"/>
        <w:rPr>
          <w:lang w:eastAsia="en-US"/>
        </w:rPr>
      </w:pPr>
      <w:r w:rsidRPr="00E2088A">
        <w:rPr>
          <w:lang w:eastAsia="en-US"/>
        </w:rPr>
        <w:t>Equitable Briefing Initiative: Aggregate Data Report</w:t>
      </w:r>
    </w:p>
    <w:p w14:paraId="2238AA45" w14:textId="25056853" w:rsidR="00E2088A" w:rsidRPr="00E2088A" w:rsidRDefault="00E2088A" w:rsidP="00E2088A">
      <w:pPr>
        <w:pStyle w:val="VEOHRCBodytext"/>
        <w:rPr>
          <w:lang w:eastAsia="en-US"/>
        </w:rPr>
      </w:pPr>
      <w:r w:rsidRPr="00E2088A">
        <w:rPr>
          <w:lang w:eastAsia="en-US"/>
        </w:rPr>
        <w:t>In July 2017 the Commission released an update report on the Equitable Briefing Initiative. The Equitable Briefing Initiative is a joint project from Commercial Bar Association of Victoria (CommBar), members of the judiciary and the Commission. It aims to increase briefing of women at all seniority levels of the CommBar, by engaging with the lawyers who brief the CommBar and working with these organisations to commit to real change. </w:t>
      </w:r>
    </w:p>
    <w:p w14:paraId="72E8D874" w14:textId="77777777" w:rsidR="00E2088A" w:rsidRPr="00E2088A" w:rsidRDefault="00E2088A" w:rsidP="00E2088A">
      <w:pPr>
        <w:pStyle w:val="VEOHRCBodytext"/>
        <w:rPr>
          <w:lang w:eastAsia="en-US"/>
        </w:rPr>
      </w:pPr>
      <w:r w:rsidRPr="00E2088A">
        <w:rPr>
          <w:lang w:eastAsia="en-US"/>
        </w:rPr>
        <w:t>The aggregate data report analysed results from the first stage of the initiative, and found that while there is no conclusive evidence of gender bias among the junior barrister cohort, at the senior barrister level there appears to be statistically significant bias toward men based on frequency and value of the briefs. </w:t>
      </w:r>
    </w:p>
    <w:p w14:paraId="3E1089B4" w14:textId="77777777" w:rsidR="00E2088A" w:rsidRPr="00E2088A" w:rsidRDefault="00E2088A" w:rsidP="00E2088A">
      <w:pPr>
        <w:pStyle w:val="VEOHRCHeading1"/>
        <w:rPr>
          <w:lang w:eastAsia="en-US"/>
        </w:rPr>
      </w:pPr>
      <w:r w:rsidRPr="00E2088A">
        <w:rPr>
          <w:lang w:eastAsia="en-US"/>
        </w:rPr>
        <w:t>Educate</w:t>
      </w:r>
    </w:p>
    <w:p w14:paraId="1B7F826E" w14:textId="3607E34D" w:rsidR="00E2088A" w:rsidRPr="00C715B8" w:rsidRDefault="00E2088A" w:rsidP="00C715B8">
      <w:pPr>
        <w:pStyle w:val="VEOHRCBodytext"/>
        <w:rPr>
          <w:b/>
          <w:lang w:eastAsia="en-US"/>
        </w:rPr>
      </w:pPr>
      <w:r w:rsidRPr="00C715B8">
        <w:rPr>
          <w:b/>
          <w:lang w:eastAsia="en-US"/>
        </w:rPr>
        <w:t>We provide information to help people understand and assert their rights. We conduct reviews of programs and practices to help organisations comply with their equal opportunity and human rights obligations. We also provide an education and consultancy service to government, business and the community to drive leading practice in equality, diversity and human rights. </w:t>
      </w:r>
    </w:p>
    <w:p w14:paraId="05BB66BE" w14:textId="67A7C588" w:rsidR="00E2088A" w:rsidRPr="00E2088A" w:rsidRDefault="00E2088A" w:rsidP="00E2088A">
      <w:pPr>
        <w:pStyle w:val="VEOHRCHeading2"/>
        <w:rPr>
          <w:lang w:eastAsia="en-US"/>
        </w:rPr>
      </w:pPr>
      <w:r w:rsidRPr="00E2088A">
        <w:rPr>
          <w:lang w:eastAsia="en-US"/>
        </w:rPr>
        <w:lastRenderedPageBreak/>
        <w:t>Human Rights and Equal Opportunity Training </w:t>
      </w:r>
    </w:p>
    <w:p w14:paraId="01614405" w14:textId="77777777" w:rsidR="00E2088A" w:rsidRPr="00E2088A" w:rsidRDefault="00E2088A" w:rsidP="00E2088A">
      <w:pPr>
        <w:pStyle w:val="VEOHRCBodytext"/>
        <w:rPr>
          <w:lang w:eastAsia="en-US"/>
        </w:rPr>
      </w:pPr>
      <w:r w:rsidRPr="00E2088A">
        <w:rPr>
          <w:lang w:eastAsia="en-US"/>
        </w:rPr>
        <w:t>The Education and Engagement branch delivers the Commission’s human rights and equal opportunity education and training through open enrolment programs, tailored workshops and organisational consultancy. We work with community, corporate and government stakeholders to drive leading practice in diversity and inclusion, and take a collaborative approach to developing practical and tailored equal opportunity and human rights action plans.</w:t>
      </w:r>
    </w:p>
    <w:p w14:paraId="0B7B21C0" w14:textId="203D713E" w:rsidR="00E2088A" w:rsidRPr="00E2088A" w:rsidRDefault="00E2088A" w:rsidP="00A12985">
      <w:pPr>
        <w:pStyle w:val="VEOHRCBodytext"/>
        <w:rPr>
          <w:lang w:eastAsia="en-US"/>
        </w:rPr>
      </w:pPr>
      <w:r w:rsidRPr="00E2088A">
        <w:rPr>
          <w:lang w:eastAsia="en-US"/>
        </w:rPr>
        <w:t xml:space="preserve">In 2017–18 the Commission delivered </w:t>
      </w:r>
      <w:r w:rsidRPr="00A12985">
        <w:rPr>
          <w:b/>
          <w:lang w:eastAsia="en-US"/>
        </w:rPr>
        <w:t>366 education and training sessions to 5338 participants</w:t>
      </w:r>
      <w:r w:rsidRPr="00E2088A">
        <w:rPr>
          <w:lang w:eastAsia="en-US"/>
        </w:rPr>
        <w:t xml:space="preserve">. This included 17 calendar sessions and 349 tailored sessions and speaking engagements delivered to private sector, government and community organisations. Our average </w:t>
      </w:r>
      <w:r w:rsidRPr="00A12985">
        <w:rPr>
          <w:b/>
          <w:lang w:eastAsia="en-US"/>
        </w:rPr>
        <w:t>customer satisfaction rating for the year was 87 per cent</w:t>
      </w:r>
      <w:r w:rsidRPr="00E2088A">
        <w:rPr>
          <w:lang w:eastAsia="en-US"/>
        </w:rPr>
        <w:t>.</w:t>
      </w:r>
    </w:p>
    <w:p w14:paraId="0DCA837E" w14:textId="702E0813" w:rsidR="00E2088A" w:rsidRPr="00E2088A" w:rsidRDefault="00E2088A" w:rsidP="00E2088A">
      <w:pPr>
        <w:pStyle w:val="VEOHRCBodytext"/>
        <w:rPr>
          <w:lang w:eastAsia="en-US"/>
        </w:rPr>
      </w:pPr>
      <w:r w:rsidRPr="00E2088A">
        <w:rPr>
          <w:lang w:eastAsia="en-US"/>
        </w:rPr>
        <w:t>The Commission has also collaborated with WestJustice on the award-winning Train the Trainer program on Employment law, where we are training leaders from various culturally and linguistically diverse backgrounds including Ethiopia, Somalia, Papua New Guinea, Iraq, Karen and Chin communities. </w:t>
      </w:r>
    </w:p>
    <w:p w14:paraId="2D23355B" w14:textId="77777777" w:rsidR="00E2088A" w:rsidRPr="00E2088A" w:rsidRDefault="00E2088A" w:rsidP="00E2088A">
      <w:pPr>
        <w:pStyle w:val="VEOHRCBodytext"/>
        <w:rPr>
          <w:lang w:eastAsia="en-US"/>
        </w:rPr>
      </w:pPr>
      <w:r w:rsidRPr="00E2088A">
        <w:rPr>
          <w:lang w:eastAsia="en-US"/>
        </w:rPr>
        <w:t>To address the harmful and persistent occurrence of racism and racially based crimes in the inner eastern and northern suburbs of Melbourne, the Commission partnered with seven organisations: City of Yarra, Neighbourhood Justice Centre, Fitzroy Legal Service, Victoria Police, Carringbush Education, cohealth and MiCare on the Stand Together Project. This project involves the co-creation of accessible resources on ‘racial attacks and what to do’, training of multicultural and multifaith representatives, and community forums to large groups of culturally diverse communities that have experienced racism. </w:t>
      </w:r>
    </w:p>
    <w:p w14:paraId="3AC2A536" w14:textId="77777777" w:rsidR="00E2088A" w:rsidRPr="00E2088A" w:rsidRDefault="00E2088A" w:rsidP="00E2088A">
      <w:pPr>
        <w:pStyle w:val="VEOHRCHeading2"/>
        <w:rPr>
          <w:lang w:eastAsia="en-US"/>
        </w:rPr>
      </w:pPr>
      <w:r w:rsidRPr="00E2088A">
        <w:rPr>
          <w:lang w:eastAsia="en-US"/>
        </w:rPr>
        <w:t>Charter Education Project</w:t>
      </w:r>
    </w:p>
    <w:p w14:paraId="5848CCD7" w14:textId="30F8B5B8" w:rsidR="00E2088A" w:rsidRPr="00E2088A" w:rsidRDefault="00E2088A" w:rsidP="00A12985">
      <w:pPr>
        <w:pStyle w:val="VEOHRCBodytext"/>
        <w:rPr>
          <w:lang w:eastAsia="en-US"/>
        </w:rPr>
      </w:pPr>
      <w:r w:rsidRPr="00E2088A">
        <w:rPr>
          <w:lang w:eastAsia="en-US"/>
        </w:rPr>
        <w:t>In July 2016, the Attorney-General announced the Victorian Government’s response to the Eight-Year Review of the Charter, which included funding for the Commission and Department of Justice and Regulation’s Human Rights Unit (HRU) to develop human rights resources and deliver education across the public sector and ‘further embed and improve the human rights culture in Victoria’. </w:t>
      </w:r>
    </w:p>
    <w:p w14:paraId="7BE72985" w14:textId="50600E36" w:rsidR="00E2088A" w:rsidRPr="00E2088A" w:rsidRDefault="00E2088A" w:rsidP="00E2088A">
      <w:pPr>
        <w:pStyle w:val="VEOHRCBodytext"/>
        <w:rPr>
          <w:lang w:eastAsia="en-US"/>
        </w:rPr>
      </w:pPr>
      <w:r w:rsidRPr="00E2088A">
        <w:rPr>
          <w:lang w:eastAsia="en-US"/>
        </w:rPr>
        <w:t>More than 5000 public sector officials have now received human rights education and have a better awareness of how the Charter can apply and enliven their roles. In partnership with the Department of Justice and Regulation (DJR), the Commission also established the Charter Leaders Group, a senior cross-departmental group chaired by the Commissioner and the Deputy Secretary of DJR to provide public sector leadership on the Charter. This framework will be used in the Commission's next Charter Report and will help us recognise real progress and areas of focus. </w:t>
      </w:r>
    </w:p>
    <w:p w14:paraId="6E30D637" w14:textId="77777777" w:rsidR="00E2088A" w:rsidRPr="00E2088A" w:rsidRDefault="00E2088A" w:rsidP="00E2088A">
      <w:pPr>
        <w:pStyle w:val="VEOHRCBodytext"/>
        <w:rPr>
          <w:lang w:eastAsia="en-US"/>
        </w:rPr>
      </w:pPr>
      <w:r w:rsidRPr="00E2088A">
        <w:rPr>
          <w:lang w:eastAsia="en-US"/>
        </w:rPr>
        <w:t>Throughout 2017–18, the Commission and the HRU developed resources that include e-learning modules to help build a culture of human rights among the Victorian Public Sector. </w:t>
      </w:r>
    </w:p>
    <w:p w14:paraId="6296E268" w14:textId="77777777" w:rsidR="00E2088A" w:rsidRPr="00E2088A" w:rsidRDefault="00E2088A" w:rsidP="00E2088A">
      <w:pPr>
        <w:pStyle w:val="VEOHRCBodytext"/>
        <w:rPr>
          <w:lang w:eastAsia="en-US"/>
        </w:rPr>
      </w:pPr>
      <w:r w:rsidRPr="00E2088A">
        <w:rPr>
          <w:lang w:eastAsia="en-US"/>
        </w:rPr>
        <w:t>The e-learning modules have been developed with the assistance of a specialty online training provider and feature a suite of videos that feature contributions from prominent Victorian human rights advocates, including youth LGBTI advocate Rory Blundell; disability advocate Uncle John Baxter; Victoria Police Multicultural Liaison Officer Dinesh Nettur; Transgender Victoria media representative and educator Sally Goldner; and Victorian Treaty Advancement Commissioner Jill Gallagher.</w:t>
      </w:r>
    </w:p>
    <w:p w14:paraId="5178954F" w14:textId="77777777" w:rsidR="00E2088A" w:rsidRPr="00E2088A" w:rsidRDefault="00E2088A" w:rsidP="00E2088A">
      <w:pPr>
        <w:pStyle w:val="VEOHRCHeading2"/>
        <w:rPr>
          <w:lang w:eastAsia="en-US"/>
        </w:rPr>
      </w:pPr>
      <w:r w:rsidRPr="00E2088A">
        <w:rPr>
          <w:lang w:eastAsia="en-US"/>
        </w:rPr>
        <w:lastRenderedPageBreak/>
        <w:t>Information Service</w:t>
      </w:r>
    </w:p>
    <w:p w14:paraId="1A04D643" w14:textId="77777777" w:rsidR="00E2088A" w:rsidRPr="00E2088A" w:rsidRDefault="00E2088A" w:rsidP="00E2088A">
      <w:pPr>
        <w:pStyle w:val="VEOHRCBodytext"/>
        <w:rPr>
          <w:lang w:eastAsia="en-US"/>
        </w:rPr>
      </w:pPr>
      <w:r w:rsidRPr="00E2088A">
        <w:rPr>
          <w:lang w:eastAsia="en-US"/>
        </w:rPr>
        <w:t>The Commission provides an information service that manages phone, email, webchat, written and in-person enquiries about the Equal Opportunity Act, the Racial and Religious Tolerance Act and the application of the Charter. We also provide individuals and organisations with a range of printed materials that provide information and guidance on the legislation.</w:t>
      </w:r>
    </w:p>
    <w:p w14:paraId="469C84A8" w14:textId="77777777" w:rsidR="00E2088A" w:rsidRPr="00E2088A" w:rsidRDefault="00E2088A" w:rsidP="00A12985">
      <w:pPr>
        <w:pStyle w:val="VEOHRCBodytext"/>
        <w:rPr>
          <w:lang w:eastAsia="en-US"/>
        </w:rPr>
      </w:pPr>
      <w:r w:rsidRPr="00E2088A">
        <w:rPr>
          <w:lang w:eastAsia="en-US"/>
        </w:rPr>
        <w:t xml:space="preserve">In 2017–18, the Commission received </w:t>
      </w:r>
      <w:r w:rsidRPr="00A12985">
        <w:rPr>
          <w:b/>
          <w:lang w:eastAsia="en-US"/>
        </w:rPr>
        <w:t xml:space="preserve">8585 enquiries </w:t>
      </w:r>
      <w:r w:rsidRPr="00E2088A">
        <w:rPr>
          <w:lang w:eastAsia="en-US"/>
        </w:rPr>
        <w:t xml:space="preserve">from people, raising </w:t>
      </w:r>
      <w:r w:rsidRPr="00A12985">
        <w:rPr>
          <w:b/>
          <w:lang w:eastAsia="en-US"/>
        </w:rPr>
        <w:t xml:space="preserve">10,675 issues </w:t>
      </w:r>
      <w:r w:rsidRPr="00E2088A">
        <w:rPr>
          <w:lang w:eastAsia="en-US"/>
        </w:rPr>
        <w:t>of discrimination. </w:t>
      </w:r>
    </w:p>
    <w:p w14:paraId="7D9A0355" w14:textId="77777777" w:rsidR="00E2088A" w:rsidRPr="00E2088A" w:rsidRDefault="00E2088A" w:rsidP="00E2088A">
      <w:pPr>
        <w:pStyle w:val="VEOHRCBodytext"/>
        <w:rPr>
          <w:lang w:eastAsia="en-US"/>
        </w:rPr>
      </w:pPr>
      <w:r w:rsidRPr="00E2088A">
        <w:rPr>
          <w:lang w:eastAsia="en-US"/>
        </w:rPr>
        <w:t>In the past three years, the Commission received:</w:t>
      </w:r>
    </w:p>
    <w:p w14:paraId="21CF7D2F" w14:textId="34EEFCC4" w:rsidR="008F6104" w:rsidRDefault="00A12985" w:rsidP="008F6104">
      <w:pPr>
        <w:pStyle w:val="VEOHRCBodytext"/>
      </w:pPr>
      <w:r>
        <w:rPr>
          <w:b/>
        </w:rPr>
        <w:t>2</w:t>
      </w:r>
      <w:r w:rsidR="008F6104" w:rsidRPr="000420D8">
        <w:rPr>
          <w:b/>
        </w:rPr>
        <w:t>015</w:t>
      </w:r>
      <w:r w:rsidR="00982E9A">
        <w:rPr>
          <w:b/>
        </w:rPr>
        <w:t>–</w:t>
      </w:r>
      <w:r w:rsidR="008F6104" w:rsidRPr="000420D8">
        <w:rPr>
          <w:b/>
        </w:rPr>
        <w:t>16</w:t>
      </w:r>
      <w:r w:rsidR="008F6104" w:rsidRPr="000420D8">
        <w:tab/>
      </w:r>
      <w:r w:rsidR="008F6104" w:rsidRPr="000420D8">
        <w:tab/>
        <w:t>8170 enquiries raising 11,823 issues</w:t>
      </w:r>
      <w:r w:rsidR="008F6104" w:rsidRPr="000420D8">
        <w:br/>
      </w:r>
      <w:r w:rsidR="008F6104" w:rsidRPr="000420D8">
        <w:rPr>
          <w:b/>
        </w:rPr>
        <w:t>2016</w:t>
      </w:r>
      <w:r w:rsidR="00982E9A">
        <w:rPr>
          <w:b/>
        </w:rPr>
        <w:t>–</w:t>
      </w:r>
      <w:r w:rsidR="008F6104" w:rsidRPr="000420D8">
        <w:rPr>
          <w:b/>
        </w:rPr>
        <w:t>17</w:t>
      </w:r>
      <w:r w:rsidR="008F6104" w:rsidRPr="000420D8">
        <w:tab/>
      </w:r>
      <w:r w:rsidR="008F6104" w:rsidRPr="000420D8">
        <w:tab/>
        <w:t>8278 enquiries raising 11,210 issues</w:t>
      </w:r>
      <w:r w:rsidR="008F6104" w:rsidRPr="000420D8">
        <w:br/>
      </w:r>
      <w:r w:rsidR="00982E9A">
        <w:rPr>
          <w:b/>
        </w:rPr>
        <w:t>2017–</w:t>
      </w:r>
      <w:r w:rsidR="008F6104" w:rsidRPr="000420D8">
        <w:rPr>
          <w:b/>
        </w:rPr>
        <w:t>18</w:t>
      </w:r>
      <w:r w:rsidR="008F6104" w:rsidRPr="000420D8">
        <w:tab/>
      </w:r>
      <w:r w:rsidR="008F6104" w:rsidRPr="000420D8">
        <w:tab/>
      </w:r>
      <w:r w:rsidR="00EB2ADF" w:rsidRPr="00EB2ADF">
        <w:t xml:space="preserve">8585 enquiries raising 10,675 </w:t>
      </w:r>
      <w:r w:rsidR="008F6104" w:rsidRPr="00EB2ADF">
        <w:t>issues</w:t>
      </w:r>
    </w:p>
    <w:p w14:paraId="705660D8" w14:textId="100E1A91" w:rsidR="00E2088A" w:rsidRDefault="00E2088A" w:rsidP="00A12985">
      <w:pPr>
        <w:pStyle w:val="VEOHRCBodytext"/>
        <w:rPr>
          <w:sz w:val="17"/>
          <w:szCs w:val="17"/>
          <w:lang w:val="en-US" w:eastAsia="en-US"/>
        </w:rPr>
      </w:pPr>
      <w:r>
        <w:rPr>
          <w:rStyle w:val="s1"/>
        </w:rPr>
        <w:t xml:space="preserve">In response to direct requests from individuals and organisations, the Commission distributed more than 10,000 pieces of printed material in 2017–18, including brochures on discrimination, postcards, magnets, badges, guidelines </w:t>
      </w:r>
      <w:r>
        <w:t>and research reports.</w:t>
      </w:r>
    </w:p>
    <w:p w14:paraId="27C6DD67" w14:textId="3CCE29EB" w:rsidR="00F634C1" w:rsidRDefault="00E2088A" w:rsidP="00E2088A">
      <w:pPr>
        <w:pStyle w:val="VEOHRCHeading4"/>
      </w:pPr>
      <w:r>
        <w:t xml:space="preserve"> </w:t>
      </w:r>
      <w:r w:rsidR="00F634C1">
        <w:t>Enquiries received by contact mode</w:t>
      </w:r>
    </w:p>
    <w:tbl>
      <w:tblPr>
        <w:tblStyle w:val="GridTable41"/>
        <w:tblW w:w="6091" w:type="dxa"/>
        <w:tblLook w:val="04A0" w:firstRow="1" w:lastRow="0" w:firstColumn="1" w:lastColumn="0" w:noHBand="0" w:noVBand="1"/>
      </w:tblPr>
      <w:tblGrid>
        <w:gridCol w:w="2263"/>
        <w:gridCol w:w="1276"/>
        <w:gridCol w:w="1276"/>
        <w:gridCol w:w="1276"/>
      </w:tblGrid>
      <w:tr w:rsidR="00F634C1" w:rsidRPr="00F634C1" w14:paraId="1A6FFE95" w14:textId="77777777" w:rsidTr="008D626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3" w:type="dxa"/>
            <w:noWrap/>
            <w:hideMark/>
          </w:tcPr>
          <w:p w14:paraId="27946638" w14:textId="77777777" w:rsidR="00F634C1" w:rsidRPr="00F634C1" w:rsidRDefault="00F634C1" w:rsidP="00F634C1">
            <w:pPr>
              <w:pStyle w:val="VEOHRCBodytext"/>
            </w:pPr>
            <w:r w:rsidRPr="00F634C1">
              <w:t>How Received</w:t>
            </w:r>
          </w:p>
        </w:tc>
        <w:tc>
          <w:tcPr>
            <w:tcW w:w="1276" w:type="dxa"/>
            <w:noWrap/>
            <w:hideMark/>
          </w:tcPr>
          <w:p w14:paraId="032242F8" w14:textId="275C72AB" w:rsidR="00F634C1" w:rsidRPr="00F634C1" w:rsidRDefault="00F634C1" w:rsidP="00F634C1">
            <w:pPr>
              <w:pStyle w:val="VEOHRCBodytext"/>
              <w:cnfStyle w:val="100000000000" w:firstRow="1" w:lastRow="0" w:firstColumn="0" w:lastColumn="0" w:oddVBand="0" w:evenVBand="0" w:oddHBand="0" w:evenHBand="0" w:firstRowFirstColumn="0" w:firstRowLastColumn="0" w:lastRowFirstColumn="0" w:lastRowLastColumn="0"/>
            </w:pPr>
            <w:r w:rsidRPr="00F634C1">
              <w:t>201</w:t>
            </w:r>
            <w:r w:rsidR="008D6268">
              <w:t>5–</w:t>
            </w:r>
            <w:r w:rsidRPr="00F634C1">
              <w:t>16</w:t>
            </w:r>
          </w:p>
        </w:tc>
        <w:tc>
          <w:tcPr>
            <w:tcW w:w="1276" w:type="dxa"/>
            <w:noWrap/>
            <w:hideMark/>
          </w:tcPr>
          <w:p w14:paraId="546FE8A7" w14:textId="6393424C" w:rsidR="00F634C1" w:rsidRPr="00F634C1" w:rsidRDefault="00F634C1" w:rsidP="00F634C1">
            <w:pPr>
              <w:pStyle w:val="VEOHRCBodytext"/>
              <w:cnfStyle w:val="100000000000" w:firstRow="1" w:lastRow="0" w:firstColumn="0" w:lastColumn="0" w:oddVBand="0" w:evenVBand="0" w:oddHBand="0" w:evenHBand="0" w:firstRowFirstColumn="0" w:firstRowLastColumn="0" w:lastRowFirstColumn="0" w:lastRowLastColumn="0"/>
            </w:pPr>
            <w:r w:rsidRPr="00F634C1">
              <w:t>201</w:t>
            </w:r>
            <w:r w:rsidR="008D6268">
              <w:t>6–</w:t>
            </w:r>
            <w:r w:rsidRPr="00F634C1">
              <w:t>17</w:t>
            </w:r>
          </w:p>
        </w:tc>
        <w:tc>
          <w:tcPr>
            <w:tcW w:w="1276" w:type="dxa"/>
            <w:noWrap/>
            <w:hideMark/>
          </w:tcPr>
          <w:p w14:paraId="643D303A" w14:textId="13578792" w:rsidR="00F634C1" w:rsidRPr="00F634C1" w:rsidRDefault="00F634C1" w:rsidP="00F634C1">
            <w:pPr>
              <w:pStyle w:val="VEOHRCBodytext"/>
              <w:cnfStyle w:val="100000000000" w:firstRow="1" w:lastRow="0" w:firstColumn="0" w:lastColumn="0" w:oddVBand="0" w:evenVBand="0" w:oddHBand="0" w:evenHBand="0" w:firstRowFirstColumn="0" w:firstRowLastColumn="0" w:lastRowFirstColumn="0" w:lastRowLastColumn="0"/>
            </w:pPr>
            <w:r w:rsidRPr="00F634C1">
              <w:t>201</w:t>
            </w:r>
            <w:r w:rsidR="008D6268">
              <w:t>7–</w:t>
            </w:r>
            <w:r w:rsidRPr="00F634C1">
              <w:t>18</w:t>
            </w:r>
          </w:p>
        </w:tc>
      </w:tr>
      <w:tr w:rsidR="00F634C1" w:rsidRPr="00F634C1" w14:paraId="223B2921" w14:textId="77777777" w:rsidTr="008D626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3" w:type="dxa"/>
            <w:noWrap/>
            <w:hideMark/>
          </w:tcPr>
          <w:p w14:paraId="558667FA" w14:textId="77777777" w:rsidR="00F634C1" w:rsidRPr="00F634C1" w:rsidRDefault="00F634C1" w:rsidP="00F634C1">
            <w:pPr>
              <w:pStyle w:val="VEOHRCBodytext"/>
              <w:rPr>
                <w:color w:val="000000"/>
              </w:rPr>
            </w:pPr>
            <w:r w:rsidRPr="00F634C1">
              <w:rPr>
                <w:color w:val="000000"/>
              </w:rPr>
              <w:t>Email</w:t>
            </w:r>
          </w:p>
        </w:tc>
        <w:tc>
          <w:tcPr>
            <w:tcW w:w="1276" w:type="dxa"/>
            <w:noWrap/>
            <w:hideMark/>
          </w:tcPr>
          <w:p w14:paraId="204FD776" w14:textId="77777777" w:rsidR="00F634C1" w:rsidRPr="00F634C1" w:rsidRDefault="00F634C1" w:rsidP="00F634C1">
            <w:pPr>
              <w:pStyle w:val="VEOHRCBodytext"/>
              <w:cnfStyle w:val="000000100000" w:firstRow="0" w:lastRow="0" w:firstColumn="0" w:lastColumn="0" w:oddVBand="0" w:evenVBand="0" w:oddHBand="1" w:evenHBand="0" w:firstRowFirstColumn="0" w:firstRowLastColumn="0" w:lastRowFirstColumn="0" w:lastRowLastColumn="0"/>
              <w:rPr>
                <w:color w:val="000000"/>
              </w:rPr>
            </w:pPr>
            <w:r w:rsidRPr="00F634C1">
              <w:rPr>
                <w:color w:val="000000"/>
              </w:rPr>
              <w:t>889</w:t>
            </w:r>
          </w:p>
        </w:tc>
        <w:tc>
          <w:tcPr>
            <w:tcW w:w="1276" w:type="dxa"/>
            <w:noWrap/>
            <w:hideMark/>
          </w:tcPr>
          <w:p w14:paraId="32098416" w14:textId="77777777" w:rsidR="00F634C1" w:rsidRPr="00F634C1" w:rsidRDefault="00F634C1" w:rsidP="00F634C1">
            <w:pPr>
              <w:pStyle w:val="VEOHRCBodytext"/>
              <w:cnfStyle w:val="000000100000" w:firstRow="0" w:lastRow="0" w:firstColumn="0" w:lastColumn="0" w:oddVBand="0" w:evenVBand="0" w:oddHBand="1" w:evenHBand="0" w:firstRowFirstColumn="0" w:firstRowLastColumn="0" w:lastRowFirstColumn="0" w:lastRowLastColumn="0"/>
              <w:rPr>
                <w:color w:val="000000"/>
              </w:rPr>
            </w:pPr>
            <w:r w:rsidRPr="00F634C1">
              <w:rPr>
                <w:color w:val="000000"/>
              </w:rPr>
              <w:t>1445</w:t>
            </w:r>
          </w:p>
        </w:tc>
        <w:tc>
          <w:tcPr>
            <w:tcW w:w="1276" w:type="dxa"/>
            <w:noWrap/>
            <w:hideMark/>
          </w:tcPr>
          <w:p w14:paraId="321D1F01" w14:textId="77777777" w:rsidR="00F634C1" w:rsidRPr="00F634C1" w:rsidRDefault="00F634C1" w:rsidP="00F634C1">
            <w:pPr>
              <w:pStyle w:val="VEOHRCBodytext"/>
              <w:cnfStyle w:val="000000100000" w:firstRow="0" w:lastRow="0" w:firstColumn="0" w:lastColumn="0" w:oddVBand="0" w:evenVBand="0" w:oddHBand="1" w:evenHBand="0" w:firstRowFirstColumn="0" w:firstRowLastColumn="0" w:lastRowFirstColumn="0" w:lastRowLastColumn="0"/>
              <w:rPr>
                <w:color w:val="000000"/>
              </w:rPr>
            </w:pPr>
            <w:r w:rsidRPr="00F634C1">
              <w:rPr>
                <w:color w:val="000000"/>
              </w:rPr>
              <w:t>1526</w:t>
            </w:r>
          </w:p>
        </w:tc>
      </w:tr>
      <w:tr w:rsidR="00F634C1" w:rsidRPr="00F634C1" w14:paraId="09E868B5" w14:textId="77777777" w:rsidTr="008D6268">
        <w:trPr>
          <w:trHeight w:val="300"/>
        </w:trPr>
        <w:tc>
          <w:tcPr>
            <w:cnfStyle w:val="001000000000" w:firstRow="0" w:lastRow="0" w:firstColumn="1" w:lastColumn="0" w:oddVBand="0" w:evenVBand="0" w:oddHBand="0" w:evenHBand="0" w:firstRowFirstColumn="0" w:firstRowLastColumn="0" w:lastRowFirstColumn="0" w:lastRowLastColumn="0"/>
            <w:tcW w:w="2263" w:type="dxa"/>
            <w:noWrap/>
            <w:hideMark/>
          </w:tcPr>
          <w:p w14:paraId="52A5A091" w14:textId="77777777" w:rsidR="00F634C1" w:rsidRPr="00F634C1" w:rsidRDefault="00F634C1" w:rsidP="00F634C1">
            <w:pPr>
              <w:pStyle w:val="VEOHRCBodytext"/>
              <w:rPr>
                <w:color w:val="000000"/>
              </w:rPr>
            </w:pPr>
            <w:r w:rsidRPr="00F634C1">
              <w:rPr>
                <w:color w:val="000000"/>
              </w:rPr>
              <w:t>Fax</w:t>
            </w:r>
          </w:p>
        </w:tc>
        <w:tc>
          <w:tcPr>
            <w:tcW w:w="1276" w:type="dxa"/>
            <w:noWrap/>
            <w:hideMark/>
          </w:tcPr>
          <w:p w14:paraId="370DC2C1" w14:textId="77777777" w:rsidR="00F634C1" w:rsidRPr="00F634C1" w:rsidRDefault="00F634C1" w:rsidP="00F634C1">
            <w:pPr>
              <w:pStyle w:val="VEOHRCBodytext"/>
              <w:cnfStyle w:val="000000000000" w:firstRow="0" w:lastRow="0" w:firstColumn="0" w:lastColumn="0" w:oddVBand="0" w:evenVBand="0" w:oddHBand="0" w:evenHBand="0" w:firstRowFirstColumn="0" w:firstRowLastColumn="0" w:lastRowFirstColumn="0" w:lastRowLastColumn="0"/>
              <w:rPr>
                <w:color w:val="000000"/>
              </w:rPr>
            </w:pPr>
            <w:r w:rsidRPr="00F634C1">
              <w:rPr>
                <w:color w:val="000000"/>
              </w:rPr>
              <w:t>12</w:t>
            </w:r>
          </w:p>
        </w:tc>
        <w:tc>
          <w:tcPr>
            <w:tcW w:w="1276" w:type="dxa"/>
            <w:noWrap/>
            <w:hideMark/>
          </w:tcPr>
          <w:p w14:paraId="25F5250E" w14:textId="77777777" w:rsidR="00F634C1" w:rsidRPr="00F634C1" w:rsidRDefault="00F634C1" w:rsidP="00F634C1">
            <w:pPr>
              <w:pStyle w:val="VEOHRCBodytext"/>
              <w:cnfStyle w:val="000000000000" w:firstRow="0" w:lastRow="0" w:firstColumn="0" w:lastColumn="0" w:oddVBand="0" w:evenVBand="0" w:oddHBand="0" w:evenHBand="0" w:firstRowFirstColumn="0" w:firstRowLastColumn="0" w:lastRowFirstColumn="0" w:lastRowLastColumn="0"/>
              <w:rPr>
                <w:color w:val="000000"/>
              </w:rPr>
            </w:pPr>
            <w:r w:rsidRPr="00F634C1">
              <w:rPr>
                <w:color w:val="000000"/>
              </w:rPr>
              <w:t>10</w:t>
            </w:r>
          </w:p>
        </w:tc>
        <w:tc>
          <w:tcPr>
            <w:tcW w:w="1276" w:type="dxa"/>
            <w:noWrap/>
            <w:hideMark/>
          </w:tcPr>
          <w:p w14:paraId="489B53BE" w14:textId="77777777" w:rsidR="00F634C1" w:rsidRPr="00F634C1" w:rsidRDefault="00F634C1" w:rsidP="00F634C1">
            <w:pPr>
              <w:pStyle w:val="VEOHRCBodytext"/>
              <w:cnfStyle w:val="000000000000" w:firstRow="0" w:lastRow="0" w:firstColumn="0" w:lastColumn="0" w:oddVBand="0" w:evenVBand="0" w:oddHBand="0" w:evenHBand="0" w:firstRowFirstColumn="0" w:firstRowLastColumn="0" w:lastRowFirstColumn="0" w:lastRowLastColumn="0"/>
              <w:rPr>
                <w:color w:val="000000"/>
              </w:rPr>
            </w:pPr>
            <w:r w:rsidRPr="00F634C1">
              <w:rPr>
                <w:color w:val="000000"/>
              </w:rPr>
              <w:t>4</w:t>
            </w:r>
          </w:p>
        </w:tc>
      </w:tr>
      <w:tr w:rsidR="00F634C1" w:rsidRPr="00F634C1" w14:paraId="70CF3907" w14:textId="77777777" w:rsidTr="008D626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3" w:type="dxa"/>
            <w:noWrap/>
            <w:hideMark/>
          </w:tcPr>
          <w:p w14:paraId="3405A293" w14:textId="77777777" w:rsidR="00F634C1" w:rsidRPr="00F634C1" w:rsidRDefault="00F634C1" w:rsidP="00F634C1">
            <w:pPr>
              <w:pStyle w:val="VEOHRCBodytext"/>
              <w:rPr>
                <w:color w:val="000000"/>
              </w:rPr>
            </w:pPr>
            <w:r w:rsidRPr="00F634C1">
              <w:rPr>
                <w:color w:val="000000"/>
              </w:rPr>
              <w:t>In Person</w:t>
            </w:r>
          </w:p>
        </w:tc>
        <w:tc>
          <w:tcPr>
            <w:tcW w:w="1276" w:type="dxa"/>
            <w:noWrap/>
            <w:hideMark/>
          </w:tcPr>
          <w:p w14:paraId="573AAB6E" w14:textId="77777777" w:rsidR="00F634C1" w:rsidRPr="00F634C1" w:rsidRDefault="00F634C1" w:rsidP="00F634C1">
            <w:pPr>
              <w:pStyle w:val="VEOHRCBodytext"/>
              <w:cnfStyle w:val="000000100000" w:firstRow="0" w:lastRow="0" w:firstColumn="0" w:lastColumn="0" w:oddVBand="0" w:evenVBand="0" w:oddHBand="1" w:evenHBand="0" w:firstRowFirstColumn="0" w:firstRowLastColumn="0" w:lastRowFirstColumn="0" w:lastRowLastColumn="0"/>
              <w:rPr>
                <w:color w:val="000000"/>
              </w:rPr>
            </w:pPr>
            <w:r w:rsidRPr="00F634C1">
              <w:rPr>
                <w:color w:val="000000"/>
              </w:rPr>
              <w:t>88</w:t>
            </w:r>
          </w:p>
        </w:tc>
        <w:tc>
          <w:tcPr>
            <w:tcW w:w="1276" w:type="dxa"/>
            <w:noWrap/>
            <w:hideMark/>
          </w:tcPr>
          <w:p w14:paraId="00CF867D" w14:textId="77777777" w:rsidR="00F634C1" w:rsidRPr="00F634C1" w:rsidRDefault="00F634C1" w:rsidP="00F634C1">
            <w:pPr>
              <w:pStyle w:val="VEOHRCBodytext"/>
              <w:cnfStyle w:val="000000100000" w:firstRow="0" w:lastRow="0" w:firstColumn="0" w:lastColumn="0" w:oddVBand="0" w:evenVBand="0" w:oddHBand="1" w:evenHBand="0" w:firstRowFirstColumn="0" w:firstRowLastColumn="0" w:lastRowFirstColumn="0" w:lastRowLastColumn="0"/>
              <w:rPr>
                <w:color w:val="000000"/>
              </w:rPr>
            </w:pPr>
            <w:r w:rsidRPr="00F634C1">
              <w:rPr>
                <w:color w:val="000000"/>
              </w:rPr>
              <w:t>64</w:t>
            </w:r>
          </w:p>
        </w:tc>
        <w:tc>
          <w:tcPr>
            <w:tcW w:w="1276" w:type="dxa"/>
            <w:noWrap/>
            <w:hideMark/>
          </w:tcPr>
          <w:p w14:paraId="34670FA0" w14:textId="77777777" w:rsidR="00F634C1" w:rsidRPr="00F634C1" w:rsidRDefault="00F634C1" w:rsidP="00F634C1">
            <w:pPr>
              <w:pStyle w:val="VEOHRCBodytext"/>
              <w:cnfStyle w:val="000000100000" w:firstRow="0" w:lastRow="0" w:firstColumn="0" w:lastColumn="0" w:oddVBand="0" w:evenVBand="0" w:oddHBand="1" w:evenHBand="0" w:firstRowFirstColumn="0" w:firstRowLastColumn="0" w:lastRowFirstColumn="0" w:lastRowLastColumn="0"/>
              <w:rPr>
                <w:color w:val="000000"/>
              </w:rPr>
            </w:pPr>
            <w:r w:rsidRPr="00F634C1">
              <w:rPr>
                <w:color w:val="000000"/>
              </w:rPr>
              <w:t>174</w:t>
            </w:r>
          </w:p>
        </w:tc>
      </w:tr>
      <w:tr w:rsidR="00F634C1" w:rsidRPr="00F634C1" w14:paraId="190ABA52" w14:textId="77777777" w:rsidTr="008D6268">
        <w:trPr>
          <w:trHeight w:val="300"/>
        </w:trPr>
        <w:tc>
          <w:tcPr>
            <w:cnfStyle w:val="001000000000" w:firstRow="0" w:lastRow="0" w:firstColumn="1" w:lastColumn="0" w:oddVBand="0" w:evenVBand="0" w:oddHBand="0" w:evenHBand="0" w:firstRowFirstColumn="0" w:firstRowLastColumn="0" w:lastRowFirstColumn="0" w:lastRowLastColumn="0"/>
            <w:tcW w:w="2263" w:type="dxa"/>
            <w:noWrap/>
            <w:hideMark/>
          </w:tcPr>
          <w:p w14:paraId="58CBA6F5" w14:textId="77777777" w:rsidR="00F634C1" w:rsidRPr="00F634C1" w:rsidRDefault="00F634C1" w:rsidP="00F634C1">
            <w:pPr>
              <w:pStyle w:val="VEOHRCBodytext"/>
              <w:rPr>
                <w:color w:val="000000"/>
              </w:rPr>
            </w:pPr>
            <w:r w:rsidRPr="00F634C1">
              <w:rPr>
                <w:color w:val="000000"/>
              </w:rPr>
              <w:t>Instant Message</w:t>
            </w:r>
          </w:p>
        </w:tc>
        <w:tc>
          <w:tcPr>
            <w:tcW w:w="1276" w:type="dxa"/>
            <w:noWrap/>
            <w:hideMark/>
          </w:tcPr>
          <w:p w14:paraId="17D0EC55" w14:textId="77777777" w:rsidR="00F634C1" w:rsidRPr="00F634C1" w:rsidRDefault="00F634C1" w:rsidP="00F634C1">
            <w:pPr>
              <w:pStyle w:val="VEOHRCBodytext"/>
              <w:cnfStyle w:val="000000000000" w:firstRow="0" w:lastRow="0" w:firstColumn="0" w:lastColumn="0" w:oddVBand="0" w:evenVBand="0" w:oddHBand="0" w:evenHBand="0" w:firstRowFirstColumn="0" w:firstRowLastColumn="0" w:lastRowFirstColumn="0" w:lastRowLastColumn="0"/>
              <w:rPr>
                <w:color w:val="000000"/>
              </w:rPr>
            </w:pPr>
            <w:r w:rsidRPr="00F634C1">
              <w:rPr>
                <w:color w:val="000000"/>
              </w:rPr>
              <w:t>290</w:t>
            </w:r>
          </w:p>
        </w:tc>
        <w:tc>
          <w:tcPr>
            <w:tcW w:w="1276" w:type="dxa"/>
            <w:noWrap/>
            <w:hideMark/>
          </w:tcPr>
          <w:p w14:paraId="45073EDD" w14:textId="77777777" w:rsidR="00F634C1" w:rsidRPr="00F634C1" w:rsidRDefault="00F634C1" w:rsidP="00F634C1">
            <w:pPr>
              <w:pStyle w:val="VEOHRCBodytext"/>
              <w:cnfStyle w:val="000000000000" w:firstRow="0" w:lastRow="0" w:firstColumn="0" w:lastColumn="0" w:oddVBand="0" w:evenVBand="0" w:oddHBand="0" w:evenHBand="0" w:firstRowFirstColumn="0" w:firstRowLastColumn="0" w:lastRowFirstColumn="0" w:lastRowLastColumn="0"/>
              <w:rPr>
                <w:color w:val="000000"/>
              </w:rPr>
            </w:pPr>
            <w:r w:rsidRPr="00F634C1">
              <w:rPr>
                <w:color w:val="000000"/>
              </w:rPr>
              <w:t>581</w:t>
            </w:r>
          </w:p>
        </w:tc>
        <w:tc>
          <w:tcPr>
            <w:tcW w:w="1276" w:type="dxa"/>
            <w:noWrap/>
            <w:hideMark/>
          </w:tcPr>
          <w:p w14:paraId="420370CA" w14:textId="77777777" w:rsidR="00F634C1" w:rsidRPr="00F634C1" w:rsidRDefault="00F634C1" w:rsidP="00F634C1">
            <w:pPr>
              <w:pStyle w:val="VEOHRCBodytext"/>
              <w:cnfStyle w:val="000000000000" w:firstRow="0" w:lastRow="0" w:firstColumn="0" w:lastColumn="0" w:oddVBand="0" w:evenVBand="0" w:oddHBand="0" w:evenHBand="0" w:firstRowFirstColumn="0" w:firstRowLastColumn="0" w:lastRowFirstColumn="0" w:lastRowLastColumn="0"/>
              <w:rPr>
                <w:color w:val="000000"/>
              </w:rPr>
            </w:pPr>
            <w:r w:rsidRPr="00F634C1">
              <w:rPr>
                <w:color w:val="000000"/>
              </w:rPr>
              <w:t>458</w:t>
            </w:r>
          </w:p>
        </w:tc>
      </w:tr>
      <w:tr w:rsidR="00F634C1" w:rsidRPr="00F634C1" w14:paraId="66D6BDE0" w14:textId="77777777" w:rsidTr="008D626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3" w:type="dxa"/>
            <w:noWrap/>
            <w:hideMark/>
          </w:tcPr>
          <w:p w14:paraId="4B9A9376" w14:textId="77777777" w:rsidR="00F634C1" w:rsidRPr="00F634C1" w:rsidRDefault="00F634C1" w:rsidP="00F634C1">
            <w:pPr>
              <w:pStyle w:val="VEOHRCBodytext"/>
              <w:rPr>
                <w:color w:val="000000"/>
              </w:rPr>
            </w:pPr>
            <w:r w:rsidRPr="00F634C1">
              <w:rPr>
                <w:color w:val="000000"/>
              </w:rPr>
              <w:t>Letter</w:t>
            </w:r>
          </w:p>
        </w:tc>
        <w:tc>
          <w:tcPr>
            <w:tcW w:w="1276" w:type="dxa"/>
            <w:noWrap/>
            <w:hideMark/>
          </w:tcPr>
          <w:p w14:paraId="0417EE23" w14:textId="77777777" w:rsidR="00F634C1" w:rsidRPr="00F634C1" w:rsidRDefault="00F634C1" w:rsidP="00F634C1">
            <w:pPr>
              <w:pStyle w:val="VEOHRCBodytext"/>
              <w:cnfStyle w:val="000000100000" w:firstRow="0" w:lastRow="0" w:firstColumn="0" w:lastColumn="0" w:oddVBand="0" w:evenVBand="0" w:oddHBand="1" w:evenHBand="0" w:firstRowFirstColumn="0" w:firstRowLastColumn="0" w:lastRowFirstColumn="0" w:lastRowLastColumn="0"/>
              <w:rPr>
                <w:color w:val="000000"/>
              </w:rPr>
            </w:pPr>
            <w:r w:rsidRPr="00F634C1">
              <w:rPr>
                <w:color w:val="000000"/>
              </w:rPr>
              <w:t>270</w:t>
            </w:r>
          </w:p>
        </w:tc>
        <w:tc>
          <w:tcPr>
            <w:tcW w:w="1276" w:type="dxa"/>
            <w:noWrap/>
            <w:hideMark/>
          </w:tcPr>
          <w:p w14:paraId="25176725" w14:textId="77777777" w:rsidR="00F634C1" w:rsidRPr="00F634C1" w:rsidRDefault="00F634C1" w:rsidP="00F634C1">
            <w:pPr>
              <w:pStyle w:val="VEOHRCBodytext"/>
              <w:cnfStyle w:val="000000100000" w:firstRow="0" w:lastRow="0" w:firstColumn="0" w:lastColumn="0" w:oddVBand="0" w:evenVBand="0" w:oddHBand="1" w:evenHBand="0" w:firstRowFirstColumn="0" w:firstRowLastColumn="0" w:lastRowFirstColumn="0" w:lastRowLastColumn="0"/>
              <w:rPr>
                <w:color w:val="000000"/>
              </w:rPr>
            </w:pPr>
            <w:r w:rsidRPr="00F634C1">
              <w:rPr>
                <w:color w:val="000000"/>
              </w:rPr>
              <w:t>252</w:t>
            </w:r>
          </w:p>
        </w:tc>
        <w:tc>
          <w:tcPr>
            <w:tcW w:w="1276" w:type="dxa"/>
            <w:noWrap/>
            <w:hideMark/>
          </w:tcPr>
          <w:p w14:paraId="0DDCB349" w14:textId="77777777" w:rsidR="00F634C1" w:rsidRPr="00F634C1" w:rsidRDefault="00F634C1" w:rsidP="00F634C1">
            <w:pPr>
              <w:pStyle w:val="VEOHRCBodytext"/>
              <w:cnfStyle w:val="000000100000" w:firstRow="0" w:lastRow="0" w:firstColumn="0" w:lastColumn="0" w:oddVBand="0" w:evenVBand="0" w:oddHBand="1" w:evenHBand="0" w:firstRowFirstColumn="0" w:firstRowLastColumn="0" w:lastRowFirstColumn="0" w:lastRowLastColumn="0"/>
              <w:rPr>
                <w:color w:val="000000"/>
              </w:rPr>
            </w:pPr>
            <w:r w:rsidRPr="00F634C1">
              <w:rPr>
                <w:color w:val="000000"/>
              </w:rPr>
              <w:t>175</w:t>
            </w:r>
          </w:p>
        </w:tc>
      </w:tr>
      <w:tr w:rsidR="00F634C1" w:rsidRPr="00F634C1" w14:paraId="74A76380" w14:textId="77777777" w:rsidTr="008D6268">
        <w:trPr>
          <w:trHeight w:val="300"/>
        </w:trPr>
        <w:tc>
          <w:tcPr>
            <w:cnfStyle w:val="001000000000" w:firstRow="0" w:lastRow="0" w:firstColumn="1" w:lastColumn="0" w:oddVBand="0" w:evenVBand="0" w:oddHBand="0" w:evenHBand="0" w:firstRowFirstColumn="0" w:firstRowLastColumn="0" w:lastRowFirstColumn="0" w:lastRowLastColumn="0"/>
            <w:tcW w:w="2263" w:type="dxa"/>
            <w:noWrap/>
            <w:hideMark/>
          </w:tcPr>
          <w:p w14:paraId="573F29B8" w14:textId="77777777" w:rsidR="00F634C1" w:rsidRPr="00F634C1" w:rsidRDefault="00F634C1" w:rsidP="00F634C1">
            <w:pPr>
              <w:pStyle w:val="VEOHRCBodytext"/>
              <w:rPr>
                <w:color w:val="000000"/>
              </w:rPr>
            </w:pPr>
            <w:r w:rsidRPr="00F634C1">
              <w:rPr>
                <w:color w:val="000000"/>
              </w:rPr>
              <w:t>Phone</w:t>
            </w:r>
          </w:p>
        </w:tc>
        <w:tc>
          <w:tcPr>
            <w:tcW w:w="1276" w:type="dxa"/>
            <w:noWrap/>
            <w:hideMark/>
          </w:tcPr>
          <w:p w14:paraId="2D304E8A" w14:textId="77777777" w:rsidR="00F634C1" w:rsidRPr="00F634C1" w:rsidRDefault="00F634C1" w:rsidP="00F634C1">
            <w:pPr>
              <w:pStyle w:val="VEOHRCBodytext"/>
              <w:cnfStyle w:val="000000000000" w:firstRow="0" w:lastRow="0" w:firstColumn="0" w:lastColumn="0" w:oddVBand="0" w:evenVBand="0" w:oddHBand="0" w:evenHBand="0" w:firstRowFirstColumn="0" w:firstRowLastColumn="0" w:lastRowFirstColumn="0" w:lastRowLastColumn="0"/>
              <w:rPr>
                <w:color w:val="000000"/>
              </w:rPr>
            </w:pPr>
            <w:r w:rsidRPr="00F634C1">
              <w:rPr>
                <w:color w:val="000000"/>
              </w:rPr>
              <w:t>5799</w:t>
            </w:r>
          </w:p>
        </w:tc>
        <w:tc>
          <w:tcPr>
            <w:tcW w:w="1276" w:type="dxa"/>
            <w:noWrap/>
            <w:hideMark/>
          </w:tcPr>
          <w:p w14:paraId="3141BDAE" w14:textId="77777777" w:rsidR="00F634C1" w:rsidRPr="00F634C1" w:rsidRDefault="00F634C1" w:rsidP="00F634C1">
            <w:pPr>
              <w:pStyle w:val="VEOHRCBodytext"/>
              <w:cnfStyle w:val="000000000000" w:firstRow="0" w:lastRow="0" w:firstColumn="0" w:lastColumn="0" w:oddVBand="0" w:evenVBand="0" w:oddHBand="0" w:evenHBand="0" w:firstRowFirstColumn="0" w:firstRowLastColumn="0" w:lastRowFirstColumn="0" w:lastRowLastColumn="0"/>
              <w:rPr>
                <w:color w:val="000000"/>
              </w:rPr>
            </w:pPr>
            <w:r w:rsidRPr="00F634C1">
              <w:rPr>
                <w:color w:val="000000"/>
              </w:rPr>
              <w:t>5243</w:t>
            </w:r>
          </w:p>
        </w:tc>
        <w:tc>
          <w:tcPr>
            <w:tcW w:w="1276" w:type="dxa"/>
            <w:noWrap/>
            <w:hideMark/>
          </w:tcPr>
          <w:p w14:paraId="421682DE" w14:textId="77777777" w:rsidR="00F634C1" w:rsidRPr="00F634C1" w:rsidRDefault="00F634C1" w:rsidP="00F634C1">
            <w:pPr>
              <w:pStyle w:val="VEOHRCBodytext"/>
              <w:cnfStyle w:val="000000000000" w:firstRow="0" w:lastRow="0" w:firstColumn="0" w:lastColumn="0" w:oddVBand="0" w:evenVBand="0" w:oddHBand="0" w:evenHBand="0" w:firstRowFirstColumn="0" w:firstRowLastColumn="0" w:lastRowFirstColumn="0" w:lastRowLastColumn="0"/>
              <w:rPr>
                <w:color w:val="000000"/>
              </w:rPr>
            </w:pPr>
            <w:r w:rsidRPr="00F634C1">
              <w:rPr>
                <w:color w:val="000000"/>
              </w:rPr>
              <w:t>5070</w:t>
            </w:r>
          </w:p>
        </w:tc>
      </w:tr>
      <w:tr w:rsidR="00F634C1" w:rsidRPr="00F634C1" w14:paraId="393F682D" w14:textId="77777777" w:rsidTr="008D626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3" w:type="dxa"/>
            <w:tcBorders>
              <w:bottom w:val="single" w:sz="18" w:space="0" w:color="auto"/>
            </w:tcBorders>
            <w:noWrap/>
            <w:hideMark/>
          </w:tcPr>
          <w:p w14:paraId="54A11212" w14:textId="77777777" w:rsidR="00F634C1" w:rsidRPr="00F634C1" w:rsidRDefault="00F634C1" w:rsidP="00F634C1">
            <w:pPr>
              <w:pStyle w:val="VEOHRCBodytext"/>
              <w:rPr>
                <w:color w:val="000000"/>
              </w:rPr>
            </w:pPr>
            <w:r w:rsidRPr="00F634C1">
              <w:rPr>
                <w:color w:val="000000"/>
              </w:rPr>
              <w:t>Web Form</w:t>
            </w:r>
          </w:p>
        </w:tc>
        <w:tc>
          <w:tcPr>
            <w:tcW w:w="1276" w:type="dxa"/>
            <w:tcBorders>
              <w:bottom w:val="single" w:sz="18" w:space="0" w:color="auto"/>
            </w:tcBorders>
            <w:noWrap/>
            <w:hideMark/>
          </w:tcPr>
          <w:p w14:paraId="423F1E05" w14:textId="77777777" w:rsidR="00F634C1" w:rsidRPr="00F634C1" w:rsidRDefault="00F634C1" w:rsidP="00F634C1">
            <w:pPr>
              <w:pStyle w:val="VEOHRCBodytext"/>
              <w:cnfStyle w:val="000000100000" w:firstRow="0" w:lastRow="0" w:firstColumn="0" w:lastColumn="0" w:oddVBand="0" w:evenVBand="0" w:oddHBand="1" w:evenHBand="0" w:firstRowFirstColumn="0" w:firstRowLastColumn="0" w:lastRowFirstColumn="0" w:lastRowLastColumn="0"/>
              <w:rPr>
                <w:color w:val="000000"/>
              </w:rPr>
            </w:pPr>
            <w:r w:rsidRPr="00F634C1">
              <w:rPr>
                <w:color w:val="000000"/>
              </w:rPr>
              <w:t>822</w:t>
            </w:r>
          </w:p>
        </w:tc>
        <w:tc>
          <w:tcPr>
            <w:tcW w:w="1276" w:type="dxa"/>
            <w:tcBorders>
              <w:bottom w:val="single" w:sz="18" w:space="0" w:color="auto"/>
            </w:tcBorders>
            <w:noWrap/>
            <w:hideMark/>
          </w:tcPr>
          <w:p w14:paraId="0A6F8BB9" w14:textId="77777777" w:rsidR="00F634C1" w:rsidRPr="00F634C1" w:rsidRDefault="00F634C1" w:rsidP="00F634C1">
            <w:pPr>
              <w:pStyle w:val="VEOHRCBodytext"/>
              <w:cnfStyle w:val="000000100000" w:firstRow="0" w:lastRow="0" w:firstColumn="0" w:lastColumn="0" w:oddVBand="0" w:evenVBand="0" w:oddHBand="1" w:evenHBand="0" w:firstRowFirstColumn="0" w:firstRowLastColumn="0" w:lastRowFirstColumn="0" w:lastRowLastColumn="0"/>
              <w:rPr>
                <w:color w:val="000000"/>
              </w:rPr>
            </w:pPr>
            <w:r w:rsidRPr="00F634C1">
              <w:rPr>
                <w:color w:val="000000"/>
              </w:rPr>
              <w:t>683</w:t>
            </w:r>
          </w:p>
        </w:tc>
        <w:tc>
          <w:tcPr>
            <w:tcW w:w="1276" w:type="dxa"/>
            <w:tcBorders>
              <w:bottom w:val="single" w:sz="18" w:space="0" w:color="auto"/>
            </w:tcBorders>
            <w:noWrap/>
            <w:hideMark/>
          </w:tcPr>
          <w:p w14:paraId="744FECE1" w14:textId="77777777" w:rsidR="00F634C1" w:rsidRPr="00F634C1" w:rsidRDefault="00F634C1" w:rsidP="00F634C1">
            <w:pPr>
              <w:pStyle w:val="VEOHRCBodytext"/>
              <w:cnfStyle w:val="000000100000" w:firstRow="0" w:lastRow="0" w:firstColumn="0" w:lastColumn="0" w:oddVBand="0" w:evenVBand="0" w:oddHBand="1" w:evenHBand="0" w:firstRowFirstColumn="0" w:firstRowLastColumn="0" w:lastRowFirstColumn="0" w:lastRowLastColumn="0"/>
              <w:rPr>
                <w:color w:val="000000"/>
              </w:rPr>
            </w:pPr>
            <w:r w:rsidRPr="00F634C1">
              <w:rPr>
                <w:color w:val="000000"/>
              </w:rPr>
              <w:t>1178</w:t>
            </w:r>
          </w:p>
        </w:tc>
      </w:tr>
      <w:tr w:rsidR="00F634C1" w:rsidRPr="00F634C1" w14:paraId="1B97ED8C" w14:textId="77777777" w:rsidTr="008D6268">
        <w:trPr>
          <w:trHeight w:val="300"/>
        </w:trPr>
        <w:tc>
          <w:tcPr>
            <w:cnfStyle w:val="001000000000" w:firstRow="0" w:lastRow="0" w:firstColumn="1" w:lastColumn="0" w:oddVBand="0" w:evenVBand="0" w:oddHBand="0" w:evenHBand="0" w:firstRowFirstColumn="0" w:firstRowLastColumn="0" w:lastRowFirstColumn="0" w:lastRowLastColumn="0"/>
            <w:tcW w:w="2263" w:type="dxa"/>
            <w:tcBorders>
              <w:top w:val="single" w:sz="18" w:space="0" w:color="auto"/>
            </w:tcBorders>
            <w:noWrap/>
            <w:hideMark/>
          </w:tcPr>
          <w:p w14:paraId="508C6AAD" w14:textId="77777777" w:rsidR="00F634C1" w:rsidRPr="00F634C1" w:rsidRDefault="00F634C1" w:rsidP="00F634C1">
            <w:pPr>
              <w:pStyle w:val="VEOHRCBodytext"/>
            </w:pPr>
            <w:r w:rsidRPr="00F634C1">
              <w:t>Total</w:t>
            </w:r>
          </w:p>
        </w:tc>
        <w:tc>
          <w:tcPr>
            <w:tcW w:w="1276" w:type="dxa"/>
            <w:tcBorders>
              <w:top w:val="single" w:sz="18" w:space="0" w:color="auto"/>
            </w:tcBorders>
            <w:noWrap/>
            <w:hideMark/>
          </w:tcPr>
          <w:p w14:paraId="35E55101" w14:textId="77777777" w:rsidR="00F634C1" w:rsidRPr="00F634C1" w:rsidRDefault="00F634C1" w:rsidP="00F634C1">
            <w:pPr>
              <w:pStyle w:val="VEOHRCBodytext"/>
              <w:cnfStyle w:val="000000000000" w:firstRow="0" w:lastRow="0" w:firstColumn="0" w:lastColumn="0" w:oddVBand="0" w:evenVBand="0" w:oddHBand="0" w:evenHBand="0" w:firstRowFirstColumn="0" w:firstRowLastColumn="0" w:lastRowFirstColumn="0" w:lastRowLastColumn="0"/>
            </w:pPr>
            <w:r w:rsidRPr="00F634C1">
              <w:t>8170</w:t>
            </w:r>
          </w:p>
        </w:tc>
        <w:tc>
          <w:tcPr>
            <w:tcW w:w="1276" w:type="dxa"/>
            <w:tcBorders>
              <w:top w:val="single" w:sz="18" w:space="0" w:color="auto"/>
            </w:tcBorders>
            <w:noWrap/>
            <w:hideMark/>
          </w:tcPr>
          <w:p w14:paraId="39616B41" w14:textId="77777777" w:rsidR="00F634C1" w:rsidRPr="00F634C1" w:rsidRDefault="00F634C1" w:rsidP="00F634C1">
            <w:pPr>
              <w:pStyle w:val="VEOHRCBodytext"/>
              <w:cnfStyle w:val="000000000000" w:firstRow="0" w:lastRow="0" w:firstColumn="0" w:lastColumn="0" w:oddVBand="0" w:evenVBand="0" w:oddHBand="0" w:evenHBand="0" w:firstRowFirstColumn="0" w:firstRowLastColumn="0" w:lastRowFirstColumn="0" w:lastRowLastColumn="0"/>
            </w:pPr>
            <w:r w:rsidRPr="00F634C1">
              <w:t>8278</w:t>
            </w:r>
          </w:p>
        </w:tc>
        <w:tc>
          <w:tcPr>
            <w:tcW w:w="1276" w:type="dxa"/>
            <w:tcBorders>
              <w:top w:val="single" w:sz="18" w:space="0" w:color="auto"/>
            </w:tcBorders>
            <w:noWrap/>
            <w:hideMark/>
          </w:tcPr>
          <w:p w14:paraId="695C78EC" w14:textId="77777777" w:rsidR="00F634C1" w:rsidRPr="00F634C1" w:rsidRDefault="00F634C1" w:rsidP="00F634C1">
            <w:pPr>
              <w:pStyle w:val="VEOHRCBodytext"/>
              <w:cnfStyle w:val="000000000000" w:firstRow="0" w:lastRow="0" w:firstColumn="0" w:lastColumn="0" w:oddVBand="0" w:evenVBand="0" w:oddHBand="0" w:evenHBand="0" w:firstRowFirstColumn="0" w:firstRowLastColumn="0" w:lastRowFirstColumn="0" w:lastRowLastColumn="0"/>
            </w:pPr>
            <w:r w:rsidRPr="00F634C1">
              <w:t>8585</w:t>
            </w:r>
          </w:p>
        </w:tc>
      </w:tr>
    </w:tbl>
    <w:p w14:paraId="43171F45" w14:textId="77777777" w:rsidR="00F634C1" w:rsidRDefault="00F634C1" w:rsidP="00F634C1">
      <w:pPr>
        <w:pStyle w:val="VEOHRCHeading4"/>
      </w:pPr>
    </w:p>
    <w:p w14:paraId="69177B8C" w14:textId="4AE047DD" w:rsidR="00F634C1" w:rsidRDefault="00F634C1" w:rsidP="00F634C1">
      <w:pPr>
        <w:pStyle w:val="VEOHRCHeading4"/>
      </w:pPr>
      <w:r>
        <w:t>10 most common issues raised from enquiries</w:t>
      </w:r>
    </w:p>
    <w:tbl>
      <w:tblPr>
        <w:tblStyle w:val="GridTable41"/>
        <w:tblW w:w="4480" w:type="dxa"/>
        <w:tblLook w:val="04A0" w:firstRow="1" w:lastRow="0" w:firstColumn="1" w:lastColumn="0" w:noHBand="0" w:noVBand="1"/>
      </w:tblPr>
      <w:tblGrid>
        <w:gridCol w:w="2780"/>
        <w:gridCol w:w="476"/>
        <w:gridCol w:w="1224"/>
      </w:tblGrid>
      <w:tr w:rsidR="00F634C1" w:rsidRPr="00F634C1" w14:paraId="313216BE" w14:textId="77777777" w:rsidTr="001B7372">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780" w:type="dxa"/>
            <w:hideMark/>
          </w:tcPr>
          <w:p w14:paraId="1BF706E1" w14:textId="77777777" w:rsidR="00F634C1" w:rsidRPr="00F634C1" w:rsidRDefault="00F634C1" w:rsidP="00F634C1">
            <w:pPr>
              <w:pStyle w:val="VEOHRCBodytext"/>
              <w:rPr>
                <w:color w:val="auto"/>
              </w:rPr>
            </w:pPr>
            <w:r w:rsidRPr="00F634C1">
              <w:rPr>
                <w:color w:val="auto"/>
              </w:rPr>
              <w:t>Issue</w:t>
            </w:r>
          </w:p>
        </w:tc>
        <w:tc>
          <w:tcPr>
            <w:tcW w:w="1700" w:type="dxa"/>
            <w:gridSpan w:val="2"/>
            <w:hideMark/>
          </w:tcPr>
          <w:p w14:paraId="6ECFB3D0" w14:textId="20377AB0" w:rsidR="00F634C1" w:rsidRPr="00F634C1" w:rsidRDefault="00F634C1" w:rsidP="00F634C1">
            <w:pPr>
              <w:pStyle w:val="VEOHRCBodytext"/>
              <w:jc w:val="right"/>
              <w:cnfStyle w:val="100000000000" w:firstRow="1" w:lastRow="0" w:firstColumn="0" w:lastColumn="0" w:oddVBand="0" w:evenVBand="0" w:oddHBand="0" w:evenHBand="0" w:firstRowFirstColumn="0" w:firstRowLastColumn="0" w:lastRowFirstColumn="0" w:lastRowLastColumn="0"/>
              <w:rPr>
                <w:color w:val="auto"/>
              </w:rPr>
            </w:pPr>
            <w:r w:rsidRPr="00F634C1">
              <w:rPr>
                <w:color w:val="auto"/>
              </w:rPr>
              <w:t>201</w:t>
            </w:r>
            <w:r w:rsidR="008D6268">
              <w:rPr>
                <w:color w:val="auto"/>
              </w:rPr>
              <w:t>7–</w:t>
            </w:r>
            <w:r w:rsidRPr="00F634C1">
              <w:rPr>
                <w:color w:val="auto"/>
              </w:rPr>
              <w:t>18</w:t>
            </w:r>
          </w:p>
        </w:tc>
      </w:tr>
      <w:tr w:rsidR="00EB686C" w:rsidRPr="00F634C1" w14:paraId="2826977C" w14:textId="77777777" w:rsidTr="001B737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256" w:type="dxa"/>
            <w:gridSpan w:val="2"/>
            <w:hideMark/>
          </w:tcPr>
          <w:p w14:paraId="699F4B51" w14:textId="3A2A8598" w:rsidR="00EB686C" w:rsidRPr="00F634C1" w:rsidRDefault="00EB686C" w:rsidP="00EB686C">
            <w:pPr>
              <w:pStyle w:val="VEOHRCBodytext"/>
            </w:pPr>
            <w:r w:rsidRPr="0079257C">
              <w:t>Disability</w:t>
            </w:r>
          </w:p>
        </w:tc>
        <w:tc>
          <w:tcPr>
            <w:tcW w:w="1224" w:type="dxa"/>
            <w:hideMark/>
          </w:tcPr>
          <w:p w14:paraId="1F194988" w14:textId="09C50EC8" w:rsidR="00EB686C" w:rsidRPr="00F634C1" w:rsidRDefault="00EB686C" w:rsidP="00EB686C">
            <w:pPr>
              <w:pStyle w:val="VEOHRCBodytext"/>
              <w:jc w:val="right"/>
              <w:cnfStyle w:val="000000100000" w:firstRow="0" w:lastRow="0" w:firstColumn="0" w:lastColumn="0" w:oddVBand="0" w:evenVBand="0" w:oddHBand="1" w:evenHBand="0" w:firstRowFirstColumn="0" w:firstRowLastColumn="0" w:lastRowFirstColumn="0" w:lastRowLastColumn="0"/>
            </w:pPr>
            <w:r w:rsidRPr="0079257C">
              <w:t>1845</w:t>
            </w:r>
          </w:p>
        </w:tc>
      </w:tr>
      <w:tr w:rsidR="00EB686C" w:rsidRPr="00F634C1" w14:paraId="4AE2C69A" w14:textId="77777777" w:rsidTr="001B7372">
        <w:trPr>
          <w:trHeight w:val="255"/>
        </w:trPr>
        <w:tc>
          <w:tcPr>
            <w:cnfStyle w:val="001000000000" w:firstRow="0" w:lastRow="0" w:firstColumn="1" w:lastColumn="0" w:oddVBand="0" w:evenVBand="0" w:oddHBand="0" w:evenHBand="0" w:firstRowFirstColumn="0" w:firstRowLastColumn="0" w:lastRowFirstColumn="0" w:lastRowLastColumn="0"/>
            <w:tcW w:w="3256" w:type="dxa"/>
            <w:gridSpan w:val="2"/>
            <w:hideMark/>
          </w:tcPr>
          <w:p w14:paraId="6B8E48E9" w14:textId="69FA0F12" w:rsidR="00EB686C" w:rsidRPr="00F634C1" w:rsidRDefault="00EB686C" w:rsidP="00EB686C">
            <w:pPr>
              <w:pStyle w:val="VEOHRCBodytext"/>
            </w:pPr>
            <w:r w:rsidRPr="0079257C">
              <w:t>No jurisdiction</w:t>
            </w:r>
          </w:p>
        </w:tc>
        <w:tc>
          <w:tcPr>
            <w:tcW w:w="1224" w:type="dxa"/>
            <w:hideMark/>
          </w:tcPr>
          <w:p w14:paraId="4C8FFCD1" w14:textId="4550571D" w:rsidR="00EB686C" w:rsidRPr="00F634C1" w:rsidRDefault="00EB686C" w:rsidP="00EB686C">
            <w:pPr>
              <w:pStyle w:val="VEOHRCBodytext"/>
              <w:jc w:val="right"/>
              <w:cnfStyle w:val="000000000000" w:firstRow="0" w:lastRow="0" w:firstColumn="0" w:lastColumn="0" w:oddVBand="0" w:evenVBand="0" w:oddHBand="0" w:evenHBand="0" w:firstRowFirstColumn="0" w:firstRowLastColumn="0" w:lastRowFirstColumn="0" w:lastRowLastColumn="0"/>
            </w:pPr>
            <w:r w:rsidRPr="0079257C">
              <w:t>1716</w:t>
            </w:r>
          </w:p>
        </w:tc>
      </w:tr>
      <w:tr w:rsidR="00EB686C" w:rsidRPr="00F634C1" w14:paraId="1FBDFAA7" w14:textId="77777777" w:rsidTr="001B737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256" w:type="dxa"/>
            <w:gridSpan w:val="2"/>
            <w:hideMark/>
          </w:tcPr>
          <w:p w14:paraId="78E9D244" w14:textId="21B6FD54" w:rsidR="00EB686C" w:rsidRPr="00F634C1" w:rsidRDefault="00EB686C" w:rsidP="00EB686C">
            <w:pPr>
              <w:pStyle w:val="VEOHRCBodytext"/>
            </w:pPr>
            <w:r w:rsidRPr="0079257C">
              <w:t>Race</w:t>
            </w:r>
          </w:p>
        </w:tc>
        <w:tc>
          <w:tcPr>
            <w:tcW w:w="1224" w:type="dxa"/>
            <w:hideMark/>
          </w:tcPr>
          <w:p w14:paraId="3D34701E" w14:textId="093805BE" w:rsidR="00EB686C" w:rsidRPr="00F634C1" w:rsidRDefault="00EB686C" w:rsidP="00EB686C">
            <w:pPr>
              <w:pStyle w:val="VEOHRCBodytext"/>
              <w:jc w:val="right"/>
              <w:cnfStyle w:val="000000100000" w:firstRow="0" w:lastRow="0" w:firstColumn="0" w:lastColumn="0" w:oddVBand="0" w:evenVBand="0" w:oddHBand="1" w:evenHBand="0" w:firstRowFirstColumn="0" w:firstRowLastColumn="0" w:lastRowFirstColumn="0" w:lastRowLastColumn="0"/>
            </w:pPr>
            <w:r w:rsidRPr="0079257C">
              <w:t>630</w:t>
            </w:r>
          </w:p>
        </w:tc>
      </w:tr>
      <w:tr w:rsidR="00EB686C" w:rsidRPr="00F634C1" w14:paraId="0F73292D" w14:textId="77777777" w:rsidTr="001B7372">
        <w:trPr>
          <w:trHeight w:val="255"/>
        </w:trPr>
        <w:tc>
          <w:tcPr>
            <w:cnfStyle w:val="001000000000" w:firstRow="0" w:lastRow="0" w:firstColumn="1" w:lastColumn="0" w:oddVBand="0" w:evenVBand="0" w:oddHBand="0" w:evenHBand="0" w:firstRowFirstColumn="0" w:firstRowLastColumn="0" w:lastRowFirstColumn="0" w:lastRowLastColumn="0"/>
            <w:tcW w:w="3256" w:type="dxa"/>
            <w:gridSpan w:val="2"/>
            <w:hideMark/>
          </w:tcPr>
          <w:p w14:paraId="5645A4A5" w14:textId="6852B44B" w:rsidR="00EB686C" w:rsidRPr="00F634C1" w:rsidRDefault="00EB686C" w:rsidP="00EB686C">
            <w:pPr>
              <w:pStyle w:val="VEOHRCBodytext"/>
            </w:pPr>
            <w:r w:rsidRPr="0079257C">
              <w:t>Sex</w:t>
            </w:r>
          </w:p>
        </w:tc>
        <w:tc>
          <w:tcPr>
            <w:tcW w:w="1224" w:type="dxa"/>
            <w:hideMark/>
          </w:tcPr>
          <w:p w14:paraId="48CA2ED3" w14:textId="4B5B3DA9" w:rsidR="00EB686C" w:rsidRPr="00F634C1" w:rsidRDefault="00EB686C" w:rsidP="00EB686C">
            <w:pPr>
              <w:pStyle w:val="VEOHRCBodytext"/>
              <w:jc w:val="right"/>
              <w:cnfStyle w:val="000000000000" w:firstRow="0" w:lastRow="0" w:firstColumn="0" w:lastColumn="0" w:oddVBand="0" w:evenVBand="0" w:oddHBand="0" w:evenHBand="0" w:firstRowFirstColumn="0" w:firstRowLastColumn="0" w:lastRowFirstColumn="0" w:lastRowLastColumn="0"/>
            </w:pPr>
            <w:r w:rsidRPr="0079257C">
              <w:t>447</w:t>
            </w:r>
          </w:p>
        </w:tc>
      </w:tr>
      <w:tr w:rsidR="00EB686C" w:rsidRPr="00F634C1" w14:paraId="6F6F55A9" w14:textId="77777777" w:rsidTr="001B737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256" w:type="dxa"/>
            <w:gridSpan w:val="2"/>
            <w:hideMark/>
          </w:tcPr>
          <w:p w14:paraId="4FFF52A0" w14:textId="2F562A8D" w:rsidR="00EB686C" w:rsidRPr="00F634C1" w:rsidRDefault="00EB686C" w:rsidP="00EB686C">
            <w:pPr>
              <w:pStyle w:val="VEOHRCBodytext"/>
            </w:pPr>
            <w:r w:rsidRPr="0079257C">
              <w:t>Sexual harassment</w:t>
            </w:r>
          </w:p>
        </w:tc>
        <w:tc>
          <w:tcPr>
            <w:tcW w:w="1224" w:type="dxa"/>
            <w:hideMark/>
          </w:tcPr>
          <w:p w14:paraId="1111B592" w14:textId="1F3B6185" w:rsidR="00EB686C" w:rsidRPr="00F634C1" w:rsidRDefault="00EB686C" w:rsidP="00EB686C">
            <w:pPr>
              <w:pStyle w:val="VEOHRCBodytext"/>
              <w:jc w:val="right"/>
              <w:cnfStyle w:val="000000100000" w:firstRow="0" w:lastRow="0" w:firstColumn="0" w:lastColumn="0" w:oddVBand="0" w:evenVBand="0" w:oddHBand="1" w:evenHBand="0" w:firstRowFirstColumn="0" w:firstRowLastColumn="0" w:lastRowFirstColumn="0" w:lastRowLastColumn="0"/>
            </w:pPr>
            <w:r w:rsidRPr="0079257C">
              <w:t>432</w:t>
            </w:r>
          </w:p>
        </w:tc>
      </w:tr>
      <w:tr w:rsidR="00EB686C" w:rsidRPr="00F634C1" w14:paraId="308DA796" w14:textId="77777777" w:rsidTr="001B7372">
        <w:trPr>
          <w:trHeight w:val="255"/>
        </w:trPr>
        <w:tc>
          <w:tcPr>
            <w:cnfStyle w:val="001000000000" w:firstRow="0" w:lastRow="0" w:firstColumn="1" w:lastColumn="0" w:oddVBand="0" w:evenVBand="0" w:oddHBand="0" w:evenHBand="0" w:firstRowFirstColumn="0" w:firstRowLastColumn="0" w:lastRowFirstColumn="0" w:lastRowLastColumn="0"/>
            <w:tcW w:w="3256" w:type="dxa"/>
            <w:gridSpan w:val="2"/>
            <w:hideMark/>
          </w:tcPr>
          <w:p w14:paraId="1D363A5E" w14:textId="0E076B4B" w:rsidR="00EB686C" w:rsidRPr="00F634C1" w:rsidRDefault="00EB686C" w:rsidP="00EB686C">
            <w:pPr>
              <w:pStyle w:val="VEOHRCBodytext"/>
            </w:pPr>
            <w:r w:rsidRPr="0079257C">
              <w:t>Victimisation</w:t>
            </w:r>
          </w:p>
        </w:tc>
        <w:tc>
          <w:tcPr>
            <w:tcW w:w="1224" w:type="dxa"/>
            <w:hideMark/>
          </w:tcPr>
          <w:p w14:paraId="4469F94C" w14:textId="55692591" w:rsidR="00EB686C" w:rsidRPr="00F634C1" w:rsidRDefault="00EB686C" w:rsidP="00EB686C">
            <w:pPr>
              <w:pStyle w:val="VEOHRCBodytext"/>
              <w:jc w:val="right"/>
              <w:cnfStyle w:val="000000000000" w:firstRow="0" w:lastRow="0" w:firstColumn="0" w:lastColumn="0" w:oddVBand="0" w:evenVBand="0" w:oddHBand="0" w:evenHBand="0" w:firstRowFirstColumn="0" w:firstRowLastColumn="0" w:lastRowFirstColumn="0" w:lastRowLastColumn="0"/>
            </w:pPr>
            <w:r w:rsidRPr="0079257C">
              <w:t>346</w:t>
            </w:r>
          </w:p>
        </w:tc>
      </w:tr>
      <w:tr w:rsidR="00EB686C" w:rsidRPr="00F634C1" w14:paraId="16EB2273" w14:textId="77777777" w:rsidTr="001B737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256" w:type="dxa"/>
            <w:gridSpan w:val="2"/>
            <w:hideMark/>
          </w:tcPr>
          <w:p w14:paraId="4562EA34" w14:textId="6256B855" w:rsidR="00EB686C" w:rsidRPr="00F634C1" w:rsidRDefault="00EB686C" w:rsidP="00EB686C">
            <w:pPr>
              <w:pStyle w:val="VEOHRCBodytext"/>
            </w:pPr>
            <w:r w:rsidRPr="0079257C">
              <w:t>Age</w:t>
            </w:r>
          </w:p>
        </w:tc>
        <w:tc>
          <w:tcPr>
            <w:tcW w:w="1224" w:type="dxa"/>
            <w:hideMark/>
          </w:tcPr>
          <w:p w14:paraId="7EBF9604" w14:textId="45CE41AF" w:rsidR="00EB686C" w:rsidRPr="00F634C1" w:rsidRDefault="00EB686C" w:rsidP="00EB686C">
            <w:pPr>
              <w:pStyle w:val="VEOHRCBodytext"/>
              <w:jc w:val="right"/>
              <w:cnfStyle w:val="000000100000" w:firstRow="0" w:lastRow="0" w:firstColumn="0" w:lastColumn="0" w:oddVBand="0" w:evenVBand="0" w:oddHBand="1" w:evenHBand="0" w:firstRowFirstColumn="0" w:firstRowLastColumn="0" w:lastRowFirstColumn="0" w:lastRowLastColumn="0"/>
            </w:pPr>
            <w:r w:rsidRPr="0079257C">
              <w:t>318</w:t>
            </w:r>
          </w:p>
        </w:tc>
      </w:tr>
      <w:tr w:rsidR="00EB686C" w:rsidRPr="00F634C1" w14:paraId="1BEB78F9" w14:textId="77777777" w:rsidTr="001B7372">
        <w:trPr>
          <w:trHeight w:val="255"/>
        </w:trPr>
        <w:tc>
          <w:tcPr>
            <w:cnfStyle w:val="001000000000" w:firstRow="0" w:lastRow="0" w:firstColumn="1" w:lastColumn="0" w:oddVBand="0" w:evenVBand="0" w:oddHBand="0" w:evenHBand="0" w:firstRowFirstColumn="0" w:firstRowLastColumn="0" w:lastRowFirstColumn="0" w:lastRowLastColumn="0"/>
            <w:tcW w:w="3256" w:type="dxa"/>
            <w:gridSpan w:val="2"/>
            <w:hideMark/>
          </w:tcPr>
          <w:p w14:paraId="55954727" w14:textId="5B254C20" w:rsidR="00EB686C" w:rsidRPr="00F634C1" w:rsidRDefault="00EB686C" w:rsidP="00EB686C">
            <w:pPr>
              <w:pStyle w:val="VEOHRCBodytext"/>
            </w:pPr>
            <w:r w:rsidRPr="0079257C">
              <w:lastRenderedPageBreak/>
              <w:t>Employment activity</w:t>
            </w:r>
          </w:p>
        </w:tc>
        <w:tc>
          <w:tcPr>
            <w:tcW w:w="1224" w:type="dxa"/>
            <w:hideMark/>
          </w:tcPr>
          <w:p w14:paraId="5AD797E8" w14:textId="5C75C362" w:rsidR="00EB686C" w:rsidRPr="00F634C1" w:rsidRDefault="00EB686C" w:rsidP="00EB686C">
            <w:pPr>
              <w:pStyle w:val="VEOHRCBodytext"/>
              <w:jc w:val="right"/>
              <w:cnfStyle w:val="000000000000" w:firstRow="0" w:lastRow="0" w:firstColumn="0" w:lastColumn="0" w:oddVBand="0" w:evenVBand="0" w:oddHBand="0" w:evenHBand="0" w:firstRowFirstColumn="0" w:firstRowLastColumn="0" w:lastRowFirstColumn="0" w:lastRowLastColumn="0"/>
            </w:pPr>
            <w:r w:rsidRPr="0079257C">
              <w:t>261</w:t>
            </w:r>
          </w:p>
        </w:tc>
      </w:tr>
      <w:tr w:rsidR="00EB686C" w:rsidRPr="00F634C1" w14:paraId="1A5B30CD" w14:textId="77777777" w:rsidTr="001B737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256" w:type="dxa"/>
            <w:gridSpan w:val="2"/>
            <w:hideMark/>
          </w:tcPr>
          <w:p w14:paraId="338CAC31" w14:textId="1417BBBD" w:rsidR="00EB686C" w:rsidRPr="00F634C1" w:rsidRDefault="00EB686C" w:rsidP="00EB686C">
            <w:pPr>
              <w:pStyle w:val="VEOHRCBodytext"/>
            </w:pPr>
            <w:r w:rsidRPr="0079257C">
              <w:t>Carer status</w:t>
            </w:r>
          </w:p>
        </w:tc>
        <w:tc>
          <w:tcPr>
            <w:tcW w:w="1224" w:type="dxa"/>
            <w:hideMark/>
          </w:tcPr>
          <w:p w14:paraId="36B6B56F" w14:textId="6214FFCC" w:rsidR="00EB686C" w:rsidRPr="00F634C1" w:rsidRDefault="00EB686C" w:rsidP="00EB686C">
            <w:pPr>
              <w:pStyle w:val="VEOHRCBodytext"/>
              <w:jc w:val="right"/>
              <w:cnfStyle w:val="000000100000" w:firstRow="0" w:lastRow="0" w:firstColumn="0" w:lastColumn="0" w:oddVBand="0" w:evenVBand="0" w:oddHBand="1" w:evenHBand="0" w:firstRowFirstColumn="0" w:firstRowLastColumn="0" w:lastRowFirstColumn="0" w:lastRowLastColumn="0"/>
            </w:pPr>
            <w:r w:rsidRPr="0079257C">
              <w:t>234</w:t>
            </w:r>
          </w:p>
        </w:tc>
      </w:tr>
      <w:tr w:rsidR="00EB686C" w:rsidRPr="00F634C1" w14:paraId="632C8BF6" w14:textId="77777777" w:rsidTr="001B7372">
        <w:trPr>
          <w:trHeight w:val="255"/>
        </w:trPr>
        <w:tc>
          <w:tcPr>
            <w:cnfStyle w:val="001000000000" w:firstRow="0" w:lastRow="0" w:firstColumn="1" w:lastColumn="0" w:oddVBand="0" w:evenVBand="0" w:oddHBand="0" w:evenHBand="0" w:firstRowFirstColumn="0" w:firstRowLastColumn="0" w:lastRowFirstColumn="0" w:lastRowLastColumn="0"/>
            <w:tcW w:w="3256" w:type="dxa"/>
            <w:gridSpan w:val="2"/>
            <w:hideMark/>
          </w:tcPr>
          <w:p w14:paraId="376BFB45" w14:textId="31CBB89A" w:rsidR="00EB686C" w:rsidRPr="00F634C1" w:rsidRDefault="00EB686C" w:rsidP="00EB686C">
            <w:pPr>
              <w:pStyle w:val="VEOHRCBodytext"/>
            </w:pPr>
            <w:r w:rsidRPr="0079257C">
              <w:t>Employment Law</w:t>
            </w:r>
          </w:p>
        </w:tc>
        <w:tc>
          <w:tcPr>
            <w:tcW w:w="1224" w:type="dxa"/>
            <w:hideMark/>
          </w:tcPr>
          <w:p w14:paraId="449354E4" w14:textId="13CFC617" w:rsidR="00EB686C" w:rsidRPr="00F634C1" w:rsidRDefault="00EB686C" w:rsidP="00EB686C">
            <w:pPr>
              <w:pStyle w:val="VEOHRCBodytext"/>
              <w:jc w:val="right"/>
              <w:cnfStyle w:val="000000000000" w:firstRow="0" w:lastRow="0" w:firstColumn="0" w:lastColumn="0" w:oddVBand="0" w:evenVBand="0" w:oddHBand="0" w:evenHBand="0" w:firstRowFirstColumn="0" w:firstRowLastColumn="0" w:lastRowFirstColumn="0" w:lastRowLastColumn="0"/>
            </w:pPr>
            <w:r w:rsidRPr="0079257C">
              <w:t>224</w:t>
            </w:r>
          </w:p>
        </w:tc>
      </w:tr>
    </w:tbl>
    <w:p w14:paraId="44EB8FC3" w14:textId="77777777" w:rsidR="00F634C1" w:rsidRDefault="00F634C1" w:rsidP="00F634C1">
      <w:pPr>
        <w:pStyle w:val="VEOHRCHeading4"/>
      </w:pPr>
    </w:p>
    <w:p w14:paraId="164F5E81" w14:textId="081DE434" w:rsidR="00E2088A" w:rsidRPr="00E2088A" w:rsidRDefault="00E2088A" w:rsidP="00E2088A">
      <w:pPr>
        <w:pStyle w:val="VEOHRCHeading2"/>
        <w:rPr>
          <w:lang w:eastAsia="en-US"/>
        </w:rPr>
      </w:pPr>
      <w:r w:rsidRPr="00E2088A">
        <w:rPr>
          <w:lang w:eastAsia="en-US"/>
        </w:rPr>
        <w:t>Raise It: Conversations About Sexual Harassment and Workplace Equality </w:t>
      </w:r>
    </w:p>
    <w:p w14:paraId="7DE94736" w14:textId="06B9AC98" w:rsidR="00E2088A" w:rsidRPr="00E2088A" w:rsidRDefault="00E2088A" w:rsidP="00A12985">
      <w:pPr>
        <w:pStyle w:val="VEOHRCBodytext"/>
        <w:rPr>
          <w:lang w:eastAsia="en-US"/>
        </w:rPr>
      </w:pPr>
      <w:r w:rsidRPr="00E2088A">
        <w:rPr>
          <w:lang w:eastAsia="en-US"/>
        </w:rPr>
        <w:t xml:space="preserve">In 2018 the Commission developed a conversation-starter approach to addressing sexual harassment and discrimination related to pregnancy, parental leave, return-to-work, flexible work and part-time work in the workplace. ‘Raise It: Conversations about sexual harassment and workplace equality’ supports </w:t>
      </w:r>
      <w:r w:rsidRPr="00E2088A">
        <w:rPr>
          <w:i/>
          <w:lang w:eastAsia="en-US"/>
        </w:rPr>
        <w:t>Safe and Strong: A Victorian Gender Equality Strategy</w:t>
      </w:r>
      <w:r w:rsidRPr="00E2088A">
        <w:rPr>
          <w:lang w:eastAsia="en-US"/>
        </w:rPr>
        <w:t>, is funded by the Office of Prevention &amp; Women's Equality and will be piloted in seven workplaces.</w:t>
      </w:r>
    </w:p>
    <w:p w14:paraId="795DE657" w14:textId="1C1EFF64" w:rsidR="00E2088A" w:rsidRPr="00E2088A" w:rsidRDefault="00E2088A" w:rsidP="00E2088A">
      <w:pPr>
        <w:pStyle w:val="VEOHRCBodytext"/>
        <w:rPr>
          <w:lang w:eastAsia="en-US"/>
        </w:rPr>
      </w:pPr>
      <w:r w:rsidRPr="00E2088A">
        <w:rPr>
          <w:lang w:eastAsia="en-US"/>
        </w:rPr>
        <w:t>An evidence review was finalised in May 2018, including collation of available complaints data from the Commission and workforce regulators, to inform the project design. The review shows a lack in confidence to have safe conversations related to discrimination in workplaces. The data reveals that few Victorians access formal complaints channels and that new approaches that emphasise communication skills over structural and process reforms may be very timely.</w:t>
      </w:r>
    </w:p>
    <w:p w14:paraId="225A7E09" w14:textId="46FBA3F3" w:rsidR="00E2088A" w:rsidRPr="00E2088A" w:rsidRDefault="00E2088A" w:rsidP="00E2088A">
      <w:pPr>
        <w:pStyle w:val="VEOHRCBodytext"/>
        <w:rPr>
          <w:lang w:eastAsia="en-US"/>
        </w:rPr>
      </w:pPr>
      <w:r w:rsidRPr="00E2088A">
        <w:rPr>
          <w:lang w:eastAsia="en-US"/>
        </w:rPr>
        <w:t>In June 2018, design workshops were hosted with project stakeholders and pilot sites to generate innovative toolkit prototypes. The toolkits will be implemented early in 2018–19, accompanied by an education program. </w:t>
      </w:r>
    </w:p>
    <w:p w14:paraId="04A1DE70" w14:textId="77777777" w:rsidR="00E2088A" w:rsidRPr="00E2088A" w:rsidRDefault="00E2088A" w:rsidP="00E2088A">
      <w:pPr>
        <w:pStyle w:val="VEOHRCHeading1"/>
        <w:rPr>
          <w:lang w:eastAsia="en-US"/>
        </w:rPr>
      </w:pPr>
      <w:r w:rsidRPr="00E2088A">
        <w:rPr>
          <w:lang w:eastAsia="en-US"/>
        </w:rPr>
        <w:t>Advocate</w:t>
      </w:r>
    </w:p>
    <w:p w14:paraId="50DF26E2" w14:textId="6B01CAB1" w:rsidR="00E2088A" w:rsidRPr="00C715B8" w:rsidRDefault="00E2088A" w:rsidP="00C715B8">
      <w:pPr>
        <w:pStyle w:val="VEOHRCBodytext"/>
        <w:rPr>
          <w:b/>
          <w:lang w:eastAsia="en-US"/>
        </w:rPr>
      </w:pPr>
      <w:r w:rsidRPr="00C715B8">
        <w:rPr>
          <w:b/>
          <w:lang w:eastAsia="en-US"/>
        </w:rPr>
        <w:t>We raise awareness across all parts of the community about the importance of equality and human rights, encouraging meaningful debate, leading public discussion and challenging discriminatory views and behaviours. </w:t>
      </w:r>
    </w:p>
    <w:p w14:paraId="1BE38EC9" w14:textId="77777777" w:rsidR="00E2088A" w:rsidRPr="00E2088A" w:rsidRDefault="00E2088A" w:rsidP="00E2088A">
      <w:pPr>
        <w:pStyle w:val="VEOHRCHeading2"/>
        <w:rPr>
          <w:lang w:eastAsia="en-US"/>
        </w:rPr>
      </w:pPr>
      <w:r w:rsidRPr="00E2088A">
        <w:rPr>
          <w:lang w:eastAsia="en-US"/>
        </w:rPr>
        <w:t>Events </w:t>
      </w:r>
    </w:p>
    <w:p w14:paraId="03E970F7" w14:textId="5E7721D2" w:rsidR="00E2088A" w:rsidRPr="00E2088A" w:rsidRDefault="00E2088A" w:rsidP="00E2088A">
      <w:pPr>
        <w:pStyle w:val="VEOHRCBodytext"/>
        <w:rPr>
          <w:lang w:eastAsia="en-US"/>
        </w:rPr>
      </w:pPr>
      <w:r w:rsidRPr="00E2088A">
        <w:rPr>
          <w:lang w:eastAsia="en-US"/>
        </w:rPr>
        <w:t>Each year the Commission hosts a variety events for members of the public to attend as a way to educate people about equality and human rights, and to hear from community members about the issues that affect them. In 2017–18 these have included:</w:t>
      </w:r>
    </w:p>
    <w:p w14:paraId="2D9F7332" w14:textId="77777777" w:rsidR="00E2088A" w:rsidRPr="00E2088A" w:rsidRDefault="00E2088A" w:rsidP="00E2088A">
      <w:pPr>
        <w:pStyle w:val="VEOHRCListBullet"/>
        <w:rPr>
          <w:lang w:eastAsia="en-US"/>
        </w:rPr>
      </w:pPr>
      <w:r w:rsidRPr="00E2088A">
        <w:rPr>
          <w:lang w:eastAsia="en-US"/>
        </w:rPr>
        <w:t>the Human Rights Oration, which was delivered by Professor Megan Davis</w:t>
      </w:r>
    </w:p>
    <w:p w14:paraId="5913193B" w14:textId="77777777" w:rsidR="00E2088A" w:rsidRPr="00E2088A" w:rsidRDefault="00E2088A" w:rsidP="00E2088A">
      <w:pPr>
        <w:pStyle w:val="VEOHRCListBullet"/>
        <w:rPr>
          <w:lang w:eastAsia="en-US"/>
        </w:rPr>
      </w:pPr>
      <w:r w:rsidRPr="00E2088A">
        <w:rPr>
          <w:lang w:eastAsia="en-US"/>
        </w:rPr>
        <w:t>Equality Talks – Spice Up Your Rights, a one-on-one discussion with Commissioner Kristen Hilton and journalist Tracey Spicer</w:t>
      </w:r>
    </w:p>
    <w:p w14:paraId="4CBBE4FE" w14:textId="1B596A54" w:rsidR="00E2088A" w:rsidRPr="00E2088A" w:rsidRDefault="00E2088A" w:rsidP="00E2088A">
      <w:pPr>
        <w:pStyle w:val="VEOHRCListBullet"/>
        <w:rPr>
          <w:lang w:eastAsia="en-US"/>
        </w:rPr>
      </w:pPr>
      <w:r w:rsidRPr="00E2088A">
        <w:rPr>
          <w:lang w:eastAsia="en-US"/>
        </w:rPr>
        <w:t>Breaking News or Making News, a forum to discuss issues related to media reporting on African and Muslim communities</w:t>
      </w:r>
    </w:p>
    <w:p w14:paraId="5F4CC814" w14:textId="77777777" w:rsidR="00E2088A" w:rsidRPr="00E2088A" w:rsidRDefault="00E2088A" w:rsidP="00E2088A">
      <w:pPr>
        <w:pStyle w:val="VEOHRCListBullet"/>
        <w:rPr>
          <w:lang w:eastAsia="en-US"/>
        </w:rPr>
      </w:pPr>
      <w:r w:rsidRPr="00E2088A">
        <w:rPr>
          <w:lang w:eastAsia="en-US"/>
        </w:rPr>
        <w:t>the inaugural Human Rights Week, which featured a calendar of events and an essay competition for high school students. </w:t>
      </w:r>
    </w:p>
    <w:p w14:paraId="1FA47F02" w14:textId="77777777" w:rsidR="00E2088A" w:rsidRPr="00E2088A" w:rsidRDefault="00E2088A" w:rsidP="00E2088A">
      <w:pPr>
        <w:pStyle w:val="VEOHRCHeading2"/>
        <w:rPr>
          <w:lang w:eastAsia="en-US"/>
        </w:rPr>
      </w:pPr>
      <w:r w:rsidRPr="00E2088A">
        <w:rPr>
          <w:lang w:eastAsia="en-US"/>
        </w:rPr>
        <w:t>Community Events </w:t>
      </w:r>
    </w:p>
    <w:p w14:paraId="04A93E1B" w14:textId="4AD63118" w:rsidR="00E2088A" w:rsidRPr="00E2088A" w:rsidRDefault="00E2088A" w:rsidP="00E2088A">
      <w:pPr>
        <w:pStyle w:val="VEOHRCBodytext"/>
        <w:rPr>
          <w:lang w:eastAsia="en-US"/>
        </w:rPr>
      </w:pPr>
      <w:r w:rsidRPr="00E2088A">
        <w:rPr>
          <w:lang w:eastAsia="en-US"/>
        </w:rPr>
        <w:t xml:space="preserve">Community events are an important forum for the Commission to participate in, as they enable us to hear from individuals and communities about the issues that affect </w:t>
      </w:r>
      <w:r w:rsidRPr="00E2088A">
        <w:rPr>
          <w:lang w:eastAsia="en-US"/>
        </w:rPr>
        <w:lastRenderedPageBreak/>
        <w:t>them, and allow us to better inform members of the public about their rights, and ways to protect them. </w:t>
      </w:r>
    </w:p>
    <w:p w14:paraId="6BC04522" w14:textId="162648DA" w:rsidR="00E2088A" w:rsidRPr="00E2088A" w:rsidRDefault="00E2088A" w:rsidP="00E2088A">
      <w:pPr>
        <w:pStyle w:val="VEOHRCBodytext"/>
        <w:rPr>
          <w:lang w:eastAsia="en-US"/>
        </w:rPr>
      </w:pPr>
      <w:r w:rsidRPr="00E2088A">
        <w:rPr>
          <w:lang w:eastAsia="en-US"/>
        </w:rPr>
        <w:t>Each year the Commission is proud to be represented at a range of community events. In 2017–18 these included:</w:t>
      </w:r>
    </w:p>
    <w:p w14:paraId="4A291373" w14:textId="77777777" w:rsidR="00E2088A" w:rsidRPr="00E2088A" w:rsidRDefault="00E2088A" w:rsidP="00E2088A">
      <w:pPr>
        <w:pStyle w:val="VEOHRCListBullet"/>
        <w:rPr>
          <w:lang w:eastAsia="en-US"/>
        </w:rPr>
      </w:pPr>
      <w:r w:rsidRPr="00E2088A">
        <w:rPr>
          <w:lang w:eastAsia="en-US"/>
        </w:rPr>
        <w:t>Midsumma Carnival</w:t>
      </w:r>
    </w:p>
    <w:p w14:paraId="24DC0469" w14:textId="77777777" w:rsidR="00E2088A" w:rsidRPr="00E2088A" w:rsidRDefault="00E2088A" w:rsidP="00E2088A">
      <w:pPr>
        <w:pStyle w:val="VEOHRCListBullet"/>
        <w:rPr>
          <w:lang w:eastAsia="en-US"/>
        </w:rPr>
      </w:pPr>
      <w:r w:rsidRPr="00E2088A">
        <w:rPr>
          <w:lang w:eastAsia="en-US"/>
        </w:rPr>
        <w:t>Pride March</w:t>
      </w:r>
    </w:p>
    <w:p w14:paraId="27A1FD9F" w14:textId="77777777" w:rsidR="00E2088A" w:rsidRPr="00E2088A" w:rsidRDefault="00E2088A" w:rsidP="00E2088A">
      <w:pPr>
        <w:pStyle w:val="VEOHRCListBullet"/>
        <w:rPr>
          <w:lang w:eastAsia="en-US"/>
        </w:rPr>
      </w:pPr>
      <w:r w:rsidRPr="00E2088A">
        <w:rPr>
          <w:lang w:eastAsia="en-US"/>
        </w:rPr>
        <w:t>Victoria's Multicultural Festival</w:t>
      </w:r>
    </w:p>
    <w:p w14:paraId="0C8B8F90" w14:textId="77777777" w:rsidR="00E2088A" w:rsidRPr="00E2088A" w:rsidRDefault="00E2088A" w:rsidP="00E2088A">
      <w:pPr>
        <w:pStyle w:val="VEOHRCListBullet"/>
        <w:rPr>
          <w:lang w:eastAsia="en-US"/>
        </w:rPr>
      </w:pPr>
      <w:r w:rsidRPr="00E2088A">
        <w:rPr>
          <w:lang w:eastAsia="en-US"/>
        </w:rPr>
        <w:t>Victoria Youth Week event hosted by African Women’s and Families Network and the Liberian Youth Association of Victoria</w:t>
      </w:r>
    </w:p>
    <w:p w14:paraId="610F2FC6" w14:textId="77777777" w:rsidR="00E2088A" w:rsidRPr="00E2088A" w:rsidRDefault="00E2088A" w:rsidP="00E2088A">
      <w:pPr>
        <w:pStyle w:val="VEOHRCListBullet"/>
        <w:rPr>
          <w:lang w:eastAsia="en-US"/>
        </w:rPr>
      </w:pPr>
      <w:r w:rsidRPr="00E2088A">
        <w:rPr>
          <w:lang w:eastAsia="en-US"/>
        </w:rPr>
        <w:t>We Stand Together forum</w:t>
      </w:r>
    </w:p>
    <w:p w14:paraId="1EA89C11" w14:textId="77777777" w:rsidR="00E2088A" w:rsidRPr="00E2088A" w:rsidRDefault="00E2088A" w:rsidP="00E2088A">
      <w:pPr>
        <w:pStyle w:val="VEOHRCListBullet"/>
        <w:rPr>
          <w:lang w:eastAsia="en-US"/>
        </w:rPr>
      </w:pPr>
      <w:r w:rsidRPr="00E2088A">
        <w:rPr>
          <w:lang w:eastAsia="en-US"/>
        </w:rPr>
        <w:t>Legal Laneway Breakfast, hosted by the Victoria Law Foundation.</w:t>
      </w:r>
    </w:p>
    <w:p w14:paraId="4578098C" w14:textId="77777777" w:rsidR="00E2088A" w:rsidRPr="00E2088A" w:rsidRDefault="00E2088A" w:rsidP="00E2088A">
      <w:pPr>
        <w:pStyle w:val="VEOHRCHeading2"/>
        <w:rPr>
          <w:lang w:eastAsia="en-US"/>
        </w:rPr>
      </w:pPr>
      <w:r w:rsidRPr="00E2088A">
        <w:rPr>
          <w:lang w:eastAsia="en-US"/>
        </w:rPr>
        <w:t>Submissions</w:t>
      </w:r>
    </w:p>
    <w:p w14:paraId="291323BE" w14:textId="55C59295" w:rsidR="00E2088A" w:rsidRPr="00E2088A" w:rsidRDefault="00E2088A" w:rsidP="00E2088A">
      <w:pPr>
        <w:pStyle w:val="VEOHRCBodytext"/>
        <w:rPr>
          <w:lang w:eastAsia="en-US"/>
        </w:rPr>
      </w:pPr>
      <w:r w:rsidRPr="00E2088A">
        <w:rPr>
          <w:lang w:eastAsia="en-US"/>
        </w:rPr>
        <w:t>The Commission advocates for human rights and equality by making submissions into a range of government and legal processes. Through our submissions, we provide specialist and independent views on human rights and equal opportunity issues.</w:t>
      </w:r>
    </w:p>
    <w:p w14:paraId="5E4EE85E" w14:textId="70690D32" w:rsidR="00E2088A" w:rsidRPr="00E2088A" w:rsidRDefault="00E2088A" w:rsidP="00E2088A">
      <w:pPr>
        <w:pStyle w:val="VEOHRCBodytext"/>
        <w:rPr>
          <w:lang w:eastAsia="en-US"/>
        </w:rPr>
      </w:pPr>
      <w:r w:rsidRPr="00E2088A">
        <w:rPr>
          <w:lang w:eastAsia="en-US"/>
        </w:rPr>
        <w:t>Our legal and policy submissions engage in government policy processes, inquiries and law reform activities to help ensure human rights and equality issues are considered. We make recommendations to improve human rights and equality outcomes in government activities and public life.</w:t>
      </w:r>
    </w:p>
    <w:p w14:paraId="14354EC5" w14:textId="4F63C0B2" w:rsidR="00E2088A" w:rsidRPr="00E2088A" w:rsidRDefault="00E2088A" w:rsidP="00E2088A">
      <w:pPr>
        <w:pStyle w:val="VEOHRCBodytext"/>
        <w:rPr>
          <w:lang w:eastAsia="en-US"/>
        </w:rPr>
      </w:pPr>
      <w:r w:rsidRPr="00E2088A">
        <w:rPr>
          <w:lang w:eastAsia="en-US"/>
        </w:rPr>
        <w:t>The Commission also makes legal submissions to courts and tribunals. In this role, the Commission makes submissions to advocate for and explain the laws we work with. We do this to assist the court. We do not represent individual parties. More information about our legal advocacy can be found in our legal interventions section.</w:t>
      </w:r>
    </w:p>
    <w:p w14:paraId="5C1B8F44" w14:textId="092C38CB" w:rsidR="00E2088A" w:rsidRPr="00E2088A" w:rsidRDefault="00E2088A" w:rsidP="00E2088A">
      <w:pPr>
        <w:pStyle w:val="VEOHRCBodytext"/>
        <w:rPr>
          <w:lang w:eastAsia="en-US"/>
        </w:rPr>
      </w:pPr>
      <w:r w:rsidRPr="00E2088A">
        <w:rPr>
          <w:lang w:eastAsia="en-US"/>
        </w:rPr>
        <w:t>In 2017–18 the Commission made the following submissions. </w:t>
      </w:r>
    </w:p>
    <w:p w14:paraId="28540A48" w14:textId="008B8084" w:rsidR="00E2088A" w:rsidRPr="00E2088A" w:rsidRDefault="00E2088A" w:rsidP="00E2088A">
      <w:pPr>
        <w:pStyle w:val="VEOHRCListBullet"/>
        <w:rPr>
          <w:lang w:eastAsia="en-US"/>
        </w:rPr>
      </w:pPr>
      <w:r w:rsidRPr="00E2088A">
        <w:rPr>
          <w:lang w:eastAsia="en-US"/>
        </w:rPr>
        <w:t>Submission to the Independent Broad-based Anti-corruption Commission (IBAC) Parliamentary Committee inquiry into the external oversight of police corruption and misconduct in Victoria. Our submission addressed specific questions from the Committee on what kind of complaints about the police the Commission can receive, handle and investigate (April 2018). </w:t>
      </w:r>
    </w:p>
    <w:p w14:paraId="3B1B392F" w14:textId="02CE0759" w:rsidR="00E2088A" w:rsidRPr="00E2088A" w:rsidRDefault="00E2088A" w:rsidP="00E2088A">
      <w:pPr>
        <w:pStyle w:val="VEOHRCListBullet"/>
        <w:rPr>
          <w:lang w:eastAsia="en-US"/>
        </w:rPr>
      </w:pPr>
      <w:r w:rsidRPr="00E2088A">
        <w:rPr>
          <w:lang w:eastAsia="en-US"/>
        </w:rPr>
        <w:t>Submission to the Federal Freedom of Religion Inquiry. Our first submission (February 2018) expressed support for recommendations in the Australian Human Rights Commission's submission to which we contributed data, and outlined how freedom of religion is protected under Victorian law. Our further submission (April 2018) responds to specific questions from the expert panel. </w:t>
      </w:r>
    </w:p>
    <w:p w14:paraId="1E6D8F6D" w14:textId="77777777" w:rsidR="00E2088A" w:rsidRPr="00E2088A" w:rsidRDefault="00E2088A" w:rsidP="00E2088A">
      <w:pPr>
        <w:pStyle w:val="VEOHRCListBullet"/>
        <w:rPr>
          <w:lang w:eastAsia="en-US"/>
        </w:rPr>
      </w:pPr>
      <w:r w:rsidRPr="00E2088A">
        <w:rPr>
          <w:lang w:eastAsia="en-US"/>
        </w:rPr>
        <w:t>Submission to the Australian Human Rights Commission's consultation on the Optional Protocol Against Torture (July 2017).</w:t>
      </w:r>
    </w:p>
    <w:p w14:paraId="6C2409C8" w14:textId="426A0A22" w:rsidR="00E2088A" w:rsidRPr="00E2088A" w:rsidRDefault="00E2088A" w:rsidP="00E2088A">
      <w:pPr>
        <w:pStyle w:val="VEOHRCListBullet"/>
        <w:rPr>
          <w:lang w:eastAsia="en-US"/>
        </w:rPr>
      </w:pPr>
      <w:r w:rsidRPr="00E2088A">
        <w:rPr>
          <w:lang w:eastAsia="en-US"/>
        </w:rPr>
        <w:t>Submission to assist the Scrutiny of Acts and Regulations Committee’s consideration of the Justice Legislation Amendment (Terrorism) Bill 2018. The submission highlights potential human rights impacts that the Bill’s proposed reforms will have on children and vulnerable persons.</w:t>
      </w:r>
    </w:p>
    <w:p w14:paraId="3D983EE8" w14:textId="77777777" w:rsidR="00E2088A" w:rsidRPr="00E2088A" w:rsidRDefault="00E2088A" w:rsidP="00E2088A">
      <w:pPr>
        <w:pStyle w:val="VEOHRCHeading2"/>
        <w:rPr>
          <w:lang w:eastAsia="en-US"/>
        </w:rPr>
      </w:pPr>
      <w:r w:rsidRPr="00E2088A">
        <w:rPr>
          <w:lang w:eastAsia="en-US"/>
        </w:rPr>
        <w:t>Engaging with the Media</w:t>
      </w:r>
    </w:p>
    <w:p w14:paraId="14B230DC" w14:textId="77777777" w:rsidR="00E2088A" w:rsidRPr="00C715B8" w:rsidRDefault="00E2088A" w:rsidP="00C715B8">
      <w:pPr>
        <w:pStyle w:val="VEOHRCBodytext"/>
        <w:rPr>
          <w:b/>
          <w:lang w:eastAsia="en-US"/>
        </w:rPr>
      </w:pPr>
      <w:r w:rsidRPr="00C715B8">
        <w:rPr>
          <w:b/>
          <w:lang w:eastAsia="en-US"/>
        </w:rPr>
        <w:t>Throughout 2017–18, the Commission used the media to contribute to the public discourse and to ensure that our campaigns, reports and interventions reached communities throughout Victoria.</w:t>
      </w:r>
    </w:p>
    <w:p w14:paraId="130934F4" w14:textId="77777777" w:rsidR="00E2088A" w:rsidRPr="00E2088A" w:rsidRDefault="00E2088A" w:rsidP="00A12985">
      <w:pPr>
        <w:pStyle w:val="VEOHRCBodytext"/>
        <w:rPr>
          <w:lang w:eastAsia="en-US"/>
        </w:rPr>
      </w:pPr>
      <w:r w:rsidRPr="00E2088A">
        <w:rPr>
          <w:lang w:eastAsia="en-US"/>
        </w:rPr>
        <w:lastRenderedPageBreak/>
        <w:t xml:space="preserve">The leading issue of the year was sexual harassment, and the Commission provided practical guidance via the media. The Commissioner’s opinion pieces on how to prevent and respond to sexual harassment were published in </w:t>
      </w:r>
      <w:r w:rsidRPr="00E2088A">
        <w:t xml:space="preserve">The Age </w:t>
      </w:r>
      <w:r w:rsidRPr="00E2088A">
        <w:rPr>
          <w:lang w:eastAsia="en-US"/>
        </w:rPr>
        <w:t xml:space="preserve">(in March 2018 and May 2018) and </w:t>
      </w:r>
      <w:r w:rsidRPr="00E2088A">
        <w:t>The Big Issue</w:t>
      </w:r>
      <w:r w:rsidRPr="00E2088A">
        <w:rPr>
          <w:lang w:eastAsia="en-US"/>
        </w:rPr>
        <w:t xml:space="preserve">; and an interview with the Commissioner on sexual harassment in lower-profile industries ran in the </w:t>
      </w:r>
      <w:r w:rsidRPr="00E2088A">
        <w:t>Herald-Sun</w:t>
      </w:r>
      <w:r w:rsidRPr="00E2088A">
        <w:rPr>
          <w:lang w:eastAsia="en-US"/>
        </w:rPr>
        <w:t xml:space="preserve">. The Commissioner discussed #MeToo on ABC’s </w:t>
      </w:r>
      <w:r w:rsidRPr="00E2088A">
        <w:rPr>
          <w:i/>
          <w:lang w:eastAsia="en-US"/>
        </w:rPr>
        <w:t>Q&amp;A</w:t>
      </w:r>
      <w:r w:rsidRPr="00E2088A">
        <w:rPr>
          <w:lang w:eastAsia="en-US"/>
        </w:rPr>
        <w:t xml:space="preserve"> (February 2018), and the Lord Mayor of the City of Melbourne's sexual harassment case on ABC Radio (February 2018).</w:t>
      </w:r>
    </w:p>
    <w:p w14:paraId="63411DA0" w14:textId="79139F0D" w:rsidR="00E2088A" w:rsidRPr="00E2088A" w:rsidRDefault="00E2088A" w:rsidP="00E2088A">
      <w:pPr>
        <w:pStyle w:val="VEOHRCBodytext"/>
        <w:rPr>
          <w:lang w:eastAsia="en-US"/>
        </w:rPr>
      </w:pPr>
      <w:r w:rsidRPr="00E2088A">
        <w:rPr>
          <w:lang w:eastAsia="en-US"/>
        </w:rPr>
        <w:t>Other contributions to the public debate included:</w:t>
      </w:r>
    </w:p>
    <w:p w14:paraId="541A6AAD" w14:textId="40E4502B" w:rsidR="00E2088A" w:rsidRPr="00E2088A" w:rsidRDefault="00E2088A" w:rsidP="00E2088A">
      <w:pPr>
        <w:pStyle w:val="VEOHRCListBullet"/>
        <w:rPr>
          <w:lang w:eastAsia="en-US"/>
        </w:rPr>
      </w:pPr>
      <w:r w:rsidRPr="00E2088A">
        <w:rPr>
          <w:lang w:eastAsia="en-US"/>
        </w:rPr>
        <w:t>highlighting increasing discrimination in the rental market (August 2017)</w:t>
      </w:r>
    </w:p>
    <w:p w14:paraId="147B49BD" w14:textId="11E463DB" w:rsidR="00E2088A" w:rsidRPr="00E2088A" w:rsidRDefault="00E2088A" w:rsidP="00E2088A">
      <w:pPr>
        <w:pStyle w:val="VEOHRCListBullet"/>
        <w:rPr>
          <w:lang w:eastAsia="en-US"/>
        </w:rPr>
      </w:pPr>
      <w:r w:rsidRPr="00E2088A">
        <w:rPr>
          <w:lang w:eastAsia="en-US"/>
        </w:rPr>
        <w:t>supporting the fight for marriage equality (September 2017)</w:t>
      </w:r>
    </w:p>
    <w:p w14:paraId="58C897CC" w14:textId="01D7810F" w:rsidR="00E2088A" w:rsidRPr="00E2088A" w:rsidRDefault="00E2088A" w:rsidP="00E2088A">
      <w:pPr>
        <w:pStyle w:val="VEOHRCListBullet"/>
        <w:rPr>
          <w:lang w:eastAsia="en-US"/>
        </w:rPr>
      </w:pPr>
      <w:r w:rsidRPr="00E2088A">
        <w:rPr>
          <w:lang w:eastAsia="en-US"/>
        </w:rPr>
        <w:t>warning that restrictive school uniform policies may be gender discrimination (September 2017)</w:t>
      </w:r>
    </w:p>
    <w:p w14:paraId="22745988" w14:textId="437ECE47" w:rsidR="00E2088A" w:rsidRPr="00E2088A" w:rsidRDefault="00E2088A" w:rsidP="00E2088A">
      <w:pPr>
        <w:pStyle w:val="VEOHRCListBullet"/>
        <w:rPr>
          <w:lang w:eastAsia="en-US"/>
        </w:rPr>
      </w:pPr>
      <w:r w:rsidRPr="00E2088A">
        <w:rPr>
          <w:lang w:eastAsia="en-US"/>
        </w:rPr>
        <w:t>explaining organisational reforms by Victoria Police around gender-based harm (September 2017)</w:t>
      </w:r>
    </w:p>
    <w:p w14:paraId="649B89E0" w14:textId="72BC4B9D" w:rsidR="00E2088A" w:rsidRPr="00E2088A" w:rsidRDefault="00E2088A" w:rsidP="00E2088A">
      <w:pPr>
        <w:pStyle w:val="VEOHRCListBullet"/>
        <w:rPr>
          <w:lang w:eastAsia="en-US"/>
        </w:rPr>
      </w:pPr>
      <w:r w:rsidRPr="00E2088A">
        <w:rPr>
          <w:lang w:eastAsia="en-US"/>
        </w:rPr>
        <w:t>welcoming the ratification of OPCAT treaty on human rights (December 2017)</w:t>
      </w:r>
    </w:p>
    <w:p w14:paraId="3E053D8D" w14:textId="3CADC45D" w:rsidR="00E2088A" w:rsidRPr="00E2088A" w:rsidRDefault="00E2088A" w:rsidP="00E2088A">
      <w:pPr>
        <w:pStyle w:val="VEOHRCListBullet"/>
        <w:rPr>
          <w:lang w:eastAsia="en-US"/>
        </w:rPr>
      </w:pPr>
      <w:r w:rsidRPr="00E2088A">
        <w:rPr>
          <w:lang w:eastAsia="en-US"/>
        </w:rPr>
        <w:t>standing up for the African community amid racist reporting of a gang crisis (January 2018)</w:t>
      </w:r>
    </w:p>
    <w:p w14:paraId="6A1728A1" w14:textId="3A194156" w:rsidR="00E2088A" w:rsidRPr="00E2088A" w:rsidRDefault="00E2088A" w:rsidP="00E2088A">
      <w:pPr>
        <w:pStyle w:val="VEOHRCListBullet"/>
        <w:rPr>
          <w:lang w:eastAsia="en-US"/>
        </w:rPr>
      </w:pPr>
      <w:r w:rsidRPr="00E2088A">
        <w:rPr>
          <w:lang w:eastAsia="en-US"/>
        </w:rPr>
        <w:t>highlighting the importance of police compliance with the Charter of Human Rights (April 2018)</w:t>
      </w:r>
    </w:p>
    <w:p w14:paraId="157EA399" w14:textId="75EC568E" w:rsidR="00E2088A" w:rsidRPr="00E2088A" w:rsidRDefault="00E2088A" w:rsidP="00E2088A">
      <w:pPr>
        <w:pStyle w:val="VEOHRCListBullet"/>
        <w:rPr>
          <w:lang w:eastAsia="en-US"/>
        </w:rPr>
      </w:pPr>
      <w:r w:rsidRPr="00E2088A">
        <w:rPr>
          <w:lang w:eastAsia="en-US"/>
        </w:rPr>
        <w:t>supporting the Horsham community’s pushback to racism (May 2018)</w:t>
      </w:r>
    </w:p>
    <w:p w14:paraId="3656E8C5" w14:textId="06C18F62" w:rsidR="00E2088A" w:rsidRPr="00E2088A" w:rsidRDefault="00E2088A" w:rsidP="00E2088A">
      <w:pPr>
        <w:pStyle w:val="VEOHRCListBullet"/>
        <w:rPr>
          <w:lang w:eastAsia="en-US"/>
        </w:rPr>
      </w:pPr>
      <w:r w:rsidRPr="00E2088A">
        <w:rPr>
          <w:lang w:eastAsia="en-US"/>
        </w:rPr>
        <w:t>explaining how to remove barriers to female participation in golf on ‘Inside the Ropes’ (May 2018)</w:t>
      </w:r>
    </w:p>
    <w:p w14:paraId="3F2C8C48" w14:textId="4AA65793" w:rsidR="00E2088A" w:rsidRPr="00E2088A" w:rsidRDefault="00E2088A" w:rsidP="00E2088A">
      <w:pPr>
        <w:pStyle w:val="VEOHRCListBullet"/>
        <w:rPr>
          <w:lang w:eastAsia="en-US"/>
        </w:rPr>
      </w:pPr>
      <w:r w:rsidRPr="00E2088A">
        <w:rPr>
          <w:lang w:eastAsia="en-US"/>
        </w:rPr>
        <w:t>standing against several incidents of racial or religious vilification (August 2017 and May 2018).</w:t>
      </w:r>
    </w:p>
    <w:p w14:paraId="2B0E8145" w14:textId="77777777" w:rsidR="00E2088A" w:rsidRPr="00E2088A" w:rsidRDefault="00E2088A" w:rsidP="00E2088A">
      <w:pPr>
        <w:pStyle w:val="VEOHRCBodytext"/>
        <w:rPr>
          <w:lang w:eastAsia="en-US"/>
        </w:rPr>
      </w:pPr>
      <w:r w:rsidRPr="00E2088A">
        <w:rPr>
          <w:lang w:eastAsia="en-US"/>
        </w:rPr>
        <w:t>The Commission also hosted ‘Breaking News or Making News?’, a forum about media, race and public debates, which featured journalists and multicultural community representatives in response to the so-called ‘African Gangs’ issue in January 2018. The aim was to facilitate less race-based reporting of crime.</w:t>
      </w:r>
    </w:p>
    <w:p w14:paraId="6682091C" w14:textId="77777777" w:rsidR="00E2088A" w:rsidRPr="00E2088A" w:rsidRDefault="00E2088A" w:rsidP="00E2088A">
      <w:pPr>
        <w:pStyle w:val="VEOHRCHeading2"/>
        <w:rPr>
          <w:lang w:eastAsia="en-US"/>
        </w:rPr>
      </w:pPr>
      <w:r w:rsidRPr="00E2088A">
        <w:rPr>
          <w:lang w:eastAsia="en-US"/>
        </w:rPr>
        <w:t>Social media</w:t>
      </w:r>
    </w:p>
    <w:p w14:paraId="25A4573B" w14:textId="16104812" w:rsidR="00E2088A" w:rsidRPr="00E2088A" w:rsidRDefault="00E2088A" w:rsidP="00E2088A">
      <w:pPr>
        <w:pStyle w:val="VEOHRCBodytext"/>
        <w:rPr>
          <w:lang w:eastAsia="en-US"/>
        </w:rPr>
      </w:pPr>
      <w:r w:rsidRPr="00E2088A">
        <w:rPr>
          <w:lang w:eastAsia="en-US"/>
        </w:rPr>
        <w:t>An important part of the Commission’s engagement comes from social media. Our social media channels, including Facebook, Twitter and LinkedIn, are used as an integral part of our communications and allow us to broadcast our messages, amplify the voices of others, and engage with the community online. </w:t>
      </w:r>
    </w:p>
    <w:p w14:paraId="2CB34707" w14:textId="09A99835" w:rsidR="00E2088A" w:rsidRPr="00E2088A" w:rsidRDefault="00E2088A" w:rsidP="00A12985">
      <w:pPr>
        <w:pStyle w:val="VEOHRCBodytext"/>
        <w:rPr>
          <w:lang w:eastAsia="en-US"/>
        </w:rPr>
      </w:pPr>
      <w:r w:rsidRPr="00E2088A">
        <w:rPr>
          <w:lang w:eastAsia="en-US"/>
        </w:rPr>
        <w:t xml:space="preserve">Throughout the year our social media posts were viewed a total of </w:t>
      </w:r>
      <w:r w:rsidRPr="00A12985">
        <w:rPr>
          <w:b/>
          <w:lang w:eastAsia="en-US"/>
        </w:rPr>
        <w:t>4.6 million times, representing a 62 per cent increase</w:t>
      </w:r>
      <w:r w:rsidRPr="00E2088A">
        <w:rPr>
          <w:lang w:eastAsia="en-US"/>
        </w:rPr>
        <w:t xml:space="preserve"> on our previous year's total. Across all our platforms we have a total of </w:t>
      </w:r>
      <w:r w:rsidRPr="00A12985">
        <w:rPr>
          <w:b/>
          <w:lang w:eastAsia="en-US"/>
        </w:rPr>
        <w:t>15,758 fans</w:t>
      </w:r>
      <w:r w:rsidRPr="00E2088A">
        <w:rPr>
          <w:lang w:eastAsia="en-US"/>
        </w:rPr>
        <w:t>. </w:t>
      </w:r>
    </w:p>
    <w:p w14:paraId="74B8B427" w14:textId="77777777" w:rsidR="00E2088A" w:rsidRPr="00E2088A" w:rsidRDefault="00E2088A" w:rsidP="00E2088A">
      <w:pPr>
        <w:pStyle w:val="VEOHRCBodytext"/>
        <w:rPr>
          <w:lang w:eastAsia="en-US"/>
        </w:rPr>
      </w:pPr>
      <w:r w:rsidRPr="00E2088A">
        <w:rPr>
          <w:lang w:eastAsia="en-US"/>
        </w:rPr>
        <w:t>Find us at:</w:t>
      </w:r>
    </w:p>
    <w:p w14:paraId="6CE4297C" w14:textId="2F353474" w:rsidR="00E2088A" w:rsidRPr="00E2088A" w:rsidRDefault="00E2088A" w:rsidP="00A12985">
      <w:pPr>
        <w:pStyle w:val="VEOHRCBodytext"/>
        <w:rPr>
          <w:lang w:eastAsia="en-US"/>
        </w:rPr>
      </w:pPr>
      <w:r w:rsidRPr="00E2088A">
        <w:rPr>
          <w:color w:val="000000"/>
          <w:lang w:eastAsia="en-US"/>
        </w:rPr>
        <w:t xml:space="preserve">Facebook </w:t>
      </w:r>
      <w:r w:rsidR="00A12985">
        <w:rPr>
          <w:lang w:eastAsia="en-US"/>
        </w:rPr>
        <w:t xml:space="preserve">facebook.com/veohrc </w:t>
      </w:r>
    </w:p>
    <w:p w14:paraId="08187ADA" w14:textId="77777777" w:rsidR="00E2088A" w:rsidRPr="00E2088A" w:rsidRDefault="00E2088A" w:rsidP="00A12985">
      <w:pPr>
        <w:pStyle w:val="VEOHRCBodytext"/>
        <w:rPr>
          <w:lang w:eastAsia="en-US"/>
        </w:rPr>
      </w:pPr>
      <w:r w:rsidRPr="00E2088A">
        <w:rPr>
          <w:color w:val="000000"/>
          <w:lang w:eastAsia="en-US"/>
        </w:rPr>
        <w:t xml:space="preserve">Twitter </w:t>
      </w:r>
      <w:r w:rsidRPr="00E2088A">
        <w:rPr>
          <w:lang w:eastAsia="en-US"/>
        </w:rPr>
        <w:t>@veohrc</w:t>
      </w:r>
      <w:r w:rsidRPr="00E2088A">
        <w:rPr>
          <w:color w:val="000000"/>
          <w:lang w:eastAsia="en-US"/>
        </w:rPr>
        <w:t xml:space="preserve"> and </w:t>
      </w:r>
      <w:r w:rsidRPr="00E2088A">
        <w:rPr>
          <w:lang w:eastAsia="en-US"/>
        </w:rPr>
        <w:t>@kristenahilton</w:t>
      </w:r>
    </w:p>
    <w:p w14:paraId="2E2DB9F7" w14:textId="77777777" w:rsidR="00E2088A" w:rsidRPr="00E2088A" w:rsidRDefault="00E2088A" w:rsidP="00A12985">
      <w:pPr>
        <w:pStyle w:val="VEOHRCBodytext"/>
        <w:rPr>
          <w:lang w:eastAsia="en-US"/>
        </w:rPr>
      </w:pPr>
      <w:r w:rsidRPr="00E2088A">
        <w:rPr>
          <w:color w:val="000000"/>
          <w:lang w:eastAsia="en-US"/>
        </w:rPr>
        <w:t xml:space="preserve">YouTube </w:t>
      </w:r>
      <w:r w:rsidRPr="00E2088A">
        <w:rPr>
          <w:lang w:eastAsia="en-US"/>
        </w:rPr>
        <w:t>youtube.com/veohrc</w:t>
      </w:r>
    </w:p>
    <w:p w14:paraId="2B43F81F" w14:textId="77777777" w:rsidR="00E2088A" w:rsidRPr="00E2088A" w:rsidRDefault="00E2088A" w:rsidP="00A12985">
      <w:pPr>
        <w:pStyle w:val="VEOHRCBodytext"/>
        <w:rPr>
          <w:lang w:eastAsia="en-US"/>
        </w:rPr>
      </w:pPr>
      <w:r w:rsidRPr="00E2088A">
        <w:rPr>
          <w:color w:val="000000"/>
          <w:lang w:eastAsia="en-US"/>
        </w:rPr>
        <w:t xml:space="preserve">LinkedIn </w:t>
      </w:r>
      <w:r w:rsidRPr="00E2088A">
        <w:rPr>
          <w:lang w:eastAsia="en-US"/>
        </w:rPr>
        <w:t>bit.ly/LI_veohrc</w:t>
      </w:r>
    </w:p>
    <w:p w14:paraId="69928A5C" w14:textId="77777777" w:rsidR="00E2088A" w:rsidRPr="00E2088A" w:rsidRDefault="00E2088A" w:rsidP="00E2088A">
      <w:pPr>
        <w:pStyle w:val="VEOHRCHeading2"/>
        <w:rPr>
          <w:lang w:eastAsia="en-US"/>
        </w:rPr>
      </w:pPr>
      <w:r w:rsidRPr="00E2088A">
        <w:rPr>
          <w:lang w:eastAsia="en-US"/>
        </w:rPr>
        <w:lastRenderedPageBreak/>
        <w:t>Consultation</w:t>
      </w:r>
    </w:p>
    <w:p w14:paraId="35D2E81A" w14:textId="77777777" w:rsidR="00E2088A" w:rsidRPr="00E2088A" w:rsidRDefault="00E2088A" w:rsidP="00E2088A">
      <w:pPr>
        <w:pStyle w:val="VEOHRCHeading3"/>
        <w:rPr>
          <w:lang w:eastAsia="en-US"/>
        </w:rPr>
      </w:pPr>
      <w:r w:rsidRPr="00E2088A">
        <w:rPr>
          <w:lang w:eastAsia="en-US"/>
        </w:rPr>
        <w:t>Disability Reference Group </w:t>
      </w:r>
    </w:p>
    <w:p w14:paraId="771F10DF" w14:textId="4A40EF89" w:rsidR="00E2088A" w:rsidRPr="00E2088A" w:rsidRDefault="00E2088A" w:rsidP="00E2088A">
      <w:pPr>
        <w:pStyle w:val="VEOHRCBodytext"/>
        <w:rPr>
          <w:lang w:eastAsia="en-US"/>
        </w:rPr>
      </w:pPr>
      <w:r w:rsidRPr="00E2088A">
        <w:rPr>
          <w:lang w:eastAsia="en-US"/>
        </w:rPr>
        <w:t>The Disability Reference Group was established so the Commission could hear directly from people with disabilities about systemic discrimination and human rights issues that impact upon people with disabilities. The group includes members who have direct experience of disability, parents of children with disability, service providers and advocates.</w:t>
      </w:r>
    </w:p>
    <w:p w14:paraId="7DD73CA2" w14:textId="77777777" w:rsidR="00E2088A" w:rsidRPr="00E2088A" w:rsidRDefault="00E2088A" w:rsidP="00E2088A">
      <w:pPr>
        <w:pStyle w:val="VEOHRCBodytext"/>
        <w:rPr>
          <w:lang w:eastAsia="en-US"/>
        </w:rPr>
      </w:pPr>
      <w:r w:rsidRPr="00E2088A">
        <w:rPr>
          <w:lang w:eastAsia="en-US"/>
        </w:rPr>
        <w:t>The group meets four times a year and members are appointed for a two-year period. Members for the 2016–18 group are: Brent Philips (Chair), John Baxter, Jen Blyth, Jax Jacki Brown, Melissa Hale, Paul Gianni, Piers Gooding, Frank Hall-Bentick, Lauren Henley, Suzanne Lau Gooey, Vince Pirrottina, and Natalie Tomas. </w:t>
      </w:r>
    </w:p>
    <w:p w14:paraId="453E1C58" w14:textId="63D74625" w:rsidR="00E2088A" w:rsidRPr="00E2088A" w:rsidRDefault="00E2088A" w:rsidP="00E2088A">
      <w:pPr>
        <w:pStyle w:val="VEOHRCBodytext"/>
        <w:rPr>
          <w:lang w:eastAsia="en-US"/>
        </w:rPr>
      </w:pPr>
      <w:r w:rsidRPr="00E2088A">
        <w:rPr>
          <w:lang w:eastAsia="en-US"/>
        </w:rPr>
        <w:t>Issues discussed at meetings in 2017–18 have included: accessibility of the Victorian electoral process for people with disabilities; implementation of the Optional Protocol to the Convention Against Torture and Other Cruel, Inhuman or Degrading Treatment or Punishment; accessible employment opportunities for people with disabilities; the Victorian justice system and people with disabilities; and a discussion of the work of the UN Special Rapporteur on the Rights of Persons with Disabilities. </w:t>
      </w:r>
    </w:p>
    <w:p w14:paraId="7AD241CB" w14:textId="54AAEA0F" w:rsidR="00E2088A" w:rsidRPr="00E2088A" w:rsidRDefault="00E2088A" w:rsidP="00E2088A">
      <w:pPr>
        <w:pStyle w:val="VEOHRCHeading3"/>
        <w:rPr>
          <w:lang w:eastAsia="en-US"/>
        </w:rPr>
      </w:pPr>
      <w:r w:rsidRPr="00E2088A">
        <w:rPr>
          <w:lang w:eastAsia="en-US"/>
        </w:rPr>
        <w:t>Consultation Across Government and Community</w:t>
      </w:r>
    </w:p>
    <w:p w14:paraId="6F33032D" w14:textId="77777777" w:rsidR="00E2088A" w:rsidRPr="00E2088A" w:rsidRDefault="00E2088A" w:rsidP="00E2088A">
      <w:pPr>
        <w:pStyle w:val="VEOHRCBodytext"/>
        <w:rPr>
          <w:lang w:eastAsia="en-US"/>
        </w:rPr>
      </w:pPr>
      <w:r w:rsidRPr="00E2088A">
        <w:rPr>
          <w:lang w:eastAsia="en-US"/>
        </w:rPr>
        <w:t>The Commission participates in a range of consultative committees across government and community services. </w:t>
      </w:r>
    </w:p>
    <w:p w14:paraId="130DCE0F" w14:textId="6C46572A" w:rsidR="00E2088A" w:rsidRPr="00E2088A" w:rsidRDefault="00E2088A" w:rsidP="00E2088A">
      <w:pPr>
        <w:pStyle w:val="VEOHRCBodytext"/>
        <w:rPr>
          <w:lang w:eastAsia="en-US"/>
        </w:rPr>
      </w:pPr>
      <w:r w:rsidRPr="00E2088A">
        <w:rPr>
          <w:lang w:eastAsia="en-US"/>
        </w:rPr>
        <w:t>There are a number of formal consultation mechanisms with key government departments and agencies. These forums progress action on systemic issues as well as collaborating on guidance, education and complaint handling improvements. </w:t>
      </w:r>
    </w:p>
    <w:p w14:paraId="13A6E0E8" w14:textId="77777777" w:rsidR="00E2088A" w:rsidRPr="00E2088A" w:rsidRDefault="00E2088A" w:rsidP="00E2088A">
      <w:pPr>
        <w:pStyle w:val="VEOHRCBodytext"/>
        <w:rPr>
          <w:lang w:eastAsia="en-US"/>
        </w:rPr>
      </w:pPr>
      <w:r w:rsidRPr="00E2088A">
        <w:rPr>
          <w:lang w:eastAsia="en-US"/>
        </w:rPr>
        <w:t>Some of these government and community consultative committees include: </w:t>
      </w:r>
    </w:p>
    <w:p w14:paraId="40A71722" w14:textId="59F7E66A" w:rsidR="00BD66FB" w:rsidRPr="0049422B" w:rsidRDefault="00BD66FB" w:rsidP="00BD66FB">
      <w:pPr>
        <w:pStyle w:val="VEOHRCBodytext"/>
        <w:rPr>
          <w:lang w:eastAsia="en-US"/>
        </w:rPr>
      </w:pPr>
      <w:r w:rsidRPr="0049422B">
        <w:rPr>
          <w:lang w:eastAsia="en-US"/>
        </w:rPr>
        <w:t xml:space="preserve"> </w:t>
      </w:r>
    </w:p>
    <w:p w14:paraId="652F3FDA" w14:textId="77777777" w:rsidR="00BD66FB" w:rsidRDefault="00BD66FB" w:rsidP="00BD66FB">
      <w:pPr>
        <w:pStyle w:val="VEOHRCListBullet"/>
        <w:rPr>
          <w:lang w:eastAsia="en-US"/>
        </w:rPr>
        <w:sectPr w:rsidR="00BD66FB" w:rsidSect="008165BD">
          <w:type w:val="continuous"/>
          <w:pgSz w:w="11906" w:h="16838" w:code="9"/>
          <w:pgMar w:top="1134" w:right="1418" w:bottom="1134" w:left="1418" w:header="709" w:footer="272" w:gutter="0"/>
          <w:cols w:space="708"/>
          <w:titlePg/>
          <w:docGrid w:linePitch="360"/>
        </w:sectPr>
      </w:pPr>
    </w:p>
    <w:p w14:paraId="60B1797E" w14:textId="77777777" w:rsidR="00BD66FB" w:rsidRPr="008B11DE" w:rsidRDefault="00BD66FB" w:rsidP="00BD66FB">
      <w:pPr>
        <w:pStyle w:val="VEOHRCListBullet"/>
        <w:rPr>
          <w:lang w:eastAsia="en-US"/>
        </w:rPr>
      </w:pPr>
      <w:r w:rsidRPr="008B11DE">
        <w:rPr>
          <w:lang w:eastAsia="en-US"/>
        </w:rPr>
        <w:t xml:space="preserve">Aboriginal Justice Forum </w:t>
      </w:r>
    </w:p>
    <w:p w14:paraId="4FD9357C" w14:textId="77777777" w:rsidR="009A67B4" w:rsidRDefault="009A67B4" w:rsidP="009A67B4">
      <w:pPr>
        <w:pStyle w:val="VEOHRCListBullet"/>
      </w:pPr>
      <w:r>
        <w:t>Aboriginal Justice Agreement 4 Development Steering Committee</w:t>
      </w:r>
    </w:p>
    <w:p w14:paraId="402B9F0E" w14:textId="6481A36A" w:rsidR="00CE4C6D" w:rsidRPr="008B11DE" w:rsidRDefault="00CE4C6D" w:rsidP="00BD66FB">
      <w:pPr>
        <w:pStyle w:val="VEOHRCListBullet"/>
        <w:rPr>
          <w:lang w:eastAsia="en-US"/>
        </w:rPr>
      </w:pPr>
      <w:r w:rsidRPr="008B11DE">
        <w:rPr>
          <w:lang w:eastAsia="en-US"/>
        </w:rPr>
        <w:t>African community forum in March 2018</w:t>
      </w:r>
    </w:p>
    <w:p w14:paraId="7ECB4B04" w14:textId="1E11BD64" w:rsidR="00BD66FB" w:rsidRPr="008B11DE" w:rsidRDefault="00BD66FB" w:rsidP="00BD66FB">
      <w:pPr>
        <w:pStyle w:val="VEOHRCListBullet"/>
        <w:rPr>
          <w:lang w:eastAsia="en-US"/>
        </w:rPr>
      </w:pPr>
      <w:r w:rsidRPr="008B11DE">
        <w:rPr>
          <w:lang w:eastAsia="en-US"/>
        </w:rPr>
        <w:t xml:space="preserve">Australian Council of Human Rights </w:t>
      </w:r>
      <w:r w:rsidR="009A67B4">
        <w:rPr>
          <w:lang w:eastAsia="en-US"/>
        </w:rPr>
        <w:t>Authorities</w:t>
      </w:r>
    </w:p>
    <w:p w14:paraId="5809E205" w14:textId="77777777" w:rsidR="00BD66FB" w:rsidRPr="008B11DE" w:rsidRDefault="00BD66FB" w:rsidP="00BD66FB">
      <w:pPr>
        <w:pStyle w:val="VEOHRCListBullet"/>
      </w:pPr>
      <w:r w:rsidRPr="008B11DE">
        <w:t xml:space="preserve">Australian Human Rights Commission, Violence against people with disabilities project consultation </w:t>
      </w:r>
    </w:p>
    <w:p w14:paraId="0E30C68A" w14:textId="77777777" w:rsidR="00BD66FB" w:rsidRDefault="00BD66FB" w:rsidP="00BD66FB">
      <w:pPr>
        <w:pStyle w:val="VEOHRCListBullet"/>
      </w:pPr>
      <w:r w:rsidRPr="008B11DE">
        <w:t xml:space="preserve">Australian Human Rights Commission, Special measures guidelines under the Sex Discrimination Act consultation </w:t>
      </w:r>
    </w:p>
    <w:p w14:paraId="79137902" w14:textId="77777777" w:rsidR="009A67B4" w:rsidRDefault="009A67B4" w:rsidP="009A67B4">
      <w:pPr>
        <w:pStyle w:val="VEOHRCListBullet"/>
      </w:pPr>
      <w:r>
        <w:t>Australia Optional Protocol on the Convention Against Torture (OPCAT) Network</w:t>
      </w:r>
    </w:p>
    <w:p w14:paraId="003D651E" w14:textId="77777777" w:rsidR="00BD66FB" w:rsidRPr="008B11DE" w:rsidRDefault="00BD66FB" w:rsidP="00BD66FB">
      <w:pPr>
        <w:pStyle w:val="VEOHRCListBullet"/>
        <w:rPr>
          <w:lang w:eastAsia="en-US"/>
        </w:rPr>
      </w:pPr>
      <w:r w:rsidRPr="008B11DE">
        <w:t xml:space="preserve">Charter Leaders Group, co-convened by the Commissioner. Executive VPS leaders who will </w:t>
      </w:r>
      <w:r w:rsidRPr="008B11DE">
        <w:t xml:space="preserve">meet on an ongoing basis to oversee the implementation of human rights culture change within their departments. </w:t>
      </w:r>
    </w:p>
    <w:p w14:paraId="4E5CE03A" w14:textId="77777777" w:rsidR="00BD66FB" w:rsidRPr="008B11DE" w:rsidRDefault="00BD66FB" w:rsidP="00BD66FB">
      <w:pPr>
        <w:pStyle w:val="VEOHRCListBullet"/>
        <w:rPr>
          <w:lang w:eastAsia="en-US"/>
        </w:rPr>
      </w:pPr>
      <w:r w:rsidRPr="008B11DE">
        <w:rPr>
          <w:lang w:eastAsia="en-US"/>
        </w:rPr>
        <w:t xml:space="preserve">Department of Education and Training and Victorian Equal Opportunity and Human Rights Commission Consultative Committee </w:t>
      </w:r>
    </w:p>
    <w:p w14:paraId="5C12F0FB" w14:textId="77777777" w:rsidR="00BD66FB" w:rsidRDefault="00BD66FB" w:rsidP="00BD66FB">
      <w:pPr>
        <w:pStyle w:val="VEOHRCListBullet"/>
        <w:rPr>
          <w:lang w:eastAsia="en-US"/>
        </w:rPr>
      </w:pPr>
      <w:r w:rsidRPr="007C51FF">
        <w:rPr>
          <w:lang w:eastAsia="en-US"/>
        </w:rPr>
        <w:t xml:space="preserve">Department of Education Inclusive Education Expert Panel </w:t>
      </w:r>
    </w:p>
    <w:p w14:paraId="674D4F75" w14:textId="77777777" w:rsidR="009A67B4" w:rsidRDefault="009A67B4" w:rsidP="009A67B4">
      <w:pPr>
        <w:pStyle w:val="VEOHRCListBullet"/>
      </w:pPr>
      <w:r>
        <w:t>Department of Education and Training and VEOHRC Consultative Committee</w:t>
      </w:r>
    </w:p>
    <w:p w14:paraId="417A1011" w14:textId="16AD8F52" w:rsidR="00213295" w:rsidRDefault="00213295" w:rsidP="009A67B4">
      <w:pPr>
        <w:pStyle w:val="VEOHRCListBullet"/>
      </w:pPr>
      <w:r>
        <w:t>Department of Justice and Regulation and VEOHRC Disability Reference Group – Guardianship law reform consultation</w:t>
      </w:r>
    </w:p>
    <w:p w14:paraId="5DB3A23A" w14:textId="77777777" w:rsidR="00BD66FB" w:rsidRPr="007C51FF" w:rsidRDefault="00BD66FB" w:rsidP="00BD66FB">
      <w:pPr>
        <w:pStyle w:val="VEOHRCListBullet"/>
        <w:rPr>
          <w:lang w:eastAsia="en-US"/>
        </w:rPr>
      </w:pPr>
      <w:r w:rsidRPr="007C51FF">
        <w:rPr>
          <w:lang w:eastAsia="en-US"/>
        </w:rPr>
        <w:t xml:space="preserve">Disability Law Committee of the Law Institute of Victoria </w:t>
      </w:r>
    </w:p>
    <w:p w14:paraId="3411A595" w14:textId="77777777" w:rsidR="00BD66FB" w:rsidRPr="008B11DE" w:rsidRDefault="00BD66FB" w:rsidP="00BD66FB">
      <w:pPr>
        <w:pStyle w:val="VEOHRCListBullet"/>
        <w:rPr>
          <w:lang w:eastAsia="en-US"/>
        </w:rPr>
      </w:pPr>
      <w:r w:rsidRPr="008B11DE">
        <w:rPr>
          <w:lang w:eastAsia="en-US"/>
        </w:rPr>
        <w:t xml:space="preserve">Equal Workplaces Advisory Council </w:t>
      </w:r>
    </w:p>
    <w:p w14:paraId="240A21BE" w14:textId="77777777" w:rsidR="00BD66FB" w:rsidRPr="007C51FF" w:rsidRDefault="00BD66FB" w:rsidP="00BD66FB">
      <w:pPr>
        <w:pStyle w:val="VEOHRCListBullet"/>
        <w:rPr>
          <w:lang w:eastAsia="en-US"/>
        </w:rPr>
      </w:pPr>
      <w:r w:rsidRPr="007C51FF">
        <w:rPr>
          <w:lang w:eastAsia="en-US"/>
        </w:rPr>
        <w:lastRenderedPageBreak/>
        <w:t xml:space="preserve">Federation of Community Legal Centres, Human Rights Working Group </w:t>
      </w:r>
    </w:p>
    <w:p w14:paraId="33BD3CFB" w14:textId="77777777" w:rsidR="00BD66FB" w:rsidRDefault="00BD66FB" w:rsidP="00BD66FB">
      <w:pPr>
        <w:pStyle w:val="VEOHRCListBullet"/>
        <w:rPr>
          <w:lang w:eastAsia="en-US"/>
        </w:rPr>
      </w:pPr>
      <w:r w:rsidRPr="007C51FF">
        <w:rPr>
          <w:lang w:eastAsia="en-US"/>
        </w:rPr>
        <w:t>Independent Agencies of Older Australians</w:t>
      </w:r>
    </w:p>
    <w:p w14:paraId="352D45B1" w14:textId="0B26A65C" w:rsidR="009A67B4" w:rsidRDefault="009A67B4" w:rsidP="009A67B4">
      <w:pPr>
        <w:pStyle w:val="VEOHRCListBullet"/>
      </w:pPr>
      <w:r>
        <w:t xml:space="preserve">Law Institute of Victoria, Disability Law Sub-Committee </w:t>
      </w:r>
    </w:p>
    <w:p w14:paraId="0D9AEA99" w14:textId="64C8C26E" w:rsidR="009A67B4" w:rsidRDefault="009A67B4" w:rsidP="009A67B4">
      <w:pPr>
        <w:pStyle w:val="VEOHRCListBullet"/>
      </w:pPr>
      <w:r>
        <w:t xml:space="preserve">Law Institute of Victoria, Human Rights Sub-Committee </w:t>
      </w:r>
    </w:p>
    <w:p w14:paraId="7DD9438B" w14:textId="2BE5765C" w:rsidR="00BD66FB" w:rsidRPr="007C51FF" w:rsidRDefault="00BD66FB" w:rsidP="00BD66FB">
      <w:pPr>
        <w:pStyle w:val="VEOHRCListBullet"/>
        <w:rPr>
          <w:lang w:eastAsia="en-US"/>
        </w:rPr>
      </w:pPr>
      <w:r w:rsidRPr="007C51FF">
        <w:rPr>
          <w:lang w:eastAsia="en-US"/>
        </w:rPr>
        <w:t xml:space="preserve">Male Champions of Change </w:t>
      </w:r>
      <w:r w:rsidR="00961ABC">
        <w:t>–</w:t>
      </w:r>
      <w:r w:rsidRPr="007C51FF">
        <w:rPr>
          <w:lang w:eastAsia="en-US"/>
        </w:rPr>
        <w:t xml:space="preserve"> Fire and Emergency Group </w:t>
      </w:r>
    </w:p>
    <w:p w14:paraId="13012DF3" w14:textId="77777777" w:rsidR="00BD66FB" w:rsidRPr="007C51FF" w:rsidRDefault="00BD66FB" w:rsidP="00BD66FB">
      <w:pPr>
        <w:pStyle w:val="VEOHRCListBullet"/>
        <w:rPr>
          <w:lang w:eastAsia="en-US"/>
        </w:rPr>
      </w:pPr>
      <w:r w:rsidRPr="007C51FF">
        <w:rPr>
          <w:lang w:eastAsia="en-US"/>
        </w:rPr>
        <w:t xml:space="preserve">Migrant Workers Campaign Steering Group </w:t>
      </w:r>
    </w:p>
    <w:p w14:paraId="2F4C7FE5" w14:textId="77777777" w:rsidR="00BD66FB" w:rsidRPr="007C51FF" w:rsidRDefault="00BD66FB" w:rsidP="00BD66FB">
      <w:pPr>
        <w:pStyle w:val="VEOHRCListBullet"/>
        <w:rPr>
          <w:lang w:eastAsia="en-US"/>
        </w:rPr>
      </w:pPr>
      <w:r w:rsidRPr="007C51FF">
        <w:rPr>
          <w:lang w:eastAsia="en-US"/>
        </w:rPr>
        <w:t xml:space="preserve">Ministerial Council for Women’s Equality </w:t>
      </w:r>
    </w:p>
    <w:p w14:paraId="24D34C02" w14:textId="77777777" w:rsidR="00BD66FB" w:rsidRPr="007C51FF" w:rsidRDefault="00BD66FB" w:rsidP="00BD66FB">
      <w:pPr>
        <w:pStyle w:val="VEOHRCListBullet"/>
        <w:rPr>
          <w:lang w:eastAsia="en-US"/>
        </w:rPr>
      </w:pPr>
      <w:r w:rsidRPr="007C51FF">
        <w:rPr>
          <w:lang w:val="en-AU" w:eastAsia="en-US"/>
        </w:rPr>
        <w:t xml:space="preserve">Ministerial Taskforce on the Prevention of Family Violence and Violence against Women </w:t>
      </w:r>
    </w:p>
    <w:p w14:paraId="5917BE12" w14:textId="77777777" w:rsidR="00BD66FB" w:rsidRPr="007C51FF" w:rsidRDefault="00BD66FB" w:rsidP="00BD66FB">
      <w:pPr>
        <w:pStyle w:val="VEOHRCListBullet"/>
        <w:rPr>
          <w:lang w:eastAsia="en-US"/>
        </w:rPr>
      </w:pPr>
      <w:r w:rsidRPr="007C51FF">
        <w:rPr>
          <w:lang w:eastAsia="en-US"/>
        </w:rPr>
        <w:t xml:space="preserve">Play by the Rules – a partnership with the Australian Sports Commission and other human rights commissions providing free online resources, training programs and campaigns promoting fair, safe and inclusive sport </w:t>
      </w:r>
    </w:p>
    <w:p w14:paraId="7EE38E1B" w14:textId="77777777" w:rsidR="00BD66FB" w:rsidRPr="007C51FF" w:rsidRDefault="00BD66FB" w:rsidP="00BD66FB">
      <w:pPr>
        <w:pStyle w:val="VEOHRCListBullet"/>
        <w:rPr>
          <w:lang w:eastAsia="en-US"/>
        </w:rPr>
      </w:pPr>
      <w:r w:rsidRPr="007C51FF">
        <w:rPr>
          <w:lang w:eastAsia="en-US"/>
        </w:rPr>
        <w:t>Public Transport Victoria and Victorian Equal Opportunity and Human Rights Commission Consultative Committee</w:t>
      </w:r>
    </w:p>
    <w:p w14:paraId="511D2C9E" w14:textId="77777777" w:rsidR="00BD66FB" w:rsidRPr="007C51FF" w:rsidRDefault="00BD66FB" w:rsidP="00BD66FB">
      <w:pPr>
        <w:pStyle w:val="VEOHRCListBullet"/>
        <w:rPr>
          <w:lang w:eastAsia="en-US"/>
        </w:rPr>
      </w:pPr>
      <w:r w:rsidRPr="007C51FF">
        <w:rPr>
          <w:lang w:eastAsia="en-US"/>
        </w:rPr>
        <w:t xml:space="preserve">Victorian Government’s Gender Equality Legislation consultation  </w:t>
      </w:r>
    </w:p>
    <w:p w14:paraId="6745893B" w14:textId="518E3564" w:rsidR="00BD66FB" w:rsidRPr="007C51FF" w:rsidRDefault="00BD66FB" w:rsidP="00BD66FB">
      <w:pPr>
        <w:pStyle w:val="VEOHRCListBullet"/>
        <w:rPr>
          <w:lang w:eastAsia="en-US"/>
        </w:rPr>
      </w:pPr>
      <w:r w:rsidRPr="007C51FF">
        <w:rPr>
          <w:lang w:eastAsia="en-US"/>
        </w:rPr>
        <w:t xml:space="preserve">Victorian Government Anti-Racism Action Plan </w:t>
      </w:r>
      <w:r w:rsidR="00961ABC">
        <w:t>–</w:t>
      </w:r>
      <w:r w:rsidRPr="007C51FF">
        <w:rPr>
          <w:lang w:eastAsia="en-US"/>
        </w:rPr>
        <w:t xml:space="preserve"> Expert Advisory Group </w:t>
      </w:r>
    </w:p>
    <w:p w14:paraId="71AE827C" w14:textId="77777777" w:rsidR="00BD66FB" w:rsidRPr="007C51FF" w:rsidRDefault="00BD66FB" w:rsidP="00BD66FB">
      <w:pPr>
        <w:pStyle w:val="VEOHRCListBullet"/>
        <w:rPr>
          <w:lang w:eastAsia="en-US"/>
        </w:rPr>
      </w:pPr>
      <w:r w:rsidRPr="007C51FF">
        <w:rPr>
          <w:lang w:eastAsia="en-US"/>
        </w:rPr>
        <w:t xml:space="preserve">Victoria Police Human Rights Strategic Advisory Committee </w:t>
      </w:r>
    </w:p>
    <w:p w14:paraId="371F5327" w14:textId="7D877D71" w:rsidR="00BD66FB" w:rsidRPr="007C51FF" w:rsidRDefault="00BD66FB" w:rsidP="00BD66FB">
      <w:pPr>
        <w:pStyle w:val="VEOHRCListBullet"/>
        <w:rPr>
          <w:lang w:eastAsia="en-US"/>
        </w:rPr>
      </w:pPr>
      <w:r w:rsidRPr="007C51FF">
        <w:rPr>
          <w:lang w:eastAsia="en-US"/>
        </w:rPr>
        <w:t>Victoria Police Portfolio Reference Groups (LGBTI, Disability)</w:t>
      </w:r>
    </w:p>
    <w:p w14:paraId="252AA5A1" w14:textId="77777777" w:rsidR="00BD66FB" w:rsidRDefault="00BD66FB" w:rsidP="00BD66FB">
      <w:pPr>
        <w:pStyle w:val="VEOHRCListBullet"/>
        <w:rPr>
          <w:highlight w:val="yellow"/>
          <w:lang w:eastAsia="en-US"/>
        </w:rPr>
        <w:sectPr w:rsidR="00BD66FB" w:rsidSect="00B8425E">
          <w:type w:val="continuous"/>
          <w:pgSz w:w="11906" w:h="16838" w:code="9"/>
          <w:pgMar w:top="1134" w:right="1418" w:bottom="1134" w:left="1418" w:header="709" w:footer="272" w:gutter="0"/>
          <w:cols w:num="2" w:space="708"/>
          <w:titlePg/>
          <w:docGrid w:linePitch="360"/>
        </w:sectPr>
      </w:pPr>
    </w:p>
    <w:p w14:paraId="78E72314" w14:textId="77777777" w:rsidR="007C51FF" w:rsidRPr="00B80144" w:rsidRDefault="007C51FF" w:rsidP="00B80144">
      <w:pPr>
        <w:pStyle w:val="VEOHRCBodytext"/>
      </w:pPr>
    </w:p>
    <w:p w14:paraId="5E5AE90E" w14:textId="74FD4688" w:rsidR="007C51FF" w:rsidRDefault="00213295" w:rsidP="007C51FF">
      <w:pPr>
        <w:pStyle w:val="VEOHRCBodytext"/>
      </w:pPr>
      <w:r w:rsidRPr="00213295">
        <w:rPr>
          <w:lang w:val="en-AU"/>
        </w:rPr>
        <w:t>On 13 February 2018, the Victorian Government Department of Justice and Regulation met with representatives of the Commission's Disability Reference Group regarding the government's proposals for guardianship law reform</w:t>
      </w:r>
    </w:p>
    <w:p w14:paraId="37F16C7F" w14:textId="77777777" w:rsidR="00E2088A" w:rsidRPr="00E2088A" w:rsidRDefault="00E2088A" w:rsidP="00E2088A">
      <w:pPr>
        <w:pStyle w:val="VEOHRCHeading1"/>
        <w:rPr>
          <w:lang w:eastAsia="en-US"/>
        </w:rPr>
      </w:pPr>
      <w:r w:rsidRPr="00E2088A">
        <w:rPr>
          <w:lang w:eastAsia="en-US"/>
        </w:rPr>
        <w:t>Monitor</w:t>
      </w:r>
    </w:p>
    <w:p w14:paraId="43DC1D60" w14:textId="7C0F827B" w:rsidR="00E2088A" w:rsidRPr="00C715B8" w:rsidRDefault="00E2088A" w:rsidP="00C715B8">
      <w:pPr>
        <w:pStyle w:val="VEOHRCBodytext"/>
        <w:rPr>
          <w:b/>
          <w:lang w:eastAsia="en-US"/>
        </w:rPr>
      </w:pPr>
      <w:r w:rsidRPr="00C715B8">
        <w:rPr>
          <w:b/>
          <w:lang w:eastAsia="en-US"/>
        </w:rPr>
        <w:t>We monitor the operation of the Charter of Human Rights and Responsibilities and track Victoria’s progress in protecting fundamental rights.</w:t>
      </w:r>
    </w:p>
    <w:p w14:paraId="6E5FD286" w14:textId="77777777" w:rsidR="00E2088A" w:rsidRPr="00E2088A" w:rsidRDefault="00E2088A" w:rsidP="00E2088A">
      <w:pPr>
        <w:pStyle w:val="VEOHRCHeading2"/>
        <w:rPr>
          <w:lang w:eastAsia="en-US"/>
        </w:rPr>
      </w:pPr>
      <w:r w:rsidRPr="00E2088A">
        <w:rPr>
          <w:lang w:eastAsia="en-US"/>
        </w:rPr>
        <w:t>Charter Report </w:t>
      </w:r>
    </w:p>
    <w:p w14:paraId="6D1C5909" w14:textId="7A0DA776" w:rsidR="00E2088A" w:rsidRPr="00E2088A" w:rsidRDefault="00E2088A" w:rsidP="00E2088A">
      <w:pPr>
        <w:pStyle w:val="VEOHRCBodytext"/>
        <w:rPr>
          <w:lang w:eastAsia="en-US"/>
        </w:rPr>
      </w:pPr>
      <w:r w:rsidRPr="00E2088A">
        <w:rPr>
          <w:lang w:eastAsia="en-US"/>
        </w:rPr>
        <w:t>Each year the Commission reports to the Attorney General on the operation of the Charter. The Commission’s report is an opportunity to consider the ways the Charter has an impact on the lives of Victorians. </w:t>
      </w:r>
    </w:p>
    <w:p w14:paraId="73909FEF" w14:textId="0160E243" w:rsidR="00E2088A" w:rsidRPr="00E2088A" w:rsidRDefault="00E2088A" w:rsidP="00A12985">
      <w:pPr>
        <w:pStyle w:val="VEOHRCBodytext"/>
        <w:rPr>
          <w:lang w:eastAsia="en-US"/>
        </w:rPr>
      </w:pPr>
      <w:r w:rsidRPr="00E2088A">
        <w:rPr>
          <w:lang w:eastAsia="en-US"/>
        </w:rPr>
        <w:t xml:space="preserve">The </w:t>
      </w:r>
      <w:r w:rsidRPr="00E2088A">
        <w:rPr>
          <w:i/>
          <w:lang w:eastAsia="en-US"/>
        </w:rPr>
        <w:t>2016 Report on the operation of the Charter of Human Rights and Responsibilities</w:t>
      </w:r>
      <w:r w:rsidRPr="00E2088A">
        <w:rPr>
          <w:lang w:eastAsia="en-US"/>
        </w:rPr>
        <w:t xml:space="preserve"> was tabled in Parliament on 2 November 2017, and its focus was on how the Victorian Government is progressing with growing a human rights culture. </w:t>
      </w:r>
    </w:p>
    <w:p w14:paraId="0E5482CC" w14:textId="7CD4CC20" w:rsidR="00E2088A" w:rsidRPr="00E2088A" w:rsidRDefault="00E2088A" w:rsidP="00E2088A">
      <w:pPr>
        <w:pStyle w:val="VEOHRCBodytext"/>
        <w:rPr>
          <w:lang w:eastAsia="en-US"/>
        </w:rPr>
      </w:pPr>
      <w:r w:rsidRPr="00E2088A">
        <w:rPr>
          <w:lang w:eastAsia="en-US"/>
        </w:rPr>
        <w:t>We surveyed public authorities, including local councils to track if and how they consider human rights in their everyday decisions and service delivery. We surveyed three cultural influences: senior leadership and organisational vision, operational capacity and external input and oversight. The report draws from the 2015 independent review of the Charter, and aligns with the Commission’s work in educating and engaging public sector entities on embedding a human rights culture. </w:t>
      </w:r>
    </w:p>
    <w:p w14:paraId="5B2A8009" w14:textId="0AA7D2C7" w:rsidR="00E2088A" w:rsidRPr="00E2088A" w:rsidRDefault="00E2088A" w:rsidP="00E2088A">
      <w:pPr>
        <w:pStyle w:val="VEOHRCBodytext"/>
        <w:rPr>
          <w:lang w:eastAsia="en-US"/>
        </w:rPr>
      </w:pPr>
      <w:r w:rsidRPr="00E2088A">
        <w:rPr>
          <w:lang w:eastAsia="en-US"/>
        </w:rPr>
        <w:t>Our report indicates that, overall, public authorities are taking some steps to strengthen their human rights culture, but they could be doing more. For example, only half (54 per cent) of surveyed entities advised that they took steps to improve their approach to human rights after the 2015 Charter Review made recommendations on the need to do so. </w:t>
      </w:r>
    </w:p>
    <w:p w14:paraId="087EAE64" w14:textId="62F4397A" w:rsidR="00E2088A" w:rsidRPr="00E2088A" w:rsidRDefault="00E2088A" w:rsidP="00A12985">
      <w:pPr>
        <w:pStyle w:val="VEOHRCBodytext"/>
        <w:rPr>
          <w:lang w:eastAsia="en-US"/>
        </w:rPr>
      </w:pPr>
      <w:r w:rsidRPr="00E2088A">
        <w:rPr>
          <w:lang w:eastAsia="en-US"/>
        </w:rPr>
        <w:lastRenderedPageBreak/>
        <w:t xml:space="preserve">We have used the report as a tool to encourage government to do more to strengthen its human rights culture. The report is available for download from our website at </w:t>
      </w:r>
      <w:hyperlink r:id="rId20" w:history="1">
        <w:r w:rsidRPr="00A12985">
          <w:rPr>
            <w:rStyle w:val="Hyperlink"/>
            <w:rFonts w:cs="ArialMT"/>
            <w:szCs w:val="19"/>
            <w:lang w:val="en-AU"/>
          </w:rPr>
          <w:t>humanrightscommission.vic.gov.au/resources</w:t>
        </w:r>
      </w:hyperlink>
      <w:r w:rsidRPr="00E2088A">
        <w:rPr>
          <w:lang w:eastAsia="en-US"/>
        </w:rPr>
        <w:t>.</w:t>
      </w:r>
    </w:p>
    <w:p w14:paraId="7EF4F2FD" w14:textId="73A76262" w:rsidR="00E2088A" w:rsidRPr="00E2088A" w:rsidRDefault="00E2088A" w:rsidP="00E2088A">
      <w:pPr>
        <w:pStyle w:val="VEOHRCBodytext"/>
        <w:rPr>
          <w:lang w:eastAsia="en-US"/>
        </w:rPr>
      </w:pPr>
      <w:r w:rsidRPr="00E2088A">
        <w:rPr>
          <w:lang w:eastAsia="en-US"/>
        </w:rPr>
        <w:t>In 2017–18 we engaged PwC Australia to assist with creating and implementing a set of metrics to better monitor improvements in human rights culture across the Victorian Government. We anticipate implementing any recommendations from this report in 2018–19 (within the 2018 Charter of Human Rights report).</w:t>
      </w:r>
    </w:p>
    <w:p w14:paraId="161ACAC0" w14:textId="77777777" w:rsidR="00E2088A" w:rsidRPr="00E2088A" w:rsidRDefault="00E2088A" w:rsidP="00E2088A">
      <w:pPr>
        <w:pStyle w:val="VEOHRCHeading1"/>
        <w:rPr>
          <w:lang w:eastAsia="en-US"/>
        </w:rPr>
      </w:pPr>
      <w:r w:rsidRPr="00E2088A">
        <w:rPr>
          <w:lang w:eastAsia="en-US"/>
        </w:rPr>
        <w:t>Enforce</w:t>
      </w:r>
    </w:p>
    <w:p w14:paraId="1CE0DE86" w14:textId="77777777" w:rsidR="00E2088A" w:rsidRPr="00C715B8" w:rsidRDefault="00E2088A" w:rsidP="00C715B8">
      <w:pPr>
        <w:pStyle w:val="VEOHRCBodytext"/>
        <w:rPr>
          <w:b/>
          <w:lang w:eastAsia="en-US"/>
        </w:rPr>
      </w:pPr>
      <w:r w:rsidRPr="00C715B8">
        <w:rPr>
          <w:b/>
          <w:lang w:eastAsia="en-US"/>
        </w:rPr>
        <w:t>We intervene in court proceedings to bring an expert independent perspective to cases raising equal opportunity and human rights issues. We conduct investigations to identify and eliminate systemic discrimination.</w:t>
      </w:r>
    </w:p>
    <w:p w14:paraId="79C58C0C" w14:textId="77777777" w:rsidR="00E2088A" w:rsidRPr="00E2088A" w:rsidRDefault="00E2088A" w:rsidP="00E2088A">
      <w:pPr>
        <w:pStyle w:val="VEOHRCHeading2"/>
        <w:rPr>
          <w:lang w:eastAsia="en-US"/>
        </w:rPr>
      </w:pPr>
      <w:r w:rsidRPr="00E2088A">
        <w:rPr>
          <w:lang w:eastAsia="en-US"/>
        </w:rPr>
        <w:t>Interventions</w:t>
      </w:r>
    </w:p>
    <w:p w14:paraId="2A9AB29B" w14:textId="450AE61E" w:rsidR="00E2088A" w:rsidRPr="00E2088A" w:rsidRDefault="00E2088A" w:rsidP="00E2088A">
      <w:pPr>
        <w:pStyle w:val="VEOHRCBodytext"/>
        <w:rPr>
          <w:lang w:eastAsia="en-US"/>
        </w:rPr>
      </w:pPr>
      <w:r w:rsidRPr="00E2088A">
        <w:rPr>
          <w:lang w:eastAsia="en-US"/>
        </w:rPr>
        <w:t>The Charter and the Equal Opportunity Act enable the Commission to intervene in legal proceedings initiated by other parties. The purpose of the Commission’s power to intervene is for it to be an independent advocate for the interpretation and application of the Charter and the Equal Opportunity Act. In its interventions, the Commission aims to promote the protection of human rights and eliminate discrimination, sexual harassment and victimisation to the greatest possible extent.</w:t>
      </w:r>
    </w:p>
    <w:p w14:paraId="0BC29CBC" w14:textId="77777777" w:rsidR="00E2088A" w:rsidRPr="00E2088A" w:rsidRDefault="00E2088A" w:rsidP="00E2088A">
      <w:pPr>
        <w:pStyle w:val="VEOHRCHeading3"/>
        <w:rPr>
          <w:lang w:eastAsia="en-US"/>
        </w:rPr>
      </w:pPr>
      <w:r w:rsidRPr="00E2088A">
        <w:rPr>
          <w:lang w:eastAsia="en-US"/>
        </w:rPr>
        <w:t>Interventions under the Equal Opportunity Act </w:t>
      </w:r>
    </w:p>
    <w:p w14:paraId="44038328" w14:textId="77777777" w:rsidR="00E2088A" w:rsidRPr="00E2088A" w:rsidRDefault="00E2088A" w:rsidP="00E2088A">
      <w:pPr>
        <w:pStyle w:val="VEOHRCHeading4"/>
        <w:rPr>
          <w:lang w:eastAsia="en-US"/>
        </w:rPr>
      </w:pPr>
      <w:r w:rsidRPr="00E2088A">
        <w:rPr>
          <w:lang w:eastAsia="en-US"/>
        </w:rPr>
        <w:t>Arora v Melton Christian College</w:t>
      </w:r>
    </w:p>
    <w:p w14:paraId="55CB6B79" w14:textId="77777777" w:rsidR="00E2088A" w:rsidRPr="00E2088A" w:rsidRDefault="00E2088A" w:rsidP="00E2088A">
      <w:pPr>
        <w:pStyle w:val="VEOHRCBodytext"/>
        <w:rPr>
          <w:lang w:eastAsia="en-US"/>
        </w:rPr>
      </w:pPr>
      <w:r w:rsidRPr="00E2088A">
        <w:rPr>
          <w:lang w:eastAsia="en-US"/>
        </w:rPr>
        <w:t>In February 2016 the parents of five-year-old Sidak Singh applied to enrol him in Melton Christian College (MCC) as a prep student for 2017. Sidak’s application was rejected because as a practising Sikh he wore a patka and had long hair. MCC’s uniform policy stated that boys must have short hair and may not wear any head coverings related to a non-Christian faith.</w:t>
      </w:r>
    </w:p>
    <w:p w14:paraId="77E6E7E8" w14:textId="4E2AF5B9" w:rsidR="00E2088A" w:rsidRPr="00E2088A" w:rsidRDefault="00E2088A" w:rsidP="00E2088A">
      <w:pPr>
        <w:pStyle w:val="VEOHRCBodytext"/>
        <w:rPr>
          <w:lang w:eastAsia="en-US"/>
        </w:rPr>
      </w:pPr>
      <w:r w:rsidRPr="00E2088A">
        <w:rPr>
          <w:lang w:eastAsia="en-US"/>
        </w:rPr>
        <w:t>Sidak and his family made a discrimination complaint under the Equal Opportunity Act to VCAT. MCC relied upon two exceptions in the Act to exclude Sidak from the school. These exceptions were under section 39, which allows an educational authority that operates a school for students of a particular religious belief to exclude students who are not of that religious belief; and section 42, which allows an educational authority to set and enforce reasonable standards of dress, appearance and behaviour for students. </w:t>
      </w:r>
    </w:p>
    <w:p w14:paraId="705B9F26" w14:textId="77777777" w:rsidR="00E2088A" w:rsidRPr="00E2088A" w:rsidRDefault="00E2088A" w:rsidP="00E2088A">
      <w:pPr>
        <w:pStyle w:val="VEOHRCBodytext"/>
        <w:rPr>
          <w:lang w:eastAsia="en-US"/>
        </w:rPr>
      </w:pPr>
      <w:r w:rsidRPr="00E2088A">
        <w:rPr>
          <w:lang w:eastAsia="en-US"/>
        </w:rPr>
        <w:t>The Commission intervened in this matter because the exceptions relied upon by MCC had not been tested in Court before. Our submissions focused on providing a framework for VCAT to interpret sections 39 and 42 of the Act, including the role the Charter plays in interpreting these provisions.</w:t>
      </w:r>
    </w:p>
    <w:p w14:paraId="05F555FE" w14:textId="61219877" w:rsidR="00E2088A" w:rsidRPr="00E2088A" w:rsidRDefault="00E2088A" w:rsidP="00E2088A">
      <w:pPr>
        <w:pStyle w:val="VEOHRCBodytext"/>
        <w:rPr>
          <w:lang w:eastAsia="en-US"/>
        </w:rPr>
      </w:pPr>
      <w:r w:rsidRPr="00E2088A">
        <w:rPr>
          <w:lang w:eastAsia="en-US"/>
        </w:rPr>
        <w:t>The Commission submitted that the general prohibition on discrimination in education in the Act should be read in a broad and beneficial manner, and the exceptions should be interpreted narrowly and in accordance with the human rights under the Charter. Therefore in this instance, we argued that the MCC could not rely on the Equal Opportunity Act exceptions to exclude Sidak from the school. </w:t>
      </w:r>
    </w:p>
    <w:p w14:paraId="2FF09504" w14:textId="60E2FA66" w:rsidR="00E2088A" w:rsidRPr="00E2088A" w:rsidRDefault="00E2088A" w:rsidP="00E2088A">
      <w:pPr>
        <w:pStyle w:val="VEOHRCBodytext"/>
        <w:rPr>
          <w:lang w:eastAsia="en-US"/>
        </w:rPr>
      </w:pPr>
      <w:r w:rsidRPr="00E2088A">
        <w:rPr>
          <w:lang w:eastAsia="en-US"/>
        </w:rPr>
        <w:t>VCAT found in favour of Sidak. VCAT found that MCC unlawfully discriminated against Sidak because of its requirement that he comply with the uniform policy and that neither exception to unlawful discrimination argued by the school was applicable in the circumstances. </w:t>
      </w:r>
    </w:p>
    <w:p w14:paraId="3B918695" w14:textId="77777777" w:rsidR="00E2088A" w:rsidRPr="00E2088A" w:rsidRDefault="00E2088A" w:rsidP="00E2088A">
      <w:pPr>
        <w:pStyle w:val="VEOHRCHeading4"/>
        <w:rPr>
          <w:lang w:eastAsia="en-US"/>
        </w:rPr>
      </w:pPr>
      <w:r w:rsidRPr="00E2088A">
        <w:rPr>
          <w:lang w:eastAsia="en-US"/>
        </w:rPr>
        <w:lastRenderedPageBreak/>
        <w:t>Owners Corporation OC1-POS539033E v Black</w:t>
      </w:r>
    </w:p>
    <w:p w14:paraId="58E4CA95" w14:textId="77777777" w:rsidR="00E2088A" w:rsidRPr="00E2088A" w:rsidRDefault="00E2088A" w:rsidP="00E2088A">
      <w:pPr>
        <w:pStyle w:val="VEOHRCBodytext"/>
        <w:rPr>
          <w:lang w:eastAsia="en-US"/>
        </w:rPr>
      </w:pPr>
      <w:r w:rsidRPr="00E2088A">
        <w:rPr>
          <w:lang w:eastAsia="en-US"/>
        </w:rPr>
        <w:t>In 2013, Ms Anne Black purchased an apartment to live in. She later developed disabilities that affected her mobility, and she found the heavy apartment doors and entrances at the apartment made it difficult to enter and exit her home. Ms Black took a complaint of discrimination to VCAT, alleging that the owners corporation at the apartment complex was obliged to provide reasonable adjustments to enable her to access the apartment. In February 2018, VCAT agreed, and set a hearing to determine whether the adjustments sought by Ms Black were reasonable. The Owners Corporation appealed VCAT’s decision to the Supreme Court.</w:t>
      </w:r>
    </w:p>
    <w:p w14:paraId="5C3CA8C5" w14:textId="77777777" w:rsidR="00E2088A" w:rsidRPr="00E2088A" w:rsidRDefault="00E2088A" w:rsidP="00E2088A">
      <w:pPr>
        <w:pStyle w:val="VEOHRCBodytext"/>
        <w:rPr>
          <w:lang w:eastAsia="en-US"/>
        </w:rPr>
      </w:pPr>
      <w:r w:rsidRPr="00E2088A">
        <w:rPr>
          <w:lang w:eastAsia="en-US"/>
        </w:rPr>
        <w:t>The Commission sought to assist the Victorian Supreme Court in determining what legal obligations there are for owners corporations under Victoria’s Equal Opportunity Act. The Commission submitted that in line with the history and purpose of the law, a ‘service’ is to be interpreted broadly, and that it does include services provided by an owners corporation. The Supreme Court confirmed that owners corporations do provide a service, and they must therefore make reasonable adjustments to buildings for tenants and visitors with a disability, or they risk being discriminatory. The Supreme Court dismissed the Owners Corporations’ appeal, and returned the matter to VCAT to assess whether Ms Black’s request for adjustments was reasonable.</w:t>
      </w:r>
    </w:p>
    <w:p w14:paraId="1E2363F6" w14:textId="77777777" w:rsidR="00E2088A" w:rsidRPr="00E2088A" w:rsidRDefault="00E2088A" w:rsidP="00E2088A">
      <w:pPr>
        <w:pStyle w:val="VEOHRCHeading3"/>
        <w:rPr>
          <w:lang w:eastAsia="en-US"/>
        </w:rPr>
      </w:pPr>
      <w:r w:rsidRPr="00E2088A">
        <w:rPr>
          <w:lang w:eastAsia="en-US"/>
        </w:rPr>
        <w:t>Interventions under the Charter</w:t>
      </w:r>
    </w:p>
    <w:p w14:paraId="4EBE9867" w14:textId="77777777" w:rsidR="00E2088A" w:rsidRPr="00E2088A" w:rsidRDefault="00E2088A" w:rsidP="00E2088A">
      <w:pPr>
        <w:pStyle w:val="VEOHRCHeading4"/>
        <w:rPr>
          <w:lang w:eastAsia="en-US"/>
        </w:rPr>
      </w:pPr>
      <w:r w:rsidRPr="00E2088A">
        <w:rPr>
          <w:lang w:eastAsia="en-US"/>
        </w:rPr>
        <w:t>Cemino v Cannan </w:t>
      </w:r>
    </w:p>
    <w:p w14:paraId="00E97E90" w14:textId="7EAD0DD7" w:rsidR="00E2088A" w:rsidRPr="00E2088A" w:rsidRDefault="00E2088A" w:rsidP="00E2088A">
      <w:pPr>
        <w:pStyle w:val="VEOHRCBodytext"/>
        <w:rPr>
          <w:lang w:eastAsia="en-US"/>
        </w:rPr>
      </w:pPr>
      <w:r w:rsidRPr="00E2088A">
        <w:rPr>
          <w:lang w:eastAsia="en-US"/>
        </w:rPr>
        <w:t>In April 2017, Zayden Cemino, an Aboriginal man, applied to the Magistrates’ Court to transfer nine criminal charges he was facing to the closest Koori Court. Although the charges related to non-violent offences and the Koori Court had jurisdiction to deal with the proceedings, the Magistrates’ Court refused the application and ordered the proceedings to be heard in the Magistrates’ Court. </w:t>
      </w:r>
    </w:p>
    <w:p w14:paraId="18A9174F" w14:textId="77777777" w:rsidR="00E2088A" w:rsidRPr="00E2088A" w:rsidRDefault="00E2088A" w:rsidP="00E2088A">
      <w:pPr>
        <w:pStyle w:val="VEOHRCBodytext"/>
        <w:rPr>
          <w:lang w:eastAsia="en-US"/>
        </w:rPr>
      </w:pPr>
      <w:r w:rsidRPr="00E2088A">
        <w:rPr>
          <w:lang w:eastAsia="en-US"/>
        </w:rPr>
        <w:t>Mr Cemino appealed to the Supreme Court, arguing that his rights under sections 19(2) (cultural rights) and 8(3) (equality before the law) of the Charter had been limited by this decision. The Commission intervened in the appeal to assist the Court in interpreting these rights, particularly as cultural rights have not been fully considered by the Victorian court. </w:t>
      </w:r>
    </w:p>
    <w:p w14:paraId="29EFDFA2" w14:textId="1DE0A358" w:rsidR="00E2088A" w:rsidRPr="00E2088A" w:rsidRDefault="00E2088A" w:rsidP="00E2088A">
      <w:pPr>
        <w:pStyle w:val="VEOHRCBodytext"/>
        <w:rPr>
          <w:lang w:eastAsia="en-US"/>
        </w:rPr>
      </w:pPr>
      <w:r w:rsidRPr="00E2088A">
        <w:rPr>
          <w:lang w:eastAsia="en-US"/>
        </w:rPr>
        <w:t>The Commission submitted that the Magistrates' Court should have taken into account the plaintiff’s rights under sections 19(2) and 8(3) of the Charter when making its decision on whether to transfer the proceedings to the Koori Court. The Commission also provided assistance to the Court on the interpretative provisions raised in the case – sections 6(2)(b), 32 and 38(1). </w:t>
      </w:r>
    </w:p>
    <w:p w14:paraId="72631617" w14:textId="77777777" w:rsidR="00E2088A" w:rsidRPr="00E2088A" w:rsidRDefault="00E2088A" w:rsidP="00E2088A">
      <w:pPr>
        <w:pStyle w:val="VEOHRCBodytext"/>
        <w:rPr>
          <w:lang w:eastAsia="en-US"/>
        </w:rPr>
      </w:pPr>
      <w:r w:rsidRPr="00E2088A">
        <w:rPr>
          <w:lang w:eastAsia="en-US"/>
        </w:rPr>
        <w:t>The Court had yet to make a decision on this case at the time of publication.</w:t>
      </w:r>
    </w:p>
    <w:p w14:paraId="5E535672" w14:textId="77777777" w:rsidR="00E2088A" w:rsidRPr="00E2088A" w:rsidRDefault="00E2088A" w:rsidP="00A12985">
      <w:pPr>
        <w:pStyle w:val="VEOHRCHeading3"/>
        <w:rPr>
          <w:lang w:eastAsia="en-US"/>
        </w:rPr>
      </w:pPr>
      <w:r w:rsidRPr="00E2088A">
        <w:rPr>
          <w:lang w:eastAsia="en-US"/>
        </w:rPr>
        <w:t>Charter notifications and interventions</w:t>
      </w:r>
    </w:p>
    <w:tbl>
      <w:tblPr>
        <w:tblStyle w:val="TableGridLight1"/>
        <w:tblW w:w="0" w:type="auto"/>
        <w:tblLayout w:type="fixed"/>
        <w:tblLook w:val="04A0" w:firstRow="1" w:lastRow="0" w:firstColumn="1" w:lastColumn="0" w:noHBand="0" w:noVBand="1"/>
      </w:tblPr>
      <w:tblGrid>
        <w:gridCol w:w="1271"/>
        <w:gridCol w:w="1843"/>
        <w:gridCol w:w="1843"/>
      </w:tblGrid>
      <w:tr w:rsidR="005A64F0" w:rsidRPr="00C33A5A" w14:paraId="65EFC26F" w14:textId="77777777" w:rsidTr="00E65B97">
        <w:trPr>
          <w:trHeight w:val="344"/>
        </w:trPr>
        <w:tc>
          <w:tcPr>
            <w:tcW w:w="1271" w:type="dxa"/>
            <w:hideMark/>
          </w:tcPr>
          <w:p w14:paraId="7F873AF0" w14:textId="77777777" w:rsidR="005A64F0" w:rsidRPr="00B80144" w:rsidRDefault="005A64F0" w:rsidP="00B80144">
            <w:pPr>
              <w:pStyle w:val="VEOHRCBodytext"/>
              <w:rPr>
                <w:b/>
              </w:rPr>
            </w:pPr>
            <w:r w:rsidRPr="00B80144">
              <w:rPr>
                <w:b/>
              </w:rPr>
              <w:t>Year</w:t>
            </w:r>
          </w:p>
        </w:tc>
        <w:tc>
          <w:tcPr>
            <w:tcW w:w="1843" w:type="dxa"/>
            <w:hideMark/>
          </w:tcPr>
          <w:p w14:paraId="01ED1169" w14:textId="77777777" w:rsidR="005A64F0" w:rsidRPr="00B80144" w:rsidRDefault="005A64F0" w:rsidP="00B80144">
            <w:pPr>
              <w:pStyle w:val="VEOHRCBodytext"/>
              <w:rPr>
                <w:b/>
              </w:rPr>
            </w:pPr>
            <w:r w:rsidRPr="00B80144">
              <w:rPr>
                <w:b/>
              </w:rPr>
              <w:t>Notifications</w:t>
            </w:r>
          </w:p>
        </w:tc>
        <w:tc>
          <w:tcPr>
            <w:tcW w:w="1843" w:type="dxa"/>
            <w:hideMark/>
          </w:tcPr>
          <w:p w14:paraId="7EC1A54F" w14:textId="77777777" w:rsidR="005A64F0" w:rsidRPr="00B80144" w:rsidRDefault="005A64F0" w:rsidP="00B80144">
            <w:pPr>
              <w:pStyle w:val="VEOHRCBodytext"/>
              <w:rPr>
                <w:b/>
              </w:rPr>
            </w:pPr>
            <w:r w:rsidRPr="00B80144">
              <w:rPr>
                <w:b/>
              </w:rPr>
              <w:t>Interventions</w:t>
            </w:r>
          </w:p>
        </w:tc>
      </w:tr>
      <w:tr w:rsidR="005A64F0" w:rsidRPr="00C33A5A" w14:paraId="7ED787CD" w14:textId="77777777" w:rsidTr="00E65B97">
        <w:trPr>
          <w:trHeight w:val="344"/>
        </w:trPr>
        <w:tc>
          <w:tcPr>
            <w:tcW w:w="1271" w:type="dxa"/>
            <w:hideMark/>
          </w:tcPr>
          <w:p w14:paraId="3A02FB1C" w14:textId="77777777" w:rsidR="005A64F0" w:rsidRPr="00B80144" w:rsidRDefault="005A64F0" w:rsidP="00B80144">
            <w:pPr>
              <w:pStyle w:val="VEOHRCBodytext"/>
              <w:rPr>
                <w:b/>
              </w:rPr>
            </w:pPr>
            <w:r w:rsidRPr="00B80144">
              <w:rPr>
                <w:b/>
              </w:rPr>
              <w:t xml:space="preserve">2008–09 </w:t>
            </w:r>
          </w:p>
        </w:tc>
        <w:tc>
          <w:tcPr>
            <w:tcW w:w="1843" w:type="dxa"/>
            <w:hideMark/>
          </w:tcPr>
          <w:p w14:paraId="1F683265" w14:textId="77777777" w:rsidR="005A64F0" w:rsidRPr="00C33A5A" w:rsidRDefault="005A64F0" w:rsidP="00B80144">
            <w:pPr>
              <w:pStyle w:val="VEOHRCBodytext"/>
            </w:pPr>
            <w:r w:rsidRPr="00C33A5A">
              <w:t>49</w:t>
            </w:r>
          </w:p>
        </w:tc>
        <w:tc>
          <w:tcPr>
            <w:tcW w:w="1843" w:type="dxa"/>
            <w:hideMark/>
          </w:tcPr>
          <w:p w14:paraId="7B6222A1" w14:textId="77777777" w:rsidR="005A64F0" w:rsidRPr="00C33A5A" w:rsidRDefault="005A64F0" w:rsidP="00B80144">
            <w:pPr>
              <w:pStyle w:val="VEOHRCBodytext"/>
            </w:pPr>
            <w:r w:rsidRPr="00C33A5A">
              <w:t>5</w:t>
            </w:r>
          </w:p>
        </w:tc>
      </w:tr>
      <w:tr w:rsidR="005A64F0" w:rsidRPr="00C33A5A" w14:paraId="240EF413" w14:textId="77777777" w:rsidTr="00E65B97">
        <w:trPr>
          <w:trHeight w:val="344"/>
        </w:trPr>
        <w:tc>
          <w:tcPr>
            <w:tcW w:w="1271" w:type="dxa"/>
            <w:hideMark/>
          </w:tcPr>
          <w:p w14:paraId="2D81B37E" w14:textId="77777777" w:rsidR="005A64F0" w:rsidRPr="00B80144" w:rsidRDefault="005A64F0" w:rsidP="00B80144">
            <w:pPr>
              <w:pStyle w:val="VEOHRCBodytext"/>
              <w:rPr>
                <w:b/>
              </w:rPr>
            </w:pPr>
            <w:r w:rsidRPr="00B80144">
              <w:rPr>
                <w:b/>
              </w:rPr>
              <w:t xml:space="preserve">2009–10 </w:t>
            </w:r>
          </w:p>
        </w:tc>
        <w:tc>
          <w:tcPr>
            <w:tcW w:w="1843" w:type="dxa"/>
            <w:hideMark/>
          </w:tcPr>
          <w:p w14:paraId="63CFB187" w14:textId="77777777" w:rsidR="005A64F0" w:rsidRPr="00C33A5A" w:rsidRDefault="005A64F0" w:rsidP="00B80144">
            <w:pPr>
              <w:pStyle w:val="VEOHRCBodytext"/>
            </w:pPr>
            <w:r w:rsidRPr="00C33A5A">
              <w:t>44</w:t>
            </w:r>
          </w:p>
        </w:tc>
        <w:tc>
          <w:tcPr>
            <w:tcW w:w="1843" w:type="dxa"/>
            <w:hideMark/>
          </w:tcPr>
          <w:p w14:paraId="31DA7032" w14:textId="77777777" w:rsidR="005A64F0" w:rsidRPr="00C33A5A" w:rsidRDefault="005A64F0" w:rsidP="00B80144">
            <w:pPr>
              <w:pStyle w:val="VEOHRCBodytext"/>
            </w:pPr>
            <w:r w:rsidRPr="00C33A5A">
              <w:t>7</w:t>
            </w:r>
          </w:p>
        </w:tc>
      </w:tr>
      <w:tr w:rsidR="005A64F0" w:rsidRPr="00C33A5A" w14:paraId="5255563B" w14:textId="77777777" w:rsidTr="00E65B97">
        <w:trPr>
          <w:trHeight w:val="344"/>
        </w:trPr>
        <w:tc>
          <w:tcPr>
            <w:tcW w:w="1271" w:type="dxa"/>
            <w:hideMark/>
          </w:tcPr>
          <w:p w14:paraId="6CB6426F" w14:textId="77777777" w:rsidR="005A64F0" w:rsidRPr="00B80144" w:rsidRDefault="005A64F0" w:rsidP="00B80144">
            <w:pPr>
              <w:pStyle w:val="VEOHRCBodytext"/>
              <w:rPr>
                <w:b/>
              </w:rPr>
            </w:pPr>
            <w:r w:rsidRPr="00B80144">
              <w:rPr>
                <w:b/>
              </w:rPr>
              <w:t xml:space="preserve">2010–11 </w:t>
            </w:r>
          </w:p>
        </w:tc>
        <w:tc>
          <w:tcPr>
            <w:tcW w:w="1843" w:type="dxa"/>
            <w:hideMark/>
          </w:tcPr>
          <w:p w14:paraId="271F8BBF" w14:textId="77777777" w:rsidR="005A64F0" w:rsidRPr="00C33A5A" w:rsidRDefault="005A64F0" w:rsidP="00B80144">
            <w:pPr>
              <w:pStyle w:val="VEOHRCBodytext"/>
            </w:pPr>
            <w:r w:rsidRPr="00C33A5A">
              <w:t>55</w:t>
            </w:r>
          </w:p>
        </w:tc>
        <w:tc>
          <w:tcPr>
            <w:tcW w:w="1843" w:type="dxa"/>
            <w:hideMark/>
          </w:tcPr>
          <w:p w14:paraId="0040D5C3" w14:textId="77777777" w:rsidR="005A64F0" w:rsidRPr="00C33A5A" w:rsidRDefault="005A64F0" w:rsidP="00B80144">
            <w:pPr>
              <w:pStyle w:val="VEOHRCBodytext"/>
            </w:pPr>
            <w:r w:rsidRPr="00C33A5A">
              <w:t>9</w:t>
            </w:r>
          </w:p>
        </w:tc>
      </w:tr>
      <w:tr w:rsidR="005A64F0" w:rsidRPr="00C33A5A" w14:paraId="5E478CD1" w14:textId="77777777" w:rsidTr="00E65B97">
        <w:trPr>
          <w:trHeight w:val="344"/>
        </w:trPr>
        <w:tc>
          <w:tcPr>
            <w:tcW w:w="1271" w:type="dxa"/>
            <w:hideMark/>
          </w:tcPr>
          <w:p w14:paraId="2ED9FEB6" w14:textId="77777777" w:rsidR="005A64F0" w:rsidRPr="00B80144" w:rsidRDefault="005A64F0" w:rsidP="00B80144">
            <w:pPr>
              <w:pStyle w:val="VEOHRCBodytext"/>
              <w:rPr>
                <w:b/>
              </w:rPr>
            </w:pPr>
            <w:r w:rsidRPr="00B80144">
              <w:rPr>
                <w:b/>
              </w:rPr>
              <w:t xml:space="preserve">2011–12 </w:t>
            </w:r>
          </w:p>
        </w:tc>
        <w:tc>
          <w:tcPr>
            <w:tcW w:w="1843" w:type="dxa"/>
            <w:hideMark/>
          </w:tcPr>
          <w:p w14:paraId="7C0D55D8" w14:textId="77777777" w:rsidR="005A64F0" w:rsidRPr="00C33A5A" w:rsidRDefault="005A64F0" w:rsidP="00B80144">
            <w:pPr>
              <w:pStyle w:val="VEOHRCBodytext"/>
            </w:pPr>
            <w:r w:rsidRPr="00C33A5A">
              <w:t>31</w:t>
            </w:r>
          </w:p>
        </w:tc>
        <w:tc>
          <w:tcPr>
            <w:tcW w:w="1843" w:type="dxa"/>
            <w:hideMark/>
          </w:tcPr>
          <w:p w14:paraId="26A3357C" w14:textId="77777777" w:rsidR="005A64F0" w:rsidRPr="00C33A5A" w:rsidRDefault="005A64F0" w:rsidP="00B80144">
            <w:pPr>
              <w:pStyle w:val="VEOHRCBodytext"/>
            </w:pPr>
            <w:r w:rsidRPr="00C33A5A">
              <w:t>5</w:t>
            </w:r>
          </w:p>
        </w:tc>
      </w:tr>
      <w:tr w:rsidR="005A64F0" w:rsidRPr="00C33A5A" w14:paraId="08786335" w14:textId="77777777" w:rsidTr="00E65B97">
        <w:trPr>
          <w:trHeight w:val="344"/>
        </w:trPr>
        <w:tc>
          <w:tcPr>
            <w:tcW w:w="1271" w:type="dxa"/>
            <w:hideMark/>
          </w:tcPr>
          <w:p w14:paraId="79F225A8" w14:textId="77777777" w:rsidR="005A64F0" w:rsidRPr="00B80144" w:rsidRDefault="005A64F0" w:rsidP="00B80144">
            <w:pPr>
              <w:pStyle w:val="VEOHRCBodytext"/>
              <w:rPr>
                <w:b/>
              </w:rPr>
            </w:pPr>
            <w:r w:rsidRPr="00B80144">
              <w:rPr>
                <w:b/>
              </w:rPr>
              <w:t xml:space="preserve">2012–13 </w:t>
            </w:r>
          </w:p>
        </w:tc>
        <w:tc>
          <w:tcPr>
            <w:tcW w:w="1843" w:type="dxa"/>
            <w:hideMark/>
          </w:tcPr>
          <w:p w14:paraId="599BA846" w14:textId="77777777" w:rsidR="005A64F0" w:rsidRPr="00C33A5A" w:rsidRDefault="005A64F0" w:rsidP="00B80144">
            <w:pPr>
              <w:pStyle w:val="VEOHRCBodytext"/>
            </w:pPr>
            <w:r w:rsidRPr="00C33A5A">
              <w:t>30</w:t>
            </w:r>
          </w:p>
        </w:tc>
        <w:tc>
          <w:tcPr>
            <w:tcW w:w="1843" w:type="dxa"/>
            <w:hideMark/>
          </w:tcPr>
          <w:p w14:paraId="43936437" w14:textId="77777777" w:rsidR="005A64F0" w:rsidRPr="00C33A5A" w:rsidRDefault="005A64F0" w:rsidP="00B80144">
            <w:pPr>
              <w:pStyle w:val="VEOHRCBodytext"/>
            </w:pPr>
            <w:r w:rsidRPr="00C33A5A">
              <w:t>6</w:t>
            </w:r>
          </w:p>
        </w:tc>
      </w:tr>
      <w:tr w:rsidR="005A64F0" w:rsidRPr="00C33A5A" w14:paraId="170513B6" w14:textId="77777777" w:rsidTr="00E65B97">
        <w:trPr>
          <w:trHeight w:val="344"/>
        </w:trPr>
        <w:tc>
          <w:tcPr>
            <w:tcW w:w="1271" w:type="dxa"/>
            <w:hideMark/>
          </w:tcPr>
          <w:p w14:paraId="0D8297D6" w14:textId="77777777" w:rsidR="005A64F0" w:rsidRPr="00B80144" w:rsidRDefault="005A64F0" w:rsidP="00B80144">
            <w:pPr>
              <w:pStyle w:val="VEOHRCBodytext"/>
              <w:rPr>
                <w:b/>
              </w:rPr>
            </w:pPr>
            <w:r w:rsidRPr="00B80144">
              <w:rPr>
                <w:b/>
              </w:rPr>
              <w:lastRenderedPageBreak/>
              <w:t xml:space="preserve">2013–14 </w:t>
            </w:r>
          </w:p>
        </w:tc>
        <w:tc>
          <w:tcPr>
            <w:tcW w:w="1843" w:type="dxa"/>
            <w:hideMark/>
          </w:tcPr>
          <w:p w14:paraId="6607AD54" w14:textId="77777777" w:rsidR="005A64F0" w:rsidRPr="00C33A5A" w:rsidRDefault="005A64F0" w:rsidP="00B80144">
            <w:pPr>
              <w:pStyle w:val="VEOHRCBodytext"/>
            </w:pPr>
            <w:r w:rsidRPr="00C33A5A">
              <w:t>17</w:t>
            </w:r>
          </w:p>
        </w:tc>
        <w:tc>
          <w:tcPr>
            <w:tcW w:w="1843" w:type="dxa"/>
            <w:hideMark/>
          </w:tcPr>
          <w:p w14:paraId="4F915F62" w14:textId="77777777" w:rsidR="005A64F0" w:rsidRPr="00C33A5A" w:rsidRDefault="005A64F0" w:rsidP="00B80144">
            <w:pPr>
              <w:pStyle w:val="VEOHRCBodytext"/>
            </w:pPr>
            <w:r w:rsidRPr="00C33A5A">
              <w:t>5</w:t>
            </w:r>
          </w:p>
        </w:tc>
      </w:tr>
      <w:tr w:rsidR="005A64F0" w:rsidRPr="00C33A5A" w14:paraId="550688BE" w14:textId="77777777" w:rsidTr="00E65B97">
        <w:trPr>
          <w:trHeight w:val="344"/>
        </w:trPr>
        <w:tc>
          <w:tcPr>
            <w:tcW w:w="1271" w:type="dxa"/>
            <w:hideMark/>
          </w:tcPr>
          <w:p w14:paraId="38D1F02E" w14:textId="77777777" w:rsidR="005A64F0" w:rsidRPr="00B80144" w:rsidRDefault="005A64F0" w:rsidP="00B80144">
            <w:pPr>
              <w:pStyle w:val="VEOHRCBodytext"/>
              <w:rPr>
                <w:b/>
              </w:rPr>
            </w:pPr>
            <w:r w:rsidRPr="00B80144">
              <w:rPr>
                <w:b/>
              </w:rPr>
              <w:t>2014–15</w:t>
            </w:r>
          </w:p>
        </w:tc>
        <w:tc>
          <w:tcPr>
            <w:tcW w:w="1843" w:type="dxa"/>
            <w:hideMark/>
          </w:tcPr>
          <w:p w14:paraId="68F7DDFD" w14:textId="77777777" w:rsidR="005A64F0" w:rsidRPr="00C33A5A" w:rsidRDefault="005A64F0" w:rsidP="00B80144">
            <w:pPr>
              <w:pStyle w:val="VEOHRCBodytext"/>
            </w:pPr>
            <w:r w:rsidRPr="00C33A5A">
              <w:t>25</w:t>
            </w:r>
          </w:p>
        </w:tc>
        <w:tc>
          <w:tcPr>
            <w:tcW w:w="1843" w:type="dxa"/>
            <w:hideMark/>
          </w:tcPr>
          <w:p w14:paraId="080C257B" w14:textId="77777777" w:rsidR="005A64F0" w:rsidRPr="00C33A5A" w:rsidRDefault="005A64F0" w:rsidP="00B80144">
            <w:pPr>
              <w:pStyle w:val="VEOHRCBodytext"/>
            </w:pPr>
            <w:r w:rsidRPr="00C33A5A">
              <w:t>3</w:t>
            </w:r>
          </w:p>
        </w:tc>
      </w:tr>
      <w:tr w:rsidR="005A64F0" w:rsidRPr="00C33A5A" w14:paraId="6838C19F" w14:textId="77777777" w:rsidTr="00E65B97">
        <w:trPr>
          <w:trHeight w:val="344"/>
        </w:trPr>
        <w:tc>
          <w:tcPr>
            <w:tcW w:w="1271" w:type="dxa"/>
            <w:hideMark/>
          </w:tcPr>
          <w:p w14:paraId="76B8CF8A" w14:textId="77777777" w:rsidR="005A64F0" w:rsidRPr="00B80144" w:rsidRDefault="005A64F0" w:rsidP="00B80144">
            <w:pPr>
              <w:pStyle w:val="VEOHRCBodytext"/>
              <w:rPr>
                <w:b/>
              </w:rPr>
            </w:pPr>
            <w:r w:rsidRPr="00B80144">
              <w:rPr>
                <w:b/>
              </w:rPr>
              <w:t>2015–16</w:t>
            </w:r>
          </w:p>
        </w:tc>
        <w:tc>
          <w:tcPr>
            <w:tcW w:w="1843" w:type="dxa"/>
            <w:hideMark/>
          </w:tcPr>
          <w:p w14:paraId="2AFEDE44" w14:textId="77777777" w:rsidR="005A64F0" w:rsidRPr="00C33A5A" w:rsidRDefault="005A64F0" w:rsidP="00B80144">
            <w:pPr>
              <w:pStyle w:val="VEOHRCBodytext"/>
            </w:pPr>
            <w:r w:rsidRPr="00C33A5A">
              <w:t>26</w:t>
            </w:r>
          </w:p>
        </w:tc>
        <w:tc>
          <w:tcPr>
            <w:tcW w:w="1843" w:type="dxa"/>
            <w:hideMark/>
          </w:tcPr>
          <w:p w14:paraId="0EA1975F" w14:textId="77777777" w:rsidR="005A64F0" w:rsidRPr="00C33A5A" w:rsidRDefault="005A64F0" w:rsidP="00B80144">
            <w:pPr>
              <w:pStyle w:val="VEOHRCBodytext"/>
            </w:pPr>
            <w:r w:rsidRPr="00C33A5A">
              <w:t>4</w:t>
            </w:r>
          </w:p>
        </w:tc>
      </w:tr>
      <w:tr w:rsidR="005A64F0" w:rsidRPr="00C33A5A" w14:paraId="69F4A91F" w14:textId="77777777" w:rsidTr="00E65B97">
        <w:trPr>
          <w:trHeight w:val="344"/>
        </w:trPr>
        <w:tc>
          <w:tcPr>
            <w:tcW w:w="1271" w:type="dxa"/>
            <w:hideMark/>
          </w:tcPr>
          <w:p w14:paraId="6468CDBF" w14:textId="77777777" w:rsidR="005A64F0" w:rsidRPr="00B80144" w:rsidRDefault="005A64F0" w:rsidP="00B80144">
            <w:pPr>
              <w:pStyle w:val="VEOHRCBodytext"/>
              <w:rPr>
                <w:b/>
              </w:rPr>
            </w:pPr>
            <w:r w:rsidRPr="00B80144">
              <w:rPr>
                <w:b/>
              </w:rPr>
              <w:t>2016–17</w:t>
            </w:r>
          </w:p>
        </w:tc>
        <w:tc>
          <w:tcPr>
            <w:tcW w:w="1843" w:type="dxa"/>
            <w:hideMark/>
          </w:tcPr>
          <w:p w14:paraId="23AA0230" w14:textId="77777777" w:rsidR="005A64F0" w:rsidRPr="00C33A5A" w:rsidRDefault="005A64F0" w:rsidP="00B80144">
            <w:pPr>
              <w:pStyle w:val="VEOHRCBodytext"/>
            </w:pPr>
            <w:r w:rsidRPr="00C33A5A">
              <w:t>29</w:t>
            </w:r>
          </w:p>
        </w:tc>
        <w:tc>
          <w:tcPr>
            <w:tcW w:w="1843" w:type="dxa"/>
            <w:hideMark/>
          </w:tcPr>
          <w:p w14:paraId="4C22B132" w14:textId="77777777" w:rsidR="005A64F0" w:rsidRPr="00C33A5A" w:rsidRDefault="005A64F0" w:rsidP="00B80144">
            <w:pPr>
              <w:pStyle w:val="VEOHRCBodytext"/>
            </w:pPr>
            <w:r w:rsidRPr="00C33A5A">
              <w:t>5</w:t>
            </w:r>
          </w:p>
        </w:tc>
      </w:tr>
      <w:tr w:rsidR="005A64F0" w:rsidRPr="00C33A5A" w14:paraId="34A0B0E3" w14:textId="77777777" w:rsidTr="00E65B97">
        <w:trPr>
          <w:trHeight w:val="344"/>
        </w:trPr>
        <w:tc>
          <w:tcPr>
            <w:tcW w:w="1271" w:type="dxa"/>
            <w:hideMark/>
          </w:tcPr>
          <w:p w14:paraId="6A0901EC" w14:textId="77777777" w:rsidR="005A64F0" w:rsidRPr="00B80144" w:rsidRDefault="005A64F0" w:rsidP="00B80144">
            <w:pPr>
              <w:pStyle w:val="VEOHRCBodytext"/>
              <w:rPr>
                <w:b/>
              </w:rPr>
            </w:pPr>
            <w:r w:rsidRPr="00B80144">
              <w:rPr>
                <w:b/>
              </w:rPr>
              <w:t>2017–18</w:t>
            </w:r>
          </w:p>
        </w:tc>
        <w:tc>
          <w:tcPr>
            <w:tcW w:w="1843" w:type="dxa"/>
            <w:hideMark/>
          </w:tcPr>
          <w:p w14:paraId="769B97A4" w14:textId="77777777" w:rsidR="005A64F0" w:rsidRPr="00C33A5A" w:rsidRDefault="005A64F0" w:rsidP="00B80144">
            <w:pPr>
              <w:pStyle w:val="VEOHRCBodytext"/>
            </w:pPr>
            <w:r>
              <w:t>38</w:t>
            </w:r>
          </w:p>
        </w:tc>
        <w:tc>
          <w:tcPr>
            <w:tcW w:w="1843" w:type="dxa"/>
            <w:hideMark/>
          </w:tcPr>
          <w:p w14:paraId="4A1577C6" w14:textId="77777777" w:rsidR="005A64F0" w:rsidRPr="00C33A5A" w:rsidRDefault="005A64F0" w:rsidP="00B80144">
            <w:pPr>
              <w:pStyle w:val="VEOHRCBodytext"/>
            </w:pPr>
            <w:r>
              <w:t>2</w:t>
            </w:r>
          </w:p>
        </w:tc>
      </w:tr>
    </w:tbl>
    <w:p w14:paraId="58446E97" w14:textId="4DE71F77" w:rsidR="00E2088A" w:rsidRDefault="00E2088A" w:rsidP="00E2088A">
      <w:pPr>
        <w:pStyle w:val="VEOHRCHeading2"/>
        <w:rPr>
          <w:sz w:val="17"/>
          <w:szCs w:val="17"/>
          <w:lang w:val="en-US" w:eastAsia="en-US"/>
        </w:rPr>
      </w:pPr>
      <w:bookmarkStart w:id="15" w:name="_Toc497232300"/>
      <w:r w:rsidRPr="00E2088A">
        <w:t>Investigation into Discrimination in Travel Insurance</w:t>
      </w:r>
      <w:r>
        <w:rPr>
          <w:rStyle w:val="apple-converted-space"/>
          <w:b/>
          <w:bCs w:val="0"/>
        </w:rPr>
        <w:t> </w:t>
      </w:r>
    </w:p>
    <w:p w14:paraId="54537916" w14:textId="6948CD69" w:rsidR="00E2088A" w:rsidRDefault="00E2088A" w:rsidP="00A12985">
      <w:pPr>
        <w:pStyle w:val="VEOHRCBodytext"/>
      </w:pPr>
      <w:r>
        <w:rPr>
          <w:rStyle w:val="s1"/>
        </w:rPr>
        <w:t>The Commission has launched an investigation into potential unlawful systemic discrimination against people with a mental health disability by the travel insurance industry in Victoria. The investigation was prompted by recent VCAT findings about this issue.</w:t>
      </w:r>
      <w:r>
        <w:rPr>
          <w:rStyle w:val="apple-converted-space"/>
        </w:rPr>
        <w:t> </w:t>
      </w:r>
    </w:p>
    <w:p w14:paraId="21591FDB" w14:textId="28FD2191" w:rsidR="00E2088A" w:rsidRDefault="00E2088A" w:rsidP="00A12985">
      <w:pPr>
        <w:pStyle w:val="VEOHRCBodytext"/>
      </w:pPr>
      <w:r>
        <w:rPr>
          <w:rStyle w:val="s1"/>
        </w:rPr>
        <w:t>The investigation is in progress. The Commission has contacted five insurers, based on Australian market share, requesting information about their process and policies and in some instances asking them to explain the basis for their policies and/or reliance on the exception for insurers under the Equal Opportunity Act. We have also engaged with the consumer advocates and industry bodies, including with the Insurance Council of Australia in relation to the review of its Code of Practice.</w:t>
      </w:r>
      <w:r>
        <w:rPr>
          <w:rStyle w:val="apple-converted-space"/>
        </w:rPr>
        <w:t> </w:t>
      </w:r>
    </w:p>
    <w:p w14:paraId="7327C662" w14:textId="11FD8B26" w:rsidR="00E2088A" w:rsidRDefault="00E2088A" w:rsidP="00A12985">
      <w:pPr>
        <w:pStyle w:val="VEOHRCBodytext"/>
      </w:pPr>
      <w:r>
        <w:t xml:space="preserve">This is the first time we have used our investigation power, including as a means to examine an entity’s legislative duty under the Equal Opportunity Act to take reasonable and proportionate measures to eliminate discrimination. We will use the investigation </w:t>
      </w:r>
      <w:r>
        <w:rPr>
          <w:rStyle w:val="s1"/>
        </w:rPr>
        <w:t>to educate entities on this obligation and to drive changes in insurer’s policies to complying with equal opportunity legislation,</w:t>
      </w:r>
      <w:r>
        <w:t xml:space="preserve"> and prevent discrimination.</w:t>
      </w:r>
    </w:p>
    <w:p w14:paraId="57F295C9" w14:textId="77777777" w:rsidR="00E2088A" w:rsidRDefault="00E2088A" w:rsidP="00A12985">
      <w:pPr>
        <w:pStyle w:val="VEOHRCHeading1"/>
      </w:pPr>
      <w:r>
        <w:rPr>
          <w:rStyle w:val="s2"/>
          <w:b w:val="0"/>
          <w:bCs w:val="0"/>
        </w:rPr>
        <w:t>Building a stronger organisation</w:t>
      </w:r>
    </w:p>
    <w:p w14:paraId="10692759" w14:textId="4E4DF4C1" w:rsidR="00E2088A" w:rsidRDefault="00E2088A" w:rsidP="00E2088A">
      <w:pPr>
        <w:pStyle w:val="VEOHRCHeading2"/>
      </w:pPr>
      <w:r w:rsidRPr="00E2088A">
        <w:t>Embedding our Monitoring and</w:t>
      </w:r>
      <w:r w:rsidR="00A12985">
        <w:t xml:space="preserve"> </w:t>
      </w:r>
      <w:r w:rsidRPr="00E2088A">
        <w:t>Evaluation Framework</w:t>
      </w:r>
      <w:r>
        <w:rPr>
          <w:rStyle w:val="apple-converted-space"/>
          <w:b/>
          <w:bCs w:val="0"/>
        </w:rPr>
        <w:t> </w:t>
      </w:r>
    </w:p>
    <w:p w14:paraId="2D174751" w14:textId="327518CF" w:rsidR="00E2088A" w:rsidRDefault="00E2088A" w:rsidP="00A12985">
      <w:pPr>
        <w:pStyle w:val="VEOHRCBodytext"/>
      </w:pPr>
      <w:r>
        <w:rPr>
          <w:rStyle w:val="s1"/>
        </w:rPr>
        <w:t>In 2017–18 the Commission engaged a consultant to support us to develop and implement a monitoring and evaluation</w:t>
      </w:r>
      <w:r>
        <w:t xml:space="preserve"> </w:t>
      </w:r>
      <w:r>
        <w:rPr>
          <w:rStyle w:val="s1"/>
        </w:rPr>
        <w:t>framework for our strategic plan. The monitoring and evaluation framework will help us to</w:t>
      </w:r>
      <w:r>
        <w:t xml:space="preserve"> evaluate the impact of our work and how we </w:t>
      </w:r>
      <w:r>
        <w:rPr>
          <w:rStyle w:val="s1"/>
        </w:rPr>
        <w:t xml:space="preserve">are contributing towards the goals identified in </w:t>
      </w:r>
      <w:r>
        <w:t>our strategic plan. The reflection and evidence that results from monitoring and evaluation will inform our project and activity planning and help us to continuously improve its work.</w:t>
      </w:r>
      <w:r>
        <w:rPr>
          <w:rStyle w:val="apple-converted-space"/>
        </w:rPr>
        <w:t> </w:t>
      </w:r>
    </w:p>
    <w:p w14:paraId="7117BAED" w14:textId="77777777" w:rsidR="00E2088A" w:rsidRPr="00E2088A" w:rsidRDefault="00E2088A" w:rsidP="00E2088A">
      <w:pPr>
        <w:pStyle w:val="VEOHRCHeading2"/>
      </w:pPr>
      <w:r w:rsidRPr="00E2088A">
        <w:t>People and Culture Plan </w:t>
      </w:r>
    </w:p>
    <w:p w14:paraId="366B0165" w14:textId="77777777" w:rsidR="00E2088A" w:rsidRDefault="00E2088A" w:rsidP="00A12985">
      <w:pPr>
        <w:pStyle w:val="VEOHRCBodytext"/>
      </w:pPr>
      <w:r>
        <w:t>The Commission delivered on its first People and Culture Plan during 2017–18. The aims of the plan were to strengthen and support our internal capability to deliver on our goals through improving staff engagement, building capability, enabling high performance and fostering a positive culture.</w:t>
      </w:r>
      <w:r>
        <w:rPr>
          <w:rStyle w:val="apple-converted-space"/>
        </w:rPr>
        <w:t> </w:t>
      </w:r>
    </w:p>
    <w:p w14:paraId="42215DBA" w14:textId="74FCB519" w:rsidR="00E2088A" w:rsidRDefault="00E2088A" w:rsidP="00A12985">
      <w:pPr>
        <w:pStyle w:val="VEOHRCBodytext"/>
      </w:pPr>
      <w:r>
        <w:rPr>
          <w:rStyle w:val="s1"/>
        </w:rPr>
        <w:t>Through the 2017–18 People and Culture Plan, the Commission implemented a new performance management system and learning and development framework, established a range of new and enhanced workplace policies, implemented new technologies and equipment to better support flexible work, developed a values and behaviours framework, implemented an integrity framework and associated training program for staff and conducted a comprehensive staff survey to inform the Commission's new Diversity and Inclusion Plan.</w:t>
      </w:r>
      <w:r>
        <w:rPr>
          <w:rStyle w:val="apple-converted-space"/>
        </w:rPr>
        <w:t> </w:t>
      </w:r>
    </w:p>
    <w:p w14:paraId="151580D7" w14:textId="77777777" w:rsidR="00E2088A" w:rsidRPr="00E2088A" w:rsidRDefault="00E2088A" w:rsidP="00E2088A">
      <w:pPr>
        <w:pStyle w:val="VEOHRCHeading2"/>
      </w:pPr>
      <w:r w:rsidRPr="00E2088A">
        <w:lastRenderedPageBreak/>
        <w:t>Developing our Digital Strategy </w:t>
      </w:r>
    </w:p>
    <w:p w14:paraId="74FC6A88" w14:textId="1DBC652A" w:rsidR="00E2088A" w:rsidRDefault="00E2088A" w:rsidP="00A12985">
      <w:pPr>
        <w:pStyle w:val="VEOHRCBodytext"/>
      </w:pPr>
      <w:r>
        <w:rPr>
          <w:rStyle w:val="s1"/>
        </w:rPr>
        <w:t>Developing our capacity to use digital products, services, platforms and campaigns to increase our reach, accessibility, efficiency and impact is a key focus in our strategic plan.</w:t>
      </w:r>
      <w:r>
        <w:rPr>
          <w:rStyle w:val="apple-converted-space"/>
        </w:rPr>
        <w:t> </w:t>
      </w:r>
    </w:p>
    <w:p w14:paraId="128FC69D" w14:textId="77777777" w:rsidR="00E2088A" w:rsidRDefault="00E2088A" w:rsidP="00A12985">
      <w:pPr>
        <w:pStyle w:val="VEOHRCBodytext"/>
      </w:pPr>
      <w:r>
        <w:rPr>
          <w:rStyle w:val="s1"/>
        </w:rPr>
        <w:t>This year we developed our first digital strategy and partnered with Code for Australia to set up an internal digital lab. The lab is a team of three people who will work with us internally throughout 2018–19 to run experiments to solve problems using technology. </w:t>
      </w:r>
    </w:p>
    <w:p w14:paraId="30C33B65" w14:textId="77777777" w:rsidR="00E2088A" w:rsidRPr="00E2088A" w:rsidRDefault="00E2088A" w:rsidP="00E2088A">
      <w:pPr>
        <w:pStyle w:val="VEOHRCHeading2"/>
      </w:pPr>
      <w:r w:rsidRPr="00E2088A">
        <w:t>Multicultural and Multifaith Engagement Action Plan</w:t>
      </w:r>
    </w:p>
    <w:p w14:paraId="4CCA5AAC" w14:textId="77777777" w:rsidR="00E2088A" w:rsidRDefault="00E2088A" w:rsidP="00A12985">
      <w:pPr>
        <w:pStyle w:val="VEOHRCBodytext"/>
      </w:pPr>
      <w:r>
        <w:rPr>
          <w:rStyle w:val="s1"/>
        </w:rPr>
        <w:t>The Commission has developed a Multicultural and Multifaith Engagement Action Plan (MMEAP) which builds on the insight and recommendations from multicultural and multifaith leaders, representatives and organisations that took part in the Commission's consultation process and dialogue forums from 2017–18. The MMEAP also documents the Commission's partnerships and collaborations with state and local government, peak bodies and community agencies dedicated to addressing persistent and harmful racism incurred by multicultural and multifaith communities, including Aboriginal and Torres Strait Islander people.</w:t>
      </w:r>
      <w:r>
        <w:rPr>
          <w:rStyle w:val="apple-converted-space"/>
        </w:rPr>
        <w:t> </w:t>
      </w:r>
    </w:p>
    <w:p w14:paraId="0A054F2E" w14:textId="77777777" w:rsidR="00E2088A" w:rsidRDefault="00E2088A" w:rsidP="00A12985">
      <w:pPr>
        <w:pStyle w:val="VEOHRCBodytext"/>
      </w:pPr>
      <w:r>
        <w:t xml:space="preserve">A focus of the MMEAP is the delivery of </w:t>
      </w:r>
      <w:r>
        <w:rPr>
          <w:rStyle w:val="s1"/>
        </w:rPr>
        <w:t>tailored education to community groups with multiple protected attributes (intersectional discrimination) and addressing their compounded barriers to accessing the Commission's services. Its four objectives are:</w:t>
      </w:r>
    </w:p>
    <w:p w14:paraId="08BB5142" w14:textId="77777777" w:rsidR="00E2088A" w:rsidRDefault="00E2088A" w:rsidP="00A12985">
      <w:pPr>
        <w:pStyle w:val="VEOHRCListBullet"/>
      </w:pPr>
      <w:r>
        <w:t>influencing law and policy to protect and promote the rights of multicultural and multifaith communities</w:t>
      </w:r>
    </w:p>
    <w:p w14:paraId="152917A3" w14:textId="5F81B115" w:rsidR="00E2088A" w:rsidRDefault="00E2088A" w:rsidP="00A12985">
      <w:pPr>
        <w:pStyle w:val="VEOHRCListBullet"/>
      </w:pPr>
      <w:r>
        <w:t>empowering multicultural and multifaith individuals to understand and exercise their rights</w:t>
      </w:r>
    </w:p>
    <w:p w14:paraId="647C86B4" w14:textId="77777777" w:rsidR="00E2088A" w:rsidRDefault="00E2088A" w:rsidP="00A12985">
      <w:pPr>
        <w:pStyle w:val="VEOHRCListBullet"/>
      </w:pPr>
      <w:r>
        <w:t>contributing to an informed evidence base</w:t>
      </w:r>
    </w:p>
    <w:p w14:paraId="184893F7" w14:textId="77777777" w:rsidR="00E2088A" w:rsidRDefault="00E2088A" w:rsidP="00A12985">
      <w:pPr>
        <w:pStyle w:val="VEOHRCListBullet"/>
      </w:pPr>
      <w:r>
        <w:rPr>
          <w:rStyle w:val="s1"/>
        </w:rPr>
        <w:t>increasing awareness of anti-racism responses.</w:t>
      </w:r>
    </w:p>
    <w:p w14:paraId="1E59DAAA" w14:textId="1FB37E7C" w:rsidR="00876966" w:rsidRPr="006D2ADB" w:rsidRDefault="00E2088A" w:rsidP="00E2088A">
      <w:pPr>
        <w:pStyle w:val="VEOHRCHeading2"/>
        <w:tabs>
          <w:tab w:val="left" w:pos="5603"/>
        </w:tabs>
        <w:rPr>
          <w:lang w:eastAsia="en-US"/>
        </w:rPr>
      </w:pPr>
      <w:r w:rsidRPr="006D2ADB">
        <w:rPr>
          <w:lang w:eastAsia="en-US"/>
        </w:rPr>
        <w:t xml:space="preserve"> </w:t>
      </w:r>
      <w:r w:rsidR="00876966" w:rsidRPr="006D2ADB">
        <w:rPr>
          <w:lang w:eastAsia="en-US"/>
        </w:rPr>
        <w:t xml:space="preserve">Disability </w:t>
      </w:r>
      <w:r w:rsidR="00876966" w:rsidRPr="000C3C50">
        <w:t>Action</w:t>
      </w:r>
      <w:r w:rsidR="00876966" w:rsidRPr="006D2ADB">
        <w:rPr>
          <w:lang w:eastAsia="en-US"/>
        </w:rPr>
        <w:t xml:space="preserve"> Plan</w:t>
      </w:r>
    </w:p>
    <w:p w14:paraId="78266706" w14:textId="58BBD4EA" w:rsidR="00876966" w:rsidRPr="000C3C50" w:rsidRDefault="00876966" w:rsidP="00876966">
      <w:pPr>
        <w:pStyle w:val="VEOHRCBodytext"/>
        <w:rPr>
          <w:lang w:eastAsia="en-US"/>
        </w:rPr>
      </w:pPr>
      <w:r w:rsidRPr="000C3C50">
        <w:rPr>
          <w:lang w:eastAsia="en-US"/>
        </w:rPr>
        <w:t>The Commission has established a working group to deliver a Disability Action Plan for 2018 and beyond, and has extended the 2015–17 plan to remain active for the interim</w:t>
      </w:r>
      <w:r w:rsidR="00BD66FB">
        <w:rPr>
          <w:lang w:eastAsia="en-US"/>
        </w:rPr>
        <w:t xml:space="preserve"> period</w:t>
      </w:r>
      <w:r w:rsidRPr="000C3C50">
        <w:rPr>
          <w:lang w:eastAsia="en-US"/>
        </w:rPr>
        <w:t xml:space="preserve">. </w:t>
      </w:r>
    </w:p>
    <w:p w14:paraId="744B4504" w14:textId="77777777" w:rsidR="00876966" w:rsidRPr="000C3C50" w:rsidRDefault="00876966" w:rsidP="00876966">
      <w:pPr>
        <w:pStyle w:val="VEOHRCBodytext"/>
        <w:rPr>
          <w:lang w:eastAsia="en-US"/>
        </w:rPr>
      </w:pPr>
      <w:r w:rsidRPr="000C3C50">
        <w:rPr>
          <w:lang w:eastAsia="en-US"/>
        </w:rPr>
        <w:t xml:space="preserve">The Disability Action Plan reflects our obligations under the </w:t>
      </w:r>
      <w:r w:rsidRPr="000C3C50">
        <w:rPr>
          <w:i/>
          <w:lang w:eastAsia="en-US"/>
        </w:rPr>
        <w:t>Disability Act 2006</w:t>
      </w:r>
      <w:r w:rsidRPr="000C3C50">
        <w:rPr>
          <w:lang w:eastAsia="en-US"/>
        </w:rPr>
        <w:t xml:space="preserve"> by:</w:t>
      </w:r>
    </w:p>
    <w:p w14:paraId="06A3A3C4" w14:textId="77777777" w:rsidR="00876966" w:rsidRPr="006D2ADB" w:rsidRDefault="00876966" w:rsidP="00876966">
      <w:pPr>
        <w:pStyle w:val="VEOHRCListBullet"/>
        <w:rPr>
          <w:lang w:eastAsia="en-US"/>
        </w:rPr>
      </w:pPr>
      <w:r w:rsidRPr="006D2ADB">
        <w:rPr>
          <w:lang w:eastAsia="en-US"/>
        </w:rPr>
        <w:t>reducing barriers to people with disabilities accessing the Commission’s goods, services and facilities</w:t>
      </w:r>
    </w:p>
    <w:p w14:paraId="4ECE4CAD" w14:textId="77777777" w:rsidR="00876966" w:rsidRPr="006D2ADB" w:rsidRDefault="00876966" w:rsidP="00876966">
      <w:pPr>
        <w:pStyle w:val="VEOHRCListBullet"/>
        <w:rPr>
          <w:lang w:eastAsia="en-US"/>
        </w:rPr>
      </w:pPr>
      <w:r w:rsidRPr="006D2ADB">
        <w:rPr>
          <w:lang w:eastAsia="en-US"/>
        </w:rPr>
        <w:t>reducing barriers to people with disabilities obtaining and maintaining employment with the Commission</w:t>
      </w:r>
    </w:p>
    <w:p w14:paraId="5B6064B5" w14:textId="77777777" w:rsidR="00876966" w:rsidRPr="006D2ADB" w:rsidRDefault="00876966" w:rsidP="00876966">
      <w:pPr>
        <w:pStyle w:val="VEOHRCListBullet"/>
        <w:rPr>
          <w:lang w:eastAsia="en-US"/>
        </w:rPr>
      </w:pPr>
      <w:r w:rsidRPr="006D2ADB">
        <w:rPr>
          <w:lang w:eastAsia="en-US"/>
        </w:rPr>
        <w:t>promoting inclusion and participation in the community of people with disabilities</w:t>
      </w:r>
    </w:p>
    <w:p w14:paraId="1C04681F" w14:textId="77777777" w:rsidR="00876966" w:rsidRPr="006D2ADB" w:rsidRDefault="00876966" w:rsidP="00876966">
      <w:pPr>
        <w:pStyle w:val="VEOHRCListBullet"/>
        <w:rPr>
          <w:lang w:eastAsia="en-US"/>
        </w:rPr>
      </w:pPr>
      <w:r w:rsidRPr="006D2ADB">
        <w:rPr>
          <w:lang w:eastAsia="en-US"/>
        </w:rPr>
        <w:t>achieving tangible changes in attitudes and practices that discriminate against people with disabilities.</w:t>
      </w:r>
    </w:p>
    <w:p w14:paraId="701B241B" w14:textId="77777777" w:rsidR="00876966" w:rsidRPr="006D2ADB" w:rsidRDefault="00876966" w:rsidP="00876966">
      <w:pPr>
        <w:pStyle w:val="VEOHRCBodytext"/>
        <w:rPr>
          <w:lang w:eastAsia="en-US"/>
        </w:rPr>
      </w:pPr>
      <w:r w:rsidRPr="006D2ADB">
        <w:rPr>
          <w:lang w:eastAsia="en-US"/>
        </w:rPr>
        <w:t xml:space="preserve">The plan will also form part of the Commission’s overall strategy of meeting its obligations under the Equal Opportunity Act, including the duty under section 15 of the Act to take steps to prevent and eliminate discrimination. </w:t>
      </w:r>
    </w:p>
    <w:p w14:paraId="5C451E83" w14:textId="77777777" w:rsidR="00876966" w:rsidRPr="00B80144" w:rsidRDefault="00876966" w:rsidP="00B80144">
      <w:pPr>
        <w:pStyle w:val="VEOHRCBodytext"/>
        <w:rPr>
          <w:lang w:eastAsia="en-US"/>
        </w:rPr>
      </w:pPr>
      <w:r w:rsidRPr="00B80144">
        <w:rPr>
          <w:lang w:eastAsia="en-US"/>
        </w:rPr>
        <w:t xml:space="preserve">The Commission updates progress on the Disability Action Plan on the website at </w:t>
      </w:r>
      <w:r w:rsidRPr="006D2ADB">
        <w:rPr>
          <w:rStyle w:val="VEOHRCURLChar"/>
          <w:lang w:val="en-GB" w:eastAsia="en-US"/>
        </w:rPr>
        <w:t>humanrightscommission.vic.gov.au/about-us/disability-action-plan</w:t>
      </w:r>
      <w:r w:rsidRPr="00B80144">
        <w:rPr>
          <w:lang w:eastAsia="en-US"/>
        </w:rPr>
        <w:t>.</w:t>
      </w:r>
      <w:r w:rsidRPr="006D2ADB">
        <w:rPr>
          <w:rStyle w:val="VEOHRCURLChar"/>
          <w:lang w:val="en-GB" w:eastAsia="en-US"/>
        </w:rPr>
        <w:t xml:space="preserve"> </w:t>
      </w:r>
      <w:r w:rsidRPr="00B80144">
        <w:rPr>
          <w:lang w:eastAsia="en-US"/>
        </w:rPr>
        <w:t>A report card on the three main objectives can be seen below.</w:t>
      </w:r>
    </w:p>
    <w:p w14:paraId="62B0676C" w14:textId="77777777" w:rsidR="00876966" w:rsidRDefault="00876966" w:rsidP="00B80144">
      <w:pPr>
        <w:pStyle w:val="VEOHRCBodytext"/>
        <w:rPr>
          <w:lang w:eastAsia="en-US"/>
        </w:rPr>
      </w:pPr>
    </w:p>
    <w:tbl>
      <w:tblPr>
        <w:tblW w:w="9498" w:type="dxa"/>
        <w:tblInd w:w="-14" w:type="dxa"/>
        <w:tblLayout w:type="fixed"/>
        <w:tblCellMar>
          <w:left w:w="0" w:type="dxa"/>
          <w:right w:w="0" w:type="dxa"/>
        </w:tblCellMar>
        <w:tblLook w:val="0000" w:firstRow="0" w:lastRow="0" w:firstColumn="0" w:lastColumn="0" w:noHBand="0" w:noVBand="0"/>
      </w:tblPr>
      <w:tblGrid>
        <w:gridCol w:w="4351"/>
        <w:gridCol w:w="5147"/>
      </w:tblGrid>
      <w:tr w:rsidR="00876966" w:rsidRPr="0077375F" w14:paraId="5752597E" w14:textId="77777777" w:rsidTr="00093E54">
        <w:trPr>
          <w:trHeight w:val="272"/>
        </w:trPr>
        <w:tc>
          <w:tcPr>
            <w:tcW w:w="9498" w:type="dxa"/>
            <w:gridSpan w:val="2"/>
            <w:tcBorders>
              <w:top w:val="single" w:sz="6" w:space="0" w:color="auto"/>
              <w:left w:val="single" w:sz="6" w:space="0" w:color="auto"/>
              <w:bottom w:val="single" w:sz="4" w:space="0" w:color="auto"/>
              <w:right w:val="single" w:sz="6" w:space="0" w:color="000000"/>
            </w:tcBorders>
            <w:shd w:val="clear" w:color="008DC0" w:fill="BFBFBF" w:themeFill="background1" w:themeFillShade="BF"/>
            <w:tcMar>
              <w:top w:w="170" w:type="dxa"/>
              <w:left w:w="170" w:type="dxa"/>
              <w:bottom w:w="170" w:type="dxa"/>
              <w:right w:w="170" w:type="dxa"/>
            </w:tcMar>
            <w:vAlign w:val="center"/>
          </w:tcPr>
          <w:p w14:paraId="247C804A" w14:textId="77777777" w:rsidR="00876966" w:rsidRPr="00290A9C" w:rsidRDefault="00876966" w:rsidP="00B80144">
            <w:pPr>
              <w:pStyle w:val="VEOHRCHeading3"/>
              <w:rPr>
                <w:rFonts w:ascii="ArialMT-Medium" w:hAnsi="ArialMT-Medium"/>
                <w:lang w:val="en-US" w:eastAsia="en-US"/>
              </w:rPr>
            </w:pPr>
            <w:r w:rsidRPr="00290A9C">
              <w:rPr>
                <w:lang w:eastAsia="en-US"/>
              </w:rPr>
              <w:t>Disability Action Plan Report Card</w:t>
            </w:r>
          </w:p>
        </w:tc>
      </w:tr>
      <w:tr w:rsidR="00876966" w:rsidRPr="0077375F" w14:paraId="5AD7F87E" w14:textId="77777777" w:rsidTr="00093E54">
        <w:trPr>
          <w:trHeight w:val="950"/>
        </w:trPr>
        <w:tc>
          <w:tcPr>
            <w:tcW w:w="4351" w:type="dxa"/>
            <w:tcBorders>
              <w:top w:val="single" w:sz="4" w:space="0" w:color="auto"/>
              <w:left w:val="single" w:sz="4" w:space="0" w:color="auto"/>
              <w:bottom w:val="single" w:sz="4" w:space="0" w:color="auto"/>
              <w:right w:val="single" w:sz="4" w:space="0" w:color="auto"/>
            </w:tcBorders>
            <w:tcMar>
              <w:top w:w="170" w:type="dxa"/>
              <w:left w:w="170" w:type="dxa"/>
              <w:bottom w:w="170" w:type="dxa"/>
              <w:right w:w="170" w:type="dxa"/>
            </w:tcMar>
          </w:tcPr>
          <w:p w14:paraId="0D4022F9" w14:textId="77777777" w:rsidR="00876966" w:rsidRPr="0077375F" w:rsidRDefault="00876966" w:rsidP="00B80144">
            <w:pPr>
              <w:pStyle w:val="VEOHRCBodytext"/>
              <w:rPr>
                <w:rFonts w:ascii="ArialMT-Light" w:hAnsi="ArialMT-Light" w:cs="ArialMT-Light"/>
                <w:color w:val="000000"/>
                <w:sz w:val="21"/>
                <w:szCs w:val="21"/>
                <w:lang w:eastAsia="en-US"/>
              </w:rPr>
            </w:pPr>
            <w:r w:rsidRPr="00672B77">
              <w:rPr>
                <w:lang w:eastAsia="en-US"/>
              </w:rPr>
              <w:t>OBJECTIVE: To reduce barriers to accessing the Commission’s goods, services and facilities.</w:t>
            </w:r>
          </w:p>
        </w:tc>
        <w:tc>
          <w:tcPr>
            <w:tcW w:w="5147" w:type="dxa"/>
            <w:tcBorders>
              <w:top w:val="single" w:sz="4" w:space="0" w:color="auto"/>
              <w:left w:val="single" w:sz="4" w:space="0" w:color="auto"/>
              <w:bottom w:val="single" w:sz="4" w:space="0" w:color="auto"/>
              <w:right w:val="single" w:sz="4" w:space="0" w:color="auto"/>
            </w:tcBorders>
            <w:tcMar>
              <w:top w:w="170" w:type="dxa"/>
              <w:left w:w="170" w:type="dxa"/>
              <w:bottom w:w="170" w:type="dxa"/>
              <w:right w:w="170" w:type="dxa"/>
            </w:tcMar>
          </w:tcPr>
          <w:p w14:paraId="708A6905" w14:textId="77777777" w:rsidR="00876966" w:rsidRPr="00672B77" w:rsidRDefault="00876966" w:rsidP="00093E54">
            <w:pPr>
              <w:pStyle w:val="VEOHRCBodytext"/>
              <w:rPr>
                <w:lang w:eastAsia="en-US"/>
              </w:rPr>
            </w:pPr>
            <w:r w:rsidRPr="00672B77">
              <w:rPr>
                <w:lang w:eastAsia="en-US"/>
              </w:rPr>
              <w:t>The Commission obtained and maintained accessibility accreditation, improved the accessibility of its premises, events and communication materials and provided training to staff on disability awareness and accessible communication.</w:t>
            </w:r>
          </w:p>
          <w:p w14:paraId="08EBD85C" w14:textId="77777777" w:rsidR="00876966" w:rsidRPr="0077375F" w:rsidRDefault="00876966" w:rsidP="00093E54">
            <w:pPr>
              <w:pStyle w:val="VEOHRCBodytext"/>
              <w:rPr>
                <w:lang w:eastAsia="en-US"/>
              </w:rPr>
            </w:pPr>
            <w:r w:rsidRPr="00672B77">
              <w:rPr>
                <w:lang w:eastAsia="en-US"/>
              </w:rPr>
              <w:t xml:space="preserve">Areas for future work include increasing the number of people with disabilities who contribute to research and assessing the Commission's training and evaluation processes for improvements. </w:t>
            </w:r>
          </w:p>
        </w:tc>
      </w:tr>
      <w:tr w:rsidR="00876966" w:rsidRPr="0077375F" w14:paraId="0C142A30" w14:textId="77777777" w:rsidTr="00093E54">
        <w:trPr>
          <w:trHeight w:val="950"/>
        </w:trPr>
        <w:tc>
          <w:tcPr>
            <w:tcW w:w="4351" w:type="dxa"/>
            <w:tcBorders>
              <w:top w:val="single" w:sz="4" w:space="0" w:color="auto"/>
              <w:left w:val="single" w:sz="4" w:space="0" w:color="auto"/>
              <w:bottom w:val="single" w:sz="4" w:space="0" w:color="auto"/>
              <w:right w:val="single" w:sz="4" w:space="0" w:color="auto"/>
            </w:tcBorders>
            <w:tcMar>
              <w:top w:w="170" w:type="dxa"/>
              <w:left w:w="170" w:type="dxa"/>
              <w:bottom w:w="170" w:type="dxa"/>
              <w:right w:w="170" w:type="dxa"/>
            </w:tcMar>
          </w:tcPr>
          <w:p w14:paraId="2A64E705" w14:textId="77777777" w:rsidR="00876966" w:rsidRPr="0077375F" w:rsidRDefault="00876966" w:rsidP="00B80144">
            <w:pPr>
              <w:pStyle w:val="VEOHRCBodytext"/>
              <w:rPr>
                <w:rFonts w:ascii="ArialMT-Light" w:hAnsi="ArialMT-Light" w:cs="ArialMT-Light"/>
                <w:color w:val="000000"/>
                <w:sz w:val="21"/>
                <w:szCs w:val="21"/>
                <w:lang w:eastAsia="en-US"/>
              </w:rPr>
            </w:pPr>
            <w:r w:rsidRPr="00672B77">
              <w:rPr>
                <w:lang w:eastAsia="en-US"/>
              </w:rPr>
              <w:t>OBJECTIVE: To reduce barriers to obtaining and maintaining employment with the Commission.</w:t>
            </w:r>
          </w:p>
        </w:tc>
        <w:tc>
          <w:tcPr>
            <w:tcW w:w="5147" w:type="dxa"/>
            <w:tcBorders>
              <w:top w:val="single" w:sz="4" w:space="0" w:color="auto"/>
              <w:left w:val="single" w:sz="4" w:space="0" w:color="auto"/>
              <w:bottom w:val="single" w:sz="4" w:space="0" w:color="auto"/>
              <w:right w:val="single" w:sz="4" w:space="0" w:color="auto"/>
            </w:tcBorders>
            <w:tcMar>
              <w:top w:w="170" w:type="dxa"/>
              <w:left w:w="170" w:type="dxa"/>
              <w:bottom w:w="170" w:type="dxa"/>
              <w:right w:w="170" w:type="dxa"/>
            </w:tcMar>
          </w:tcPr>
          <w:p w14:paraId="7BFF7E35" w14:textId="77777777" w:rsidR="00876966" w:rsidRPr="00672B77" w:rsidRDefault="00876966" w:rsidP="00093E54">
            <w:pPr>
              <w:pStyle w:val="VEOHRCBodytext"/>
              <w:rPr>
                <w:lang w:eastAsia="en-US"/>
              </w:rPr>
            </w:pPr>
            <w:r w:rsidRPr="00672B77">
              <w:rPr>
                <w:lang w:eastAsia="en-US"/>
              </w:rPr>
              <w:t>The Commission conducted a survey of staff to identify understanding of disability and potential barriers to employment. This showed staff with disabilities reported being able to participate in the working and social life of the Commission.</w:t>
            </w:r>
          </w:p>
          <w:p w14:paraId="1399BDD4" w14:textId="77777777" w:rsidR="00876966" w:rsidRPr="0077375F" w:rsidRDefault="00876966" w:rsidP="00093E54">
            <w:pPr>
              <w:pStyle w:val="VEOHRCBodytext"/>
              <w:rPr>
                <w:lang w:eastAsia="en-US"/>
              </w:rPr>
            </w:pPr>
            <w:r w:rsidRPr="00672B77">
              <w:rPr>
                <w:lang w:eastAsia="en-US"/>
              </w:rPr>
              <w:t>Areas for future work include establishing strategies to improve the recruitment and retention of employees with a disability.</w:t>
            </w:r>
          </w:p>
        </w:tc>
      </w:tr>
      <w:tr w:rsidR="00876966" w:rsidRPr="0077375F" w14:paraId="55E1CF3D" w14:textId="77777777" w:rsidTr="00093E54">
        <w:trPr>
          <w:trHeight w:val="950"/>
        </w:trPr>
        <w:tc>
          <w:tcPr>
            <w:tcW w:w="4351" w:type="dxa"/>
            <w:tcBorders>
              <w:top w:val="single" w:sz="4" w:space="0" w:color="auto"/>
              <w:left w:val="single" w:sz="4" w:space="0" w:color="auto"/>
              <w:bottom w:val="single" w:sz="4" w:space="0" w:color="auto"/>
              <w:right w:val="single" w:sz="4" w:space="0" w:color="auto"/>
            </w:tcBorders>
            <w:tcMar>
              <w:top w:w="170" w:type="dxa"/>
              <w:left w:w="170" w:type="dxa"/>
              <w:bottom w:w="170" w:type="dxa"/>
              <w:right w:w="170" w:type="dxa"/>
            </w:tcMar>
          </w:tcPr>
          <w:p w14:paraId="7CA32171" w14:textId="77777777" w:rsidR="00876966" w:rsidRPr="0077375F" w:rsidRDefault="00876966" w:rsidP="00B80144">
            <w:pPr>
              <w:pStyle w:val="VEOHRCBodytext"/>
              <w:rPr>
                <w:rFonts w:ascii="ArialMT-Light" w:hAnsi="ArialMT-Light" w:cs="ArialMT-Light"/>
                <w:color w:val="000000"/>
                <w:sz w:val="21"/>
                <w:szCs w:val="21"/>
                <w:lang w:eastAsia="en-US"/>
              </w:rPr>
            </w:pPr>
            <w:r w:rsidRPr="00672B77">
              <w:rPr>
                <w:lang w:eastAsia="en-US"/>
              </w:rPr>
              <w:t>OBJECTIVE: To promote inclusion and participation in the community and achieve tangible changes in attitudes and practices that discriminate against people with disabilities.</w:t>
            </w:r>
          </w:p>
        </w:tc>
        <w:tc>
          <w:tcPr>
            <w:tcW w:w="5147" w:type="dxa"/>
            <w:tcBorders>
              <w:top w:val="single" w:sz="4" w:space="0" w:color="auto"/>
              <w:left w:val="single" w:sz="4" w:space="0" w:color="auto"/>
              <w:bottom w:val="single" w:sz="4" w:space="0" w:color="auto"/>
              <w:right w:val="single" w:sz="4" w:space="0" w:color="auto"/>
            </w:tcBorders>
            <w:tcMar>
              <w:top w:w="170" w:type="dxa"/>
              <w:left w:w="170" w:type="dxa"/>
              <w:bottom w:w="170" w:type="dxa"/>
              <w:right w:w="170" w:type="dxa"/>
            </w:tcMar>
          </w:tcPr>
          <w:p w14:paraId="1946DA20" w14:textId="77777777" w:rsidR="00876966" w:rsidRPr="00672B77" w:rsidRDefault="00876966" w:rsidP="00093E54">
            <w:pPr>
              <w:pStyle w:val="VEOHRCBodytext"/>
              <w:rPr>
                <w:lang w:eastAsia="en-US"/>
              </w:rPr>
            </w:pPr>
            <w:r w:rsidRPr="00672B77">
              <w:rPr>
                <w:lang w:eastAsia="en-US"/>
              </w:rPr>
              <w:t>The Commission undertook projects to reduce barriers to participation in public life, promoted the positive contribution people with disabilities make to the community, and consulted the Commission's Disability Reference Group on its Strategic Plan 2017 – 2022 priority areas.</w:t>
            </w:r>
          </w:p>
          <w:p w14:paraId="4E2AAAA8" w14:textId="77777777" w:rsidR="00876966" w:rsidRPr="0077375F" w:rsidRDefault="00876966" w:rsidP="00093E54">
            <w:pPr>
              <w:pStyle w:val="VEOHRCBodytext"/>
              <w:rPr>
                <w:lang w:eastAsia="en-US"/>
              </w:rPr>
            </w:pPr>
            <w:r w:rsidRPr="00672B77">
              <w:rPr>
                <w:lang w:eastAsia="en-US"/>
              </w:rPr>
              <w:t>Areas for future work include increasing the Commission's ability to monitor and evaluate the impact of these actions and others.</w:t>
            </w:r>
          </w:p>
        </w:tc>
      </w:tr>
      <w:bookmarkEnd w:id="15"/>
    </w:tbl>
    <w:p w14:paraId="5FC198DE" w14:textId="392A9B40" w:rsidR="007602D5" w:rsidRPr="00B80144" w:rsidRDefault="007602D5" w:rsidP="00B80144">
      <w:pPr>
        <w:pStyle w:val="VEOHRCBodytext"/>
      </w:pPr>
      <w:r>
        <w:br w:type="page"/>
      </w:r>
    </w:p>
    <w:p w14:paraId="5D41166A" w14:textId="5A754414" w:rsidR="00080190" w:rsidRDefault="00E66F4B" w:rsidP="007602D5">
      <w:pPr>
        <w:pStyle w:val="VEOHRCChapterTitle"/>
      </w:pPr>
      <w:bookmarkStart w:id="16" w:name="_Toc524536478"/>
      <w:r>
        <w:lastRenderedPageBreak/>
        <w:t>Section 3: Compliance reporting</w:t>
      </w:r>
      <w:bookmarkEnd w:id="16"/>
    </w:p>
    <w:p w14:paraId="734A3136" w14:textId="77777777" w:rsidR="00D82397" w:rsidRPr="007B5FB0" w:rsidRDefault="00D82397" w:rsidP="00D82397">
      <w:pPr>
        <w:pStyle w:val="VEOHRCHeading1"/>
      </w:pPr>
      <w:bookmarkStart w:id="17" w:name="_Toc524536479"/>
      <w:r w:rsidRPr="007B5FB0">
        <w:t>Disclosure index</w:t>
      </w:r>
      <w:bookmarkEnd w:id="17"/>
    </w:p>
    <w:p w14:paraId="004ED28B" w14:textId="77777777" w:rsidR="00D82397" w:rsidRDefault="00D82397" w:rsidP="00D82397">
      <w:pPr>
        <w:pStyle w:val="VEOHRCBodytext"/>
      </w:pPr>
      <w:r w:rsidRPr="007B5FB0">
        <w:t>The annual report of the Commission is prepared in accordance with all relevant Victorian legislations and pronouncements. This index has been prepared to facilitate identification of the Department’s compliance with statutory disclosure requirements.</w:t>
      </w:r>
    </w:p>
    <w:tbl>
      <w:tblPr>
        <w:tblW w:w="9810" w:type="dxa"/>
        <w:tblInd w:w="28" w:type="dxa"/>
        <w:tblBorders>
          <w:bottom w:val="single" w:sz="12" w:space="0" w:color="auto"/>
        </w:tblBorders>
        <w:tblLayout w:type="fixed"/>
        <w:tblCellMar>
          <w:left w:w="57" w:type="dxa"/>
          <w:right w:w="57" w:type="dxa"/>
        </w:tblCellMar>
        <w:tblLook w:val="0620" w:firstRow="1" w:lastRow="0" w:firstColumn="0" w:lastColumn="0" w:noHBand="1" w:noVBand="1"/>
      </w:tblPr>
      <w:tblGrid>
        <w:gridCol w:w="2297"/>
        <w:gridCol w:w="4456"/>
        <w:gridCol w:w="1923"/>
        <w:gridCol w:w="1134"/>
      </w:tblGrid>
      <w:tr w:rsidR="00D82397" w:rsidRPr="00EE6FC1" w14:paraId="292480A0" w14:textId="77777777" w:rsidTr="009E359E">
        <w:trPr>
          <w:trHeight w:val="20"/>
          <w:tblHeader/>
        </w:trPr>
        <w:tc>
          <w:tcPr>
            <w:tcW w:w="2297" w:type="dxa"/>
            <w:tcBorders>
              <w:bottom w:val="nil"/>
            </w:tcBorders>
            <w:shd w:val="clear" w:color="auto" w:fill="000000"/>
            <w:vAlign w:val="bottom"/>
          </w:tcPr>
          <w:p w14:paraId="0A493250"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Legislation</w:t>
            </w:r>
          </w:p>
        </w:tc>
        <w:tc>
          <w:tcPr>
            <w:tcW w:w="4456" w:type="dxa"/>
            <w:tcBorders>
              <w:bottom w:val="nil"/>
            </w:tcBorders>
            <w:shd w:val="clear" w:color="auto" w:fill="000000"/>
            <w:vAlign w:val="bottom"/>
          </w:tcPr>
          <w:p w14:paraId="351BCA81"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Requirement</w:t>
            </w:r>
          </w:p>
        </w:tc>
        <w:tc>
          <w:tcPr>
            <w:tcW w:w="3057" w:type="dxa"/>
            <w:gridSpan w:val="2"/>
            <w:tcBorders>
              <w:bottom w:val="nil"/>
            </w:tcBorders>
            <w:shd w:val="clear" w:color="auto" w:fill="000000"/>
            <w:vAlign w:val="bottom"/>
          </w:tcPr>
          <w:p w14:paraId="06348D7C" w14:textId="77777777" w:rsidR="00D82397" w:rsidRPr="00EE6FC1" w:rsidRDefault="00D82397" w:rsidP="009E359E">
            <w:pPr>
              <w:tabs>
                <w:tab w:val="left" w:pos="2640"/>
              </w:tabs>
              <w:spacing w:beforeLines="20" w:before="48" w:afterLines="20" w:after="48"/>
              <w:jc w:val="right"/>
              <w:rPr>
                <w:rFonts w:eastAsia="Arial Unicode MS"/>
                <w:lang w:val="en-GB" w:eastAsia="en-US"/>
              </w:rPr>
            </w:pPr>
            <w:r w:rsidRPr="00EE6FC1">
              <w:rPr>
                <w:rFonts w:eastAsia="Arial Unicode MS"/>
                <w:lang w:val="en-GB" w:eastAsia="en-US"/>
              </w:rPr>
              <w:t>Page reference</w:t>
            </w:r>
          </w:p>
        </w:tc>
      </w:tr>
      <w:tr w:rsidR="00D82397" w:rsidRPr="00EE6FC1" w14:paraId="2CCB3666" w14:textId="77777777" w:rsidTr="009E359E">
        <w:trPr>
          <w:trHeight w:val="20"/>
          <w:tblHeader/>
        </w:trPr>
        <w:tc>
          <w:tcPr>
            <w:tcW w:w="9810" w:type="dxa"/>
            <w:gridSpan w:val="4"/>
            <w:tcBorders>
              <w:bottom w:val="nil"/>
            </w:tcBorders>
            <w:shd w:val="clear" w:color="auto" w:fill="595959"/>
          </w:tcPr>
          <w:p w14:paraId="786744E6" w14:textId="77777777" w:rsidR="00D82397" w:rsidRPr="00EE6FC1" w:rsidRDefault="00D82397" w:rsidP="009E359E">
            <w:pPr>
              <w:tabs>
                <w:tab w:val="left" w:pos="2640"/>
              </w:tabs>
              <w:spacing w:beforeLines="20" w:before="48" w:afterLines="20" w:after="48"/>
              <w:rPr>
                <w:rFonts w:eastAsia="Arial Unicode MS"/>
                <w:color w:val="FFFFFF"/>
                <w:lang w:val="en-GB" w:eastAsia="en-US"/>
              </w:rPr>
            </w:pPr>
            <w:bookmarkStart w:id="18" w:name="_Toc133137617"/>
            <w:bookmarkStart w:id="19" w:name="_Toc133203935"/>
            <w:r w:rsidRPr="00EE6FC1">
              <w:rPr>
                <w:rFonts w:eastAsia="Arial Unicode MS"/>
                <w:color w:val="FFFFFF"/>
                <w:lang w:val="en-GB" w:eastAsia="en-US"/>
              </w:rPr>
              <w:t>Ministerial Directions</w:t>
            </w:r>
            <w:bookmarkEnd w:id="18"/>
            <w:bookmarkEnd w:id="19"/>
            <w:r w:rsidRPr="00EE6FC1">
              <w:rPr>
                <w:rFonts w:eastAsia="Arial Unicode MS"/>
                <w:color w:val="FFFFFF"/>
                <w:lang w:val="en-GB" w:eastAsia="en-US"/>
              </w:rPr>
              <w:t xml:space="preserve"> &amp; Financial Reporting Directions</w:t>
            </w:r>
          </w:p>
        </w:tc>
      </w:tr>
      <w:tr w:rsidR="00D82397" w:rsidRPr="00EE6FC1" w14:paraId="1B77BE8B" w14:textId="77777777" w:rsidTr="009E359E">
        <w:trPr>
          <w:trHeight w:val="20"/>
        </w:trPr>
        <w:tc>
          <w:tcPr>
            <w:tcW w:w="9810" w:type="dxa"/>
            <w:gridSpan w:val="4"/>
            <w:tcBorders>
              <w:top w:val="nil"/>
              <w:bottom w:val="nil"/>
            </w:tcBorders>
            <w:shd w:val="clear" w:color="auto" w:fill="EBEBEB"/>
          </w:tcPr>
          <w:p w14:paraId="0AF2B0DD"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 xml:space="preserve">Report of operations </w:t>
            </w:r>
          </w:p>
        </w:tc>
      </w:tr>
      <w:tr w:rsidR="00D82397" w:rsidRPr="00EE6FC1" w14:paraId="2A91DCAF" w14:textId="77777777" w:rsidTr="009E359E">
        <w:trPr>
          <w:trHeight w:val="20"/>
        </w:trPr>
        <w:tc>
          <w:tcPr>
            <w:tcW w:w="9810" w:type="dxa"/>
            <w:gridSpan w:val="4"/>
            <w:tcBorders>
              <w:top w:val="nil"/>
            </w:tcBorders>
            <w:shd w:val="clear" w:color="auto" w:fill="auto"/>
          </w:tcPr>
          <w:p w14:paraId="5BD58D12" w14:textId="77777777" w:rsidR="00D82397" w:rsidRPr="00EE6FC1" w:rsidRDefault="00D82397" w:rsidP="009E359E">
            <w:pPr>
              <w:tabs>
                <w:tab w:val="left" w:pos="2640"/>
              </w:tabs>
              <w:spacing w:beforeLines="20" w:before="48" w:afterLines="20" w:after="48"/>
              <w:rPr>
                <w:rFonts w:eastAsia="Arial Unicode MS"/>
                <w:b/>
                <w:lang w:val="en-GB" w:eastAsia="en-US"/>
              </w:rPr>
            </w:pPr>
            <w:r w:rsidRPr="00EE6FC1">
              <w:rPr>
                <w:rFonts w:eastAsia="Arial Unicode MS"/>
                <w:b/>
                <w:lang w:val="en-GB" w:eastAsia="en-US"/>
              </w:rPr>
              <w:t>Charter and purpose</w:t>
            </w:r>
          </w:p>
        </w:tc>
      </w:tr>
      <w:tr w:rsidR="00D82397" w:rsidRPr="00EE6FC1" w14:paraId="09C61DA7" w14:textId="77777777" w:rsidTr="009E359E">
        <w:trPr>
          <w:trHeight w:val="20"/>
        </w:trPr>
        <w:tc>
          <w:tcPr>
            <w:tcW w:w="2297" w:type="dxa"/>
            <w:shd w:val="clear" w:color="auto" w:fill="auto"/>
          </w:tcPr>
          <w:p w14:paraId="38CBE3B1"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FRD 22H</w:t>
            </w:r>
          </w:p>
        </w:tc>
        <w:tc>
          <w:tcPr>
            <w:tcW w:w="6379" w:type="dxa"/>
            <w:gridSpan w:val="2"/>
            <w:shd w:val="clear" w:color="auto" w:fill="auto"/>
          </w:tcPr>
          <w:p w14:paraId="00EAC709"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Manner of establishment and the relevant Ministers</w:t>
            </w:r>
          </w:p>
        </w:tc>
        <w:tc>
          <w:tcPr>
            <w:tcW w:w="1134" w:type="dxa"/>
            <w:shd w:val="clear" w:color="auto" w:fill="auto"/>
          </w:tcPr>
          <w:p w14:paraId="49E24D8E"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Page</w:t>
            </w:r>
          </w:p>
        </w:tc>
      </w:tr>
      <w:tr w:rsidR="00D82397" w:rsidRPr="00EE6FC1" w14:paraId="2171D894" w14:textId="77777777" w:rsidTr="009E359E">
        <w:trPr>
          <w:trHeight w:val="20"/>
        </w:trPr>
        <w:tc>
          <w:tcPr>
            <w:tcW w:w="2297" w:type="dxa"/>
            <w:shd w:val="clear" w:color="auto" w:fill="auto"/>
          </w:tcPr>
          <w:p w14:paraId="106C3F2D"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FRD 22H</w:t>
            </w:r>
          </w:p>
        </w:tc>
        <w:tc>
          <w:tcPr>
            <w:tcW w:w="6379" w:type="dxa"/>
            <w:gridSpan w:val="2"/>
            <w:shd w:val="clear" w:color="auto" w:fill="auto"/>
          </w:tcPr>
          <w:p w14:paraId="23C05AF8"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 xml:space="preserve">Purpose, functions, powers and duties </w:t>
            </w:r>
          </w:p>
        </w:tc>
        <w:tc>
          <w:tcPr>
            <w:tcW w:w="1134" w:type="dxa"/>
            <w:shd w:val="clear" w:color="auto" w:fill="auto"/>
          </w:tcPr>
          <w:p w14:paraId="256EA9B9" w14:textId="77777777" w:rsidR="00D82397" w:rsidRPr="00EE6FC1" w:rsidRDefault="00D82397" w:rsidP="009E359E">
            <w:pPr>
              <w:tabs>
                <w:tab w:val="left" w:pos="2640"/>
              </w:tabs>
              <w:spacing w:beforeLines="20" w:before="48" w:afterLines="20" w:after="48"/>
              <w:rPr>
                <w:rFonts w:eastAsia="Arial Unicode MS"/>
                <w:lang w:val="en-GB"/>
              </w:rPr>
            </w:pPr>
            <w:r w:rsidRPr="00EE6FC1">
              <w:rPr>
                <w:rFonts w:eastAsia="Arial Unicode MS"/>
                <w:lang w:val="en-GB" w:eastAsia="en-US"/>
              </w:rPr>
              <w:t>Page</w:t>
            </w:r>
          </w:p>
        </w:tc>
      </w:tr>
      <w:tr w:rsidR="00D82397" w:rsidRPr="00EE6FC1" w14:paraId="10CB4D85" w14:textId="77777777" w:rsidTr="009E359E">
        <w:trPr>
          <w:trHeight w:val="20"/>
        </w:trPr>
        <w:tc>
          <w:tcPr>
            <w:tcW w:w="2297" w:type="dxa"/>
            <w:shd w:val="clear" w:color="auto" w:fill="auto"/>
          </w:tcPr>
          <w:p w14:paraId="278E6C5A"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 xml:space="preserve">FRD 8D </w:t>
            </w:r>
          </w:p>
        </w:tc>
        <w:tc>
          <w:tcPr>
            <w:tcW w:w="6379" w:type="dxa"/>
            <w:gridSpan w:val="2"/>
            <w:shd w:val="clear" w:color="auto" w:fill="auto"/>
          </w:tcPr>
          <w:p w14:paraId="1DDF7038"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Departmental objectives, indicators and outputs</w:t>
            </w:r>
          </w:p>
        </w:tc>
        <w:tc>
          <w:tcPr>
            <w:tcW w:w="1134" w:type="dxa"/>
            <w:shd w:val="clear" w:color="auto" w:fill="auto"/>
          </w:tcPr>
          <w:p w14:paraId="1FE0DEAD" w14:textId="77777777" w:rsidR="00D82397" w:rsidRPr="00EE6FC1" w:rsidRDefault="00D82397" w:rsidP="009E359E">
            <w:pPr>
              <w:tabs>
                <w:tab w:val="left" w:pos="2640"/>
              </w:tabs>
              <w:spacing w:beforeLines="20" w:before="48" w:afterLines="20" w:after="48"/>
              <w:rPr>
                <w:rFonts w:eastAsia="Arial Unicode MS"/>
                <w:lang w:val="en-GB"/>
              </w:rPr>
            </w:pPr>
            <w:r w:rsidRPr="00EE6FC1">
              <w:rPr>
                <w:rFonts w:eastAsia="Arial Unicode MS"/>
                <w:lang w:val="en-GB" w:eastAsia="en-US"/>
              </w:rPr>
              <w:t>Page</w:t>
            </w:r>
          </w:p>
        </w:tc>
      </w:tr>
      <w:tr w:rsidR="00D82397" w:rsidRPr="00EE6FC1" w14:paraId="57C4E0E2" w14:textId="77777777" w:rsidTr="009E359E">
        <w:trPr>
          <w:trHeight w:val="20"/>
        </w:trPr>
        <w:tc>
          <w:tcPr>
            <w:tcW w:w="2297" w:type="dxa"/>
            <w:shd w:val="clear" w:color="auto" w:fill="auto"/>
          </w:tcPr>
          <w:p w14:paraId="6269A368"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FRD 22H</w:t>
            </w:r>
          </w:p>
        </w:tc>
        <w:tc>
          <w:tcPr>
            <w:tcW w:w="6379" w:type="dxa"/>
            <w:gridSpan w:val="2"/>
            <w:shd w:val="clear" w:color="auto" w:fill="auto"/>
          </w:tcPr>
          <w:p w14:paraId="09AEC08D"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Key initiatives and projects</w:t>
            </w:r>
          </w:p>
        </w:tc>
        <w:tc>
          <w:tcPr>
            <w:tcW w:w="1134" w:type="dxa"/>
            <w:shd w:val="clear" w:color="auto" w:fill="auto"/>
          </w:tcPr>
          <w:p w14:paraId="101D86B1" w14:textId="77777777" w:rsidR="00D82397" w:rsidRPr="00EE6FC1" w:rsidRDefault="00D82397" w:rsidP="009E359E">
            <w:pPr>
              <w:tabs>
                <w:tab w:val="left" w:pos="2640"/>
              </w:tabs>
              <w:spacing w:beforeLines="20" w:before="48" w:afterLines="20" w:after="48"/>
              <w:rPr>
                <w:rFonts w:eastAsia="Arial Unicode MS"/>
                <w:lang w:val="en-GB"/>
              </w:rPr>
            </w:pPr>
            <w:r w:rsidRPr="00EE6FC1">
              <w:rPr>
                <w:rFonts w:eastAsia="Arial Unicode MS"/>
                <w:lang w:val="en-GB" w:eastAsia="en-US"/>
              </w:rPr>
              <w:t>Page</w:t>
            </w:r>
          </w:p>
        </w:tc>
      </w:tr>
      <w:tr w:rsidR="00D82397" w:rsidRPr="00EE6FC1" w14:paraId="23E93338" w14:textId="77777777" w:rsidTr="009E359E">
        <w:trPr>
          <w:trHeight w:val="20"/>
        </w:trPr>
        <w:tc>
          <w:tcPr>
            <w:tcW w:w="2297" w:type="dxa"/>
            <w:shd w:val="clear" w:color="auto" w:fill="auto"/>
          </w:tcPr>
          <w:p w14:paraId="36F41ADD"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FRD 22H</w:t>
            </w:r>
          </w:p>
        </w:tc>
        <w:tc>
          <w:tcPr>
            <w:tcW w:w="6379" w:type="dxa"/>
            <w:gridSpan w:val="2"/>
            <w:shd w:val="clear" w:color="auto" w:fill="auto"/>
          </w:tcPr>
          <w:p w14:paraId="4DB7652E"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Nature and range of services provided</w:t>
            </w:r>
          </w:p>
        </w:tc>
        <w:tc>
          <w:tcPr>
            <w:tcW w:w="1134" w:type="dxa"/>
            <w:shd w:val="clear" w:color="auto" w:fill="auto"/>
          </w:tcPr>
          <w:p w14:paraId="0FB167D6" w14:textId="77777777" w:rsidR="00D82397" w:rsidRPr="00EE6FC1" w:rsidRDefault="00D82397" w:rsidP="009E359E">
            <w:pPr>
              <w:tabs>
                <w:tab w:val="left" w:pos="2640"/>
              </w:tabs>
              <w:spacing w:beforeLines="20" w:before="48" w:afterLines="20" w:after="48"/>
              <w:rPr>
                <w:rFonts w:eastAsia="Arial Unicode MS"/>
                <w:lang w:val="en-GB"/>
              </w:rPr>
            </w:pPr>
            <w:r w:rsidRPr="00EE6FC1">
              <w:rPr>
                <w:rFonts w:eastAsia="Arial Unicode MS"/>
                <w:lang w:val="en-GB" w:eastAsia="en-US"/>
              </w:rPr>
              <w:t>Page</w:t>
            </w:r>
          </w:p>
        </w:tc>
      </w:tr>
      <w:tr w:rsidR="00D82397" w:rsidRPr="00EE6FC1" w14:paraId="7D4D4C77" w14:textId="77777777" w:rsidTr="009E359E">
        <w:trPr>
          <w:trHeight w:val="20"/>
        </w:trPr>
        <w:tc>
          <w:tcPr>
            <w:tcW w:w="9810" w:type="dxa"/>
            <w:gridSpan w:val="4"/>
            <w:shd w:val="clear" w:color="auto" w:fill="auto"/>
          </w:tcPr>
          <w:p w14:paraId="445EA0D8" w14:textId="77777777" w:rsidR="00D82397" w:rsidRPr="00EE6FC1" w:rsidRDefault="00D82397" w:rsidP="009E359E">
            <w:pPr>
              <w:tabs>
                <w:tab w:val="left" w:pos="2640"/>
              </w:tabs>
              <w:spacing w:beforeLines="20" w:before="48" w:afterLines="20" w:after="48"/>
              <w:rPr>
                <w:rFonts w:eastAsia="Arial Unicode MS"/>
                <w:b/>
                <w:lang w:val="en-GB" w:eastAsia="en-US"/>
              </w:rPr>
            </w:pPr>
            <w:r w:rsidRPr="00EE6FC1">
              <w:rPr>
                <w:rFonts w:eastAsia="Arial Unicode MS"/>
                <w:b/>
                <w:lang w:val="en-GB" w:eastAsia="en-US"/>
              </w:rPr>
              <w:t>Management and structure</w:t>
            </w:r>
          </w:p>
        </w:tc>
      </w:tr>
      <w:tr w:rsidR="00D82397" w:rsidRPr="00EE6FC1" w14:paraId="0D1C43E5" w14:textId="77777777" w:rsidTr="009E359E">
        <w:trPr>
          <w:trHeight w:val="20"/>
        </w:trPr>
        <w:tc>
          <w:tcPr>
            <w:tcW w:w="2297" w:type="dxa"/>
            <w:shd w:val="clear" w:color="auto" w:fill="auto"/>
          </w:tcPr>
          <w:p w14:paraId="197B74CF"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FRD 22H</w:t>
            </w:r>
          </w:p>
        </w:tc>
        <w:tc>
          <w:tcPr>
            <w:tcW w:w="6379" w:type="dxa"/>
            <w:gridSpan w:val="2"/>
            <w:shd w:val="clear" w:color="auto" w:fill="auto"/>
          </w:tcPr>
          <w:p w14:paraId="303CDB2D"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 xml:space="preserve">Organisational structure </w:t>
            </w:r>
          </w:p>
        </w:tc>
        <w:tc>
          <w:tcPr>
            <w:tcW w:w="1134" w:type="dxa"/>
            <w:shd w:val="clear" w:color="auto" w:fill="auto"/>
          </w:tcPr>
          <w:p w14:paraId="29B12D1C" w14:textId="77777777" w:rsidR="00D82397" w:rsidRPr="00EE6FC1" w:rsidRDefault="00D82397" w:rsidP="009E359E">
            <w:pPr>
              <w:tabs>
                <w:tab w:val="left" w:pos="2640"/>
              </w:tabs>
              <w:spacing w:beforeLines="20" w:before="48" w:afterLines="20" w:after="48"/>
              <w:rPr>
                <w:rFonts w:eastAsia="Arial Unicode MS"/>
                <w:lang w:val="en-GB" w:eastAsia="en-US"/>
              </w:rPr>
            </w:pPr>
          </w:p>
        </w:tc>
      </w:tr>
      <w:tr w:rsidR="00D82397" w:rsidRPr="00EE6FC1" w14:paraId="1E5D3F8F" w14:textId="77777777" w:rsidTr="009E359E">
        <w:trPr>
          <w:trHeight w:val="20"/>
        </w:trPr>
        <w:tc>
          <w:tcPr>
            <w:tcW w:w="9810" w:type="dxa"/>
            <w:gridSpan w:val="4"/>
            <w:shd w:val="clear" w:color="auto" w:fill="auto"/>
          </w:tcPr>
          <w:p w14:paraId="10656EED" w14:textId="77777777" w:rsidR="00D82397" w:rsidRPr="00EE6FC1" w:rsidRDefault="00D82397" w:rsidP="009E359E">
            <w:pPr>
              <w:tabs>
                <w:tab w:val="left" w:pos="2640"/>
              </w:tabs>
              <w:spacing w:beforeLines="20" w:before="48" w:afterLines="20" w:after="48"/>
              <w:rPr>
                <w:rFonts w:eastAsia="Arial Unicode MS"/>
                <w:b/>
                <w:lang w:val="en-GB" w:eastAsia="en-US"/>
              </w:rPr>
            </w:pPr>
            <w:r w:rsidRPr="00EE6FC1">
              <w:rPr>
                <w:rFonts w:eastAsia="Arial Unicode MS"/>
                <w:b/>
                <w:lang w:val="en-GB" w:eastAsia="en-US"/>
              </w:rPr>
              <w:t>Financial and other information</w:t>
            </w:r>
          </w:p>
        </w:tc>
      </w:tr>
      <w:tr w:rsidR="00D82397" w:rsidRPr="00EE6FC1" w14:paraId="62697123" w14:textId="77777777" w:rsidTr="009E359E">
        <w:trPr>
          <w:trHeight w:val="20"/>
        </w:trPr>
        <w:tc>
          <w:tcPr>
            <w:tcW w:w="2297" w:type="dxa"/>
            <w:shd w:val="clear" w:color="auto" w:fill="auto"/>
          </w:tcPr>
          <w:p w14:paraId="7A5C1308"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 xml:space="preserve">FRD 10A </w:t>
            </w:r>
          </w:p>
        </w:tc>
        <w:tc>
          <w:tcPr>
            <w:tcW w:w="6379" w:type="dxa"/>
            <w:gridSpan w:val="2"/>
            <w:shd w:val="clear" w:color="auto" w:fill="auto"/>
          </w:tcPr>
          <w:p w14:paraId="3953220D"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Disclosure index</w:t>
            </w:r>
          </w:p>
        </w:tc>
        <w:tc>
          <w:tcPr>
            <w:tcW w:w="1134" w:type="dxa"/>
            <w:shd w:val="clear" w:color="auto" w:fill="auto"/>
          </w:tcPr>
          <w:p w14:paraId="454E2836" w14:textId="77777777" w:rsidR="00D82397" w:rsidRPr="00EE6FC1" w:rsidRDefault="00D82397" w:rsidP="009E359E">
            <w:pPr>
              <w:tabs>
                <w:tab w:val="left" w:pos="2640"/>
              </w:tabs>
              <w:spacing w:beforeLines="20" w:before="48" w:afterLines="20" w:after="48"/>
              <w:rPr>
                <w:rFonts w:eastAsia="Arial Unicode MS"/>
                <w:lang w:val="en-GB"/>
              </w:rPr>
            </w:pPr>
            <w:r w:rsidRPr="00EE6FC1">
              <w:rPr>
                <w:rFonts w:eastAsia="Arial Unicode MS"/>
                <w:lang w:val="en-GB" w:eastAsia="en-US"/>
              </w:rPr>
              <w:t>Page</w:t>
            </w:r>
          </w:p>
        </w:tc>
      </w:tr>
      <w:tr w:rsidR="00D82397" w:rsidRPr="00EE6FC1" w14:paraId="69B13F42" w14:textId="77777777" w:rsidTr="009E359E">
        <w:trPr>
          <w:trHeight w:val="20"/>
        </w:trPr>
        <w:tc>
          <w:tcPr>
            <w:tcW w:w="2297" w:type="dxa"/>
            <w:shd w:val="clear" w:color="auto" w:fill="auto"/>
          </w:tcPr>
          <w:p w14:paraId="02263D89"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FRD 22H</w:t>
            </w:r>
          </w:p>
        </w:tc>
        <w:tc>
          <w:tcPr>
            <w:tcW w:w="6379" w:type="dxa"/>
            <w:gridSpan w:val="2"/>
            <w:shd w:val="clear" w:color="auto" w:fill="auto"/>
          </w:tcPr>
          <w:p w14:paraId="101360E0"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 xml:space="preserve">Summary of the financial results for the year </w:t>
            </w:r>
          </w:p>
        </w:tc>
        <w:tc>
          <w:tcPr>
            <w:tcW w:w="1134" w:type="dxa"/>
            <w:shd w:val="clear" w:color="auto" w:fill="auto"/>
          </w:tcPr>
          <w:p w14:paraId="52783C61" w14:textId="77777777" w:rsidR="00D82397" w:rsidRPr="00EE6FC1" w:rsidRDefault="00D82397" w:rsidP="009E359E">
            <w:pPr>
              <w:tabs>
                <w:tab w:val="left" w:pos="2640"/>
              </w:tabs>
              <w:spacing w:beforeLines="20" w:before="48" w:afterLines="20" w:after="48"/>
              <w:rPr>
                <w:rFonts w:eastAsia="Arial Unicode MS"/>
                <w:lang w:val="en-GB"/>
              </w:rPr>
            </w:pPr>
            <w:r w:rsidRPr="00EE6FC1">
              <w:rPr>
                <w:rFonts w:eastAsia="Arial Unicode MS"/>
                <w:lang w:val="en-GB" w:eastAsia="en-US"/>
              </w:rPr>
              <w:t>Page</w:t>
            </w:r>
          </w:p>
        </w:tc>
      </w:tr>
      <w:tr w:rsidR="00D82397" w:rsidRPr="00EE6FC1" w14:paraId="182281BB" w14:textId="77777777" w:rsidTr="009E359E">
        <w:trPr>
          <w:trHeight w:val="20"/>
        </w:trPr>
        <w:tc>
          <w:tcPr>
            <w:tcW w:w="2297" w:type="dxa"/>
            <w:shd w:val="clear" w:color="auto" w:fill="auto"/>
          </w:tcPr>
          <w:p w14:paraId="4FD4C801"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FRD 22H</w:t>
            </w:r>
          </w:p>
        </w:tc>
        <w:tc>
          <w:tcPr>
            <w:tcW w:w="6379" w:type="dxa"/>
            <w:gridSpan w:val="2"/>
            <w:shd w:val="clear" w:color="auto" w:fill="auto"/>
          </w:tcPr>
          <w:p w14:paraId="31099FF6"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 xml:space="preserve">Significant changes in financial position during the year </w:t>
            </w:r>
          </w:p>
        </w:tc>
        <w:tc>
          <w:tcPr>
            <w:tcW w:w="1134" w:type="dxa"/>
            <w:shd w:val="clear" w:color="auto" w:fill="auto"/>
          </w:tcPr>
          <w:p w14:paraId="594A72C9" w14:textId="77777777" w:rsidR="00D82397" w:rsidRPr="00EE6FC1" w:rsidRDefault="00D82397" w:rsidP="009E359E">
            <w:pPr>
              <w:tabs>
                <w:tab w:val="left" w:pos="2640"/>
              </w:tabs>
              <w:spacing w:beforeLines="20" w:before="48" w:afterLines="20" w:after="48"/>
              <w:rPr>
                <w:rFonts w:eastAsia="Arial Unicode MS"/>
                <w:lang w:val="en-GB"/>
              </w:rPr>
            </w:pPr>
            <w:r w:rsidRPr="00EE6FC1">
              <w:rPr>
                <w:rFonts w:eastAsia="Arial Unicode MS"/>
                <w:lang w:val="en-GB" w:eastAsia="en-US"/>
              </w:rPr>
              <w:t>Page</w:t>
            </w:r>
          </w:p>
        </w:tc>
      </w:tr>
      <w:tr w:rsidR="00D82397" w:rsidRPr="00EE6FC1" w14:paraId="3E8B0434" w14:textId="77777777" w:rsidTr="009E359E">
        <w:trPr>
          <w:trHeight w:val="20"/>
        </w:trPr>
        <w:tc>
          <w:tcPr>
            <w:tcW w:w="2297" w:type="dxa"/>
            <w:shd w:val="clear" w:color="auto" w:fill="auto"/>
          </w:tcPr>
          <w:p w14:paraId="7ED7AE4F"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FRD 22H</w:t>
            </w:r>
          </w:p>
        </w:tc>
        <w:tc>
          <w:tcPr>
            <w:tcW w:w="6379" w:type="dxa"/>
            <w:gridSpan w:val="2"/>
            <w:shd w:val="clear" w:color="auto" w:fill="auto"/>
          </w:tcPr>
          <w:p w14:paraId="33470290"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 xml:space="preserve">Major changes or factors affecting performance </w:t>
            </w:r>
          </w:p>
        </w:tc>
        <w:tc>
          <w:tcPr>
            <w:tcW w:w="1134" w:type="dxa"/>
            <w:shd w:val="clear" w:color="auto" w:fill="auto"/>
          </w:tcPr>
          <w:p w14:paraId="463A1D83" w14:textId="77777777" w:rsidR="00D82397" w:rsidRPr="00EE6FC1" w:rsidRDefault="00D82397" w:rsidP="009E359E">
            <w:pPr>
              <w:tabs>
                <w:tab w:val="left" w:pos="2640"/>
              </w:tabs>
              <w:spacing w:beforeLines="20" w:before="48" w:afterLines="20" w:after="48"/>
              <w:rPr>
                <w:rFonts w:eastAsia="Arial Unicode MS"/>
                <w:lang w:val="en-GB"/>
              </w:rPr>
            </w:pPr>
            <w:r w:rsidRPr="00EE6FC1">
              <w:rPr>
                <w:rFonts w:eastAsia="Arial Unicode MS"/>
                <w:lang w:val="en-GB" w:eastAsia="en-US"/>
              </w:rPr>
              <w:t>Page</w:t>
            </w:r>
          </w:p>
        </w:tc>
      </w:tr>
      <w:tr w:rsidR="00D82397" w:rsidRPr="00EE6FC1" w14:paraId="1F7E6824" w14:textId="77777777" w:rsidTr="009E359E">
        <w:trPr>
          <w:trHeight w:val="20"/>
        </w:trPr>
        <w:tc>
          <w:tcPr>
            <w:tcW w:w="2297" w:type="dxa"/>
            <w:shd w:val="clear" w:color="auto" w:fill="auto"/>
          </w:tcPr>
          <w:p w14:paraId="762D2205"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FRD 22H</w:t>
            </w:r>
          </w:p>
        </w:tc>
        <w:tc>
          <w:tcPr>
            <w:tcW w:w="6379" w:type="dxa"/>
            <w:gridSpan w:val="2"/>
            <w:shd w:val="clear" w:color="auto" w:fill="auto"/>
          </w:tcPr>
          <w:p w14:paraId="3C7EFF92"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Subsequent events</w:t>
            </w:r>
          </w:p>
        </w:tc>
        <w:tc>
          <w:tcPr>
            <w:tcW w:w="1134" w:type="dxa"/>
            <w:shd w:val="clear" w:color="auto" w:fill="auto"/>
          </w:tcPr>
          <w:p w14:paraId="6F1F514A" w14:textId="77777777" w:rsidR="00D82397" w:rsidRPr="00EE6FC1" w:rsidRDefault="00D82397" w:rsidP="009E359E">
            <w:pPr>
              <w:tabs>
                <w:tab w:val="left" w:pos="2640"/>
              </w:tabs>
              <w:spacing w:beforeLines="20" w:before="48" w:afterLines="20" w:after="48"/>
              <w:rPr>
                <w:rFonts w:eastAsia="Arial Unicode MS"/>
                <w:lang w:val="en-GB"/>
              </w:rPr>
            </w:pPr>
            <w:r w:rsidRPr="00EE6FC1">
              <w:rPr>
                <w:rFonts w:eastAsia="Arial Unicode MS"/>
                <w:lang w:val="en-GB" w:eastAsia="en-US"/>
              </w:rPr>
              <w:t>Page</w:t>
            </w:r>
          </w:p>
        </w:tc>
      </w:tr>
      <w:tr w:rsidR="00D82397" w:rsidRPr="00EE6FC1" w14:paraId="39C1D26E" w14:textId="77777777" w:rsidTr="009E359E">
        <w:trPr>
          <w:trHeight w:val="20"/>
        </w:trPr>
        <w:tc>
          <w:tcPr>
            <w:tcW w:w="2297" w:type="dxa"/>
            <w:shd w:val="clear" w:color="auto" w:fill="auto"/>
          </w:tcPr>
          <w:p w14:paraId="4F6DE20D"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 xml:space="preserve">FRD 15E </w:t>
            </w:r>
          </w:p>
        </w:tc>
        <w:tc>
          <w:tcPr>
            <w:tcW w:w="6379" w:type="dxa"/>
            <w:gridSpan w:val="2"/>
            <w:shd w:val="clear" w:color="auto" w:fill="auto"/>
          </w:tcPr>
          <w:p w14:paraId="4585F6AC"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Executive officer disclosures</w:t>
            </w:r>
          </w:p>
        </w:tc>
        <w:tc>
          <w:tcPr>
            <w:tcW w:w="1134" w:type="dxa"/>
            <w:shd w:val="clear" w:color="auto" w:fill="auto"/>
          </w:tcPr>
          <w:p w14:paraId="3F54F82E" w14:textId="77777777" w:rsidR="00D82397" w:rsidRPr="00EE6FC1" w:rsidRDefault="00D82397" w:rsidP="009E359E">
            <w:pPr>
              <w:tabs>
                <w:tab w:val="left" w:pos="2640"/>
              </w:tabs>
              <w:spacing w:beforeLines="20" w:before="48" w:afterLines="20" w:after="48"/>
              <w:rPr>
                <w:rFonts w:eastAsia="Arial Unicode MS"/>
                <w:lang w:val="en-GB"/>
              </w:rPr>
            </w:pPr>
            <w:r w:rsidRPr="00EE6FC1">
              <w:rPr>
                <w:rFonts w:eastAsia="Arial Unicode MS"/>
                <w:lang w:val="en-GB" w:eastAsia="en-US"/>
              </w:rPr>
              <w:t>Page</w:t>
            </w:r>
          </w:p>
        </w:tc>
      </w:tr>
      <w:tr w:rsidR="00D82397" w:rsidRPr="00EE6FC1" w14:paraId="2878ED98" w14:textId="77777777" w:rsidTr="009E359E">
        <w:trPr>
          <w:trHeight w:val="20"/>
        </w:trPr>
        <w:tc>
          <w:tcPr>
            <w:tcW w:w="2297" w:type="dxa"/>
            <w:shd w:val="clear" w:color="auto" w:fill="auto"/>
          </w:tcPr>
          <w:p w14:paraId="5BB29802"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FRD 22H</w:t>
            </w:r>
          </w:p>
        </w:tc>
        <w:tc>
          <w:tcPr>
            <w:tcW w:w="6379" w:type="dxa"/>
            <w:gridSpan w:val="2"/>
            <w:shd w:val="clear" w:color="auto" w:fill="auto"/>
          </w:tcPr>
          <w:p w14:paraId="6D7E5A98"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Occupational health and safety policy</w:t>
            </w:r>
          </w:p>
        </w:tc>
        <w:tc>
          <w:tcPr>
            <w:tcW w:w="1134" w:type="dxa"/>
            <w:shd w:val="clear" w:color="auto" w:fill="auto"/>
          </w:tcPr>
          <w:p w14:paraId="23665934" w14:textId="77777777" w:rsidR="00D82397" w:rsidRPr="00EE6FC1" w:rsidRDefault="00D82397" w:rsidP="009E359E">
            <w:pPr>
              <w:tabs>
                <w:tab w:val="left" w:pos="2640"/>
              </w:tabs>
              <w:spacing w:beforeLines="20" w:before="48" w:afterLines="20" w:after="48"/>
              <w:rPr>
                <w:rFonts w:eastAsia="Arial Unicode MS"/>
                <w:lang w:val="en-GB"/>
              </w:rPr>
            </w:pPr>
            <w:r w:rsidRPr="00EE6FC1">
              <w:rPr>
                <w:rFonts w:eastAsia="Arial Unicode MS"/>
                <w:lang w:val="en-GB" w:eastAsia="en-US"/>
              </w:rPr>
              <w:t>Page</w:t>
            </w:r>
          </w:p>
        </w:tc>
      </w:tr>
      <w:tr w:rsidR="00D82397" w:rsidRPr="00EE6FC1" w14:paraId="42AA2397" w14:textId="77777777" w:rsidTr="009E359E">
        <w:trPr>
          <w:trHeight w:val="20"/>
        </w:trPr>
        <w:tc>
          <w:tcPr>
            <w:tcW w:w="2297" w:type="dxa"/>
            <w:shd w:val="clear" w:color="auto" w:fill="auto"/>
          </w:tcPr>
          <w:p w14:paraId="423FA18E"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FRD 22H</w:t>
            </w:r>
          </w:p>
        </w:tc>
        <w:tc>
          <w:tcPr>
            <w:tcW w:w="6379" w:type="dxa"/>
            <w:gridSpan w:val="2"/>
            <w:shd w:val="clear" w:color="auto" w:fill="auto"/>
          </w:tcPr>
          <w:p w14:paraId="1E25AD6A"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Employment and conduct principles</w:t>
            </w:r>
          </w:p>
        </w:tc>
        <w:tc>
          <w:tcPr>
            <w:tcW w:w="1134" w:type="dxa"/>
            <w:shd w:val="clear" w:color="auto" w:fill="auto"/>
          </w:tcPr>
          <w:p w14:paraId="267A7368" w14:textId="77777777" w:rsidR="00D82397" w:rsidRPr="00EE6FC1" w:rsidRDefault="00D82397" w:rsidP="009E359E">
            <w:pPr>
              <w:tabs>
                <w:tab w:val="left" w:pos="2640"/>
              </w:tabs>
              <w:spacing w:beforeLines="20" w:before="48" w:afterLines="20" w:after="48"/>
              <w:rPr>
                <w:rFonts w:eastAsia="Arial Unicode MS"/>
                <w:lang w:val="en-GB"/>
              </w:rPr>
            </w:pPr>
            <w:r w:rsidRPr="00EE6FC1">
              <w:rPr>
                <w:rFonts w:eastAsia="Arial Unicode MS"/>
                <w:lang w:val="en-GB" w:eastAsia="en-US"/>
              </w:rPr>
              <w:t>Page</w:t>
            </w:r>
          </w:p>
        </w:tc>
      </w:tr>
      <w:tr w:rsidR="00D82397" w:rsidRPr="00EE6FC1" w14:paraId="010F2FC9" w14:textId="77777777" w:rsidTr="009E359E">
        <w:trPr>
          <w:trHeight w:val="20"/>
        </w:trPr>
        <w:tc>
          <w:tcPr>
            <w:tcW w:w="2297" w:type="dxa"/>
            <w:shd w:val="clear" w:color="auto" w:fill="auto"/>
          </w:tcPr>
          <w:p w14:paraId="14242449"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FRD 22H</w:t>
            </w:r>
          </w:p>
        </w:tc>
        <w:tc>
          <w:tcPr>
            <w:tcW w:w="6379" w:type="dxa"/>
            <w:gridSpan w:val="2"/>
            <w:shd w:val="clear" w:color="auto" w:fill="auto"/>
          </w:tcPr>
          <w:p w14:paraId="4990C27C"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 xml:space="preserve">Consultancy expenditure </w:t>
            </w:r>
          </w:p>
        </w:tc>
        <w:tc>
          <w:tcPr>
            <w:tcW w:w="1134" w:type="dxa"/>
            <w:shd w:val="clear" w:color="auto" w:fill="auto"/>
          </w:tcPr>
          <w:p w14:paraId="5181F134" w14:textId="77777777" w:rsidR="00D82397" w:rsidRPr="00EE6FC1" w:rsidRDefault="00D82397" w:rsidP="009E359E">
            <w:pPr>
              <w:tabs>
                <w:tab w:val="left" w:pos="2640"/>
              </w:tabs>
              <w:spacing w:beforeLines="20" w:before="48" w:afterLines="20" w:after="48"/>
              <w:rPr>
                <w:rFonts w:eastAsia="Arial Unicode MS"/>
                <w:lang w:val="en-GB"/>
              </w:rPr>
            </w:pPr>
            <w:r w:rsidRPr="00EE6FC1">
              <w:rPr>
                <w:rFonts w:eastAsia="Arial Unicode MS"/>
                <w:lang w:val="en-GB" w:eastAsia="en-US"/>
              </w:rPr>
              <w:t>Page</w:t>
            </w:r>
          </w:p>
        </w:tc>
      </w:tr>
      <w:tr w:rsidR="00D82397" w:rsidRPr="00EE6FC1" w14:paraId="0D001210" w14:textId="77777777" w:rsidTr="009E359E">
        <w:trPr>
          <w:trHeight w:val="20"/>
        </w:trPr>
        <w:tc>
          <w:tcPr>
            <w:tcW w:w="2297" w:type="dxa"/>
            <w:shd w:val="clear" w:color="auto" w:fill="auto"/>
          </w:tcPr>
          <w:p w14:paraId="3EA8E7F8"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FRD 22H</w:t>
            </w:r>
          </w:p>
        </w:tc>
        <w:tc>
          <w:tcPr>
            <w:tcW w:w="6379" w:type="dxa"/>
            <w:gridSpan w:val="2"/>
            <w:shd w:val="clear" w:color="auto" w:fill="auto"/>
          </w:tcPr>
          <w:p w14:paraId="70D7E68A"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Government advertising expenditure</w:t>
            </w:r>
          </w:p>
        </w:tc>
        <w:tc>
          <w:tcPr>
            <w:tcW w:w="1134" w:type="dxa"/>
            <w:shd w:val="clear" w:color="auto" w:fill="auto"/>
          </w:tcPr>
          <w:p w14:paraId="25B43272" w14:textId="77777777" w:rsidR="00D82397" w:rsidRPr="00EE6FC1" w:rsidRDefault="00D82397" w:rsidP="009E359E">
            <w:pPr>
              <w:tabs>
                <w:tab w:val="left" w:pos="2640"/>
              </w:tabs>
              <w:spacing w:beforeLines="20" w:before="48" w:afterLines="20" w:after="48"/>
              <w:rPr>
                <w:rFonts w:eastAsia="Arial Unicode MS"/>
                <w:lang w:val="en-GB"/>
              </w:rPr>
            </w:pPr>
            <w:r w:rsidRPr="00EE6FC1">
              <w:rPr>
                <w:rFonts w:eastAsia="Arial Unicode MS"/>
                <w:lang w:val="en-GB" w:eastAsia="en-US"/>
              </w:rPr>
              <w:t>Page</w:t>
            </w:r>
          </w:p>
        </w:tc>
      </w:tr>
      <w:tr w:rsidR="00D82397" w:rsidRPr="00EE6FC1" w14:paraId="2BE15058" w14:textId="77777777" w:rsidTr="009E359E">
        <w:trPr>
          <w:trHeight w:val="20"/>
        </w:trPr>
        <w:tc>
          <w:tcPr>
            <w:tcW w:w="2297" w:type="dxa"/>
            <w:shd w:val="clear" w:color="auto" w:fill="auto"/>
          </w:tcPr>
          <w:p w14:paraId="56C1B0B3"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FRD 22H</w:t>
            </w:r>
          </w:p>
        </w:tc>
        <w:tc>
          <w:tcPr>
            <w:tcW w:w="6379" w:type="dxa"/>
            <w:gridSpan w:val="2"/>
            <w:shd w:val="clear" w:color="auto" w:fill="auto"/>
          </w:tcPr>
          <w:p w14:paraId="5FA4A867"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Information and Communication Technology (ICT) expenditure</w:t>
            </w:r>
          </w:p>
        </w:tc>
        <w:tc>
          <w:tcPr>
            <w:tcW w:w="1134" w:type="dxa"/>
            <w:shd w:val="clear" w:color="auto" w:fill="auto"/>
          </w:tcPr>
          <w:p w14:paraId="4ADD6E67" w14:textId="77777777" w:rsidR="00D82397" w:rsidRPr="00EE6FC1" w:rsidRDefault="00D82397" w:rsidP="009E359E">
            <w:pPr>
              <w:tabs>
                <w:tab w:val="left" w:pos="2640"/>
              </w:tabs>
              <w:spacing w:beforeLines="20" w:before="48" w:afterLines="20" w:after="48"/>
              <w:rPr>
                <w:rFonts w:eastAsia="Arial Unicode MS"/>
                <w:lang w:val="en-GB"/>
              </w:rPr>
            </w:pPr>
            <w:r w:rsidRPr="00EE6FC1">
              <w:rPr>
                <w:rFonts w:eastAsia="Arial Unicode MS"/>
                <w:lang w:val="en-GB" w:eastAsia="en-US"/>
              </w:rPr>
              <w:t>Page</w:t>
            </w:r>
          </w:p>
        </w:tc>
      </w:tr>
      <w:tr w:rsidR="00D82397" w:rsidRPr="00EE6FC1" w14:paraId="342F3195" w14:textId="77777777" w:rsidTr="009E359E">
        <w:trPr>
          <w:trHeight w:val="20"/>
        </w:trPr>
        <w:tc>
          <w:tcPr>
            <w:tcW w:w="2297" w:type="dxa"/>
            <w:shd w:val="clear" w:color="auto" w:fill="auto"/>
          </w:tcPr>
          <w:p w14:paraId="7DD3FB29"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FRD 22H</w:t>
            </w:r>
          </w:p>
        </w:tc>
        <w:tc>
          <w:tcPr>
            <w:tcW w:w="6379" w:type="dxa"/>
            <w:gridSpan w:val="2"/>
            <w:shd w:val="clear" w:color="auto" w:fill="auto"/>
          </w:tcPr>
          <w:p w14:paraId="485740C4"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 xml:space="preserve">Compliance with the Competitive Neutrality Policy </w:t>
            </w:r>
          </w:p>
        </w:tc>
        <w:tc>
          <w:tcPr>
            <w:tcW w:w="1134" w:type="dxa"/>
            <w:shd w:val="clear" w:color="auto" w:fill="auto"/>
          </w:tcPr>
          <w:p w14:paraId="565C7632" w14:textId="77777777" w:rsidR="00D82397" w:rsidRPr="00EE6FC1" w:rsidRDefault="00D82397" w:rsidP="009E359E">
            <w:pPr>
              <w:tabs>
                <w:tab w:val="left" w:pos="2640"/>
              </w:tabs>
              <w:spacing w:beforeLines="20" w:before="48" w:afterLines="20" w:after="48"/>
              <w:rPr>
                <w:rFonts w:eastAsia="Arial Unicode MS"/>
                <w:lang w:val="en-GB"/>
              </w:rPr>
            </w:pPr>
            <w:r w:rsidRPr="00EE6FC1">
              <w:rPr>
                <w:rFonts w:eastAsia="Arial Unicode MS"/>
                <w:lang w:val="en-GB" w:eastAsia="en-US"/>
              </w:rPr>
              <w:t>Page</w:t>
            </w:r>
          </w:p>
        </w:tc>
      </w:tr>
      <w:tr w:rsidR="00D82397" w:rsidRPr="00EE6FC1" w14:paraId="0B2829BF" w14:textId="77777777" w:rsidTr="009E359E">
        <w:trPr>
          <w:trHeight w:val="20"/>
        </w:trPr>
        <w:tc>
          <w:tcPr>
            <w:tcW w:w="2297" w:type="dxa"/>
            <w:shd w:val="clear" w:color="auto" w:fill="auto"/>
          </w:tcPr>
          <w:p w14:paraId="118DFDAB"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FRD 22H</w:t>
            </w:r>
          </w:p>
        </w:tc>
        <w:tc>
          <w:tcPr>
            <w:tcW w:w="6379" w:type="dxa"/>
            <w:gridSpan w:val="2"/>
            <w:shd w:val="clear" w:color="auto" w:fill="auto"/>
          </w:tcPr>
          <w:p w14:paraId="0F49491D"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 xml:space="preserve">Compliance with the Building Act 1993 </w:t>
            </w:r>
          </w:p>
        </w:tc>
        <w:tc>
          <w:tcPr>
            <w:tcW w:w="1134" w:type="dxa"/>
            <w:shd w:val="clear" w:color="auto" w:fill="auto"/>
          </w:tcPr>
          <w:p w14:paraId="098695A9" w14:textId="77777777" w:rsidR="00D82397" w:rsidRPr="00EE6FC1" w:rsidRDefault="00D82397" w:rsidP="009E359E">
            <w:pPr>
              <w:tabs>
                <w:tab w:val="left" w:pos="2640"/>
              </w:tabs>
              <w:spacing w:beforeLines="20" w:before="48" w:afterLines="20" w:after="48"/>
              <w:rPr>
                <w:rFonts w:eastAsia="Arial Unicode MS"/>
                <w:lang w:val="en-GB"/>
              </w:rPr>
            </w:pPr>
            <w:r w:rsidRPr="00EE6FC1">
              <w:rPr>
                <w:rFonts w:eastAsia="Arial Unicode MS"/>
                <w:lang w:val="en-GB" w:eastAsia="en-US"/>
              </w:rPr>
              <w:t>Page</w:t>
            </w:r>
          </w:p>
        </w:tc>
      </w:tr>
      <w:tr w:rsidR="00D82397" w:rsidRPr="00EE6FC1" w14:paraId="5D3C9CFB" w14:textId="77777777" w:rsidTr="009E359E">
        <w:trPr>
          <w:trHeight w:val="20"/>
        </w:trPr>
        <w:tc>
          <w:tcPr>
            <w:tcW w:w="2297" w:type="dxa"/>
            <w:shd w:val="clear" w:color="auto" w:fill="auto"/>
          </w:tcPr>
          <w:p w14:paraId="1ED64474"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FRD 22H</w:t>
            </w:r>
          </w:p>
        </w:tc>
        <w:tc>
          <w:tcPr>
            <w:tcW w:w="6379" w:type="dxa"/>
            <w:gridSpan w:val="2"/>
            <w:shd w:val="clear" w:color="auto" w:fill="auto"/>
          </w:tcPr>
          <w:p w14:paraId="1D0CD53C"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Compliance with the Protected Disclosure Act 2012</w:t>
            </w:r>
          </w:p>
        </w:tc>
        <w:tc>
          <w:tcPr>
            <w:tcW w:w="1134" w:type="dxa"/>
            <w:shd w:val="clear" w:color="auto" w:fill="auto"/>
          </w:tcPr>
          <w:p w14:paraId="105D1007" w14:textId="77777777" w:rsidR="00D82397" w:rsidRPr="00EE6FC1" w:rsidRDefault="00D82397" w:rsidP="009E359E">
            <w:pPr>
              <w:tabs>
                <w:tab w:val="left" w:pos="2640"/>
              </w:tabs>
              <w:spacing w:beforeLines="20" w:before="48" w:afterLines="20" w:after="48"/>
              <w:rPr>
                <w:rFonts w:eastAsia="Arial Unicode MS"/>
                <w:lang w:val="en-GB"/>
              </w:rPr>
            </w:pPr>
            <w:r w:rsidRPr="00EE6FC1">
              <w:rPr>
                <w:rFonts w:eastAsia="Arial Unicode MS"/>
                <w:lang w:val="en-GB" w:eastAsia="en-US"/>
              </w:rPr>
              <w:t>Page</w:t>
            </w:r>
          </w:p>
        </w:tc>
      </w:tr>
      <w:tr w:rsidR="00D82397" w:rsidRPr="00EE6FC1" w14:paraId="128F305C" w14:textId="77777777" w:rsidTr="009E359E">
        <w:trPr>
          <w:trHeight w:val="20"/>
        </w:trPr>
        <w:tc>
          <w:tcPr>
            <w:tcW w:w="2297" w:type="dxa"/>
            <w:shd w:val="clear" w:color="auto" w:fill="auto"/>
          </w:tcPr>
          <w:p w14:paraId="795F2B1D" w14:textId="77777777" w:rsidR="00D82397" w:rsidRPr="00EE6FC1" w:rsidDel="006648CC"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FRD 22H</w:t>
            </w:r>
          </w:p>
        </w:tc>
        <w:tc>
          <w:tcPr>
            <w:tcW w:w="6379" w:type="dxa"/>
            <w:gridSpan w:val="2"/>
            <w:shd w:val="clear" w:color="auto" w:fill="auto"/>
          </w:tcPr>
          <w:p w14:paraId="5305E0E2"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Compliance with the Carers Recognition Act 2012</w:t>
            </w:r>
          </w:p>
        </w:tc>
        <w:tc>
          <w:tcPr>
            <w:tcW w:w="1134" w:type="dxa"/>
            <w:shd w:val="clear" w:color="auto" w:fill="auto"/>
          </w:tcPr>
          <w:p w14:paraId="239126EE" w14:textId="77777777" w:rsidR="00D82397" w:rsidRPr="00EE6FC1" w:rsidRDefault="00D82397" w:rsidP="009E359E">
            <w:pPr>
              <w:tabs>
                <w:tab w:val="left" w:pos="2640"/>
              </w:tabs>
              <w:spacing w:beforeLines="20" w:before="48" w:afterLines="20" w:after="48"/>
              <w:rPr>
                <w:rFonts w:eastAsia="Arial Unicode MS"/>
                <w:lang w:val="en-GB"/>
              </w:rPr>
            </w:pPr>
            <w:r w:rsidRPr="00EE6FC1">
              <w:rPr>
                <w:rFonts w:eastAsia="Arial Unicode MS"/>
                <w:lang w:val="en-GB" w:eastAsia="en-US"/>
              </w:rPr>
              <w:t>Page</w:t>
            </w:r>
          </w:p>
        </w:tc>
      </w:tr>
      <w:tr w:rsidR="00D82397" w:rsidRPr="00EE6FC1" w14:paraId="5EF6607B" w14:textId="77777777" w:rsidTr="009E359E">
        <w:trPr>
          <w:trHeight w:val="20"/>
        </w:trPr>
        <w:tc>
          <w:tcPr>
            <w:tcW w:w="2297" w:type="dxa"/>
            <w:shd w:val="clear" w:color="auto" w:fill="auto"/>
          </w:tcPr>
          <w:p w14:paraId="1A3F003B"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FRD 22H</w:t>
            </w:r>
          </w:p>
        </w:tc>
        <w:tc>
          <w:tcPr>
            <w:tcW w:w="6379" w:type="dxa"/>
            <w:gridSpan w:val="2"/>
            <w:shd w:val="clear" w:color="auto" w:fill="auto"/>
          </w:tcPr>
          <w:p w14:paraId="7DF8A3DB"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 xml:space="preserve">Application and operation of Freedom of Information Act 1982 </w:t>
            </w:r>
          </w:p>
        </w:tc>
        <w:tc>
          <w:tcPr>
            <w:tcW w:w="1134" w:type="dxa"/>
            <w:shd w:val="clear" w:color="auto" w:fill="auto"/>
          </w:tcPr>
          <w:p w14:paraId="46B31340" w14:textId="77777777" w:rsidR="00D82397" w:rsidRPr="00EE6FC1" w:rsidRDefault="00D82397" w:rsidP="009E359E">
            <w:pPr>
              <w:tabs>
                <w:tab w:val="left" w:pos="2640"/>
              </w:tabs>
              <w:spacing w:beforeLines="20" w:before="48" w:afterLines="20" w:after="48"/>
              <w:rPr>
                <w:rFonts w:eastAsia="Arial Unicode MS"/>
                <w:lang w:val="en-GB"/>
              </w:rPr>
            </w:pPr>
            <w:r w:rsidRPr="00EE6FC1">
              <w:rPr>
                <w:rFonts w:eastAsia="Arial Unicode MS"/>
                <w:lang w:val="en-GB" w:eastAsia="en-US"/>
              </w:rPr>
              <w:t>Page</w:t>
            </w:r>
          </w:p>
        </w:tc>
      </w:tr>
      <w:tr w:rsidR="00D82397" w:rsidRPr="00EE6FC1" w14:paraId="61A1B3CD" w14:textId="77777777" w:rsidTr="009E359E">
        <w:trPr>
          <w:trHeight w:val="20"/>
        </w:trPr>
        <w:tc>
          <w:tcPr>
            <w:tcW w:w="2297" w:type="dxa"/>
            <w:shd w:val="clear" w:color="auto" w:fill="auto"/>
          </w:tcPr>
          <w:p w14:paraId="2CE02D8B"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FRD 22H</w:t>
            </w:r>
          </w:p>
        </w:tc>
        <w:tc>
          <w:tcPr>
            <w:tcW w:w="6379" w:type="dxa"/>
            <w:gridSpan w:val="2"/>
            <w:shd w:val="clear" w:color="auto" w:fill="auto"/>
          </w:tcPr>
          <w:p w14:paraId="2F4005B0"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 xml:space="preserve">Statement of availability of other information </w:t>
            </w:r>
          </w:p>
        </w:tc>
        <w:tc>
          <w:tcPr>
            <w:tcW w:w="1134" w:type="dxa"/>
            <w:shd w:val="clear" w:color="auto" w:fill="auto"/>
          </w:tcPr>
          <w:p w14:paraId="462702C2" w14:textId="77777777" w:rsidR="00D82397" w:rsidRPr="00EE6FC1" w:rsidRDefault="00D82397" w:rsidP="009E359E">
            <w:pPr>
              <w:tabs>
                <w:tab w:val="left" w:pos="2640"/>
              </w:tabs>
              <w:spacing w:beforeLines="20" w:before="48" w:afterLines="20" w:after="48"/>
              <w:rPr>
                <w:rFonts w:eastAsia="Arial Unicode MS"/>
                <w:lang w:val="en-GB"/>
              </w:rPr>
            </w:pPr>
            <w:r w:rsidRPr="00EE6FC1">
              <w:rPr>
                <w:rFonts w:eastAsia="Arial Unicode MS"/>
                <w:lang w:val="en-GB" w:eastAsia="en-US"/>
              </w:rPr>
              <w:t>Page</w:t>
            </w:r>
          </w:p>
        </w:tc>
      </w:tr>
      <w:tr w:rsidR="00D82397" w:rsidRPr="00EE6FC1" w14:paraId="12EF1C40" w14:textId="77777777" w:rsidTr="009E359E">
        <w:trPr>
          <w:trHeight w:val="20"/>
        </w:trPr>
        <w:tc>
          <w:tcPr>
            <w:tcW w:w="2297" w:type="dxa"/>
            <w:shd w:val="clear" w:color="auto" w:fill="auto"/>
          </w:tcPr>
          <w:p w14:paraId="137BABD2"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FRD 25C</w:t>
            </w:r>
          </w:p>
        </w:tc>
        <w:tc>
          <w:tcPr>
            <w:tcW w:w="6379" w:type="dxa"/>
            <w:gridSpan w:val="2"/>
            <w:shd w:val="clear" w:color="auto" w:fill="auto"/>
          </w:tcPr>
          <w:p w14:paraId="0A7B63CB"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Compliance with the Victorian Industry Participation Policy</w:t>
            </w:r>
          </w:p>
        </w:tc>
        <w:tc>
          <w:tcPr>
            <w:tcW w:w="1134" w:type="dxa"/>
            <w:shd w:val="clear" w:color="auto" w:fill="auto"/>
          </w:tcPr>
          <w:p w14:paraId="3AB027AE" w14:textId="77777777" w:rsidR="00D82397" w:rsidRPr="00EE6FC1" w:rsidRDefault="00D82397" w:rsidP="009E359E">
            <w:pPr>
              <w:tabs>
                <w:tab w:val="left" w:pos="2640"/>
              </w:tabs>
              <w:spacing w:beforeLines="20" w:before="48" w:afterLines="20" w:after="48"/>
              <w:rPr>
                <w:rFonts w:eastAsia="Arial Unicode MS"/>
                <w:lang w:val="en-GB"/>
              </w:rPr>
            </w:pPr>
            <w:r w:rsidRPr="00EE6FC1">
              <w:rPr>
                <w:rFonts w:eastAsia="Arial Unicode MS"/>
                <w:lang w:val="en-GB" w:eastAsia="en-US"/>
              </w:rPr>
              <w:t>Page</w:t>
            </w:r>
          </w:p>
        </w:tc>
      </w:tr>
      <w:tr w:rsidR="00D82397" w:rsidRPr="00EE6FC1" w14:paraId="7B8628D8" w14:textId="77777777" w:rsidTr="009E359E">
        <w:trPr>
          <w:trHeight w:val="20"/>
        </w:trPr>
        <w:tc>
          <w:tcPr>
            <w:tcW w:w="2297" w:type="dxa"/>
            <w:shd w:val="clear" w:color="auto" w:fill="auto"/>
          </w:tcPr>
          <w:p w14:paraId="7A1B7526"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FRD 29C</w:t>
            </w:r>
          </w:p>
        </w:tc>
        <w:tc>
          <w:tcPr>
            <w:tcW w:w="6379" w:type="dxa"/>
            <w:gridSpan w:val="2"/>
            <w:shd w:val="clear" w:color="auto" w:fill="auto"/>
          </w:tcPr>
          <w:p w14:paraId="0A6A31F6"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Workforce data</w:t>
            </w:r>
          </w:p>
        </w:tc>
        <w:tc>
          <w:tcPr>
            <w:tcW w:w="1134" w:type="dxa"/>
            <w:shd w:val="clear" w:color="auto" w:fill="auto"/>
          </w:tcPr>
          <w:p w14:paraId="270B6749" w14:textId="77777777" w:rsidR="00D82397" w:rsidRPr="00EE6FC1" w:rsidRDefault="00D82397" w:rsidP="009E359E">
            <w:pPr>
              <w:tabs>
                <w:tab w:val="left" w:pos="2640"/>
              </w:tabs>
              <w:spacing w:beforeLines="20" w:before="48" w:afterLines="20" w:after="48"/>
              <w:rPr>
                <w:rFonts w:eastAsia="Arial Unicode MS"/>
                <w:lang w:val="en-GB"/>
              </w:rPr>
            </w:pPr>
            <w:r w:rsidRPr="00EE6FC1">
              <w:rPr>
                <w:rFonts w:eastAsia="Arial Unicode MS"/>
                <w:lang w:val="en-GB" w:eastAsia="en-US"/>
              </w:rPr>
              <w:t>Page</w:t>
            </w:r>
          </w:p>
        </w:tc>
      </w:tr>
      <w:tr w:rsidR="00D82397" w:rsidRPr="00EE6FC1" w14:paraId="0D37CE14" w14:textId="77777777" w:rsidTr="009E359E">
        <w:trPr>
          <w:trHeight w:val="20"/>
        </w:trPr>
        <w:tc>
          <w:tcPr>
            <w:tcW w:w="2297" w:type="dxa"/>
            <w:shd w:val="clear" w:color="auto" w:fill="auto"/>
          </w:tcPr>
          <w:p w14:paraId="64D9D1B0"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lastRenderedPageBreak/>
              <w:t>FRD 22H</w:t>
            </w:r>
          </w:p>
        </w:tc>
        <w:tc>
          <w:tcPr>
            <w:tcW w:w="6379" w:type="dxa"/>
            <w:gridSpan w:val="2"/>
            <w:shd w:val="clear" w:color="auto" w:fill="auto"/>
          </w:tcPr>
          <w:p w14:paraId="134E4A72"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Additional information available upon request</w:t>
            </w:r>
          </w:p>
        </w:tc>
        <w:tc>
          <w:tcPr>
            <w:tcW w:w="1134" w:type="dxa"/>
            <w:shd w:val="clear" w:color="auto" w:fill="auto"/>
          </w:tcPr>
          <w:p w14:paraId="3D8AB468"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Page</w:t>
            </w:r>
          </w:p>
        </w:tc>
      </w:tr>
      <w:tr w:rsidR="00D82397" w:rsidRPr="00EE6FC1" w14:paraId="21EECB34" w14:textId="77777777" w:rsidTr="009E359E">
        <w:trPr>
          <w:trHeight w:val="20"/>
        </w:trPr>
        <w:tc>
          <w:tcPr>
            <w:tcW w:w="2297" w:type="dxa"/>
            <w:shd w:val="clear" w:color="auto" w:fill="auto"/>
          </w:tcPr>
          <w:p w14:paraId="30E99601"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FRD 22H</w:t>
            </w:r>
          </w:p>
        </w:tc>
        <w:tc>
          <w:tcPr>
            <w:tcW w:w="6379" w:type="dxa"/>
            <w:gridSpan w:val="2"/>
            <w:shd w:val="clear" w:color="auto" w:fill="auto"/>
          </w:tcPr>
          <w:p w14:paraId="0C2C7BCF"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Office based environmental impacts</w:t>
            </w:r>
          </w:p>
        </w:tc>
        <w:tc>
          <w:tcPr>
            <w:tcW w:w="1134" w:type="dxa"/>
            <w:shd w:val="clear" w:color="auto" w:fill="auto"/>
          </w:tcPr>
          <w:p w14:paraId="219666B4"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Page</w:t>
            </w:r>
          </w:p>
        </w:tc>
      </w:tr>
      <w:tr w:rsidR="00D82397" w:rsidRPr="00EE6FC1" w14:paraId="63D35757" w14:textId="77777777" w:rsidTr="009E359E">
        <w:trPr>
          <w:trHeight w:val="20"/>
        </w:trPr>
        <w:tc>
          <w:tcPr>
            <w:tcW w:w="9810" w:type="dxa"/>
            <w:gridSpan w:val="4"/>
            <w:shd w:val="clear" w:color="auto" w:fill="auto"/>
          </w:tcPr>
          <w:p w14:paraId="60F64C20" w14:textId="77777777" w:rsidR="00D82397" w:rsidRPr="00EE6FC1" w:rsidRDefault="00D82397" w:rsidP="009E359E">
            <w:pPr>
              <w:tabs>
                <w:tab w:val="left" w:pos="2640"/>
              </w:tabs>
              <w:spacing w:beforeLines="20" w:before="48" w:afterLines="20" w:after="48"/>
              <w:rPr>
                <w:rFonts w:eastAsia="Arial Unicode MS"/>
                <w:b/>
                <w:lang w:val="en-GB" w:eastAsia="en-US"/>
              </w:rPr>
            </w:pPr>
            <w:r w:rsidRPr="00EE6FC1">
              <w:rPr>
                <w:rFonts w:eastAsia="Arial Unicode MS"/>
                <w:b/>
                <w:lang w:val="en-GB" w:eastAsia="en-US"/>
              </w:rPr>
              <w:t>Compliance attestation and declaration</w:t>
            </w:r>
          </w:p>
        </w:tc>
      </w:tr>
      <w:tr w:rsidR="00D82397" w:rsidRPr="00EE6FC1" w14:paraId="40F94999" w14:textId="77777777" w:rsidTr="009E359E">
        <w:trPr>
          <w:trHeight w:val="20"/>
        </w:trPr>
        <w:tc>
          <w:tcPr>
            <w:tcW w:w="2297" w:type="dxa"/>
            <w:shd w:val="clear" w:color="auto" w:fill="auto"/>
          </w:tcPr>
          <w:p w14:paraId="3DCA9E24"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SD 5.1.4</w:t>
            </w:r>
          </w:p>
        </w:tc>
        <w:tc>
          <w:tcPr>
            <w:tcW w:w="6379" w:type="dxa"/>
            <w:gridSpan w:val="2"/>
            <w:shd w:val="clear" w:color="auto" w:fill="auto"/>
          </w:tcPr>
          <w:p w14:paraId="21219662"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Attestation for compliance with Ministerial Standing Direction</w:t>
            </w:r>
          </w:p>
        </w:tc>
        <w:tc>
          <w:tcPr>
            <w:tcW w:w="1134" w:type="dxa"/>
            <w:shd w:val="clear" w:color="auto" w:fill="auto"/>
          </w:tcPr>
          <w:p w14:paraId="2092F622" w14:textId="77777777" w:rsidR="00D82397" w:rsidRPr="00EE6FC1" w:rsidRDefault="00D82397" w:rsidP="009E359E">
            <w:pPr>
              <w:tabs>
                <w:tab w:val="left" w:pos="2640"/>
              </w:tabs>
              <w:spacing w:beforeLines="20" w:before="48" w:afterLines="20" w:after="48"/>
              <w:rPr>
                <w:rFonts w:eastAsia="Arial Unicode MS"/>
                <w:lang w:val="en-GB"/>
              </w:rPr>
            </w:pPr>
            <w:r w:rsidRPr="00EE6FC1">
              <w:rPr>
                <w:rFonts w:eastAsia="Arial Unicode MS"/>
                <w:lang w:val="en-GB" w:eastAsia="en-US"/>
              </w:rPr>
              <w:t>Page</w:t>
            </w:r>
          </w:p>
        </w:tc>
      </w:tr>
      <w:tr w:rsidR="00D82397" w:rsidRPr="00EE6FC1" w14:paraId="6A78753A" w14:textId="77777777" w:rsidTr="009E359E">
        <w:trPr>
          <w:trHeight w:val="20"/>
        </w:trPr>
        <w:tc>
          <w:tcPr>
            <w:tcW w:w="2297" w:type="dxa"/>
            <w:tcBorders>
              <w:bottom w:val="nil"/>
            </w:tcBorders>
            <w:shd w:val="clear" w:color="auto" w:fill="auto"/>
          </w:tcPr>
          <w:p w14:paraId="368944DB"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SD 5.2.3</w:t>
            </w:r>
          </w:p>
        </w:tc>
        <w:tc>
          <w:tcPr>
            <w:tcW w:w="6379" w:type="dxa"/>
            <w:gridSpan w:val="2"/>
            <w:tcBorders>
              <w:bottom w:val="nil"/>
            </w:tcBorders>
            <w:shd w:val="clear" w:color="auto" w:fill="auto"/>
          </w:tcPr>
          <w:p w14:paraId="4B2349F8"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Declaration in report of operations</w:t>
            </w:r>
          </w:p>
        </w:tc>
        <w:tc>
          <w:tcPr>
            <w:tcW w:w="1134" w:type="dxa"/>
            <w:tcBorders>
              <w:bottom w:val="nil"/>
            </w:tcBorders>
            <w:shd w:val="clear" w:color="auto" w:fill="auto"/>
          </w:tcPr>
          <w:p w14:paraId="23D982B7" w14:textId="77777777" w:rsidR="00D82397" w:rsidRPr="00EE6FC1" w:rsidRDefault="00D82397" w:rsidP="009E359E">
            <w:pPr>
              <w:tabs>
                <w:tab w:val="left" w:pos="2640"/>
              </w:tabs>
              <w:spacing w:beforeLines="20" w:before="48" w:afterLines="20" w:after="48"/>
              <w:rPr>
                <w:rFonts w:eastAsia="Arial Unicode MS"/>
                <w:lang w:val="en-GB"/>
              </w:rPr>
            </w:pPr>
            <w:r w:rsidRPr="00EE6FC1">
              <w:rPr>
                <w:rFonts w:eastAsia="Arial Unicode MS"/>
                <w:lang w:val="en-GB" w:eastAsia="en-US"/>
              </w:rPr>
              <w:t>Page</w:t>
            </w:r>
          </w:p>
        </w:tc>
      </w:tr>
      <w:tr w:rsidR="00D82397" w:rsidRPr="00EE6FC1" w14:paraId="423F6F31" w14:textId="77777777" w:rsidTr="009E359E">
        <w:trPr>
          <w:trHeight w:val="240"/>
        </w:trPr>
        <w:tc>
          <w:tcPr>
            <w:tcW w:w="8676" w:type="dxa"/>
            <w:gridSpan w:val="3"/>
            <w:tcBorders>
              <w:bottom w:val="nil"/>
            </w:tcBorders>
            <w:shd w:val="clear" w:color="auto" w:fill="EBEBEB"/>
          </w:tcPr>
          <w:p w14:paraId="2A362E9A"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Financial statements</w:t>
            </w:r>
          </w:p>
        </w:tc>
        <w:tc>
          <w:tcPr>
            <w:tcW w:w="1134" w:type="dxa"/>
            <w:tcBorders>
              <w:bottom w:val="nil"/>
            </w:tcBorders>
            <w:shd w:val="clear" w:color="auto" w:fill="EBEBEB"/>
          </w:tcPr>
          <w:p w14:paraId="7BA69F6F" w14:textId="77777777" w:rsidR="00D82397" w:rsidRPr="00EE6FC1" w:rsidRDefault="00D82397" w:rsidP="009E359E">
            <w:pPr>
              <w:tabs>
                <w:tab w:val="left" w:pos="2640"/>
              </w:tabs>
              <w:spacing w:beforeLines="20" w:before="48" w:afterLines="20" w:after="48"/>
              <w:rPr>
                <w:rFonts w:eastAsia="Arial Unicode MS"/>
                <w:lang w:val="en-GB" w:eastAsia="en-US"/>
              </w:rPr>
            </w:pPr>
          </w:p>
        </w:tc>
      </w:tr>
      <w:tr w:rsidR="00D82397" w:rsidRPr="00EE6FC1" w14:paraId="2B5C0984" w14:textId="77777777" w:rsidTr="009E359E">
        <w:trPr>
          <w:trHeight w:val="20"/>
        </w:trPr>
        <w:tc>
          <w:tcPr>
            <w:tcW w:w="2297" w:type="dxa"/>
            <w:shd w:val="clear" w:color="auto" w:fill="auto"/>
          </w:tcPr>
          <w:p w14:paraId="16998D09" w14:textId="77777777" w:rsidR="00D82397" w:rsidRPr="00EE6FC1" w:rsidRDefault="00D82397" w:rsidP="009E359E">
            <w:pPr>
              <w:tabs>
                <w:tab w:val="left" w:pos="2640"/>
              </w:tabs>
              <w:spacing w:beforeLines="20" w:before="48" w:afterLines="20" w:after="48"/>
              <w:rPr>
                <w:rFonts w:eastAsia="Arial Unicode MS"/>
                <w:b/>
                <w:lang w:val="en-GB" w:eastAsia="en-US"/>
              </w:rPr>
            </w:pPr>
            <w:r w:rsidRPr="00EE6FC1">
              <w:rPr>
                <w:rFonts w:eastAsia="Arial Unicode MS"/>
                <w:b/>
                <w:lang w:val="en-GB" w:eastAsia="en-US"/>
              </w:rPr>
              <w:t>Declaration</w:t>
            </w:r>
          </w:p>
        </w:tc>
        <w:tc>
          <w:tcPr>
            <w:tcW w:w="6379" w:type="dxa"/>
            <w:gridSpan w:val="2"/>
            <w:shd w:val="clear" w:color="auto" w:fill="auto"/>
          </w:tcPr>
          <w:p w14:paraId="1BC44AC5" w14:textId="77777777" w:rsidR="00D82397" w:rsidRPr="00EE6FC1" w:rsidDel="00052A77" w:rsidRDefault="00D82397" w:rsidP="009E359E">
            <w:pPr>
              <w:tabs>
                <w:tab w:val="left" w:pos="2640"/>
              </w:tabs>
              <w:spacing w:beforeLines="20" w:before="48" w:afterLines="20" w:after="48"/>
              <w:rPr>
                <w:rFonts w:eastAsia="Arial Unicode MS"/>
                <w:b/>
                <w:lang w:val="en-GB" w:eastAsia="en-US"/>
              </w:rPr>
            </w:pPr>
          </w:p>
        </w:tc>
        <w:tc>
          <w:tcPr>
            <w:tcW w:w="1134" w:type="dxa"/>
            <w:shd w:val="clear" w:color="auto" w:fill="auto"/>
          </w:tcPr>
          <w:p w14:paraId="54751965" w14:textId="77777777" w:rsidR="00D82397" w:rsidRPr="00EE6FC1" w:rsidRDefault="00D82397" w:rsidP="009E359E">
            <w:pPr>
              <w:tabs>
                <w:tab w:val="left" w:pos="2640"/>
              </w:tabs>
              <w:spacing w:beforeLines="20" w:before="48" w:afterLines="20" w:after="48"/>
              <w:rPr>
                <w:rFonts w:eastAsia="Arial Unicode MS"/>
                <w:b/>
                <w:lang w:val="en-GB" w:eastAsia="en-US"/>
              </w:rPr>
            </w:pPr>
            <w:r w:rsidRPr="00EE6FC1">
              <w:rPr>
                <w:rFonts w:eastAsia="Arial Unicode MS"/>
                <w:lang w:val="en-GB" w:eastAsia="en-US"/>
              </w:rPr>
              <w:t>Page</w:t>
            </w:r>
          </w:p>
        </w:tc>
      </w:tr>
      <w:tr w:rsidR="00D82397" w:rsidRPr="00EE6FC1" w14:paraId="01525253" w14:textId="77777777" w:rsidTr="009E359E">
        <w:trPr>
          <w:trHeight w:val="20"/>
        </w:trPr>
        <w:tc>
          <w:tcPr>
            <w:tcW w:w="2297" w:type="dxa"/>
            <w:shd w:val="clear" w:color="auto" w:fill="auto"/>
          </w:tcPr>
          <w:p w14:paraId="04E5CDEB"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SD 5.2.2</w:t>
            </w:r>
          </w:p>
        </w:tc>
        <w:tc>
          <w:tcPr>
            <w:tcW w:w="6379" w:type="dxa"/>
            <w:gridSpan w:val="2"/>
            <w:shd w:val="clear" w:color="auto" w:fill="auto"/>
          </w:tcPr>
          <w:p w14:paraId="7F19765A"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Declaration in financial statements</w:t>
            </w:r>
          </w:p>
        </w:tc>
        <w:tc>
          <w:tcPr>
            <w:tcW w:w="1134" w:type="dxa"/>
            <w:shd w:val="clear" w:color="auto" w:fill="auto"/>
          </w:tcPr>
          <w:p w14:paraId="0EDE4D90"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Page</w:t>
            </w:r>
          </w:p>
        </w:tc>
      </w:tr>
      <w:tr w:rsidR="00D82397" w:rsidRPr="00EE6FC1" w14:paraId="2E5157E5" w14:textId="77777777" w:rsidTr="009E359E">
        <w:trPr>
          <w:trHeight w:val="20"/>
        </w:trPr>
        <w:tc>
          <w:tcPr>
            <w:tcW w:w="9810" w:type="dxa"/>
            <w:gridSpan w:val="4"/>
            <w:shd w:val="clear" w:color="auto" w:fill="000000"/>
            <w:vAlign w:val="bottom"/>
          </w:tcPr>
          <w:p w14:paraId="4E2CF8CB" w14:textId="77777777" w:rsidR="00D82397" w:rsidRPr="00EE6FC1" w:rsidRDefault="00D82397" w:rsidP="009E359E">
            <w:pPr>
              <w:tabs>
                <w:tab w:val="left" w:pos="2640"/>
              </w:tabs>
              <w:spacing w:beforeLines="20" w:before="48" w:afterLines="20" w:after="48"/>
              <w:rPr>
                <w:rFonts w:eastAsia="Arial Unicode MS"/>
                <w:b/>
                <w:lang w:val="en-GB" w:eastAsia="en-US"/>
              </w:rPr>
            </w:pPr>
            <w:r w:rsidRPr="00EE6FC1">
              <w:rPr>
                <w:rFonts w:eastAsia="Arial Unicode MS"/>
                <w:b/>
                <w:lang w:val="en-GB" w:eastAsia="en-US"/>
              </w:rPr>
              <w:t>Other requirements under Standing Directions 5.2</w:t>
            </w:r>
          </w:p>
        </w:tc>
      </w:tr>
      <w:tr w:rsidR="00D82397" w:rsidRPr="00EE6FC1" w14:paraId="3C051A9A" w14:textId="77777777" w:rsidTr="009E359E">
        <w:trPr>
          <w:trHeight w:val="20"/>
        </w:trPr>
        <w:tc>
          <w:tcPr>
            <w:tcW w:w="2297" w:type="dxa"/>
            <w:shd w:val="clear" w:color="auto" w:fill="auto"/>
          </w:tcPr>
          <w:p w14:paraId="01A5AA76"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SD 5.2.1(a)</w:t>
            </w:r>
          </w:p>
        </w:tc>
        <w:tc>
          <w:tcPr>
            <w:tcW w:w="6379" w:type="dxa"/>
            <w:gridSpan w:val="2"/>
            <w:shd w:val="clear" w:color="auto" w:fill="auto"/>
          </w:tcPr>
          <w:p w14:paraId="4B89222B"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Compliance with Australian accounting standards and other authoritative pronouncements</w:t>
            </w:r>
          </w:p>
        </w:tc>
        <w:tc>
          <w:tcPr>
            <w:tcW w:w="1134" w:type="dxa"/>
            <w:shd w:val="clear" w:color="auto" w:fill="auto"/>
          </w:tcPr>
          <w:p w14:paraId="66F0B964" w14:textId="77777777" w:rsidR="00D82397" w:rsidRPr="00EE6FC1" w:rsidRDefault="00D82397" w:rsidP="009E359E">
            <w:pPr>
              <w:tabs>
                <w:tab w:val="left" w:pos="2640"/>
              </w:tabs>
              <w:spacing w:beforeLines="20" w:before="48" w:afterLines="20" w:after="48"/>
              <w:rPr>
                <w:rFonts w:eastAsia="Arial Unicode MS"/>
                <w:lang w:val="en-GB"/>
              </w:rPr>
            </w:pPr>
            <w:r w:rsidRPr="00EE6FC1">
              <w:rPr>
                <w:rFonts w:eastAsia="Arial Unicode MS"/>
                <w:lang w:val="en-GB" w:eastAsia="en-US"/>
              </w:rPr>
              <w:t>Page</w:t>
            </w:r>
          </w:p>
        </w:tc>
      </w:tr>
      <w:tr w:rsidR="00D82397" w:rsidRPr="00EE6FC1" w14:paraId="003E07D2" w14:textId="77777777" w:rsidTr="009E359E">
        <w:trPr>
          <w:trHeight w:val="20"/>
        </w:trPr>
        <w:tc>
          <w:tcPr>
            <w:tcW w:w="2297" w:type="dxa"/>
            <w:shd w:val="clear" w:color="auto" w:fill="auto"/>
          </w:tcPr>
          <w:p w14:paraId="2ADA67A7"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SD 5.2.1(a)</w:t>
            </w:r>
          </w:p>
        </w:tc>
        <w:tc>
          <w:tcPr>
            <w:tcW w:w="6379" w:type="dxa"/>
            <w:gridSpan w:val="2"/>
            <w:shd w:val="clear" w:color="auto" w:fill="auto"/>
          </w:tcPr>
          <w:p w14:paraId="17C7461D"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Compliance with Ministerial Directions</w:t>
            </w:r>
          </w:p>
        </w:tc>
        <w:tc>
          <w:tcPr>
            <w:tcW w:w="1134" w:type="dxa"/>
            <w:shd w:val="clear" w:color="auto" w:fill="auto"/>
          </w:tcPr>
          <w:p w14:paraId="52D99536" w14:textId="77777777" w:rsidR="00D82397" w:rsidRPr="00EE6FC1" w:rsidRDefault="00D82397" w:rsidP="009E359E">
            <w:pPr>
              <w:tabs>
                <w:tab w:val="left" w:pos="2640"/>
              </w:tabs>
              <w:spacing w:beforeLines="20" w:before="48" w:afterLines="20" w:after="48"/>
              <w:rPr>
                <w:rFonts w:eastAsia="Arial Unicode MS"/>
                <w:lang w:val="en-GB"/>
              </w:rPr>
            </w:pPr>
            <w:r w:rsidRPr="00EE6FC1">
              <w:rPr>
                <w:rFonts w:eastAsia="Arial Unicode MS"/>
                <w:lang w:val="en-GB" w:eastAsia="en-US"/>
              </w:rPr>
              <w:t>Page</w:t>
            </w:r>
          </w:p>
        </w:tc>
      </w:tr>
      <w:tr w:rsidR="00D82397" w:rsidRPr="00EE6FC1" w14:paraId="3D6DAF44" w14:textId="77777777" w:rsidTr="009E359E">
        <w:trPr>
          <w:trHeight w:val="20"/>
        </w:trPr>
        <w:tc>
          <w:tcPr>
            <w:tcW w:w="9810" w:type="dxa"/>
            <w:gridSpan w:val="4"/>
            <w:shd w:val="clear" w:color="auto" w:fill="auto"/>
          </w:tcPr>
          <w:p w14:paraId="66BEB68A" w14:textId="77777777" w:rsidR="00D82397" w:rsidRPr="00EE6FC1" w:rsidRDefault="00D82397" w:rsidP="009E359E">
            <w:pPr>
              <w:tabs>
                <w:tab w:val="left" w:pos="2640"/>
              </w:tabs>
              <w:spacing w:beforeLines="20" w:before="48" w:afterLines="20" w:after="48"/>
              <w:rPr>
                <w:rFonts w:eastAsia="Arial Unicode MS"/>
                <w:b/>
                <w:lang w:val="en-GB" w:eastAsia="en-US"/>
              </w:rPr>
            </w:pPr>
            <w:r w:rsidRPr="00EE6FC1">
              <w:rPr>
                <w:rFonts w:eastAsia="Arial Unicode MS"/>
                <w:b/>
                <w:lang w:val="en-GB" w:eastAsia="en-US"/>
              </w:rPr>
              <w:t xml:space="preserve">Other disclosures as required by FRDs in notes to the financial statements </w:t>
            </w:r>
            <w:r w:rsidRPr="00EE6FC1">
              <w:rPr>
                <w:rFonts w:eastAsia="Arial Unicode MS"/>
                <w:b/>
                <w:vertAlign w:val="superscript"/>
                <w:lang w:val="en-GB" w:eastAsia="en-US"/>
              </w:rPr>
              <w:t>(a)</w:t>
            </w:r>
          </w:p>
        </w:tc>
      </w:tr>
      <w:tr w:rsidR="00D82397" w:rsidRPr="00EE6FC1" w14:paraId="276476AC" w14:textId="77777777" w:rsidTr="009E359E">
        <w:trPr>
          <w:trHeight w:val="20"/>
        </w:trPr>
        <w:tc>
          <w:tcPr>
            <w:tcW w:w="2297" w:type="dxa"/>
            <w:shd w:val="clear" w:color="auto" w:fill="auto"/>
          </w:tcPr>
          <w:p w14:paraId="33E9917B"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FRD 21C</w:t>
            </w:r>
          </w:p>
        </w:tc>
        <w:tc>
          <w:tcPr>
            <w:tcW w:w="6379" w:type="dxa"/>
            <w:gridSpan w:val="2"/>
            <w:shd w:val="clear" w:color="auto" w:fill="auto"/>
          </w:tcPr>
          <w:p w14:paraId="227EE3FE"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Disclosures of Responsible Persons, Executive Officers and other Personnel (Contractors with Significant Management Responsibilities) in the Financial Report</w:t>
            </w:r>
          </w:p>
        </w:tc>
        <w:tc>
          <w:tcPr>
            <w:tcW w:w="1134" w:type="dxa"/>
            <w:shd w:val="clear" w:color="auto" w:fill="auto"/>
          </w:tcPr>
          <w:p w14:paraId="78FD459C" w14:textId="77777777" w:rsidR="00D82397" w:rsidRPr="00EE6FC1" w:rsidRDefault="00D82397" w:rsidP="009E359E">
            <w:pPr>
              <w:tabs>
                <w:tab w:val="left" w:pos="2640"/>
              </w:tabs>
              <w:spacing w:beforeLines="20" w:before="48" w:afterLines="20" w:after="48"/>
              <w:rPr>
                <w:rFonts w:eastAsia="Arial Unicode MS"/>
                <w:lang w:val="en-GB"/>
              </w:rPr>
            </w:pPr>
            <w:r w:rsidRPr="00EE6FC1">
              <w:rPr>
                <w:rFonts w:eastAsia="Arial Unicode MS"/>
                <w:lang w:val="en-GB" w:eastAsia="en-US"/>
              </w:rPr>
              <w:t>Page</w:t>
            </w:r>
          </w:p>
        </w:tc>
      </w:tr>
      <w:tr w:rsidR="00D82397" w:rsidRPr="00EE6FC1" w14:paraId="0AA88E65" w14:textId="77777777" w:rsidTr="009E359E">
        <w:trPr>
          <w:trHeight w:val="20"/>
        </w:trPr>
        <w:tc>
          <w:tcPr>
            <w:tcW w:w="2297" w:type="dxa"/>
            <w:shd w:val="clear" w:color="auto" w:fill="auto"/>
          </w:tcPr>
          <w:p w14:paraId="542967D8"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FRD 103G [pending]</w:t>
            </w:r>
          </w:p>
        </w:tc>
        <w:tc>
          <w:tcPr>
            <w:tcW w:w="6379" w:type="dxa"/>
            <w:gridSpan w:val="2"/>
            <w:shd w:val="clear" w:color="auto" w:fill="auto"/>
          </w:tcPr>
          <w:p w14:paraId="5381AE9F"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Non</w:t>
            </w:r>
            <w:r w:rsidRPr="00EE6FC1">
              <w:rPr>
                <w:rFonts w:eastAsia="Arial Unicode MS"/>
                <w:lang w:val="en-GB" w:eastAsia="en-US"/>
              </w:rPr>
              <w:noBreakHyphen/>
              <w:t xml:space="preserve">Financial Physical Assets </w:t>
            </w:r>
          </w:p>
        </w:tc>
        <w:tc>
          <w:tcPr>
            <w:tcW w:w="1134" w:type="dxa"/>
            <w:shd w:val="clear" w:color="auto" w:fill="auto"/>
          </w:tcPr>
          <w:p w14:paraId="3114EBD8" w14:textId="77777777" w:rsidR="00D82397" w:rsidRPr="00EE6FC1" w:rsidRDefault="00D82397" w:rsidP="009E359E">
            <w:pPr>
              <w:tabs>
                <w:tab w:val="left" w:pos="2640"/>
              </w:tabs>
              <w:spacing w:beforeLines="20" w:before="48" w:afterLines="20" w:after="48"/>
              <w:rPr>
                <w:rFonts w:eastAsia="Arial Unicode MS"/>
                <w:lang w:val="en-GB"/>
              </w:rPr>
            </w:pPr>
            <w:r w:rsidRPr="00EE6FC1">
              <w:rPr>
                <w:rFonts w:eastAsia="Arial Unicode MS"/>
                <w:lang w:val="en-GB" w:eastAsia="en-US"/>
              </w:rPr>
              <w:t>Page</w:t>
            </w:r>
          </w:p>
        </w:tc>
      </w:tr>
      <w:tr w:rsidR="00D82397" w:rsidRPr="00EE6FC1" w14:paraId="0D7A4207" w14:textId="77777777" w:rsidTr="009E359E">
        <w:trPr>
          <w:trHeight w:val="20"/>
        </w:trPr>
        <w:tc>
          <w:tcPr>
            <w:tcW w:w="2297" w:type="dxa"/>
            <w:shd w:val="clear" w:color="auto" w:fill="auto"/>
          </w:tcPr>
          <w:p w14:paraId="7F6B72C2"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 xml:space="preserve">FRD 110A </w:t>
            </w:r>
          </w:p>
        </w:tc>
        <w:tc>
          <w:tcPr>
            <w:tcW w:w="6379" w:type="dxa"/>
            <w:gridSpan w:val="2"/>
            <w:shd w:val="clear" w:color="auto" w:fill="auto"/>
          </w:tcPr>
          <w:p w14:paraId="581E73E9"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Cash Flow Statements</w:t>
            </w:r>
          </w:p>
        </w:tc>
        <w:tc>
          <w:tcPr>
            <w:tcW w:w="1134" w:type="dxa"/>
            <w:shd w:val="clear" w:color="auto" w:fill="auto"/>
          </w:tcPr>
          <w:p w14:paraId="2351A02A" w14:textId="77777777" w:rsidR="00D82397" w:rsidRPr="00EE6FC1" w:rsidRDefault="00D82397" w:rsidP="009E359E">
            <w:pPr>
              <w:tabs>
                <w:tab w:val="left" w:pos="2640"/>
              </w:tabs>
              <w:spacing w:beforeLines="20" w:before="48" w:afterLines="20" w:after="48"/>
              <w:rPr>
                <w:rFonts w:eastAsia="Arial Unicode MS"/>
                <w:lang w:val="en-GB"/>
              </w:rPr>
            </w:pPr>
            <w:r w:rsidRPr="00EE6FC1">
              <w:rPr>
                <w:rFonts w:eastAsia="Arial Unicode MS"/>
                <w:lang w:val="en-GB" w:eastAsia="en-US"/>
              </w:rPr>
              <w:t>Page</w:t>
            </w:r>
          </w:p>
        </w:tc>
      </w:tr>
      <w:tr w:rsidR="00D82397" w:rsidRPr="00EE6FC1" w14:paraId="11384CFD" w14:textId="77777777" w:rsidTr="009E359E">
        <w:trPr>
          <w:trHeight w:val="20"/>
        </w:trPr>
        <w:tc>
          <w:tcPr>
            <w:tcW w:w="9810" w:type="dxa"/>
            <w:gridSpan w:val="4"/>
            <w:shd w:val="clear" w:color="auto" w:fill="000000"/>
            <w:vAlign w:val="bottom"/>
          </w:tcPr>
          <w:p w14:paraId="2643C70F" w14:textId="77777777" w:rsidR="00D82397" w:rsidRPr="00EE6FC1" w:rsidRDefault="00D82397" w:rsidP="009E359E">
            <w:pPr>
              <w:tabs>
                <w:tab w:val="left" w:pos="2640"/>
              </w:tabs>
              <w:spacing w:beforeLines="20" w:before="48" w:afterLines="20" w:after="48"/>
              <w:rPr>
                <w:rFonts w:eastAsia="Arial Unicode MS"/>
                <w:b/>
                <w:lang w:val="en-GB" w:eastAsia="en-US"/>
              </w:rPr>
            </w:pPr>
            <w:r w:rsidRPr="00EE6FC1">
              <w:rPr>
                <w:rFonts w:eastAsia="Arial Unicode MS"/>
                <w:b/>
                <w:lang w:val="en-GB" w:eastAsia="en-US"/>
              </w:rPr>
              <w:t>Other requirements under Legislation</w:t>
            </w:r>
          </w:p>
        </w:tc>
      </w:tr>
      <w:tr w:rsidR="00D82397" w:rsidRPr="00EE6FC1" w14:paraId="7092515A" w14:textId="77777777" w:rsidTr="009E359E">
        <w:trPr>
          <w:trHeight w:val="231"/>
        </w:trPr>
        <w:tc>
          <w:tcPr>
            <w:tcW w:w="2297" w:type="dxa"/>
            <w:shd w:val="clear" w:color="auto" w:fill="auto"/>
          </w:tcPr>
          <w:p w14:paraId="37EE44C7"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Disability Act 2006 s.38(3)</w:t>
            </w:r>
          </w:p>
        </w:tc>
        <w:tc>
          <w:tcPr>
            <w:tcW w:w="6379" w:type="dxa"/>
            <w:gridSpan w:val="2"/>
            <w:shd w:val="clear" w:color="auto" w:fill="auto"/>
          </w:tcPr>
          <w:p w14:paraId="4AD148FB"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Statement of compliance with the Disability Act 2006</w:t>
            </w:r>
          </w:p>
        </w:tc>
        <w:tc>
          <w:tcPr>
            <w:tcW w:w="1134" w:type="dxa"/>
            <w:shd w:val="clear" w:color="auto" w:fill="auto"/>
          </w:tcPr>
          <w:p w14:paraId="59E991FC"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Page</w:t>
            </w:r>
          </w:p>
        </w:tc>
      </w:tr>
      <w:tr w:rsidR="00D82397" w:rsidRPr="00EE6FC1" w14:paraId="004585BC" w14:textId="77777777" w:rsidTr="009E359E">
        <w:trPr>
          <w:trHeight w:val="20"/>
        </w:trPr>
        <w:tc>
          <w:tcPr>
            <w:tcW w:w="2297" w:type="dxa"/>
            <w:shd w:val="clear" w:color="auto" w:fill="auto"/>
          </w:tcPr>
          <w:p w14:paraId="3847DD9C"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Equal Opportunity Act 2010 s.179</w:t>
            </w:r>
          </w:p>
        </w:tc>
        <w:tc>
          <w:tcPr>
            <w:tcW w:w="6379" w:type="dxa"/>
            <w:gridSpan w:val="2"/>
            <w:shd w:val="clear" w:color="auto" w:fill="auto"/>
          </w:tcPr>
          <w:p w14:paraId="380D8383"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Information on education programs; the review of Acts undertaken; and research undertaken</w:t>
            </w:r>
          </w:p>
        </w:tc>
        <w:tc>
          <w:tcPr>
            <w:tcW w:w="1134" w:type="dxa"/>
            <w:shd w:val="clear" w:color="auto" w:fill="auto"/>
          </w:tcPr>
          <w:p w14:paraId="797B0A42" w14:textId="77777777" w:rsidR="00D82397" w:rsidRPr="00EE6FC1" w:rsidRDefault="00D82397" w:rsidP="009E359E">
            <w:pPr>
              <w:tabs>
                <w:tab w:val="left" w:pos="2640"/>
              </w:tabs>
              <w:spacing w:beforeLines="20" w:before="48" w:afterLines="20" w:after="48"/>
              <w:rPr>
                <w:rFonts w:eastAsia="Arial Unicode MS"/>
                <w:lang w:val="en-GB"/>
              </w:rPr>
            </w:pPr>
            <w:r w:rsidRPr="00EE6FC1">
              <w:rPr>
                <w:rFonts w:eastAsia="Arial Unicode MS"/>
                <w:lang w:val="en-GB" w:eastAsia="en-US"/>
              </w:rPr>
              <w:t>Page</w:t>
            </w:r>
          </w:p>
        </w:tc>
      </w:tr>
      <w:tr w:rsidR="00D82397" w:rsidRPr="00EE6FC1" w14:paraId="01E5B49F" w14:textId="77777777" w:rsidTr="009E359E">
        <w:trPr>
          <w:trHeight w:val="20"/>
        </w:trPr>
        <w:tc>
          <w:tcPr>
            <w:tcW w:w="2297" w:type="dxa"/>
            <w:shd w:val="clear" w:color="auto" w:fill="auto"/>
          </w:tcPr>
          <w:p w14:paraId="0628253D"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Financial Management Act 1994 s.45(1)</w:t>
            </w:r>
          </w:p>
        </w:tc>
        <w:tc>
          <w:tcPr>
            <w:tcW w:w="6379" w:type="dxa"/>
            <w:gridSpan w:val="2"/>
            <w:shd w:val="clear" w:color="auto" w:fill="auto"/>
          </w:tcPr>
          <w:p w14:paraId="4D294185"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Letter of Transmission to the Attorney-General and statement of compliance with the Financial Management Act 1994</w:t>
            </w:r>
          </w:p>
        </w:tc>
        <w:tc>
          <w:tcPr>
            <w:tcW w:w="1134" w:type="dxa"/>
            <w:shd w:val="clear" w:color="auto" w:fill="auto"/>
          </w:tcPr>
          <w:p w14:paraId="42C3618C"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Page</w:t>
            </w:r>
          </w:p>
          <w:p w14:paraId="5C81FD77" w14:textId="77777777" w:rsidR="00D82397" w:rsidRPr="00EE6FC1" w:rsidRDefault="00D82397" w:rsidP="009E359E">
            <w:pPr>
              <w:tabs>
                <w:tab w:val="left" w:pos="2640"/>
              </w:tabs>
              <w:spacing w:beforeLines="20" w:before="48" w:afterLines="20" w:after="48"/>
              <w:rPr>
                <w:rFonts w:eastAsia="Arial Unicode MS"/>
                <w:lang w:val="en-GB" w:eastAsia="en-US"/>
              </w:rPr>
            </w:pPr>
          </w:p>
        </w:tc>
      </w:tr>
      <w:tr w:rsidR="00D82397" w:rsidRPr="00EE6FC1" w14:paraId="27758575" w14:textId="77777777" w:rsidTr="009E359E">
        <w:trPr>
          <w:trHeight w:val="20"/>
        </w:trPr>
        <w:tc>
          <w:tcPr>
            <w:tcW w:w="2297" w:type="dxa"/>
            <w:shd w:val="clear" w:color="auto" w:fill="auto"/>
          </w:tcPr>
          <w:p w14:paraId="644EEAF0"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Freedom of Information Act 1982 Part 7, s.7(1) and s.7(4)</w:t>
            </w:r>
          </w:p>
        </w:tc>
        <w:tc>
          <w:tcPr>
            <w:tcW w:w="6379" w:type="dxa"/>
            <w:gridSpan w:val="2"/>
            <w:shd w:val="clear" w:color="auto" w:fill="auto"/>
          </w:tcPr>
          <w:p w14:paraId="4297D55A"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Statement of compliance with the Freedom of Information Act 1982; procedures for lodging a FOI Request with the Commission; and FOI Statistics</w:t>
            </w:r>
          </w:p>
        </w:tc>
        <w:tc>
          <w:tcPr>
            <w:tcW w:w="1134" w:type="dxa"/>
            <w:shd w:val="clear" w:color="auto" w:fill="auto"/>
          </w:tcPr>
          <w:p w14:paraId="55E0B835"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Page</w:t>
            </w:r>
          </w:p>
          <w:p w14:paraId="2907B347" w14:textId="77777777" w:rsidR="00D82397" w:rsidRPr="00EE6FC1" w:rsidRDefault="00D82397" w:rsidP="009E359E">
            <w:pPr>
              <w:tabs>
                <w:tab w:val="left" w:pos="2640"/>
              </w:tabs>
              <w:spacing w:beforeLines="20" w:before="48" w:afterLines="20" w:after="48"/>
              <w:rPr>
                <w:rFonts w:eastAsia="Arial Unicode MS"/>
                <w:lang w:val="en-GB" w:eastAsia="en-US"/>
              </w:rPr>
            </w:pPr>
          </w:p>
        </w:tc>
      </w:tr>
      <w:tr w:rsidR="00D82397" w:rsidRPr="00EE6FC1" w14:paraId="7DCC0616" w14:textId="77777777" w:rsidTr="009E359E">
        <w:trPr>
          <w:trHeight w:val="20"/>
        </w:trPr>
        <w:tc>
          <w:tcPr>
            <w:tcW w:w="2297" w:type="dxa"/>
            <w:shd w:val="clear" w:color="auto" w:fill="auto"/>
          </w:tcPr>
          <w:p w14:paraId="628DAB19"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Protected Disclosure Act 2012</w:t>
            </w:r>
            <w:r w:rsidRPr="00EE6FC1">
              <w:rPr>
                <w:rFonts w:eastAsia="Arial Unicode MS"/>
                <w:lang w:val="en-GB" w:eastAsia="en-US"/>
              </w:rPr>
              <w:br/>
              <w:t>s.70(1)</w:t>
            </w:r>
          </w:p>
        </w:tc>
        <w:tc>
          <w:tcPr>
            <w:tcW w:w="6379" w:type="dxa"/>
            <w:gridSpan w:val="2"/>
            <w:shd w:val="clear" w:color="auto" w:fill="auto"/>
          </w:tcPr>
          <w:p w14:paraId="6FE9D6DD"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Statement of compliance with the Protected Disclosure Act 2012 and procedures for making a Protected Disclosure</w:t>
            </w:r>
          </w:p>
        </w:tc>
        <w:tc>
          <w:tcPr>
            <w:tcW w:w="1134" w:type="dxa"/>
            <w:shd w:val="clear" w:color="auto" w:fill="auto"/>
          </w:tcPr>
          <w:p w14:paraId="78E4D4FE" w14:textId="77777777" w:rsidR="00D82397" w:rsidRPr="00EE6FC1" w:rsidRDefault="00D82397" w:rsidP="009E359E">
            <w:pPr>
              <w:tabs>
                <w:tab w:val="left" w:pos="2640"/>
              </w:tabs>
              <w:spacing w:beforeLines="20" w:before="48" w:afterLines="20" w:after="48"/>
              <w:rPr>
                <w:rFonts w:eastAsia="Arial Unicode MS"/>
                <w:lang w:val="en-GB"/>
              </w:rPr>
            </w:pPr>
            <w:r w:rsidRPr="00EE6FC1">
              <w:rPr>
                <w:rFonts w:eastAsia="Arial Unicode MS"/>
                <w:lang w:val="en-GB" w:eastAsia="en-US"/>
              </w:rPr>
              <w:t>Page</w:t>
            </w:r>
          </w:p>
        </w:tc>
      </w:tr>
      <w:tr w:rsidR="00D82397" w:rsidRPr="00EE6FC1" w14:paraId="255F4F8C" w14:textId="77777777" w:rsidTr="009E359E">
        <w:trPr>
          <w:trHeight w:val="20"/>
        </w:trPr>
        <w:tc>
          <w:tcPr>
            <w:tcW w:w="2297" w:type="dxa"/>
            <w:shd w:val="clear" w:color="auto" w:fill="auto"/>
          </w:tcPr>
          <w:p w14:paraId="171276E7"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Victorian Industry Participation Policy Act 2003 s.9(1)</w:t>
            </w:r>
          </w:p>
        </w:tc>
        <w:tc>
          <w:tcPr>
            <w:tcW w:w="6379" w:type="dxa"/>
            <w:gridSpan w:val="2"/>
            <w:shd w:val="clear" w:color="auto" w:fill="auto"/>
          </w:tcPr>
          <w:p w14:paraId="3A68279A" w14:textId="77777777" w:rsidR="00D82397" w:rsidRPr="00EE6FC1" w:rsidRDefault="00D82397" w:rsidP="009E359E">
            <w:pPr>
              <w:tabs>
                <w:tab w:val="left" w:pos="2640"/>
              </w:tabs>
              <w:spacing w:beforeLines="20" w:before="48" w:afterLines="20" w:after="48"/>
              <w:rPr>
                <w:rFonts w:eastAsia="Arial Unicode MS"/>
                <w:lang w:val="en-GB" w:eastAsia="en-US"/>
              </w:rPr>
            </w:pPr>
            <w:r w:rsidRPr="00EE6FC1">
              <w:rPr>
                <w:rFonts w:eastAsia="Arial Unicode MS"/>
                <w:lang w:val="en-GB" w:eastAsia="en-US"/>
              </w:rPr>
              <w:t>Statement of compliance with the Victorian Industry Participation Policy Act 2003</w:t>
            </w:r>
          </w:p>
        </w:tc>
        <w:tc>
          <w:tcPr>
            <w:tcW w:w="1134" w:type="dxa"/>
            <w:shd w:val="clear" w:color="auto" w:fill="auto"/>
          </w:tcPr>
          <w:p w14:paraId="48C414D0" w14:textId="77777777" w:rsidR="00D82397" w:rsidRPr="00EE6FC1" w:rsidRDefault="00D82397" w:rsidP="009E359E">
            <w:pPr>
              <w:tabs>
                <w:tab w:val="left" w:pos="2640"/>
              </w:tabs>
              <w:spacing w:beforeLines="20" w:before="48" w:afterLines="20" w:after="48"/>
              <w:rPr>
                <w:rFonts w:eastAsia="Arial Unicode MS"/>
                <w:lang w:val="en-GB"/>
              </w:rPr>
            </w:pPr>
            <w:r w:rsidRPr="00EE6FC1">
              <w:rPr>
                <w:rFonts w:eastAsia="Arial Unicode MS"/>
                <w:lang w:val="en-GB" w:eastAsia="en-US"/>
              </w:rPr>
              <w:t>Page</w:t>
            </w:r>
          </w:p>
        </w:tc>
      </w:tr>
    </w:tbl>
    <w:p w14:paraId="203D24C8" w14:textId="77777777" w:rsidR="00D82397" w:rsidRPr="007B5FB0" w:rsidRDefault="00D82397" w:rsidP="00D82397">
      <w:pPr>
        <w:keepNext/>
        <w:spacing w:before="300" w:line="360" w:lineRule="atLeast"/>
        <w:ind w:right="-285"/>
        <w:outlineLvl w:val="0"/>
        <w:rPr>
          <w:b/>
          <w:bCs/>
          <w:kern w:val="32"/>
          <w:sz w:val="36"/>
          <w:szCs w:val="32"/>
          <w:highlight w:val="yellow"/>
          <w:lang w:val="en-GB"/>
        </w:rPr>
      </w:pPr>
    </w:p>
    <w:p w14:paraId="240C768E" w14:textId="64B8D33D" w:rsidR="00217830" w:rsidRDefault="00D82397" w:rsidP="00D82397">
      <w:pPr>
        <w:pStyle w:val="VEOHRCHeading1"/>
      </w:pPr>
      <w:r w:rsidRPr="007B5FB0">
        <w:rPr>
          <w:highlight w:val="yellow"/>
        </w:rPr>
        <w:br w:type="page"/>
      </w:r>
    </w:p>
    <w:p w14:paraId="48A4D684" w14:textId="203EDEF7" w:rsidR="00E66F4B" w:rsidRDefault="00E66F4B" w:rsidP="00E66F4B">
      <w:pPr>
        <w:pStyle w:val="VEOHRCHeading1"/>
      </w:pPr>
      <w:bookmarkStart w:id="20" w:name="_Toc524536480"/>
      <w:r>
        <w:lastRenderedPageBreak/>
        <w:t>Non-financial disclosures</w:t>
      </w:r>
      <w:bookmarkEnd w:id="20"/>
    </w:p>
    <w:p w14:paraId="5315D638" w14:textId="54074E2F" w:rsidR="00876966" w:rsidRPr="00876966" w:rsidRDefault="00876966" w:rsidP="00E66F4B">
      <w:pPr>
        <w:pStyle w:val="VEOHRCHeading2"/>
        <w:rPr>
          <w:lang w:eastAsia="en-US"/>
        </w:rPr>
      </w:pPr>
      <w:r w:rsidRPr="00876966">
        <w:rPr>
          <w:lang w:eastAsia="en-US"/>
        </w:rPr>
        <w:t>Organisational chart</w:t>
      </w:r>
    </w:p>
    <w:tbl>
      <w:tblPr>
        <w:tblW w:w="9190" w:type="dxa"/>
        <w:tblLook w:val="04A0" w:firstRow="1" w:lastRow="0" w:firstColumn="1" w:lastColumn="0" w:noHBand="0" w:noVBand="1"/>
      </w:tblPr>
      <w:tblGrid>
        <w:gridCol w:w="1963"/>
        <w:gridCol w:w="726"/>
        <w:gridCol w:w="146"/>
        <w:gridCol w:w="325"/>
        <w:gridCol w:w="96"/>
        <w:gridCol w:w="1417"/>
        <w:gridCol w:w="1322"/>
        <w:gridCol w:w="360"/>
        <w:gridCol w:w="161"/>
        <w:gridCol w:w="1276"/>
        <w:gridCol w:w="1398"/>
      </w:tblGrid>
      <w:tr w:rsidR="00831329" w:rsidRPr="00831329" w14:paraId="31D93FCF" w14:textId="77777777" w:rsidTr="00D82397">
        <w:trPr>
          <w:trHeight w:val="315"/>
        </w:trPr>
        <w:tc>
          <w:tcPr>
            <w:tcW w:w="9190" w:type="dxa"/>
            <w:gridSpan w:val="11"/>
            <w:tcBorders>
              <w:top w:val="single" w:sz="4" w:space="0" w:color="auto"/>
              <w:left w:val="single" w:sz="4" w:space="0" w:color="auto"/>
              <w:bottom w:val="nil"/>
              <w:right w:val="single" w:sz="4" w:space="0" w:color="000000"/>
            </w:tcBorders>
            <w:shd w:val="clear" w:color="auto" w:fill="auto"/>
            <w:vAlign w:val="bottom"/>
            <w:hideMark/>
          </w:tcPr>
          <w:p w14:paraId="7167B009" w14:textId="77777777" w:rsidR="00831329" w:rsidRPr="00831329" w:rsidRDefault="00831329" w:rsidP="00831329">
            <w:pPr>
              <w:jc w:val="center"/>
              <w:rPr>
                <w:rFonts w:cs="Arial"/>
                <w:b/>
                <w:bCs/>
                <w:color w:val="000000"/>
              </w:rPr>
            </w:pPr>
            <w:bookmarkStart w:id="21" w:name="RANGE!A1"/>
            <w:r w:rsidRPr="00831329">
              <w:rPr>
                <w:rFonts w:cs="Arial"/>
                <w:b/>
                <w:bCs/>
                <w:noProof/>
                <w:color w:val="000000"/>
                <w:lang w:val="en-GB"/>
              </w:rPr>
              <w:t>The Board</w:t>
            </w:r>
            <w:bookmarkEnd w:id="21"/>
          </w:p>
        </w:tc>
      </w:tr>
      <w:tr w:rsidR="00831329" w:rsidRPr="00831329" w14:paraId="41458371" w14:textId="77777777" w:rsidTr="00D82397">
        <w:trPr>
          <w:trHeight w:val="427"/>
        </w:trPr>
        <w:tc>
          <w:tcPr>
            <w:tcW w:w="2835" w:type="dxa"/>
            <w:gridSpan w:val="3"/>
            <w:tcBorders>
              <w:top w:val="nil"/>
              <w:left w:val="single" w:sz="4" w:space="0" w:color="auto"/>
              <w:bottom w:val="nil"/>
              <w:right w:val="nil"/>
            </w:tcBorders>
            <w:shd w:val="clear" w:color="auto" w:fill="auto"/>
            <w:vAlign w:val="bottom"/>
            <w:hideMark/>
          </w:tcPr>
          <w:p w14:paraId="7671A975" w14:textId="77777777" w:rsidR="00831329" w:rsidRPr="00831329" w:rsidRDefault="00831329" w:rsidP="00831329">
            <w:pPr>
              <w:jc w:val="center"/>
              <w:rPr>
                <w:rFonts w:cs="Arial"/>
                <w:color w:val="000000"/>
              </w:rPr>
            </w:pPr>
            <w:r w:rsidRPr="00831329">
              <w:rPr>
                <w:rFonts w:cs="Arial"/>
                <w:noProof/>
                <w:color w:val="000000"/>
                <w:lang w:val="en-GB"/>
              </w:rPr>
              <w:t>Moana Weir (Chair)</w:t>
            </w:r>
          </w:p>
        </w:tc>
        <w:tc>
          <w:tcPr>
            <w:tcW w:w="325" w:type="dxa"/>
            <w:tcBorders>
              <w:top w:val="nil"/>
              <w:left w:val="nil"/>
              <w:bottom w:val="nil"/>
              <w:right w:val="nil"/>
            </w:tcBorders>
            <w:shd w:val="clear" w:color="auto" w:fill="auto"/>
            <w:vAlign w:val="bottom"/>
            <w:hideMark/>
          </w:tcPr>
          <w:p w14:paraId="017EF5BA" w14:textId="77777777" w:rsidR="00831329" w:rsidRPr="00831329" w:rsidRDefault="00831329" w:rsidP="00831329">
            <w:pPr>
              <w:jc w:val="center"/>
              <w:rPr>
                <w:rFonts w:cs="Arial"/>
                <w:color w:val="000000"/>
              </w:rPr>
            </w:pPr>
          </w:p>
        </w:tc>
        <w:tc>
          <w:tcPr>
            <w:tcW w:w="2835" w:type="dxa"/>
            <w:gridSpan w:val="3"/>
            <w:tcBorders>
              <w:top w:val="nil"/>
              <w:left w:val="nil"/>
              <w:bottom w:val="nil"/>
              <w:right w:val="nil"/>
            </w:tcBorders>
            <w:shd w:val="clear" w:color="auto" w:fill="auto"/>
            <w:vAlign w:val="bottom"/>
            <w:hideMark/>
          </w:tcPr>
          <w:p w14:paraId="7EA59CBC" w14:textId="77777777" w:rsidR="00831329" w:rsidRPr="00831329" w:rsidRDefault="00831329" w:rsidP="00831329">
            <w:pPr>
              <w:jc w:val="center"/>
              <w:rPr>
                <w:rFonts w:cs="Arial"/>
                <w:color w:val="000000"/>
              </w:rPr>
            </w:pPr>
            <w:r w:rsidRPr="00831329">
              <w:rPr>
                <w:rFonts w:cs="Arial"/>
                <w:noProof/>
                <w:color w:val="000000"/>
              </w:rPr>
              <w:t>Tim Goodwin</w:t>
            </w:r>
          </w:p>
        </w:tc>
        <w:tc>
          <w:tcPr>
            <w:tcW w:w="360" w:type="dxa"/>
            <w:tcBorders>
              <w:top w:val="nil"/>
              <w:left w:val="nil"/>
              <w:bottom w:val="nil"/>
              <w:right w:val="nil"/>
            </w:tcBorders>
            <w:shd w:val="clear" w:color="auto" w:fill="auto"/>
            <w:vAlign w:val="bottom"/>
            <w:hideMark/>
          </w:tcPr>
          <w:p w14:paraId="327AD308" w14:textId="77777777" w:rsidR="00831329" w:rsidRPr="00831329" w:rsidRDefault="00831329" w:rsidP="00831329">
            <w:pPr>
              <w:jc w:val="center"/>
              <w:rPr>
                <w:rFonts w:cs="Arial"/>
                <w:color w:val="000000"/>
              </w:rPr>
            </w:pPr>
          </w:p>
        </w:tc>
        <w:tc>
          <w:tcPr>
            <w:tcW w:w="2835" w:type="dxa"/>
            <w:gridSpan w:val="3"/>
            <w:tcBorders>
              <w:top w:val="nil"/>
              <w:left w:val="nil"/>
              <w:bottom w:val="nil"/>
              <w:right w:val="single" w:sz="4" w:space="0" w:color="000000"/>
            </w:tcBorders>
            <w:shd w:val="clear" w:color="auto" w:fill="auto"/>
            <w:vAlign w:val="bottom"/>
            <w:hideMark/>
          </w:tcPr>
          <w:p w14:paraId="2CFEAD27" w14:textId="77777777" w:rsidR="00831329" w:rsidRPr="00831329" w:rsidRDefault="00831329" w:rsidP="00831329">
            <w:pPr>
              <w:jc w:val="center"/>
              <w:rPr>
                <w:rFonts w:cs="Arial"/>
                <w:color w:val="000000"/>
              </w:rPr>
            </w:pPr>
            <w:r w:rsidRPr="00831329">
              <w:rPr>
                <w:rFonts w:cs="Arial"/>
                <w:noProof/>
                <w:color w:val="000000"/>
              </w:rPr>
              <w:t>Laurinda Gardner</w:t>
            </w:r>
          </w:p>
        </w:tc>
      </w:tr>
      <w:tr w:rsidR="00831329" w:rsidRPr="00831329" w14:paraId="4D696BD7" w14:textId="77777777" w:rsidTr="00D82397">
        <w:trPr>
          <w:trHeight w:val="433"/>
        </w:trPr>
        <w:tc>
          <w:tcPr>
            <w:tcW w:w="2835" w:type="dxa"/>
            <w:gridSpan w:val="3"/>
            <w:tcBorders>
              <w:top w:val="nil"/>
              <w:left w:val="single" w:sz="4" w:space="0" w:color="auto"/>
              <w:bottom w:val="nil"/>
              <w:right w:val="nil"/>
            </w:tcBorders>
            <w:shd w:val="clear" w:color="auto" w:fill="auto"/>
            <w:vAlign w:val="bottom"/>
            <w:hideMark/>
          </w:tcPr>
          <w:p w14:paraId="22D04A76" w14:textId="77777777" w:rsidR="00831329" w:rsidRPr="00831329" w:rsidRDefault="00831329" w:rsidP="00831329">
            <w:pPr>
              <w:jc w:val="center"/>
              <w:rPr>
                <w:rFonts w:cs="Arial"/>
                <w:color w:val="000000"/>
              </w:rPr>
            </w:pPr>
            <w:r w:rsidRPr="00831329">
              <w:rPr>
                <w:rFonts w:cs="Arial"/>
                <w:noProof/>
                <w:color w:val="000000"/>
              </w:rPr>
              <w:t>Jennifer Huppert</w:t>
            </w:r>
          </w:p>
        </w:tc>
        <w:tc>
          <w:tcPr>
            <w:tcW w:w="325" w:type="dxa"/>
            <w:tcBorders>
              <w:top w:val="nil"/>
              <w:left w:val="nil"/>
              <w:bottom w:val="nil"/>
              <w:right w:val="nil"/>
            </w:tcBorders>
            <w:shd w:val="clear" w:color="auto" w:fill="auto"/>
            <w:vAlign w:val="bottom"/>
            <w:hideMark/>
          </w:tcPr>
          <w:p w14:paraId="2BC5647D" w14:textId="77777777" w:rsidR="00831329" w:rsidRPr="00831329" w:rsidRDefault="00831329" w:rsidP="00831329">
            <w:pPr>
              <w:jc w:val="center"/>
              <w:rPr>
                <w:rFonts w:cs="Arial"/>
                <w:color w:val="000000"/>
              </w:rPr>
            </w:pPr>
          </w:p>
        </w:tc>
        <w:tc>
          <w:tcPr>
            <w:tcW w:w="2835" w:type="dxa"/>
            <w:gridSpan w:val="3"/>
            <w:tcBorders>
              <w:top w:val="nil"/>
              <w:left w:val="nil"/>
              <w:bottom w:val="nil"/>
              <w:right w:val="nil"/>
            </w:tcBorders>
            <w:shd w:val="clear" w:color="auto" w:fill="auto"/>
            <w:vAlign w:val="bottom"/>
            <w:hideMark/>
          </w:tcPr>
          <w:p w14:paraId="4EACDE29" w14:textId="77777777" w:rsidR="00831329" w:rsidRPr="00831329" w:rsidRDefault="00831329" w:rsidP="00831329">
            <w:pPr>
              <w:jc w:val="center"/>
              <w:rPr>
                <w:rFonts w:cs="Arial"/>
                <w:color w:val="000000"/>
              </w:rPr>
            </w:pPr>
            <w:r w:rsidRPr="00831329">
              <w:rPr>
                <w:rFonts w:cs="Arial"/>
                <w:noProof/>
                <w:color w:val="000000"/>
              </w:rPr>
              <w:t>Faddy Zouky</w:t>
            </w:r>
          </w:p>
        </w:tc>
        <w:tc>
          <w:tcPr>
            <w:tcW w:w="360" w:type="dxa"/>
            <w:tcBorders>
              <w:top w:val="nil"/>
              <w:left w:val="nil"/>
              <w:bottom w:val="nil"/>
              <w:right w:val="nil"/>
            </w:tcBorders>
            <w:shd w:val="clear" w:color="auto" w:fill="auto"/>
            <w:vAlign w:val="bottom"/>
            <w:hideMark/>
          </w:tcPr>
          <w:p w14:paraId="58D3A110" w14:textId="77777777" w:rsidR="00831329" w:rsidRPr="00831329" w:rsidRDefault="00831329" w:rsidP="00831329">
            <w:pPr>
              <w:jc w:val="center"/>
              <w:rPr>
                <w:rFonts w:cs="Arial"/>
                <w:color w:val="000000"/>
              </w:rPr>
            </w:pPr>
          </w:p>
        </w:tc>
        <w:tc>
          <w:tcPr>
            <w:tcW w:w="2835" w:type="dxa"/>
            <w:gridSpan w:val="3"/>
            <w:tcBorders>
              <w:top w:val="nil"/>
              <w:left w:val="nil"/>
              <w:bottom w:val="nil"/>
              <w:right w:val="single" w:sz="4" w:space="0" w:color="000000"/>
            </w:tcBorders>
            <w:shd w:val="clear" w:color="auto" w:fill="auto"/>
            <w:vAlign w:val="bottom"/>
            <w:hideMark/>
          </w:tcPr>
          <w:p w14:paraId="49D6B84E" w14:textId="77777777" w:rsidR="00831329" w:rsidRPr="00831329" w:rsidRDefault="00831329" w:rsidP="00831329">
            <w:pPr>
              <w:jc w:val="center"/>
              <w:rPr>
                <w:rFonts w:cs="Arial"/>
                <w:color w:val="000000"/>
              </w:rPr>
            </w:pPr>
            <w:r w:rsidRPr="00831329">
              <w:rPr>
                <w:rFonts w:cs="Arial"/>
                <w:noProof/>
                <w:color w:val="000000"/>
              </w:rPr>
              <w:t>Matt Finnis</w:t>
            </w:r>
          </w:p>
        </w:tc>
      </w:tr>
      <w:tr w:rsidR="00831329" w:rsidRPr="00831329" w14:paraId="3DB80291" w14:textId="77777777" w:rsidTr="00D82397">
        <w:trPr>
          <w:trHeight w:val="426"/>
        </w:trPr>
        <w:tc>
          <w:tcPr>
            <w:tcW w:w="2835" w:type="dxa"/>
            <w:gridSpan w:val="3"/>
            <w:tcBorders>
              <w:top w:val="nil"/>
              <w:left w:val="single" w:sz="4" w:space="0" w:color="auto"/>
              <w:bottom w:val="single" w:sz="4" w:space="0" w:color="auto"/>
              <w:right w:val="nil"/>
            </w:tcBorders>
            <w:shd w:val="clear" w:color="auto" w:fill="auto"/>
            <w:vAlign w:val="bottom"/>
            <w:hideMark/>
          </w:tcPr>
          <w:p w14:paraId="605AF956" w14:textId="77777777" w:rsidR="00831329" w:rsidRPr="00831329" w:rsidRDefault="00831329" w:rsidP="00831329">
            <w:pPr>
              <w:jc w:val="center"/>
              <w:rPr>
                <w:rFonts w:cs="Arial"/>
                <w:color w:val="000000"/>
              </w:rPr>
            </w:pPr>
            <w:r w:rsidRPr="00831329">
              <w:rPr>
                <w:rFonts w:cs="Arial"/>
                <w:color w:val="000000"/>
              </w:rPr>
              <w:t> </w:t>
            </w:r>
          </w:p>
        </w:tc>
        <w:tc>
          <w:tcPr>
            <w:tcW w:w="325" w:type="dxa"/>
            <w:tcBorders>
              <w:top w:val="nil"/>
              <w:left w:val="nil"/>
              <w:bottom w:val="single" w:sz="4" w:space="0" w:color="auto"/>
              <w:right w:val="nil"/>
            </w:tcBorders>
            <w:shd w:val="clear" w:color="auto" w:fill="auto"/>
            <w:vAlign w:val="bottom"/>
            <w:hideMark/>
          </w:tcPr>
          <w:p w14:paraId="1D1C371B" w14:textId="77777777" w:rsidR="00831329" w:rsidRPr="00831329" w:rsidRDefault="00831329" w:rsidP="00831329">
            <w:pPr>
              <w:rPr>
                <w:rFonts w:cs="Arial"/>
                <w:color w:val="000000"/>
              </w:rPr>
            </w:pPr>
            <w:r w:rsidRPr="00831329">
              <w:rPr>
                <w:rFonts w:cs="Arial"/>
                <w:color w:val="000000"/>
              </w:rPr>
              <w:t> </w:t>
            </w:r>
          </w:p>
        </w:tc>
        <w:tc>
          <w:tcPr>
            <w:tcW w:w="2835" w:type="dxa"/>
            <w:gridSpan w:val="3"/>
            <w:tcBorders>
              <w:top w:val="nil"/>
              <w:left w:val="nil"/>
              <w:bottom w:val="single" w:sz="4" w:space="0" w:color="auto"/>
              <w:right w:val="nil"/>
            </w:tcBorders>
            <w:shd w:val="clear" w:color="auto" w:fill="auto"/>
            <w:vAlign w:val="bottom"/>
            <w:hideMark/>
          </w:tcPr>
          <w:p w14:paraId="5E7AB8A2" w14:textId="77777777" w:rsidR="00831329" w:rsidRPr="00831329" w:rsidRDefault="00831329" w:rsidP="00831329">
            <w:pPr>
              <w:jc w:val="center"/>
              <w:rPr>
                <w:rFonts w:cs="Arial"/>
                <w:color w:val="000000"/>
              </w:rPr>
            </w:pPr>
            <w:r w:rsidRPr="00831329">
              <w:rPr>
                <w:rFonts w:cs="Arial"/>
                <w:noProof/>
                <w:color w:val="000000"/>
              </w:rPr>
              <w:t>Rebecca Dabbs</w:t>
            </w:r>
          </w:p>
        </w:tc>
        <w:tc>
          <w:tcPr>
            <w:tcW w:w="360" w:type="dxa"/>
            <w:tcBorders>
              <w:top w:val="nil"/>
              <w:left w:val="nil"/>
              <w:bottom w:val="single" w:sz="4" w:space="0" w:color="auto"/>
              <w:right w:val="nil"/>
            </w:tcBorders>
            <w:shd w:val="clear" w:color="auto" w:fill="auto"/>
            <w:vAlign w:val="bottom"/>
            <w:hideMark/>
          </w:tcPr>
          <w:p w14:paraId="250A170A" w14:textId="77777777" w:rsidR="00831329" w:rsidRPr="00831329" w:rsidRDefault="00831329" w:rsidP="00831329">
            <w:pPr>
              <w:jc w:val="center"/>
              <w:rPr>
                <w:rFonts w:cs="Arial"/>
                <w:color w:val="000000"/>
              </w:rPr>
            </w:pPr>
            <w:r w:rsidRPr="00831329">
              <w:rPr>
                <w:rFonts w:cs="Arial"/>
                <w:color w:val="000000"/>
              </w:rPr>
              <w:t> </w:t>
            </w:r>
          </w:p>
        </w:tc>
        <w:tc>
          <w:tcPr>
            <w:tcW w:w="2835" w:type="dxa"/>
            <w:gridSpan w:val="3"/>
            <w:tcBorders>
              <w:top w:val="nil"/>
              <w:left w:val="nil"/>
              <w:bottom w:val="single" w:sz="4" w:space="0" w:color="auto"/>
              <w:right w:val="single" w:sz="4" w:space="0" w:color="000000"/>
            </w:tcBorders>
            <w:shd w:val="clear" w:color="auto" w:fill="auto"/>
            <w:vAlign w:val="bottom"/>
            <w:hideMark/>
          </w:tcPr>
          <w:p w14:paraId="0F229B99" w14:textId="77777777" w:rsidR="00831329" w:rsidRPr="00831329" w:rsidRDefault="00831329" w:rsidP="00831329">
            <w:pPr>
              <w:jc w:val="center"/>
              <w:rPr>
                <w:rFonts w:cs="Arial"/>
                <w:color w:val="000000"/>
              </w:rPr>
            </w:pPr>
            <w:r w:rsidRPr="00831329">
              <w:rPr>
                <w:rFonts w:cs="Arial"/>
                <w:color w:val="000000"/>
              </w:rPr>
              <w:t> </w:t>
            </w:r>
          </w:p>
        </w:tc>
      </w:tr>
      <w:tr w:rsidR="00831329" w:rsidRPr="00831329" w14:paraId="60B06C2A" w14:textId="77777777" w:rsidTr="00D82397">
        <w:trPr>
          <w:trHeight w:val="300"/>
        </w:trPr>
        <w:tc>
          <w:tcPr>
            <w:tcW w:w="1963" w:type="dxa"/>
            <w:tcBorders>
              <w:top w:val="nil"/>
              <w:left w:val="nil"/>
              <w:bottom w:val="nil"/>
              <w:right w:val="nil"/>
            </w:tcBorders>
            <w:shd w:val="clear" w:color="auto" w:fill="auto"/>
            <w:vAlign w:val="bottom"/>
            <w:hideMark/>
          </w:tcPr>
          <w:p w14:paraId="5747412D" w14:textId="77777777" w:rsidR="00831329" w:rsidRPr="00831329" w:rsidRDefault="00831329" w:rsidP="00831329">
            <w:pPr>
              <w:jc w:val="center"/>
              <w:rPr>
                <w:rFonts w:cs="Arial"/>
                <w:color w:val="000000"/>
              </w:rPr>
            </w:pPr>
          </w:p>
        </w:tc>
        <w:tc>
          <w:tcPr>
            <w:tcW w:w="726" w:type="dxa"/>
            <w:tcBorders>
              <w:top w:val="nil"/>
              <w:left w:val="single" w:sz="4" w:space="0" w:color="auto"/>
              <w:bottom w:val="single" w:sz="4" w:space="0" w:color="auto"/>
              <w:right w:val="nil"/>
            </w:tcBorders>
            <w:shd w:val="clear" w:color="auto" w:fill="auto"/>
            <w:vAlign w:val="bottom"/>
            <w:hideMark/>
          </w:tcPr>
          <w:p w14:paraId="639C46A5" w14:textId="77777777" w:rsidR="00831329" w:rsidRPr="00831329" w:rsidRDefault="00831329" w:rsidP="00831329">
            <w:pPr>
              <w:rPr>
                <w:rFonts w:cs="Arial"/>
                <w:color w:val="000000"/>
              </w:rPr>
            </w:pPr>
            <w:r w:rsidRPr="00831329">
              <w:rPr>
                <w:rFonts w:cs="Arial"/>
                <w:color w:val="000000"/>
              </w:rPr>
              <w:t> </w:t>
            </w:r>
          </w:p>
        </w:tc>
        <w:tc>
          <w:tcPr>
            <w:tcW w:w="567" w:type="dxa"/>
            <w:gridSpan w:val="3"/>
            <w:tcBorders>
              <w:top w:val="nil"/>
              <w:left w:val="nil"/>
              <w:bottom w:val="nil"/>
              <w:right w:val="nil"/>
            </w:tcBorders>
            <w:shd w:val="clear" w:color="auto" w:fill="auto"/>
            <w:vAlign w:val="bottom"/>
            <w:hideMark/>
          </w:tcPr>
          <w:p w14:paraId="7D4F05F9" w14:textId="77777777" w:rsidR="00831329" w:rsidRPr="00831329" w:rsidRDefault="00831329" w:rsidP="00831329">
            <w:pPr>
              <w:rPr>
                <w:rFonts w:cs="Arial"/>
                <w:color w:val="000000"/>
              </w:rPr>
            </w:pPr>
          </w:p>
        </w:tc>
        <w:tc>
          <w:tcPr>
            <w:tcW w:w="1417" w:type="dxa"/>
            <w:tcBorders>
              <w:top w:val="nil"/>
              <w:left w:val="nil"/>
              <w:bottom w:val="single" w:sz="4" w:space="0" w:color="auto"/>
              <w:right w:val="single" w:sz="4" w:space="0" w:color="auto"/>
            </w:tcBorders>
            <w:shd w:val="clear" w:color="auto" w:fill="auto"/>
            <w:vAlign w:val="bottom"/>
            <w:hideMark/>
          </w:tcPr>
          <w:p w14:paraId="5BA52016" w14:textId="77777777" w:rsidR="00831329" w:rsidRPr="00831329" w:rsidRDefault="00831329" w:rsidP="00831329">
            <w:pPr>
              <w:rPr>
                <w:rFonts w:cs="Arial"/>
                <w:color w:val="000000"/>
              </w:rPr>
            </w:pPr>
            <w:r w:rsidRPr="00831329">
              <w:rPr>
                <w:rFonts w:cs="Arial"/>
                <w:noProof/>
                <w:color w:val="000000"/>
              </w:rPr>
              <w:t> </w:t>
            </w:r>
          </w:p>
        </w:tc>
        <w:tc>
          <w:tcPr>
            <w:tcW w:w="1322" w:type="dxa"/>
            <w:tcBorders>
              <w:top w:val="nil"/>
              <w:left w:val="nil"/>
              <w:bottom w:val="single" w:sz="4" w:space="0" w:color="auto"/>
              <w:right w:val="nil"/>
            </w:tcBorders>
            <w:shd w:val="clear" w:color="auto" w:fill="auto"/>
            <w:vAlign w:val="bottom"/>
            <w:hideMark/>
          </w:tcPr>
          <w:p w14:paraId="68CCC4EE" w14:textId="77777777" w:rsidR="00831329" w:rsidRPr="00831329" w:rsidRDefault="00831329" w:rsidP="00831329">
            <w:pPr>
              <w:rPr>
                <w:rFonts w:cs="Arial"/>
                <w:color w:val="000000"/>
              </w:rPr>
            </w:pPr>
          </w:p>
        </w:tc>
        <w:tc>
          <w:tcPr>
            <w:tcW w:w="521" w:type="dxa"/>
            <w:gridSpan w:val="2"/>
            <w:tcBorders>
              <w:top w:val="nil"/>
              <w:left w:val="nil"/>
              <w:bottom w:val="nil"/>
              <w:right w:val="nil"/>
            </w:tcBorders>
            <w:shd w:val="clear" w:color="auto" w:fill="auto"/>
            <w:vAlign w:val="bottom"/>
            <w:hideMark/>
          </w:tcPr>
          <w:p w14:paraId="12ABCF9B" w14:textId="77777777" w:rsidR="00831329" w:rsidRPr="00831329" w:rsidRDefault="00831329" w:rsidP="00831329">
            <w:pPr>
              <w:rPr>
                <w:rFonts w:cs="Arial"/>
                <w:color w:val="000000"/>
              </w:rPr>
            </w:pPr>
          </w:p>
        </w:tc>
        <w:tc>
          <w:tcPr>
            <w:tcW w:w="1276" w:type="dxa"/>
            <w:tcBorders>
              <w:top w:val="nil"/>
              <w:left w:val="nil"/>
              <w:bottom w:val="single" w:sz="4" w:space="0" w:color="auto"/>
              <w:right w:val="single" w:sz="4" w:space="0" w:color="auto"/>
            </w:tcBorders>
            <w:shd w:val="clear" w:color="auto" w:fill="auto"/>
            <w:vAlign w:val="bottom"/>
            <w:hideMark/>
          </w:tcPr>
          <w:p w14:paraId="64482B6C" w14:textId="77777777" w:rsidR="00831329" w:rsidRPr="00831329" w:rsidRDefault="00831329" w:rsidP="00831329">
            <w:pPr>
              <w:rPr>
                <w:rFonts w:cs="Arial"/>
                <w:color w:val="000000"/>
              </w:rPr>
            </w:pPr>
            <w:r w:rsidRPr="00831329">
              <w:rPr>
                <w:rFonts w:cs="Arial"/>
                <w:noProof/>
                <w:color w:val="000000"/>
              </w:rPr>
              <w:t> </w:t>
            </w:r>
          </w:p>
        </w:tc>
        <w:tc>
          <w:tcPr>
            <w:tcW w:w="1398" w:type="dxa"/>
            <w:tcBorders>
              <w:top w:val="nil"/>
              <w:left w:val="nil"/>
              <w:bottom w:val="single" w:sz="4" w:space="0" w:color="auto"/>
              <w:right w:val="nil"/>
            </w:tcBorders>
            <w:shd w:val="clear" w:color="auto" w:fill="auto"/>
            <w:vAlign w:val="bottom"/>
            <w:hideMark/>
          </w:tcPr>
          <w:p w14:paraId="3FB6BE54" w14:textId="77777777" w:rsidR="00831329" w:rsidRPr="00831329" w:rsidRDefault="00831329" w:rsidP="00831329">
            <w:pPr>
              <w:rPr>
                <w:rFonts w:cs="Arial"/>
                <w:color w:val="000000"/>
              </w:rPr>
            </w:pPr>
            <w:r w:rsidRPr="00831329">
              <w:rPr>
                <w:rFonts w:cs="Arial"/>
                <w:noProof/>
                <w:color w:val="000000"/>
              </w:rPr>
              <w:t> </w:t>
            </w:r>
          </w:p>
        </w:tc>
      </w:tr>
      <w:tr w:rsidR="00831329" w:rsidRPr="00831329" w14:paraId="1EC5C255" w14:textId="77777777" w:rsidTr="00D82397">
        <w:trPr>
          <w:trHeight w:val="255"/>
        </w:trPr>
        <w:tc>
          <w:tcPr>
            <w:tcW w:w="268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B326451" w14:textId="02238E1B" w:rsidR="00831329" w:rsidRPr="00831329" w:rsidRDefault="00831329" w:rsidP="00831329">
            <w:pPr>
              <w:jc w:val="center"/>
              <w:rPr>
                <w:rFonts w:cs="Arial"/>
                <w:color w:val="000000"/>
              </w:rPr>
            </w:pPr>
            <w:r w:rsidRPr="00831329">
              <w:rPr>
                <w:rFonts w:cs="Arial"/>
                <w:noProof/>
                <w:color w:val="000000"/>
              </w:rPr>
              <w:t xml:space="preserve">Audit and Risk </w:t>
            </w:r>
            <w:r w:rsidR="003F7854">
              <w:rPr>
                <w:rFonts w:cs="Arial"/>
                <w:noProof/>
                <w:color w:val="000000"/>
              </w:rPr>
              <w:br/>
            </w:r>
            <w:r w:rsidRPr="00831329">
              <w:rPr>
                <w:rFonts w:cs="Arial"/>
                <w:noProof/>
                <w:color w:val="000000"/>
              </w:rPr>
              <w:t>Committee</w:t>
            </w:r>
          </w:p>
        </w:tc>
        <w:tc>
          <w:tcPr>
            <w:tcW w:w="567" w:type="dxa"/>
            <w:gridSpan w:val="3"/>
            <w:tcBorders>
              <w:top w:val="nil"/>
              <w:left w:val="nil"/>
              <w:bottom w:val="nil"/>
              <w:right w:val="single" w:sz="4" w:space="0" w:color="auto"/>
            </w:tcBorders>
            <w:shd w:val="clear" w:color="auto" w:fill="auto"/>
            <w:vAlign w:val="bottom"/>
            <w:hideMark/>
          </w:tcPr>
          <w:p w14:paraId="073F6832" w14:textId="77777777" w:rsidR="00831329" w:rsidRPr="00831329" w:rsidRDefault="00831329" w:rsidP="00831329">
            <w:pPr>
              <w:rPr>
                <w:rFonts w:cs="Arial"/>
                <w:color w:val="000000"/>
              </w:rPr>
            </w:pPr>
            <w:r w:rsidRPr="00831329">
              <w:rPr>
                <w:rFonts w:cs="Arial"/>
                <w:color w:val="000000"/>
              </w:rPr>
              <w:t> </w:t>
            </w:r>
          </w:p>
        </w:tc>
        <w:tc>
          <w:tcPr>
            <w:tcW w:w="2739"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268D07E1" w14:textId="77777777" w:rsidR="00831329" w:rsidRPr="00831329" w:rsidRDefault="00831329" w:rsidP="00831329">
            <w:pPr>
              <w:jc w:val="center"/>
              <w:rPr>
                <w:rFonts w:cs="Arial"/>
                <w:color w:val="000000"/>
              </w:rPr>
            </w:pPr>
            <w:r w:rsidRPr="00831329">
              <w:rPr>
                <w:rFonts w:cs="Arial"/>
                <w:noProof/>
                <w:color w:val="000000"/>
              </w:rPr>
              <w:t>Kristen Hilton (Commissioner)</w:t>
            </w:r>
          </w:p>
        </w:tc>
        <w:tc>
          <w:tcPr>
            <w:tcW w:w="521" w:type="dxa"/>
            <w:gridSpan w:val="2"/>
            <w:tcBorders>
              <w:top w:val="nil"/>
              <w:left w:val="nil"/>
              <w:bottom w:val="nil"/>
              <w:right w:val="single" w:sz="4" w:space="0" w:color="auto"/>
            </w:tcBorders>
            <w:shd w:val="clear" w:color="auto" w:fill="auto"/>
            <w:vAlign w:val="bottom"/>
            <w:hideMark/>
          </w:tcPr>
          <w:p w14:paraId="0B7401AE" w14:textId="77777777" w:rsidR="00831329" w:rsidRPr="00831329" w:rsidRDefault="00831329" w:rsidP="00831329">
            <w:pPr>
              <w:jc w:val="center"/>
              <w:rPr>
                <w:rFonts w:cs="Arial"/>
                <w:color w:val="000000"/>
              </w:rPr>
            </w:pPr>
            <w:r w:rsidRPr="00831329">
              <w:rPr>
                <w:rFonts w:cs="Arial"/>
                <w:color w:val="000000"/>
              </w:rPr>
              <w:t> </w:t>
            </w:r>
          </w:p>
        </w:tc>
        <w:tc>
          <w:tcPr>
            <w:tcW w:w="2674" w:type="dxa"/>
            <w:gridSpan w:val="2"/>
            <w:vMerge w:val="restart"/>
            <w:tcBorders>
              <w:top w:val="single" w:sz="4" w:space="0" w:color="auto"/>
              <w:left w:val="nil"/>
              <w:bottom w:val="single" w:sz="4" w:space="0" w:color="auto"/>
              <w:right w:val="single" w:sz="4" w:space="0" w:color="auto"/>
            </w:tcBorders>
            <w:shd w:val="clear" w:color="auto" w:fill="auto"/>
            <w:vAlign w:val="bottom"/>
            <w:hideMark/>
          </w:tcPr>
          <w:p w14:paraId="7C7139DD" w14:textId="77777777" w:rsidR="00831329" w:rsidRPr="00831329" w:rsidRDefault="00831329" w:rsidP="00831329">
            <w:pPr>
              <w:jc w:val="center"/>
              <w:rPr>
                <w:rFonts w:cs="Arial"/>
                <w:color w:val="000000"/>
              </w:rPr>
            </w:pPr>
            <w:r w:rsidRPr="00831329">
              <w:rPr>
                <w:rFonts w:cs="Arial"/>
                <w:noProof/>
                <w:color w:val="000000"/>
              </w:rPr>
              <w:t>Remuneration Committee</w:t>
            </w:r>
          </w:p>
        </w:tc>
      </w:tr>
      <w:tr w:rsidR="00831329" w:rsidRPr="00831329" w14:paraId="5C27E1E5" w14:textId="77777777" w:rsidTr="00D82397">
        <w:trPr>
          <w:trHeight w:val="300"/>
        </w:trPr>
        <w:tc>
          <w:tcPr>
            <w:tcW w:w="2689" w:type="dxa"/>
            <w:gridSpan w:val="2"/>
            <w:vMerge/>
            <w:tcBorders>
              <w:top w:val="single" w:sz="4" w:space="0" w:color="auto"/>
              <w:left w:val="single" w:sz="4" w:space="0" w:color="auto"/>
              <w:bottom w:val="single" w:sz="4" w:space="0" w:color="auto"/>
              <w:right w:val="single" w:sz="4" w:space="0" w:color="auto"/>
            </w:tcBorders>
            <w:vAlign w:val="center"/>
            <w:hideMark/>
          </w:tcPr>
          <w:p w14:paraId="23BCF1D9" w14:textId="77777777" w:rsidR="00831329" w:rsidRPr="00831329" w:rsidRDefault="00831329" w:rsidP="00831329">
            <w:pPr>
              <w:rPr>
                <w:rFonts w:cs="Arial"/>
                <w:color w:val="000000"/>
              </w:rPr>
            </w:pPr>
          </w:p>
        </w:tc>
        <w:tc>
          <w:tcPr>
            <w:tcW w:w="567" w:type="dxa"/>
            <w:gridSpan w:val="3"/>
            <w:tcBorders>
              <w:top w:val="dashed" w:sz="4" w:space="0" w:color="auto"/>
              <w:left w:val="nil"/>
              <w:bottom w:val="nil"/>
              <w:right w:val="single" w:sz="4" w:space="0" w:color="auto"/>
            </w:tcBorders>
            <w:shd w:val="clear" w:color="auto" w:fill="auto"/>
            <w:vAlign w:val="bottom"/>
            <w:hideMark/>
          </w:tcPr>
          <w:p w14:paraId="2296E9CD" w14:textId="77777777" w:rsidR="00831329" w:rsidRPr="00831329" w:rsidRDefault="00831329" w:rsidP="00831329">
            <w:pPr>
              <w:rPr>
                <w:rFonts w:cs="Arial"/>
                <w:color w:val="000000"/>
              </w:rPr>
            </w:pPr>
            <w:r w:rsidRPr="00831329">
              <w:rPr>
                <w:rFonts w:cs="Arial"/>
                <w:color w:val="000000"/>
              </w:rPr>
              <w:t> </w:t>
            </w:r>
          </w:p>
        </w:tc>
        <w:tc>
          <w:tcPr>
            <w:tcW w:w="2739" w:type="dxa"/>
            <w:gridSpan w:val="2"/>
            <w:vMerge/>
            <w:tcBorders>
              <w:top w:val="dashed" w:sz="4" w:space="0" w:color="auto"/>
              <w:left w:val="nil"/>
              <w:bottom w:val="single" w:sz="4" w:space="0" w:color="auto"/>
              <w:right w:val="single" w:sz="4" w:space="0" w:color="auto"/>
            </w:tcBorders>
            <w:vAlign w:val="center"/>
            <w:hideMark/>
          </w:tcPr>
          <w:p w14:paraId="12941A64" w14:textId="77777777" w:rsidR="00831329" w:rsidRPr="00831329" w:rsidRDefault="00831329" w:rsidP="00831329">
            <w:pPr>
              <w:rPr>
                <w:rFonts w:cs="Arial"/>
                <w:color w:val="000000"/>
              </w:rPr>
            </w:pPr>
          </w:p>
        </w:tc>
        <w:tc>
          <w:tcPr>
            <w:tcW w:w="521" w:type="dxa"/>
            <w:gridSpan w:val="2"/>
            <w:tcBorders>
              <w:top w:val="dashed" w:sz="4" w:space="0" w:color="auto"/>
              <w:left w:val="nil"/>
              <w:bottom w:val="nil"/>
              <w:right w:val="single" w:sz="4" w:space="0" w:color="auto"/>
            </w:tcBorders>
            <w:shd w:val="clear" w:color="auto" w:fill="auto"/>
            <w:vAlign w:val="bottom"/>
            <w:hideMark/>
          </w:tcPr>
          <w:p w14:paraId="56C53BA7" w14:textId="77777777" w:rsidR="00831329" w:rsidRPr="00831329" w:rsidRDefault="00831329" w:rsidP="00831329">
            <w:pPr>
              <w:jc w:val="center"/>
              <w:rPr>
                <w:rFonts w:cs="Arial"/>
                <w:color w:val="000000"/>
              </w:rPr>
            </w:pPr>
            <w:r w:rsidRPr="00831329">
              <w:rPr>
                <w:rFonts w:cs="Arial"/>
                <w:color w:val="000000"/>
              </w:rPr>
              <w:t> </w:t>
            </w:r>
          </w:p>
        </w:tc>
        <w:tc>
          <w:tcPr>
            <w:tcW w:w="2674" w:type="dxa"/>
            <w:gridSpan w:val="2"/>
            <w:vMerge/>
            <w:tcBorders>
              <w:top w:val="dashed" w:sz="4" w:space="0" w:color="auto"/>
              <w:left w:val="nil"/>
              <w:bottom w:val="single" w:sz="4" w:space="0" w:color="auto"/>
              <w:right w:val="single" w:sz="4" w:space="0" w:color="auto"/>
            </w:tcBorders>
            <w:vAlign w:val="center"/>
            <w:hideMark/>
          </w:tcPr>
          <w:p w14:paraId="678E60E3" w14:textId="77777777" w:rsidR="00831329" w:rsidRPr="00831329" w:rsidRDefault="00831329" w:rsidP="00831329">
            <w:pPr>
              <w:rPr>
                <w:rFonts w:cs="Arial"/>
                <w:color w:val="000000"/>
              </w:rPr>
            </w:pPr>
          </w:p>
        </w:tc>
      </w:tr>
      <w:tr w:rsidR="00831329" w:rsidRPr="00831329" w14:paraId="7B3968C6" w14:textId="77777777" w:rsidTr="00D82397">
        <w:trPr>
          <w:trHeight w:val="300"/>
        </w:trPr>
        <w:tc>
          <w:tcPr>
            <w:tcW w:w="1963" w:type="dxa"/>
            <w:tcBorders>
              <w:top w:val="nil"/>
              <w:left w:val="nil"/>
              <w:bottom w:val="nil"/>
              <w:right w:val="nil"/>
            </w:tcBorders>
            <w:shd w:val="clear" w:color="auto" w:fill="auto"/>
            <w:vAlign w:val="bottom"/>
            <w:hideMark/>
          </w:tcPr>
          <w:p w14:paraId="0111EA95" w14:textId="77777777" w:rsidR="00831329" w:rsidRPr="00831329" w:rsidRDefault="00831329" w:rsidP="00831329">
            <w:pPr>
              <w:jc w:val="center"/>
              <w:rPr>
                <w:rFonts w:cs="Arial"/>
                <w:color w:val="000000"/>
              </w:rPr>
            </w:pPr>
          </w:p>
        </w:tc>
        <w:tc>
          <w:tcPr>
            <w:tcW w:w="726" w:type="dxa"/>
            <w:tcBorders>
              <w:top w:val="nil"/>
              <w:left w:val="nil"/>
              <w:bottom w:val="nil"/>
              <w:right w:val="nil"/>
            </w:tcBorders>
            <w:shd w:val="clear" w:color="auto" w:fill="auto"/>
            <w:vAlign w:val="bottom"/>
            <w:hideMark/>
          </w:tcPr>
          <w:p w14:paraId="2761082F" w14:textId="77777777" w:rsidR="00831329" w:rsidRPr="00831329" w:rsidRDefault="00831329" w:rsidP="00831329">
            <w:pPr>
              <w:rPr>
                <w:rFonts w:ascii="Times New Roman" w:hAnsi="Times New Roman"/>
                <w:sz w:val="20"/>
                <w:szCs w:val="20"/>
              </w:rPr>
            </w:pPr>
          </w:p>
        </w:tc>
        <w:tc>
          <w:tcPr>
            <w:tcW w:w="567" w:type="dxa"/>
            <w:gridSpan w:val="3"/>
            <w:tcBorders>
              <w:top w:val="nil"/>
              <w:left w:val="nil"/>
              <w:bottom w:val="nil"/>
              <w:right w:val="nil"/>
            </w:tcBorders>
            <w:shd w:val="clear" w:color="auto" w:fill="auto"/>
            <w:vAlign w:val="bottom"/>
            <w:hideMark/>
          </w:tcPr>
          <w:p w14:paraId="5083B370" w14:textId="77777777" w:rsidR="00831329" w:rsidRPr="00831329" w:rsidRDefault="00831329" w:rsidP="00831329">
            <w:pPr>
              <w:rPr>
                <w:rFonts w:ascii="Times New Roman" w:hAnsi="Times New Roman"/>
                <w:sz w:val="20"/>
                <w:szCs w:val="20"/>
              </w:rPr>
            </w:pPr>
          </w:p>
        </w:tc>
        <w:tc>
          <w:tcPr>
            <w:tcW w:w="1417" w:type="dxa"/>
            <w:tcBorders>
              <w:top w:val="single" w:sz="4" w:space="0" w:color="auto"/>
              <w:left w:val="nil"/>
              <w:bottom w:val="nil"/>
              <w:right w:val="single" w:sz="4" w:space="0" w:color="auto"/>
            </w:tcBorders>
            <w:shd w:val="clear" w:color="auto" w:fill="auto"/>
            <w:vAlign w:val="bottom"/>
            <w:hideMark/>
          </w:tcPr>
          <w:p w14:paraId="6787B626" w14:textId="77777777" w:rsidR="00831329" w:rsidRPr="00831329" w:rsidRDefault="00831329" w:rsidP="00831329">
            <w:pPr>
              <w:rPr>
                <w:rFonts w:cs="Arial"/>
                <w:color w:val="000000"/>
              </w:rPr>
            </w:pPr>
            <w:r w:rsidRPr="00831329">
              <w:rPr>
                <w:rFonts w:cs="Arial"/>
                <w:color w:val="000000"/>
              </w:rPr>
              <w:t> </w:t>
            </w:r>
          </w:p>
        </w:tc>
        <w:tc>
          <w:tcPr>
            <w:tcW w:w="1322" w:type="dxa"/>
            <w:tcBorders>
              <w:top w:val="single" w:sz="4" w:space="0" w:color="auto"/>
              <w:left w:val="nil"/>
              <w:bottom w:val="nil"/>
              <w:right w:val="nil"/>
            </w:tcBorders>
            <w:shd w:val="clear" w:color="auto" w:fill="auto"/>
            <w:vAlign w:val="bottom"/>
            <w:hideMark/>
          </w:tcPr>
          <w:p w14:paraId="5C63CBE2" w14:textId="77777777" w:rsidR="00831329" w:rsidRPr="00831329" w:rsidRDefault="00831329" w:rsidP="00831329">
            <w:pPr>
              <w:rPr>
                <w:rFonts w:cs="Arial"/>
                <w:color w:val="000000"/>
              </w:rPr>
            </w:pPr>
            <w:r w:rsidRPr="00831329">
              <w:rPr>
                <w:rFonts w:cs="Arial"/>
                <w:color w:val="000000"/>
              </w:rPr>
              <w:t> </w:t>
            </w:r>
          </w:p>
        </w:tc>
        <w:tc>
          <w:tcPr>
            <w:tcW w:w="521" w:type="dxa"/>
            <w:gridSpan w:val="2"/>
            <w:tcBorders>
              <w:top w:val="nil"/>
              <w:left w:val="nil"/>
              <w:bottom w:val="nil"/>
              <w:right w:val="nil"/>
            </w:tcBorders>
            <w:shd w:val="clear" w:color="auto" w:fill="auto"/>
            <w:vAlign w:val="bottom"/>
            <w:hideMark/>
          </w:tcPr>
          <w:p w14:paraId="7B919582" w14:textId="77777777" w:rsidR="00831329" w:rsidRPr="00831329" w:rsidRDefault="00831329" w:rsidP="00831329">
            <w:pPr>
              <w:rPr>
                <w:rFonts w:cs="Arial"/>
                <w:color w:val="000000"/>
              </w:rPr>
            </w:pPr>
          </w:p>
        </w:tc>
        <w:tc>
          <w:tcPr>
            <w:tcW w:w="1276" w:type="dxa"/>
            <w:tcBorders>
              <w:top w:val="single" w:sz="4" w:space="0" w:color="auto"/>
              <w:left w:val="nil"/>
              <w:bottom w:val="nil"/>
              <w:right w:val="nil"/>
            </w:tcBorders>
            <w:shd w:val="clear" w:color="auto" w:fill="auto"/>
            <w:vAlign w:val="bottom"/>
            <w:hideMark/>
          </w:tcPr>
          <w:p w14:paraId="1B219876" w14:textId="77777777" w:rsidR="00831329" w:rsidRPr="00831329" w:rsidRDefault="00831329" w:rsidP="00831329">
            <w:pPr>
              <w:rPr>
                <w:rFonts w:ascii="Times New Roman" w:hAnsi="Times New Roman"/>
                <w:sz w:val="20"/>
                <w:szCs w:val="20"/>
              </w:rPr>
            </w:pPr>
          </w:p>
        </w:tc>
        <w:tc>
          <w:tcPr>
            <w:tcW w:w="1398" w:type="dxa"/>
            <w:tcBorders>
              <w:top w:val="single" w:sz="4" w:space="0" w:color="auto"/>
              <w:left w:val="nil"/>
              <w:bottom w:val="nil"/>
              <w:right w:val="nil"/>
            </w:tcBorders>
            <w:shd w:val="clear" w:color="auto" w:fill="auto"/>
            <w:vAlign w:val="bottom"/>
            <w:hideMark/>
          </w:tcPr>
          <w:p w14:paraId="72E2A0A2" w14:textId="77777777" w:rsidR="00831329" w:rsidRPr="00831329" w:rsidRDefault="00831329" w:rsidP="00831329">
            <w:pPr>
              <w:rPr>
                <w:rFonts w:ascii="Times New Roman" w:hAnsi="Times New Roman"/>
                <w:sz w:val="20"/>
                <w:szCs w:val="20"/>
              </w:rPr>
            </w:pPr>
          </w:p>
        </w:tc>
      </w:tr>
      <w:tr w:rsidR="00831329" w:rsidRPr="00831329" w14:paraId="23832395" w14:textId="77777777" w:rsidTr="00D82397">
        <w:trPr>
          <w:gridBefore w:val="1"/>
          <w:wBefore w:w="1963" w:type="dxa"/>
          <w:trHeight w:val="300"/>
        </w:trPr>
        <w:tc>
          <w:tcPr>
            <w:tcW w:w="726" w:type="dxa"/>
            <w:tcBorders>
              <w:top w:val="nil"/>
              <w:left w:val="nil"/>
              <w:bottom w:val="nil"/>
              <w:right w:val="nil"/>
            </w:tcBorders>
            <w:shd w:val="clear" w:color="auto" w:fill="auto"/>
            <w:vAlign w:val="bottom"/>
            <w:hideMark/>
          </w:tcPr>
          <w:p w14:paraId="647572EE" w14:textId="77777777" w:rsidR="00831329" w:rsidRPr="00831329" w:rsidRDefault="00831329" w:rsidP="00831329">
            <w:pPr>
              <w:rPr>
                <w:rFonts w:ascii="Times New Roman" w:hAnsi="Times New Roman"/>
                <w:sz w:val="20"/>
                <w:szCs w:val="20"/>
              </w:rPr>
            </w:pPr>
          </w:p>
        </w:tc>
        <w:tc>
          <w:tcPr>
            <w:tcW w:w="567" w:type="dxa"/>
            <w:gridSpan w:val="3"/>
            <w:tcBorders>
              <w:top w:val="nil"/>
              <w:left w:val="nil"/>
              <w:bottom w:val="nil"/>
              <w:right w:val="nil"/>
            </w:tcBorders>
            <w:shd w:val="clear" w:color="auto" w:fill="auto"/>
            <w:vAlign w:val="bottom"/>
            <w:hideMark/>
          </w:tcPr>
          <w:p w14:paraId="08C7102C" w14:textId="77777777" w:rsidR="00831329" w:rsidRPr="00831329" w:rsidRDefault="00831329" w:rsidP="00831329">
            <w:pPr>
              <w:rPr>
                <w:rFonts w:ascii="Times New Roman" w:hAnsi="Times New Roman"/>
                <w:sz w:val="20"/>
                <w:szCs w:val="20"/>
              </w:rPr>
            </w:pPr>
          </w:p>
        </w:tc>
        <w:tc>
          <w:tcPr>
            <w:tcW w:w="1417" w:type="dxa"/>
            <w:tcBorders>
              <w:top w:val="nil"/>
              <w:left w:val="nil"/>
              <w:bottom w:val="single" w:sz="4" w:space="0" w:color="auto"/>
              <w:right w:val="single" w:sz="4" w:space="0" w:color="auto"/>
            </w:tcBorders>
            <w:shd w:val="clear" w:color="auto" w:fill="auto"/>
            <w:vAlign w:val="bottom"/>
            <w:hideMark/>
          </w:tcPr>
          <w:p w14:paraId="57C41730" w14:textId="77777777" w:rsidR="00831329" w:rsidRPr="00831329" w:rsidRDefault="00831329" w:rsidP="00831329">
            <w:pPr>
              <w:rPr>
                <w:rFonts w:cs="Arial"/>
                <w:color w:val="000000"/>
              </w:rPr>
            </w:pPr>
            <w:r w:rsidRPr="00831329">
              <w:rPr>
                <w:rFonts w:cs="Arial"/>
                <w:noProof/>
                <w:color w:val="000000"/>
              </w:rPr>
              <w:t> </w:t>
            </w:r>
          </w:p>
        </w:tc>
        <w:tc>
          <w:tcPr>
            <w:tcW w:w="1322" w:type="dxa"/>
            <w:tcBorders>
              <w:top w:val="nil"/>
              <w:left w:val="nil"/>
              <w:bottom w:val="single" w:sz="4" w:space="0" w:color="auto"/>
              <w:right w:val="nil"/>
            </w:tcBorders>
            <w:shd w:val="clear" w:color="auto" w:fill="auto"/>
            <w:vAlign w:val="bottom"/>
            <w:hideMark/>
          </w:tcPr>
          <w:p w14:paraId="18BA76EA" w14:textId="77777777" w:rsidR="00831329" w:rsidRPr="00831329" w:rsidRDefault="00831329" w:rsidP="00831329">
            <w:pPr>
              <w:rPr>
                <w:rFonts w:cs="Arial"/>
                <w:color w:val="000000"/>
              </w:rPr>
            </w:pPr>
            <w:r w:rsidRPr="00831329">
              <w:rPr>
                <w:rFonts w:cs="Arial"/>
                <w:noProof/>
                <w:color w:val="000000"/>
              </w:rPr>
              <w:t> </w:t>
            </w:r>
          </w:p>
        </w:tc>
        <w:tc>
          <w:tcPr>
            <w:tcW w:w="521" w:type="dxa"/>
            <w:gridSpan w:val="2"/>
            <w:tcBorders>
              <w:top w:val="nil"/>
              <w:left w:val="nil"/>
              <w:bottom w:val="nil"/>
              <w:right w:val="nil"/>
            </w:tcBorders>
            <w:shd w:val="clear" w:color="auto" w:fill="auto"/>
            <w:vAlign w:val="bottom"/>
            <w:hideMark/>
          </w:tcPr>
          <w:p w14:paraId="4470A6C1" w14:textId="77777777" w:rsidR="00831329" w:rsidRPr="00831329" w:rsidRDefault="00831329" w:rsidP="00831329">
            <w:pPr>
              <w:rPr>
                <w:rFonts w:cs="Arial"/>
                <w:color w:val="000000"/>
              </w:rPr>
            </w:pPr>
          </w:p>
        </w:tc>
        <w:tc>
          <w:tcPr>
            <w:tcW w:w="1276" w:type="dxa"/>
            <w:tcBorders>
              <w:top w:val="nil"/>
              <w:left w:val="nil"/>
              <w:bottom w:val="nil"/>
              <w:right w:val="nil"/>
            </w:tcBorders>
            <w:shd w:val="clear" w:color="auto" w:fill="auto"/>
            <w:vAlign w:val="bottom"/>
            <w:hideMark/>
          </w:tcPr>
          <w:p w14:paraId="30BA1959" w14:textId="77777777" w:rsidR="00831329" w:rsidRPr="00831329" w:rsidRDefault="00831329" w:rsidP="00831329">
            <w:pPr>
              <w:rPr>
                <w:rFonts w:ascii="Times New Roman" w:hAnsi="Times New Roman"/>
                <w:sz w:val="20"/>
                <w:szCs w:val="20"/>
              </w:rPr>
            </w:pPr>
          </w:p>
        </w:tc>
        <w:tc>
          <w:tcPr>
            <w:tcW w:w="1398" w:type="dxa"/>
            <w:tcBorders>
              <w:top w:val="nil"/>
              <w:left w:val="nil"/>
              <w:bottom w:val="nil"/>
              <w:right w:val="nil"/>
            </w:tcBorders>
            <w:shd w:val="clear" w:color="auto" w:fill="auto"/>
            <w:vAlign w:val="bottom"/>
            <w:hideMark/>
          </w:tcPr>
          <w:p w14:paraId="6E6B4000" w14:textId="77777777" w:rsidR="00831329" w:rsidRPr="00831329" w:rsidRDefault="00831329" w:rsidP="00831329">
            <w:pPr>
              <w:rPr>
                <w:rFonts w:ascii="Times New Roman" w:hAnsi="Times New Roman"/>
                <w:sz w:val="20"/>
                <w:szCs w:val="20"/>
              </w:rPr>
            </w:pPr>
          </w:p>
        </w:tc>
      </w:tr>
      <w:tr w:rsidR="00831329" w:rsidRPr="00831329" w14:paraId="1A39B299" w14:textId="77777777" w:rsidTr="00D82397">
        <w:trPr>
          <w:trHeight w:val="765"/>
        </w:trPr>
        <w:tc>
          <w:tcPr>
            <w:tcW w:w="1963" w:type="dxa"/>
            <w:tcBorders>
              <w:top w:val="nil"/>
              <w:left w:val="nil"/>
              <w:bottom w:val="nil"/>
              <w:right w:val="nil"/>
            </w:tcBorders>
            <w:shd w:val="clear" w:color="auto" w:fill="auto"/>
            <w:vAlign w:val="bottom"/>
            <w:hideMark/>
          </w:tcPr>
          <w:p w14:paraId="78F8CE09" w14:textId="77777777" w:rsidR="00831329" w:rsidRPr="00831329" w:rsidRDefault="00831329" w:rsidP="00831329">
            <w:pPr>
              <w:rPr>
                <w:rFonts w:ascii="Times New Roman" w:hAnsi="Times New Roman"/>
                <w:sz w:val="20"/>
                <w:szCs w:val="20"/>
              </w:rPr>
            </w:pPr>
          </w:p>
        </w:tc>
        <w:tc>
          <w:tcPr>
            <w:tcW w:w="726" w:type="dxa"/>
            <w:tcBorders>
              <w:top w:val="nil"/>
              <w:left w:val="nil"/>
              <w:bottom w:val="nil"/>
              <w:right w:val="nil"/>
            </w:tcBorders>
            <w:shd w:val="clear" w:color="auto" w:fill="auto"/>
            <w:vAlign w:val="bottom"/>
            <w:hideMark/>
          </w:tcPr>
          <w:p w14:paraId="7C053756" w14:textId="77777777" w:rsidR="00831329" w:rsidRPr="00831329" w:rsidRDefault="00831329" w:rsidP="00831329">
            <w:pPr>
              <w:rPr>
                <w:rFonts w:ascii="Times New Roman" w:hAnsi="Times New Roman"/>
                <w:sz w:val="20"/>
                <w:szCs w:val="20"/>
              </w:rPr>
            </w:pPr>
          </w:p>
        </w:tc>
        <w:tc>
          <w:tcPr>
            <w:tcW w:w="567" w:type="dxa"/>
            <w:gridSpan w:val="3"/>
            <w:tcBorders>
              <w:top w:val="nil"/>
              <w:left w:val="nil"/>
              <w:bottom w:val="nil"/>
              <w:right w:val="nil"/>
            </w:tcBorders>
            <w:shd w:val="clear" w:color="auto" w:fill="auto"/>
            <w:vAlign w:val="bottom"/>
            <w:hideMark/>
          </w:tcPr>
          <w:p w14:paraId="6F28D90C" w14:textId="77777777" w:rsidR="00831329" w:rsidRPr="00831329" w:rsidRDefault="00831329" w:rsidP="00831329">
            <w:pPr>
              <w:rPr>
                <w:rFonts w:ascii="Times New Roman" w:hAnsi="Times New Roman"/>
                <w:sz w:val="20"/>
                <w:szCs w:val="20"/>
              </w:rPr>
            </w:pPr>
          </w:p>
        </w:tc>
        <w:tc>
          <w:tcPr>
            <w:tcW w:w="2739" w:type="dxa"/>
            <w:gridSpan w:val="2"/>
            <w:tcBorders>
              <w:top w:val="nil"/>
              <w:left w:val="single" w:sz="4" w:space="0" w:color="auto"/>
              <w:bottom w:val="single" w:sz="4" w:space="0" w:color="auto"/>
              <w:right w:val="single" w:sz="4" w:space="0" w:color="000000"/>
            </w:tcBorders>
            <w:shd w:val="clear" w:color="auto" w:fill="auto"/>
            <w:vAlign w:val="bottom"/>
            <w:hideMark/>
          </w:tcPr>
          <w:p w14:paraId="0D1B967A" w14:textId="77777777" w:rsidR="00831329" w:rsidRPr="00831329" w:rsidRDefault="00831329" w:rsidP="00831329">
            <w:pPr>
              <w:jc w:val="center"/>
              <w:rPr>
                <w:rFonts w:cs="Arial"/>
                <w:color w:val="000000"/>
              </w:rPr>
            </w:pPr>
            <w:r w:rsidRPr="00831329">
              <w:rPr>
                <w:rFonts w:cs="Arial"/>
                <w:noProof/>
                <w:color w:val="000000"/>
              </w:rPr>
              <w:t>Catherine Dixon (Executive Director)</w:t>
            </w:r>
          </w:p>
        </w:tc>
        <w:tc>
          <w:tcPr>
            <w:tcW w:w="521" w:type="dxa"/>
            <w:gridSpan w:val="2"/>
            <w:tcBorders>
              <w:top w:val="nil"/>
              <w:left w:val="nil"/>
              <w:bottom w:val="nil"/>
              <w:right w:val="nil"/>
            </w:tcBorders>
            <w:shd w:val="clear" w:color="auto" w:fill="auto"/>
            <w:vAlign w:val="bottom"/>
            <w:hideMark/>
          </w:tcPr>
          <w:p w14:paraId="76687632" w14:textId="77777777" w:rsidR="00831329" w:rsidRPr="00831329" w:rsidRDefault="00831329" w:rsidP="00831329">
            <w:pPr>
              <w:jc w:val="center"/>
              <w:rPr>
                <w:rFonts w:cs="Arial"/>
                <w:color w:val="000000"/>
              </w:rPr>
            </w:pPr>
          </w:p>
        </w:tc>
        <w:tc>
          <w:tcPr>
            <w:tcW w:w="1276" w:type="dxa"/>
            <w:tcBorders>
              <w:top w:val="nil"/>
              <w:left w:val="nil"/>
              <w:bottom w:val="nil"/>
              <w:right w:val="nil"/>
            </w:tcBorders>
            <w:shd w:val="clear" w:color="auto" w:fill="auto"/>
            <w:vAlign w:val="bottom"/>
            <w:hideMark/>
          </w:tcPr>
          <w:p w14:paraId="208B5EFE" w14:textId="77777777" w:rsidR="00831329" w:rsidRPr="00831329" w:rsidRDefault="00831329" w:rsidP="00831329">
            <w:pPr>
              <w:jc w:val="center"/>
              <w:rPr>
                <w:rFonts w:ascii="Times New Roman" w:hAnsi="Times New Roman"/>
                <w:sz w:val="20"/>
                <w:szCs w:val="20"/>
              </w:rPr>
            </w:pPr>
          </w:p>
        </w:tc>
        <w:tc>
          <w:tcPr>
            <w:tcW w:w="1398" w:type="dxa"/>
            <w:tcBorders>
              <w:top w:val="nil"/>
              <w:left w:val="nil"/>
              <w:bottom w:val="nil"/>
              <w:right w:val="nil"/>
            </w:tcBorders>
            <w:shd w:val="clear" w:color="auto" w:fill="auto"/>
            <w:vAlign w:val="bottom"/>
            <w:hideMark/>
          </w:tcPr>
          <w:p w14:paraId="1DC7EF72" w14:textId="77777777" w:rsidR="00831329" w:rsidRPr="00831329" w:rsidRDefault="00831329" w:rsidP="00831329">
            <w:pPr>
              <w:rPr>
                <w:rFonts w:ascii="Times New Roman" w:hAnsi="Times New Roman"/>
                <w:sz w:val="20"/>
                <w:szCs w:val="20"/>
              </w:rPr>
            </w:pPr>
          </w:p>
        </w:tc>
      </w:tr>
    </w:tbl>
    <w:p w14:paraId="5339E358" w14:textId="77777777" w:rsidR="002C3656" w:rsidRPr="00A44175" w:rsidRDefault="002C3656" w:rsidP="002C3656">
      <w:pPr>
        <w:pStyle w:val="VEOHRCHeading1"/>
        <w:rPr>
          <w:lang w:eastAsia="en-US"/>
        </w:rPr>
      </w:pPr>
      <w:bookmarkStart w:id="22" w:name="_Toc524536481"/>
      <w:r w:rsidRPr="00A44175">
        <w:rPr>
          <w:lang w:eastAsia="en-US"/>
        </w:rPr>
        <w:t>The Board</w:t>
      </w:r>
      <w:bookmarkEnd w:id="22"/>
    </w:p>
    <w:p w14:paraId="6ED38467" w14:textId="77777777" w:rsidR="002C3656" w:rsidRPr="00A44175" w:rsidRDefault="002C3656" w:rsidP="002C3656">
      <w:pPr>
        <w:pStyle w:val="VEOHRCBodytext"/>
        <w:rPr>
          <w:lang w:eastAsia="en-US"/>
        </w:rPr>
      </w:pPr>
      <w:r w:rsidRPr="00A44175">
        <w:rPr>
          <w:lang w:eastAsia="en-US"/>
        </w:rPr>
        <w:t>The Commission has a Board of Governance comprising up to seven members appointed by the Governor-in-Council on the recommendation of the Attorney-General. The Board is responsible for setting the organisation’s strategic direction, as well as policies, priorities and strategies. The Board members provide important links to the broader Victorian community, ensuring the Commission’s work remains relevant and responsive to the human rights issues that touch people every day</w:t>
      </w:r>
      <w:r w:rsidRPr="00A44175">
        <w:rPr>
          <w:rFonts w:eastAsia="Times New Roman" w:cs="Arial"/>
        </w:rPr>
        <w:t>.</w:t>
      </w:r>
    </w:p>
    <w:p w14:paraId="2285A31D" w14:textId="632C68E3" w:rsidR="00F51DC8" w:rsidRPr="00F51DC8" w:rsidRDefault="002C3656" w:rsidP="00F51DC8">
      <w:pPr>
        <w:pStyle w:val="VEOHRCHeading3"/>
      </w:pPr>
      <w:r w:rsidRPr="00A44175">
        <w:t>Moana Weir</w:t>
      </w:r>
      <w:r w:rsidR="001827DD">
        <w:t xml:space="preserve"> </w:t>
      </w:r>
      <w:r w:rsidRPr="00A44175">
        <w:t>(Chairperson)</w:t>
      </w:r>
      <w:r w:rsidR="00F51DC8">
        <w:br/>
        <w:t>March 2015-current</w:t>
      </w:r>
    </w:p>
    <w:p w14:paraId="37E8F630" w14:textId="21E4B8A8" w:rsidR="002C3656" w:rsidRPr="00A44175" w:rsidRDefault="00A43B15" w:rsidP="00A43B15">
      <w:pPr>
        <w:pStyle w:val="VEOHRCBodytext"/>
      </w:pPr>
      <w:r>
        <w:t>Moana Weir is a lawyer by background and Board member, with professional experience as company secretary and general counsel of ASX listed entities such as REA (realestate.com.au) and SEEK, as well as serving on the board for V/Line Corporation (2010 to 2013). Moana is currently Director of External Relations at Bupa ANZ. Ms Weir has 18 years’ senior management experience</w:t>
      </w:r>
      <w:r w:rsidR="00CF456E">
        <w:t>,</w:t>
      </w:r>
      <w:r>
        <w:t xml:space="preserve"> </w:t>
      </w:r>
      <w:r w:rsidR="00CF456E">
        <w:t xml:space="preserve">leading such </w:t>
      </w:r>
      <w:r>
        <w:t>areas as legal, regulatory, corporate affairs and risk management. She also recently held the role of Acting Managing Director for the Bupa Dental business January to June 2018. She has a passion for driving real change and better outcomes in equal opportunity and human rights, including in the areas of diversity and inclusion in the workplace.</w:t>
      </w:r>
    </w:p>
    <w:p w14:paraId="764BE515" w14:textId="77777777" w:rsidR="002C3656" w:rsidRPr="00A44175" w:rsidRDefault="002C3656" w:rsidP="002C3656">
      <w:pPr>
        <w:pStyle w:val="VEOHRCHeading3"/>
      </w:pPr>
      <w:r w:rsidRPr="00A44175">
        <w:t>Tim Goodwin</w:t>
      </w:r>
    </w:p>
    <w:p w14:paraId="17747254" w14:textId="77777777" w:rsidR="00A43B15" w:rsidRPr="00A43B15" w:rsidRDefault="00A43B15" w:rsidP="00A43B15">
      <w:pPr>
        <w:pStyle w:val="VEOHRCBodytext"/>
        <w:rPr>
          <w:lang w:val="en-AU"/>
        </w:rPr>
      </w:pPr>
      <w:r w:rsidRPr="00A43B15">
        <w:rPr>
          <w:lang w:val="en-AU"/>
        </w:rPr>
        <w:t>Tim Goodwin is a barrister at the Victorian Bar and practices primarily in commercial and public law. Prior to joining the Bar, Tim worked at Allens as a solicitor for three years in commercial litigation, and in banking and finance.</w:t>
      </w:r>
    </w:p>
    <w:p w14:paraId="6952CE4A" w14:textId="77777777" w:rsidR="00A43B15" w:rsidRPr="00A43B15" w:rsidRDefault="00A43B15" w:rsidP="00A43B15">
      <w:pPr>
        <w:pStyle w:val="VEOHRCBodytext"/>
        <w:rPr>
          <w:lang w:val="en-AU"/>
        </w:rPr>
      </w:pPr>
      <w:r w:rsidRPr="00A43B15">
        <w:rPr>
          <w:lang w:val="en-AU"/>
        </w:rPr>
        <w:t>Tim has a Bachelor of Arts and Laws (with Honours) from the Australian National University and a Master of Laws from Harvard Law School.</w:t>
      </w:r>
    </w:p>
    <w:p w14:paraId="28C0DB8E" w14:textId="77777777" w:rsidR="00A43B15" w:rsidRPr="00A43B15" w:rsidRDefault="00A43B15" w:rsidP="00A43B15">
      <w:pPr>
        <w:pStyle w:val="VEOHRCBodytext"/>
        <w:rPr>
          <w:lang w:val="en-AU"/>
        </w:rPr>
      </w:pPr>
      <w:r w:rsidRPr="00A43B15">
        <w:rPr>
          <w:lang w:val="en-AU"/>
        </w:rPr>
        <w:t>Tim is a member of the Yuin people of the South East Coast of New South Wales. He serves on a number of boards, including as a Board Member of the Human Rights Law Centre and a Trustee of the Roberta Sykes Indigenous Education Foundation.</w:t>
      </w:r>
    </w:p>
    <w:p w14:paraId="4173D7DF" w14:textId="77777777" w:rsidR="002C3656" w:rsidRPr="00A44175" w:rsidRDefault="002C3656" w:rsidP="002C3656">
      <w:pPr>
        <w:pStyle w:val="VEOHRCHeading3"/>
      </w:pPr>
      <w:r w:rsidRPr="00A44175">
        <w:lastRenderedPageBreak/>
        <w:t>Jennifer Huppert</w:t>
      </w:r>
    </w:p>
    <w:p w14:paraId="142D652C" w14:textId="77777777" w:rsidR="002C3656" w:rsidRPr="00A44175" w:rsidRDefault="002C3656" w:rsidP="002C3656">
      <w:pPr>
        <w:pStyle w:val="VEOHRCBodytext"/>
      </w:pPr>
      <w:r w:rsidRPr="00A44175">
        <w:t>Jennifer Huppert is a lawyer with nearly 30 years’ experience, practising largely in the area of commercial property, and is currently a special counsel at KHQ Lawyers.</w:t>
      </w:r>
    </w:p>
    <w:p w14:paraId="2C8F16B0" w14:textId="77777777" w:rsidR="002C3656" w:rsidRPr="00A44175" w:rsidRDefault="002C3656" w:rsidP="002C3656">
      <w:pPr>
        <w:pStyle w:val="VEOHRCBodytext"/>
      </w:pPr>
      <w:r w:rsidRPr="00A44175">
        <w:t>Ms Huppert has a long involvement with the community and not-for- profit sector. She is currently president of the Jewish Community Council of Victoria, and has previously served on the Boards of the B’nai B’rith Anti-Defamation Commission, Youth Connect and the National Council of Jewish Women of Australia.</w:t>
      </w:r>
    </w:p>
    <w:p w14:paraId="08661F47" w14:textId="77777777" w:rsidR="002C3656" w:rsidRPr="00A44175" w:rsidRDefault="002C3656" w:rsidP="002C3656">
      <w:pPr>
        <w:pStyle w:val="VEOHRCBodytext"/>
      </w:pPr>
      <w:r w:rsidRPr="00A44175">
        <w:t>From February 2009 until November 2010 Jennifer was a member of the Legislative Council of the Parliament of Victoria, and prior to that served as a director of the Emergency Services and State Superannuation Board.</w:t>
      </w:r>
    </w:p>
    <w:p w14:paraId="50CAA941" w14:textId="77777777" w:rsidR="002C3656" w:rsidRPr="00A44175" w:rsidRDefault="002C3656" w:rsidP="002C3656">
      <w:pPr>
        <w:pStyle w:val="VEOHRCHeading3"/>
      </w:pPr>
      <w:r w:rsidRPr="00A44175">
        <w:t>Laurinda Gardner</w:t>
      </w:r>
    </w:p>
    <w:p w14:paraId="09CC00E0" w14:textId="77777777" w:rsidR="002C3656" w:rsidRPr="00A44175" w:rsidRDefault="002C3656" w:rsidP="002C3656">
      <w:pPr>
        <w:pStyle w:val="VEOHRCBodytext"/>
      </w:pPr>
      <w:r w:rsidRPr="00A44175">
        <w:t>Laurinda Gardner has more than 20 years’ experience working for not-for-profit, state and local government boards, and as a senior government executive leading large policy and operational teams.</w:t>
      </w:r>
    </w:p>
    <w:p w14:paraId="724A582E" w14:textId="77777777" w:rsidR="002C3656" w:rsidRPr="00A44175" w:rsidRDefault="002C3656" w:rsidP="002C3656">
      <w:pPr>
        <w:pStyle w:val="VEOHRCBodytext"/>
      </w:pPr>
      <w:r w:rsidRPr="00A44175">
        <w:t>Ms Gardner is one of three Administrators appointed in April 2016 by the Victorian Government to manage the responsibilities of the City of Greater Geelong Council. She has also consulted for a wide variety of government bodies including the Victorian Ombudsman, Victoria Police and the Victorian Managed Insurance Authority.</w:t>
      </w:r>
    </w:p>
    <w:p w14:paraId="2925CF81" w14:textId="77777777" w:rsidR="002C3656" w:rsidRPr="00A44175" w:rsidRDefault="002C3656" w:rsidP="002C3656">
      <w:pPr>
        <w:pStyle w:val="VEOHRCBodytext"/>
      </w:pPr>
      <w:r w:rsidRPr="00A44175">
        <w:t>Ms Gardner served as Deputy Secretary for Organisational Reform, Corporate Strategy and Services, and Strategic Management within the Victorian Department of Treasury and Finance between 1998 and 2013. She is a current board member and former chair of Berry Street, a not-for-profit association which helps young people and families recover from the effects of violence, abuse and neglect. </w:t>
      </w:r>
    </w:p>
    <w:p w14:paraId="2A9645D5" w14:textId="77777777" w:rsidR="002C3656" w:rsidRPr="00A44175" w:rsidRDefault="002C3656" w:rsidP="002C3656">
      <w:pPr>
        <w:pStyle w:val="VEOHRCHeading3"/>
      </w:pPr>
      <w:r w:rsidRPr="00A44175">
        <w:t>Faddy Zouky OAM</w:t>
      </w:r>
    </w:p>
    <w:p w14:paraId="6201B82C" w14:textId="77777777" w:rsidR="002C3656" w:rsidRPr="00A44175" w:rsidRDefault="002C3656" w:rsidP="002C3656">
      <w:pPr>
        <w:pStyle w:val="VEOHRCBodytext"/>
      </w:pPr>
      <w:r w:rsidRPr="00A44175">
        <w:t>Faddy Zouky is the founding President of the Australia Lebanon Chamber of Commerce &amp; Industry, a member of the Multicultural Commission of Victoria’s Small Business Ministerial Council, and the current Managing Partner of Zouki Lawyers and the Executive Director of the Zouki Group of companies.</w:t>
      </w:r>
    </w:p>
    <w:p w14:paraId="770347DF" w14:textId="77777777" w:rsidR="002C3656" w:rsidRPr="00A44175" w:rsidRDefault="002C3656" w:rsidP="002C3656">
      <w:pPr>
        <w:pStyle w:val="VEOHRCBodytext"/>
      </w:pPr>
      <w:r w:rsidRPr="00A44175">
        <w:t>Mr Zouky has a Master of Laws and has taught commercial law as an assistant lecturer at Monash University. He is a respected member of the Australian Lebanese community and has served as a United Nations Australian Ambassador for the UNDP Live Lebanon Project.</w:t>
      </w:r>
    </w:p>
    <w:p w14:paraId="53E938B0" w14:textId="77777777" w:rsidR="002C3656" w:rsidRPr="00A44175" w:rsidRDefault="002C3656" w:rsidP="002C3656">
      <w:pPr>
        <w:pStyle w:val="VEOHRCBodytext"/>
      </w:pPr>
      <w:r w:rsidRPr="00A44175">
        <w:t>As a migration agent, Mr Zouky has assisted hundreds of people seeking to settle in Australia and was awarded the Order of Australia Medal in 2012 for his services to business and Victoria’s multicultural community.</w:t>
      </w:r>
    </w:p>
    <w:p w14:paraId="35308963" w14:textId="77777777" w:rsidR="002C3656" w:rsidRPr="00A44175" w:rsidRDefault="002C3656" w:rsidP="002C3656">
      <w:pPr>
        <w:pStyle w:val="VEOHRCHeading3"/>
      </w:pPr>
      <w:r w:rsidRPr="00A44175">
        <w:t xml:space="preserve">Matt Finnis </w:t>
      </w:r>
    </w:p>
    <w:p w14:paraId="22135F74" w14:textId="77777777" w:rsidR="002C3656" w:rsidRPr="0004476B" w:rsidRDefault="002C3656" w:rsidP="002C3656">
      <w:pPr>
        <w:pStyle w:val="VEOHRCBodytext"/>
      </w:pPr>
      <w:r w:rsidRPr="00A44175">
        <w:t>Matt Finnis was appointed Chief Executive Officer of the St Kilda Football Club in 2014.</w:t>
      </w:r>
    </w:p>
    <w:p w14:paraId="5C41995D" w14:textId="77777777" w:rsidR="002C3656" w:rsidRPr="0004476B" w:rsidRDefault="002C3656" w:rsidP="002C3656">
      <w:pPr>
        <w:pStyle w:val="VEOHRCBodytext"/>
      </w:pPr>
      <w:r w:rsidRPr="0004476B">
        <w:t>Prior to joining St Kilda, Matt was CEO of the AFL Players’ Association, representing the interests of current, future and former AFL players in a range of industrial, commercial and development matters.</w:t>
      </w:r>
    </w:p>
    <w:p w14:paraId="5BA575C7" w14:textId="77777777" w:rsidR="002C3656" w:rsidRPr="0004476B" w:rsidRDefault="002C3656" w:rsidP="002C3656">
      <w:pPr>
        <w:pStyle w:val="VEOHRCBodytext"/>
      </w:pPr>
      <w:r w:rsidRPr="0004476B">
        <w:t xml:space="preserve">Before his roles in the AFL Matt worked as a commercial lawyer advising numerous sporting organisations, businesses, athletes and government. Matt also has extensive experience on boards supporting community causes and organisations </w:t>
      </w:r>
      <w:r w:rsidRPr="0004476B">
        <w:lastRenderedPageBreak/>
        <w:t>including; Ladder, AFL SportsReady, Surfing Australia, Surf Life Saving Victoria and HeartKids Australia.</w:t>
      </w:r>
    </w:p>
    <w:p w14:paraId="75A429D5" w14:textId="77777777" w:rsidR="002C3656" w:rsidRDefault="002C3656" w:rsidP="002C3656">
      <w:pPr>
        <w:pStyle w:val="VEOHRCBodytext"/>
      </w:pPr>
      <w:r w:rsidRPr="0004476B">
        <w:t>Matt has been a founding member of the Sport Male Champions of Change Group since 2015, working with influential leaders to redefine men’s role in taking action on gender inequality. In 2016 he was awarded the Straight Ally of the Year at the GLOBE Community Awards.</w:t>
      </w:r>
    </w:p>
    <w:p w14:paraId="6233365E" w14:textId="77777777" w:rsidR="00374776" w:rsidRPr="00374776" w:rsidRDefault="00374776" w:rsidP="00374776">
      <w:pPr>
        <w:pStyle w:val="VEOHRCHeading3"/>
        <w:rPr>
          <w:lang w:val="en-AU"/>
        </w:rPr>
      </w:pPr>
      <w:r w:rsidRPr="00374776">
        <w:rPr>
          <w:lang w:val="en-AU"/>
        </w:rPr>
        <w:t>Rebecca Dabbs</w:t>
      </w:r>
    </w:p>
    <w:p w14:paraId="2B48A408" w14:textId="3A6F063E" w:rsidR="00374776" w:rsidRPr="00374776" w:rsidRDefault="00374776" w:rsidP="00374776">
      <w:pPr>
        <w:pStyle w:val="VEOHRCBodytext"/>
      </w:pPr>
      <w:r w:rsidRPr="00374776">
        <w:rPr>
          <w:lang w:val="en-AU"/>
        </w:rPr>
        <w:t xml:space="preserve">Rebecca </w:t>
      </w:r>
      <w:r>
        <w:rPr>
          <w:lang w:val="en-AU"/>
        </w:rPr>
        <w:t xml:space="preserve">Dabbs </w:t>
      </w:r>
      <w:r w:rsidRPr="00374776">
        <w:rPr>
          <w:lang w:val="en-AU"/>
        </w:rPr>
        <w:t xml:space="preserve">is a Partner at Ernst &amp; Young in the Climate Change and Sustainability Services team, working on sustainability and health, safety and environment engagements. Prior to </w:t>
      </w:r>
      <w:r w:rsidRPr="00374776">
        <w:t>becoming a partner in 2016, she worked as a Sustainability consultant and a Chartered Accountant for Ernst &amp; Young since 2004. She also worked as a Chartered Accountant for BNP Paribas in London.</w:t>
      </w:r>
    </w:p>
    <w:p w14:paraId="1CC988B2" w14:textId="0EAA24DD" w:rsidR="00374776" w:rsidRPr="00374776" w:rsidRDefault="00374776" w:rsidP="00374776">
      <w:pPr>
        <w:pStyle w:val="VEOHRCBodytext"/>
        <w:rPr>
          <w:lang w:val="en-AU"/>
        </w:rPr>
      </w:pPr>
      <w:r w:rsidRPr="00374776">
        <w:t>Rebecca was a board member of Cambodian Kids Can, a volunteer-staffed charity that supports children’s welfare, education and community projects in Cambodia, from 2014–17. She was a board member</w:t>
      </w:r>
      <w:r w:rsidRPr="00374776">
        <w:rPr>
          <w:lang w:val="en-AU"/>
        </w:rPr>
        <w:t xml:space="preserve"> and the finance committee chair of the Norman Wettenhall Foundation, an environmental foundation, from 2011–14.</w:t>
      </w:r>
    </w:p>
    <w:p w14:paraId="4A605813" w14:textId="4E366AF4" w:rsidR="002C3656" w:rsidRPr="00A44175" w:rsidRDefault="002C3656" w:rsidP="002C3656">
      <w:pPr>
        <w:pStyle w:val="VEOHRCHeading3"/>
      </w:pPr>
      <w:r w:rsidRPr="00A44175">
        <w:t>Megan Boston</w:t>
      </w:r>
      <w:r>
        <w:t xml:space="preserve"> (until November 2017)</w:t>
      </w:r>
    </w:p>
    <w:p w14:paraId="6D1FB9F3" w14:textId="77777777" w:rsidR="002C3656" w:rsidRPr="00A44175" w:rsidRDefault="002C3656" w:rsidP="002C3656">
      <w:pPr>
        <w:pStyle w:val="VEOHRCBodytext"/>
        <w:rPr>
          <w:rFonts w:cs="Arial"/>
        </w:rPr>
      </w:pPr>
      <w:r w:rsidRPr="00A44175">
        <w:t>Megan Boston is a chartered accountant with skills and expertise in the areas of finance, audit, risk management and governance.</w:t>
      </w:r>
    </w:p>
    <w:p w14:paraId="752D9270" w14:textId="77777777" w:rsidR="002C3656" w:rsidRPr="00A44175" w:rsidRDefault="002C3656" w:rsidP="002C3656">
      <w:pPr>
        <w:pStyle w:val="VEOHRCBodytext"/>
      </w:pPr>
      <w:r w:rsidRPr="00A44175">
        <w:t>Megan is the Deputy Chair at AMES Australia and Chairperson of the Audit &amp; Risk Management Committee. She is also a Non-Executive Director and Chair of the Finance, Audit and Risk Management Committee at Benitec Ltd (ASX:BLT).</w:t>
      </w:r>
    </w:p>
    <w:p w14:paraId="35E5C8B7" w14:textId="77777777" w:rsidR="002C3656" w:rsidRDefault="002C3656" w:rsidP="002C3656">
      <w:pPr>
        <w:pStyle w:val="VEOHRCHeading3"/>
      </w:pPr>
      <w:r w:rsidRPr="002C3656">
        <w:t>Abeselom Nega (until August 2017)</w:t>
      </w:r>
    </w:p>
    <w:p w14:paraId="4B51E388" w14:textId="77777777" w:rsidR="002C3656" w:rsidRPr="00E366EB" w:rsidRDefault="002C3656" w:rsidP="002C3656">
      <w:pPr>
        <w:pStyle w:val="VEOHRCBodytext"/>
      </w:pPr>
      <w:r w:rsidRPr="00E366EB">
        <w:t>Abeselom Nega is the CEO of iEmpower – a highly respected specialist youth services organisation – and has previously served as the General Manager AMES Employment, Chairperson of the Federation of African Communities Council, a Commissioner of the Victorian Multicultural Commission (VMC) and Board member of the National Accreditation Authority for Translators Interpreters (NAATI).</w:t>
      </w:r>
    </w:p>
    <w:p w14:paraId="1F92A416" w14:textId="77777777" w:rsidR="002C3656" w:rsidRPr="002C3656" w:rsidRDefault="002C3656" w:rsidP="002C3656">
      <w:pPr>
        <w:pStyle w:val="VEOHRCHeading3"/>
        <w:rPr>
          <w:lang w:eastAsia="en-US"/>
        </w:rPr>
      </w:pPr>
      <w:r w:rsidRPr="002C3656">
        <w:rPr>
          <w:lang w:eastAsia="en-US"/>
        </w:rPr>
        <w:t>Audit and risk committee</w:t>
      </w:r>
    </w:p>
    <w:p w14:paraId="57ADA500" w14:textId="19A7201E" w:rsidR="002C3656" w:rsidRDefault="002C3656" w:rsidP="002C3656">
      <w:pPr>
        <w:pStyle w:val="VEOHRCBodytext"/>
        <w:rPr>
          <w:lang w:eastAsia="en-US"/>
        </w:rPr>
      </w:pPr>
      <w:r w:rsidRPr="002C3656">
        <w:rPr>
          <w:lang w:eastAsia="en-US"/>
        </w:rPr>
        <w:t xml:space="preserve">Laurinda Gardner (Chair) </w:t>
      </w:r>
      <w:r w:rsidRPr="002C3656">
        <w:rPr>
          <w:lang w:eastAsia="en-US"/>
        </w:rPr>
        <w:br/>
        <w:t>Moana Weir</w:t>
      </w:r>
      <w:r w:rsidRPr="002C3656">
        <w:rPr>
          <w:lang w:eastAsia="en-US"/>
        </w:rPr>
        <w:br/>
        <w:t xml:space="preserve">Jeff Floyd </w:t>
      </w:r>
      <w:r w:rsidRPr="002C3656">
        <w:rPr>
          <w:lang w:eastAsia="en-US"/>
        </w:rPr>
        <w:br/>
        <w:t>Sue Madden</w:t>
      </w:r>
    </w:p>
    <w:p w14:paraId="617B851C" w14:textId="77777777" w:rsidR="00D82397" w:rsidRPr="00F35DDD" w:rsidRDefault="00D82397" w:rsidP="00D82397">
      <w:pPr>
        <w:pStyle w:val="VEOHRCHeading2"/>
      </w:pPr>
      <w:r w:rsidRPr="00F35DDD">
        <w:t>Audit and Risk Management Committee report</w:t>
      </w:r>
    </w:p>
    <w:p w14:paraId="5AAE6CF8" w14:textId="77777777" w:rsidR="00D82397" w:rsidRPr="00F35DDD" w:rsidRDefault="00D82397" w:rsidP="00D82397">
      <w:pPr>
        <w:pStyle w:val="VEOHRCBodytext"/>
      </w:pPr>
      <w:r w:rsidRPr="00F35DDD">
        <w:t xml:space="preserve">The primary role of the Audit and Risk Management Committee is to provide independent oversight and governance of the Commission’s business processes, risk management and financial management, performance and sustainability. The Committee considers reports from the Commission and auditors that provide assurance about the integrity of the financial controls, processes, systems and reporting of the Commission. It also monitors the Commission's compliance with the Financial Management Act 1994 and the 2016 Standing Directions of the Minister for Finance. The Audit and Risk Management Committee advises the Board and the Commission on matters of compliance, accountability, risk management and internal controls affecting operations. </w:t>
      </w:r>
    </w:p>
    <w:p w14:paraId="70975236" w14:textId="77777777" w:rsidR="00D82397" w:rsidRPr="00F35DDD" w:rsidRDefault="00D82397" w:rsidP="00D82397">
      <w:pPr>
        <w:pStyle w:val="VEOHRCBodytext"/>
      </w:pPr>
      <w:r w:rsidRPr="00F35DDD">
        <w:lastRenderedPageBreak/>
        <w:t xml:space="preserve">The </w:t>
      </w:r>
      <w:r>
        <w:t xml:space="preserve">2017–18 </w:t>
      </w:r>
      <w:r w:rsidRPr="00F35DDD">
        <w:t>Audit and Risk Management Committee consist</w:t>
      </w:r>
      <w:r>
        <w:t>ed</w:t>
      </w:r>
      <w:r w:rsidRPr="00F35DDD">
        <w:t xml:space="preserve"> of </w:t>
      </w:r>
      <w:r>
        <w:t>Laurinda Gardiner (Chair)</w:t>
      </w:r>
      <w:r w:rsidRPr="00F35DDD">
        <w:t>, Moana Weir</w:t>
      </w:r>
      <w:r>
        <w:t>, Jeff Floyd and Sue Madden</w:t>
      </w:r>
      <w:r w:rsidRPr="00F35DDD">
        <w:t>. External audits of the Commission are undertaken by the Victorian Auditor-General’s Office.</w:t>
      </w:r>
    </w:p>
    <w:p w14:paraId="0EC329E6" w14:textId="77777777" w:rsidR="0099606F" w:rsidRPr="007B5FB0" w:rsidRDefault="0099606F" w:rsidP="0099606F">
      <w:pPr>
        <w:pStyle w:val="VEOHRCHeading1"/>
      </w:pPr>
      <w:bookmarkStart w:id="23" w:name="_Toc524536482"/>
      <w:bookmarkStart w:id="24" w:name="INDEX_Sum_Fin_Result"/>
      <w:bookmarkStart w:id="25" w:name="_Toc477967487"/>
      <w:bookmarkStart w:id="26" w:name="INDEXdisclosureindex"/>
      <w:bookmarkStart w:id="27" w:name="Report_DisclosureIndex"/>
      <w:r w:rsidRPr="007B5FB0">
        <w:t>Five year financial performance</w:t>
      </w:r>
      <w:bookmarkEnd w:id="23"/>
    </w:p>
    <w:p w14:paraId="702B0E28" w14:textId="77777777" w:rsidR="0099606F" w:rsidRPr="007B5FB0" w:rsidRDefault="0099606F" w:rsidP="0099606F">
      <w:pPr>
        <w:pStyle w:val="VEOHRCBodytext"/>
      </w:pPr>
      <w:r w:rsidRPr="007B5FB0">
        <w:t>The following financial performance tables are not subject to audit by the Victorian Auditor-General’s Office and are not prepared on the same basis as the Commission’s financial statements.</w:t>
      </w:r>
    </w:p>
    <w:p w14:paraId="3ECAF7D0" w14:textId="1153954C" w:rsidR="0099606F" w:rsidRPr="007B5FB0" w:rsidRDefault="0099606F" w:rsidP="0099606F">
      <w:pPr>
        <w:pStyle w:val="VEOHRCHeading3"/>
        <w:rPr>
          <w:rFonts w:eastAsia="Arial Unicode MS"/>
          <w:lang w:eastAsia="en-US"/>
        </w:rPr>
      </w:pPr>
      <w:r w:rsidRPr="007B5FB0">
        <w:rPr>
          <w:rFonts w:eastAsia="Arial Unicode MS"/>
          <w:lang w:eastAsia="en-US"/>
        </w:rPr>
        <w:t>Five-year financial performance summary</w:t>
      </w:r>
    </w:p>
    <w:tbl>
      <w:tblPr>
        <w:tblW w:w="9661" w:type="dxa"/>
        <w:tblInd w:w="28" w:type="dxa"/>
        <w:tblBorders>
          <w:bottom w:val="single" w:sz="12" w:space="0" w:color="auto"/>
        </w:tblBorders>
        <w:tblCellMar>
          <w:left w:w="57" w:type="dxa"/>
          <w:right w:w="57" w:type="dxa"/>
        </w:tblCellMar>
        <w:tblLook w:val="04A0" w:firstRow="1" w:lastRow="0" w:firstColumn="1" w:lastColumn="0" w:noHBand="0" w:noVBand="1"/>
      </w:tblPr>
      <w:tblGrid>
        <w:gridCol w:w="3141"/>
        <w:gridCol w:w="1304"/>
        <w:gridCol w:w="1304"/>
        <w:gridCol w:w="1304"/>
        <w:gridCol w:w="1304"/>
        <w:gridCol w:w="1304"/>
      </w:tblGrid>
      <w:tr w:rsidR="0099606F" w:rsidRPr="007B5FB0" w14:paraId="76BD38DD" w14:textId="77777777" w:rsidTr="0071253F">
        <w:trPr>
          <w:trHeight w:val="282"/>
        </w:trPr>
        <w:tc>
          <w:tcPr>
            <w:tcW w:w="3141" w:type="dxa"/>
            <w:shd w:val="clear" w:color="auto" w:fill="000000"/>
            <w:vAlign w:val="bottom"/>
            <w:hideMark/>
          </w:tcPr>
          <w:p w14:paraId="0B91B3F8" w14:textId="77777777" w:rsidR="0099606F" w:rsidRPr="007B5FB0" w:rsidRDefault="0099606F" w:rsidP="0071253F">
            <w:pPr>
              <w:spacing w:before="60" w:after="60"/>
              <w:ind w:left="170" w:hanging="170"/>
              <w:rPr>
                <w:rFonts w:cs="Arial"/>
                <w:i/>
                <w:iCs/>
                <w:color w:val="FFFFFF"/>
                <w:spacing w:val="2"/>
                <w:sz w:val="17"/>
                <w:szCs w:val="17"/>
                <w:lang w:eastAsia="en-US"/>
              </w:rPr>
            </w:pPr>
            <w:r w:rsidRPr="007B5FB0">
              <w:rPr>
                <w:rFonts w:cs="Arial"/>
                <w:i/>
                <w:iCs/>
                <w:color w:val="FFFFFF"/>
                <w:spacing w:val="2"/>
                <w:sz w:val="17"/>
                <w:szCs w:val="17"/>
                <w:lang w:eastAsia="en-US"/>
              </w:rPr>
              <w:t>Five year financial summary</w:t>
            </w:r>
          </w:p>
        </w:tc>
        <w:tc>
          <w:tcPr>
            <w:tcW w:w="1304" w:type="dxa"/>
            <w:shd w:val="clear" w:color="auto" w:fill="000000"/>
            <w:vAlign w:val="bottom"/>
            <w:hideMark/>
          </w:tcPr>
          <w:p w14:paraId="6FB1D68E" w14:textId="77777777" w:rsidR="0099606F" w:rsidRPr="007B5FB0" w:rsidRDefault="0099606F" w:rsidP="0071253F">
            <w:pPr>
              <w:spacing w:before="60" w:after="60"/>
              <w:jc w:val="right"/>
              <w:rPr>
                <w:rFonts w:cs="Arial"/>
                <w:i/>
                <w:iCs/>
                <w:color w:val="FFFFFF"/>
                <w:spacing w:val="2"/>
                <w:sz w:val="17"/>
                <w:szCs w:val="17"/>
                <w:lang w:eastAsia="en-US"/>
              </w:rPr>
            </w:pPr>
            <w:r w:rsidRPr="007B5FB0">
              <w:rPr>
                <w:rFonts w:cs="Arial"/>
                <w:i/>
                <w:iCs/>
                <w:color w:val="FFFFFF"/>
                <w:spacing w:val="2"/>
                <w:sz w:val="17"/>
                <w:szCs w:val="17"/>
                <w:lang w:eastAsia="en-US"/>
              </w:rPr>
              <w:t>2018</w:t>
            </w:r>
          </w:p>
        </w:tc>
        <w:tc>
          <w:tcPr>
            <w:tcW w:w="1304" w:type="dxa"/>
            <w:shd w:val="clear" w:color="auto" w:fill="000000"/>
            <w:vAlign w:val="bottom"/>
            <w:hideMark/>
          </w:tcPr>
          <w:p w14:paraId="1480FEE6" w14:textId="77777777" w:rsidR="0099606F" w:rsidRPr="007B5FB0" w:rsidRDefault="0099606F" w:rsidP="0071253F">
            <w:pPr>
              <w:spacing w:before="60" w:after="60"/>
              <w:jc w:val="right"/>
              <w:rPr>
                <w:rFonts w:cs="Arial"/>
                <w:i/>
                <w:iCs/>
                <w:color w:val="FFFFFF"/>
                <w:spacing w:val="2"/>
                <w:sz w:val="17"/>
                <w:szCs w:val="17"/>
                <w:lang w:eastAsia="en-US"/>
              </w:rPr>
            </w:pPr>
            <w:r w:rsidRPr="007B5FB0">
              <w:rPr>
                <w:rFonts w:cs="Arial"/>
                <w:i/>
                <w:iCs/>
                <w:color w:val="FFFFFF"/>
                <w:spacing w:val="2"/>
                <w:sz w:val="17"/>
                <w:szCs w:val="17"/>
                <w:lang w:eastAsia="en-US"/>
              </w:rPr>
              <w:t>2017</w:t>
            </w:r>
          </w:p>
        </w:tc>
        <w:tc>
          <w:tcPr>
            <w:tcW w:w="1304" w:type="dxa"/>
            <w:shd w:val="clear" w:color="auto" w:fill="000000"/>
            <w:vAlign w:val="bottom"/>
            <w:hideMark/>
          </w:tcPr>
          <w:p w14:paraId="33BF7407" w14:textId="77777777" w:rsidR="0099606F" w:rsidRPr="007B5FB0" w:rsidRDefault="0099606F" w:rsidP="0071253F">
            <w:pPr>
              <w:spacing w:before="60" w:after="60"/>
              <w:jc w:val="right"/>
              <w:rPr>
                <w:rFonts w:cs="Arial"/>
                <w:i/>
                <w:iCs/>
                <w:color w:val="FFFFFF"/>
                <w:spacing w:val="2"/>
                <w:sz w:val="17"/>
                <w:szCs w:val="17"/>
                <w:lang w:eastAsia="en-US"/>
              </w:rPr>
            </w:pPr>
            <w:r w:rsidRPr="007B5FB0">
              <w:rPr>
                <w:rFonts w:cs="Arial"/>
                <w:i/>
                <w:iCs/>
                <w:color w:val="FFFFFF"/>
                <w:spacing w:val="2"/>
                <w:sz w:val="17"/>
                <w:szCs w:val="17"/>
                <w:lang w:eastAsia="en-US"/>
              </w:rPr>
              <w:t>2016</w:t>
            </w:r>
          </w:p>
        </w:tc>
        <w:tc>
          <w:tcPr>
            <w:tcW w:w="1304" w:type="dxa"/>
            <w:shd w:val="clear" w:color="auto" w:fill="000000"/>
            <w:vAlign w:val="bottom"/>
            <w:hideMark/>
          </w:tcPr>
          <w:p w14:paraId="52D30C67" w14:textId="77777777" w:rsidR="0099606F" w:rsidRPr="007B5FB0" w:rsidRDefault="0099606F" w:rsidP="0071253F">
            <w:pPr>
              <w:spacing w:before="60" w:after="60"/>
              <w:jc w:val="right"/>
              <w:rPr>
                <w:rFonts w:cs="Arial"/>
                <w:i/>
                <w:iCs/>
                <w:color w:val="FFFFFF"/>
                <w:spacing w:val="2"/>
                <w:sz w:val="17"/>
                <w:szCs w:val="17"/>
                <w:lang w:eastAsia="en-US"/>
              </w:rPr>
            </w:pPr>
            <w:r w:rsidRPr="007B5FB0">
              <w:rPr>
                <w:rFonts w:cs="Arial"/>
                <w:i/>
                <w:iCs/>
                <w:color w:val="FFFFFF"/>
                <w:spacing w:val="2"/>
                <w:sz w:val="17"/>
                <w:szCs w:val="17"/>
                <w:lang w:eastAsia="en-US"/>
              </w:rPr>
              <w:t>2015</w:t>
            </w:r>
          </w:p>
        </w:tc>
        <w:tc>
          <w:tcPr>
            <w:tcW w:w="1304" w:type="dxa"/>
            <w:shd w:val="clear" w:color="auto" w:fill="000000"/>
            <w:vAlign w:val="bottom"/>
            <w:hideMark/>
          </w:tcPr>
          <w:p w14:paraId="058FBFC9" w14:textId="77777777" w:rsidR="0099606F" w:rsidRPr="007B5FB0" w:rsidRDefault="0099606F" w:rsidP="0071253F">
            <w:pPr>
              <w:spacing w:before="60" w:after="60"/>
              <w:jc w:val="right"/>
              <w:rPr>
                <w:rFonts w:cs="Arial"/>
                <w:i/>
                <w:iCs/>
                <w:color w:val="FFFFFF"/>
                <w:spacing w:val="2"/>
                <w:sz w:val="17"/>
                <w:szCs w:val="17"/>
                <w:lang w:eastAsia="en-US"/>
              </w:rPr>
            </w:pPr>
            <w:r w:rsidRPr="007B5FB0">
              <w:rPr>
                <w:rFonts w:cs="Arial"/>
                <w:i/>
                <w:iCs/>
                <w:color w:val="FFFFFF"/>
                <w:spacing w:val="2"/>
                <w:sz w:val="17"/>
                <w:szCs w:val="17"/>
                <w:lang w:eastAsia="en-US"/>
              </w:rPr>
              <w:t>2014</w:t>
            </w:r>
          </w:p>
        </w:tc>
      </w:tr>
      <w:tr w:rsidR="0099606F" w:rsidRPr="007B5FB0" w14:paraId="0B9F6A46" w14:textId="77777777" w:rsidTr="0071253F">
        <w:trPr>
          <w:cantSplit/>
          <w:trHeight w:val="365"/>
        </w:trPr>
        <w:tc>
          <w:tcPr>
            <w:tcW w:w="3141" w:type="dxa"/>
            <w:shd w:val="clear" w:color="auto" w:fill="EBEBEB"/>
            <w:hideMark/>
          </w:tcPr>
          <w:p w14:paraId="543B74FD" w14:textId="77777777" w:rsidR="0099606F" w:rsidRPr="007B5FB0" w:rsidRDefault="0099606F" w:rsidP="0071253F">
            <w:pPr>
              <w:spacing w:before="20" w:after="20"/>
              <w:ind w:left="170" w:hanging="170"/>
              <w:rPr>
                <w:rFonts w:cs="Arial"/>
                <w:color w:val="000000"/>
                <w:spacing w:val="2"/>
                <w:sz w:val="20"/>
                <w:szCs w:val="20"/>
                <w:lang w:eastAsia="en-US"/>
              </w:rPr>
            </w:pPr>
            <w:r w:rsidRPr="007B5FB0">
              <w:rPr>
                <w:rFonts w:cs="Arial"/>
                <w:color w:val="000000"/>
                <w:spacing w:val="2"/>
                <w:sz w:val="20"/>
                <w:szCs w:val="20"/>
                <w:lang w:eastAsia="en-US"/>
              </w:rPr>
              <w:t>Income from government</w:t>
            </w:r>
          </w:p>
        </w:tc>
        <w:tc>
          <w:tcPr>
            <w:tcW w:w="1304" w:type="dxa"/>
            <w:shd w:val="clear" w:color="auto" w:fill="EBEBEB"/>
            <w:hideMark/>
          </w:tcPr>
          <w:p w14:paraId="0803EDBF" w14:textId="77777777" w:rsidR="0099606F" w:rsidRPr="007B5FB0" w:rsidRDefault="0099606F" w:rsidP="0071253F">
            <w:pPr>
              <w:spacing w:before="20" w:after="20"/>
              <w:jc w:val="right"/>
              <w:rPr>
                <w:rFonts w:cs="Arial"/>
                <w:color w:val="000000"/>
                <w:spacing w:val="2"/>
                <w:sz w:val="20"/>
                <w:szCs w:val="20"/>
                <w:lang w:eastAsia="en-US"/>
              </w:rPr>
            </w:pPr>
            <w:r w:rsidRPr="007B5FB0">
              <w:rPr>
                <w:rFonts w:cs="Arial"/>
                <w:color w:val="000000"/>
                <w:spacing w:val="2"/>
                <w:sz w:val="20"/>
                <w:szCs w:val="20"/>
                <w:lang w:eastAsia="en-US"/>
              </w:rPr>
              <w:t>9,527,853</w:t>
            </w:r>
          </w:p>
        </w:tc>
        <w:tc>
          <w:tcPr>
            <w:tcW w:w="1304" w:type="dxa"/>
            <w:shd w:val="clear" w:color="auto" w:fill="EBEBEB"/>
            <w:hideMark/>
          </w:tcPr>
          <w:p w14:paraId="19C47814" w14:textId="77777777" w:rsidR="0099606F" w:rsidRPr="007B5FB0" w:rsidRDefault="0099606F" w:rsidP="0071253F">
            <w:pPr>
              <w:spacing w:before="20" w:after="20"/>
              <w:jc w:val="right"/>
              <w:rPr>
                <w:rFonts w:cs="Arial"/>
                <w:color w:val="000000"/>
                <w:spacing w:val="2"/>
                <w:sz w:val="20"/>
                <w:szCs w:val="20"/>
                <w:lang w:eastAsia="en-US"/>
              </w:rPr>
            </w:pPr>
            <w:r w:rsidRPr="007B5FB0">
              <w:rPr>
                <w:rFonts w:cs="Arial"/>
                <w:color w:val="000000"/>
                <w:spacing w:val="2"/>
                <w:sz w:val="20"/>
                <w:szCs w:val="20"/>
                <w:lang w:eastAsia="en-US"/>
              </w:rPr>
              <w:t>9,201,051</w:t>
            </w:r>
          </w:p>
        </w:tc>
        <w:tc>
          <w:tcPr>
            <w:tcW w:w="1304" w:type="dxa"/>
            <w:shd w:val="clear" w:color="auto" w:fill="EBEBEB"/>
            <w:hideMark/>
          </w:tcPr>
          <w:p w14:paraId="213F59E1" w14:textId="77777777" w:rsidR="0099606F" w:rsidRPr="007B5FB0" w:rsidRDefault="0099606F" w:rsidP="0071253F">
            <w:pPr>
              <w:spacing w:before="20" w:after="20"/>
              <w:jc w:val="right"/>
              <w:rPr>
                <w:rFonts w:cs="Arial"/>
                <w:color w:val="000000"/>
                <w:spacing w:val="2"/>
                <w:sz w:val="20"/>
                <w:szCs w:val="20"/>
                <w:lang w:eastAsia="en-US"/>
              </w:rPr>
            </w:pPr>
            <w:r w:rsidRPr="007B5FB0">
              <w:rPr>
                <w:rFonts w:cs="Arial"/>
                <w:color w:val="000000"/>
                <w:spacing w:val="2"/>
                <w:sz w:val="20"/>
                <w:szCs w:val="20"/>
                <w:lang w:eastAsia="en-US"/>
              </w:rPr>
              <w:t>8,360,828</w:t>
            </w:r>
          </w:p>
        </w:tc>
        <w:tc>
          <w:tcPr>
            <w:tcW w:w="1304" w:type="dxa"/>
            <w:shd w:val="clear" w:color="auto" w:fill="EBEBEB"/>
            <w:hideMark/>
          </w:tcPr>
          <w:p w14:paraId="1667D293" w14:textId="77777777" w:rsidR="0099606F" w:rsidRPr="007B5FB0" w:rsidRDefault="0099606F" w:rsidP="0071253F">
            <w:pPr>
              <w:spacing w:before="20" w:after="20"/>
              <w:jc w:val="right"/>
              <w:rPr>
                <w:rFonts w:cs="Arial"/>
                <w:color w:val="000000"/>
                <w:spacing w:val="2"/>
                <w:sz w:val="20"/>
                <w:szCs w:val="20"/>
                <w:lang w:eastAsia="en-US"/>
              </w:rPr>
            </w:pPr>
            <w:r w:rsidRPr="007B5FB0">
              <w:rPr>
                <w:rFonts w:cs="Arial"/>
                <w:color w:val="000000"/>
                <w:spacing w:val="2"/>
                <w:sz w:val="20"/>
                <w:szCs w:val="20"/>
                <w:lang w:eastAsia="en-US"/>
              </w:rPr>
              <w:t>7,985,054</w:t>
            </w:r>
          </w:p>
        </w:tc>
        <w:tc>
          <w:tcPr>
            <w:tcW w:w="1304" w:type="dxa"/>
            <w:shd w:val="clear" w:color="auto" w:fill="EBEBEB"/>
            <w:hideMark/>
          </w:tcPr>
          <w:p w14:paraId="28060FF8" w14:textId="77777777" w:rsidR="0099606F" w:rsidRPr="007B5FB0" w:rsidRDefault="0099606F" w:rsidP="0071253F">
            <w:pPr>
              <w:spacing w:before="20" w:after="20"/>
              <w:jc w:val="right"/>
              <w:rPr>
                <w:rFonts w:cs="Arial"/>
                <w:color w:val="000000"/>
                <w:spacing w:val="2"/>
                <w:sz w:val="20"/>
                <w:szCs w:val="20"/>
                <w:lang w:eastAsia="en-US"/>
              </w:rPr>
            </w:pPr>
            <w:r w:rsidRPr="007B5FB0">
              <w:rPr>
                <w:rFonts w:cs="Arial"/>
                <w:color w:val="000000"/>
                <w:spacing w:val="2"/>
                <w:sz w:val="20"/>
                <w:szCs w:val="20"/>
                <w:lang w:eastAsia="en-US"/>
              </w:rPr>
              <w:t>7,956,113</w:t>
            </w:r>
          </w:p>
        </w:tc>
      </w:tr>
      <w:tr w:rsidR="0099606F" w:rsidRPr="007B5FB0" w14:paraId="34DF8802" w14:textId="77777777" w:rsidTr="0071253F">
        <w:trPr>
          <w:cantSplit/>
          <w:trHeight w:val="365"/>
        </w:trPr>
        <w:tc>
          <w:tcPr>
            <w:tcW w:w="3141" w:type="dxa"/>
            <w:shd w:val="clear" w:color="auto" w:fill="FFFFFF"/>
            <w:hideMark/>
          </w:tcPr>
          <w:p w14:paraId="7DBCB659" w14:textId="77777777" w:rsidR="0099606F" w:rsidRPr="007B5FB0" w:rsidRDefault="0099606F" w:rsidP="0071253F">
            <w:pPr>
              <w:spacing w:before="20" w:after="20"/>
              <w:ind w:left="170" w:hanging="170"/>
              <w:rPr>
                <w:rFonts w:cs="Arial"/>
                <w:color w:val="000000"/>
                <w:spacing w:val="2"/>
                <w:sz w:val="20"/>
                <w:szCs w:val="20"/>
                <w:lang w:eastAsia="en-US"/>
              </w:rPr>
            </w:pPr>
            <w:r w:rsidRPr="007B5FB0">
              <w:rPr>
                <w:rFonts w:cs="Arial"/>
                <w:color w:val="000000"/>
                <w:spacing w:val="2"/>
                <w:sz w:val="20"/>
                <w:szCs w:val="20"/>
                <w:lang w:eastAsia="en-US"/>
              </w:rPr>
              <w:t>Total income from transactions</w:t>
            </w:r>
          </w:p>
        </w:tc>
        <w:tc>
          <w:tcPr>
            <w:tcW w:w="1304" w:type="dxa"/>
            <w:shd w:val="clear" w:color="auto" w:fill="FFFFFF"/>
            <w:hideMark/>
          </w:tcPr>
          <w:p w14:paraId="4BAC7A01" w14:textId="77777777" w:rsidR="0099606F" w:rsidRPr="007B5FB0" w:rsidRDefault="0099606F" w:rsidP="0071253F">
            <w:pPr>
              <w:spacing w:before="20" w:after="20"/>
              <w:jc w:val="right"/>
              <w:rPr>
                <w:rFonts w:cs="Arial"/>
                <w:color w:val="000000"/>
                <w:spacing w:val="2"/>
                <w:sz w:val="20"/>
                <w:szCs w:val="20"/>
                <w:lang w:eastAsia="en-US"/>
              </w:rPr>
            </w:pPr>
            <w:r w:rsidRPr="007B5FB0">
              <w:rPr>
                <w:rFonts w:cs="Arial"/>
                <w:color w:val="000000"/>
                <w:spacing w:val="2"/>
                <w:sz w:val="20"/>
                <w:szCs w:val="20"/>
                <w:lang w:eastAsia="en-US"/>
              </w:rPr>
              <w:t>9,527,853</w:t>
            </w:r>
          </w:p>
        </w:tc>
        <w:tc>
          <w:tcPr>
            <w:tcW w:w="1304" w:type="dxa"/>
            <w:shd w:val="clear" w:color="auto" w:fill="FFFFFF"/>
            <w:hideMark/>
          </w:tcPr>
          <w:p w14:paraId="32D15400" w14:textId="77777777" w:rsidR="0099606F" w:rsidRPr="007B5FB0" w:rsidRDefault="0099606F" w:rsidP="0071253F">
            <w:pPr>
              <w:spacing w:before="20" w:after="20"/>
              <w:jc w:val="right"/>
              <w:rPr>
                <w:rFonts w:cs="Arial"/>
                <w:color w:val="000000"/>
                <w:spacing w:val="2"/>
                <w:sz w:val="20"/>
                <w:szCs w:val="20"/>
                <w:lang w:eastAsia="en-US"/>
              </w:rPr>
            </w:pPr>
            <w:r w:rsidRPr="007B5FB0">
              <w:rPr>
                <w:rFonts w:cs="Arial"/>
                <w:color w:val="000000"/>
                <w:spacing w:val="2"/>
                <w:sz w:val="20"/>
                <w:szCs w:val="20"/>
                <w:lang w:eastAsia="en-US"/>
              </w:rPr>
              <w:t>9,201,051</w:t>
            </w:r>
          </w:p>
        </w:tc>
        <w:tc>
          <w:tcPr>
            <w:tcW w:w="1304" w:type="dxa"/>
            <w:shd w:val="clear" w:color="auto" w:fill="FFFFFF"/>
            <w:hideMark/>
          </w:tcPr>
          <w:p w14:paraId="23906376" w14:textId="77777777" w:rsidR="0099606F" w:rsidRPr="007B5FB0" w:rsidRDefault="0099606F" w:rsidP="0071253F">
            <w:pPr>
              <w:spacing w:before="20" w:after="20"/>
              <w:jc w:val="right"/>
              <w:rPr>
                <w:rFonts w:cs="Arial"/>
                <w:color w:val="000000"/>
                <w:spacing w:val="2"/>
                <w:sz w:val="20"/>
                <w:szCs w:val="20"/>
                <w:lang w:eastAsia="en-US"/>
              </w:rPr>
            </w:pPr>
            <w:r w:rsidRPr="007B5FB0">
              <w:rPr>
                <w:rFonts w:cs="Arial"/>
                <w:color w:val="000000"/>
                <w:spacing w:val="2"/>
                <w:sz w:val="20"/>
                <w:szCs w:val="20"/>
                <w:lang w:eastAsia="en-US"/>
              </w:rPr>
              <w:t>9,221,073</w:t>
            </w:r>
          </w:p>
        </w:tc>
        <w:tc>
          <w:tcPr>
            <w:tcW w:w="1304" w:type="dxa"/>
            <w:shd w:val="clear" w:color="auto" w:fill="FFFFFF"/>
            <w:hideMark/>
          </w:tcPr>
          <w:p w14:paraId="75446913" w14:textId="77777777" w:rsidR="0099606F" w:rsidRPr="007B5FB0" w:rsidRDefault="0099606F" w:rsidP="0071253F">
            <w:pPr>
              <w:spacing w:before="20" w:after="20"/>
              <w:jc w:val="right"/>
              <w:rPr>
                <w:rFonts w:cs="Arial"/>
                <w:color w:val="000000"/>
                <w:spacing w:val="2"/>
                <w:sz w:val="20"/>
                <w:szCs w:val="20"/>
                <w:lang w:eastAsia="en-US"/>
              </w:rPr>
            </w:pPr>
            <w:r w:rsidRPr="007B5FB0">
              <w:rPr>
                <w:rFonts w:cs="Arial"/>
                <w:color w:val="000000"/>
                <w:spacing w:val="2"/>
                <w:sz w:val="20"/>
                <w:szCs w:val="20"/>
                <w:lang w:eastAsia="en-US"/>
              </w:rPr>
              <w:t>8,489,476</w:t>
            </w:r>
          </w:p>
        </w:tc>
        <w:tc>
          <w:tcPr>
            <w:tcW w:w="1304" w:type="dxa"/>
            <w:shd w:val="clear" w:color="auto" w:fill="FFFFFF"/>
            <w:hideMark/>
          </w:tcPr>
          <w:p w14:paraId="5C7FFB7B" w14:textId="77777777" w:rsidR="0099606F" w:rsidRPr="007B5FB0" w:rsidRDefault="0099606F" w:rsidP="0071253F">
            <w:pPr>
              <w:spacing w:before="20" w:after="20"/>
              <w:jc w:val="right"/>
              <w:rPr>
                <w:rFonts w:cs="Arial"/>
                <w:color w:val="000000"/>
                <w:spacing w:val="2"/>
                <w:sz w:val="20"/>
                <w:szCs w:val="20"/>
                <w:lang w:eastAsia="en-US"/>
              </w:rPr>
            </w:pPr>
            <w:r w:rsidRPr="007B5FB0">
              <w:rPr>
                <w:rFonts w:cs="Arial"/>
                <w:color w:val="000000"/>
                <w:spacing w:val="2"/>
                <w:sz w:val="20"/>
                <w:szCs w:val="20"/>
                <w:lang w:eastAsia="en-US"/>
              </w:rPr>
              <w:t>8,276,363</w:t>
            </w:r>
          </w:p>
        </w:tc>
      </w:tr>
      <w:tr w:rsidR="0099606F" w:rsidRPr="007B5FB0" w14:paraId="6740C7D9" w14:textId="77777777" w:rsidTr="0071253F">
        <w:trPr>
          <w:cantSplit/>
          <w:trHeight w:val="365"/>
        </w:trPr>
        <w:tc>
          <w:tcPr>
            <w:tcW w:w="3141" w:type="dxa"/>
            <w:shd w:val="clear" w:color="auto" w:fill="EBEBEB"/>
            <w:hideMark/>
          </w:tcPr>
          <w:p w14:paraId="7E7184E5" w14:textId="77777777" w:rsidR="0099606F" w:rsidRPr="007B5FB0" w:rsidRDefault="0099606F" w:rsidP="0071253F">
            <w:pPr>
              <w:spacing w:before="20" w:after="20"/>
              <w:ind w:left="170" w:hanging="170"/>
              <w:rPr>
                <w:rFonts w:cs="Arial"/>
                <w:color w:val="000000"/>
                <w:spacing w:val="2"/>
                <w:sz w:val="20"/>
                <w:szCs w:val="20"/>
                <w:lang w:eastAsia="en-US"/>
              </w:rPr>
            </w:pPr>
            <w:r w:rsidRPr="007B5FB0">
              <w:rPr>
                <w:rFonts w:cs="Arial"/>
                <w:color w:val="000000"/>
                <w:spacing w:val="2"/>
                <w:sz w:val="20"/>
                <w:szCs w:val="20"/>
                <w:lang w:eastAsia="en-US"/>
              </w:rPr>
              <w:t>Total expenses from transactions</w:t>
            </w:r>
          </w:p>
        </w:tc>
        <w:tc>
          <w:tcPr>
            <w:tcW w:w="1304" w:type="dxa"/>
            <w:shd w:val="clear" w:color="auto" w:fill="EBEBEB"/>
            <w:hideMark/>
          </w:tcPr>
          <w:p w14:paraId="64045307" w14:textId="77777777" w:rsidR="0099606F" w:rsidRPr="007B5FB0" w:rsidRDefault="0099606F" w:rsidP="0071253F">
            <w:pPr>
              <w:spacing w:before="20" w:after="20"/>
              <w:jc w:val="right"/>
              <w:rPr>
                <w:rFonts w:cs="Arial"/>
                <w:color w:val="000000"/>
                <w:spacing w:val="2"/>
                <w:sz w:val="20"/>
                <w:szCs w:val="20"/>
                <w:lang w:eastAsia="en-US"/>
              </w:rPr>
            </w:pPr>
            <w:r w:rsidRPr="007B5FB0">
              <w:rPr>
                <w:rFonts w:cs="Arial"/>
                <w:color w:val="000000"/>
                <w:spacing w:val="2"/>
                <w:sz w:val="20"/>
                <w:szCs w:val="20"/>
                <w:lang w:eastAsia="en-US"/>
              </w:rPr>
              <w:t>9,495,431</w:t>
            </w:r>
          </w:p>
        </w:tc>
        <w:tc>
          <w:tcPr>
            <w:tcW w:w="1304" w:type="dxa"/>
            <w:shd w:val="clear" w:color="auto" w:fill="EBEBEB"/>
            <w:hideMark/>
          </w:tcPr>
          <w:p w14:paraId="14F22DE7" w14:textId="77777777" w:rsidR="0099606F" w:rsidRPr="007B5FB0" w:rsidRDefault="0099606F" w:rsidP="0071253F">
            <w:pPr>
              <w:spacing w:before="20" w:after="20"/>
              <w:jc w:val="right"/>
              <w:rPr>
                <w:rFonts w:cs="Arial"/>
                <w:color w:val="000000"/>
                <w:spacing w:val="2"/>
                <w:sz w:val="20"/>
                <w:szCs w:val="20"/>
                <w:lang w:eastAsia="en-US"/>
              </w:rPr>
            </w:pPr>
            <w:r w:rsidRPr="007B5FB0">
              <w:rPr>
                <w:rFonts w:cs="Arial"/>
                <w:color w:val="000000"/>
                <w:spacing w:val="2"/>
                <w:sz w:val="20"/>
                <w:szCs w:val="20"/>
                <w:lang w:eastAsia="en-US"/>
              </w:rPr>
              <w:t>9,176,646</w:t>
            </w:r>
          </w:p>
        </w:tc>
        <w:tc>
          <w:tcPr>
            <w:tcW w:w="1304" w:type="dxa"/>
            <w:shd w:val="clear" w:color="auto" w:fill="EBEBEB"/>
            <w:hideMark/>
          </w:tcPr>
          <w:p w14:paraId="29D7C226" w14:textId="77777777" w:rsidR="0099606F" w:rsidRPr="007B5FB0" w:rsidRDefault="0099606F" w:rsidP="0071253F">
            <w:pPr>
              <w:spacing w:before="20" w:after="20"/>
              <w:jc w:val="right"/>
              <w:rPr>
                <w:rFonts w:cs="Arial"/>
                <w:color w:val="000000"/>
                <w:spacing w:val="2"/>
                <w:sz w:val="20"/>
                <w:szCs w:val="20"/>
                <w:lang w:eastAsia="en-US"/>
              </w:rPr>
            </w:pPr>
            <w:r w:rsidRPr="007B5FB0">
              <w:rPr>
                <w:rFonts w:cs="Arial"/>
                <w:color w:val="000000"/>
                <w:spacing w:val="2"/>
                <w:sz w:val="20"/>
                <w:szCs w:val="20"/>
                <w:lang w:eastAsia="en-US"/>
              </w:rPr>
              <w:t>9,432,264</w:t>
            </w:r>
          </w:p>
        </w:tc>
        <w:tc>
          <w:tcPr>
            <w:tcW w:w="1304" w:type="dxa"/>
            <w:shd w:val="clear" w:color="auto" w:fill="EBEBEB"/>
            <w:hideMark/>
          </w:tcPr>
          <w:p w14:paraId="553FED5E" w14:textId="77777777" w:rsidR="0099606F" w:rsidRPr="007B5FB0" w:rsidRDefault="0099606F" w:rsidP="0071253F">
            <w:pPr>
              <w:spacing w:before="20" w:after="20"/>
              <w:jc w:val="right"/>
              <w:rPr>
                <w:rFonts w:cs="Arial"/>
                <w:color w:val="000000"/>
                <w:spacing w:val="2"/>
                <w:sz w:val="20"/>
                <w:szCs w:val="20"/>
                <w:lang w:eastAsia="en-US"/>
              </w:rPr>
            </w:pPr>
            <w:r w:rsidRPr="007B5FB0">
              <w:rPr>
                <w:rFonts w:cs="Arial"/>
                <w:color w:val="000000"/>
                <w:spacing w:val="2"/>
                <w:sz w:val="20"/>
                <w:szCs w:val="20"/>
                <w:lang w:eastAsia="en-US"/>
              </w:rPr>
              <w:t>9,086,616</w:t>
            </w:r>
          </w:p>
        </w:tc>
        <w:tc>
          <w:tcPr>
            <w:tcW w:w="1304" w:type="dxa"/>
            <w:shd w:val="clear" w:color="auto" w:fill="EBEBEB"/>
            <w:hideMark/>
          </w:tcPr>
          <w:p w14:paraId="10820685" w14:textId="77777777" w:rsidR="0099606F" w:rsidRPr="007B5FB0" w:rsidRDefault="0099606F" w:rsidP="0071253F">
            <w:pPr>
              <w:spacing w:before="20" w:after="20"/>
              <w:jc w:val="right"/>
              <w:rPr>
                <w:rFonts w:cs="Arial"/>
                <w:color w:val="000000"/>
                <w:spacing w:val="2"/>
                <w:sz w:val="20"/>
                <w:szCs w:val="20"/>
                <w:lang w:eastAsia="en-US"/>
              </w:rPr>
            </w:pPr>
            <w:r w:rsidRPr="007B5FB0">
              <w:rPr>
                <w:rFonts w:cs="Arial"/>
                <w:color w:val="000000"/>
                <w:spacing w:val="2"/>
                <w:sz w:val="20"/>
                <w:szCs w:val="20"/>
                <w:lang w:eastAsia="en-US"/>
              </w:rPr>
              <w:t>8,426,871</w:t>
            </w:r>
          </w:p>
        </w:tc>
      </w:tr>
      <w:tr w:rsidR="0099606F" w:rsidRPr="007B5FB0" w14:paraId="26634436" w14:textId="77777777" w:rsidTr="0071253F">
        <w:trPr>
          <w:cantSplit/>
          <w:trHeight w:val="365"/>
        </w:trPr>
        <w:tc>
          <w:tcPr>
            <w:tcW w:w="3141" w:type="dxa"/>
            <w:shd w:val="clear" w:color="auto" w:fill="FFFFFF"/>
            <w:hideMark/>
          </w:tcPr>
          <w:p w14:paraId="3B3FBE21" w14:textId="77777777" w:rsidR="0099606F" w:rsidRPr="007B5FB0" w:rsidRDefault="0099606F" w:rsidP="0071253F">
            <w:pPr>
              <w:spacing w:before="20" w:after="20"/>
              <w:ind w:left="170" w:hanging="170"/>
              <w:rPr>
                <w:rFonts w:cs="Arial"/>
                <w:color w:val="000000"/>
                <w:spacing w:val="2"/>
                <w:sz w:val="20"/>
                <w:szCs w:val="20"/>
                <w:lang w:eastAsia="en-US"/>
              </w:rPr>
            </w:pPr>
            <w:r w:rsidRPr="007B5FB0">
              <w:rPr>
                <w:rFonts w:cs="Arial"/>
                <w:color w:val="000000"/>
                <w:spacing w:val="2"/>
                <w:sz w:val="20"/>
                <w:szCs w:val="20"/>
                <w:lang w:eastAsia="en-US"/>
              </w:rPr>
              <w:t xml:space="preserve">Net result from transactions </w:t>
            </w:r>
          </w:p>
        </w:tc>
        <w:tc>
          <w:tcPr>
            <w:tcW w:w="1304" w:type="dxa"/>
            <w:shd w:val="clear" w:color="auto" w:fill="FFFFFF"/>
            <w:hideMark/>
          </w:tcPr>
          <w:p w14:paraId="176DB9DA" w14:textId="77777777" w:rsidR="0099606F" w:rsidRPr="007B5FB0" w:rsidRDefault="0099606F" w:rsidP="0071253F">
            <w:pPr>
              <w:spacing w:before="20" w:after="20"/>
              <w:jc w:val="right"/>
              <w:rPr>
                <w:rFonts w:cs="Arial"/>
                <w:color w:val="000000"/>
                <w:spacing w:val="2"/>
                <w:sz w:val="20"/>
                <w:szCs w:val="20"/>
                <w:lang w:eastAsia="en-US"/>
              </w:rPr>
            </w:pPr>
            <w:r w:rsidRPr="007B5FB0">
              <w:rPr>
                <w:rFonts w:cs="Arial"/>
                <w:color w:val="000000"/>
                <w:spacing w:val="2"/>
                <w:sz w:val="20"/>
                <w:szCs w:val="20"/>
                <w:lang w:eastAsia="en-US"/>
              </w:rPr>
              <w:t>32,422</w:t>
            </w:r>
          </w:p>
        </w:tc>
        <w:tc>
          <w:tcPr>
            <w:tcW w:w="1304" w:type="dxa"/>
            <w:shd w:val="clear" w:color="auto" w:fill="FFFFFF"/>
            <w:hideMark/>
          </w:tcPr>
          <w:p w14:paraId="677FAD12" w14:textId="77777777" w:rsidR="0099606F" w:rsidRPr="007B5FB0" w:rsidRDefault="0099606F" w:rsidP="0071253F">
            <w:pPr>
              <w:spacing w:before="20" w:after="20"/>
              <w:jc w:val="right"/>
              <w:rPr>
                <w:rFonts w:cs="Arial"/>
                <w:color w:val="000000"/>
                <w:spacing w:val="2"/>
                <w:sz w:val="20"/>
                <w:szCs w:val="20"/>
                <w:lang w:eastAsia="en-US"/>
              </w:rPr>
            </w:pPr>
            <w:r w:rsidRPr="007B5FB0">
              <w:rPr>
                <w:rFonts w:cs="Arial"/>
                <w:color w:val="000000"/>
                <w:spacing w:val="2"/>
                <w:sz w:val="20"/>
                <w:szCs w:val="20"/>
                <w:lang w:eastAsia="en-US"/>
              </w:rPr>
              <w:t>24,405</w:t>
            </w:r>
          </w:p>
        </w:tc>
        <w:tc>
          <w:tcPr>
            <w:tcW w:w="1304" w:type="dxa"/>
            <w:shd w:val="clear" w:color="auto" w:fill="FFFFFF"/>
            <w:hideMark/>
          </w:tcPr>
          <w:p w14:paraId="281F7351" w14:textId="77777777" w:rsidR="0099606F" w:rsidRPr="007B5FB0" w:rsidRDefault="0099606F" w:rsidP="0071253F">
            <w:pPr>
              <w:spacing w:before="20" w:after="20"/>
              <w:jc w:val="right"/>
              <w:rPr>
                <w:rFonts w:cs="Arial"/>
                <w:color w:val="000000"/>
                <w:spacing w:val="2"/>
                <w:sz w:val="20"/>
                <w:szCs w:val="20"/>
                <w:lang w:eastAsia="en-US"/>
              </w:rPr>
            </w:pPr>
            <w:r w:rsidRPr="007B5FB0">
              <w:rPr>
                <w:rFonts w:cs="Arial"/>
                <w:color w:val="000000"/>
                <w:spacing w:val="2"/>
                <w:sz w:val="20"/>
                <w:szCs w:val="20"/>
                <w:lang w:eastAsia="en-US"/>
              </w:rPr>
              <w:t>-211,191</w:t>
            </w:r>
          </w:p>
        </w:tc>
        <w:tc>
          <w:tcPr>
            <w:tcW w:w="1304" w:type="dxa"/>
            <w:shd w:val="clear" w:color="auto" w:fill="FFFFFF"/>
            <w:hideMark/>
          </w:tcPr>
          <w:p w14:paraId="5997B3DB" w14:textId="77777777" w:rsidR="0099606F" w:rsidRPr="007B5FB0" w:rsidRDefault="0099606F" w:rsidP="0071253F">
            <w:pPr>
              <w:spacing w:before="20" w:after="20"/>
              <w:jc w:val="right"/>
              <w:rPr>
                <w:rFonts w:cs="Arial"/>
                <w:color w:val="000000"/>
                <w:spacing w:val="2"/>
                <w:sz w:val="20"/>
                <w:szCs w:val="20"/>
                <w:lang w:eastAsia="en-US"/>
              </w:rPr>
            </w:pPr>
            <w:r w:rsidRPr="007B5FB0">
              <w:rPr>
                <w:rFonts w:cs="Arial"/>
                <w:color w:val="000000"/>
                <w:spacing w:val="2"/>
                <w:sz w:val="20"/>
                <w:szCs w:val="20"/>
                <w:lang w:eastAsia="en-US"/>
              </w:rPr>
              <w:t>-597,140</w:t>
            </w:r>
          </w:p>
        </w:tc>
        <w:tc>
          <w:tcPr>
            <w:tcW w:w="1304" w:type="dxa"/>
            <w:shd w:val="clear" w:color="auto" w:fill="FFFFFF"/>
            <w:hideMark/>
          </w:tcPr>
          <w:p w14:paraId="2BDBB2B3" w14:textId="77777777" w:rsidR="0099606F" w:rsidRPr="007B5FB0" w:rsidRDefault="0099606F" w:rsidP="0071253F">
            <w:pPr>
              <w:spacing w:before="20" w:after="20"/>
              <w:jc w:val="right"/>
              <w:rPr>
                <w:rFonts w:cs="Arial"/>
                <w:color w:val="000000"/>
                <w:spacing w:val="2"/>
                <w:sz w:val="20"/>
                <w:szCs w:val="20"/>
                <w:lang w:eastAsia="en-US"/>
              </w:rPr>
            </w:pPr>
            <w:r w:rsidRPr="007B5FB0">
              <w:rPr>
                <w:rFonts w:cs="Arial"/>
                <w:color w:val="000000"/>
                <w:spacing w:val="2"/>
                <w:sz w:val="20"/>
                <w:szCs w:val="20"/>
                <w:lang w:eastAsia="en-US"/>
              </w:rPr>
              <w:t>-150,508</w:t>
            </w:r>
          </w:p>
        </w:tc>
      </w:tr>
      <w:tr w:rsidR="0099606F" w:rsidRPr="007B5FB0" w14:paraId="7F32718B" w14:textId="77777777" w:rsidTr="0071253F">
        <w:trPr>
          <w:cantSplit/>
          <w:trHeight w:val="365"/>
        </w:trPr>
        <w:tc>
          <w:tcPr>
            <w:tcW w:w="3141" w:type="dxa"/>
            <w:shd w:val="clear" w:color="auto" w:fill="EBEBEB"/>
            <w:hideMark/>
          </w:tcPr>
          <w:p w14:paraId="493C9486" w14:textId="77777777" w:rsidR="0099606F" w:rsidRPr="007B5FB0" w:rsidRDefault="0099606F" w:rsidP="0071253F">
            <w:pPr>
              <w:spacing w:before="20" w:after="20"/>
              <w:ind w:left="170" w:hanging="170"/>
              <w:rPr>
                <w:rFonts w:cs="Arial"/>
                <w:color w:val="000000"/>
                <w:spacing w:val="2"/>
                <w:sz w:val="20"/>
                <w:szCs w:val="20"/>
                <w:lang w:eastAsia="en-US"/>
              </w:rPr>
            </w:pPr>
            <w:r w:rsidRPr="007B5FB0">
              <w:rPr>
                <w:rFonts w:cs="Arial"/>
                <w:color w:val="000000"/>
                <w:spacing w:val="2"/>
                <w:sz w:val="20"/>
                <w:szCs w:val="20"/>
                <w:lang w:eastAsia="en-US"/>
              </w:rPr>
              <w:t>Net result for the period</w:t>
            </w:r>
          </w:p>
        </w:tc>
        <w:tc>
          <w:tcPr>
            <w:tcW w:w="1304" w:type="dxa"/>
            <w:shd w:val="clear" w:color="auto" w:fill="EBEBEB"/>
            <w:hideMark/>
          </w:tcPr>
          <w:p w14:paraId="341AA868" w14:textId="77777777" w:rsidR="0099606F" w:rsidRPr="007B5FB0" w:rsidRDefault="0099606F" w:rsidP="0071253F">
            <w:pPr>
              <w:spacing w:before="20" w:after="20"/>
              <w:jc w:val="right"/>
              <w:rPr>
                <w:rFonts w:cs="Arial"/>
                <w:color w:val="000000"/>
                <w:spacing w:val="2"/>
                <w:sz w:val="20"/>
                <w:szCs w:val="20"/>
                <w:lang w:eastAsia="en-US"/>
              </w:rPr>
            </w:pPr>
            <w:r w:rsidRPr="007B5FB0">
              <w:rPr>
                <w:rFonts w:cs="Arial"/>
                <w:color w:val="000000"/>
                <w:spacing w:val="2"/>
                <w:sz w:val="20"/>
                <w:szCs w:val="20"/>
                <w:lang w:eastAsia="en-US"/>
              </w:rPr>
              <w:t>46,792</w:t>
            </w:r>
          </w:p>
        </w:tc>
        <w:tc>
          <w:tcPr>
            <w:tcW w:w="1304" w:type="dxa"/>
            <w:shd w:val="clear" w:color="auto" w:fill="EBEBEB"/>
            <w:hideMark/>
          </w:tcPr>
          <w:p w14:paraId="7DBB5B72" w14:textId="77777777" w:rsidR="0099606F" w:rsidRPr="007B5FB0" w:rsidRDefault="0099606F" w:rsidP="0071253F">
            <w:pPr>
              <w:spacing w:before="20" w:after="20"/>
              <w:jc w:val="right"/>
              <w:rPr>
                <w:rFonts w:cs="Arial"/>
                <w:color w:val="000000"/>
                <w:spacing w:val="2"/>
                <w:sz w:val="20"/>
                <w:szCs w:val="20"/>
                <w:lang w:eastAsia="en-US"/>
              </w:rPr>
            </w:pPr>
            <w:r w:rsidRPr="007B5FB0">
              <w:rPr>
                <w:rFonts w:cs="Arial"/>
                <w:color w:val="000000"/>
                <w:spacing w:val="2"/>
                <w:sz w:val="20"/>
                <w:szCs w:val="20"/>
                <w:lang w:eastAsia="en-US"/>
              </w:rPr>
              <w:t>13,380</w:t>
            </w:r>
          </w:p>
        </w:tc>
        <w:tc>
          <w:tcPr>
            <w:tcW w:w="1304" w:type="dxa"/>
            <w:shd w:val="clear" w:color="auto" w:fill="EBEBEB"/>
            <w:hideMark/>
          </w:tcPr>
          <w:p w14:paraId="17B01110" w14:textId="77777777" w:rsidR="0099606F" w:rsidRPr="007B5FB0" w:rsidRDefault="0099606F" w:rsidP="0071253F">
            <w:pPr>
              <w:spacing w:before="20" w:after="20"/>
              <w:jc w:val="right"/>
              <w:rPr>
                <w:rFonts w:cs="Arial"/>
                <w:color w:val="000000"/>
                <w:spacing w:val="2"/>
                <w:sz w:val="20"/>
                <w:szCs w:val="20"/>
                <w:lang w:eastAsia="en-US"/>
              </w:rPr>
            </w:pPr>
            <w:r w:rsidRPr="007B5FB0">
              <w:rPr>
                <w:rFonts w:cs="Arial"/>
                <w:color w:val="000000"/>
                <w:spacing w:val="2"/>
                <w:sz w:val="20"/>
                <w:szCs w:val="20"/>
                <w:lang w:eastAsia="en-US"/>
              </w:rPr>
              <w:t>-226,232</w:t>
            </w:r>
          </w:p>
        </w:tc>
        <w:tc>
          <w:tcPr>
            <w:tcW w:w="1304" w:type="dxa"/>
            <w:shd w:val="clear" w:color="auto" w:fill="EBEBEB"/>
            <w:hideMark/>
          </w:tcPr>
          <w:p w14:paraId="588B54F9" w14:textId="77777777" w:rsidR="0099606F" w:rsidRPr="007B5FB0" w:rsidRDefault="0099606F" w:rsidP="0071253F">
            <w:pPr>
              <w:spacing w:before="20" w:after="20"/>
              <w:jc w:val="right"/>
              <w:rPr>
                <w:rFonts w:cs="Arial"/>
                <w:color w:val="000000"/>
                <w:spacing w:val="2"/>
                <w:sz w:val="20"/>
                <w:szCs w:val="20"/>
                <w:lang w:eastAsia="en-US"/>
              </w:rPr>
            </w:pPr>
            <w:r w:rsidRPr="007B5FB0">
              <w:rPr>
                <w:rFonts w:cs="Arial"/>
                <w:color w:val="000000"/>
                <w:spacing w:val="2"/>
                <w:sz w:val="20"/>
                <w:szCs w:val="20"/>
                <w:lang w:eastAsia="en-US"/>
              </w:rPr>
              <w:t>-630,589</w:t>
            </w:r>
          </w:p>
        </w:tc>
        <w:tc>
          <w:tcPr>
            <w:tcW w:w="1304" w:type="dxa"/>
            <w:shd w:val="clear" w:color="auto" w:fill="EBEBEB"/>
            <w:hideMark/>
          </w:tcPr>
          <w:p w14:paraId="7447BD34" w14:textId="77777777" w:rsidR="0099606F" w:rsidRPr="007B5FB0" w:rsidRDefault="0099606F" w:rsidP="0071253F">
            <w:pPr>
              <w:spacing w:before="20" w:after="20"/>
              <w:jc w:val="right"/>
              <w:rPr>
                <w:rFonts w:cs="Arial"/>
                <w:color w:val="000000"/>
                <w:spacing w:val="2"/>
                <w:sz w:val="20"/>
                <w:szCs w:val="20"/>
                <w:lang w:eastAsia="en-US"/>
              </w:rPr>
            </w:pPr>
            <w:r w:rsidRPr="007B5FB0">
              <w:rPr>
                <w:rFonts w:cs="Arial"/>
                <w:color w:val="000000"/>
                <w:spacing w:val="2"/>
                <w:sz w:val="20"/>
                <w:szCs w:val="20"/>
                <w:lang w:eastAsia="en-US"/>
              </w:rPr>
              <w:t>-142,709</w:t>
            </w:r>
          </w:p>
        </w:tc>
      </w:tr>
      <w:tr w:rsidR="0099606F" w:rsidRPr="007B5FB0" w14:paraId="0A4D270E" w14:textId="77777777" w:rsidTr="0071253F">
        <w:trPr>
          <w:cantSplit/>
          <w:trHeight w:val="282"/>
        </w:trPr>
        <w:tc>
          <w:tcPr>
            <w:tcW w:w="3141" w:type="dxa"/>
            <w:shd w:val="clear" w:color="auto" w:fill="FFFFFF"/>
            <w:hideMark/>
          </w:tcPr>
          <w:p w14:paraId="4D3AD2DD" w14:textId="77777777" w:rsidR="0099606F" w:rsidRPr="007B5FB0" w:rsidRDefault="0099606F" w:rsidP="0071253F">
            <w:pPr>
              <w:spacing w:before="20" w:after="20"/>
              <w:ind w:left="170" w:hanging="170"/>
              <w:rPr>
                <w:rFonts w:cs="Arial"/>
                <w:color w:val="000000"/>
                <w:spacing w:val="2"/>
                <w:sz w:val="20"/>
                <w:szCs w:val="20"/>
                <w:lang w:eastAsia="en-US"/>
              </w:rPr>
            </w:pPr>
            <w:r w:rsidRPr="007B5FB0">
              <w:rPr>
                <w:rFonts w:cs="Arial"/>
                <w:color w:val="000000"/>
                <w:spacing w:val="2"/>
                <w:sz w:val="20"/>
                <w:szCs w:val="20"/>
                <w:lang w:eastAsia="en-US"/>
              </w:rPr>
              <w:t>Net cash flow from operating activities</w:t>
            </w:r>
          </w:p>
        </w:tc>
        <w:tc>
          <w:tcPr>
            <w:tcW w:w="1304" w:type="dxa"/>
            <w:shd w:val="clear" w:color="auto" w:fill="FFFFFF"/>
            <w:hideMark/>
          </w:tcPr>
          <w:p w14:paraId="64B83B61" w14:textId="77777777" w:rsidR="0099606F" w:rsidRPr="007B5FB0" w:rsidRDefault="0099606F" w:rsidP="0071253F">
            <w:pPr>
              <w:spacing w:before="20" w:after="20"/>
              <w:jc w:val="right"/>
              <w:rPr>
                <w:rFonts w:cs="Arial"/>
                <w:color w:val="000000"/>
                <w:spacing w:val="2"/>
                <w:sz w:val="20"/>
                <w:szCs w:val="20"/>
                <w:lang w:eastAsia="en-US"/>
              </w:rPr>
            </w:pPr>
            <w:r w:rsidRPr="007B5FB0">
              <w:rPr>
                <w:rFonts w:cs="Arial"/>
                <w:color w:val="000000"/>
                <w:spacing w:val="2"/>
                <w:sz w:val="20"/>
                <w:szCs w:val="20"/>
                <w:lang w:eastAsia="en-US"/>
              </w:rPr>
              <w:t>129,703</w:t>
            </w:r>
          </w:p>
        </w:tc>
        <w:tc>
          <w:tcPr>
            <w:tcW w:w="1304" w:type="dxa"/>
            <w:shd w:val="clear" w:color="auto" w:fill="FFFFFF"/>
            <w:hideMark/>
          </w:tcPr>
          <w:p w14:paraId="0ACAE2F1" w14:textId="77777777" w:rsidR="0099606F" w:rsidRPr="007B5FB0" w:rsidRDefault="0099606F" w:rsidP="0071253F">
            <w:pPr>
              <w:spacing w:before="20" w:after="20"/>
              <w:jc w:val="right"/>
              <w:rPr>
                <w:rFonts w:cs="Arial"/>
                <w:color w:val="000000"/>
                <w:spacing w:val="2"/>
                <w:sz w:val="20"/>
                <w:szCs w:val="20"/>
                <w:lang w:eastAsia="en-US"/>
              </w:rPr>
            </w:pPr>
            <w:r w:rsidRPr="007B5FB0">
              <w:rPr>
                <w:rFonts w:cs="Arial"/>
                <w:color w:val="000000"/>
                <w:spacing w:val="2"/>
                <w:sz w:val="20"/>
                <w:szCs w:val="20"/>
                <w:lang w:eastAsia="en-US"/>
              </w:rPr>
              <w:t>-202,863</w:t>
            </w:r>
          </w:p>
        </w:tc>
        <w:tc>
          <w:tcPr>
            <w:tcW w:w="1304" w:type="dxa"/>
            <w:shd w:val="clear" w:color="auto" w:fill="FFFFFF"/>
            <w:hideMark/>
          </w:tcPr>
          <w:p w14:paraId="2470DDD7" w14:textId="77777777" w:rsidR="0099606F" w:rsidRPr="007B5FB0" w:rsidRDefault="0099606F" w:rsidP="0071253F">
            <w:pPr>
              <w:spacing w:before="20" w:after="20"/>
              <w:jc w:val="right"/>
              <w:rPr>
                <w:rFonts w:cs="Arial"/>
                <w:color w:val="000000"/>
                <w:spacing w:val="2"/>
                <w:sz w:val="20"/>
                <w:szCs w:val="20"/>
                <w:lang w:eastAsia="en-US"/>
              </w:rPr>
            </w:pPr>
            <w:r w:rsidRPr="007B5FB0">
              <w:rPr>
                <w:rFonts w:cs="Arial"/>
                <w:color w:val="000000"/>
                <w:spacing w:val="2"/>
                <w:sz w:val="20"/>
                <w:szCs w:val="20"/>
                <w:lang w:eastAsia="en-US"/>
              </w:rPr>
              <w:t>-273,538</w:t>
            </w:r>
          </w:p>
        </w:tc>
        <w:tc>
          <w:tcPr>
            <w:tcW w:w="1304" w:type="dxa"/>
            <w:shd w:val="clear" w:color="auto" w:fill="FFFFFF"/>
            <w:hideMark/>
          </w:tcPr>
          <w:p w14:paraId="18FB53FB" w14:textId="77777777" w:rsidR="0099606F" w:rsidRPr="007B5FB0" w:rsidRDefault="0099606F" w:rsidP="0071253F">
            <w:pPr>
              <w:spacing w:before="20" w:after="20"/>
              <w:jc w:val="right"/>
              <w:rPr>
                <w:rFonts w:cs="Arial"/>
                <w:color w:val="000000"/>
                <w:spacing w:val="2"/>
                <w:sz w:val="20"/>
                <w:szCs w:val="20"/>
                <w:lang w:eastAsia="en-US"/>
              </w:rPr>
            </w:pPr>
            <w:r w:rsidRPr="007B5FB0">
              <w:rPr>
                <w:rFonts w:cs="Arial"/>
                <w:color w:val="000000"/>
                <w:spacing w:val="2"/>
                <w:sz w:val="20"/>
                <w:szCs w:val="20"/>
                <w:lang w:eastAsia="en-US"/>
              </w:rPr>
              <w:t>-26,070</w:t>
            </w:r>
          </w:p>
        </w:tc>
        <w:tc>
          <w:tcPr>
            <w:tcW w:w="1304" w:type="dxa"/>
            <w:shd w:val="clear" w:color="auto" w:fill="FFFFFF"/>
            <w:hideMark/>
          </w:tcPr>
          <w:p w14:paraId="7CD1739C" w14:textId="77777777" w:rsidR="0099606F" w:rsidRPr="007B5FB0" w:rsidRDefault="0099606F" w:rsidP="0071253F">
            <w:pPr>
              <w:spacing w:before="20" w:after="20"/>
              <w:jc w:val="right"/>
              <w:rPr>
                <w:rFonts w:cs="Arial"/>
                <w:color w:val="000000"/>
                <w:spacing w:val="2"/>
                <w:sz w:val="20"/>
                <w:szCs w:val="20"/>
                <w:lang w:eastAsia="en-US"/>
              </w:rPr>
            </w:pPr>
            <w:r w:rsidRPr="007B5FB0">
              <w:rPr>
                <w:rFonts w:cs="Arial"/>
                <w:color w:val="000000"/>
                <w:spacing w:val="2"/>
                <w:sz w:val="20"/>
                <w:szCs w:val="20"/>
                <w:lang w:eastAsia="en-US"/>
              </w:rPr>
              <w:t>167,681</w:t>
            </w:r>
          </w:p>
        </w:tc>
      </w:tr>
      <w:tr w:rsidR="0099606F" w:rsidRPr="007B5FB0" w14:paraId="17E624C8" w14:textId="77777777" w:rsidTr="0071253F">
        <w:trPr>
          <w:cantSplit/>
          <w:trHeight w:val="365"/>
        </w:trPr>
        <w:tc>
          <w:tcPr>
            <w:tcW w:w="3141" w:type="dxa"/>
            <w:shd w:val="clear" w:color="auto" w:fill="EBEBEB"/>
            <w:hideMark/>
          </w:tcPr>
          <w:p w14:paraId="4CDFEF78" w14:textId="77777777" w:rsidR="0099606F" w:rsidRPr="007B5FB0" w:rsidRDefault="0099606F" w:rsidP="0071253F">
            <w:pPr>
              <w:spacing w:before="20" w:after="20"/>
              <w:ind w:left="170" w:hanging="170"/>
              <w:rPr>
                <w:rFonts w:cs="Arial"/>
                <w:color w:val="000000"/>
                <w:spacing w:val="2"/>
                <w:sz w:val="20"/>
                <w:szCs w:val="20"/>
                <w:lang w:eastAsia="en-US"/>
              </w:rPr>
            </w:pPr>
            <w:r w:rsidRPr="007B5FB0">
              <w:rPr>
                <w:rFonts w:cs="Arial"/>
                <w:color w:val="000000"/>
                <w:spacing w:val="2"/>
                <w:sz w:val="20"/>
                <w:szCs w:val="20"/>
                <w:lang w:eastAsia="en-US"/>
              </w:rPr>
              <w:t>Total assets</w:t>
            </w:r>
          </w:p>
        </w:tc>
        <w:tc>
          <w:tcPr>
            <w:tcW w:w="1304" w:type="dxa"/>
            <w:shd w:val="clear" w:color="auto" w:fill="EBEBEB"/>
            <w:hideMark/>
          </w:tcPr>
          <w:p w14:paraId="45F2AEF4" w14:textId="6C15FE4F" w:rsidR="0099606F" w:rsidRPr="007B5FB0" w:rsidRDefault="0099606F" w:rsidP="006829CF">
            <w:pPr>
              <w:spacing w:before="20" w:after="20"/>
              <w:jc w:val="right"/>
              <w:rPr>
                <w:rFonts w:cs="Arial"/>
                <w:color w:val="000000"/>
                <w:spacing w:val="2"/>
                <w:sz w:val="20"/>
                <w:szCs w:val="20"/>
                <w:lang w:eastAsia="en-US"/>
              </w:rPr>
            </w:pPr>
            <w:r w:rsidRPr="007B5FB0">
              <w:rPr>
                <w:rFonts w:cs="Arial"/>
                <w:color w:val="000000"/>
                <w:spacing w:val="2"/>
                <w:sz w:val="20"/>
                <w:szCs w:val="20"/>
                <w:lang w:eastAsia="en-US"/>
              </w:rPr>
              <w:t>3,427,46</w:t>
            </w:r>
            <w:r w:rsidR="006829CF">
              <w:rPr>
                <w:rFonts w:cs="Arial"/>
                <w:color w:val="000000"/>
                <w:spacing w:val="2"/>
                <w:sz w:val="20"/>
                <w:szCs w:val="20"/>
                <w:lang w:eastAsia="en-US"/>
              </w:rPr>
              <w:t>6</w:t>
            </w:r>
          </w:p>
        </w:tc>
        <w:tc>
          <w:tcPr>
            <w:tcW w:w="1304" w:type="dxa"/>
            <w:shd w:val="clear" w:color="auto" w:fill="EBEBEB"/>
            <w:hideMark/>
          </w:tcPr>
          <w:p w14:paraId="0A2E90C0" w14:textId="77777777" w:rsidR="0099606F" w:rsidRPr="007B5FB0" w:rsidRDefault="0099606F" w:rsidP="0071253F">
            <w:pPr>
              <w:spacing w:before="20" w:after="20"/>
              <w:jc w:val="right"/>
              <w:rPr>
                <w:rFonts w:cs="Arial"/>
                <w:color w:val="000000"/>
                <w:spacing w:val="2"/>
                <w:sz w:val="20"/>
                <w:szCs w:val="20"/>
                <w:lang w:eastAsia="en-US"/>
              </w:rPr>
            </w:pPr>
            <w:r w:rsidRPr="007B5FB0">
              <w:rPr>
                <w:rFonts w:cs="Arial"/>
                <w:color w:val="000000"/>
                <w:spacing w:val="2"/>
                <w:sz w:val="20"/>
                <w:szCs w:val="20"/>
                <w:lang w:eastAsia="en-US"/>
              </w:rPr>
              <w:t>3,166,137</w:t>
            </w:r>
          </w:p>
        </w:tc>
        <w:tc>
          <w:tcPr>
            <w:tcW w:w="1304" w:type="dxa"/>
            <w:shd w:val="clear" w:color="auto" w:fill="EBEBEB"/>
            <w:hideMark/>
          </w:tcPr>
          <w:p w14:paraId="3773BB84" w14:textId="77777777" w:rsidR="0099606F" w:rsidRPr="007B5FB0" w:rsidRDefault="0099606F" w:rsidP="0071253F">
            <w:pPr>
              <w:spacing w:before="20" w:after="20"/>
              <w:jc w:val="right"/>
              <w:rPr>
                <w:rFonts w:cs="Arial"/>
                <w:color w:val="000000"/>
                <w:spacing w:val="2"/>
                <w:sz w:val="20"/>
                <w:szCs w:val="20"/>
                <w:lang w:eastAsia="en-US"/>
              </w:rPr>
            </w:pPr>
            <w:r w:rsidRPr="007B5FB0">
              <w:rPr>
                <w:rFonts w:cs="Arial"/>
                <w:color w:val="000000"/>
                <w:spacing w:val="2"/>
                <w:sz w:val="20"/>
                <w:szCs w:val="20"/>
                <w:lang w:eastAsia="en-US"/>
              </w:rPr>
              <w:t>3,135,810</w:t>
            </w:r>
          </w:p>
        </w:tc>
        <w:tc>
          <w:tcPr>
            <w:tcW w:w="1304" w:type="dxa"/>
            <w:shd w:val="clear" w:color="auto" w:fill="EBEBEB"/>
            <w:hideMark/>
          </w:tcPr>
          <w:p w14:paraId="6DED7F68" w14:textId="77777777" w:rsidR="0099606F" w:rsidRPr="007B5FB0" w:rsidRDefault="0099606F" w:rsidP="0071253F">
            <w:pPr>
              <w:spacing w:before="20" w:after="20"/>
              <w:jc w:val="right"/>
              <w:rPr>
                <w:rFonts w:cs="Arial"/>
                <w:color w:val="000000"/>
                <w:spacing w:val="2"/>
                <w:sz w:val="20"/>
                <w:szCs w:val="20"/>
                <w:lang w:eastAsia="en-US"/>
              </w:rPr>
            </w:pPr>
            <w:r w:rsidRPr="007B5FB0">
              <w:rPr>
                <w:rFonts w:cs="Arial"/>
                <w:color w:val="000000"/>
                <w:spacing w:val="2"/>
                <w:sz w:val="20"/>
                <w:szCs w:val="20"/>
                <w:lang w:eastAsia="en-US"/>
              </w:rPr>
              <w:t>3,263,880</w:t>
            </w:r>
          </w:p>
        </w:tc>
        <w:tc>
          <w:tcPr>
            <w:tcW w:w="1304" w:type="dxa"/>
            <w:shd w:val="clear" w:color="auto" w:fill="EBEBEB"/>
            <w:hideMark/>
          </w:tcPr>
          <w:p w14:paraId="4B3DAB6C" w14:textId="77777777" w:rsidR="0099606F" w:rsidRPr="007B5FB0" w:rsidRDefault="0099606F" w:rsidP="0071253F">
            <w:pPr>
              <w:spacing w:before="20" w:after="20"/>
              <w:jc w:val="right"/>
              <w:rPr>
                <w:rFonts w:cs="Arial"/>
                <w:color w:val="000000"/>
                <w:spacing w:val="2"/>
                <w:sz w:val="20"/>
                <w:szCs w:val="20"/>
                <w:lang w:eastAsia="en-US"/>
              </w:rPr>
            </w:pPr>
            <w:r w:rsidRPr="007B5FB0">
              <w:rPr>
                <w:rFonts w:cs="Arial"/>
                <w:color w:val="000000"/>
                <w:spacing w:val="2"/>
                <w:sz w:val="20"/>
                <w:szCs w:val="20"/>
                <w:lang w:eastAsia="en-US"/>
              </w:rPr>
              <w:t>3,663,326</w:t>
            </w:r>
          </w:p>
        </w:tc>
      </w:tr>
      <w:tr w:rsidR="0099606F" w:rsidRPr="007B5FB0" w14:paraId="0AA15297" w14:textId="77777777" w:rsidTr="0071253F">
        <w:trPr>
          <w:cantSplit/>
          <w:trHeight w:val="365"/>
        </w:trPr>
        <w:tc>
          <w:tcPr>
            <w:tcW w:w="3141" w:type="dxa"/>
            <w:shd w:val="clear" w:color="auto" w:fill="FFFFFF"/>
            <w:hideMark/>
          </w:tcPr>
          <w:p w14:paraId="731DB843" w14:textId="77777777" w:rsidR="0099606F" w:rsidRPr="007B5FB0" w:rsidRDefault="0099606F" w:rsidP="0071253F">
            <w:pPr>
              <w:spacing w:before="20" w:after="20"/>
              <w:ind w:left="170" w:hanging="170"/>
              <w:rPr>
                <w:rFonts w:cs="Arial"/>
                <w:color w:val="000000"/>
                <w:spacing w:val="2"/>
                <w:sz w:val="20"/>
                <w:szCs w:val="20"/>
                <w:lang w:eastAsia="en-US"/>
              </w:rPr>
            </w:pPr>
            <w:r w:rsidRPr="007B5FB0">
              <w:rPr>
                <w:rFonts w:cs="Arial"/>
                <w:color w:val="000000"/>
                <w:spacing w:val="2"/>
                <w:sz w:val="20"/>
                <w:szCs w:val="20"/>
                <w:lang w:eastAsia="en-US"/>
              </w:rPr>
              <w:t>Total liabilities</w:t>
            </w:r>
          </w:p>
        </w:tc>
        <w:tc>
          <w:tcPr>
            <w:tcW w:w="1304" w:type="dxa"/>
            <w:shd w:val="clear" w:color="auto" w:fill="FFFFFF"/>
            <w:hideMark/>
          </w:tcPr>
          <w:p w14:paraId="5632D79A" w14:textId="39DB7441" w:rsidR="0099606F" w:rsidRPr="007B5FB0" w:rsidRDefault="0099606F" w:rsidP="006829CF">
            <w:pPr>
              <w:spacing w:before="20" w:after="20"/>
              <w:jc w:val="right"/>
              <w:rPr>
                <w:rFonts w:cs="Arial"/>
                <w:color w:val="000000"/>
                <w:spacing w:val="2"/>
                <w:sz w:val="20"/>
                <w:szCs w:val="20"/>
                <w:lang w:eastAsia="en-US"/>
              </w:rPr>
            </w:pPr>
            <w:r w:rsidRPr="007B5FB0">
              <w:rPr>
                <w:rFonts w:cs="Arial"/>
                <w:color w:val="000000"/>
                <w:spacing w:val="2"/>
                <w:sz w:val="20"/>
                <w:szCs w:val="20"/>
                <w:lang w:eastAsia="en-US"/>
              </w:rPr>
              <w:t>1,902,31</w:t>
            </w:r>
            <w:r w:rsidR="006829CF">
              <w:rPr>
                <w:rFonts w:cs="Arial"/>
                <w:color w:val="000000"/>
                <w:spacing w:val="2"/>
                <w:sz w:val="20"/>
                <w:szCs w:val="20"/>
                <w:lang w:eastAsia="en-US"/>
              </w:rPr>
              <w:t>8</w:t>
            </w:r>
          </w:p>
        </w:tc>
        <w:tc>
          <w:tcPr>
            <w:tcW w:w="1304" w:type="dxa"/>
            <w:shd w:val="clear" w:color="auto" w:fill="FFFFFF"/>
            <w:hideMark/>
          </w:tcPr>
          <w:p w14:paraId="7786131F" w14:textId="77777777" w:rsidR="0099606F" w:rsidRPr="007B5FB0" w:rsidRDefault="0099606F" w:rsidP="0071253F">
            <w:pPr>
              <w:spacing w:before="20" w:after="20"/>
              <w:jc w:val="right"/>
              <w:rPr>
                <w:rFonts w:cs="Arial"/>
                <w:color w:val="000000"/>
                <w:spacing w:val="2"/>
                <w:sz w:val="20"/>
                <w:szCs w:val="20"/>
                <w:lang w:eastAsia="en-US"/>
              </w:rPr>
            </w:pPr>
            <w:r w:rsidRPr="007B5FB0">
              <w:rPr>
                <w:rFonts w:cs="Arial"/>
                <w:color w:val="000000"/>
                <w:spacing w:val="2"/>
                <w:sz w:val="20"/>
                <w:szCs w:val="20"/>
                <w:lang w:eastAsia="en-US"/>
              </w:rPr>
              <w:t>1,687,782</w:t>
            </w:r>
          </w:p>
        </w:tc>
        <w:tc>
          <w:tcPr>
            <w:tcW w:w="1304" w:type="dxa"/>
            <w:shd w:val="clear" w:color="auto" w:fill="FFFFFF"/>
            <w:hideMark/>
          </w:tcPr>
          <w:p w14:paraId="6D9886D8" w14:textId="77777777" w:rsidR="0099606F" w:rsidRPr="007B5FB0" w:rsidRDefault="0099606F" w:rsidP="0071253F">
            <w:pPr>
              <w:spacing w:before="20" w:after="20"/>
              <w:jc w:val="right"/>
              <w:rPr>
                <w:rFonts w:cs="Arial"/>
                <w:color w:val="000000"/>
                <w:spacing w:val="2"/>
                <w:sz w:val="20"/>
                <w:szCs w:val="20"/>
                <w:lang w:eastAsia="en-US"/>
              </w:rPr>
            </w:pPr>
            <w:r w:rsidRPr="007B5FB0">
              <w:rPr>
                <w:rFonts w:cs="Arial"/>
                <w:color w:val="000000"/>
                <w:spacing w:val="2"/>
                <w:sz w:val="20"/>
                <w:szCs w:val="20"/>
                <w:lang w:eastAsia="en-US"/>
              </w:rPr>
              <w:t>1,670,835</w:t>
            </w:r>
          </w:p>
        </w:tc>
        <w:tc>
          <w:tcPr>
            <w:tcW w:w="1304" w:type="dxa"/>
            <w:shd w:val="clear" w:color="auto" w:fill="FFFFFF"/>
            <w:hideMark/>
          </w:tcPr>
          <w:p w14:paraId="0F79EC9B" w14:textId="77777777" w:rsidR="0099606F" w:rsidRPr="007B5FB0" w:rsidRDefault="0099606F" w:rsidP="0071253F">
            <w:pPr>
              <w:spacing w:before="20" w:after="20"/>
              <w:jc w:val="right"/>
              <w:rPr>
                <w:rFonts w:cs="Arial"/>
                <w:color w:val="000000"/>
                <w:spacing w:val="2"/>
                <w:sz w:val="20"/>
                <w:szCs w:val="20"/>
                <w:lang w:eastAsia="en-US"/>
              </w:rPr>
            </w:pPr>
            <w:r w:rsidRPr="007B5FB0">
              <w:rPr>
                <w:rFonts w:cs="Arial"/>
                <w:color w:val="000000"/>
                <w:spacing w:val="2"/>
                <w:sz w:val="20"/>
                <w:szCs w:val="20"/>
                <w:lang w:eastAsia="en-US"/>
              </w:rPr>
              <w:t>1,572,672</w:t>
            </w:r>
          </w:p>
        </w:tc>
        <w:tc>
          <w:tcPr>
            <w:tcW w:w="1304" w:type="dxa"/>
            <w:shd w:val="clear" w:color="auto" w:fill="FFFFFF"/>
            <w:hideMark/>
          </w:tcPr>
          <w:p w14:paraId="5376AB95" w14:textId="77777777" w:rsidR="0099606F" w:rsidRPr="007B5FB0" w:rsidRDefault="0099606F" w:rsidP="0071253F">
            <w:pPr>
              <w:spacing w:before="20" w:after="20"/>
              <w:jc w:val="right"/>
              <w:rPr>
                <w:rFonts w:cs="Arial"/>
                <w:color w:val="000000"/>
                <w:spacing w:val="2"/>
                <w:sz w:val="20"/>
                <w:szCs w:val="20"/>
                <w:lang w:eastAsia="en-US"/>
              </w:rPr>
            </w:pPr>
            <w:r w:rsidRPr="007B5FB0">
              <w:rPr>
                <w:rFonts w:cs="Arial"/>
                <w:color w:val="000000"/>
                <w:spacing w:val="2"/>
                <w:sz w:val="20"/>
                <w:szCs w:val="20"/>
                <w:lang w:eastAsia="en-US"/>
              </w:rPr>
              <w:t>1,341,528</w:t>
            </w:r>
          </w:p>
        </w:tc>
      </w:tr>
    </w:tbl>
    <w:p w14:paraId="69EA2E10" w14:textId="77777777" w:rsidR="0099606F" w:rsidRPr="007B5FB0" w:rsidRDefault="0099606F" w:rsidP="0099606F">
      <w:pPr>
        <w:pStyle w:val="VEOHRCHeading1"/>
      </w:pPr>
      <w:bookmarkStart w:id="28" w:name="_Toc524536483"/>
      <w:bookmarkEnd w:id="24"/>
      <w:r w:rsidRPr="007B5FB0">
        <w:t>Current year financial review</w:t>
      </w:r>
      <w:bookmarkEnd w:id="25"/>
      <w:bookmarkEnd w:id="28"/>
    </w:p>
    <w:p w14:paraId="57F61964" w14:textId="25ADF709" w:rsidR="0099606F" w:rsidRPr="007B5FB0" w:rsidRDefault="0099606F" w:rsidP="0099606F">
      <w:pPr>
        <w:pStyle w:val="VEOHRCBodytext"/>
        <w:rPr>
          <w:b/>
          <w:bCs/>
          <w:lang w:eastAsia="en-US"/>
        </w:rPr>
      </w:pPr>
      <w:r w:rsidRPr="007B5FB0">
        <w:rPr>
          <w:lang w:eastAsia="en-US"/>
        </w:rPr>
        <w:t>A summary of the Victorian Equal Opportunity and Human Rights Commission's financial performance in 201</w:t>
      </w:r>
      <w:r w:rsidR="008D6268">
        <w:rPr>
          <w:lang w:eastAsia="en-US"/>
        </w:rPr>
        <w:t>7–</w:t>
      </w:r>
      <w:r w:rsidRPr="007B5FB0">
        <w:rPr>
          <w:lang w:eastAsia="en-US"/>
        </w:rPr>
        <w:t>18 is shown below. Full financial details for 201</w:t>
      </w:r>
      <w:r w:rsidR="008D6268">
        <w:rPr>
          <w:lang w:eastAsia="en-US"/>
        </w:rPr>
        <w:t>7–</w:t>
      </w:r>
      <w:r w:rsidRPr="007B5FB0">
        <w:rPr>
          <w:lang w:eastAsia="en-US"/>
        </w:rPr>
        <w:t>18 are outlined in the Financial Statements.</w:t>
      </w:r>
    </w:p>
    <w:p w14:paraId="1738FBA7" w14:textId="77777777" w:rsidR="0099606F" w:rsidRPr="007B5FB0" w:rsidRDefault="0099606F" w:rsidP="0099606F">
      <w:pPr>
        <w:pStyle w:val="VEOHRCBodytext"/>
        <w:rPr>
          <w:b/>
          <w:bCs/>
          <w:lang w:eastAsia="en-US"/>
        </w:rPr>
      </w:pPr>
      <w:r w:rsidRPr="007B5FB0">
        <w:rPr>
          <w:lang w:eastAsia="en-US"/>
        </w:rPr>
        <w:t>The Victorian Government considers the net result from transactions to be the appropriate measure of financial management that can be directly attributed to government policy. This measure excludes the effects of revaluations (holding gains or losses) arising from changes in market prices and other changes in the volume of assets shown under 'other economic flows' on the comprehensive operating statement, which are outside the control of the Commission.</w:t>
      </w:r>
    </w:p>
    <w:p w14:paraId="001B05D8" w14:textId="537F163D" w:rsidR="0099606F" w:rsidRPr="007B5FB0" w:rsidRDefault="0099606F" w:rsidP="0099606F">
      <w:pPr>
        <w:pStyle w:val="VEOHRCBodytext"/>
        <w:rPr>
          <w:lang w:eastAsia="en-US"/>
        </w:rPr>
      </w:pPr>
      <w:r w:rsidRPr="007B5FB0">
        <w:rPr>
          <w:lang w:eastAsia="en-US"/>
        </w:rPr>
        <w:t>In 201</w:t>
      </w:r>
      <w:r w:rsidR="008D6268">
        <w:rPr>
          <w:lang w:eastAsia="en-US"/>
        </w:rPr>
        <w:t>7–</w:t>
      </w:r>
      <w:r w:rsidRPr="007B5FB0">
        <w:rPr>
          <w:lang w:eastAsia="en-US"/>
        </w:rPr>
        <w:t>18 the Commission reported a positive net result from transactions of $32,422, an increase of $8,017 from the previous financial year. Both total income and total expenses have steadily increased since 2014/15 predominantly because of the review work undertaken by the Commission. The Commission continues to generate additional revenue from its education and training function.</w:t>
      </w:r>
    </w:p>
    <w:p w14:paraId="27BBF095" w14:textId="77777777" w:rsidR="0099606F" w:rsidRPr="007B5FB0" w:rsidRDefault="0099606F" w:rsidP="0099606F">
      <w:pPr>
        <w:pStyle w:val="VEOHRCBodytext"/>
        <w:rPr>
          <w:lang w:eastAsia="en-US"/>
        </w:rPr>
      </w:pPr>
      <w:r w:rsidRPr="007B5FB0">
        <w:rPr>
          <w:lang w:eastAsia="en-US"/>
        </w:rPr>
        <w:t>The overall net result of $46,792 is a significant turnaround from the negative results in previous years.</w:t>
      </w:r>
    </w:p>
    <w:p w14:paraId="7009580C" w14:textId="77777777" w:rsidR="0099606F" w:rsidRPr="007B5FB0" w:rsidRDefault="0099606F" w:rsidP="0099606F">
      <w:pPr>
        <w:pStyle w:val="VEOHRCBodytext"/>
        <w:rPr>
          <w:lang w:eastAsia="en-US"/>
        </w:rPr>
      </w:pPr>
      <w:r w:rsidRPr="007B5FB0">
        <w:rPr>
          <w:lang w:eastAsia="en-US"/>
        </w:rPr>
        <w:t>Total net assets has grown marginally over the last three years as a result of minor increases in the total asset base.</w:t>
      </w:r>
    </w:p>
    <w:p w14:paraId="3183BD5F" w14:textId="02A77376" w:rsidR="0099606F" w:rsidRPr="007B5FB0" w:rsidRDefault="0099606F" w:rsidP="0099606F">
      <w:pPr>
        <w:pStyle w:val="VEOHRCBodytext"/>
        <w:rPr>
          <w:lang w:eastAsia="en-US"/>
        </w:rPr>
      </w:pPr>
      <w:r w:rsidRPr="007B5FB0">
        <w:rPr>
          <w:lang w:eastAsia="en-US"/>
        </w:rPr>
        <w:t>Net cash inflows from operating activities have varied over the past five years partly as a result of changes in provisions for employee entitlements, accruals and receivables. There was also a receipt of one hundred thousand dollars in 201</w:t>
      </w:r>
      <w:r w:rsidR="008D6268">
        <w:rPr>
          <w:lang w:eastAsia="en-US"/>
        </w:rPr>
        <w:t>7–</w:t>
      </w:r>
      <w:r w:rsidRPr="007B5FB0">
        <w:rPr>
          <w:lang w:eastAsia="en-US"/>
        </w:rPr>
        <w:t>18 from the Department of Premier and Cabinet to commence work on the Government's Anti-Racism Action Plan.</w:t>
      </w:r>
    </w:p>
    <w:p w14:paraId="2604A67A" w14:textId="77777777" w:rsidR="0099606F" w:rsidRPr="007B5FB0" w:rsidRDefault="0099606F" w:rsidP="0099606F">
      <w:pPr>
        <w:pStyle w:val="VEOHRCHeading3"/>
        <w:rPr>
          <w:lang w:eastAsia="en-US"/>
        </w:rPr>
      </w:pPr>
      <w:r w:rsidRPr="007B5FB0">
        <w:rPr>
          <w:lang w:eastAsia="en-US"/>
        </w:rPr>
        <w:lastRenderedPageBreak/>
        <w:t>Financial Performance</w:t>
      </w:r>
    </w:p>
    <w:p w14:paraId="1B735C4E" w14:textId="633D4D69" w:rsidR="0099606F" w:rsidRPr="007B5FB0" w:rsidRDefault="0099606F" w:rsidP="0099606F">
      <w:pPr>
        <w:pStyle w:val="VEOHRCBodytext"/>
        <w:rPr>
          <w:lang w:eastAsia="en-US"/>
        </w:rPr>
      </w:pPr>
      <w:r w:rsidRPr="007B5FB0">
        <w:rPr>
          <w:lang w:eastAsia="en-US"/>
        </w:rPr>
        <w:t>Income from Government has increased significantly since 201</w:t>
      </w:r>
      <w:r w:rsidR="008D6268">
        <w:rPr>
          <w:lang w:eastAsia="en-US"/>
        </w:rPr>
        <w:t>5–</w:t>
      </w:r>
      <w:r w:rsidRPr="007B5FB0">
        <w:rPr>
          <w:lang w:eastAsia="en-US"/>
        </w:rPr>
        <w:t>16. This is due to funding for the Independent Review into sex discrimination and sexual harassment, including predatory behaviour in Victoria Police and Equity and Diversity review of Victoria's Country Fire Authority and Metropolitan Fire Brigade. In 201</w:t>
      </w:r>
      <w:r w:rsidR="008D6268">
        <w:rPr>
          <w:lang w:eastAsia="en-US"/>
        </w:rPr>
        <w:t>6–</w:t>
      </w:r>
      <w:r w:rsidRPr="007B5FB0">
        <w:rPr>
          <w:lang w:eastAsia="en-US"/>
        </w:rPr>
        <w:t>17 the Commission also engaged in an education program on the Charter of Human Rights in the Victorian Public Service which has continued into 201</w:t>
      </w:r>
      <w:r w:rsidR="008D6268">
        <w:rPr>
          <w:lang w:eastAsia="en-US"/>
        </w:rPr>
        <w:t>7–</w:t>
      </w:r>
      <w:r w:rsidRPr="007B5FB0">
        <w:rPr>
          <w:lang w:eastAsia="en-US"/>
        </w:rPr>
        <w:t>18. There has been a corresponding increase in expenditure during this period.</w:t>
      </w:r>
    </w:p>
    <w:p w14:paraId="33A8E8D7" w14:textId="77777777" w:rsidR="0099606F" w:rsidRPr="007B5FB0" w:rsidRDefault="0099606F" w:rsidP="0099606F">
      <w:pPr>
        <w:pStyle w:val="VEOHRCHeading3"/>
        <w:rPr>
          <w:lang w:eastAsia="en-US"/>
        </w:rPr>
      </w:pPr>
      <w:r w:rsidRPr="007B5FB0">
        <w:rPr>
          <w:lang w:eastAsia="en-US"/>
        </w:rPr>
        <w:t>Financial position - balance sheet</w:t>
      </w:r>
      <w:r w:rsidRPr="007B5FB0">
        <w:rPr>
          <w:lang w:eastAsia="en-US"/>
        </w:rPr>
        <w:tab/>
      </w:r>
    </w:p>
    <w:p w14:paraId="71F94509" w14:textId="5A572644" w:rsidR="0099606F" w:rsidRPr="007B5FB0" w:rsidRDefault="0099606F" w:rsidP="0099606F">
      <w:pPr>
        <w:pStyle w:val="VEOHRCBodytext"/>
        <w:rPr>
          <w:lang w:eastAsia="en-US"/>
        </w:rPr>
      </w:pPr>
      <w:r w:rsidRPr="007B5FB0">
        <w:rPr>
          <w:lang w:eastAsia="en-US"/>
        </w:rPr>
        <w:t>Total assets increased by $261,32</w:t>
      </w:r>
      <w:r w:rsidR="006829CF">
        <w:rPr>
          <w:lang w:eastAsia="en-US"/>
        </w:rPr>
        <w:t>9</w:t>
      </w:r>
      <w:r w:rsidRPr="007B5FB0">
        <w:rPr>
          <w:lang w:eastAsia="en-US"/>
        </w:rPr>
        <w:t xml:space="preserve"> over the year mainly due to an increase of $338,49</w:t>
      </w:r>
      <w:r w:rsidR="006829CF">
        <w:rPr>
          <w:lang w:eastAsia="en-US"/>
        </w:rPr>
        <w:t>5</w:t>
      </w:r>
      <w:r w:rsidRPr="007B5FB0">
        <w:rPr>
          <w:lang w:eastAsia="en-US"/>
        </w:rPr>
        <w:t xml:space="preserve"> in financial assets, offset by a reduction of $77,166 in non-financial assets. The increase in financial assets is due to an increase in cash and receivables. The cash increase is mainly due to the receipt of $100,000 from the Victorian Multicultural Commission (Multicultural Affairs and Social Cohesion division) under the Department of Premier and Cabinet for the Government's Ant-Racism Action Plan and the Commission's Reducing Racism strategic priority. The increase in receivables are of a statutory nature and represent funding for all commitments incurred and are drawn from the Consolidated Fund as the commitments fall due.</w:t>
      </w:r>
    </w:p>
    <w:p w14:paraId="02DA6EAC" w14:textId="2AD1863F" w:rsidR="0099606F" w:rsidRPr="007B5FB0" w:rsidRDefault="0099606F" w:rsidP="0099606F">
      <w:pPr>
        <w:pStyle w:val="VEOHRCBodytext"/>
        <w:rPr>
          <w:lang w:eastAsia="en-US"/>
        </w:rPr>
      </w:pPr>
      <w:r w:rsidRPr="007B5FB0">
        <w:rPr>
          <w:lang w:eastAsia="en-US"/>
        </w:rPr>
        <w:t xml:space="preserve">Total non-financial assets decreased due to the decrease in the net book value </w:t>
      </w:r>
      <w:r w:rsidR="00A72ADF">
        <w:rPr>
          <w:lang w:eastAsia="en-US"/>
        </w:rPr>
        <w:t xml:space="preserve">of </w:t>
      </w:r>
      <w:r w:rsidR="0071253F">
        <w:rPr>
          <w:lang w:eastAsia="en-US"/>
        </w:rPr>
        <w:t>w</w:t>
      </w:r>
      <w:r w:rsidRPr="007B5FB0">
        <w:rPr>
          <w:lang w:eastAsia="en-US"/>
        </w:rPr>
        <w:t>intangible assets and plant and equipment.</w:t>
      </w:r>
    </w:p>
    <w:p w14:paraId="10D46E77" w14:textId="77777777" w:rsidR="0099606F" w:rsidRPr="007B5FB0" w:rsidRDefault="0099606F" w:rsidP="0099606F">
      <w:pPr>
        <w:pStyle w:val="VEOHRCBodytext"/>
        <w:rPr>
          <w:lang w:eastAsia="en-US"/>
        </w:rPr>
      </w:pPr>
      <w:r w:rsidRPr="007B5FB0">
        <w:rPr>
          <w:lang w:eastAsia="en-US"/>
        </w:rPr>
        <w:t>Total liabilities increased mainly due to increased payables resulting from creditors and accrued expenses.</w:t>
      </w:r>
    </w:p>
    <w:p w14:paraId="409E84A1" w14:textId="77777777" w:rsidR="0099606F" w:rsidRPr="007B5FB0" w:rsidRDefault="0099606F" w:rsidP="0099606F">
      <w:pPr>
        <w:pStyle w:val="VEOHRCHeading3"/>
        <w:rPr>
          <w:lang w:eastAsia="en-US"/>
        </w:rPr>
      </w:pPr>
      <w:r w:rsidRPr="007B5FB0">
        <w:rPr>
          <w:lang w:eastAsia="en-US"/>
        </w:rPr>
        <w:t>Cash Flows</w:t>
      </w:r>
    </w:p>
    <w:p w14:paraId="1C52E437" w14:textId="6FEBDD4B" w:rsidR="0099606F" w:rsidRPr="007B5FB0" w:rsidRDefault="0099606F" w:rsidP="0099606F">
      <w:pPr>
        <w:pStyle w:val="VEOHRCBodytext"/>
        <w:rPr>
          <w:lang w:eastAsia="en-US"/>
        </w:rPr>
      </w:pPr>
      <w:r w:rsidRPr="007B5FB0">
        <w:rPr>
          <w:lang w:eastAsia="en-US"/>
        </w:rPr>
        <w:t>The total cash surplus of $107,831 for the 201</w:t>
      </w:r>
      <w:r w:rsidR="008D6268">
        <w:rPr>
          <w:lang w:eastAsia="en-US"/>
        </w:rPr>
        <w:t>7–</w:t>
      </w:r>
      <w:r w:rsidRPr="007B5FB0">
        <w:rPr>
          <w:lang w:eastAsia="en-US"/>
        </w:rPr>
        <w:t>18 financial year was the result of a net cash inflow of $1</w:t>
      </w:r>
      <w:r w:rsidR="006829CF">
        <w:rPr>
          <w:lang w:eastAsia="en-US"/>
        </w:rPr>
        <w:t>29</w:t>
      </w:r>
      <w:r w:rsidRPr="007B5FB0">
        <w:rPr>
          <w:lang w:eastAsia="en-US"/>
        </w:rPr>
        <w:t>,</w:t>
      </w:r>
      <w:r w:rsidR="006829CF">
        <w:rPr>
          <w:lang w:eastAsia="en-US"/>
        </w:rPr>
        <w:t>703</w:t>
      </w:r>
      <w:r w:rsidRPr="007B5FB0">
        <w:rPr>
          <w:lang w:eastAsia="en-US"/>
        </w:rPr>
        <w:t xml:space="preserve"> for operating activities driven by increased cash funding from Government. The net cash outflow from investing activities was $16,82</w:t>
      </w:r>
      <w:r w:rsidR="006829CF">
        <w:rPr>
          <w:lang w:eastAsia="en-US"/>
        </w:rPr>
        <w:t>6</w:t>
      </w:r>
      <w:r w:rsidRPr="007B5FB0">
        <w:rPr>
          <w:lang w:eastAsia="en-US"/>
        </w:rPr>
        <w:t xml:space="preserve"> representing a decrease of $16,89</w:t>
      </w:r>
      <w:r w:rsidR="006829CF">
        <w:rPr>
          <w:lang w:eastAsia="en-US"/>
        </w:rPr>
        <w:t>9</w:t>
      </w:r>
      <w:r w:rsidRPr="007B5FB0">
        <w:rPr>
          <w:lang w:eastAsia="en-US"/>
        </w:rPr>
        <w:t xml:space="preserve"> from the previous year. This is due to the disposal of a motor vehicle and the purchase of a new one. In 201</w:t>
      </w:r>
      <w:r w:rsidR="008D6268">
        <w:rPr>
          <w:lang w:eastAsia="en-US"/>
        </w:rPr>
        <w:t>6–</w:t>
      </w:r>
      <w:r w:rsidRPr="007B5FB0">
        <w:rPr>
          <w:lang w:eastAsia="en-US"/>
        </w:rPr>
        <w:t>17 a new one was purchased with no disposals.</w:t>
      </w:r>
    </w:p>
    <w:p w14:paraId="3309CFA6" w14:textId="77777777" w:rsidR="0099606F" w:rsidRPr="007B5FB0" w:rsidRDefault="0099606F" w:rsidP="0099606F">
      <w:pPr>
        <w:pStyle w:val="VEOHRCBodytext"/>
        <w:rPr>
          <w:lang w:eastAsia="en-US"/>
        </w:rPr>
      </w:pPr>
      <w:r w:rsidRPr="007B5FB0">
        <w:rPr>
          <w:lang w:eastAsia="en-US"/>
        </w:rPr>
        <w:t>Net cash outflows from financing activities was $5044 resulting from the repayment of finance lease liabilities in respect of motor vehicles.</w:t>
      </w:r>
    </w:p>
    <w:p w14:paraId="7F1EBC38" w14:textId="1C340BE9" w:rsidR="0099606F" w:rsidRPr="007B5FB0" w:rsidRDefault="0099606F" w:rsidP="0099606F">
      <w:pPr>
        <w:pStyle w:val="VEOHRCHeading1"/>
      </w:pPr>
      <w:bookmarkStart w:id="29" w:name="INDEX_OHS_policies"/>
      <w:bookmarkStart w:id="30" w:name="_Toc477967493"/>
      <w:bookmarkStart w:id="31" w:name="_Toc524536484"/>
      <w:bookmarkEnd w:id="26"/>
      <w:bookmarkEnd w:id="27"/>
      <w:r w:rsidRPr="007B5FB0">
        <w:t xml:space="preserve">Occupational </w:t>
      </w:r>
      <w:bookmarkEnd w:id="29"/>
      <w:r w:rsidRPr="007B5FB0">
        <w:t>health and safety</w:t>
      </w:r>
      <w:bookmarkEnd w:id="30"/>
      <w:bookmarkEnd w:id="31"/>
      <w:r w:rsidRPr="007B5FB0">
        <w:t xml:space="preserve"> </w:t>
      </w:r>
    </w:p>
    <w:p w14:paraId="59279B6A" w14:textId="77777777" w:rsidR="0099606F" w:rsidRPr="007B5FB0" w:rsidRDefault="0099606F" w:rsidP="0099606F">
      <w:pPr>
        <w:pStyle w:val="VEOHRCBodytext"/>
      </w:pPr>
      <w:r w:rsidRPr="007B5FB0">
        <w:t>The goal of the Commission’s occupational health and safety (OH&amp;S) arrangements is to ensure all staff remain safe and healthy at work. The Commission uses the Department of Justice and Regulation Accident Information Reporting System (AIRS) to manage and monitor incidents that have OH&amp;S implications.</w:t>
      </w:r>
    </w:p>
    <w:p w14:paraId="5F822113" w14:textId="379BDC24" w:rsidR="0099606F" w:rsidRPr="007B5FB0" w:rsidRDefault="0099606F" w:rsidP="0099606F">
      <w:pPr>
        <w:pStyle w:val="VEOHRCBodytext"/>
      </w:pPr>
      <w:r w:rsidRPr="007B5FB0">
        <w:t>The Commission also has its own local Incident Management Team (IMT) and Incident Management Plan aimed at enhancing workplace safety and security, and for ensuring safe systems of work.  During the 2017</w:t>
      </w:r>
      <w:r w:rsidR="008D6268">
        <w:t>–</w:t>
      </w:r>
      <w:r w:rsidRPr="007B5FB0">
        <w:t>18 financial year, the Commission reviewed its Incident Management Plan to improve the health and safety of staff.</w:t>
      </w:r>
    </w:p>
    <w:p w14:paraId="1E3BC180" w14:textId="77777777" w:rsidR="0099606F" w:rsidRPr="007B5FB0" w:rsidRDefault="0099606F" w:rsidP="0099606F">
      <w:pPr>
        <w:pStyle w:val="VEOHRCBodytext"/>
      </w:pPr>
      <w:r w:rsidRPr="007B5FB0">
        <w:t>The Commission has very few OH&amp;S incidents each year. However, after any incident and in each debriefing, the IMT assesses whether there are or could be any OH&amp;S implications, and takes action accordingly. The following OH&amp;S incident and injury statistics come from the departmental Accident Information Reporting System.</w:t>
      </w:r>
    </w:p>
    <w:tbl>
      <w:tblPr>
        <w:tblW w:w="8539" w:type="dxa"/>
        <w:tblInd w:w="108" w:type="dxa"/>
        <w:tblLook w:val="04A0" w:firstRow="1" w:lastRow="0" w:firstColumn="1" w:lastColumn="0" w:noHBand="0" w:noVBand="1"/>
      </w:tblPr>
      <w:tblGrid>
        <w:gridCol w:w="4536"/>
        <w:gridCol w:w="1310"/>
        <w:gridCol w:w="1276"/>
        <w:gridCol w:w="1417"/>
      </w:tblGrid>
      <w:tr w:rsidR="0099606F" w:rsidRPr="007B5FB0" w14:paraId="4409F483" w14:textId="77777777" w:rsidTr="008D6268">
        <w:trPr>
          <w:trHeight w:val="255"/>
        </w:trPr>
        <w:tc>
          <w:tcPr>
            <w:tcW w:w="4536" w:type="dxa"/>
            <w:tcBorders>
              <w:top w:val="nil"/>
              <w:left w:val="nil"/>
              <w:bottom w:val="nil"/>
              <w:right w:val="nil"/>
            </w:tcBorders>
            <w:shd w:val="clear" w:color="auto" w:fill="auto"/>
            <w:noWrap/>
            <w:vAlign w:val="bottom"/>
            <w:hideMark/>
          </w:tcPr>
          <w:p w14:paraId="757B1F0B" w14:textId="4EE6ACA9" w:rsidR="0099606F" w:rsidRPr="007B5FB0" w:rsidRDefault="0099606F" w:rsidP="0071253F">
            <w:pPr>
              <w:pStyle w:val="VEOHRCHeading3"/>
            </w:pPr>
            <w:r w:rsidRPr="007B5FB0">
              <w:lastRenderedPageBreak/>
              <w:t>VEOHRC AIRS Statistics</w:t>
            </w:r>
          </w:p>
        </w:tc>
        <w:tc>
          <w:tcPr>
            <w:tcW w:w="1310" w:type="dxa"/>
            <w:tcBorders>
              <w:top w:val="single" w:sz="4" w:space="0" w:color="auto"/>
              <w:left w:val="single" w:sz="4" w:space="0" w:color="auto"/>
              <w:bottom w:val="single" w:sz="4" w:space="0" w:color="auto"/>
              <w:right w:val="nil"/>
            </w:tcBorders>
            <w:shd w:val="clear" w:color="auto" w:fill="auto"/>
            <w:noWrap/>
            <w:vAlign w:val="bottom"/>
            <w:hideMark/>
          </w:tcPr>
          <w:p w14:paraId="0F62D725" w14:textId="04E18A45" w:rsidR="0099606F" w:rsidRPr="007B5FB0" w:rsidRDefault="0099606F" w:rsidP="0071253F">
            <w:pPr>
              <w:pStyle w:val="VEOHRCBodytext"/>
            </w:pPr>
            <w:r w:rsidRPr="007B5FB0">
              <w:t>2015</w:t>
            </w:r>
            <w:r w:rsidR="008D6268">
              <w:t>–</w:t>
            </w:r>
            <w:r w:rsidRPr="007B5FB0">
              <w:t>16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45A84" w14:textId="72CACC47" w:rsidR="0099606F" w:rsidRPr="007B5FB0" w:rsidRDefault="008D6268" w:rsidP="0071253F">
            <w:pPr>
              <w:pStyle w:val="VEOHRCBodytext"/>
            </w:pPr>
            <w:r>
              <w:t>2016–</w:t>
            </w:r>
            <w:r w:rsidR="0099606F" w:rsidRPr="007B5FB0">
              <w:t>17</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C715D03" w14:textId="43BBA40C" w:rsidR="0099606F" w:rsidRPr="007B5FB0" w:rsidRDefault="0099606F" w:rsidP="008D6268">
            <w:pPr>
              <w:pStyle w:val="VEOHRCBodytext"/>
            </w:pPr>
            <w:r w:rsidRPr="007B5FB0">
              <w:t>2017</w:t>
            </w:r>
            <w:r w:rsidR="008D6268">
              <w:t>–</w:t>
            </w:r>
            <w:r w:rsidRPr="007B5FB0">
              <w:t>18</w:t>
            </w:r>
          </w:p>
        </w:tc>
      </w:tr>
      <w:tr w:rsidR="0099606F" w:rsidRPr="007B5FB0" w14:paraId="76687A11" w14:textId="77777777" w:rsidTr="008D6268">
        <w:trPr>
          <w:trHeight w:val="255"/>
        </w:trPr>
        <w:tc>
          <w:tcPr>
            <w:tcW w:w="4536" w:type="dxa"/>
            <w:tcBorders>
              <w:top w:val="single" w:sz="4" w:space="0" w:color="auto"/>
              <w:left w:val="single" w:sz="4" w:space="0" w:color="auto"/>
              <w:bottom w:val="single" w:sz="4" w:space="0" w:color="auto"/>
              <w:right w:val="nil"/>
            </w:tcBorders>
            <w:shd w:val="clear" w:color="auto" w:fill="auto"/>
            <w:noWrap/>
            <w:vAlign w:val="center"/>
            <w:hideMark/>
          </w:tcPr>
          <w:p w14:paraId="4CF616D0" w14:textId="77777777" w:rsidR="0099606F" w:rsidRPr="007B5FB0" w:rsidRDefault="0099606F" w:rsidP="0071253F">
            <w:pPr>
              <w:pStyle w:val="VEOHRCBodytext"/>
            </w:pPr>
            <w:r w:rsidRPr="007B5FB0">
              <w:t>Incidents *</w:t>
            </w:r>
          </w:p>
        </w:tc>
        <w:tc>
          <w:tcPr>
            <w:tcW w:w="1310" w:type="dxa"/>
            <w:tcBorders>
              <w:top w:val="nil"/>
              <w:left w:val="single" w:sz="4" w:space="0" w:color="auto"/>
              <w:bottom w:val="single" w:sz="4" w:space="0" w:color="auto"/>
              <w:right w:val="nil"/>
            </w:tcBorders>
            <w:shd w:val="clear" w:color="auto" w:fill="auto"/>
            <w:noWrap/>
            <w:vAlign w:val="center"/>
            <w:hideMark/>
          </w:tcPr>
          <w:p w14:paraId="17D5FF82" w14:textId="77777777" w:rsidR="0099606F" w:rsidRPr="007B5FB0" w:rsidRDefault="0099606F" w:rsidP="0071253F">
            <w:pPr>
              <w:pStyle w:val="VEOHRCBodytext"/>
            </w:pPr>
            <w:r w:rsidRPr="007B5FB0">
              <w:t>2</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07B7DED2" w14:textId="77777777" w:rsidR="0099606F" w:rsidRPr="007B5FB0" w:rsidRDefault="0099606F" w:rsidP="0071253F">
            <w:pPr>
              <w:pStyle w:val="VEOHRCBodytext"/>
            </w:pPr>
            <w:r w:rsidRPr="007B5FB0">
              <w:t>2</w:t>
            </w:r>
          </w:p>
        </w:tc>
        <w:tc>
          <w:tcPr>
            <w:tcW w:w="1417" w:type="dxa"/>
            <w:tcBorders>
              <w:top w:val="nil"/>
              <w:left w:val="nil"/>
              <w:bottom w:val="single" w:sz="4" w:space="0" w:color="auto"/>
              <w:right w:val="single" w:sz="4" w:space="0" w:color="auto"/>
            </w:tcBorders>
            <w:shd w:val="clear" w:color="auto" w:fill="auto"/>
            <w:noWrap/>
            <w:vAlign w:val="center"/>
            <w:hideMark/>
          </w:tcPr>
          <w:p w14:paraId="33EBC16E" w14:textId="77777777" w:rsidR="0099606F" w:rsidRPr="007B5FB0" w:rsidRDefault="0099606F" w:rsidP="0071253F">
            <w:pPr>
              <w:pStyle w:val="VEOHRCBodytext"/>
            </w:pPr>
            <w:r w:rsidRPr="007B5FB0">
              <w:t>2</w:t>
            </w:r>
          </w:p>
        </w:tc>
      </w:tr>
      <w:tr w:rsidR="0099606F" w:rsidRPr="007B5FB0" w14:paraId="36BE72EB" w14:textId="77777777" w:rsidTr="008D6268">
        <w:trPr>
          <w:trHeight w:val="363"/>
        </w:trPr>
        <w:tc>
          <w:tcPr>
            <w:tcW w:w="4536" w:type="dxa"/>
            <w:tcBorders>
              <w:top w:val="single" w:sz="4" w:space="0" w:color="auto"/>
              <w:left w:val="single" w:sz="4" w:space="0" w:color="auto"/>
              <w:bottom w:val="single" w:sz="4" w:space="0" w:color="auto"/>
              <w:right w:val="nil"/>
            </w:tcBorders>
            <w:shd w:val="clear" w:color="auto" w:fill="auto"/>
            <w:vAlign w:val="center"/>
            <w:hideMark/>
          </w:tcPr>
          <w:p w14:paraId="211FC79A" w14:textId="77777777" w:rsidR="0099606F" w:rsidRPr="007B5FB0" w:rsidRDefault="0099606F" w:rsidP="0071253F">
            <w:pPr>
              <w:pStyle w:val="VEOHRCBodytext"/>
            </w:pPr>
            <w:r w:rsidRPr="007B5FB0">
              <w:t>Injuries requiring first aid or medical treatment</w:t>
            </w:r>
          </w:p>
        </w:tc>
        <w:tc>
          <w:tcPr>
            <w:tcW w:w="1310" w:type="dxa"/>
            <w:tcBorders>
              <w:top w:val="single" w:sz="4" w:space="0" w:color="auto"/>
              <w:left w:val="single" w:sz="4" w:space="0" w:color="auto"/>
              <w:bottom w:val="single" w:sz="4" w:space="0" w:color="auto"/>
              <w:right w:val="nil"/>
            </w:tcBorders>
            <w:shd w:val="clear" w:color="auto" w:fill="auto"/>
            <w:noWrap/>
            <w:vAlign w:val="center"/>
            <w:hideMark/>
          </w:tcPr>
          <w:p w14:paraId="5B39284C" w14:textId="77777777" w:rsidR="0099606F" w:rsidRPr="007B5FB0" w:rsidRDefault="0099606F" w:rsidP="0071253F">
            <w:pPr>
              <w:pStyle w:val="VEOHRCBodytext"/>
            </w:pPr>
            <w:r w:rsidRPr="007B5FB0">
              <w:t>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CBE525" w14:textId="77777777" w:rsidR="0099606F" w:rsidRPr="007B5FB0" w:rsidRDefault="0099606F" w:rsidP="0071253F">
            <w:pPr>
              <w:pStyle w:val="VEOHRCBodytext"/>
            </w:pPr>
            <w:r w:rsidRPr="007B5FB0">
              <w:t>2</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B2287BF" w14:textId="77777777" w:rsidR="0099606F" w:rsidRPr="007B5FB0" w:rsidRDefault="0099606F" w:rsidP="0071253F">
            <w:pPr>
              <w:pStyle w:val="VEOHRCBodytext"/>
            </w:pPr>
            <w:r w:rsidRPr="007B5FB0">
              <w:t>1</w:t>
            </w:r>
          </w:p>
        </w:tc>
      </w:tr>
      <w:tr w:rsidR="0099606F" w:rsidRPr="007B5FB0" w14:paraId="39FC9750" w14:textId="77777777" w:rsidTr="008D6268">
        <w:trPr>
          <w:trHeight w:val="363"/>
        </w:trPr>
        <w:tc>
          <w:tcPr>
            <w:tcW w:w="4536" w:type="dxa"/>
            <w:tcBorders>
              <w:top w:val="single" w:sz="4" w:space="0" w:color="auto"/>
              <w:left w:val="single" w:sz="4" w:space="0" w:color="auto"/>
              <w:bottom w:val="single" w:sz="4" w:space="0" w:color="auto"/>
              <w:right w:val="nil"/>
            </w:tcBorders>
            <w:shd w:val="clear" w:color="auto" w:fill="auto"/>
            <w:vAlign w:val="center"/>
            <w:hideMark/>
          </w:tcPr>
          <w:p w14:paraId="434B749E" w14:textId="77777777" w:rsidR="0099606F" w:rsidRPr="007B5FB0" w:rsidRDefault="0099606F" w:rsidP="0071253F">
            <w:pPr>
              <w:pStyle w:val="VEOHRCBodytext"/>
            </w:pPr>
            <w:r w:rsidRPr="007B5FB0">
              <w:t>Injuries resulting in WorkCover claims</w:t>
            </w:r>
          </w:p>
        </w:tc>
        <w:tc>
          <w:tcPr>
            <w:tcW w:w="1310" w:type="dxa"/>
            <w:tcBorders>
              <w:top w:val="single" w:sz="4" w:space="0" w:color="auto"/>
              <w:left w:val="single" w:sz="4" w:space="0" w:color="auto"/>
              <w:bottom w:val="single" w:sz="4" w:space="0" w:color="auto"/>
              <w:right w:val="nil"/>
            </w:tcBorders>
            <w:shd w:val="clear" w:color="auto" w:fill="auto"/>
            <w:noWrap/>
            <w:vAlign w:val="center"/>
            <w:hideMark/>
          </w:tcPr>
          <w:p w14:paraId="40C5A3AC" w14:textId="77777777" w:rsidR="0099606F" w:rsidRPr="007B5FB0" w:rsidRDefault="0099606F" w:rsidP="0071253F">
            <w:pPr>
              <w:pStyle w:val="VEOHRCBodytext"/>
            </w:pPr>
            <w:r w:rsidRPr="007B5FB0">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24C1E4" w14:textId="77777777" w:rsidR="0099606F" w:rsidRPr="007B5FB0" w:rsidRDefault="0099606F" w:rsidP="0071253F">
            <w:pPr>
              <w:pStyle w:val="VEOHRCBodytext"/>
            </w:pPr>
            <w:r w:rsidRPr="007B5FB0">
              <w:t>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22F41D1" w14:textId="77777777" w:rsidR="0099606F" w:rsidRPr="007B5FB0" w:rsidRDefault="0099606F" w:rsidP="0071253F">
            <w:pPr>
              <w:pStyle w:val="VEOHRCBodytext"/>
            </w:pPr>
            <w:r w:rsidRPr="007B5FB0">
              <w:t>0</w:t>
            </w:r>
          </w:p>
        </w:tc>
      </w:tr>
      <w:tr w:rsidR="0099606F" w:rsidRPr="007B5FB0" w14:paraId="41654435" w14:textId="77777777" w:rsidTr="008D6268">
        <w:trPr>
          <w:trHeight w:val="363"/>
        </w:trPr>
        <w:tc>
          <w:tcPr>
            <w:tcW w:w="4536" w:type="dxa"/>
            <w:tcBorders>
              <w:top w:val="single" w:sz="4" w:space="0" w:color="auto"/>
              <w:left w:val="single" w:sz="4" w:space="0" w:color="auto"/>
              <w:bottom w:val="single" w:sz="4" w:space="0" w:color="auto"/>
              <w:right w:val="nil"/>
            </w:tcBorders>
            <w:shd w:val="clear" w:color="auto" w:fill="auto"/>
            <w:vAlign w:val="center"/>
          </w:tcPr>
          <w:p w14:paraId="2A45AE3B" w14:textId="77777777" w:rsidR="0099606F" w:rsidRPr="007B5FB0" w:rsidRDefault="0099606F" w:rsidP="0071253F">
            <w:pPr>
              <w:pStyle w:val="VEOHRCBodytext"/>
            </w:pPr>
            <w:r w:rsidRPr="007B5FB0">
              <w:t>WorkCover claims resulting in lost work time</w:t>
            </w:r>
          </w:p>
        </w:tc>
        <w:tc>
          <w:tcPr>
            <w:tcW w:w="1310" w:type="dxa"/>
            <w:tcBorders>
              <w:top w:val="single" w:sz="4" w:space="0" w:color="auto"/>
              <w:left w:val="single" w:sz="4" w:space="0" w:color="auto"/>
              <w:bottom w:val="single" w:sz="4" w:space="0" w:color="auto"/>
              <w:right w:val="nil"/>
            </w:tcBorders>
            <w:shd w:val="clear" w:color="auto" w:fill="auto"/>
            <w:noWrap/>
            <w:vAlign w:val="center"/>
          </w:tcPr>
          <w:p w14:paraId="4E39E2ED" w14:textId="77777777" w:rsidR="0099606F" w:rsidRPr="007B5FB0" w:rsidRDefault="0099606F" w:rsidP="0071253F">
            <w:pPr>
              <w:pStyle w:val="VEOHRCBodytext"/>
            </w:pPr>
            <w:r w:rsidRPr="007B5FB0">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C3819B" w14:textId="77777777" w:rsidR="0099606F" w:rsidRPr="007B5FB0" w:rsidRDefault="0099606F" w:rsidP="0071253F">
            <w:pPr>
              <w:pStyle w:val="VEOHRCBodytext"/>
            </w:pPr>
            <w:r w:rsidRPr="007B5FB0">
              <w:t>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04FD32C" w14:textId="77777777" w:rsidR="0099606F" w:rsidRPr="007B5FB0" w:rsidRDefault="0099606F" w:rsidP="0071253F">
            <w:pPr>
              <w:pStyle w:val="VEOHRCBodytext"/>
            </w:pPr>
            <w:r w:rsidRPr="007B5FB0">
              <w:t>0</w:t>
            </w:r>
          </w:p>
        </w:tc>
      </w:tr>
    </w:tbl>
    <w:p w14:paraId="64F67D98" w14:textId="77777777" w:rsidR="0099606F" w:rsidRPr="00E940B5" w:rsidRDefault="0099606F" w:rsidP="00217830">
      <w:pPr>
        <w:pStyle w:val="VEOHRCFootnotetext"/>
        <w:ind w:left="284" w:hanging="284"/>
        <w:rPr>
          <w:sz w:val="16"/>
        </w:rPr>
      </w:pPr>
      <w:r w:rsidRPr="007B5FB0">
        <w:t xml:space="preserve">* </w:t>
      </w:r>
      <w:r w:rsidRPr="007B5FB0">
        <w:tab/>
      </w:r>
      <w:r w:rsidRPr="00E940B5">
        <w:rPr>
          <w:sz w:val="16"/>
        </w:rPr>
        <w:t>As related to employees (therefore excluding members of the public, contractors, etc).</w:t>
      </w:r>
      <w:r w:rsidRPr="00E940B5">
        <w:rPr>
          <w:sz w:val="16"/>
        </w:rPr>
        <w:br/>
        <w:t>Incidents are defined as including hazards, near misses, and injuries.</w:t>
      </w:r>
    </w:p>
    <w:p w14:paraId="5F3D0FFA" w14:textId="77777777" w:rsidR="0099606F" w:rsidRPr="007B5FB0" w:rsidRDefault="0099606F" w:rsidP="0099606F">
      <w:pPr>
        <w:pStyle w:val="VEOHRCHeading1"/>
      </w:pPr>
      <w:bookmarkStart w:id="32" w:name="INDEXemploymentconductprinciples"/>
      <w:bookmarkStart w:id="33" w:name="_Toc524536485"/>
      <w:r w:rsidRPr="007B5FB0">
        <w:t xml:space="preserve">Employment </w:t>
      </w:r>
      <w:bookmarkEnd w:id="32"/>
      <w:r w:rsidRPr="007B5FB0">
        <w:t>and conduct principles</w:t>
      </w:r>
      <w:bookmarkEnd w:id="33"/>
    </w:p>
    <w:p w14:paraId="449AC8E8" w14:textId="77777777" w:rsidR="0099606F" w:rsidRPr="007B5FB0" w:rsidRDefault="0099606F" w:rsidP="0099606F">
      <w:pPr>
        <w:pStyle w:val="VEOHRCBodytext"/>
      </w:pPr>
      <w:r w:rsidRPr="007B5FB0">
        <w:t>The Commission is committed to applying merit and equity principles when appointing staff. The selection processes ensure that applicants are assessed and evaluated equitably and fairly on the basis of the key selection criteria and other accountabilities without discrimination.</w:t>
      </w:r>
    </w:p>
    <w:p w14:paraId="011A3305" w14:textId="77777777" w:rsidR="0099606F" w:rsidRPr="007B5FB0" w:rsidRDefault="0099606F" w:rsidP="0099606F">
      <w:pPr>
        <w:pStyle w:val="VEOHRCHeading3"/>
        <w:rPr>
          <w:lang w:eastAsia="en-US"/>
        </w:rPr>
      </w:pPr>
      <w:r w:rsidRPr="007B5FB0">
        <w:rPr>
          <w:lang w:eastAsia="en-US"/>
        </w:rPr>
        <w:t>Public sector values and employment principles</w:t>
      </w:r>
    </w:p>
    <w:p w14:paraId="6523E5E9" w14:textId="77777777" w:rsidR="0099606F" w:rsidRPr="007B5FB0" w:rsidRDefault="0099606F" w:rsidP="0099606F">
      <w:pPr>
        <w:pStyle w:val="VEOHRCBodytext"/>
      </w:pPr>
      <w:r w:rsidRPr="007B5FB0">
        <w:t xml:space="preserve">In addition to the Victorian Public Sector Commission’s (VPSC) role under the </w:t>
      </w:r>
      <w:r w:rsidRPr="007B5FB0">
        <w:rPr>
          <w:i/>
        </w:rPr>
        <w:t>Public Administration Act 2004</w:t>
      </w:r>
      <w:r w:rsidRPr="007B5FB0">
        <w:t xml:space="preserve"> to advocate for public sector professionalism and integrity and to strengthen overall Victorian public sector efficiency, effectiveness and capability, the Commission also has a broad role under its three governing Acts</w:t>
      </w:r>
      <w:r w:rsidRPr="007B5FB0">
        <w:rPr>
          <w:vertAlign w:val="superscript"/>
        </w:rPr>
        <w:footnoteReference w:id="2"/>
      </w:r>
      <w:r w:rsidRPr="007B5FB0">
        <w:t xml:space="preserve">, to protect and promote human rights and equal opportunity in employment and related areas for all Victorian organisations.  </w:t>
      </w:r>
    </w:p>
    <w:p w14:paraId="2D380419" w14:textId="29FAA4BC" w:rsidR="0099606F" w:rsidRPr="007B5FB0" w:rsidRDefault="0099606F" w:rsidP="0099606F">
      <w:pPr>
        <w:pStyle w:val="VEOHRCBodytext"/>
      </w:pPr>
      <w:r w:rsidRPr="007B5FB0">
        <w:t>The Commission’s role also extends to other settings including education, provision of goods and services, transfer of land, accommodation, clubs and in sport. The Commission’s exter</w:t>
      </w:r>
      <w:r w:rsidR="008D6268">
        <w:t>nal work in these areas in 2017–</w:t>
      </w:r>
      <w:r w:rsidRPr="007B5FB0">
        <w:t xml:space="preserve">18 is reported elsewhere in this Annual Report. </w:t>
      </w:r>
    </w:p>
    <w:p w14:paraId="5901F9F7" w14:textId="3A671FAD" w:rsidR="0099606F" w:rsidRPr="007B5FB0" w:rsidRDefault="0099606F" w:rsidP="0099606F">
      <w:pPr>
        <w:pStyle w:val="VEOHRCBodytext"/>
      </w:pPr>
      <w:r w:rsidRPr="007B5FB0">
        <w:t>Internally, in addition to promoting public sector values and employment principles, the Commission developed its own set of values in 201</w:t>
      </w:r>
      <w:r w:rsidR="008D6268">
        <w:t>7–</w:t>
      </w:r>
      <w:r w:rsidRPr="007B5FB0">
        <w:t xml:space="preserve">18 – Creativity, Accountability, Rigour and Empathy. These values describe what’s important to us in how we act with our colleagues, our partners and the people and communities we work with. </w:t>
      </w:r>
    </w:p>
    <w:p w14:paraId="3BDF4C20" w14:textId="77777777" w:rsidR="0099606F" w:rsidRPr="007B5FB0" w:rsidRDefault="0099606F" w:rsidP="0099606F">
      <w:pPr>
        <w:pStyle w:val="VEOHRCHeading3"/>
        <w:rPr>
          <w:lang w:eastAsia="en-US"/>
        </w:rPr>
      </w:pPr>
      <w:r w:rsidRPr="007B5FB0">
        <w:rPr>
          <w:lang w:eastAsia="en-US"/>
        </w:rPr>
        <w:t>Workforce inclusion policy</w:t>
      </w:r>
    </w:p>
    <w:p w14:paraId="007847D6" w14:textId="559B6C35" w:rsidR="0099606F" w:rsidRPr="007B5FB0" w:rsidRDefault="0099606F" w:rsidP="0099606F">
      <w:pPr>
        <w:pStyle w:val="VEOHRCBodytext"/>
      </w:pPr>
      <w:r w:rsidRPr="007B5FB0">
        <w:t>The Commission has an inclusive working environment where equal opportunity and diversity are valued. During 201</w:t>
      </w:r>
      <w:r w:rsidR="008D6268">
        <w:t>7–</w:t>
      </w:r>
      <w:r w:rsidRPr="007B5FB0">
        <w:t>18, the Commission conducted a comprehensive survey of staff to inform a program of work over the next two years to enhance diversity and inclusion at the Commission.</w:t>
      </w:r>
    </w:p>
    <w:p w14:paraId="216898E9" w14:textId="4831A09F" w:rsidR="0099606F" w:rsidRPr="007B5FB0" w:rsidRDefault="0099606F" w:rsidP="0099606F">
      <w:pPr>
        <w:pStyle w:val="VEOHRCBodytext"/>
      </w:pPr>
      <w:r w:rsidRPr="007B5FB0">
        <w:t xml:space="preserve">The Commission values staff with non-binary gender identities. However, the Commission acknowledges that due to historic and current barriers to disclosure of non-binary gender identities, staff may not choose to disclose this information and </w:t>
      </w:r>
      <w:r w:rsidRPr="007B5FB0">
        <w:lastRenderedPageBreak/>
        <w:t>have not been surveyed as such. As a result, the following tables in the Comparative Workforce Data section still only reflect binary gender categories</w:t>
      </w:r>
      <w:r w:rsidR="00217830">
        <w:t>.</w:t>
      </w:r>
    </w:p>
    <w:p w14:paraId="44BEF704" w14:textId="77777777" w:rsidR="0099606F" w:rsidRPr="007B5FB0" w:rsidRDefault="0099606F" w:rsidP="0099606F">
      <w:pPr>
        <w:pStyle w:val="VEOHRCHeading3"/>
        <w:rPr>
          <w:lang w:eastAsia="en-US"/>
        </w:rPr>
      </w:pPr>
      <w:r w:rsidRPr="007B5FB0">
        <w:rPr>
          <w:lang w:eastAsia="en-US"/>
        </w:rPr>
        <w:t xml:space="preserve">Comparative workforce data </w:t>
      </w:r>
    </w:p>
    <w:p w14:paraId="6D1727A9" w14:textId="77777777" w:rsidR="0099606F" w:rsidRPr="007B5FB0" w:rsidRDefault="0099606F" w:rsidP="0099606F">
      <w:pPr>
        <w:pStyle w:val="VEOHRCBodytext"/>
      </w:pPr>
      <w:r w:rsidRPr="007B5FB0">
        <w:t>The following tables disclose the head count and full-time equivalent (FTE) of all active public service employees of the Commission, employed in the last full pay period in June of the current reporting period (2018), and in the last full pay period in June of the previous reporting period (2017). Employees have been correctly classified in workforce data collections.</w:t>
      </w:r>
    </w:p>
    <w:p w14:paraId="02C3633B" w14:textId="348A015C" w:rsidR="00D17AD3" w:rsidRPr="007B5FB0" w:rsidRDefault="00D17AD3" w:rsidP="00D17AD3">
      <w:pPr>
        <w:pStyle w:val="VEOHRCHeading3"/>
        <w:tabs>
          <w:tab w:val="center" w:pos="4535"/>
        </w:tabs>
      </w:pPr>
      <w:bookmarkStart w:id="34" w:name="INDEX_Consultancy"/>
      <w:bookmarkStart w:id="35" w:name="_Toc477967499"/>
      <w:r w:rsidRPr="007B5FB0">
        <w:t>Workforce data trends</w:t>
      </w:r>
      <w:r w:rsidRPr="007B5FB0">
        <w:tab/>
      </w:r>
    </w:p>
    <w:tbl>
      <w:tblPr>
        <w:tblW w:w="9781" w:type="dxa"/>
        <w:tblCellMar>
          <w:left w:w="0" w:type="dxa"/>
          <w:right w:w="0" w:type="dxa"/>
        </w:tblCellMar>
        <w:tblLook w:val="04A0" w:firstRow="1" w:lastRow="0" w:firstColumn="1" w:lastColumn="0" w:noHBand="0" w:noVBand="1"/>
      </w:tblPr>
      <w:tblGrid>
        <w:gridCol w:w="1062"/>
        <w:gridCol w:w="1321"/>
        <w:gridCol w:w="736"/>
        <w:gridCol w:w="1326"/>
        <w:gridCol w:w="912"/>
        <w:gridCol w:w="1326"/>
        <w:gridCol w:w="1023"/>
        <w:gridCol w:w="1475"/>
        <w:gridCol w:w="600"/>
      </w:tblGrid>
      <w:tr w:rsidR="00D17AD3" w:rsidRPr="007B5FB0" w14:paraId="20DADED2" w14:textId="77777777" w:rsidTr="009E359E">
        <w:trPr>
          <w:trHeight w:val="345"/>
        </w:trPr>
        <w:tc>
          <w:tcPr>
            <w:tcW w:w="1134" w:type="dxa"/>
            <w:shd w:val="clear" w:color="auto" w:fill="000000"/>
          </w:tcPr>
          <w:p w14:paraId="1CC26ECE" w14:textId="77777777" w:rsidR="00D17AD3" w:rsidRPr="007B5FB0" w:rsidRDefault="00D17AD3" w:rsidP="009E359E">
            <w:pPr>
              <w:pStyle w:val="VEOHRCBodytext"/>
              <w:rPr>
                <w:lang w:eastAsia="en-US"/>
              </w:rPr>
            </w:pPr>
          </w:p>
        </w:tc>
        <w:tc>
          <w:tcPr>
            <w:tcW w:w="1886" w:type="dxa"/>
            <w:gridSpan w:val="2"/>
            <w:tcBorders>
              <w:bottom w:val="nil"/>
              <w:right w:val="single" w:sz="4" w:space="0" w:color="FFFFFF"/>
            </w:tcBorders>
            <w:shd w:val="clear" w:color="auto" w:fill="000000"/>
            <w:hideMark/>
          </w:tcPr>
          <w:p w14:paraId="6A219A4B" w14:textId="77777777" w:rsidR="00D17AD3" w:rsidRPr="007B5FB0" w:rsidRDefault="00D17AD3" w:rsidP="009E359E">
            <w:pPr>
              <w:pStyle w:val="VEOHRCBodytext"/>
              <w:jc w:val="right"/>
              <w:rPr>
                <w:b/>
              </w:rPr>
            </w:pPr>
            <w:r w:rsidRPr="007B5FB0">
              <w:t>Ongoing</w:t>
            </w:r>
          </w:p>
        </w:tc>
        <w:tc>
          <w:tcPr>
            <w:tcW w:w="2260" w:type="dxa"/>
            <w:gridSpan w:val="2"/>
            <w:tcBorders>
              <w:left w:val="single" w:sz="4" w:space="0" w:color="FFFFFF"/>
              <w:bottom w:val="nil"/>
              <w:right w:val="single" w:sz="4" w:space="0" w:color="FFFFFF"/>
            </w:tcBorders>
            <w:shd w:val="clear" w:color="auto" w:fill="000000"/>
            <w:hideMark/>
          </w:tcPr>
          <w:p w14:paraId="26292EB3" w14:textId="77777777" w:rsidR="00D17AD3" w:rsidRPr="007B5FB0" w:rsidRDefault="00D17AD3" w:rsidP="009E359E">
            <w:pPr>
              <w:pStyle w:val="VEOHRCBodytext"/>
              <w:jc w:val="right"/>
              <w:rPr>
                <w:b/>
              </w:rPr>
            </w:pPr>
            <w:r w:rsidRPr="007B5FB0">
              <w:t>Fixed Term</w:t>
            </w:r>
          </w:p>
        </w:tc>
        <w:tc>
          <w:tcPr>
            <w:tcW w:w="2388" w:type="dxa"/>
            <w:gridSpan w:val="2"/>
            <w:tcBorders>
              <w:left w:val="single" w:sz="4" w:space="0" w:color="FFFFFF"/>
              <w:bottom w:val="nil"/>
              <w:right w:val="single" w:sz="4" w:space="0" w:color="FFFFFF"/>
            </w:tcBorders>
            <w:shd w:val="clear" w:color="auto" w:fill="000000"/>
            <w:hideMark/>
          </w:tcPr>
          <w:p w14:paraId="14F161BF" w14:textId="77777777" w:rsidR="00D17AD3" w:rsidRPr="007B5FB0" w:rsidRDefault="00D17AD3" w:rsidP="009E359E">
            <w:pPr>
              <w:pStyle w:val="VEOHRCBodytext"/>
              <w:jc w:val="right"/>
              <w:rPr>
                <w:b/>
              </w:rPr>
            </w:pPr>
            <w:r w:rsidRPr="007B5FB0">
              <w:t>Casual</w:t>
            </w:r>
          </w:p>
        </w:tc>
        <w:tc>
          <w:tcPr>
            <w:tcW w:w="2113" w:type="dxa"/>
            <w:gridSpan w:val="2"/>
            <w:tcBorders>
              <w:left w:val="single" w:sz="4" w:space="0" w:color="FFFFFF"/>
              <w:bottom w:val="nil"/>
              <w:right w:val="nil"/>
            </w:tcBorders>
            <w:shd w:val="clear" w:color="auto" w:fill="000000"/>
            <w:hideMark/>
          </w:tcPr>
          <w:p w14:paraId="0B3F9244" w14:textId="77777777" w:rsidR="00D17AD3" w:rsidRPr="007B5FB0" w:rsidRDefault="00D17AD3" w:rsidP="009E359E">
            <w:pPr>
              <w:pStyle w:val="VEOHRCBodytext"/>
              <w:jc w:val="right"/>
              <w:rPr>
                <w:b/>
              </w:rPr>
            </w:pPr>
            <w:r w:rsidRPr="007B5FB0">
              <w:t>Total</w:t>
            </w:r>
          </w:p>
        </w:tc>
      </w:tr>
      <w:tr w:rsidR="00D17AD3" w:rsidRPr="007B5FB0" w14:paraId="0FBC1F30" w14:textId="77777777" w:rsidTr="009E359E">
        <w:trPr>
          <w:trHeight w:val="350"/>
        </w:trPr>
        <w:tc>
          <w:tcPr>
            <w:tcW w:w="1134" w:type="dxa"/>
            <w:tcBorders>
              <w:top w:val="nil"/>
              <w:left w:val="nil"/>
              <w:bottom w:val="single" w:sz="4" w:space="0" w:color="auto"/>
              <w:right w:val="nil"/>
            </w:tcBorders>
            <w:shd w:val="clear" w:color="auto" w:fill="auto"/>
            <w:vAlign w:val="bottom"/>
            <w:hideMark/>
          </w:tcPr>
          <w:p w14:paraId="07A2E6E6" w14:textId="77777777" w:rsidR="00D17AD3" w:rsidRPr="007B5FB0" w:rsidRDefault="00D17AD3" w:rsidP="009E359E">
            <w:pPr>
              <w:pStyle w:val="VEOHRCBodytext"/>
            </w:pPr>
          </w:p>
        </w:tc>
        <w:tc>
          <w:tcPr>
            <w:tcW w:w="1113" w:type="dxa"/>
            <w:tcBorders>
              <w:top w:val="nil"/>
              <w:left w:val="nil"/>
              <w:bottom w:val="single" w:sz="4" w:space="0" w:color="auto"/>
              <w:right w:val="nil"/>
            </w:tcBorders>
            <w:shd w:val="clear" w:color="auto" w:fill="auto"/>
            <w:vAlign w:val="bottom"/>
            <w:hideMark/>
          </w:tcPr>
          <w:p w14:paraId="0F80B969" w14:textId="77777777" w:rsidR="00D17AD3" w:rsidRPr="007B5FB0" w:rsidRDefault="00D17AD3" w:rsidP="009E359E">
            <w:pPr>
              <w:pStyle w:val="VEOHRCBodytext"/>
              <w:jc w:val="right"/>
              <w:rPr>
                <w:color w:val="000000"/>
                <w:lang w:eastAsia="en-US"/>
              </w:rPr>
            </w:pPr>
            <w:r w:rsidRPr="007B5FB0">
              <w:rPr>
                <w:color w:val="000000"/>
              </w:rPr>
              <w:t>Number (Headcount)</w:t>
            </w:r>
          </w:p>
        </w:tc>
        <w:tc>
          <w:tcPr>
            <w:tcW w:w="773" w:type="dxa"/>
            <w:tcBorders>
              <w:top w:val="nil"/>
              <w:left w:val="nil"/>
              <w:bottom w:val="single" w:sz="4" w:space="0" w:color="auto"/>
              <w:right w:val="single" w:sz="4" w:space="0" w:color="FFFFFF"/>
            </w:tcBorders>
            <w:shd w:val="clear" w:color="auto" w:fill="auto"/>
            <w:vAlign w:val="bottom"/>
            <w:hideMark/>
          </w:tcPr>
          <w:p w14:paraId="585598EE" w14:textId="77777777" w:rsidR="00D17AD3" w:rsidRPr="007B5FB0" w:rsidRDefault="00D17AD3" w:rsidP="009E359E">
            <w:pPr>
              <w:pStyle w:val="VEOHRCBodytext"/>
              <w:jc w:val="right"/>
              <w:rPr>
                <w:color w:val="000000"/>
              </w:rPr>
            </w:pPr>
            <w:r w:rsidRPr="007B5FB0">
              <w:rPr>
                <w:color w:val="000000"/>
              </w:rPr>
              <w:t>FTE</w:t>
            </w:r>
          </w:p>
        </w:tc>
        <w:tc>
          <w:tcPr>
            <w:tcW w:w="1288" w:type="dxa"/>
            <w:tcBorders>
              <w:top w:val="nil"/>
              <w:left w:val="single" w:sz="4" w:space="0" w:color="FFFFFF"/>
              <w:bottom w:val="single" w:sz="4" w:space="0" w:color="auto"/>
              <w:right w:val="nil"/>
            </w:tcBorders>
            <w:shd w:val="clear" w:color="auto" w:fill="auto"/>
            <w:vAlign w:val="bottom"/>
            <w:hideMark/>
          </w:tcPr>
          <w:p w14:paraId="66D8CD9B" w14:textId="77777777" w:rsidR="00D17AD3" w:rsidRPr="007B5FB0" w:rsidRDefault="00D17AD3" w:rsidP="009E359E">
            <w:pPr>
              <w:pStyle w:val="VEOHRCBodytext"/>
              <w:jc w:val="right"/>
              <w:rPr>
                <w:color w:val="000000"/>
              </w:rPr>
            </w:pPr>
            <w:r w:rsidRPr="007B5FB0">
              <w:rPr>
                <w:color w:val="000000"/>
              </w:rPr>
              <w:t>Number (Headcount)</w:t>
            </w:r>
          </w:p>
        </w:tc>
        <w:tc>
          <w:tcPr>
            <w:tcW w:w="972" w:type="dxa"/>
            <w:tcBorders>
              <w:top w:val="nil"/>
              <w:left w:val="nil"/>
              <w:bottom w:val="single" w:sz="4" w:space="0" w:color="auto"/>
              <w:right w:val="single" w:sz="4" w:space="0" w:color="FFFFFF"/>
            </w:tcBorders>
            <w:shd w:val="clear" w:color="auto" w:fill="auto"/>
            <w:vAlign w:val="bottom"/>
            <w:hideMark/>
          </w:tcPr>
          <w:p w14:paraId="2654A9C6" w14:textId="77777777" w:rsidR="00D17AD3" w:rsidRPr="007B5FB0" w:rsidRDefault="00D17AD3" w:rsidP="009E359E">
            <w:pPr>
              <w:pStyle w:val="VEOHRCBodytext"/>
              <w:jc w:val="right"/>
              <w:rPr>
                <w:color w:val="000000"/>
              </w:rPr>
            </w:pPr>
            <w:r w:rsidRPr="007B5FB0">
              <w:rPr>
                <w:color w:val="000000"/>
              </w:rPr>
              <w:t>FTE</w:t>
            </w:r>
          </w:p>
        </w:tc>
        <w:tc>
          <w:tcPr>
            <w:tcW w:w="1288" w:type="dxa"/>
            <w:tcBorders>
              <w:top w:val="nil"/>
              <w:left w:val="single" w:sz="4" w:space="0" w:color="FFFFFF"/>
              <w:bottom w:val="single" w:sz="4" w:space="0" w:color="auto"/>
              <w:right w:val="nil"/>
            </w:tcBorders>
            <w:shd w:val="clear" w:color="auto" w:fill="auto"/>
            <w:vAlign w:val="bottom"/>
            <w:hideMark/>
          </w:tcPr>
          <w:p w14:paraId="1901CB14" w14:textId="77777777" w:rsidR="00D17AD3" w:rsidRPr="007B5FB0" w:rsidRDefault="00D17AD3" w:rsidP="009E359E">
            <w:pPr>
              <w:pStyle w:val="VEOHRCBodytext"/>
              <w:jc w:val="right"/>
              <w:rPr>
                <w:color w:val="000000"/>
              </w:rPr>
            </w:pPr>
            <w:r w:rsidRPr="007B5FB0">
              <w:rPr>
                <w:color w:val="000000"/>
              </w:rPr>
              <w:t>Number (Headcount)</w:t>
            </w:r>
          </w:p>
        </w:tc>
        <w:tc>
          <w:tcPr>
            <w:tcW w:w="1100" w:type="dxa"/>
            <w:tcBorders>
              <w:top w:val="nil"/>
              <w:left w:val="nil"/>
              <w:bottom w:val="single" w:sz="4" w:space="0" w:color="auto"/>
              <w:right w:val="single" w:sz="4" w:space="0" w:color="FFFFFF"/>
            </w:tcBorders>
            <w:shd w:val="clear" w:color="auto" w:fill="auto"/>
            <w:vAlign w:val="bottom"/>
            <w:hideMark/>
          </w:tcPr>
          <w:p w14:paraId="74D86FF1" w14:textId="77777777" w:rsidR="00D17AD3" w:rsidRPr="007B5FB0" w:rsidRDefault="00D17AD3" w:rsidP="009E359E">
            <w:pPr>
              <w:pStyle w:val="VEOHRCBodytext"/>
              <w:jc w:val="right"/>
              <w:rPr>
                <w:color w:val="000000"/>
              </w:rPr>
            </w:pPr>
            <w:r w:rsidRPr="007B5FB0">
              <w:rPr>
                <w:color w:val="000000"/>
              </w:rPr>
              <w:t>FTE</w:t>
            </w:r>
          </w:p>
        </w:tc>
        <w:tc>
          <w:tcPr>
            <w:tcW w:w="1495" w:type="dxa"/>
            <w:tcBorders>
              <w:top w:val="nil"/>
              <w:left w:val="single" w:sz="4" w:space="0" w:color="FFFFFF"/>
              <w:bottom w:val="single" w:sz="4" w:space="0" w:color="auto"/>
              <w:right w:val="nil"/>
            </w:tcBorders>
            <w:shd w:val="clear" w:color="auto" w:fill="auto"/>
            <w:vAlign w:val="bottom"/>
            <w:hideMark/>
          </w:tcPr>
          <w:p w14:paraId="2E4B5ACD" w14:textId="77777777" w:rsidR="00D17AD3" w:rsidRPr="007B5FB0" w:rsidRDefault="00D17AD3" w:rsidP="009E359E">
            <w:pPr>
              <w:pStyle w:val="VEOHRCBodytext"/>
              <w:jc w:val="right"/>
              <w:rPr>
                <w:color w:val="000000"/>
              </w:rPr>
            </w:pPr>
            <w:r w:rsidRPr="007B5FB0">
              <w:rPr>
                <w:color w:val="000000"/>
              </w:rPr>
              <w:t>Number (Headcount)</w:t>
            </w:r>
          </w:p>
        </w:tc>
        <w:tc>
          <w:tcPr>
            <w:tcW w:w="618" w:type="dxa"/>
            <w:tcBorders>
              <w:top w:val="nil"/>
              <w:left w:val="nil"/>
              <w:bottom w:val="single" w:sz="4" w:space="0" w:color="auto"/>
              <w:right w:val="nil"/>
            </w:tcBorders>
            <w:shd w:val="clear" w:color="auto" w:fill="auto"/>
            <w:vAlign w:val="bottom"/>
            <w:hideMark/>
          </w:tcPr>
          <w:p w14:paraId="1BE733D4" w14:textId="77777777" w:rsidR="00D17AD3" w:rsidRPr="007B5FB0" w:rsidRDefault="00D17AD3" w:rsidP="009E359E">
            <w:pPr>
              <w:pStyle w:val="VEOHRCBodytext"/>
              <w:jc w:val="right"/>
              <w:rPr>
                <w:color w:val="000000"/>
              </w:rPr>
            </w:pPr>
            <w:r w:rsidRPr="007B5FB0">
              <w:rPr>
                <w:color w:val="000000"/>
              </w:rPr>
              <w:t>FTE</w:t>
            </w:r>
          </w:p>
        </w:tc>
      </w:tr>
      <w:tr w:rsidR="00D17AD3" w:rsidRPr="007B5FB0" w14:paraId="4E0190B0" w14:textId="77777777" w:rsidTr="009E359E">
        <w:trPr>
          <w:trHeight w:val="304"/>
        </w:trPr>
        <w:tc>
          <w:tcPr>
            <w:tcW w:w="1134" w:type="dxa"/>
            <w:tcBorders>
              <w:top w:val="single" w:sz="4" w:space="0" w:color="auto"/>
              <w:left w:val="nil"/>
              <w:bottom w:val="single" w:sz="4" w:space="0" w:color="auto"/>
              <w:right w:val="nil"/>
            </w:tcBorders>
            <w:shd w:val="clear" w:color="auto" w:fill="auto"/>
            <w:vAlign w:val="bottom"/>
            <w:hideMark/>
          </w:tcPr>
          <w:p w14:paraId="3F053FBE" w14:textId="77777777" w:rsidR="00D17AD3" w:rsidRPr="007B5FB0" w:rsidRDefault="00D17AD3" w:rsidP="009E359E">
            <w:pPr>
              <w:pStyle w:val="VEOHRCBodytext"/>
              <w:rPr>
                <w:b/>
                <w:color w:val="000000"/>
              </w:rPr>
            </w:pPr>
            <w:r w:rsidRPr="007B5FB0">
              <w:rPr>
                <w:color w:val="000000"/>
              </w:rPr>
              <w:t>June 2017</w:t>
            </w:r>
          </w:p>
        </w:tc>
        <w:tc>
          <w:tcPr>
            <w:tcW w:w="1113" w:type="dxa"/>
            <w:tcBorders>
              <w:top w:val="single" w:sz="4" w:space="0" w:color="auto"/>
              <w:left w:val="nil"/>
              <w:bottom w:val="single" w:sz="4" w:space="0" w:color="auto"/>
              <w:right w:val="nil"/>
            </w:tcBorders>
            <w:shd w:val="clear" w:color="auto" w:fill="auto"/>
            <w:vAlign w:val="bottom"/>
            <w:hideMark/>
          </w:tcPr>
          <w:p w14:paraId="476B248E" w14:textId="77777777" w:rsidR="00D17AD3" w:rsidRPr="00D17AD3" w:rsidRDefault="00D17AD3" w:rsidP="009E359E">
            <w:pPr>
              <w:pStyle w:val="VEOHRCBodytext"/>
              <w:jc w:val="right"/>
              <w:rPr>
                <w:color w:val="000000"/>
              </w:rPr>
            </w:pPr>
            <w:r w:rsidRPr="00D17AD3">
              <w:rPr>
                <w:color w:val="000000"/>
              </w:rPr>
              <w:t>43</w:t>
            </w:r>
          </w:p>
        </w:tc>
        <w:tc>
          <w:tcPr>
            <w:tcW w:w="773" w:type="dxa"/>
            <w:tcBorders>
              <w:top w:val="single" w:sz="4" w:space="0" w:color="auto"/>
              <w:left w:val="nil"/>
              <w:bottom w:val="single" w:sz="4" w:space="0" w:color="auto"/>
              <w:right w:val="nil"/>
            </w:tcBorders>
            <w:shd w:val="clear" w:color="auto" w:fill="auto"/>
            <w:vAlign w:val="bottom"/>
            <w:hideMark/>
          </w:tcPr>
          <w:p w14:paraId="74662ED4" w14:textId="77777777" w:rsidR="00D17AD3" w:rsidRPr="00D17AD3" w:rsidRDefault="00D17AD3" w:rsidP="009E359E">
            <w:pPr>
              <w:pStyle w:val="VEOHRCBodytext"/>
              <w:jc w:val="right"/>
              <w:rPr>
                <w:color w:val="000000"/>
              </w:rPr>
            </w:pPr>
            <w:r w:rsidRPr="00D17AD3">
              <w:rPr>
                <w:color w:val="000000"/>
              </w:rPr>
              <w:t>38.9</w:t>
            </w:r>
          </w:p>
        </w:tc>
        <w:tc>
          <w:tcPr>
            <w:tcW w:w="1288" w:type="dxa"/>
            <w:tcBorders>
              <w:top w:val="single" w:sz="4" w:space="0" w:color="auto"/>
              <w:left w:val="nil"/>
              <w:bottom w:val="single" w:sz="4" w:space="0" w:color="auto"/>
              <w:right w:val="nil"/>
            </w:tcBorders>
            <w:shd w:val="clear" w:color="auto" w:fill="auto"/>
            <w:vAlign w:val="bottom"/>
            <w:hideMark/>
          </w:tcPr>
          <w:p w14:paraId="0F1F73A7" w14:textId="77777777" w:rsidR="00D17AD3" w:rsidRPr="00D17AD3" w:rsidRDefault="00D17AD3" w:rsidP="009E359E">
            <w:pPr>
              <w:pStyle w:val="VEOHRCBodytext"/>
              <w:jc w:val="right"/>
              <w:rPr>
                <w:color w:val="000000"/>
              </w:rPr>
            </w:pPr>
            <w:r w:rsidRPr="00D17AD3">
              <w:rPr>
                <w:color w:val="000000"/>
              </w:rPr>
              <w:t>19</w:t>
            </w:r>
          </w:p>
        </w:tc>
        <w:tc>
          <w:tcPr>
            <w:tcW w:w="972" w:type="dxa"/>
            <w:tcBorders>
              <w:top w:val="single" w:sz="4" w:space="0" w:color="auto"/>
              <w:left w:val="nil"/>
              <w:bottom w:val="single" w:sz="4" w:space="0" w:color="auto"/>
              <w:right w:val="nil"/>
            </w:tcBorders>
            <w:shd w:val="clear" w:color="auto" w:fill="auto"/>
            <w:vAlign w:val="bottom"/>
            <w:hideMark/>
          </w:tcPr>
          <w:p w14:paraId="44A4923A" w14:textId="77777777" w:rsidR="00D17AD3" w:rsidRPr="00D17AD3" w:rsidRDefault="00D17AD3" w:rsidP="009E359E">
            <w:pPr>
              <w:pStyle w:val="VEOHRCBodytext"/>
              <w:jc w:val="right"/>
              <w:rPr>
                <w:color w:val="000000"/>
              </w:rPr>
            </w:pPr>
            <w:r w:rsidRPr="00D17AD3">
              <w:rPr>
                <w:color w:val="000000"/>
              </w:rPr>
              <w:t>17.3</w:t>
            </w:r>
          </w:p>
        </w:tc>
        <w:tc>
          <w:tcPr>
            <w:tcW w:w="1288" w:type="dxa"/>
            <w:tcBorders>
              <w:top w:val="single" w:sz="4" w:space="0" w:color="auto"/>
              <w:left w:val="nil"/>
              <w:bottom w:val="single" w:sz="4" w:space="0" w:color="auto"/>
              <w:right w:val="nil"/>
            </w:tcBorders>
            <w:shd w:val="clear" w:color="auto" w:fill="auto"/>
            <w:vAlign w:val="bottom"/>
            <w:hideMark/>
          </w:tcPr>
          <w:p w14:paraId="788A9CA0" w14:textId="77777777" w:rsidR="00D17AD3" w:rsidRPr="007B5FB0" w:rsidRDefault="00D17AD3" w:rsidP="009E359E">
            <w:pPr>
              <w:pStyle w:val="VEOHRCBodytext"/>
              <w:jc w:val="right"/>
              <w:rPr>
                <w:color w:val="000000"/>
              </w:rPr>
            </w:pPr>
            <w:r w:rsidRPr="007B5FB0">
              <w:rPr>
                <w:color w:val="000000"/>
              </w:rPr>
              <w:t>0</w:t>
            </w:r>
          </w:p>
        </w:tc>
        <w:tc>
          <w:tcPr>
            <w:tcW w:w="1100" w:type="dxa"/>
            <w:tcBorders>
              <w:top w:val="single" w:sz="4" w:space="0" w:color="auto"/>
              <w:left w:val="nil"/>
              <w:bottom w:val="single" w:sz="4" w:space="0" w:color="auto"/>
              <w:right w:val="nil"/>
            </w:tcBorders>
            <w:shd w:val="clear" w:color="auto" w:fill="auto"/>
            <w:vAlign w:val="bottom"/>
            <w:hideMark/>
          </w:tcPr>
          <w:p w14:paraId="78A792FE" w14:textId="77777777" w:rsidR="00D17AD3" w:rsidRPr="007B5FB0" w:rsidRDefault="00D17AD3" w:rsidP="009E359E">
            <w:pPr>
              <w:pStyle w:val="VEOHRCBodytext"/>
              <w:jc w:val="right"/>
              <w:rPr>
                <w:color w:val="000000"/>
              </w:rPr>
            </w:pPr>
            <w:r w:rsidRPr="007B5FB0">
              <w:rPr>
                <w:color w:val="000000"/>
              </w:rPr>
              <w:t>0</w:t>
            </w:r>
          </w:p>
        </w:tc>
        <w:tc>
          <w:tcPr>
            <w:tcW w:w="1495" w:type="dxa"/>
            <w:tcBorders>
              <w:top w:val="single" w:sz="4" w:space="0" w:color="auto"/>
              <w:left w:val="nil"/>
              <w:bottom w:val="single" w:sz="4" w:space="0" w:color="auto"/>
              <w:right w:val="nil"/>
            </w:tcBorders>
            <w:shd w:val="clear" w:color="auto" w:fill="auto"/>
            <w:vAlign w:val="bottom"/>
            <w:hideMark/>
          </w:tcPr>
          <w:p w14:paraId="4FBF17A1" w14:textId="77777777" w:rsidR="00D17AD3" w:rsidRPr="007B5FB0" w:rsidRDefault="00D17AD3" w:rsidP="009E359E">
            <w:pPr>
              <w:pStyle w:val="VEOHRCBodytext"/>
              <w:jc w:val="right"/>
              <w:rPr>
                <w:color w:val="000000"/>
              </w:rPr>
            </w:pPr>
            <w:r w:rsidRPr="007B5FB0">
              <w:rPr>
                <w:color w:val="000000"/>
              </w:rPr>
              <w:t>62</w:t>
            </w:r>
          </w:p>
        </w:tc>
        <w:tc>
          <w:tcPr>
            <w:tcW w:w="618" w:type="dxa"/>
            <w:tcBorders>
              <w:top w:val="single" w:sz="4" w:space="0" w:color="auto"/>
              <w:left w:val="nil"/>
              <w:bottom w:val="single" w:sz="4" w:space="0" w:color="auto"/>
              <w:right w:val="nil"/>
            </w:tcBorders>
            <w:shd w:val="clear" w:color="auto" w:fill="auto"/>
            <w:vAlign w:val="bottom"/>
            <w:hideMark/>
          </w:tcPr>
          <w:p w14:paraId="70FA50FB" w14:textId="77777777" w:rsidR="00D17AD3" w:rsidRPr="007B5FB0" w:rsidRDefault="00D17AD3" w:rsidP="009E359E">
            <w:pPr>
              <w:pStyle w:val="VEOHRCBodytext"/>
              <w:jc w:val="right"/>
              <w:rPr>
                <w:color w:val="000000"/>
              </w:rPr>
            </w:pPr>
            <w:r w:rsidRPr="007B5FB0">
              <w:rPr>
                <w:color w:val="000000"/>
              </w:rPr>
              <w:t>56.2</w:t>
            </w:r>
          </w:p>
        </w:tc>
      </w:tr>
      <w:tr w:rsidR="00D17AD3" w:rsidRPr="007B5FB0" w14:paraId="79BD4262" w14:textId="77777777" w:rsidTr="00D17AD3">
        <w:trPr>
          <w:trHeight w:val="265"/>
        </w:trPr>
        <w:tc>
          <w:tcPr>
            <w:tcW w:w="1134" w:type="dxa"/>
            <w:tcBorders>
              <w:top w:val="single" w:sz="4" w:space="0" w:color="auto"/>
              <w:left w:val="nil"/>
              <w:bottom w:val="single" w:sz="4" w:space="0" w:color="auto"/>
              <w:right w:val="nil"/>
            </w:tcBorders>
            <w:shd w:val="clear" w:color="auto" w:fill="auto"/>
            <w:vAlign w:val="bottom"/>
          </w:tcPr>
          <w:p w14:paraId="2D18922C" w14:textId="77777777" w:rsidR="00D17AD3" w:rsidRPr="007B5FB0" w:rsidRDefault="00D17AD3" w:rsidP="009E359E">
            <w:pPr>
              <w:pStyle w:val="VEOHRCBodytext"/>
              <w:rPr>
                <w:color w:val="000000"/>
              </w:rPr>
            </w:pPr>
            <w:r w:rsidRPr="007B5FB0">
              <w:rPr>
                <w:color w:val="000000"/>
              </w:rPr>
              <w:t>June 2018</w:t>
            </w:r>
          </w:p>
        </w:tc>
        <w:tc>
          <w:tcPr>
            <w:tcW w:w="1113" w:type="dxa"/>
            <w:tcBorders>
              <w:top w:val="single" w:sz="4" w:space="0" w:color="auto"/>
              <w:left w:val="nil"/>
              <w:bottom w:val="single" w:sz="4" w:space="0" w:color="auto"/>
              <w:right w:val="nil"/>
            </w:tcBorders>
            <w:shd w:val="clear" w:color="auto" w:fill="auto"/>
            <w:vAlign w:val="bottom"/>
          </w:tcPr>
          <w:p w14:paraId="22AC5A7C" w14:textId="77777777" w:rsidR="00D17AD3" w:rsidRPr="00D17AD3" w:rsidRDefault="00D17AD3" w:rsidP="009E359E">
            <w:pPr>
              <w:pStyle w:val="VEOHRCBodytext"/>
              <w:jc w:val="right"/>
            </w:pPr>
            <w:r w:rsidRPr="00D17AD3">
              <w:t>40</w:t>
            </w:r>
          </w:p>
        </w:tc>
        <w:tc>
          <w:tcPr>
            <w:tcW w:w="773" w:type="dxa"/>
            <w:tcBorders>
              <w:top w:val="single" w:sz="4" w:space="0" w:color="auto"/>
              <w:left w:val="nil"/>
              <w:bottom w:val="single" w:sz="4" w:space="0" w:color="auto"/>
              <w:right w:val="nil"/>
            </w:tcBorders>
            <w:shd w:val="clear" w:color="auto" w:fill="auto"/>
            <w:vAlign w:val="bottom"/>
          </w:tcPr>
          <w:p w14:paraId="4917F8E0" w14:textId="77777777" w:rsidR="00D17AD3" w:rsidRPr="00D17AD3" w:rsidRDefault="00D17AD3" w:rsidP="009E359E">
            <w:pPr>
              <w:pStyle w:val="VEOHRCBodytext"/>
              <w:jc w:val="right"/>
            </w:pPr>
            <w:r w:rsidRPr="00D17AD3">
              <w:t>36.1</w:t>
            </w:r>
          </w:p>
        </w:tc>
        <w:tc>
          <w:tcPr>
            <w:tcW w:w="1288" w:type="dxa"/>
            <w:tcBorders>
              <w:top w:val="single" w:sz="4" w:space="0" w:color="auto"/>
              <w:left w:val="nil"/>
              <w:bottom w:val="single" w:sz="4" w:space="0" w:color="auto"/>
              <w:right w:val="nil"/>
            </w:tcBorders>
            <w:shd w:val="clear" w:color="auto" w:fill="auto"/>
            <w:vAlign w:val="bottom"/>
          </w:tcPr>
          <w:p w14:paraId="37B37B33" w14:textId="77777777" w:rsidR="00D17AD3" w:rsidRPr="00D17AD3" w:rsidRDefault="00D17AD3" w:rsidP="009E359E">
            <w:pPr>
              <w:pStyle w:val="VEOHRCBodytext"/>
              <w:jc w:val="right"/>
            </w:pPr>
            <w:r w:rsidRPr="00D17AD3">
              <w:t>17</w:t>
            </w:r>
          </w:p>
        </w:tc>
        <w:tc>
          <w:tcPr>
            <w:tcW w:w="972" w:type="dxa"/>
            <w:tcBorders>
              <w:top w:val="single" w:sz="4" w:space="0" w:color="auto"/>
              <w:left w:val="nil"/>
              <w:bottom w:val="single" w:sz="4" w:space="0" w:color="auto"/>
              <w:right w:val="nil"/>
            </w:tcBorders>
            <w:shd w:val="clear" w:color="auto" w:fill="auto"/>
            <w:vAlign w:val="bottom"/>
          </w:tcPr>
          <w:p w14:paraId="7B8A147D" w14:textId="77777777" w:rsidR="00D17AD3" w:rsidRPr="00D17AD3" w:rsidRDefault="00D17AD3" w:rsidP="009E359E">
            <w:pPr>
              <w:pStyle w:val="VEOHRCBodytext"/>
              <w:jc w:val="right"/>
            </w:pPr>
            <w:r w:rsidRPr="00D17AD3">
              <w:t>15.3</w:t>
            </w:r>
          </w:p>
        </w:tc>
        <w:tc>
          <w:tcPr>
            <w:tcW w:w="1288" w:type="dxa"/>
            <w:tcBorders>
              <w:top w:val="single" w:sz="4" w:space="0" w:color="auto"/>
              <w:left w:val="nil"/>
              <w:bottom w:val="single" w:sz="4" w:space="0" w:color="auto"/>
              <w:right w:val="nil"/>
            </w:tcBorders>
            <w:shd w:val="clear" w:color="auto" w:fill="auto"/>
            <w:vAlign w:val="bottom"/>
          </w:tcPr>
          <w:p w14:paraId="7B40EBC1" w14:textId="77777777" w:rsidR="00D17AD3" w:rsidRPr="007B5FB0" w:rsidRDefault="00D17AD3" w:rsidP="009E359E">
            <w:pPr>
              <w:pStyle w:val="VEOHRCBodytext"/>
              <w:jc w:val="right"/>
              <w:rPr>
                <w:color w:val="000000"/>
              </w:rPr>
            </w:pPr>
            <w:r w:rsidRPr="007B5FB0">
              <w:rPr>
                <w:color w:val="000000"/>
              </w:rPr>
              <w:t>0</w:t>
            </w:r>
          </w:p>
        </w:tc>
        <w:tc>
          <w:tcPr>
            <w:tcW w:w="1100" w:type="dxa"/>
            <w:tcBorders>
              <w:top w:val="single" w:sz="4" w:space="0" w:color="auto"/>
              <w:left w:val="nil"/>
              <w:bottom w:val="single" w:sz="4" w:space="0" w:color="auto"/>
              <w:right w:val="nil"/>
            </w:tcBorders>
            <w:shd w:val="clear" w:color="auto" w:fill="auto"/>
            <w:vAlign w:val="bottom"/>
          </w:tcPr>
          <w:p w14:paraId="04A13E22" w14:textId="77777777" w:rsidR="00D17AD3" w:rsidRPr="007B5FB0" w:rsidRDefault="00D17AD3" w:rsidP="009E359E">
            <w:pPr>
              <w:pStyle w:val="VEOHRCBodytext"/>
              <w:jc w:val="right"/>
              <w:rPr>
                <w:color w:val="000000"/>
              </w:rPr>
            </w:pPr>
            <w:r w:rsidRPr="007B5FB0">
              <w:rPr>
                <w:color w:val="000000"/>
              </w:rPr>
              <w:t>0</w:t>
            </w:r>
          </w:p>
        </w:tc>
        <w:tc>
          <w:tcPr>
            <w:tcW w:w="1495" w:type="dxa"/>
            <w:tcBorders>
              <w:top w:val="single" w:sz="4" w:space="0" w:color="auto"/>
              <w:left w:val="nil"/>
              <w:bottom w:val="single" w:sz="4" w:space="0" w:color="auto"/>
              <w:right w:val="nil"/>
            </w:tcBorders>
            <w:shd w:val="clear" w:color="auto" w:fill="auto"/>
            <w:vAlign w:val="bottom"/>
          </w:tcPr>
          <w:p w14:paraId="38D94AEF" w14:textId="77777777" w:rsidR="00D17AD3" w:rsidRPr="007B5FB0" w:rsidRDefault="00D17AD3" w:rsidP="009E359E">
            <w:pPr>
              <w:pStyle w:val="VEOHRCBodytext"/>
              <w:jc w:val="right"/>
              <w:rPr>
                <w:color w:val="000000"/>
              </w:rPr>
            </w:pPr>
            <w:r w:rsidRPr="007B5FB0">
              <w:rPr>
                <w:color w:val="000000"/>
              </w:rPr>
              <w:t>57</w:t>
            </w:r>
          </w:p>
        </w:tc>
        <w:tc>
          <w:tcPr>
            <w:tcW w:w="618" w:type="dxa"/>
            <w:tcBorders>
              <w:top w:val="single" w:sz="4" w:space="0" w:color="auto"/>
              <w:left w:val="nil"/>
              <w:bottom w:val="single" w:sz="4" w:space="0" w:color="auto"/>
              <w:right w:val="nil"/>
            </w:tcBorders>
            <w:shd w:val="clear" w:color="auto" w:fill="auto"/>
            <w:vAlign w:val="bottom"/>
          </w:tcPr>
          <w:p w14:paraId="031C8F97" w14:textId="77777777" w:rsidR="00D17AD3" w:rsidRPr="007B5FB0" w:rsidRDefault="00D17AD3" w:rsidP="009E359E">
            <w:pPr>
              <w:pStyle w:val="VEOHRCBodytext"/>
              <w:jc w:val="right"/>
              <w:rPr>
                <w:color w:val="000000"/>
              </w:rPr>
            </w:pPr>
            <w:r w:rsidRPr="007B5FB0">
              <w:rPr>
                <w:color w:val="000000"/>
              </w:rPr>
              <w:t>51.4</w:t>
            </w:r>
          </w:p>
        </w:tc>
      </w:tr>
    </w:tbl>
    <w:p w14:paraId="6CA8A216" w14:textId="77777777" w:rsidR="00D17AD3" w:rsidRDefault="00D17AD3" w:rsidP="00D17AD3">
      <w:pPr>
        <w:pStyle w:val="VEOHRCHeading3"/>
        <w:rPr>
          <w:rFonts w:eastAsia="Arial Unicode MS"/>
        </w:rPr>
      </w:pPr>
    </w:p>
    <w:p w14:paraId="1C5F19E9" w14:textId="102D278E" w:rsidR="00D17AD3" w:rsidRPr="007B5FB0" w:rsidRDefault="00D17AD3" w:rsidP="00D17AD3">
      <w:pPr>
        <w:pStyle w:val="VEOHRCHeading3"/>
      </w:pPr>
      <w:r>
        <w:rPr>
          <w:rFonts w:eastAsia="Arial Unicode MS"/>
        </w:rPr>
        <w:br w:type="page"/>
      </w:r>
      <w:r w:rsidRPr="007B5FB0">
        <w:lastRenderedPageBreak/>
        <w:t>Details of employment levels in June 2018</w:t>
      </w:r>
    </w:p>
    <w:tbl>
      <w:tblPr>
        <w:tblW w:w="9087" w:type="dxa"/>
        <w:tblInd w:w="28" w:type="dxa"/>
        <w:tblBorders>
          <w:bottom w:val="single" w:sz="12" w:space="0" w:color="auto"/>
        </w:tblBorders>
        <w:tblLayout w:type="fixed"/>
        <w:tblCellMar>
          <w:left w:w="43" w:type="dxa"/>
          <w:right w:w="43" w:type="dxa"/>
        </w:tblCellMar>
        <w:tblLook w:val="06A0" w:firstRow="1" w:lastRow="0" w:firstColumn="1" w:lastColumn="0" w:noHBand="1" w:noVBand="1"/>
      </w:tblPr>
      <w:tblGrid>
        <w:gridCol w:w="567"/>
        <w:gridCol w:w="2859"/>
        <w:gridCol w:w="1252"/>
        <w:gridCol w:w="558"/>
        <w:gridCol w:w="1252"/>
        <w:gridCol w:w="615"/>
        <w:gridCol w:w="1252"/>
        <w:gridCol w:w="732"/>
      </w:tblGrid>
      <w:tr w:rsidR="00D17AD3" w:rsidRPr="007B5FB0" w14:paraId="5E791336" w14:textId="77777777" w:rsidTr="009E359E">
        <w:trPr>
          <w:trHeight w:val="340"/>
        </w:trPr>
        <w:tc>
          <w:tcPr>
            <w:tcW w:w="3426" w:type="dxa"/>
            <w:gridSpan w:val="2"/>
            <w:vMerge w:val="restart"/>
            <w:tcBorders>
              <w:bottom w:val="single" w:sz="4" w:space="0" w:color="000000"/>
              <w:right w:val="single" w:sz="4" w:space="0" w:color="FFFFFF"/>
            </w:tcBorders>
            <w:shd w:val="clear" w:color="auto" w:fill="FFFFFF"/>
            <w:vAlign w:val="bottom"/>
          </w:tcPr>
          <w:p w14:paraId="0771B320" w14:textId="77777777" w:rsidR="00D17AD3" w:rsidRPr="007B5FB0" w:rsidRDefault="00D17AD3" w:rsidP="009E359E"/>
        </w:tc>
        <w:tc>
          <w:tcPr>
            <w:tcW w:w="5661" w:type="dxa"/>
            <w:gridSpan w:val="6"/>
            <w:tcBorders>
              <w:left w:val="single" w:sz="4" w:space="0" w:color="FFFFFF"/>
              <w:bottom w:val="single" w:sz="4" w:space="0" w:color="FFFFFF"/>
              <w:right w:val="single" w:sz="4" w:space="0" w:color="FFFFFF"/>
            </w:tcBorders>
            <w:shd w:val="clear" w:color="auto" w:fill="000000"/>
            <w:vAlign w:val="bottom"/>
          </w:tcPr>
          <w:p w14:paraId="2FF17DEF" w14:textId="77777777" w:rsidR="00D17AD3" w:rsidRPr="007B5FB0" w:rsidRDefault="00D17AD3" w:rsidP="009E359E">
            <w:r w:rsidRPr="007B5FB0">
              <w:t>June 2018</w:t>
            </w:r>
          </w:p>
        </w:tc>
      </w:tr>
      <w:tr w:rsidR="00D17AD3" w:rsidRPr="007B5FB0" w14:paraId="130A6FF4" w14:textId="77777777" w:rsidTr="009E359E">
        <w:trPr>
          <w:cantSplit/>
          <w:trHeight w:val="340"/>
        </w:trPr>
        <w:tc>
          <w:tcPr>
            <w:tcW w:w="3426" w:type="dxa"/>
            <w:gridSpan w:val="2"/>
            <w:vMerge/>
            <w:tcBorders>
              <w:bottom w:val="single" w:sz="4" w:space="0" w:color="000000"/>
              <w:right w:val="single" w:sz="4" w:space="0" w:color="FFFFFF"/>
            </w:tcBorders>
            <w:shd w:val="clear" w:color="auto" w:fill="FFFFFF"/>
            <w:vAlign w:val="bottom"/>
          </w:tcPr>
          <w:p w14:paraId="65E2F334" w14:textId="77777777" w:rsidR="00D17AD3" w:rsidRPr="007B5FB0" w:rsidRDefault="00D17AD3" w:rsidP="009E359E"/>
        </w:tc>
        <w:tc>
          <w:tcPr>
            <w:tcW w:w="1810" w:type="dxa"/>
            <w:gridSpan w:val="2"/>
            <w:tcBorders>
              <w:top w:val="single" w:sz="4" w:space="0" w:color="FFFFFF"/>
              <w:left w:val="single" w:sz="4" w:space="0" w:color="FFFFFF"/>
              <w:bottom w:val="nil"/>
              <w:right w:val="single" w:sz="4" w:space="0" w:color="FFFFFF"/>
            </w:tcBorders>
            <w:shd w:val="clear" w:color="auto" w:fill="000000"/>
            <w:vAlign w:val="bottom"/>
          </w:tcPr>
          <w:p w14:paraId="4E990401" w14:textId="77777777" w:rsidR="00D17AD3" w:rsidRPr="007B5FB0" w:rsidRDefault="00D17AD3" w:rsidP="009E359E">
            <w:r w:rsidRPr="007B5FB0">
              <w:t>All employees</w:t>
            </w:r>
          </w:p>
        </w:tc>
        <w:tc>
          <w:tcPr>
            <w:tcW w:w="1867" w:type="dxa"/>
            <w:gridSpan w:val="2"/>
            <w:tcBorders>
              <w:top w:val="single" w:sz="4" w:space="0" w:color="FFFFFF"/>
              <w:left w:val="single" w:sz="4" w:space="0" w:color="FFFFFF"/>
              <w:bottom w:val="nil"/>
              <w:right w:val="single" w:sz="4" w:space="0" w:color="FFFFFF"/>
            </w:tcBorders>
            <w:shd w:val="clear" w:color="auto" w:fill="000000"/>
            <w:vAlign w:val="bottom"/>
          </w:tcPr>
          <w:p w14:paraId="5F3B8CB4" w14:textId="77777777" w:rsidR="00D17AD3" w:rsidRPr="007B5FB0" w:rsidRDefault="00D17AD3" w:rsidP="009E359E">
            <w:r w:rsidRPr="007B5FB0">
              <w:t>Ongoing</w:t>
            </w:r>
          </w:p>
        </w:tc>
        <w:tc>
          <w:tcPr>
            <w:tcW w:w="1984" w:type="dxa"/>
            <w:gridSpan w:val="2"/>
            <w:tcBorders>
              <w:top w:val="single" w:sz="4" w:space="0" w:color="FFFFFF"/>
              <w:left w:val="single" w:sz="4" w:space="0" w:color="FFFFFF"/>
              <w:bottom w:val="nil"/>
              <w:right w:val="single" w:sz="4" w:space="0" w:color="FFFFFF"/>
            </w:tcBorders>
            <w:shd w:val="clear" w:color="auto" w:fill="000000"/>
            <w:vAlign w:val="bottom"/>
          </w:tcPr>
          <w:p w14:paraId="0A91B647" w14:textId="77777777" w:rsidR="00D17AD3" w:rsidRPr="007B5FB0" w:rsidRDefault="00D17AD3" w:rsidP="009E359E">
            <w:r w:rsidRPr="007B5FB0">
              <w:t xml:space="preserve">Fixed term </w:t>
            </w:r>
            <w:r w:rsidRPr="007B5FB0">
              <w:br/>
              <w:t>and casual</w:t>
            </w:r>
          </w:p>
        </w:tc>
      </w:tr>
      <w:tr w:rsidR="00D17AD3" w:rsidRPr="007B5FB0" w14:paraId="18CA012D" w14:textId="77777777" w:rsidTr="009E359E">
        <w:trPr>
          <w:cantSplit/>
          <w:trHeight w:val="340"/>
        </w:trPr>
        <w:tc>
          <w:tcPr>
            <w:tcW w:w="3426" w:type="dxa"/>
            <w:gridSpan w:val="2"/>
            <w:vMerge/>
            <w:tcBorders>
              <w:bottom w:val="single" w:sz="4" w:space="0" w:color="000000"/>
              <w:right w:val="single" w:sz="4" w:space="0" w:color="FFFFFF"/>
            </w:tcBorders>
            <w:shd w:val="clear" w:color="auto" w:fill="FFFFFF"/>
            <w:vAlign w:val="bottom"/>
          </w:tcPr>
          <w:p w14:paraId="127592EC" w14:textId="77777777" w:rsidR="00D17AD3" w:rsidRPr="007B5FB0" w:rsidRDefault="00D17AD3" w:rsidP="009E359E">
            <w:pPr>
              <w:rPr>
                <w:noProof/>
              </w:rPr>
            </w:pPr>
          </w:p>
        </w:tc>
        <w:tc>
          <w:tcPr>
            <w:tcW w:w="1252" w:type="dxa"/>
            <w:tcBorders>
              <w:top w:val="nil"/>
              <w:left w:val="single" w:sz="4" w:space="0" w:color="FFFFFF"/>
              <w:bottom w:val="nil"/>
              <w:right w:val="nil"/>
            </w:tcBorders>
            <w:shd w:val="clear" w:color="auto" w:fill="000000"/>
            <w:vAlign w:val="bottom"/>
          </w:tcPr>
          <w:p w14:paraId="439232D0" w14:textId="77777777" w:rsidR="00D17AD3" w:rsidRPr="007B5FB0" w:rsidRDefault="00D17AD3" w:rsidP="009E359E">
            <w:pPr>
              <w:rPr>
                <w:noProof/>
              </w:rPr>
            </w:pPr>
            <w:r w:rsidRPr="007B5FB0">
              <w:rPr>
                <w:noProof/>
              </w:rPr>
              <w:t>Headcount</w:t>
            </w:r>
          </w:p>
        </w:tc>
        <w:tc>
          <w:tcPr>
            <w:tcW w:w="558" w:type="dxa"/>
            <w:tcBorders>
              <w:top w:val="nil"/>
              <w:left w:val="nil"/>
              <w:bottom w:val="nil"/>
              <w:right w:val="single" w:sz="4" w:space="0" w:color="FFFFFF"/>
            </w:tcBorders>
            <w:shd w:val="clear" w:color="auto" w:fill="000000"/>
            <w:vAlign w:val="bottom"/>
          </w:tcPr>
          <w:p w14:paraId="5AB42F8D" w14:textId="77777777" w:rsidR="00D17AD3" w:rsidRPr="007B5FB0" w:rsidRDefault="00D17AD3" w:rsidP="009E359E">
            <w:pPr>
              <w:rPr>
                <w:noProof/>
              </w:rPr>
            </w:pPr>
            <w:r w:rsidRPr="007B5FB0">
              <w:rPr>
                <w:noProof/>
              </w:rPr>
              <w:t>FTE</w:t>
            </w:r>
          </w:p>
        </w:tc>
        <w:tc>
          <w:tcPr>
            <w:tcW w:w="1252" w:type="dxa"/>
            <w:tcBorders>
              <w:top w:val="nil"/>
              <w:left w:val="single" w:sz="4" w:space="0" w:color="FFFFFF"/>
              <w:bottom w:val="nil"/>
              <w:right w:val="nil"/>
            </w:tcBorders>
            <w:shd w:val="clear" w:color="auto" w:fill="000000"/>
            <w:vAlign w:val="bottom"/>
          </w:tcPr>
          <w:p w14:paraId="4D9113D5" w14:textId="77777777" w:rsidR="00D17AD3" w:rsidRPr="007B5FB0" w:rsidRDefault="00D17AD3" w:rsidP="009E359E">
            <w:pPr>
              <w:rPr>
                <w:noProof/>
              </w:rPr>
            </w:pPr>
            <w:r w:rsidRPr="007B5FB0">
              <w:rPr>
                <w:noProof/>
              </w:rPr>
              <w:t>Headcount</w:t>
            </w:r>
          </w:p>
        </w:tc>
        <w:tc>
          <w:tcPr>
            <w:tcW w:w="615" w:type="dxa"/>
            <w:tcBorders>
              <w:top w:val="nil"/>
              <w:left w:val="nil"/>
              <w:bottom w:val="nil"/>
              <w:right w:val="single" w:sz="4" w:space="0" w:color="FFFFFF"/>
            </w:tcBorders>
            <w:shd w:val="clear" w:color="auto" w:fill="000000"/>
            <w:vAlign w:val="bottom"/>
          </w:tcPr>
          <w:p w14:paraId="51B2A387" w14:textId="77777777" w:rsidR="00D17AD3" w:rsidRPr="007B5FB0" w:rsidRDefault="00D17AD3" w:rsidP="009E359E">
            <w:pPr>
              <w:rPr>
                <w:noProof/>
              </w:rPr>
            </w:pPr>
            <w:r w:rsidRPr="007B5FB0">
              <w:rPr>
                <w:noProof/>
              </w:rPr>
              <w:t>FTE</w:t>
            </w:r>
          </w:p>
        </w:tc>
        <w:tc>
          <w:tcPr>
            <w:tcW w:w="1252" w:type="dxa"/>
            <w:tcBorders>
              <w:top w:val="nil"/>
              <w:left w:val="single" w:sz="4" w:space="0" w:color="FFFFFF"/>
              <w:bottom w:val="nil"/>
              <w:right w:val="nil"/>
            </w:tcBorders>
            <w:shd w:val="clear" w:color="auto" w:fill="000000"/>
            <w:vAlign w:val="bottom"/>
          </w:tcPr>
          <w:p w14:paraId="4D384104" w14:textId="77777777" w:rsidR="00D17AD3" w:rsidRPr="007B5FB0" w:rsidRDefault="00D17AD3" w:rsidP="009E359E">
            <w:pPr>
              <w:rPr>
                <w:noProof/>
              </w:rPr>
            </w:pPr>
            <w:r w:rsidRPr="007B5FB0">
              <w:rPr>
                <w:noProof/>
              </w:rPr>
              <w:t>Headcount</w:t>
            </w:r>
          </w:p>
        </w:tc>
        <w:tc>
          <w:tcPr>
            <w:tcW w:w="732" w:type="dxa"/>
            <w:tcBorders>
              <w:top w:val="nil"/>
              <w:left w:val="nil"/>
              <w:bottom w:val="nil"/>
              <w:right w:val="single" w:sz="4" w:space="0" w:color="FFFFFF"/>
            </w:tcBorders>
            <w:shd w:val="clear" w:color="auto" w:fill="000000"/>
            <w:vAlign w:val="bottom"/>
          </w:tcPr>
          <w:p w14:paraId="02232188" w14:textId="77777777" w:rsidR="00D17AD3" w:rsidRPr="007B5FB0" w:rsidRDefault="00D17AD3" w:rsidP="009E359E">
            <w:pPr>
              <w:rPr>
                <w:noProof/>
              </w:rPr>
            </w:pPr>
            <w:r w:rsidRPr="007B5FB0">
              <w:rPr>
                <w:noProof/>
              </w:rPr>
              <w:t>FTE</w:t>
            </w:r>
          </w:p>
        </w:tc>
      </w:tr>
      <w:tr w:rsidR="00D17AD3" w:rsidRPr="007B5FB0" w14:paraId="7101C980" w14:textId="77777777" w:rsidTr="009E359E">
        <w:trPr>
          <w:cantSplit/>
          <w:trHeight w:val="340"/>
        </w:trPr>
        <w:tc>
          <w:tcPr>
            <w:tcW w:w="567" w:type="dxa"/>
            <w:vMerge w:val="restart"/>
            <w:tcBorders>
              <w:top w:val="single" w:sz="4" w:space="0" w:color="000000"/>
            </w:tcBorders>
            <w:shd w:val="clear" w:color="auto" w:fill="auto"/>
            <w:textDirection w:val="btLr"/>
            <w:vAlign w:val="bottom"/>
          </w:tcPr>
          <w:p w14:paraId="189BD99E" w14:textId="77777777" w:rsidR="00D17AD3" w:rsidRPr="007B5FB0" w:rsidRDefault="00D17AD3" w:rsidP="009E359E">
            <w:pPr>
              <w:pStyle w:val="VEOHRCBodytext"/>
              <w:rPr>
                <w:rFonts w:eastAsia="Arial"/>
                <w:b/>
                <w:lang w:eastAsia="en-US"/>
              </w:rPr>
            </w:pPr>
            <w:r w:rsidRPr="007B5FB0">
              <w:rPr>
                <w:rFonts w:eastAsia="Arial"/>
                <w:b/>
                <w:lang w:eastAsia="en-US"/>
              </w:rPr>
              <w:t>Demographic data</w:t>
            </w:r>
          </w:p>
        </w:tc>
        <w:tc>
          <w:tcPr>
            <w:tcW w:w="2859" w:type="dxa"/>
            <w:tcBorders>
              <w:top w:val="single" w:sz="4" w:space="0" w:color="000000"/>
              <w:bottom w:val="nil"/>
              <w:right w:val="single" w:sz="4" w:space="0" w:color="auto"/>
            </w:tcBorders>
            <w:shd w:val="clear" w:color="auto" w:fill="auto"/>
            <w:vAlign w:val="bottom"/>
          </w:tcPr>
          <w:p w14:paraId="2DF84AB5" w14:textId="77777777" w:rsidR="00D17AD3" w:rsidRPr="007B5FB0" w:rsidRDefault="00D17AD3" w:rsidP="009E359E">
            <w:pPr>
              <w:rPr>
                <w:rFonts w:eastAsia="Arial"/>
                <w:b/>
                <w:color w:val="000000"/>
                <w:lang w:eastAsia="en-US"/>
              </w:rPr>
            </w:pPr>
            <w:r w:rsidRPr="007B5FB0">
              <w:rPr>
                <w:rFonts w:eastAsia="Arial"/>
                <w:b/>
                <w:color w:val="000000"/>
                <w:lang w:eastAsia="en-US"/>
              </w:rPr>
              <w:t>Gender</w:t>
            </w:r>
          </w:p>
        </w:tc>
        <w:tc>
          <w:tcPr>
            <w:tcW w:w="1252" w:type="dxa"/>
            <w:tcBorders>
              <w:bottom w:val="nil"/>
              <w:right w:val="nil"/>
            </w:tcBorders>
            <w:shd w:val="clear" w:color="auto" w:fill="auto"/>
            <w:vAlign w:val="bottom"/>
          </w:tcPr>
          <w:p w14:paraId="2956C019" w14:textId="77777777" w:rsidR="00D17AD3" w:rsidRPr="007B5FB0" w:rsidRDefault="00D17AD3" w:rsidP="009E359E">
            <w:pPr>
              <w:rPr>
                <w:color w:val="000000"/>
              </w:rPr>
            </w:pPr>
          </w:p>
        </w:tc>
        <w:tc>
          <w:tcPr>
            <w:tcW w:w="558" w:type="dxa"/>
            <w:tcBorders>
              <w:left w:val="nil"/>
              <w:bottom w:val="nil"/>
              <w:right w:val="single" w:sz="4" w:space="0" w:color="auto"/>
            </w:tcBorders>
            <w:vAlign w:val="bottom"/>
          </w:tcPr>
          <w:p w14:paraId="0014375B" w14:textId="77777777" w:rsidR="00D17AD3" w:rsidRPr="007B5FB0" w:rsidRDefault="00D17AD3" w:rsidP="009E359E">
            <w:pPr>
              <w:rPr>
                <w:color w:val="000000"/>
              </w:rPr>
            </w:pPr>
          </w:p>
        </w:tc>
        <w:tc>
          <w:tcPr>
            <w:tcW w:w="1252" w:type="dxa"/>
            <w:tcBorders>
              <w:left w:val="single" w:sz="4" w:space="0" w:color="auto"/>
              <w:bottom w:val="nil"/>
              <w:right w:val="nil"/>
            </w:tcBorders>
            <w:shd w:val="clear" w:color="auto" w:fill="auto"/>
            <w:vAlign w:val="bottom"/>
          </w:tcPr>
          <w:p w14:paraId="229C6159" w14:textId="77777777" w:rsidR="00D17AD3" w:rsidRPr="007B5FB0" w:rsidRDefault="00D17AD3" w:rsidP="009E359E">
            <w:pPr>
              <w:rPr>
                <w:color w:val="000000"/>
              </w:rPr>
            </w:pPr>
          </w:p>
        </w:tc>
        <w:tc>
          <w:tcPr>
            <w:tcW w:w="615" w:type="dxa"/>
            <w:tcBorders>
              <w:left w:val="nil"/>
              <w:bottom w:val="nil"/>
              <w:right w:val="single" w:sz="4" w:space="0" w:color="auto"/>
            </w:tcBorders>
            <w:shd w:val="clear" w:color="auto" w:fill="auto"/>
            <w:vAlign w:val="bottom"/>
          </w:tcPr>
          <w:p w14:paraId="644F4B27" w14:textId="77777777" w:rsidR="00D17AD3" w:rsidRPr="007B5FB0" w:rsidRDefault="00D17AD3" w:rsidP="009E359E">
            <w:pPr>
              <w:rPr>
                <w:color w:val="000000"/>
              </w:rPr>
            </w:pPr>
          </w:p>
        </w:tc>
        <w:tc>
          <w:tcPr>
            <w:tcW w:w="1252" w:type="dxa"/>
            <w:tcBorders>
              <w:left w:val="single" w:sz="4" w:space="0" w:color="auto"/>
              <w:bottom w:val="nil"/>
              <w:right w:val="nil"/>
            </w:tcBorders>
            <w:shd w:val="clear" w:color="auto" w:fill="auto"/>
            <w:vAlign w:val="bottom"/>
          </w:tcPr>
          <w:p w14:paraId="51030B02" w14:textId="77777777" w:rsidR="00D17AD3" w:rsidRPr="007B5FB0" w:rsidRDefault="00D17AD3" w:rsidP="009E359E">
            <w:pPr>
              <w:rPr>
                <w:color w:val="000000"/>
              </w:rPr>
            </w:pPr>
          </w:p>
        </w:tc>
        <w:tc>
          <w:tcPr>
            <w:tcW w:w="732" w:type="dxa"/>
            <w:tcBorders>
              <w:left w:val="nil"/>
              <w:bottom w:val="nil"/>
              <w:right w:val="single" w:sz="4" w:space="0" w:color="auto"/>
            </w:tcBorders>
            <w:shd w:val="clear" w:color="auto" w:fill="auto"/>
            <w:vAlign w:val="bottom"/>
          </w:tcPr>
          <w:p w14:paraId="7CCA1E85" w14:textId="77777777" w:rsidR="00D17AD3" w:rsidRPr="007B5FB0" w:rsidRDefault="00D17AD3" w:rsidP="009E359E">
            <w:pPr>
              <w:rPr>
                <w:color w:val="000000"/>
              </w:rPr>
            </w:pPr>
          </w:p>
        </w:tc>
      </w:tr>
      <w:tr w:rsidR="00D17AD3" w:rsidRPr="007B5FB0" w14:paraId="50DBA36B" w14:textId="77777777" w:rsidTr="00D17AD3">
        <w:trPr>
          <w:cantSplit/>
          <w:trHeight w:val="340"/>
        </w:trPr>
        <w:tc>
          <w:tcPr>
            <w:tcW w:w="567" w:type="dxa"/>
            <w:vMerge/>
            <w:shd w:val="clear" w:color="auto" w:fill="auto"/>
            <w:textDirection w:val="btLr"/>
            <w:vAlign w:val="bottom"/>
          </w:tcPr>
          <w:p w14:paraId="6C9C36FF" w14:textId="77777777" w:rsidR="00D17AD3" w:rsidRPr="007B5FB0" w:rsidRDefault="00D17AD3" w:rsidP="009E359E">
            <w:pPr>
              <w:pStyle w:val="VEOHRCBodytext"/>
              <w:rPr>
                <w:lang w:eastAsia="en-US"/>
              </w:rPr>
            </w:pPr>
          </w:p>
        </w:tc>
        <w:tc>
          <w:tcPr>
            <w:tcW w:w="2859" w:type="dxa"/>
            <w:tcBorders>
              <w:top w:val="nil"/>
              <w:right w:val="single" w:sz="4" w:space="0" w:color="auto"/>
            </w:tcBorders>
            <w:shd w:val="clear" w:color="auto" w:fill="auto"/>
            <w:vAlign w:val="bottom"/>
          </w:tcPr>
          <w:p w14:paraId="3FF6CC73" w14:textId="77777777" w:rsidR="00D17AD3" w:rsidRPr="007B5FB0" w:rsidRDefault="00D17AD3" w:rsidP="009E359E">
            <w:pPr>
              <w:rPr>
                <w:noProof/>
                <w:color w:val="000000"/>
              </w:rPr>
            </w:pPr>
            <w:r w:rsidRPr="007B5FB0">
              <w:rPr>
                <w:noProof/>
                <w:color w:val="000000"/>
              </w:rPr>
              <w:t>Male</w:t>
            </w:r>
          </w:p>
        </w:tc>
        <w:tc>
          <w:tcPr>
            <w:tcW w:w="1252" w:type="dxa"/>
            <w:tcBorders>
              <w:top w:val="nil"/>
              <w:right w:val="nil"/>
            </w:tcBorders>
            <w:shd w:val="clear" w:color="auto" w:fill="auto"/>
            <w:vAlign w:val="bottom"/>
          </w:tcPr>
          <w:p w14:paraId="7A0E1C55" w14:textId="77777777" w:rsidR="00D17AD3" w:rsidRPr="007B5FB0" w:rsidRDefault="00D17AD3" w:rsidP="009E359E">
            <w:pPr>
              <w:rPr>
                <w:color w:val="000000"/>
              </w:rPr>
            </w:pPr>
            <w:r w:rsidRPr="007B5FB0">
              <w:rPr>
                <w:rFonts w:eastAsia="Calibri"/>
                <w:color w:val="000000"/>
              </w:rPr>
              <w:t>12</w:t>
            </w:r>
          </w:p>
        </w:tc>
        <w:tc>
          <w:tcPr>
            <w:tcW w:w="558" w:type="dxa"/>
            <w:tcBorders>
              <w:top w:val="nil"/>
              <w:left w:val="nil"/>
              <w:right w:val="single" w:sz="4" w:space="0" w:color="auto"/>
            </w:tcBorders>
            <w:shd w:val="clear" w:color="auto" w:fill="auto"/>
            <w:vAlign w:val="bottom"/>
          </w:tcPr>
          <w:p w14:paraId="0A61F0CD" w14:textId="77777777" w:rsidR="00D17AD3" w:rsidRPr="007B5FB0" w:rsidRDefault="00D17AD3" w:rsidP="009E359E">
            <w:pPr>
              <w:rPr>
                <w:rFonts w:cs="Calibri"/>
                <w:color w:val="000000"/>
              </w:rPr>
            </w:pPr>
            <w:r w:rsidRPr="007B5FB0">
              <w:rPr>
                <w:rFonts w:cs="Calibri"/>
                <w:color w:val="000000"/>
              </w:rPr>
              <w:t>11.1</w:t>
            </w:r>
          </w:p>
        </w:tc>
        <w:tc>
          <w:tcPr>
            <w:tcW w:w="1252" w:type="dxa"/>
            <w:tcBorders>
              <w:top w:val="nil"/>
              <w:left w:val="single" w:sz="4" w:space="0" w:color="auto"/>
              <w:right w:val="nil"/>
            </w:tcBorders>
            <w:shd w:val="clear" w:color="auto" w:fill="auto"/>
            <w:vAlign w:val="bottom"/>
          </w:tcPr>
          <w:p w14:paraId="6A5FAF21" w14:textId="77777777" w:rsidR="00D17AD3" w:rsidRPr="007B5FB0" w:rsidRDefault="00D17AD3" w:rsidP="009E359E">
            <w:pPr>
              <w:rPr>
                <w:color w:val="000000"/>
              </w:rPr>
            </w:pPr>
            <w:r>
              <w:rPr>
                <w:color w:val="000000"/>
              </w:rPr>
              <w:t>7</w:t>
            </w:r>
          </w:p>
        </w:tc>
        <w:tc>
          <w:tcPr>
            <w:tcW w:w="615" w:type="dxa"/>
            <w:tcBorders>
              <w:top w:val="nil"/>
              <w:left w:val="nil"/>
              <w:right w:val="single" w:sz="4" w:space="0" w:color="auto"/>
            </w:tcBorders>
            <w:shd w:val="clear" w:color="auto" w:fill="auto"/>
            <w:vAlign w:val="bottom"/>
          </w:tcPr>
          <w:p w14:paraId="73CE69D7" w14:textId="77777777" w:rsidR="00D17AD3" w:rsidRPr="007B5FB0" w:rsidRDefault="00D17AD3" w:rsidP="009E359E">
            <w:pPr>
              <w:rPr>
                <w:color w:val="000000"/>
              </w:rPr>
            </w:pPr>
            <w:r>
              <w:rPr>
                <w:color w:val="000000"/>
              </w:rPr>
              <w:t>6.9</w:t>
            </w:r>
          </w:p>
        </w:tc>
        <w:tc>
          <w:tcPr>
            <w:tcW w:w="1252" w:type="dxa"/>
            <w:tcBorders>
              <w:top w:val="nil"/>
              <w:left w:val="single" w:sz="4" w:space="0" w:color="auto"/>
              <w:right w:val="nil"/>
            </w:tcBorders>
            <w:shd w:val="clear" w:color="auto" w:fill="auto"/>
            <w:vAlign w:val="bottom"/>
          </w:tcPr>
          <w:p w14:paraId="50BF49AD" w14:textId="77777777" w:rsidR="00D17AD3" w:rsidRPr="007B5FB0" w:rsidRDefault="00D17AD3" w:rsidP="009E359E">
            <w:pPr>
              <w:rPr>
                <w:color w:val="000000"/>
              </w:rPr>
            </w:pPr>
            <w:r>
              <w:rPr>
                <w:color w:val="000000"/>
              </w:rPr>
              <w:t>5</w:t>
            </w:r>
          </w:p>
        </w:tc>
        <w:tc>
          <w:tcPr>
            <w:tcW w:w="732" w:type="dxa"/>
            <w:tcBorders>
              <w:top w:val="nil"/>
              <w:left w:val="nil"/>
              <w:right w:val="single" w:sz="4" w:space="0" w:color="auto"/>
            </w:tcBorders>
            <w:shd w:val="clear" w:color="auto" w:fill="auto"/>
            <w:vAlign w:val="bottom"/>
          </w:tcPr>
          <w:p w14:paraId="557A5354" w14:textId="77777777" w:rsidR="00D17AD3" w:rsidRPr="007B5FB0" w:rsidRDefault="00D17AD3" w:rsidP="009E359E">
            <w:pPr>
              <w:rPr>
                <w:color w:val="000000"/>
              </w:rPr>
            </w:pPr>
            <w:r>
              <w:rPr>
                <w:color w:val="000000"/>
              </w:rPr>
              <w:t>4.2</w:t>
            </w:r>
          </w:p>
        </w:tc>
      </w:tr>
      <w:tr w:rsidR="00D17AD3" w:rsidRPr="007B5FB0" w14:paraId="17496952" w14:textId="77777777" w:rsidTr="00D17AD3">
        <w:trPr>
          <w:cantSplit/>
          <w:trHeight w:val="340"/>
        </w:trPr>
        <w:tc>
          <w:tcPr>
            <w:tcW w:w="567" w:type="dxa"/>
            <w:vMerge/>
            <w:shd w:val="clear" w:color="auto" w:fill="auto"/>
            <w:textDirection w:val="btLr"/>
            <w:vAlign w:val="bottom"/>
          </w:tcPr>
          <w:p w14:paraId="15191AE9" w14:textId="77777777" w:rsidR="00D17AD3" w:rsidRPr="007B5FB0" w:rsidRDefault="00D17AD3" w:rsidP="009E359E">
            <w:pPr>
              <w:pStyle w:val="VEOHRCBodytext"/>
              <w:rPr>
                <w:lang w:eastAsia="en-US"/>
              </w:rPr>
            </w:pPr>
          </w:p>
        </w:tc>
        <w:tc>
          <w:tcPr>
            <w:tcW w:w="2859" w:type="dxa"/>
            <w:tcBorders>
              <w:top w:val="nil"/>
              <w:right w:val="single" w:sz="4" w:space="0" w:color="auto"/>
            </w:tcBorders>
            <w:shd w:val="clear" w:color="auto" w:fill="auto"/>
            <w:vAlign w:val="bottom"/>
          </w:tcPr>
          <w:p w14:paraId="7F2A2AB7" w14:textId="77777777" w:rsidR="00D17AD3" w:rsidRPr="007B5FB0" w:rsidRDefault="00D17AD3" w:rsidP="009E359E">
            <w:pPr>
              <w:rPr>
                <w:noProof/>
                <w:color w:val="000000"/>
              </w:rPr>
            </w:pPr>
            <w:r w:rsidRPr="007B5FB0">
              <w:rPr>
                <w:noProof/>
                <w:color w:val="000000"/>
              </w:rPr>
              <w:t>Female</w:t>
            </w:r>
          </w:p>
        </w:tc>
        <w:tc>
          <w:tcPr>
            <w:tcW w:w="1252" w:type="dxa"/>
            <w:tcBorders>
              <w:top w:val="nil"/>
              <w:right w:val="nil"/>
            </w:tcBorders>
            <w:shd w:val="clear" w:color="auto" w:fill="auto"/>
            <w:vAlign w:val="bottom"/>
          </w:tcPr>
          <w:p w14:paraId="0FB5B907" w14:textId="77777777" w:rsidR="00D17AD3" w:rsidRPr="007B5FB0" w:rsidRDefault="00D17AD3" w:rsidP="009E359E">
            <w:pPr>
              <w:rPr>
                <w:color w:val="000000"/>
              </w:rPr>
            </w:pPr>
            <w:r w:rsidRPr="007B5FB0">
              <w:rPr>
                <w:rFonts w:eastAsia="Calibri"/>
                <w:color w:val="000000"/>
              </w:rPr>
              <w:t>45</w:t>
            </w:r>
          </w:p>
        </w:tc>
        <w:tc>
          <w:tcPr>
            <w:tcW w:w="558" w:type="dxa"/>
            <w:tcBorders>
              <w:top w:val="nil"/>
              <w:left w:val="nil"/>
              <w:right w:val="single" w:sz="4" w:space="0" w:color="auto"/>
            </w:tcBorders>
            <w:shd w:val="clear" w:color="auto" w:fill="auto"/>
            <w:vAlign w:val="bottom"/>
          </w:tcPr>
          <w:p w14:paraId="4987EF79" w14:textId="77777777" w:rsidR="00D17AD3" w:rsidRPr="007B5FB0" w:rsidRDefault="00D17AD3" w:rsidP="009E359E">
            <w:pPr>
              <w:rPr>
                <w:rFonts w:cs="Calibri"/>
                <w:color w:val="000000"/>
              </w:rPr>
            </w:pPr>
            <w:r w:rsidRPr="007B5FB0">
              <w:rPr>
                <w:rFonts w:cs="Calibri"/>
                <w:color w:val="000000"/>
              </w:rPr>
              <w:t>40.3</w:t>
            </w:r>
          </w:p>
        </w:tc>
        <w:tc>
          <w:tcPr>
            <w:tcW w:w="1252" w:type="dxa"/>
            <w:tcBorders>
              <w:top w:val="nil"/>
              <w:left w:val="single" w:sz="4" w:space="0" w:color="auto"/>
              <w:right w:val="nil"/>
            </w:tcBorders>
            <w:shd w:val="clear" w:color="auto" w:fill="auto"/>
            <w:vAlign w:val="bottom"/>
          </w:tcPr>
          <w:p w14:paraId="7EFADC0E" w14:textId="77777777" w:rsidR="00D17AD3" w:rsidRPr="007B5FB0" w:rsidRDefault="00D17AD3" w:rsidP="009E359E">
            <w:pPr>
              <w:rPr>
                <w:color w:val="000000"/>
              </w:rPr>
            </w:pPr>
            <w:r>
              <w:rPr>
                <w:color w:val="000000"/>
              </w:rPr>
              <w:t>33</w:t>
            </w:r>
          </w:p>
        </w:tc>
        <w:tc>
          <w:tcPr>
            <w:tcW w:w="615" w:type="dxa"/>
            <w:tcBorders>
              <w:top w:val="nil"/>
              <w:left w:val="nil"/>
              <w:right w:val="single" w:sz="4" w:space="0" w:color="auto"/>
            </w:tcBorders>
            <w:shd w:val="clear" w:color="auto" w:fill="auto"/>
            <w:vAlign w:val="bottom"/>
          </w:tcPr>
          <w:p w14:paraId="78D902E3" w14:textId="77777777" w:rsidR="00D17AD3" w:rsidRPr="007B5FB0" w:rsidRDefault="00D17AD3" w:rsidP="009E359E">
            <w:pPr>
              <w:rPr>
                <w:color w:val="000000"/>
              </w:rPr>
            </w:pPr>
            <w:r>
              <w:rPr>
                <w:color w:val="000000"/>
              </w:rPr>
              <w:t>29.2</w:t>
            </w:r>
          </w:p>
        </w:tc>
        <w:tc>
          <w:tcPr>
            <w:tcW w:w="1252" w:type="dxa"/>
            <w:tcBorders>
              <w:top w:val="nil"/>
              <w:left w:val="single" w:sz="4" w:space="0" w:color="auto"/>
              <w:right w:val="nil"/>
            </w:tcBorders>
            <w:shd w:val="clear" w:color="auto" w:fill="auto"/>
            <w:vAlign w:val="bottom"/>
          </w:tcPr>
          <w:p w14:paraId="3850BDC5" w14:textId="77777777" w:rsidR="00D17AD3" w:rsidRPr="007B5FB0" w:rsidRDefault="00D17AD3" w:rsidP="009E359E">
            <w:pPr>
              <w:rPr>
                <w:color w:val="000000"/>
              </w:rPr>
            </w:pPr>
            <w:r>
              <w:rPr>
                <w:color w:val="000000"/>
              </w:rPr>
              <w:t>12</w:t>
            </w:r>
          </w:p>
        </w:tc>
        <w:tc>
          <w:tcPr>
            <w:tcW w:w="732" w:type="dxa"/>
            <w:tcBorders>
              <w:top w:val="nil"/>
              <w:left w:val="nil"/>
              <w:right w:val="single" w:sz="4" w:space="0" w:color="auto"/>
            </w:tcBorders>
            <w:shd w:val="clear" w:color="auto" w:fill="auto"/>
            <w:vAlign w:val="bottom"/>
          </w:tcPr>
          <w:p w14:paraId="0C8CF96C" w14:textId="77777777" w:rsidR="00D17AD3" w:rsidRPr="007B5FB0" w:rsidRDefault="00D17AD3" w:rsidP="009E359E">
            <w:pPr>
              <w:rPr>
                <w:color w:val="000000"/>
              </w:rPr>
            </w:pPr>
            <w:r>
              <w:rPr>
                <w:color w:val="000000"/>
              </w:rPr>
              <w:t>11.1</w:t>
            </w:r>
          </w:p>
        </w:tc>
      </w:tr>
      <w:tr w:rsidR="00D17AD3" w:rsidRPr="007B5FB0" w14:paraId="6620068A" w14:textId="77777777" w:rsidTr="00D17AD3">
        <w:trPr>
          <w:cantSplit/>
          <w:trHeight w:val="340"/>
        </w:trPr>
        <w:tc>
          <w:tcPr>
            <w:tcW w:w="567" w:type="dxa"/>
            <w:vMerge/>
            <w:shd w:val="clear" w:color="auto" w:fill="auto"/>
            <w:textDirection w:val="btLr"/>
            <w:vAlign w:val="bottom"/>
          </w:tcPr>
          <w:p w14:paraId="765A3465" w14:textId="77777777" w:rsidR="00D17AD3" w:rsidRPr="007B5FB0" w:rsidRDefault="00D17AD3" w:rsidP="009E359E">
            <w:pPr>
              <w:pStyle w:val="VEOHRCBodytext"/>
              <w:rPr>
                <w:lang w:eastAsia="en-US"/>
              </w:rPr>
            </w:pPr>
          </w:p>
        </w:tc>
        <w:tc>
          <w:tcPr>
            <w:tcW w:w="2859" w:type="dxa"/>
            <w:tcBorders>
              <w:bottom w:val="single" w:sz="4" w:space="0" w:color="auto"/>
              <w:right w:val="single" w:sz="4" w:space="0" w:color="auto"/>
            </w:tcBorders>
            <w:shd w:val="clear" w:color="auto" w:fill="auto"/>
            <w:vAlign w:val="bottom"/>
          </w:tcPr>
          <w:p w14:paraId="7D98FD13" w14:textId="77777777" w:rsidR="00D17AD3" w:rsidRPr="007B5FB0" w:rsidRDefault="00D17AD3" w:rsidP="009E359E">
            <w:pPr>
              <w:rPr>
                <w:noProof/>
                <w:color w:val="000000"/>
              </w:rPr>
            </w:pPr>
            <w:r w:rsidRPr="007B5FB0">
              <w:rPr>
                <w:noProof/>
                <w:color w:val="000000"/>
              </w:rPr>
              <w:t>Self Described</w:t>
            </w:r>
          </w:p>
        </w:tc>
        <w:tc>
          <w:tcPr>
            <w:tcW w:w="1252" w:type="dxa"/>
            <w:tcBorders>
              <w:bottom w:val="single" w:sz="4" w:space="0" w:color="auto"/>
              <w:right w:val="nil"/>
            </w:tcBorders>
            <w:shd w:val="clear" w:color="auto" w:fill="auto"/>
            <w:vAlign w:val="bottom"/>
          </w:tcPr>
          <w:p w14:paraId="7131C1CD" w14:textId="77777777" w:rsidR="00D17AD3" w:rsidRPr="007B5FB0" w:rsidRDefault="00D17AD3" w:rsidP="009E359E">
            <w:pPr>
              <w:rPr>
                <w:color w:val="000000"/>
              </w:rPr>
            </w:pPr>
            <w:r w:rsidRPr="007B5FB0">
              <w:rPr>
                <w:rFonts w:eastAsia="Calibri"/>
                <w:color w:val="000000"/>
              </w:rPr>
              <w:t>0</w:t>
            </w:r>
          </w:p>
        </w:tc>
        <w:tc>
          <w:tcPr>
            <w:tcW w:w="558" w:type="dxa"/>
            <w:tcBorders>
              <w:left w:val="nil"/>
              <w:bottom w:val="single" w:sz="4" w:space="0" w:color="auto"/>
              <w:right w:val="single" w:sz="4" w:space="0" w:color="auto"/>
            </w:tcBorders>
            <w:shd w:val="clear" w:color="auto" w:fill="auto"/>
            <w:vAlign w:val="bottom"/>
          </w:tcPr>
          <w:p w14:paraId="1CE4D813" w14:textId="77777777" w:rsidR="00D17AD3" w:rsidRPr="007B5FB0" w:rsidRDefault="00D17AD3" w:rsidP="009E359E">
            <w:pPr>
              <w:rPr>
                <w:rFonts w:cs="Calibri"/>
                <w:color w:val="000000"/>
              </w:rPr>
            </w:pPr>
            <w:r w:rsidRPr="007B5FB0">
              <w:rPr>
                <w:rFonts w:cs="Calibri"/>
                <w:color w:val="000000"/>
              </w:rPr>
              <w:t>0</w:t>
            </w:r>
          </w:p>
        </w:tc>
        <w:tc>
          <w:tcPr>
            <w:tcW w:w="1252" w:type="dxa"/>
            <w:tcBorders>
              <w:left w:val="single" w:sz="4" w:space="0" w:color="auto"/>
              <w:bottom w:val="single" w:sz="4" w:space="0" w:color="auto"/>
              <w:right w:val="nil"/>
            </w:tcBorders>
            <w:shd w:val="clear" w:color="auto" w:fill="auto"/>
            <w:vAlign w:val="bottom"/>
          </w:tcPr>
          <w:p w14:paraId="12421B76" w14:textId="77777777" w:rsidR="00D17AD3" w:rsidRPr="007B5FB0" w:rsidRDefault="00D17AD3" w:rsidP="009E359E">
            <w:pPr>
              <w:rPr>
                <w:color w:val="000000"/>
              </w:rPr>
            </w:pPr>
            <w:r>
              <w:rPr>
                <w:color w:val="000000"/>
              </w:rPr>
              <w:t>0</w:t>
            </w:r>
          </w:p>
        </w:tc>
        <w:tc>
          <w:tcPr>
            <w:tcW w:w="615" w:type="dxa"/>
            <w:tcBorders>
              <w:left w:val="nil"/>
              <w:bottom w:val="single" w:sz="4" w:space="0" w:color="auto"/>
              <w:right w:val="single" w:sz="4" w:space="0" w:color="auto"/>
            </w:tcBorders>
            <w:shd w:val="clear" w:color="auto" w:fill="auto"/>
            <w:vAlign w:val="bottom"/>
          </w:tcPr>
          <w:p w14:paraId="0D242715" w14:textId="77777777" w:rsidR="00D17AD3" w:rsidRPr="007B5FB0" w:rsidRDefault="00D17AD3" w:rsidP="009E359E">
            <w:pPr>
              <w:rPr>
                <w:color w:val="000000"/>
              </w:rPr>
            </w:pPr>
            <w:r>
              <w:rPr>
                <w:color w:val="000000"/>
              </w:rPr>
              <w:t>0</w:t>
            </w:r>
          </w:p>
        </w:tc>
        <w:tc>
          <w:tcPr>
            <w:tcW w:w="1252" w:type="dxa"/>
            <w:tcBorders>
              <w:left w:val="single" w:sz="4" w:space="0" w:color="auto"/>
              <w:bottom w:val="single" w:sz="4" w:space="0" w:color="auto"/>
              <w:right w:val="nil"/>
            </w:tcBorders>
            <w:shd w:val="clear" w:color="auto" w:fill="auto"/>
            <w:vAlign w:val="bottom"/>
          </w:tcPr>
          <w:p w14:paraId="3EFC005C" w14:textId="77777777" w:rsidR="00D17AD3" w:rsidRPr="007B5FB0" w:rsidRDefault="00D17AD3" w:rsidP="009E359E">
            <w:pPr>
              <w:rPr>
                <w:color w:val="000000"/>
              </w:rPr>
            </w:pPr>
            <w:r>
              <w:rPr>
                <w:color w:val="000000"/>
              </w:rPr>
              <w:t>0</w:t>
            </w:r>
          </w:p>
        </w:tc>
        <w:tc>
          <w:tcPr>
            <w:tcW w:w="732" w:type="dxa"/>
            <w:tcBorders>
              <w:left w:val="nil"/>
              <w:bottom w:val="single" w:sz="4" w:space="0" w:color="auto"/>
              <w:right w:val="single" w:sz="4" w:space="0" w:color="auto"/>
            </w:tcBorders>
            <w:shd w:val="clear" w:color="auto" w:fill="auto"/>
            <w:vAlign w:val="bottom"/>
          </w:tcPr>
          <w:p w14:paraId="64A697F2" w14:textId="77777777" w:rsidR="00D17AD3" w:rsidRPr="007B5FB0" w:rsidRDefault="00D17AD3" w:rsidP="009E359E">
            <w:pPr>
              <w:rPr>
                <w:color w:val="000000"/>
              </w:rPr>
            </w:pPr>
            <w:r>
              <w:rPr>
                <w:color w:val="000000"/>
              </w:rPr>
              <w:t>0</w:t>
            </w:r>
          </w:p>
        </w:tc>
      </w:tr>
      <w:tr w:rsidR="00D17AD3" w:rsidRPr="007B5FB0" w14:paraId="5F14EE53" w14:textId="77777777" w:rsidTr="00D17AD3">
        <w:trPr>
          <w:cantSplit/>
          <w:trHeight w:val="340"/>
        </w:trPr>
        <w:tc>
          <w:tcPr>
            <w:tcW w:w="567" w:type="dxa"/>
            <w:vMerge/>
            <w:shd w:val="clear" w:color="auto" w:fill="auto"/>
            <w:textDirection w:val="btLr"/>
            <w:vAlign w:val="bottom"/>
          </w:tcPr>
          <w:p w14:paraId="75A7BDFC" w14:textId="77777777" w:rsidR="00D17AD3" w:rsidRPr="007B5FB0" w:rsidRDefault="00D17AD3" w:rsidP="009E359E">
            <w:pPr>
              <w:pStyle w:val="VEOHRCBodytext"/>
              <w:rPr>
                <w:lang w:eastAsia="en-US"/>
              </w:rPr>
            </w:pPr>
          </w:p>
        </w:tc>
        <w:tc>
          <w:tcPr>
            <w:tcW w:w="2859" w:type="dxa"/>
            <w:tcBorders>
              <w:top w:val="single" w:sz="4" w:space="0" w:color="auto"/>
              <w:bottom w:val="nil"/>
              <w:right w:val="single" w:sz="4" w:space="0" w:color="auto"/>
            </w:tcBorders>
            <w:shd w:val="clear" w:color="auto" w:fill="auto"/>
            <w:vAlign w:val="bottom"/>
          </w:tcPr>
          <w:p w14:paraId="3F30754B" w14:textId="77777777" w:rsidR="00D17AD3" w:rsidRPr="007B5FB0" w:rsidRDefault="00D17AD3" w:rsidP="009E359E">
            <w:pPr>
              <w:rPr>
                <w:b/>
                <w:noProof/>
                <w:color w:val="000000"/>
              </w:rPr>
            </w:pPr>
            <w:r w:rsidRPr="007B5FB0">
              <w:rPr>
                <w:b/>
                <w:noProof/>
                <w:color w:val="000000"/>
              </w:rPr>
              <w:t>Age</w:t>
            </w:r>
          </w:p>
        </w:tc>
        <w:tc>
          <w:tcPr>
            <w:tcW w:w="1252" w:type="dxa"/>
            <w:tcBorders>
              <w:top w:val="single" w:sz="4" w:space="0" w:color="auto"/>
              <w:left w:val="nil"/>
              <w:bottom w:val="nil"/>
              <w:right w:val="nil"/>
            </w:tcBorders>
            <w:shd w:val="clear" w:color="auto" w:fill="auto"/>
            <w:vAlign w:val="bottom"/>
          </w:tcPr>
          <w:p w14:paraId="411084C1" w14:textId="77777777" w:rsidR="00D17AD3" w:rsidRPr="007B5FB0" w:rsidRDefault="00D17AD3" w:rsidP="009E359E">
            <w:pPr>
              <w:rPr>
                <w:rFonts w:cs="Calibri"/>
                <w:color w:val="000000"/>
              </w:rPr>
            </w:pPr>
          </w:p>
        </w:tc>
        <w:tc>
          <w:tcPr>
            <w:tcW w:w="558" w:type="dxa"/>
            <w:tcBorders>
              <w:top w:val="single" w:sz="4" w:space="0" w:color="auto"/>
              <w:left w:val="nil"/>
              <w:bottom w:val="nil"/>
              <w:right w:val="single" w:sz="4" w:space="0" w:color="auto"/>
            </w:tcBorders>
            <w:shd w:val="clear" w:color="auto" w:fill="auto"/>
            <w:vAlign w:val="bottom"/>
          </w:tcPr>
          <w:p w14:paraId="31C1B708" w14:textId="77777777" w:rsidR="00D17AD3" w:rsidRPr="007B5FB0" w:rsidRDefault="00D17AD3" w:rsidP="009E359E">
            <w:pPr>
              <w:rPr>
                <w:rFonts w:cs="Calibri"/>
                <w:color w:val="000000"/>
              </w:rPr>
            </w:pPr>
          </w:p>
        </w:tc>
        <w:tc>
          <w:tcPr>
            <w:tcW w:w="1252" w:type="dxa"/>
            <w:tcBorders>
              <w:top w:val="single" w:sz="4" w:space="0" w:color="auto"/>
              <w:left w:val="single" w:sz="4" w:space="0" w:color="auto"/>
              <w:bottom w:val="nil"/>
              <w:right w:val="nil"/>
            </w:tcBorders>
            <w:shd w:val="clear" w:color="auto" w:fill="auto"/>
            <w:vAlign w:val="bottom"/>
          </w:tcPr>
          <w:p w14:paraId="6F977C5B" w14:textId="77777777" w:rsidR="00D17AD3" w:rsidRPr="007B5FB0" w:rsidRDefault="00D17AD3" w:rsidP="009E359E">
            <w:pPr>
              <w:rPr>
                <w:rFonts w:cs="Calibri"/>
                <w:color w:val="000000"/>
              </w:rPr>
            </w:pPr>
          </w:p>
        </w:tc>
        <w:tc>
          <w:tcPr>
            <w:tcW w:w="615" w:type="dxa"/>
            <w:tcBorders>
              <w:top w:val="single" w:sz="4" w:space="0" w:color="auto"/>
              <w:left w:val="nil"/>
              <w:bottom w:val="nil"/>
              <w:right w:val="single" w:sz="4" w:space="0" w:color="auto"/>
            </w:tcBorders>
            <w:shd w:val="clear" w:color="auto" w:fill="auto"/>
            <w:vAlign w:val="bottom"/>
          </w:tcPr>
          <w:p w14:paraId="218A8FB8" w14:textId="77777777" w:rsidR="00D17AD3" w:rsidRPr="007B5FB0" w:rsidRDefault="00D17AD3" w:rsidP="009E359E">
            <w:pPr>
              <w:rPr>
                <w:rFonts w:cs="Calibri"/>
                <w:color w:val="000000"/>
              </w:rPr>
            </w:pPr>
          </w:p>
        </w:tc>
        <w:tc>
          <w:tcPr>
            <w:tcW w:w="1252" w:type="dxa"/>
            <w:tcBorders>
              <w:top w:val="single" w:sz="4" w:space="0" w:color="auto"/>
              <w:left w:val="single" w:sz="4" w:space="0" w:color="auto"/>
              <w:bottom w:val="nil"/>
              <w:right w:val="nil"/>
            </w:tcBorders>
            <w:shd w:val="clear" w:color="auto" w:fill="auto"/>
            <w:vAlign w:val="bottom"/>
          </w:tcPr>
          <w:p w14:paraId="5BB8459B" w14:textId="77777777" w:rsidR="00D17AD3" w:rsidRPr="007B5FB0" w:rsidRDefault="00D17AD3" w:rsidP="009E359E">
            <w:pPr>
              <w:rPr>
                <w:rFonts w:cs="Calibri"/>
                <w:color w:val="000000"/>
              </w:rPr>
            </w:pPr>
          </w:p>
        </w:tc>
        <w:tc>
          <w:tcPr>
            <w:tcW w:w="732" w:type="dxa"/>
            <w:tcBorders>
              <w:top w:val="single" w:sz="4" w:space="0" w:color="auto"/>
              <w:left w:val="nil"/>
              <w:bottom w:val="nil"/>
              <w:right w:val="single" w:sz="4" w:space="0" w:color="auto"/>
            </w:tcBorders>
            <w:shd w:val="clear" w:color="auto" w:fill="auto"/>
            <w:vAlign w:val="bottom"/>
          </w:tcPr>
          <w:p w14:paraId="47533B40" w14:textId="77777777" w:rsidR="00D17AD3" w:rsidRPr="007B5FB0" w:rsidRDefault="00D17AD3" w:rsidP="009E359E">
            <w:pPr>
              <w:rPr>
                <w:rFonts w:cs="Calibri"/>
                <w:color w:val="000000"/>
              </w:rPr>
            </w:pPr>
          </w:p>
        </w:tc>
      </w:tr>
      <w:tr w:rsidR="00D17AD3" w:rsidRPr="007B5FB0" w14:paraId="6EBC2A3B" w14:textId="77777777" w:rsidTr="00D17AD3">
        <w:trPr>
          <w:cantSplit/>
          <w:trHeight w:val="340"/>
        </w:trPr>
        <w:tc>
          <w:tcPr>
            <w:tcW w:w="567" w:type="dxa"/>
            <w:vMerge/>
            <w:shd w:val="clear" w:color="auto" w:fill="auto"/>
            <w:textDirection w:val="btLr"/>
            <w:vAlign w:val="bottom"/>
          </w:tcPr>
          <w:p w14:paraId="4107CB75" w14:textId="77777777" w:rsidR="00D17AD3" w:rsidRPr="007B5FB0" w:rsidRDefault="00D17AD3" w:rsidP="009E359E">
            <w:pPr>
              <w:pStyle w:val="VEOHRCBodytext"/>
              <w:rPr>
                <w:lang w:eastAsia="en-US"/>
              </w:rPr>
            </w:pPr>
          </w:p>
        </w:tc>
        <w:tc>
          <w:tcPr>
            <w:tcW w:w="2859" w:type="dxa"/>
            <w:tcBorders>
              <w:top w:val="nil"/>
              <w:right w:val="single" w:sz="4" w:space="0" w:color="auto"/>
            </w:tcBorders>
            <w:shd w:val="clear" w:color="auto" w:fill="auto"/>
            <w:vAlign w:val="bottom"/>
          </w:tcPr>
          <w:p w14:paraId="63151128" w14:textId="77777777" w:rsidR="00D17AD3" w:rsidRPr="007B5FB0" w:rsidRDefault="00D17AD3" w:rsidP="009E359E">
            <w:pPr>
              <w:rPr>
                <w:rFonts w:eastAsia="Arial"/>
                <w:color w:val="000000"/>
                <w:lang w:eastAsia="en-US"/>
              </w:rPr>
            </w:pPr>
            <w:r w:rsidRPr="007B5FB0">
              <w:rPr>
                <w:rFonts w:eastAsia="Arial"/>
                <w:color w:val="000000"/>
                <w:lang w:eastAsia="en-US"/>
              </w:rPr>
              <w:t>Under 25</w:t>
            </w:r>
          </w:p>
        </w:tc>
        <w:tc>
          <w:tcPr>
            <w:tcW w:w="1252" w:type="dxa"/>
            <w:tcBorders>
              <w:top w:val="nil"/>
              <w:right w:val="nil"/>
            </w:tcBorders>
            <w:shd w:val="clear" w:color="auto" w:fill="auto"/>
            <w:vAlign w:val="bottom"/>
          </w:tcPr>
          <w:p w14:paraId="3A401A93" w14:textId="77777777" w:rsidR="00D17AD3" w:rsidRPr="007B5FB0" w:rsidRDefault="00D17AD3" w:rsidP="009E359E">
            <w:pPr>
              <w:rPr>
                <w:color w:val="000000"/>
              </w:rPr>
            </w:pPr>
            <w:r>
              <w:rPr>
                <w:color w:val="000000"/>
              </w:rPr>
              <w:t>1</w:t>
            </w:r>
          </w:p>
        </w:tc>
        <w:tc>
          <w:tcPr>
            <w:tcW w:w="558" w:type="dxa"/>
            <w:tcBorders>
              <w:top w:val="nil"/>
              <w:left w:val="nil"/>
              <w:right w:val="single" w:sz="4" w:space="0" w:color="auto"/>
            </w:tcBorders>
            <w:shd w:val="clear" w:color="auto" w:fill="auto"/>
            <w:vAlign w:val="bottom"/>
          </w:tcPr>
          <w:p w14:paraId="48485A96" w14:textId="77777777" w:rsidR="00D17AD3" w:rsidRPr="007B5FB0" w:rsidRDefault="00D17AD3" w:rsidP="009E359E">
            <w:pPr>
              <w:rPr>
                <w:rFonts w:cs="Calibri"/>
                <w:color w:val="000000"/>
              </w:rPr>
            </w:pPr>
            <w:r>
              <w:rPr>
                <w:rFonts w:cs="Calibri"/>
                <w:color w:val="000000"/>
              </w:rPr>
              <w:t>0.6</w:t>
            </w:r>
          </w:p>
        </w:tc>
        <w:tc>
          <w:tcPr>
            <w:tcW w:w="1252" w:type="dxa"/>
            <w:tcBorders>
              <w:top w:val="nil"/>
              <w:left w:val="single" w:sz="4" w:space="0" w:color="auto"/>
              <w:right w:val="nil"/>
            </w:tcBorders>
            <w:shd w:val="clear" w:color="auto" w:fill="auto"/>
            <w:vAlign w:val="bottom"/>
          </w:tcPr>
          <w:p w14:paraId="1AC7F686" w14:textId="77777777" w:rsidR="00D17AD3" w:rsidRPr="007B5FB0" w:rsidRDefault="00D17AD3" w:rsidP="009E359E">
            <w:pPr>
              <w:rPr>
                <w:color w:val="000000"/>
              </w:rPr>
            </w:pPr>
            <w:r>
              <w:rPr>
                <w:color w:val="000000"/>
              </w:rPr>
              <w:t>0</w:t>
            </w:r>
          </w:p>
        </w:tc>
        <w:tc>
          <w:tcPr>
            <w:tcW w:w="615" w:type="dxa"/>
            <w:tcBorders>
              <w:top w:val="nil"/>
              <w:left w:val="nil"/>
              <w:right w:val="single" w:sz="4" w:space="0" w:color="auto"/>
            </w:tcBorders>
            <w:shd w:val="clear" w:color="auto" w:fill="auto"/>
            <w:vAlign w:val="bottom"/>
          </w:tcPr>
          <w:p w14:paraId="044937D8" w14:textId="77777777" w:rsidR="00D17AD3" w:rsidRPr="007B5FB0" w:rsidRDefault="00D17AD3" w:rsidP="009E359E">
            <w:pPr>
              <w:rPr>
                <w:color w:val="000000"/>
              </w:rPr>
            </w:pPr>
            <w:r>
              <w:rPr>
                <w:color w:val="000000"/>
              </w:rPr>
              <w:t>0</w:t>
            </w:r>
          </w:p>
        </w:tc>
        <w:tc>
          <w:tcPr>
            <w:tcW w:w="1252" w:type="dxa"/>
            <w:tcBorders>
              <w:top w:val="nil"/>
              <w:left w:val="single" w:sz="4" w:space="0" w:color="auto"/>
              <w:right w:val="nil"/>
            </w:tcBorders>
            <w:shd w:val="clear" w:color="auto" w:fill="auto"/>
            <w:vAlign w:val="bottom"/>
          </w:tcPr>
          <w:p w14:paraId="07EFFFB0" w14:textId="77777777" w:rsidR="00D17AD3" w:rsidRPr="007B5FB0" w:rsidRDefault="00D17AD3" w:rsidP="009E359E">
            <w:pPr>
              <w:rPr>
                <w:color w:val="000000"/>
              </w:rPr>
            </w:pPr>
            <w:r>
              <w:rPr>
                <w:color w:val="000000"/>
              </w:rPr>
              <w:t>1</w:t>
            </w:r>
          </w:p>
        </w:tc>
        <w:tc>
          <w:tcPr>
            <w:tcW w:w="732" w:type="dxa"/>
            <w:tcBorders>
              <w:top w:val="nil"/>
              <w:left w:val="nil"/>
              <w:right w:val="single" w:sz="4" w:space="0" w:color="auto"/>
            </w:tcBorders>
            <w:shd w:val="clear" w:color="auto" w:fill="auto"/>
            <w:vAlign w:val="bottom"/>
          </w:tcPr>
          <w:p w14:paraId="1D30A87B" w14:textId="77777777" w:rsidR="00D17AD3" w:rsidRPr="007B5FB0" w:rsidRDefault="00D17AD3" w:rsidP="009E359E">
            <w:pPr>
              <w:rPr>
                <w:color w:val="000000"/>
              </w:rPr>
            </w:pPr>
            <w:r>
              <w:rPr>
                <w:color w:val="000000"/>
              </w:rPr>
              <w:t>0.6</w:t>
            </w:r>
          </w:p>
        </w:tc>
      </w:tr>
      <w:tr w:rsidR="00D17AD3" w:rsidRPr="007B5FB0" w14:paraId="65BF05DA" w14:textId="77777777" w:rsidTr="00D17AD3">
        <w:trPr>
          <w:cantSplit/>
          <w:trHeight w:val="340"/>
        </w:trPr>
        <w:tc>
          <w:tcPr>
            <w:tcW w:w="567" w:type="dxa"/>
            <w:vMerge/>
            <w:shd w:val="clear" w:color="auto" w:fill="auto"/>
            <w:textDirection w:val="btLr"/>
            <w:vAlign w:val="bottom"/>
          </w:tcPr>
          <w:p w14:paraId="43AD1870" w14:textId="77777777" w:rsidR="00D17AD3" w:rsidRPr="007B5FB0" w:rsidRDefault="00D17AD3" w:rsidP="009E359E">
            <w:pPr>
              <w:pStyle w:val="VEOHRCBodytext"/>
              <w:rPr>
                <w:lang w:eastAsia="en-US"/>
              </w:rPr>
            </w:pPr>
          </w:p>
        </w:tc>
        <w:tc>
          <w:tcPr>
            <w:tcW w:w="2859" w:type="dxa"/>
            <w:tcBorders>
              <w:bottom w:val="nil"/>
              <w:right w:val="single" w:sz="4" w:space="0" w:color="auto"/>
            </w:tcBorders>
            <w:shd w:val="clear" w:color="auto" w:fill="auto"/>
            <w:vAlign w:val="bottom"/>
          </w:tcPr>
          <w:p w14:paraId="628F5607" w14:textId="77777777" w:rsidR="00D17AD3" w:rsidRPr="007B5FB0" w:rsidRDefault="00D17AD3" w:rsidP="009E359E">
            <w:pPr>
              <w:rPr>
                <w:noProof/>
                <w:color w:val="000000"/>
              </w:rPr>
            </w:pPr>
            <w:r w:rsidRPr="007B5FB0">
              <w:rPr>
                <w:noProof/>
                <w:color w:val="000000"/>
              </w:rPr>
              <w:t>25-34</w:t>
            </w:r>
          </w:p>
        </w:tc>
        <w:tc>
          <w:tcPr>
            <w:tcW w:w="1252" w:type="dxa"/>
            <w:tcBorders>
              <w:bottom w:val="nil"/>
              <w:right w:val="nil"/>
            </w:tcBorders>
            <w:shd w:val="clear" w:color="auto" w:fill="auto"/>
            <w:vAlign w:val="bottom"/>
          </w:tcPr>
          <w:p w14:paraId="2FE4467A" w14:textId="77777777" w:rsidR="00D17AD3" w:rsidRPr="007B5FB0" w:rsidRDefault="00D17AD3" w:rsidP="009E359E">
            <w:pPr>
              <w:rPr>
                <w:color w:val="000000"/>
              </w:rPr>
            </w:pPr>
            <w:r>
              <w:rPr>
                <w:color w:val="000000"/>
              </w:rPr>
              <w:t>18</w:t>
            </w:r>
          </w:p>
        </w:tc>
        <w:tc>
          <w:tcPr>
            <w:tcW w:w="558" w:type="dxa"/>
            <w:tcBorders>
              <w:left w:val="nil"/>
              <w:bottom w:val="nil"/>
              <w:right w:val="single" w:sz="4" w:space="0" w:color="auto"/>
            </w:tcBorders>
            <w:shd w:val="clear" w:color="auto" w:fill="auto"/>
            <w:vAlign w:val="bottom"/>
          </w:tcPr>
          <w:p w14:paraId="63707A6E" w14:textId="77777777" w:rsidR="00D17AD3" w:rsidRPr="007B5FB0" w:rsidRDefault="00D17AD3" w:rsidP="009E359E">
            <w:pPr>
              <w:rPr>
                <w:rFonts w:cs="Calibri"/>
                <w:color w:val="000000"/>
              </w:rPr>
            </w:pPr>
            <w:r>
              <w:rPr>
                <w:rFonts w:cs="Calibri"/>
                <w:color w:val="000000"/>
              </w:rPr>
              <w:t>16.1</w:t>
            </w:r>
          </w:p>
        </w:tc>
        <w:tc>
          <w:tcPr>
            <w:tcW w:w="1252" w:type="dxa"/>
            <w:tcBorders>
              <w:left w:val="single" w:sz="4" w:space="0" w:color="auto"/>
              <w:bottom w:val="nil"/>
              <w:right w:val="nil"/>
            </w:tcBorders>
            <w:shd w:val="clear" w:color="auto" w:fill="auto"/>
            <w:vAlign w:val="bottom"/>
          </w:tcPr>
          <w:p w14:paraId="6D15AC12" w14:textId="77777777" w:rsidR="00D17AD3" w:rsidRPr="007B5FB0" w:rsidRDefault="00D17AD3" w:rsidP="009E359E">
            <w:pPr>
              <w:rPr>
                <w:color w:val="000000"/>
              </w:rPr>
            </w:pPr>
            <w:r>
              <w:rPr>
                <w:color w:val="000000"/>
              </w:rPr>
              <w:t>9</w:t>
            </w:r>
          </w:p>
        </w:tc>
        <w:tc>
          <w:tcPr>
            <w:tcW w:w="615" w:type="dxa"/>
            <w:tcBorders>
              <w:left w:val="nil"/>
              <w:bottom w:val="nil"/>
              <w:right w:val="single" w:sz="4" w:space="0" w:color="auto"/>
            </w:tcBorders>
            <w:shd w:val="clear" w:color="auto" w:fill="auto"/>
            <w:vAlign w:val="bottom"/>
          </w:tcPr>
          <w:p w14:paraId="73770DC5" w14:textId="77777777" w:rsidR="00D17AD3" w:rsidRPr="007B5FB0" w:rsidRDefault="00D17AD3" w:rsidP="009E359E">
            <w:pPr>
              <w:rPr>
                <w:color w:val="000000"/>
              </w:rPr>
            </w:pPr>
            <w:r>
              <w:rPr>
                <w:color w:val="000000"/>
              </w:rPr>
              <w:t>8.2</w:t>
            </w:r>
          </w:p>
        </w:tc>
        <w:tc>
          <w:tcPr>
            <w:tcW w:w="1252" w:type="dxa"/>
            <w:tcBorders>
              <w:left w:val="single" w:sz="4" w:space="0" w:color="auto"/>
              <w:bottom w:val="nil"/>
              <w:right w:val="nil"/>
            </w:tcBorders>
            <w:shd w:val="clear" w:color="auto" w:fill="auto"/>
            <w:vAlign w:val="bottom"/>
          </w:tcPr>
          <w:p w14:paraId="395839AD" w14:textId="77777777" w:rsidR="00D17AD3" w:rsidRPr="007B5FB0" w:rsidRDefault="00D17AD3" w:rsidP="009E359E">
            <w:pPr>
              <w:rPr>
                <w:color w:val="000000"/>
              </w:rPr>
            </w:pPr>
            <w:r>
              <w:rPr>
                <w:color w:val="000000"/>
              </w:rPr>
              <w:t>9</w:t>
            </w:r>
          </w:p>
        </w:tc>
        <w:tc>
          <w:tcPr>
            <w:tcW w:w="732" w:type="dxa"/>
            <w:tcBorders>
              <w:left w:val="nil"/>
              <w:bottom w:val="nil"/>
              <w:right w:val="single" w:sz="4" w:space="0" w:color="auto"/>
            </w:tcBorders>
            <w:shd w:val="clear" w:color="auto" w:fill="auto"/>
            <w:vAlign w:val="bottom"/>
          </w:tcPr>
          <w:p w14:paraId="08A9661C" w14:textId="77777777" w:rsidR="00D17AD3" w:rsidRPr="007B5FB0" w:rsidRDefault="00D17AD3" w:rsidP="009E359E">
            <w:pPr>
              <w:rPr>
                <w:color w:val="000000"/>
              </w:rPr>
            </w:pPr>
            <w:r>
              <w:rPr>
                <w:color w:val="000000"/>
              </w:rPr>
              <w:t>7.9</w:t>
            </w:r>
          </w:p>
        </w:tc>
      </w:tr>
      <w:tr w:rsidR="00D17AD3" w:rsidRPr="007B5FB0" w14:paraId="714DD420" w14:textId="77777777" w:rsidTr="00D17AD3">
        <w:trPr>
          <w:cantSplit/>
          <w:trHeight w:val="340"/>
        </w:trPr>
        <w:tc>
          <w:tcPr>
            <w:tcW w:w="567" w:type="dxa"/>
            <w:vMerge/>
            <w:shd w:val="clear" w:color="auto" w:fill="auto"/>
            <w:textDirection w:val="btLr"/>
            <w:vAlign w:val="bottom"/>
          </w:tcPr>
          <w:p w14:paraId="6C50798C" w14:textId="77777777" w:rsidR="00D17AD3" w:rsidRPr="007B5FB0" w:rsidRDefault="00D17AD3" w:rsidP="009E359E">
            <w:pPr>
              <w:pStyle w:val="VEOHRCBodytext"/>
              <w:rPr>
                <w:lang w:eastAsia="en-US"/>
              </w:rPr>
            </w:pPr>
          </w:p>
        </w:tc>
        <w:tc>
          <w:tcPr>
            <w:tcW w:w="2859" w:type="dxa"/>
            <w:tcBorders>
              <w:bottom w:val="nil"/>
              <w:right w:val="single" w:sz="4" w:space="0" w:color="auto"/>
            </w:tcBorders>
            <w:shd w:val="clear" w:color="auto" w:fill="auto"/>
            <w:vAlign w:val="bottom"/>
          </w:tcPr>
          <w:p w14:paraId="6653EBA4" w14:textId="77777777" w:rsidR="00D17AD3" w:rsidRPr="007B5FB0" w:rsidRDefault="00D17AD3" w:rsidP="009E359E">
            <w:pPr>
              <w:rPr>
                <w:noProof/>
                <w:color w:val="000000"/>
              </w:rPr>
            </w:pPr>
            <w:r w:rsidRPr="007B5FB0">
              <w:rPr>
                <w:noProof/>
                <w:color w:val="000000"/>
              </w:rPr>
              <w:t>35-44</w:t>
            </w:r>
          </w:p>
        </w:tc>
        <w:tc>
          <w:tcPr>
            <w:tcW w:w="1252" w:type="dxa"/>
            <w:tcBorders>
              <w:left w:val="single" w:sz="4" w:space="0" w:color="auto"/>
              <w:bottom w:val="nil"/>
              <w:right w:val="nil"/>
            </w:tcBorders>
            <w:shd w:val="clear" w:color="auto" w:fill="auto"/>
            <w:vAlign w:val="bottom"/>
          </w:tcPr>
          <w:p w14:paraId="3C83CF1D" w14:textId="77777777" w:rsidR="00D17AD3" w:rsidRPr="007B5FB0" w:rsidRDefault="00D17AD3" w:rsidP="009E359E">
            <w:pPr>
              <w:rPr>
                <w:color w:val="000000"/>
              </w:rPr>
            </w:pPr>
            <w:r>
              <w:rPr>
                <w:color w:val="000000"/>
              </w:rPr>
              <w:t>22</w:t>
            </w:r>
          </w:p>
        </w:tc>
        <w:tc>
          <w:tcPr>
            <w:tcW w:w="558" w:type="dxa"/>
            <w:tcBorders>
              <w:left w:val="nil"/>
              <w:bottom w:val="nil"/>
              <w:right w:val="single" w:sz="4" w:space="0" w:color="auto"/>
            </w:tcBorders>
            <w:shd w:val="clear" w:color="auto" w:fill="auto"/>
            <w:vAlign w:val="bottom"/>
          </w:tcPr>
          <w:p w14:paraId="27AD71E4" w14:textId="77777777" w:rsidR="00D17AD3" w:rsidRPr="007B5FB0" w:rsidRDefault="00D17AD3" w:rsidP="009E359E">
            <w:pPr>
              <w:rPr>
                <w:rFonts w:cs="Calibri"/>
                <w:color w:val="000000"/>
              </w:rPr>
            </w:pPr>
            <w:r>
              <w:rPr>
                <w:rFonts w:cs="Calibri"/>
                <w:color w:val="000000"/>
              </w:rPr>
              <w:t>19.1</w:t>
            </w:r>
          </w:p>
        </w:tc>
        <w:tc>
          <w:tcPr>
            <w:tcW w:w="1252" w:type="dxa"/>
            <w:tcBorders>
              <w:left w:val="single" w:sz="4" w:space="0" w:color="auto"/>
              <w:bottom w:val="nil"/>
              <w:right w:val="nil"/>
            </w:tcBorders>
            <w:shd w:val="clear" w:color="auto" w:fill="auto"/>
            <w:vAlign w:val="bottom"/>
          </w:tcPr>
          <w:p w14:paraId="43F6EFF3" w14:textId="77777777" w:rsidR="00D17AD3" w:rsidRPr="007B5FB0" w:rsidRDefault="00D17AD3" w:rsidP="009E359E">
            <w:pPr>
              <w:rPr>
                <w:color w:val="000000"/>
              </w:rPr>
            </w:pPr>
            <w:r>
              <w:rPr>
                <w:color w:val="000000"/>
              </w:rPr>
              <w:t>16</w:t>
            </w:r>
          </w:p>
        </w:tc>
        <w:tc>
          <w:tcPr>
            <w:tcW w:w="615" w:type="dxa"/>
            <w:tcBorders>
              <w:left w:val="nil"/>
              <w:bottom w:val="nil"/>
              <w:right w:val="single" w:sz="4" w:space="0" w:color="auto"/>
            </w:tcBorders>
            <w:shd w:val="clear" w:color="auto" w:fill="auto"/>
            <w:vAlign w:val="bottom"/>
          </w:tcPr>
          <w:p w14:paraId="736018FD" w14:textId="77777777" w:rsidR="00D17AD3" w:rsidRPr="007B5FB0" w:rsidRDefault="00D17AD3" w:rsidP="009E359E">
            <w:pPr>
              <w:rPr>
                <w:color w:val="000000"/>
              </w:rPr>
            </w:pPr>
            <w:r>
              <w:rPr>
                <w:color w:val="000000"/>
              </w:rPr>
              <w:t>13.3</w:t>
            </w:r>
          </w:p>
        </w:tc>
        <w:tc>
          <w:tcPr>
            <w:tcW w:w="1252" w:type="dxa"/>
            <w:tcBorders>
              <w:left w:val="single" w:sz="4" w:space="0" w:color="auto"/>
              <w:bottom w:val="nil"/>
              <w:right w:val="nil"/>
            </w:tcBorders>
            <w:shd w:val="clear" w:color="auto" w:fill="auto"/>
            <w:vAlign w:val="bottom"/>
          </w:tcPr>
          <w:p w14:paraId="48AB8856" w14:textId="77777777" w:rsidR="00D17AD3" w:rsidRPr="007B5FB0" w:rsidRDefault="00D17AD3" w:rsidP="009E359E">
            <w:pPr>
              <w:rPr>
                <w:color w:val="000000"/>
              </w:rPr>
            </w:pPr>
            <w:r>
              <w:rPr>
                <w:color w:val="000000"/>
              </w:rPr>
              <w:t>6</w:t>
            </w:r>
          </w:p>
        </w:tc>
        <w:tc>
          <w:tcPr>
            <w:tcW w:w="732" w:type="dxa"/>
            <w:tcBorders>
              <w:left w:val="nil"/>
              <w:bottom w:val="nil"/>
              <w:right w:val="single" w:sz="4" w:space="0" w:color="auto"/>
            </w:tcBorders>
            <w:shd w:val="clear" w:color="auto" w:fill="auto"/>
            <w:vAlign w:val="bottom"/>
          </w:tcPr>
          <w:p w14:paraId="779A30C4" w14:textId="77777777" w:rsidR="00D17AD3" w:rsidRPr="007B5FB0" w:rsidRDefault="00D17AD3" w:rsidP="009E359E">
            <w:pPr>
              <w:rPr>
                <w:color w:val="000000"/>
              </w:rPr>
            </w:pPr>
            <w:r>
              <w:rPr>
                <w:color w:val="000000"/>
              </w:rPr>
              <w:t>5.8</w:t>
            </w:r>
          </w:p>
        </w:tc>
      </w:tr>
      <w:tr w:rsidR="00D17AD3" w:rsidRPr="007B5FB0" w14:paraId="22A0E4AC" w14:textId="77777777" w:rsidTr="00D17AD3">
        <w:trPr>
          <w:cantSplit/>
          <w:trHeight w:val="340"/>
        </w:trPr>
        <w:tc>
          <w:tcPr>
            <w:tcW w:w="567" w:type="dxa"/>
            <w:vMerge/>
            <w:shd w:val="clear" w:color="auto" w:fill="auto"/>
            <w:textDirection w:val="btLr"/>
            <w:vAlign w:val="bottom"/>
          </w:tcPr>
          <w:p w14:paraId="51CFB274" w14:textId="77777777" w:rsidR="00D17AD3" w:rsidRPr="007B5FB0" w:rsidRDefault="00D17AD3" w:rsidP="009E359E">
            <w:pPr>
              <w:pStyle w:val="VEOHRCBodytext"/>
              <w:rPr>
                <w:lang w:eastAsia="en-US"/>
              </w:rPr>
            </w:pPr>
          </w:p>
        </w:tc>
        <w:tc>
          <w:tcPr>
            <w:tcW w:w="2859" w:type="dxa"/>
            <w:tcBorders>
              <w:top w:val="nil"/>
              <w:right w:val="single" w:sz="4" w:space="0" w:color="auto"/>
            </w:tcBorders>
            <w:shd w:val="clear" w:color="auto" w:fill="auto"/>
            <w:vAlign w:val="bottom"/>
          </w:tcPr>
          <w:p w14:paraId="27FDFC76" w14:textId="77777777" w:rsidR="00D17AD3" w:rsidRPr="007B5FB0" w:rsidRDefault="00D17AD3" w:rsidP="009E359E">
            <w:pPr>
              <w:rPr>
                <w:noProof/>
                <w:color w:val="000000"/>
              </w:rPr>
            </w:pPr>
            <w:r w:rsidRPr="007B5FB0">
              <w:rPr>
                <w:noProof/>
                <w:color w:val="000000"/>
              </w:rPr>
              <w:t>45-54</w:t>
            </w:r>
          </w:p>
        </w:tc>
        <w:tc>
          <w:tcPr>
            <w:tcW w:w="1252" w:type="dxa"/>
            <w:tcBorders>
              <w:top w:val="nil"/>
              <w:right w:val="nil"/>
            </w:tcBorders>
            <w:shd w:val="clear" w:color="auto" w:fill="auto"/>
            <w:vAlign w:val="bottom"/>
          </w:tcPr>
          <w:p w14:paraId="55CAF90F" w14:textId="77777777" w:rsidR="00D17AD3" w:rsidRPr="007B5FB0" w:rsidRDefault="00D17AD3" w:rsidP="009E359E">
            <w:pPr>
              <w:rPr>
                <w:color w:val="000000"/>
              </w:rPr>
            </w:pPr>
            <w:r>
              <w:rPr>
                <w:color w:val="000000"/>
              </w:rPr>
              <w:t>12</w:t>
            </w:r>
          </w:p>
        </w:tc>
        <w:tc>
          <w:tcPr>
            <w:tcW w:w="558" w:type="dxa"/>
            <w:tcBorders>
              <w:top w:val="nil"/>
              <w:left w:val="nil"/>
              <w:right w:val="single" w:sz="4" w:space="0" w:color="auto"/>
            </w:tcBorders>
            <w:shd w:val="clear" w:color="auto" w:fill="auto"/>
            <w:vAlign w:val="bottom"/>
          </w:tcPr>
          <w:p w14:paraId="66C18525" w14:textId="77777777" w:rsidR="00D17AD3" w:rsidRPr="007B5FB0" w:rsidRDefault="00D17AD3" w:rsidP="009E359E">
            <w:pPr>
              <w:rPr>
                <w:rFonts w:cs="Calibri"/>
                <w:color w:val="000000"/>
              </w:rPr>
            </w:pPr>
            <w:r>
              <w:rPr>
                <w:rFonts w:cs="Calibri"/>
                <w:color w:val="000000"/>
              </w:rPr>
              <w:t>11.6</w:t>
            </w:r>
          </w:p>
        </w:tc>
        <w:tc>
          <w:tcPr>
            <w:tcW w:w="1252" w:type="dxa"/>
            <w:tcBorders>
              <w:top w:val="nil"/>
              <w:left w:val="single" w:sz="4" w:space="0" w:color="auto"/>
              <w:right w:val="nil"/>
            </w:tcBorders>
            <w:shd w:val="clear" w:color="auto" w:fill="auto"/>
            <w:vAlign w:val="bottom"/>
          </w:tcPr>
          <w:p w14:paraId="291DCE56" w14:textId="77777777" w:rsidR="00D17AD3" w:rsidRPr="007B5FB0" w:rsidRDefault="00D17AD3" w:rsidP="009E359E">
            <w:pPr>
              <w:rPr>
                <w:color w:val="000000"/>
              </w:rPr>
            </w:pPr>
            <w:r>
              <w:rPr>
                <w:color w:val="000000"/>
              </w:rPr>
              <w:t>12</w:t>
            </w:r>
          </w:p>
        </w:tc>
        <w:tc>
          <w:tcPr>
            <w:tcW w:w="615" w:type="dxa"/>
            <w:tcBorders>
              <w:top w:val="nil"/>
              <w:left w:val="nil"/>
              <w:right w:val="single" w:sz="4" w:space="0" w:color="auto"/>
            </w:tcBorders>
            <w:shd w:val="clear" w:color="auto" w:fill="auto"/>
            <w:vAlign w:val="bottom"/>
          </w:tcPr>
          <w:p w14:paraId="77817050" w14:textId="77777777" w:rsidR="00D17AD3" w:rsidRPr="007B5FB0" w:rsidRDefault="00D17AD3" w:rsidP="009E359E">
            <w:pPr>
              <w:rPr>
                <w:color w:val="000000"/>
              </w:rPr>
            </w:pPr>
            <w:r>
              <w:rPr>
                <w:color w:val="000000"/>
              </w:rPr>
              <w:t>11.6</w:t>
            </w:r>
          </w:p>
        </w:tc>
        <w:tc>
          <w:tcPr>
            <w:tcW w:w="1252" w:type="dxa"/>
            <w:tcBorders>
              <w:top w:val="nil"/>
              <w:left w:val="single" w:sz="4" w:space="0" w:color="auto"/>
              <w:right w:val="nil"/>
            </w:tcBorders>
            <w:shd w:val="clear" w:color="auto" w:fill="auto"/>
            <w:vAlign w:val="bottom"/>
          </w:tcPr>
          <w:p w14:paraId="3BBE9A4F" w14:textId="77777777" w:rsidR="00D17AD3" w:rsidRPr="007B5FB0" w:rsidRDefault="00D17AD3" w:rsidP="009E359E">
            <w:pPr>
              <w:rPr>
                <w:color w:val="000000"/>
              </w:rPr>
            </w:pPr>
            <w:r>
              <w:rPr>
                <w:color w:val="000000"/>
              </w:rPr>
              <w:t>0</w:t>
            </w:r>
          </w:p>
        </w:tc>
        <w:tc>
          <w:tcPr>
            <w:tcW w:w="732" w:type="dxa"/>
            <w:tcBorders>
              <w:top w:val="nil"/>
              <w:left w:val="nil"/>
              <w:right w:val="single" w:sz="4" w:space="0" w:color="auto"/>
            </w:tcBorders>
            <w:shd w:val="clear" w:color="auto" w:fill="auto"/>
            <w:vAlign w:val="bottom"/>
          </w:tcPr>
          <w:p w14:paraId="1A329C3F" w14:textId="77777777" w:rsidR="00D17AD3" w:rsidRPr="007B5FB0" w:rsidRDefault="00D17AD3" w:rsidP="009E359E">
            <w:pPr>
              <w:rPr>
                <w:color w:val="000000"/>
              </w:rPr>
            </w:pPr>
            <w:r>
              <w:rPr>
                <w:color w:val="000000"/>
              </w:rPr>
              <w:t>0.0</w:t>
            </w:r>
          </w:p>
        </w:tc>
      </w:tr>
      <w:tr w:rsidR="00D17AD3" w:rsidRPr="007B5FB0" w14:paraId="76C7BEEB" w14:textId="77777777" w:rsidTr="00D17AD3">
        <w:trPr>
          <w:cantSplit/>
          <w:trHeight w:val="340"/>
        </w:trPr>
        <w:tc>
          <w:tcPr>
            <w:tcW w:w="567" w:type="dxa"/>
            <w:vMerge/>
            <w:shd w:val="clear" w:color="auto" w:fill="auto"/>
            <w:textDirection w:val="btLr"/>
            <w:vAlign w:val="bottom"/>
          </w:tcPr>
          <w:p w14:paraId="11714E6A" w14:textId="77777777" w:rsidR="00D17AD3" w:rsidRPr="007B5FB0" w:rsidRDefault="00D17AD3" w:rsidP="009E359E">
            <w:pPr>
              <w:pStyle w:val="VEOHRCBodytext"/>
              <w:rPr>
                <w:lang w:eastAsia="en-US"/>
              </w:rPr>
            </w:pPr>
          </w:p>
        </w:tc>
        <w:tc>
          <w:tcPr>
            <w:tcW w:w="2859" w:type="dxa"/>
            <w:tcBorders>
              <w:right w:val="single" w:sz="4" w:space="0" w:color="auto"/>
            </w:tcBorders>
            <w:shd w:val="clear" w:color="auto" w:fill="auto"/>
            <w:vAlign w:val="bottom"/>
          </w:tcPr>
          <w:p w14:paraId="42D9E743" w14:textId="77777777" w:rsidR="00D17AD3" w:rsidRPr="007B5FB0" w:rsidRDefault="00D17AD3" w:rsidP="009E359E">
            <w:pPr>
              <w:rPr>
                <w:noProof/>
                <w:color w:val="000000"/>
              </w:rPr>
            </w:pPr>
            <w:r w:rsidRPr="007B5FB0">
              <w:rPr>
                <w:noProof/>
                <w:color w:val="000000"/>
              </w:rPr>
              <w:t>55-64</w:t>
            </w:r>
          </w:p>
        </w:tc>
        <w:tc>
          <w:tcPr>
            <w:tcW w:w="1252" w:type="dxa"/>
            <w:tcBorders>
              <w:right w:val="nil"/>
            </w:tcBorders>
            <w:shd w:val="clear" w:color="auto" w:fill="auto"/>
            <w:vAlign w:val="bottom"/>
          </w:tcPr>
          <w:p w14:paraId="3C89DC5E" w14:textId="77777777" w:rsidR="00D17AD3" w:rsidRPr="007B5FB0" w:rsidRDefault="00D17AD3" w:rsidP="009E359E">
            <w:pPr>
              <w:rPr>
                <w:color w:val="000000"/>
              </w:rPr>
            </w:pPr>
            <w:r>
              <w:rPr>
                <w:color w:val="000000"/>
              </w:rPr>
              <w:t>3</w:t>
            </w:r>
          </w:p>
        </w:tc>
        <w:tc>
          <w:tcPr>
            <w:tcW w:w="558" w:type="dxa"/>
            <w:tcBorders>
              <w:left w:val="nil"/>
              <w:right w:val="single" w:sz="4" w:space="0" w:color="auto"/>
            </w:tcBorders>
            <w:shd w:val="clear" w:color="auto" w:fill="auto"/>
            <w:vAlign w:val="bottom"/>
          </w:tcPr>
          <w:p w14:paraId="0FD7D2A0" w14:textId="77777777" w:rsidR="00D17AD3" w:rsidRPr="007B5FB0" w:rsidRDefault="00D17AD3" w:rsidP="009E359E">
            <w:pPr>
              <w:rPr>
                <w:rFonts w:cs="Calibri"/>
                <w:color w:val="000000"/>
              </w:rPr>
            </w:pPr>
            <w:r>
              <w:rPr>
                <w:rFonts w:cs="Calibri"/>
                <w:color w:val="000000"/>
              </w:rPr>
              <w:t>3.0</w:t>
            </w:r>
          </w:p>
        </w:tc>
        <w:tc>
          <w:tcPr>
            <w:tcW w:w="1252" w:type="dxa"/>
            <w:tcBorders>
              <w:left w:val="single" w:sz="4" w:space="0" w:color="auto"/>
              <w:right w:val="nil"/>
            </w:tcBorders>
            <w:shd w:val="clear" w:color="auto" w:fill="auto"/>
            <w:vAlign w:val="bottom"/>
          </w:tcPr>
          <w:p w14:paraId="65B7FABF" w14:textId="77777777" w:rsidR="00D17AD3" w:rsidRPr="007B5FB0" w:rsidRDefault="00D17AD3" w:rsidP="009E359E">
            <w:pPr>
              <w:rPr>
                <w:color w:val="000000"/>
              </w:rPr>
            </w:pPr>
            <w:r>
              <w:rPr>
                <w:color w:val="000000"/>
              </w:rPr>
              <w:t>2</w:t>
            </w:r>
          </w:p>
        </w:tc>
        <w:tc>
          <w:tcPr>
            <w:tcW w:w="615" w:type="dxa"/>
            <w:tcBorders>
              <w:left w:val="nil"/>
              <w:right w:val="single" w:sz="4" w:space="0" w:color="auto"/>
            </w:tcBorders>
            <w:shd w:val="clear" w:color="auto" w:fill="auto"/>
            <w:vAlign w:val="bottom"/>
          </w:tcPr>
          <w:p w14:paraId="5E1B5B2F" w14:textId="77777777" w:rsidR="00D17AD3" w:rsidRPr="007B5FB0" w:rsidRDefault="00D17AD3" w:rsidP="009E359E">
            <w:pPr>
              <w:rPr>
                <w:color w:val="000000"/>
              </w:rPr>
            </w:pPr>
            <w:r>
              <w:rPr>
                <w:color w:val="000000"/>
              </w:rPr>
              <w:t>2.0</w:t>
            </w:r>
          </w:p>
        </w:tc>
        <w:tc>
          <w:tcPr>
            <w:tcW w:w="1252" w:type="dxa"/>
            <w:tcBorders>
              <w:left w:val="single" w:sz="4" w:space="0" w:color="auto"/>
              <w:right w:val="nil"/>
            </w:tcBorders>
            <w:shd w:val="clear" w:color="auto" w:fill="auto"/>
            <w:vAlign w:val="bottom"/>
          </w:tcPr>
          <w:p w14:paraId="5A860632" w14:textId="77777777" w:rsidR="00D17AD3" w:rsidRPr="007B5FB0" w:rsidRDefault="00D17AD3" w:rsidP="009E359E">
            <w:pPr>
              <w:rPr>
                <w:color w:val="000000"/>
              </w:rPr>
            </w:pPr>
            <w:r>
              <w:rPr>
                <w:color w:val="000000"/>
              </w:rPr>
              <w:t>1</w:t>
            </w:r>
          </w:p>
        </w:tc>
        <w:tc>
          <w:tcPr>
            <w:tcW w:w="732" w:type="dxa"/>
            <w:tcBorders>
              <w:left w:val="nil"/>
              <w:right w:val="single" w:sz="4" w:space="0" w:color="auto"/>
            </w:tcBorders>
            <w:shd w:val="clear" w:color="auto" w:fill="auto"/>
            <w:vAlign w:val="bottom"/>
          </w:tcPr>
          <w:p w14:paraId="62A88A1F" w14:textId="77777777" w:rsidR="00D17AD3" w:rsidRPr="007B5FB0" w:rsidRDefault="00D17AD3" w:rsidP="009E359E">
            <w:pPr>
              <w:rPr>
                <w:color w:val="000000"/>
              </w:rPr>
            </w:pPr>
            <w:r>
              <w:rPr>
                <w:color w:val="000000"/>
              </w:rPr>
              <w:t>1.0</w:t>
            </w:r>
          </w:p>
        </w:tc>
      </w:tr>
      <w:tr w:rsidR="00D17AD3" w:rsidRPr="007B5FB0" w14:paraId="7E955395" w14:textId="77777777" w:rsidTr="00D17AD3">
        <w:trPr>
          <w:cantSplit/>
          <w:trHeight w:val="340"/>
        </w:trPr>
        <w:tc>
          <w:tcPr>
            <w:tcW w:w="567" w:type="dxa"/>
            <w:vMerge/>
            <w:tcBorders>
              <w:bottom w:val="single" w:sz="4" w:space="0" w:color="auto"/>
            </w:tcBorders>
            <w:shd w:val="clear" w:color="auto" w:fill="auto"/>
            <w:textDirection w:val="btLr"/>
            <w:vAlign w:val="bottom"/>
          </w:tcPr>
          <w:p w14:paraId="67F440A5" w14:textId="77777777" w:rsidR="00D17AD3" w:rsidRPr="007B5FB0" w:rsidRDefault="00D17AD3" w:rsidP="009E359E">
            <w:pPr>
              <w:pStyle w:val="VEOHRCBodytext"/>
              <w:rPr>
                <w:lang w:eastAsia="en-US"/>
              </w:rPr>
            </w:pPr>
          </w:p>
        </w:tc>
        <w:tc>
          <w:tcPr>
            <w:tcW w:w="2859" w:type="dxa"/>
            <w:tcBorders>
              <w:bottom w:val="single" w:sz="4" w:space="0" w:color="auto"/>
              <w:right w:val="single" w:sz="4" w:space="0" w:color="auto"/>
            </w:tcBorders>
            <w:shd w:val="clear" w:color="auto" w:fill="auto"/>
            <w:vAlign w:val="bottom"/>
          </w:tcPr>
          <w:p w14:paraId="2060DCC6" w14:textId="77777777" w:rsidR="00D17AD3" w:rsidRPr="007B5FB0" w:rsidRDefault="00D17AD3" w:rsidP="009E359E">
            <w:pPr>
              <w:rPr>
                <w:noProof/>
                <w:color w:val="000000"/>
              </w:rPr>
            </w:pPr>
            <w:r w:rsidRPr="007B5FB0">
              <w:rPr>
                <w:noProof/>
                <w:color w:val="000000"/>
              </w:rPr>
              <w:t>Over 64</w:t>
            </w:r>
          </w:p>
        </w:tc>
        <w:tc>
          <w:tcPr>
            <w:tcW w:w="1252" w:type="dxa"/>
            <w:tcBorders>
              <w:bottom w:val="single" w:sz="4" w:space="0" w:color="auto"/>
              <w:right w:val="nil"/>
            </w:tcBorders>
            <w:shd w:val="clear" w:color="auto" w:fill="auto"/>
            <w:vAlign w:val="bottom"/>
          </w:tcPr>
          <w:p w14:paraId="3F0261CF" w14:textId="77777777" w:rsidR="00D17AD3" w:rsidRPr="007B5FB0" w:rsidRDefault="00D17AD3" w:rsidP="009E359E">
            <w:pPr>
              <w:rPr>
                <w:color w:val="000000"/>
              </w:rPr>
            </w:pPr>
            <w:r>
              <w:rPr>
                <w:color w:val="000000"/>
              </w:rPr>
              <w:t>1</w:t>
            </w:r>
          </w:p>
        </w:tc>
        <w:tc>
          <w:tcPr>
            <w:tcW w:w="558" w:type="dxa"/>
            <w:tcBorders>
              <w:left w:val="nil"/>
              <w:bottom w:val="single" w:sz="4" w:space="0" w:color="auto"/>
              <w:right w:val="single" w:sz="4" w:space="0" w:color="auto"/>
            </w:tcBorders>
            <w:shd w:val="clear" w:color="auto" w:fill="auto"/>
            <w:vAlign w:val="bottom"/>
          </w:tcPr>
          <w:p w14:paraId="596F1FC9" w14:textId="77777777" w:rsidR="00D17AD3" w:rsidRPr="007B5FB0" w:rsidRDefault="00D17AD3" w:rsidP="009E359E">
            <w:pPr>
              <w:rPr>
                <w:rFonts w:cs="Calibri"/>
                <w:color w:val="000000"/>
              </w:rPr>
            </w:pPr>
            <w:r>
              <w:rPr>
                <w:rFonts w:cs="Calibri"/>
                <w:color w:val="000000"/>
              </w:rPr>
              <w:t>1.0</w:t>
            </w:r>
          </w:p>
        </w:tc>
        <w:tc>
          <w:tcPr>
            <w:tcW w:w="1252" w:type="dxa"/>
            <w:tcBorders>
              <w:left w:val="single" w:sz="4" w:space="0" w:color="auto"/>
              <w:bottom w:val="single" w:sz="4" w:space="0" w:color="auto"/>
              <w:right w:val="nil"/>
            </w:tcBorders>
            <w:shd w:val="clear" w:color="auto" w:fill="auto"/>
            <w:vAlign w:val="bottom"/>
          </w:tcPr>
          <w:p w14:paraId="172336D7" w14:textId="77777777" w:rsidR="00D17AD3" w:rsidRPr="007B5FB0" w:rsidRDefault="00D17AD3" w:rsidP="009E359E">
            <w:pPr>
              <w:rPr>
                <w:color w:val="000000"/>
              </w:rPr>
            </w:pPr>
            <w:r>
              <w:rPr>
                <w:color w:val="000000"/>
              </w:rPr>
              <w:t>1</w:t>
            </w:r>
          </w:p>
        </w:tc>
        <w:tc>
          <w:tcPr>
            <w:tcW w:w="615" w:type="dxa"/>
            <w:tcBorders>
              <w:left w:val="nil"/>
              <w:bottom w:val="single" w:sz="4" w:space="0" w:color="auto"/>
              <w:right w:val="single" w:sz="4" w:space="0" w:color="auto"/>
            </w:tcBorders>
            <w:shd w:val="clear" w:color="auto" w:fill="auto"/>
            <w:vAlign w:val="bottom"/>
          </w:tcPr>
          <w:p w14:paraId="3CFBA142" w14:textId="77777777" w:rsidR="00D17AD3" w:rsidRPr="007B5FB0" w:rsidRDefault="00D17AD3" w:rsidP="009E359E">
            <w:pPr>
              <w:rPr>
                <w:color w:val="000000"/>
              </w:rPr>
            </w:pPr>
            <w:r>
              <w:rPr>
                <w:color w:val="000000"/>
              </w:rPr>
              <w:t>1.0</w:t>
            </w:r>
          </w:p>
        </w:tc>
        <w:tc>
          <w:tcPr>
            <w:tcW w:w="1252" w:type="dxa"/>
            <w:tcBorders>
              <w:left w:val="single" w:sz="4" w:space="0" w:color="auto"/>
              <w:bottom w:val="single" w:sz="4" w:space="0" w:color="auto"/>
              <w:right w:val="nil"/>
            </w:tcBorders>
            <w:shd w:val="clear" w:color="auto" w:fill="auto"/>
            <w:vAlign w:val="bottom"/>
          </w:tcPr>
          <w:p w14:paraId="1C6641F0" w14:textId="77777777" w:rsidR="00D17AD3" w:rsidRPr="007B5FB0" w:rsidRDefault="00D17AD3" w:rsidP="009E359E">
            <w:pPr>
              <w:rPr>
                <w:color w:val="000000"/>
              </w:rPr>
            </w:pPr>
            <w:r>
              <w:rPr>
                <w:color w:val="000000"/>
              </w:rPr>
              <w:t>0</w:t>
            </w:r>
          </w:p>
        </w:tc>
        <w:tc>
          <w:tcPr>
            <w:tcW w:w="732" w:type="dxa"/>
            <w:tcBorders>
              <w:left w:val="nil"/>
              <w:bottom w:val="single" w:sz="4" w:space="0" w:color="auto"/>
              <w:right w:val="single" w:sz="4" w:space="0" w:color="auto"/>
            </w:tcBorders>
            <w:shd w:val="clear" w:color="auto" w:fill="auto"/>
            <w:vAlign w:val="bottom"/>
          </w:tcPr>
          <w:p w14:paraId="19FC4950" w14:textId="77777777" w:rsidR="00D17AD3" w:rsidRPr="007B5FB0" w:rsidRDefault="00D17AD3" w:rsidP="009E359E">
            <w:pPr>
              <w:rPr>
                <w:color w:val="000000"/>
              </w:rPr>
            </w:pPr>
            <w:r>
              <w:rPr>
                <w:color w:val="000000"/>
              </w:rPr>
              <w:t>0.0</w:t>
            </w:r>
          </w:p>
        </w:tc>
      </w:tr>
      <w:tr w:rsidR="00D17AD3" w:rsidRPr="007B5FB0" w14:paraId="27D2CA84" w14:textId="77777777" w:rsidTr="00D17AD3">
        <w:trPr>
          <w:cantSplit/>
          <w:trHeight w:val="340"/>
        </w:trPr>
        <w:tc>
          <w:tcPr>
            <w:tcW w:w="567" w:type="dxa"/>
            <w:vMerge w:val="restart"/>
            <w:tcBorders>
              <w:top w:val="single" w:sz="4" w:space="0" w:color="auto"/>
              <w:bottom w:val="single" w:sz="4" w:space="0" w:color="auto"/>
            </w:tcBorders>
            <w:shd w:val="clear" w:color="auto" w:fill="auto"/>
            <w:textDirection w:val="btLr"/>
            <w:vAlign w:val="bottom"/>
          </w:tcPr>
          <w:p w14:paraId="41B46CF2" w14:textId="77777777" w:rsidR="00D17AD3" w:rsidRPr="007B5FB0" w:rsidRDefault="00D17AD3" w:rsidP="009E359E">
            <w:pPr>
              <w:pStyle w:val="VEOHRCBodytext"/>
              <w:rPr>
                <w:rFonts w:eastAsia="Arial"/>
                <w:b/>
                <w:spacing w:val="6"/>
                <w:lang w:eastAsia="en-US"/>
              </w:rPr>
            </w:pPr>
            <w:r w:rsidRPr="007B5FB0">
              <w:rPr>
                <w:rFonts w:eastAsia="Arial"/>
                <w:b/>
                <w:lang w:eastAsia="en-US"/>
              </w:rPr>
              <w:t>Classification data</w:t>
            </w:r>
          </w:p>
        </w:tc>
        <w:tc>
          <w:tcPr>
            <w:tcW w:w="2859" w:type="dxa"/>
            <w:tcBorders>
              <w:top w:val="nil"/>
              <w:right w:val="single" w:sz="4" w:space="0" w:color="auto"/>
            </w:tcBorders>
            <w:shd w:val="clear" w:color="auto" w:fill="auto"/>
            <w:vAlign w:val="bottom"/>
          </w:tcPr>
          <w:p w14:paraId="41C45675" w14:textId="77777777" w:rsidR="00D17AD3" w:rsidRPr="007B5FB0" w:rsidRDefault="00D17AD3" w:rsidP="009E359E">
            <w:pPr>
              <w:rPr>
                <w:noProof/>
                <w:color w:val="000000"/>
              </w:rPr>
            </w:pPr>
            <w:r w:rsidRPr="007B5FB0">
              <w:rPr>
                <w:b/>
                <w:noProof/>
                <w:color w:val="000000"/>
              </w:rPr>
              <w:t>Classification</w:t>
            </w:r>
          </w:p>
        </w:tc>
        <w:tc>
          <w:tcPr>
            <w:tcW w:w="1252" w:type="dxa"/>
            <w:tcBorders>
              <w:top w:val="nil"/>
              <w:right w:val="nil"/>
            </w:tcBorders>
            <w:shd w:val="clear" w:color="auto" w:fill="auto"/>
            <w:vAlign w:val="bottom"/>
          </w:tcPr>
          <w:p w14:paraId="2435987A" w14:textId="77777777" w:rsidR="00D17AD3" w:rsidRPr="007B5FB0" w:rsidRDefault="00D17AD3" w:rsidP="009E359E">
            <w:pPr>
              <w:rPr>
                <w:color w:val="000000"/>
              </w:rPr>
            </w:pPr>
          </w:p>
        </w:tc>
        <w:tc>
          <w:tcPr>
            <w:tcW w:w="558" w:type="dxa"/>
            <w:tcBorders>
              <w:top w:val="nil"/>
              <w:left w:val="nil"/>
              <w:right w:val="single" w:sz="4" w:space="0" w:color="auto"/>
            </w:tcBorders>
            <w:shd w:val="clear" w:color="auto" w:fill="auto"/>
            <w:vAlign w:val="bottom"/>
          </w:tcPr>
          <w:p w14:paraId="37274F38" w14:textId="77777777" w:rsidR="00D17AD3" w:rsidRPr="007B5FB0" w:rsidRDefault="00D17AD3" w:rsidP="009E359E">
            <w:pPr>
              <w:rPr>
                <w:rFonts w:cs="Calibri"/>
                <w:color w:val="000000"/>
              </w:rPr>
            </w:pPr>
          </w:p>
        </w:tc>
        <w:tc>
          <w:tcPr>
            <w:tcW w:w="1252" w:type="dxa"/>
            <w:tcBorders>
              <w:top w:val="nil"/>
              <w:left w:val="single" w:sz="4" w:space="0" w:color="auto"/>
              <w:right w:val="nil"/>
            </w:tcBorders>
            <w:shd w:val="clear" w:color="auto" w:fill="auto"/>
            <w:vAlign w:val="bottom"/>
          </w:tcPr>
          <w:p w14:paraId="7A16FB72" w14:textId="77777777" w:rsidR="00D17AD3" w:rsidRPr="007B5FB0" w:rsidRDefault="00D17AD3" w:rsidP="009E359E">
            <w:pPr>
              <w:rPr>
                <w:color w:val="000000"/>
              </w:rPr>
            </w:pPr>
          </w:p>
        </w:tc>
        <w:tc>
          <w:tcPr>
            <w:tcW w:w="615" w:type="dxa"/>
            <w:tcBorders>
              <w:top w:val="nil"/>
              <w:left w:val="nil"/>
              <w:right w:val="single" w:sz="4" w:space="0" w:color="auto"/>
            </w:tcBorders>
            <w:shd w:val="clear" w:color="auto" w:fill="auto"/>
            <w:vAlign w:val="bottom"/>
          </w:tcPr>
          <w:p w14:paraId="5EB93807" w14:textId="77777777" w:rsidR="00D17AD3" w:rsidRPr="007B5FB0" w:rsidRDefault="00D17AD3" w:rsidP="009E359E">
            <w:pPr>
              <w:rPr>
                <w:color w:val="000000"/>
              </w:rPr>
            </w:pPr>
          </w:p>
        </w:tc>
        <w:tc>
          <w:tcPr>
            <w:tcW w:w="1252" w:type="dxa"/>
            <w:tcBorders>
              <w:top w:val="nil"/>
              <w:left w:val="single" w:sz="4" w:space="0" w:color="auto"/>
              <w:right w:val="nil"/>
            </w:tcBorders>
            <w:shd w:val="clear" w:color="auto" w:fill="auto"/>
            <w:vAlign w:val="bottom"/>
          </w:tcPr>
          <w:p w14:paraId="02A748E0" w14:textId="77777777" w:rsidR="00D17AD3" w:rsidRPr="007B5FB0" w:rsidRDefault="00D17AD3" w:rsidP="009E359E">
            <w:pPr>
              <w:rPr>
                <w:color w:val="000000"/>
              </w:rPr>
            </w:pPr>
          </w:p>
        </w:tc>
        <w:tc>
          <w:tcPr>
            <w:tcW w:w="732" w:type="dxa"/>
            <w:tcBorders>
              <w:top w:val="nil"/>
              <w:left w:val="nil"/>
              <w:right w:val="single" w:sz="4" w:space="0" w:color="auto"/>
            </w:tcBorders>
            <w:shd w:val="clear" w:color="auto" w:fill="auto"/>
            <w:vAlign w:val="bottom"/>
          </w:tcPr>
          <w:p w14:paraId="66A3752A" w14:textId="77777777" w:rsidR="00D17AD3" w:rsidRPr="007B5FB0" w:rsidRDefault="00D17AD3" w:rsidP="009E359E">
            <w:pPr>
              <w:rPr>
                <w:color w:val="000000"/>
              </w:rPr>
            </w:pPr>
          </w:p>
        </w:tc>
      </w:tr>
      <w:tr w:rsidR="00D17AD3" w:rsidRPr="007B5FB0" w14:paraId="441909DE" w14:textId="77777777" w:rsidTr="00D17AD3">
        <w:trPr>
          <w:cantSplit/>
          <w:trHeight w:val="340"/>
        </w:trPr>
        <w:tc>
          <w:tcPr>
            <w:tcW w:w="567" w:type="dxa"/>
            <w:vMerge/>
            <w:tcBorders>
              <w:bottom w:val="single" w:sz="4" w:space="0" w:color="auto"/>
            </w:tcBorders>
            <w:shd w:val="clear" w:color="auto" w:fill="auto"/>
            <w:textDirection w:val="btLr"/>
            <w:vAlign w:val="bottom"/>
          </w:tcPr>
          <w:p w14:paraId="5CAFF6E7" w14:textId="77777777" w:rsidR="00D17AD3" w:rsidRPr="007B5FB0" w:rsidRDefault="00D17AD3" w:rsidP="009E359E">
            <w:pPr>
              <w:pStyle w:val="VEOHRCBodytext"/>
              <w:rPr>
                <w:rFonts w:eastAsia="Arial"/>
                <w:b/>
                <w:spacing w:val="6"/>
                <w:lang w:eastAsia="en-US"/>
              </w:rPr>
            </w:pPr>
          </w:p>
        </w:tc>
        <w:tc>
          <w:tcPr>
            <w:tcW w:w="2859" w:type="dxa"/>
            <w:tcBorders>
              <w:top w:val="nil"/>
              <w:right w:val="single" w:sz="4" w:space="0" w:color="auto"/>
            </w:tcBorders>
            <w:shd w:val="clear" w:color="auto" w:fill="auto"/>
            <w:vAlign w:val="bottom"/>
          </w:tcPr>
          <w:p w14:paraId="659FEAA9" w14:textId="77777777" w:rsidR="00D17AD3" w:rsidRPr="007B5FB0" w:rsidRDefault="00D17AD3" w:rsidP="009E359E">
            <w:pPr>
              <w:rPr>
                <w:b/>
                <w:noProof/>
                <w:color w:val="000000"/>
              </w:rPr>
            </w:pPr>
            <w:r w:rsidRPr="007B5FB0">
              <w:rPr>
                <w:noProof/>
                <w:color w:val="000000"/>
              </w:rPr>
              <w:t>Executive Officers</w:t>
            </w:r>
          </w:p>
        </w:tc>
        <w:tc>
          <w:tcPr>
            <w:tcW w:w="1252" w:type="dxa"/>
            <w:tcBorders>
              <w:top w:val="nil"/>
              <w:right w:val="nil"/>
            </w:tcBorders>
            <w:shd w:val="clear" w:color="auto" w:fill="auto"/>
            <w:vAlign w:val="bottom"/>
          </w:tcPr>
          <w:p w14:paraId="42FA4111" w14:textId="77777777" w:rsidR="00D17AD3" w:rsidRPr="007B5FB0" w:rsidRDefault="00D17AD3" w:rsidP="009E359E">
            <w:pPr>
              <w:rPr>
                <w:color w:val="000000"/>
              </w:rPr>
            </w:pPr>
            <w:r>
              <w:rPr>
                <w:color w:val="000000"/>
              </w:rPr>
              <w:t>1</w:t>
            </w:r>
          </w:p>
        </w:tc>
        <w:tc>
          <w:tcPr>
            <w:tcW w:w="558" w:type="dxa"/>
            <w:tcBorders>
              <w:top w:val="nil"/>
              <w:left w:val="nil"/>
              <w:right w:val="single" w:sz="4" w:space="0" w:color="auto"/>
            </w:tcBorders>
            <w:shd w:val="clear" w:color="auto" w:fill="auto"/>
            <w:vAlign w:val="bottom"/>
          </w:tcPr>
          <w:p w14:paraId="159F03B1" w14:textId="77777777" w:rsidR="00D17AD3" w:rsidRPr="007B5FB0" w:rsidRDefault="00D17AD3" w:rsidP="009E359E">
            <w:pPr>
              <w:rPr>
                <w:rFonts w:cs="Calibri"/>
                <w:color w:val="000000"/>
              </w:rPr>
            </w:pPr>
            <w:r>
              <w:rPr>
                <w:rFonts w:cs="Calibri"/>
                <w:color w:val="000000"/>
              </w:rPr>
              <w:t>1.0</w:t>
            </w:r>
          </w:p>
        </w:tc>
        <w:tc>
          <w:tcPr>
            <w:tcW w:w="1252" w:type="dxa"/>
            <w:tcBorders>
              <w:top w:val="nil"/>
              <w:left w:val="single" w:sz="4" w:space="0" w:color="auto"/>
              <w:right w:val="nil"/>
            </w:tcBorders>
            <w:shd w:val="clear" w:color="auto" w:fill="auto"/>
            <w:vAlign w:val="bottom"/>
          </w:tcPr>
          <w:p w14:paraId="105D60F7" w14:textId="77777777" w:rsidR="00D17AD3" w:rsidRPr="007B5FB0" w:rsidRDefault="00D17AD3" w:rsidP="009E359E">
            <w:pPr>
              <w:rPr>
                <w:color w:val="000000"/>
              </w:rPr>
            </w:pPr>
            <w:r>
              <w:rPr>
                <w:color w:val="000000"/>
              </w:rPr>
              <w:t>1</w:t>
            </w:r>
          </w:p>
        </w:tc>
        <w:tc>
          <w:tcPr>
            <w:tcW w:w="615" w:type="dxa"/>
            <w:tcBorders>
              <w:top w:val="nil"/>
              <w:left w:val="nil"/>
              <w:right w:val="single" w:sz="4" w:space="0" w:color="auto"/>
            </w:tcBorders>
            <w:shd w:val="clear" w:color="auto" w:fill="auto"/>
            <w:vAlign w:val="bottom"/>
          </w:tcPr>
          <w:p w14:paraId="695D9807" w14:textId="77777777" w:rsidR="00D17AD3" w:rsidRPr="007B5FB0" w:rsidRDefault="00D17AD3" w:rsidP="009E359E">
            <w:pPr>
              <w:rPr>
                <w:color w:val="000000"/>
              </w:rPr>
            </w:pPr>
            <w:r>
              <w:rPr>
                <w:color w:val="000000"/>
              </w:rPr>
              <w:t>1.0</w:t>
            </w:r>
          </w:p>
        </w:tc>
        <w:tc>
          <w:tcPr>
            <w:tcW w:w="1252" w:type="dxa"/>
            <w:tcBorders>
              <w:top w:val="nil"/>
              <w:left w:val="single" w:sz="4" w:space="0" w:color="auto"/>
              <w:right w:val="nil"/>
            </w:tcBorders>
            <w:shd w:val="clear" w:color="auto" w:fill="auto"/>
            <w:vAlign w:val="bottom"/>
          </w:tcPr>
          <w:p w14:paraId="469E3C81" w14:textId="77777777" w:rsidR="00D17AD3" w:rsidRPr="007B5FB0" w:rsidRDefault="00D17AD3" w:rsidP="009E359E">
            <w:pPr>
              <w:rPr>
                <w:color w:val="000000"/>
              </w:rPr>
            </w:pPr>
            <w:r>
              <w:rPr>
                <w:color w:val="000000"/>
              </w:rPr>
              <w:t>0</w:t>
            </w:r>
          </w:p>
        </w:tc>
        <w:tc>
          <w:tcPr>
            <w:tcW w:w="732" w:type="dxa"/>
            <w:tcBorders>
              <w:top w:val="nil"/>
              <w:left w:val="nil"/>
              <w:right w:val="single" w:sz="4" w:space="0" w:color="auto"/>
            </w:tcBorders>
            <w:shd w:val="clear" w:color="auto" w:fill="auto"/>
            <w:vAlign w:val="bottom"/>
          </w:tcPr>
          <w:p w14:paraId="3F83F349" w14:textId="77777777" w:rsidR="00D17AD3" w:rsidRPr="007B5FB0" w:rsidRDefault="00D17AD3" w:rsidP="009E359E">
            <w:pPr>
              <w:rPr>
                <w:color w:val="000000"/>
              </w:rPr>
            </w:pPr>
            <w:r>
              <w:rPr>
                <w:color w:val="000000"/>
              </w:rPr>
              <w:t>0.0</w:t>
            </w:r>
          </w:p>
        </w:tc>
      </w:tr>
      <w:tr w:rsidR="00D17AD3" w:rsidRPr="007B5FB0" w14:paraId="0EC28F0F" w14:textId="77777777" w:rsidTr="00D17AD3">
        <w:trPr>
          <w:cantSplit/>
          <w:trHeight w:val="340"/>
        </w:trPr>
        <w:tc>
          <w:tcPr>
            <w:tcW w:w="567" w:type="dxa"/>
            <w:vMerge/>
            <w:tcBorders>
              <w:bottom w:val="single" w:sz="4" w:space="0" w:color="auto"/>
            </w:tcBorders>
            <w:shd w:val="clear" w:color="auto" w:fill="auto"/>
            <w:textDirection w:val="btLr"/>
            <w:vAlign w:val="bottom"/>
          </w:tcPr>
          <w:p w14:paraId="0F9C5508" w14:textId="77777777" w:rsidR="00D17AD3" w:rsidRPr="007B5FB0" w:rsidRDefault="00D17AD3" w:rsidP="009E359E">
            <w:pPr>
              <w:pStyle w:val="VEOHRCBodytext"/>
              <w:rPr>
                <w:rFonts w:eastAsia="Arial"/>
                <w:b/>
                <w:lang w:eastAsia="en-US"/>
              </w:rPr>
            </w:pPr>
          </w:p>
        </w:tc>
        <w:tc>
          <w:tcPr>
            <w:tcW w:w="2859" w:type="dxa"/>
            <w:tcBorders>
              <w:top w:val="nil"/>
              <w:right w:val="single" w:sz="4" w:space="0" w:color="auto"/>
            </w:tcBorders>
            <w:shd w:val="clear" w:color="auto" w:fill="auto"/>
            <w:vAlign w:val="bottom"/>
          </w:tcPr>
          <w:p w14:paraId="7B76BD0A" w14:textId="77777777" w:rsidR="00D17AD3" w:rsidRPr="007B5FB0" w:rsidRDefault="00D17AD3" w:rsidP="009E359E">
            <w:pPr>
              <w:rPr>
                <w:rFonts w:eastAsia="Arial"/>
                <w:color w:val="000000"/>
                <w:lang w:eastAsia="en-US"/>
              </w:rPr>
            </w:pPr>
            <w:r w:rsidRPr="007B5FB0">
              <w:rPr>
                <w:rFonts w:eastAsia="Arial"/>
                <w:color w:val="000000"/>
                <w:lang w:eastAsia="en-US"/>
              </w:rPr>
              <w:t>Principal Solicitor</w:t>
            </w:r>
          </w:p>
        </w:tc>
        <w:tc>
          <w:tcPr>
            <w:tcW w:w="1252" w:type="dxa"/>
            <w:tcBorders>
              <w:top w:val="nil"/>
              <w:right w:val="nil"/>
            </w:tcBorders>
            <w:shd w:val="clear" w:color="auto" w:fill="auto"/>
            <w:vAlign w:val="bottom"/>
          </w:tcPr>
          <w:p w14:paraId="153F1E20" w14:textId="77777777" w:rsidR="00D17AD3" w:rsidRPr="007B5FB0" w:rsidRDefault="00D17AD3" w:rsidP="009E359E">
            <w:pPr>
              <w:rPr>
                <w:color w:val="000000"/>
              </w:rPr>
            </w:pPr>
            <w:r>
              <w:rPr>
                <w:color w:val="000000"/>
              </w:rPr>
              <w:t>0</w:t>
            </w:r>
          </w:p>
        </w:tc>
        <w:tc>
          <w:tcPr>
            <w:tcW w:w="558" w:type="dxa"/>
            <w:tcBorders>
              <w:top w:val="nil"/>
              <w:left w:val="nil"/>
              <w:right w:val="single" w:sz="4" w:space="0" w:color="auto"/>
            </w:tcBorders>
            <w:shd w:val="clear" w:color="auto" w:fill="auto"/>
            <w:vAlign w:val="bottom"/>
          </w:tcPr>
          <w:p w14:paraId="31735DE9" w14:textId="77777777" w:rsidR="00D17AD3" w:rsidRPr="007B5FB0" w:rsidRDefault="00D17AD3" w:rsidP="009E359E">
            <w:pPr>
              <w:rPr>
                <w:rFonts w:cs="Calibri"/>
                <w:color w:val="000000"/>
              </w:rPr>
            </w:pPr>
            <w:r>
              <w:rPr>
                <w:rFonts w:cs="Calibri"/>
                <w:color w:val="000000"/>
              </w:rPr>
              <w:t>0.0</w:t>
            </w:r>
          </w:p>
        </w:tc>
        <w:tc>
          <w:tcPr>
            <w:tcW w:w="1252" w:type="dxa"/>
            <w:tcBorders>
              <w:top w:val="nil"/>
              <w:left w:val="single" w:sz="4" w:space="0" w:color="auto"/>
              <w:right w:val="nil"/>
            </w:tcBorders>
            <w:shd w:val="clear" w:color="auto" w:fill="auto"/>
            <w:vAlign w:val="bottom"/>
          </w:tcPr>
          <w:p w14:paraId="31E67489" w14:textId="77777777" w:rsidR="00D17AD3" w:rsidRPr="007B5FB0" w:rsidRDefault="00D17AD3" w:rsidP="009E359E">
            <w:pPr>
              <w:rPr>
                <w:color w:val="000000"/>
              </w:rPr>
            </w:pPr>
            <w:r>
              <w:rPr>
                <w:color w:val="000000"/>
              </w:rPr>
              <w:t>0</w:t>
            </w:r>
          </w:p>
        </w:tc>
        <w:tc>
          <w:tcPr>
            <w:tcW w:w="615" w:type="dxa"/>
            <w:tcBorders>
              <w:top w:val="nil"/>
              <w:left w:val="nil"/>
              <w:right w:val="single" w:sz="4" w:space="0" w:color="auto"/>
            </w:tcBorders>
            <w:shd w:val="clear" w:color="auto" w:fill="auto"/>
            <w:vAlign w:val="bottom"/>
          </w:tcPr>
          <w:p w14:paraId="71116AC8" w14:textId="77777777" w:rsidR="00D17AD3" w:rsidRPr="007B5FB0" w:rsidRDefault="00D17AD3" w:rsidP="009E359E">
            <w:pPr>
              <w:rPr>
                <w:color w:val="000000"/>
              </w:rPr>
            </w:pPr>
            <w:r>
              <w:rPr>
                <w:color w:val="000000"/>
              </w:rPr>
              <w:t>0.0</w:t>
            </w:r>
          </w:p>
        </w:tc>
        <w:tc>
          <w:tcPr>
            <w:tcW w:w="1252" w:type="dxa"/>
            <w:tcBorders>
              <w:top w:val="nil"/>
              <w:left w:val="single" w:sz="4" w:space="0" w:color="auto"/>
              <w:right w:val="nil"/>
            </w:tcBorders>
            <w:shd w:val="clear" w:color="auto" w:fill="auto"/>
            <w:vAlign w:val="bottom"/>
          </w:tcPr>
          <w:p w14:paraId="443A71A4" w14:textId="77777777" w:rsidR="00D17AD3" w:rsidRPr="007B5FB0" w:rsidRDefault="00D17AD3" w:rsidP="009E359E">
            <w:pPr>
              <w:rPr>
                <w:color w:val="000000"/>
              </w:rPr>
            </w:pPr>
            <w:r>
              <w:rPr>
                <w:color w:val="000000"/>
              </w:rPr>
              <w:t>0</w:t>
            </w:r>
          </w:p>
        </w:tc>
        <w:tc>
          <w:tcPr>
            <w:tcW w:w="732" w:type="dxa"/>
            <w:tcBorders>
              <w:top w:val="nil"/>
              <w:left w:val="nil"/>
              <w:right w:val="single" w:sz="4" w:space="0" w:color="auto"/>
            </w:tcBorders>
            <w:shd w:val="clear" w:color="auto" w:fill="auto"/>
            <w:vAlign w:val="bottom"/>
          </w:tcPr>
          <w:p w14:paraId="11268B81" w14:textId="77777777" w:rsidR="00D17AD3" w:rsidRPr="007B5FB0" w:rsidRDefault="00D17AD3" w:rsidP="009E359E">
            <w:pPr>
              <w:rPr>
                <w:color w:val="000000"/>
              </w:rPr>
            </w:pPr>
            <w:r>
              <w:rPr>
                <w:color w:val="000000"/>
              </w:rPr>
              <w:t>0.0</w:t>
            </w:r>
          </w:p>
        </w:tc>
      </w:tr>
      <w:tr w:rsidR="00D17AD3" w:rsidRPr="007B5FB0" w14:paraId="01E25721" w14:textId="77777777" w:rsidTr="00D17AD3">
        <w:trPr>
          <w:cantSplit/>
          <w:trHeight w:val="340"/>
        </w:trPr>
        <w:tc>
          <w:tcPr>
            <w:tcW w:w="567" w:type="dxa"/>
            <w:vMerge/>
            <w:tcBorders>
              <w:bottom w:val="single" w:sz="4" w:space="0" w:color="auto"/>
            </w:tcBorders>
            <w:shd w:val="clear" w:color="auto" w:fill="auto"/>
            <w:textDirection w:val="btLr"/>
            <w:vAlign w:val="bottom"/>
          </w:tcPr>
          <w:p w14:paraId="58F6F8F5" w14:textId="77777777" w:rsidR="00D17AD3" w:rsidRPr="007B5FB0" w:rsidRDefault="00D17AD3" w:rsidP="009E359E">
            <w:pPr>
              <w:pStyle w:val="VEOHRCBodytext"/>
              <w:rPr>
                <w:rFonts w:eastAsia="Arial"/>
                <w:b/>
                <w:lang w:eastAsia="en-US"/>
              </w:rPr>
            </w:pPr>
          </w:p>
        </w:tc>
        <w:tc>
          <w:tcPr>
            <w:tcW w:w="2859" w:type="dxa"/>
            <w:tcBorders>
              <w:top w:val="nil"/>
              <w:right w:val="single" w:sz="4" w:space="0" w:color="auto"/>
            </w:tcBorders>
            <w:shd w:val="clear" w:color="auto" w:fill="auto"/>
            <w:vAlign w:val="bottom"/>
          </w:tcPr>
          <w:p w14:paraId="15B9A5EC" w14:textId="77777777" w:rsidR="00D17AD3" w:rsidRPr="007B5FB0" w:rsidRDefault="00D17AD3" w:rsidP="009E359E">
            <w:pPr>
              <w:rPr>
                <w:rFonts w:eastAsia="Arial"/>
                <w:color w:val="000000"/>
                <w:lang w:eastAsia="en-US"/>
              </w:rPr>
            </w:pPr>
            <w:r w:rsidRPr="007B5FB0">
              <w:rPr>
                <w:rFonts w:eastAsia="Arial"/>
                <w:color w:val="000000"/>
                <w:lang w:eastAsia="en-US"/>
              </w:rPr>
              <w:t>Senior Solicitor</w:t>
            </w:r>
          </w:p>
        </w:tc>
        <w:tc>
          <w:tcPr>
            <w:tcW w:w="1252" w:type="dxa"/>
            <w:tcBorders>
              <w:top w:val="nil"/>
              <w:right w:val="nil"/>
            </w:tcBorders>
            <w:shd w:val="clear" w:color="auto" w:fill="auto"/>
            <w:vAlign w:val="bottom"/>
          </w:tcPr>
          <w:p w14:paraId="0E1F1D30" w14:textId="77777777" w:rsidR="00D17AD3" w:rsidRPr="007B5FB0" w:rsidRDefault="00D17AD3" w:rsidP="009E359E">
            <w:pPr>
              <w:rPr>
                <w:color w:val="000000"/>
              </w:rPr>
            </w:pPr>
            <w:r>
              <w:rPr>
                <w:color w:val="000000"/>
              </w:rPr>
              <w:t>2</w:t>
            </w:r>
          </w:p>
        </w:tc>
        <w:tc>
          <w:tcPr>
            <w:tcW w:w="558" w:type="dxa"/>
            <w:tcBorders>
              <w:top w:val="nil"/>
              <w:left w:val="nil"/>
              <w:right w:val="single" w:sz="4" w:space="0" w:color="auto"/>
            </w:tcBorders>
            <w:shd w:val="clear" w:color="auto" w:fill="auto"/>
            <w:vAlign w:val="bottom"/>
          </w:tcPr>
          <w:p w14:paraId="5AAF74BB" w14:textId="77777777" w:rsidR="00D17AD3" w:rsidRPr="007B5FB0" w:rsidRDefault="00D17AD3" w:rsidP="009E359E">
            <w:pPr>
              <w:rPr>
                <w:rFonts w:cs="Calibri"/>
                <w:color w:val="000000"/>
              </w:rPr>
            </w:pPr>
            <w:r>
              <w:rPr>
                <w:rFonts w:cs="Calibri"/>
                <w:color w:val="000000"/>
              </w:rPr>
              <w:t>2.0</w:t>
            </w:r>
          </w:p>
        </w:tc>
        <w:tc>
          <w:tcPr>
            <w:tcW w:w="1252" w:type="dxa"/>
            <w:tcBorders>
              <w:top w:val="nil"/>
              <w:left w:val="single" w:sz="4" w:space="0" w:color="auto"/>
              <w:right w:val="nil"/>
            </w:tcBorders>
            <w:shd w:val="clear" w:color="auto" w:fill="auto"/>
            <w:vAlign w:val="bottom"/>
          </w:tcPr>
          <w:p w14:paraId="181E0FEA" w14:textId="77777777" w:rsidR="00D17AD3" w:rsidRPr="007B5FB0" w:rsidRDefault="00D17AD3" w:rsidP="009E359E">
            <w:pPr>
              <w:rPr>
                <w:color w:val="000000"/>
              </w:rPr>
            </w:pPr>
            <w:r>
              <w:rPr>
                <w:color w:val="000000"/>
              </w:rPr>
              <w:t>1</w:t>
            </w:r>
          </w:p>
        </w:tc>
        <w:tc>
          <w:tcPr>
            <w:tcW w:w="615" w:type="dxa"/>
            <w:tcBorders>
              <w:top w:val="nil"/>
              <w:left w:val="nil"/>
              <w:right w:val="single" w:sz="4" w:space="0" w:color="auto"/>
            </w:tcBorders>
            <w:shd w:val="clear" w:color="auto" w:fill="auto"/>
            <w:vAlign w:val="bottom"/>
          </w:tcPr>
          <w:p w14:paraId="54553FA6" w14:textId="77777777" w:rsidR="00D17AD3" w:rsidRPr="007B5FB0" w:rsidRDefault="00D17AD3" w:rsidP="009E359E">
            <w:pPr>
              <w:rPr>
                <w:color w:val="000000"/>
              </w:rPr>
            </w:pPr>
            <w:r>
              <w:rPr>
                <w:color w:val="000000"/>
              </w:rPr>
              <w:t>1.0</w:t>
            </w:r>
          </w:p>
        </w:tc>
        <w:tc>
          <w:tcPr>
            <w:tcW w:w="1252" w:type="dxa"/>
            <w:tcBorders>
              <w:top w:val="nil"/>
              <w:left w:val="single" w:sz="4" w:space="0" w:color="auto"/>
              <w:right w:val="nil"/>
            </w:tcBorders>
            <w:shd w:val="clear" w:color="auto" w:fill="auto"/>
            <w:vAlign w:val="bottom"/>
          </w:tcPr>
          <w:p w14:paraId="6577B39F" w14:textId="77777777" w:rsidR="00D17AD3" w:rsidRPr="007B5FB0" w:rsidRDefault="00D17AD3" w:rsidP="009E359E">
            <w:pPr>
              <w:rPr>
                <w:color w:val="000000"/>
              </w:rPr>
            </w:pPr>
            <w:r>
              <w:rPr>
                <w:color w:val="000000"/>
              </w:rPr>
              <w:t>1</w:t>
            </w:r>
          </w:p>
        </w:tc>
        <w:tc>
          <w:tcPr>
            <w:tcW w:w="732" w:type="dxa"/>
            <w:tcBorders>
              <w:top w:val="nil"/>
              <w:left w:val="nil"/>
              <w:right w:val="single" w:sz="4" w:space="0" w:color="auto"/>
            </w:tcBorders>
            <w:shd w:val="clear" w:color="auto" w:fill="auto"/>
            <w:vAlign w:val="bottom"/>
          </w:tcPr>
          <w:p w14:paraId="3C32BF51" w14:textId="77777777" w:rsidR="00D17AD3" w:rsidRPr="007B5FB0" w:rsidRDefault="00D17AD3" w:rsidP="009E359E">
            <w:pPr>
              <w:rPr>
                <w:color w:val="000000"/>
              </w:rPr>
            </w:pPr>
            <w:r>
              <w:rPr>
                <w:color w:val="000000"/>
              </w:rPr>
              <w:t>1.0</w:t>
            </w:r>
          </w:p>
        </w:tc>
      </w:tr>
      <w:tr w:rsidR="00D17AD3" w:rsidRPr="007B5FB0" w14:paraId="7FDEB34B" w14:textId="77777777" w:rsidTr="00D17AD3">
        <w:trPr>
          <w:cantSplit/>
          <w:trHeight w:val="340"/>
        </w:trPr>
        <w:tc>
          <w:tcPr>
            <w:tcW w:w="567" w:type="dxa"/>
            <w:vMerge/>
            <w:tcBorders>
              <w:bottom w:val="single" w:sz="4" w:space="0" w:color="auto"/>
            </w:tcBorders>
            <w:shd w:val="clear" w:color="auto" w:fill="auto"/>
            <w:textDirection w:val="btLr"/>
            <w:vAlign w:val="bottom"/>
          </w:tcPr>
          <w:p w14:paraId="63353227" w14:textId="77777777" w:rsidR="00D17AD3" w:rsidRPr="007B5FB0" w:rsidRDefault="00D17AD3" w:rsidP="009E359E">
            <w:pPr>
              <w:pStyle w:val="VEOHRCBodytext"/>
              <w:rPr>
                <w:rFonts w:eastAsia="Arial"/>
                <w:b/>
                <w:lang w:eastAsia="en-US"/>
              </w:rPr>
            </w:pPr>
          </w:p>
        </w:tc>
        <w:tc>
          <w:tcPr>
            <w:tcW w:w="2859" w:type="dxa"/>
            <w:tcBorders>
              <w:top w:val="nil"/>
              <w:right w:val="single" w:sz="4" w:space="0" w:color="auto"/>
            </w:tcBorders>
            <w:shd w:val="clear" w:color="auto" w:fill="auto"/>
            <w:vAlign w:val="bottom"/>
          </w:tcPr>
          <w:p w14:paraId="0AD1DF9C" w14:textId="77777777" w:rsidR="00D17AD3" w:rsidRPr="007B5FB0" w:rsidRDefault="00D17AD3" w:rsidP="009E359E">
            <w:pPr>
              <w:rPr>
                <w:rFonts w:eastAsia="Arial"/>
                <w:color w:val="000000"/>
                <w:lang w:eastAsia="en-US"/>
              </w:rPr>
            </w:pPr>
            <w:r w:rsidRPr="007B5FB0">
              <w:rPr>
                <w:rFonts w:eastAsia="Arial"/>
                <w:color w:val="000000"/>
                <w:lang w:eastAsia="en-US"/>
              </w:rPr>
              <w:t>Solicitor 3</w:t>
            </w:r>
          </w:p>
        </w:tc>
        <w:tc>
          <w:tcPr>
            <w:tcW w:w="1252" w:type="dxa"/>
            <w:tcBorders>
              <w:top w:val="nil"/>
              <w:right w:val="nil"/>
            </w:tcBorders>
            <w:shd w:val="clear" w:color="auto" w:fill="auto"/>
            <w:vAlign w:val="bottom"/>
          </w:tcPr>
          <w:p w14:paraId="307C1B32" w14:textId="77777777" w:rsidR="00D17AD3" w:rsidRPr="007B5FB0" w:rsidRDefault="00D17AD3" w:rsidP="009E359E">
            <w:pPr>
              <w:rPr>
                <w:rFonts w:cs="Calibri"/>
                <w:color w:val="000000"/>
              </w:rPr>
            </w:pPr>
            <w:r>
              <w:rPr>
                <w:rFonts w:cs="Calibri"/>
                <w:color w:val="000000"/>
              </w:rPr>
              <w:t>1</w:t>
            </w:r>
          </w:p>
        </w:tc>
        <w:tc>
          <w:tcPr>
            <w:tcW w:w="558" w:type="dxa"/>
            <w:tcBorders>
              <w:top w:val="nil"/>
              <w:left w:val="nil"/>
              <w:right w:val="single" w:sz="4" w:space="0" w:color="auto"/>
            </w:tcBorders>
            <w:shd w:val="clear" w:color="auto" w:fill="auto"/>
            <w:vAlign w:val="bottom"/>
          </w:tcPr>
          <w:p w14:paraId="242C177F" w14:textId="77777777" w:rsidR="00D17AD3" w:rsidRPr="007B5FB0" w:rsidRDefault="00D17AD3" w:rsidP="009E359E">
            <w:pPr>
              <w:rPr>
                <w:rFonts w:cs="Calibri"/>
                <w:color w:val="000000"/>
              </w:rPr>
            </w:pPr>
            <w:r>
              <w:rPr>
                <w:rFonts w:cs="Calibri"/>
                <w:color w:val="000000"/>
              </w:rPr>
              <w:t>0.6</w:t>
            </w:r>
          </w:p>
        </w:tc>
        <w:tc>
          <w:tcPr>
            <w:tcW w:w="1252" w:type="dxa"/>
            <w:tcBorders>
              <w:top w:val="nil"/>
              <w:left w:val="single" w:sz="4" w:space="0" w:color="auto"/>
              <w:right w:val="nil"/>
            </w:tcBorders>
            <w:shd w:val="clear" w:color="auto" w:fill="auto"/>
            <w:vAlign w:val="bottom"/>
          </w:tcPr>
          <w:p w14:paraId="4A8E1DCE" w14:textId="77777777" w:rsidR="00D17AD3" w:rsidRPr="007B5FB0" w:rsidRDefault="00D17AD3" w:rsidP="009E359E">
            <w:pPr>
              <w:rPr>
                <w:rFonts w:cs="Calibri"/>
                <w:color w:val="000000"/>
              </w:rPr>
            </w:pPr>
            <w:r>
              <w:rPr>
                <w:rFonts w:cs="Calibri"/>
                <w:color w:val="000000"/>
              </w:rPr>
              <w:t>1</w:t>
            </w:r>
          </w:p>
        </w:tc>
        <w:tc>
          <w:tcPr>
            <w:tcW w:w="615" w:type="dxa"/>
            <w:tcBorders>
              <w:top w:val="nil"/>
              <w:left w:val="nil"/>
              <w:right w:val="single" w:sz="4" w:space="0" w:color="auto"/>
            </w:tcBorders>
            <w:shd w:val="clear" w:color="auto" w:fill="auto"/>
            <w:vAlign w:val="bottom"/>
          </w:tcPr>
          <w:p w14:paraId="491A4A4B" w14:textId="77777777" w:rsidR="00D17AD3" w:rsidRPr="007B5FB0" w:rsidRDefault="00D17AD3" w:rsidP="009E359E">
            <w:pPr>
              <w:rPr>
                <w:rFonts w:cs="Calibri"/>
                <w:color w:val="000000"/>
              </w:rPr>
            </w:pPr>
            <w:r>
              <w:rPr>
                <w:rFonts w:cs="Calibri"/>
                <w:color w:val="000000"/>
              </w:rPr>
              <w:t>0.6</w:t>
            </w:r>
          </w:p>
        </w:tc>
        <w:tc>
          <w:tcPr>
            <w:tcW w:w="1252" w:type="dxa"/>
            <w:tcBorders>
              <w:top w:val="nil"/>
              <w:left w:val="single" w:sz="4" w:space="0" w:color="auto"/>
              <w:right w:val="nil"/>
            </w:tcBorders>
            <w:shd w:val="clear" w:color="auto" w:fill="auto"/>
            <w:vAlign w:val="bottom"/>
          </w:tcPr>
          <w:p w14:paraId="10A0ECA6" w14:textId="77777777" w:rsidR="00D17AD3" w:rsidRPr="007B5FB0" w:rsidRDefault="00D17AD3" w:rsidP="009E359E">
            <w:pPr>
              <w:rPr>
                <w:rFonts w:cs="Calibri"/>
                <w:color w:val="000000"/>
              </w:rPr>
            </w:pPr>
            <w:r>
              <w:rPr>
                <w:rFonts w:cs="Calibri"/>
                <w:color w:val="000000"/>
              </w:rPr>
              <w:t>0</w:t>
            </w:r>
          </w:p>
        </w:tc>
        <w:tc>
          <w:tcPr>
            <w:tcW w:w="732" w:type="dxa"/>
            <w:tcBorders>
              <w:top w:val="nil"/>
              <w:left w:val="nil"/>
              <w:right w:val="single" w:sz="4" w:space="0" w:color="auto"/>
            </w:tcBorders>
            <w:shd w:val="clear" w:color="auto" w:fill="auto"/>
            <w:vAlign w:val="bottom"/>
          </w:tcPr>
          <w:p w14:paraId="08A36823" w14:textId="77777777" w:rsidR="00D17AD3" w:rsidRPr="007B5FB0" w:rsidRDefault="00D17AD3" w:rsidP="009E359E">
            <w:pPr>
              <w:rPr>
                <w:rFonts w:cs="Calibri"/>
                <w:color w:val="000000"/>
              </w:rPr>
            </w:pPr>
            <w:r>
              <w:rPr>
                <w:rFonts w:cs="Calibri"/>
                <w:color w:val="000000"/>
              </w:rPr>
              <w:t>0.0</w:t>
            </w:r>
          </w:p>
        </w:tc>
      </w:tr>
      <w:tr w:rsidR="00D17AD3" w:rsidRPr="007B5FB0" w14:paraId="1D6934B6" w14:textId="77777777" w:rsidTr="00D17AD3">
        <w:trPr>
          <w:cantSplit/>
          <w:trHeight w:val="340"/>
        </w:trPr>
        <w:tc>
          <w:tcPr>
            <w:tcW w:w="567" w:type="dxa"/>
            <w:vMerge/>
            <w:tcBorders>
              <w:bottom w:val="single" w:sz="4" w:space="0" w:color="auto"/>
            </w:tcBorders>
            <w:shd w:val="clear" w:color="auto" w:fill="auto"/>
            <w:textDirection w:val="btLr"/>
            <w:vAlign w:val="bottom"/>
          </w:tcPr>
          <w:p w14:paraId="1D91475F" w14:textId="77777777" w:rsidR="00D17AD3" w:rsidRPr="007B5FB0" w:rsidRDefault="00D17AD3" w:rsidP="009E359E">
            <w:pPr>
              <w:pStyle w:val="VEOHRCBodytext"/>
              <w:rPr>
                <w:rFonts w:eastAsia="Arial"/>
                <w:b/>
                <w:lang w:eastAsia="en-US"/>
              </w:rPr>
            </w:pPr>
          </w:p>
        </w:tc>
        <w:tc>
          <w:tcPr>
            <w:tcW w:w="2859" w:type="dxa"/>
            <w:tcBorders>
              <w:right w:val="single" w:sz="4" w:space="0" w:color="auto"/>
            </w:tcBorders>
            <w:shd w:val="clear" w:color="auto" w:fill="auto"/>
            <w:vAlign w:val="bottom"/>
          </w:tcPr>
          <w:p w14:paraId="696BDC8E" w14:textId="77777777" w:rsidR="00D17AD3" w:rsidRPr="007B5FB0" w:rsidRDefault="00D17AD3" w:rsidP="009E359E">
            <w:pPr>
              <w:rPr>
                <w:rFonts w:eastAsia="Arial"/>
                <w:color w:val="000000"/>
                <w:lang w:eastAsia="en-US"/>
              </w:rPr>
            </w:pPr>
            <w:r w:rsidRPr="007B5FB0">
              <w:rPr>
                <w:rFonts w:eastAsia="Arial"/>
                <w:color w:val="000000"/>
                <w:lang w:eastAsia="en-US"/>
              </w:rPr>
              <w:t>VPS 2</w:t>
            </w:r>
          </w:p>
        </w:tc>
        <w:tc>
          <w:tcPr>
            <w:tcW w:w="1252" w:type="dxa"/>
            <w:tcBorders>
              <w:right w:val="nil"/>
            </w:tcBorders>
            <w:shd w:val="clear" w:color="auto" w:fill="auto"/>
            <w:vAlign w:val="bottom"/>
          </w:tcPr>
          <w:p w14:paraId="69F913A4" w14:textId="77777777" w:rsidR="00D17AD3" w:rsidRPr="007B5FB0" w:rsidRDefault="00D17AD3" w:rsidP="009E359E">
            <w:pPr>
              <w:rPr>
                <w:rFonts w:cs="Calibri"/>
                <w:color w:val="000000"/>
              </w:rPr>
            </w:pPr>
            <w:r>
              <w:rPr>
                <w:rFonts w:cs="Calibri"/>
                <w:color w:val="000000"/>
              </w:rPr>
              <w:t>1</w:t>
            </w:r>
          </w:p>
        </w:tc>
        <w:tc>
          <w:tcPr>
            <w:tcW w:w="558" w:type="dxa"/>
            <w:tcBorders>
              <w:left w:val="nil"/>
              <w:right w:val="single" w:sz="4" w:space="0" w:color="auto"/>
            </w:tcBorders>
            <w:shd w:val="clear" w:color="auto" w:fill="auto"/>
            <w:vAlign w:val="bottom"/>
          </w:tcPr>
          <w:p w14:paraId="1373758A" w14:textId="77777777" w:rsidR="00D17AD3" w:rsidRPr="007B5FB0" w:rsidRDefault="00D17AD3" w:rsidP="009E359E">
            <w:pPr>
              <w:rPr>
                <w:rFonts w:cs="Calibri"/>
                <w:color w:val="000000"/>
              </w:rPr>
            </w:pPr>
            <w:r>
              <w:rPr>
                <w:rFonts w:cs="Calibri"/>
                <w:color w:val="000000"/>
              </w:rPr>
              <w:t>1.0</w:t>
            </w:r>
          </w:p>
        </w:tc>
        <w:tc>
          <w:tcPr>
            <w:tcW w:w="1252" w:type="dxa"/>
            <w:tcBorders>
              <w:left w:val="single" w:sz="4" w:space="0" w:color="auto"/>
              <w:right w:val="nil"/>
            </w:tcBorders>
            <w:shd w:val="clear" w:color="auto" w:fill="auto"/>
            <w:vAlign w:val="bottom"/>
          </w:tcPr>
          <w:p w14:paraId="4F70E561" w14:textId="77777777" w:rsidR="00D17AD3" w:rsidRPr="007B5FB0" w:rsidRDefault="00D17AD3" w:rsidP="009E359E">
            <w:pPr>
              <w:rPr>
                <w:rFonts w:cs="Calibri"/>
                <w:color w:val="000000"/>
              </w:rPr>
            </w:pPr>
            <w:r>
              <w:rPr>
                <w:rFonts w:cs="Calibri"/>
                <w:color w:val="000000"/>
              </w:rPr>
              <w:t>1</w:t>
            </w:r>
          </w:p>
        </w:tc>
        <w:tc>
          <w:tcPr>
            <w:tcW w:w="615" w:type="dxa"/>
            <w:tcBorders>
              <w:left w:val="nil"/>
              <w:right w:val="single" w:sz="4" w:space="0" w:color="auto"/>
            </w:tcBorders>
            <w:shd w:val="clear" w:color="auto" w:fill="auto"/>
            <w:vAlign w:val="bottom"/>
          </w:tcPr>
          <w:p w14:paraId="391CA78F" w14:textId="77777777" w:rsidR="00D17AD3" w:rsidRPr="007B5FB0" w:rsidRDefault="00D17AD3" w:rsidP="009E359E">
            <w:pPr>
              <w:rPr>
                <w:rFonts w:cs="Calibri"/>
                <w:color w:val="000000"/>
              </w:rPr>
            </w:pPr>
            <w:r>
              <w:rPr>
                <w:rFonts w:cs="Calibri"/>
                <w:color w:val="000000"/>
              </w:rPr>
              <w:t>1.0</w:t>
            </w:r>
          </w:p>
        </w:tc>
        <w:tc>
          <w:tcPr>
            <w:tcW w:w="1252" w:type="dxa"/>
            <w:tcBorders>
              <w:left w:val="single" w:sz="4" w:space="0" w:color="auto"/>
              <w:right w:val="nil"/>
            </w:tcBorders>
            <w:shd w:val="clear" w:color="auto" w:fill="auto"/>
            <w:vAlign w:val="bottom"/>
          </w:tcPr>
          <w:p w14:paraId="1B54F351" w14:textId="77777777" w:rsidR="00D17AD3" w:rsidRPr="007B5FB0" w:rsidRDefault="00D17AD3" w:rsidP="009E359E">
            <w:pPr>
              <w:rPr>
                <w:rFonts w:cs="Calibri"/>
                <w:color w:val="000000"/>
              </w:rPr>
            </w:pPr>
            <w:r>
              <w:rPr>
                <w:rFonts w:cs="Calibri"/>
                <w:color w:val="000000"/>
              </w:rPr>
              <w:t>0</w:t>
            </w:r>
          </w:p>
        </w:tc>
        <w:tc>
          <w:tcPr>
            <w:tcW w:w="732" w:type="dxa"/>
            <w:tcBorders>
              <w:left w:val="nil"/>
              <w:right w:val="single" w:sz="4" w:space="0" w:color="auto"/>
            </w:tcBorders>
            <w:shd w:val="clear" w:color="auto" w:fill="auto"/>
            <w:vAlign w:val="bottom"/>
          </w:tcPr>
          <w:p w14:paraId="25072027" w14:textId="77777777" w:rsidR="00D17AD3" w:rsidRPr="007B5FB0" w:rsidRDefault="00D17AD3" w:rsidP="009E359E">
            <w:pPr>
              <w:rPr>
                <w:rFonts w:cs="Calibri"/>
                <w:color w:val="000000"/>
              </w:rPr>
            </w:pPr>
            <w:r>
              <w:rPr>
                <w:rFonts w:cs="Calibri"/>
                <w:color w:val="000000"/>
              </w:rPr>
              <w:t>0.0</w:t>
            </w:r>
          </w:p>
        </w:tc>
      </w:tr>
      <w:tr w:rsidR="00D17AD3" w:rsidRPr="007B5FB0" w14:paraId="108384C0" w14:textId="77777777" w:rsidTr="00D17AD3">
        <w:trPr>
          <w:cantSplit/>
          <w:trHeight w:val="340"/>
        </w:trPr>
        <w:tc>
          <w:tcPr>
            <w:tcW w:w="567" w:type="dxa"/>
            <w:vMerge/>
            <w:tcBorders>
              <w:bottom w:val="single" w:sz="4" w:space="0" w:color="auto"/>
            </w:tcBorders>
            <w:shd w:val="clear" w:color="auto" w:fill="auto"/>
            <w:textDirection w:val="btLr"/>
            <w:vAlign w:val="bottom"/>
          </w:tcPr>
          <w:p w14:paraId="6817FAF6" w14:textId="77777777" w:rsidR="00D17AD3" w:rsidRPr="007B5FB0" w:rsidRDefault="00D17AD3" w:rsidP="009E359E">
            <w:pPr>
              <w:pStyle w:val="VEOHRCBodytext"/>
              <w:rPr>
                <w:rFonts w:eastAsia="Arial"/>
                <w:b/>
                <w:lang w:eastAsia="en-US"/>
              </w:rPr>
            </w:pPr>
          </w:p>
        </w:tc>
        <w:tc>
          <w:tcPr>
            <w:tcW w:w="2859" w:type="dxa"/>
            <w:tcBorders>
              <w:right w:val="single" w:sz="4" w:space="0" w:color="auto"/>
            </w:tcBorders>
            <w:shd w:val="clear" w:color="auto" w:fill="auto"/>
            <w:vAlign w:val="bottom"/>
          </w:tcPr>
          <w:p w14:paraId="7B03AF31" w14:textId="77777777" w:rsidR="00D17AD3" w:rsidRPr="007B5FB0" w:rsidRDefault="00D17AD3" w:rsidP="009E359E">
            <w:pPr>
              <w:rPr>
                <w:rFonts w:eastAsia="Arial"/>
                <w:color w:val="000000"/>
                <w:lang w:eastAsia="en-US"/>
              </w:rPr>
            </w:pPr>
            <w:r w:rsidRPr="007B5FB0">
              <w:rPr>
                <w:rFonts w:eastAsia="Arial"/>
                <w:color w:val="000000"/>
                <w:lang w:eastAsia="en-US"/>
              </w:rPr>
              <w:t>VPS 3</w:t>
            </w:r>
          </w:p>
        </w:tc>
        <w:tc>
          <w:tcPr>
            <w:tcW w:w="1252" w:type="dxa"/>
            <w:tcBorders>
              <w:right w:val="nil"/>
            </w:tcBorders>
            <w:shd w:val="clear" w:color="auto" w:fill="auto"/>
            <w:vAlign w:val="bottom"/>
          </w:tcPr>
          <w:p w14:paraId="5764E65B" w14:textId="77777777" w:rsidR="00D17AD3" w:rsidRPr="007B5FB0" w:rsidRDefault="00D17AD3" w:rsidP="009E359E">
            <w:pPr>
              <w:rPr>
                <w:rFonts w:cs="Calibri"/>
                <w:color w:val="000000"/>
              </w:rPr>
            </w:pPr>
            <w:r>
              <w:rPr>
                <w:rFonts w:cs="Calibri"/>
                <w:color w:val="000000"/>
              </w:rPr>
              <w:t>7</w:t>
            </w:r>
          </w:p>
        </w:tc>
        <w:tc>
          <w:tcPr>
            <w:tcW w:w="558" w:type="dxa"/>
            <w:tcBorders>
              <w:left w:val="nil"/>
              <w:right w:val="single" w:sz="4" w:space="0" w:color="auto"/>
            </w:tcBorders>
            <w:shd w:val="clear" w:color="auto" w:fill="auto"/>
            <w:vAlign w:val="bottom"/>
          </w:tcPr>
          <w:p w14:paraId="54E61F21" w14:textId="77777777" w:rsidR="00D17AD3" w:rsidRPr="007B5FB0" w:rsidRDefault="00D17AD3" w:rsidP="009E359E">
            <w:pPr>
              <w:rPr>
                <w:rFonts w:cs="Calibri"/>
                <w:color w:val="000000"/>
              </w:rPr>
            </w:pPr>
            <w:r>
              <w:rPr>
                <w:rFonts w:cs="Calibri"/>
                <w:color w:val="000000"/>
              </w:rPr>
              <w:t>6.0</w:t>
            </w:r>
          </w:p>
        </w:tc>
        <w:tc>
          <w:tcPr>
            <w:tcW w:w="1252" w:type="dxa"/>
            <w:tcBorders>
              <w:left w:val="single" w:sz="4" w:space="0" w:color="auto"/>
              <w:right w:val="nil"/>
            </w:tcBorders>
            <w:shd w:val="clear" w:color="auto" w:fill="auto"/>
            <w:vAlign w:val="bottom"/>
          </w:tcPr>
          <w:p w14:paraId="1B450850" w14:textId="77777777" w:rsidR="00D17AD3" w:rsidRPr="007B5FB0" w:rsidRDefault="00D17AD3" w:rsidP="009E359E">
            <w:pPr>
              <w:rPr>
                <w:rFonts w:cs="Calibri"/>
                <w:color w:val="000000"/>
              </w:rPr>
            </w:pPr>
            <w:r>
              <w:rPr>
                <w:rFonts w:cs="Calibri"/>
                <w:color w:val="000000"/>
              </w:rPr>
              <w:t>3</w:t>
            </w:r>
          </w:p>
        </w:tc>
        <w:tc>
          <w:tcPr>
            <w:tcW w:w="615" w:type="dxa"/>
            <w:tcBorders>
              <w:left w:val="nil"/>
              <w:right w:val="single" w:sz="4" w:space="0" w:color="auto"/>
            </w:tcBorders>
            <w:shd w:val="clear" w:color="auto" w:fill="auto"/>
            <w:vAlign w:val="bottom"/>
          </w:tcPr>
          <w:p w14:paraId="425C97F0" w14:textId="77777777" w:rsidR="00D17AD3" w:rsidRPr="007B5FB0" w:rsidRDefault="00D17AD3" w:rsidP="009E359E">
            <w:pPr>
              <w:rPr>
                <w:rFonts w:cs="Calibri"/>
                <w:color w:val="000000"/>
              </w:rPr>
            </w:pPr>
            <w:r>
              <w:rPr>
                <w:rFonts w:cs="Calibri"/>
                <w:color w:val="000000"/>
              </w:rPr>
              <w:t>3.0</w:t>
            </w:r>
          </w:p>
        </w:tc>
        <w:tc>
          <w:tcPr>
            <w:tcW w:w="1252" w:type="dxa"/>
            <w:tcBorders>
              <w:left w:val="single" w:sz="4" w:space="0" w:color="auto"/>
              <w:right w:val="nil"/>
            </w:tcBorders>
            <w:shd w:val="clear" w:color="auto" w:fill="auto"/>
            <w:vAlign w:val="bottom"/>
          </w:tcPr>
          <w:p w14:paraId="753DB8D6" w14:textId="77777777" w:rsidR="00D17AD3" w:rsidRPr="007B5FB0" w:rsidRDefault="00D17AD3" w:rsidP="009E359E">
            <w:pPr>
              <w:rPr>
                <w:rFonts w:cs="Calibri"/>
                <w:color w:val="000000"/>
              </w:rPr>
            </w:pPr>
            <w:r>
              <w:rPr>
                <w:rFonts w:cs="Calibri"/>
                <w:color w:val="000000"/>
              </w:rPr>
              <w:t>4</w:t>
            </w:r>
          </w:p>
        </w:tc>
        <w:tc>
          <w:tcPr>
            <w:tcW w:w="732" w:type="dxa"/>
            <w:tcBorders>
              <w:left w:val="nil"/>
              <w:right w:val="single" w:sz="4" w:space="0" w:color="auto"/>
            </w:tcBorders>
            <w:shd w:val="clear" w:color="auto" w:fill="auto"/>
            <w:vAlign w:val="bottom"/>
          </w:tcPr>
          <w:p w14:paraId="5BE8E419" w14:textId="77777777" w:rsidR="00D17AD3" w:rsidRPr="007B5FB0" w:rsidRDefault="00D17AD3" w:rsidP="009E359E">
            <w:pPr>
              <w:rPr>
                <w:rFonts w:cs="Calibri"/>
                <w:color w:val="000000"/>
              </w:rPr>
            </w:pPr>
            <w:r>
              <w:rPr>
                <w:rFonts w:cs="Calibri"/>
                <w:color w:val="000000"/>
              </w:rPr>
              <w:t>3.0</w:t>
            </w:r>
          </w:p>
        </w:tc>
      </w:tr>
      <w:tr w:rsidR="00D17AD3" w:rsidRPr="007B5FB0" w14:paraId="3D22A317" w14:textId="77777777" w:rsidTr="00D17AD3">
        <w:trPr>
          <w:cantSplit/>
          <w:trHeight w:val="340"/>
        </w:trPr>
        <w:tc>
          <w:tcPr>
            <w:tcW w:w="567" w:type="dxa"/>
            <w:vMerge/>
            <w:tcBorders>
              <w:bottom w:val="single" w:sz="4" w:space="0" w:color="auto"/>
            </w:tcBorders>
            <w:shd w:val="clear" w:color="auto" w:fill="auto"/>
            <w:textDirection w:val="btLr"/>
            <w:vAlign w:val="bottom"/>
          </w:tcPr>
          <w:p w14:paraId="20888248" w14:textId="77777777" w:rsidR="00D17AD3" w:rsidRPr="007B5FB0" w:rsidRDefault="00D17AD3" w:rsidP="009E359E">
            <w:pPr>
              <w:pStyle w:val="VEOHRCBodytext"/>
              <w:rPr>
                <w:lang w:eastAsia="en-US"/>
              </w:rPr>
            </w:pPr>
          </w:p>
        </w:tc>
        <w:tc>
          <w:tcPr>
            <w:tcW w:w="2859" w:type="dxa"/>
            <w:tcBorders>
              <w:right w:val="single" w:sz="4" w:space="0" w:color="auto"/>
            </w:tcBorders>
            <w:shd w:val="clear" w:color="auto" w:fill="auto"/>
            <w:vAlign w:val="bottom"/>
          </w:tcPr>
          <w:p w14:paraId="2FFAD767" w14:textId="77777777" w:rsidR="00D17AD3" w:rsidRPr="007B5FB0" w:rsidRDefault="00D17AD3" w:rsidP="009E359E">
            <w:pPr>
              <w:rPr>
                <w:noProof/>
                <w:color w:val="000000"/>
              </w:rPr>
            </w:pPr>
            <w:r w:rsidRPr="007B5FB0">
              <w:rPr>
                <w:noProof/>
                <w:color w:val="000000"/>
              </w:rPr>
              <w:t>VPS 4</w:t>
            </w:r>
          </w:p>
        </w:tc>
        <w:tc>
          <w:tcPr>
            <w:tcW w:w="1252" w:type="dxa"/>
            <w:tcBorders>
              <w:right w:val="nil"/>
            </w:tcBorders>
            <w:shd w:val="clear" w:color="auto" w:fill="auto"/>
            <w:vAlign w:val="bottom"/>
          </w:tcPr>
          <w:p w14:paraId="45265CB0" w14:textId="77777777" w:rsidR="00D17AD3" w:rsidRPr="007B5FB0" w:rsidRDefault="00D17AD3" w:rsidP="009E359E">
            <w:pPr>
              <w:rPr>
                <w:color w:val="000000"/>
              </w:rPr>
            </w:pPr>
            <w:r>
              <w:rPr>
                <w:color w:val="000000"/>
              </w:rPr>
              <w:t>14</w:t>
            </w:r>
          </w:p>
        </w:tc>
        <w:tc>
          <w:tcPr>
            <w:tcW w:w="558" w:type="dxa"/>
            <w:tcBorders>
              <w:left w:val="nil"/>
              <w:right w:val="single" w:sz="4" w:space="0" w:color="auto"/>
            </w:tcBorders>
            <w:shd w:val="clear" w:color="auto" w:fill="auto"/>
            <w:vAlign w:val="bottom"/>
          </w:tcPr>
          <w:p w14:paraId="6BBEB6B5" w14:textId="77777777" w:rsidR="00D17AD3" w:rsidRPr="007B5FB0" w:rsidRDefault="00D17AD3" w:rsidP="009E359E">
            <w:pPr>
              <w:rPr>
                <w:rFonts w:cs="Calibri"/>
                <w:color w:val="000000"/>
              </w:rPr>
            </w:pPr>
            <w:r>
              <w:rPr>
                <w:rFonts w:cs="Calibri"/>
                <w:color w:val="000000"/>
              </w:rPr>
              <w:t>12.6</w:t>
            </w:r>
          </w:p>
        </w:tc>
        <w:tc>
          <w:tcPr>
            <w:tcW w:w="1252" w:type="dxa"/>
            <w:tcBorders>
              <w:left w:val="single" w:sz="4" w:space="0" w:color="auto"/>
              <w:right w:val="nil"/>
            </w:tcBorders>
            <w:shd w:val="clear" w:color="auto" w:fill="auto"/>
            <w:vAlign w:val="bottom"/>
          </w:tcPr>
          <w:p w14:paraId="0E7437BE" w14:textId="77777777" w:rsidR="00D17AD3" w:rsidRPr="007B5FB0" w:rsidRDefault="00D17AD3" w:rsidP="009E359E">
            <w:pPr>
              <w:rPr>
                <w:color w:val="000000"/>
              </w:rPr>
            </w:pPr>
            <w:r>
              <w:rPr>
                <w:color w:val="000000"/>
              </w:rPr>
              <w:t>9</w:t>
            </w:r>
          </w:p>
        </w:tc>
        <w:tc>
          <w:tcPr>
            <w:tcW w:w="615" w:type="dxa"/>
            <w:tcBorders>
              <w:left w:val="nil"/>
              <w:right w:val="single" w:sz="4" w:space="0" w:color="auto"/>
            </w:tcBorders>
            <w:shd w:val="clear" w:color="auto" w:fill="auto"/>
            <w:vAlign w:val="bottom"/>
          </w:tcPr>
          <w:p w14:paraId="1B8B1C6A" w14:textId="77777777" w:rsidR="00D17AD3" w:rsidRPr="007B5FB0" w:rsidRDefault="00D17AD3" w:rsidP="009E359E">
            <w:pPr>
              <w:rPr>
                <w:color w:val="000000"/>
              </w:rPr>
            </w:pPr>
            <w:r>
              <w:rPr>
                <w:color w:val="000000"/>
              </w:rPr>
              <w:t>7.6</w:t>
            </w:r>
          </w:p>
        </w:tc>
        <w:tc>
          <w:tcPr>
            <w:tcW w:w="1252" w:type="dxa"/>
            <w:tcBorders>
              <w:left w:val="single" w:sz="4" w:space="0" w:color="auto"/>
              <w:right w:val="nil"/>
            </w:tcBorders>
            <w:shd w:val="clear" w:color="auto" w:fill="auto"/>
            <w:vAlign w:val="bottom"/>
          </w:tcPr>
          <w:p w14:paraId="42CDBE50" w14:textId="77777777" w:rsidR="00D17AD3" w:rsidRPr="007B5FB0" w:rsidRDefault="00D17AD3" w:rsidP="009E359E">
            <w:pPr>
              <w:rPr>
                <w:color w:val="000000"/>
              </w:rPr>
            </w:pPr>
            <w:r>
              <w:rPr>
                <w:color w:val="000000"/>
              </w:rPr>
              <w:t>5</w:t>
            </w:r>
          </w:p>
        </w:tc>
        <w:tc>
          <w:tcPr>
            <w:tcW w:w="732" w:type="dxa"/>
            <w:tcBorders>
              <w:left w:val="nil"/>
              <w:right w:val="single" w:sz="4" w:space="0" w:color="auto"/>
            </w:tcBorders>
            <w:shd w:val="clear" w:color="auto" w:fill="auto"/>
            <w:vAlign w:val="bottom"/>
          </w:tcPr>
          <w:p w14:paraId="6A0AD88E" w14:textId="77777777" w:rsidR="00D17AD3" w:rsidRPr="007B5FB0" w:rsidRDefault="00D17AD3" w:rsidP="009E359E">
            <w:pPr>
              <w:rPr>
                <w:color w:val="000000"/>
              </w:rPr>
            </w:pPr>
            <w:r>
              <w:rPr>
                <w:color w:val="000000"/>
              </w:rPr>
              <w:t>5.0</w:t>
            </w:r>
          </w:p>
        </w:tc>
      </w:tr>
      <w:tr w:rsidR="00D17AD3" w:rsidRPr="007B5FB0" w14:paraId="0976808A" w14:textId="77777777" w:rsidTr="00D17AD3">
        <w:trPr>
          <w:cantSplit/>
          <w:trHeight w:val="340"/>
        </w:trPr>
        <w:tc>
          <w:tcPr>
            <w:tcW w:w="567" w:type="dxa"/>
            <w:vMerge/>
            <w:tcBorders>
              <w:bottom w:val="single" w:sz="4" w:space="0" w:color="auto"/>
            </w:tcBorders>
            <w:shd w:val="clear" w:color="auto" w:fill="auto"/>
            <w:vAlign w:val="bottom"/>
          </w:tcPr>
          <w:p w14:paraId="74D78B95" w14:textId="77777777" w:rsidR="00D17AD3" w:rsidRPr="007B5FB0" w:rsidRDefault="00D17AD3" w:rsidP="009E359E">
            <w:pPr>
              <w:pStyle w:val="VEOHRCBodytext"/>
              <w:rPr>
                <w:lang w:eastAsia="en-US"/>
              </w:rPr>
            </w:pPr>
          </w:p>
        </w:tc>
        <w:tc>
          <w:tcPr>
            <w:tcW w:w="2859" w:type="dxa"/>
            <w:tcBorders>
              <w:right w:val="single" w:sz="4" w:space="0" w:color="auto"/>
            </w:tcBorders>
            <w:shd w:val="clear" w:color="auto" w:fill="auto"/>
            <w:vAlign w:val="bottom"/>
          </w:tcPr>
          <w:p w14:paraId="0C12D85B" w14:textId="77777777" w:rsidR="00D17AD3" w:rsidRPr="007B5FB0" w:rsidRDefault="00D17AD3" w:rsidP="009E359E">
            <w:pPr>
              <w:rPr>
                <w:noProof/>
                <w:color w:val="000000"/>
              </w:rPr>
            </w:pPr>
            <w:r w:rsidRPr="007B5FB0">
              <w:rPr>
                <w:noProof/>
              </w:rPr>
              <w:t>VPS 5</w:t>
            </w:r>
          </w:p>
        </w:tc>
        <w:tc>
          <w:tcPr>
            <w:tcW w:w="1252" w:type="dxa"/>
            <w:tcBorders>
              <w:right w:val="nil"/>
            </w:tcBorders>
            <w:shd w:val="clear" w:color="auto" w:fill="auto"/>
            <w:vAlign w:val="bottom"/>
          </w:tcPr>
          <w:p w14:paraId="4A02CD09" w14:textId="77777777" w:rsidR="00D17AD3" w:rsidRPr="007B5FB0" w:rsidRDefault="00D17AD3" w:rsidP="009E359E">
            <w:pPr>
              <w:rPr>
                <w:color w:val="000000"/>
              </w:rPr>
            </w:pPr>
            <w:r>
              <w:rPr>
                <w:color w:val="000000"/>
              </w:rPr>
              <w:t>23</w:t>
            </w:r>
          </w:p>
        </w:tc>
        <w:tc>
          <w:tcPr>
            <w:tcW w:w="558" w:type="dxa"/>
            <w:tcBorders>
              <w:left w:val="nil"/>
              <w:right w:val="single" w:sz="4" w:space="0" w:color="auto"/>
            </w:tcBorders>
            <w:shd w:val="clear" w:color="auto" w:fill="auto"/>
            <w:vAlign w:val="bottom"/>
          </w:tcPr>
          <w:p w14:paraId="6880B207" w14:textId="77777777" w:rsidR="00D17AD3" w:rsidRPr="007B5FB0" w:rsidRDefault="00D17AD3" w:rsidP="009E359E">
            <w:pPr>
              <w:rPr>
                <w:rFonts w:cs="Calibri"/>
                <w:color w:val="000000"/>
              </w:rPr>
            </w:pPr>
            <w:r>
              <w:rPr>
                <w:rFonts w:cs="Calibri"/>
                <w:color w:val="000000"/>
              </w:rPr>
              <w:t>20.4</w:t>
            </w:r>
          </w:p>
        </w:tc>
        <w:tc>
          <w:tcPr>
            <w:tcW w:w="1252" w:type="dxa"/>
            <w:tcBorders>
              <w:left w:val="single" w:sz="4" w:space="0" w:color="auto"/>
              <w:right w:val="nil"/>
            </w:tcBorders>
            <w:shd w:val="clear" w:color="auto" w:fill="auto"/>
            <w:vAlign w:val="bottom"/>
          </w:tcPr>
          <w:p w14:paraId="2C3A95A1" w14:textId="77777777" w:rsidR="00D17AD3" w:rsidRPr="007B5FB0" w:rsidRDefault="00D17AD3" w:rsidP="009E359E">
            <w:pPr>
              <w:rPr>
                <w:color w:val="000000"/>
              </w:rPr>
            </w:pPr>
            <w:r>
              <w:rPr>
                <w:color w:val="000000"/>
              </w:rPr>
              <w:t>19</w:t>
            </w:r>
          </w:p>
        </w:tc>
        <w:tc>
          <w:tcPr>
            <w:tcW w:w="615" w:type="dxa"/>
            <w:tcBorders>
              <w:left w:val="nil"/>
              <w:right w:val="single" w:sz="4" w:space="0" w:color="auto"/>
            </w:tcBorders>
            <w:shd w:val="clear" w:color="auto" w:fill="auto"/>
            <w:vAlign w:val="bottom"/>
          </w:tcPr>
          <w:p w14:paraId="5E8B0838" w14:textId="77777777" w:rsidR="00D17AD3" w:rsidRPr="007B5FB0" w:rsidRDefault="00D17AD3" w:rsidP="009E359E">
            <w:pPr>
              <w:rPr>
                <w:color w:val="000000"/>
              </w:rPr>
            </w:pPr>
            <w:r>
              <w:rPr>
                <w:color w:val="000000"/>
              </w:rPr>
              <w:t>16.9</w:t>
            </w:r>
          </w:p>
        </w:tc>
        <w:tc>
          <w:tcPr>
            <w:tcW w:w="1252" w:type="dxa"/>
            <w:tcBorders>
              <w:left w:val="single" w:sz="4" w:space="0" w:color="auto"/>
              <w:right w:val="nil"/>
            </w:tcBorders>
            <w:shd w:val="clear" w:color="auto" w:fill="auto"/>
            <w:vAlign w:val="bottom"/>
          </w:tcPr>
          <w:p w14:paraId="16C7382B" w14:textId="77777777" w:rsidR="00D17AD3" w:rsidRPr="007B5FB0" w:rsidRDefault="00D17AD3" w:rsidP="009E359E">
            <w:pPr>
              <w:rPr>
                <w:color w:val="000000"/>
              </w:rPr>
            </w:pPr>
            <w:r>
              <w:rPr>
                <w:color w:val="000000"/>
              </w:rPr>
              <w:t>4</w:t>
            </w:r>
          </w:p>
        </w:tc>
        <w:tc>
          <w:tcPr>
            <w:tcW w:w="732" w:type="dxa"/>
            <w:tcBorders>
              <w:left w:val="nil"/>
              <w:right w:val="single" w:sz="4" w:space="0" w:color="auto"/>
            </w:tcBorders>
            <w:shd w:val="clear" w:color="auto" w:fill="auto"/>
            <w:vAlign w:val="bottom"/>
          </w:tcPr>
          <w:p w14:paraId="73C28BB4" w14:textId="77777777" w:rsidR="00D17AD3" w:rsidRPr="007B5FB0" w:rsidRDefault="00D17AD3" w:rsidP="009E359E">
            <w:pPr>
              <w:rPr>
                <w:color w:val="000000"/>
              </w:rPr>
            </w:pPr>
            <w:r>
              <w:rPr>
                <w:color w:val="000000"/>
              </w:rPr>
              <w:t>3.5</w:t>
            </w:r>
          </w:p>
        </w:tc>
      </w:tr>
      <w:tr w:rsidR="00D17AD3" w:rsidRPr="007B5FB0" w14:paraId="0E790717" w14:textId="77777777" w:rsidTr="00D17AD3">
        <w:trPr>
          <w:cantSplit/>
          <w:trHeight w:val="340"/>
        </w:trPr>
        <w:tc>
          <w:tcPr>
            <w:tcW w:w="567" w:type="dxa"/>
            <w:vMerge/>
            <w:tcBorders>
              <w:bottom w:val="single" w:sz="4" w:space="0" w:color="auto"/>
            </w:tcBorders>
            <w:shd w:val="clear" w:color="auto" w:fill="auto"/>
            <w:vAlign w:val="bottom"/>
          </w:tcPr>
          <w:p w14:paraId="222DE342" w14:textId="77777777" w:rsidR="00D17AD3" w:rsidRPr="007B5FB0" w:rsidRDefault="00D17AD3" w:rsidP="009E359E">
            <w:pPr>
              <w:pStyle w:val="VEOHRCBodytext"/>
              <w:rPr>
                <w:lang w:eastAsia="en-US"/>
              </w:rPr>
            </w:pPr>
          </w:p>
        </w:tc>
        <w:tc>
          <w:tcPr>
            <w:tcW w:w="2859" w:type="dxa"/>
            <w:tcBorders>
              <w:right w:val="single" w:sz="4" w:space="0" w:color="auto"/>
            </w:tcBorders>
            <w:shd w:val="clear" w:color="auto" w:fill="auto"/>
            <w:vAlign w:val="bottom"/>
          </w:tcPr>
          <w:p w14:paraId="55742C7F" w14:textId="77777777" w:rsidR="00D17AD3" w:rsidRPr="007B5FB0" w:rsidRDefault="00D17AD3" w:rsidP="009E359E">
            <w:pPr>
              <w:rPr>
                <w:noProof/>
                <w:color w:val="000000"/>
              </w:rPr>
            </w:pPr>
            <w:r w:rsidRPr="007B5FB0">
              <w:rPr>
                <w:noProof/>
              </w:rPr>
              <w:t>VPS 6</w:t>
            </w:r>
          </w:p>
        </w:tc>
        <w:tc>
          <w:tcPr>
            <w:tcW w:w="1252" w:type="dxa"/>
            <w:tcBorders>
              <w:right w:val="nil"/>
            </w:tcBorders>
            <w:shd w:val="clear" w:color="auto" w:fill="auto"/>
            <w:vAlign w:val="bottom"/>
          </w:tcPr>
          <w:p w14:paraId="64DBF5F3" w14:textId="77777777" w:rsidR="00D17AD3" w:rsidRPr="007B5FB0" w:rsidRDefault="00D17AD3" w:rsidP="009E359E">
            <w:pPr>
              <w:rPr>
                <w:color w:val="000000"/>
              </w:rPr>
            </w:pPr>
            <w:r>
              <w:rPr>
                <w:color w:val="000000"/>
              </w:rPr>
              <w:t>8</w:t>
            </w:r>
          </w:p>
        </w:tc>
        <w:tc>
          <w:tcPr>
            <w:tcW w:w="558" w:type="dxa"/>
            <w:tcBorders>
              <w:left w:val="nil"/>
              <w:right w:val="single" w:sz="4" w:space="0" w:color="auto"/>
            </w:tcBorders>
            <w:shd w:val="clear" w:color="auto" w:fill="auto"/>
            <w:vAlign w:val="bottom"/>
          </w:tcPr>
          <w:p w14:paraId="6577681B" w14:textId="77777777" w:rsidR="00D17AD3" w:rsidRPr="007B5FB0" w:rsidRDefault="00D17AD3" w:rsidP="009E359E">
            <w:pPr>
              <w:rPr>
                <w:rFonts w:cs="Calibri"/>
                <w:color w:val="000000"/>
              </w:rPr>
            </w:pPr>
            <w:r>
              <w:rPr>
                <w:rFonts w:cs="Calibri"/>
                <w:color w:val="000000"/>
              </w:rPr>
              <w:t>7.8</w:t>
            </w:r>
          </w:p>
        </w:tc>
        <w:tc>
          <w:tcPr>
            <w:tcW w:w="1252" w:type="dxa"/>
            <w:tcBorders>
              <w:left w:val="single" w:sz="4" w:space="0" w:color="auto"/>
              <w:right w:val="nil"/>
            </w:tcBorders>
            <w:shd w:val="clear" w:color="auto" w:fill="auto"/>
            <w:vAlign w:val="bottom"/>
          </w:tcPr>
          <w:p w14:paraId="30E1C52D" w14:textId="77777777" w:rsidR="00D17AD3" w:rsidRPr="007B5FB0" w:rsidRDefault="00D17AD3" w:rsidP="009E359E">
            <w:pPr>
              <w:rPr>
                <w:color w:val="000000"/>
              </w:rPr>
            </w:pPr>
            <w:r>
              <w:rPr>
                <w:color w:val="000000"/>
              </w:rPr>
              <w:t>5</w:t>
            </w:r>
          </w:p>
        </w:tc>
        <w:tc>
          <w:tcPr>
            <w:tcW w:w="615" w:type="dxa"/>
            <w:tcBorders>
              <w:left w:val="nil"/>
              <w:right w:val="single" w:sz="4" w:space="0" w:color="auto"/>
            </w:tcBorders>
            <w:shd w:val="clear" w:color="auto" w:fill="auto"/>
            <w:vAlign w:val="bottom"/>
          </w:tcPr>
          <w:p w14:paraId="6056225E" w14:textId="77777777" w:rsidR="00D17AD3" w:rsidRPr="007B5FB0" w:rsidRDefault="00D17AD3" w:rsidP="009E359E">
            <w:pPr>
              <w:rPr>
                <w:color w:val="000000"/>
              </w:rPr>
            </w:pPr>
            <w:r>
              <w:rPr>
                <w:color w:val="000000"/>
              </w:rPr>
              <w:t>5.0</w:t>
            </w:r>
          </w:p>
        </w:tc>
        <w:tc>
          <w:tcPr>
            <w:tcW w:w="1252" w:type="dxa"/>
            <w:tcBorders>
              <w:left w:val="single" w:sz="4" w:space="0" w:color="auto"/>
              <w:right w:val="nil"/>
            </w:tcBorders>
            <w:shd w:val="clear" w:color="auto" w:fill="auto"/>
            <w:vAlign w:val="bottom"/>
          </w:tcPr>
          <w:p w14:paraId="637153E0" w14:textId="77777777" w:rsidR="00D17AD3" w:rsidRPr="007B5FB0" w:rsidRDefault="00D17AD3" w:rsidP="009E359E">
            <w:pPr>
              <w:rPr>
                <w:color w:val="000000"/>
              </w:rPr>
            </w:pPr>
            <w:r>
              <w:rPr>
                <w:color w:val="000000"/>
              </w:rPr>
              <w:t>3</w:t>
            </w:r>
          </w:p>
        </w:tc>
        <w:tc>
          <w:tcPr>
            <w:tcW w:w="732" w:type="dxa"/>
            <w:tcBorders>
              <w:left w:val="nil"/>
              <w:right w:val="single" w:sz="4" w:space="0" w:color="auto"/>
            </w:tcBorders>
            <w:shd w:val="clear" w:color="auto" w:fill="auto"/>
            <w:vAlign w:val="bottom"/>
          </w:tcPr>
          <w:p w14:paraId="0DABAF84" w14:textId="77777777" w:rsidR="00D17AD3" w:rsidRPr="007B5FB0" w:rsidRDefault="00D17AD3" w:rsidP="009E359E">
            <w:pPr>
              <w:rPr>
                <w:color w:val="000000"/>
              </w:rPr>
            </w:pPr>
            <w:r>
              <w:rPr>
                <w:color w:val="000000"/>
              </w:rPr>
              <w:t>2.8</w:t>
            </w:r>
          </w:p>
        </w:tc>
      </w:tr>
      <w:tr w:rsidR="00D17AD3" w:rsidRPr="007B5FB0" w14:paraId="5ECE9171" w14:textId="77777777" w:rsidTr="00D17AD3">
        <w:trPr>
          <w:cantSplit/>
          <w:trHeight w:val="340"/>
        </w:trPr>
        <w:tc>
          <w:tcPr>
            <w:tcW w:w="567" w:type="dxa"/>
            <w:tcBorders>
              <w:top w:val="single" w:sz="4" w:space="0" w:color="auto"/>
              <w:bottom w:val="single" w:sz="12" w:space="0" w:color="auto"/>
            </w:tcBorders>
            <w:shd w:val="clear" w:color="auto" w:fill="auto"/>
            <w:vAlign w:val="bottom"/>
          </w:tcPr>
          <w:p w14:paraId="5411B04E" w14:textId="77777777" w:rsidR="00D17AD3" w:rsidRPr="007B5FB0" w:rsidRDefault="00D17AD3" w:rsidP="009E359E">
            <w:pPr>
              <w:pStyle w:val="VEOHRCBodytext"/>
              <w:rPr>
                <w:lang w:eastAsia="en-US"/>
              </w:rPr>
            </w:pPr>
          </w:p>
        </w:tc>
        <w:tc>
          <w:tcPr>
            <w:tcW w:w="2859" w:type="dxa"/>
            <w:tcBorders>
              <w:top w:val="single" w:sz="6" w:space="0" w:color="auto"/>
              <w:bottom w:val="single" w:sz="12" w:space="0" w:color="auto"/>
              <w:right w:val="single" w:sz="4" w:space="0" w:color="auto"/>
            </w:tcBorders>
            <w:shd w:val="clear" w:color="auto" w:fill="auto"/>
            <w:vAlign w:val="bottom"/>
          </w:tcPr>
          <w:p w14:paraId="45A58DF5" w14:textId="77777777" w:rsidR="00D17AD3" w:rsidRPr="007B5FB0" w:rsidRDefault="00D17AD3" w:rsidP="009E359E">
            <w:pPr>
              <w:rPr>
                <w:noProof/>
              </w:rPr>
            </w:pPr>
            <w:r w:rsidRPr="007B5FB0">
              <w:rPr>
                <w:b/>
                <w:noProof/>
              </w:rPr>
              <w:t>Total Active* employees</w:t>
            </w:r>
          </w:p>
        </w:tc>
        <w:tc>
          <w:tcPr>
            <w:tcW w:w="1252" w:type="dxa"/>
            <w:tcBorders>
              <w:top w:val="single" w:sz="6" w:space="0" w:color="auto"/>
              <w:bottom w:val="single" w:sz="12" w:space="0" w:color="auto"/>
              <w:right w:val="nil"/>
            </w:tcBorders>
            <w:shd w:val="clear" w:color="auto" w:fill="auto"/>
            <w:vAlign w:val="bottom"/>
          </w:tcPr>
          <w:p w14:paraId="7B43BFE0" w14:textId="77777777" w:rsidR="00D17AD3" w:rsidRPr="007B5FB0" w:rsidRDefault="00D17AD3" w:rsidP="009E359E">
            <w:pPr>
              <w:rPr>
                <w:color w:val="000000"/>
              </w:rPr>
            </w:pPr>
            <w:r w:rsidRPr="007B5FB0">
              <w:rPr>
                <w:color w:val="000000"/>
              </w:rPr>
              <w:t>57</w:t>
            </w:r>
          </w:p>
        </w:tc>
        <w:tc>
          <w:tcPr>
            <w:tcW w:w="558" w:type="dxa"/>
            <w:tcBorders>
              <w:top w:val="single" w:sz="6" w:space="0" w:color="auto"/>
              <w:left w:val="nil"/>
              <w:bottom w:val="single" w:sz="12" w:space="0" w:color="auto"/>
              <w:right w:val="single" w:sz="4" w:space="0" w:color="auto"/>
            </w:tcBorders>
            <w:vAlign w:val="bottom"/>
          </w:tcPr>
          <w:p w14:paraId="7124E657" w14:textId="77777777" w:rsidR="00D17AD3" w:rsidRPr="007B5FB0" w:rsidRDefault="00D17AD3" w:rsidP="009E359E">
            <w:pPr>
              <w:rPr>
                <w:rFonts w:cs="Calibri"/>
                <w:color w:val="000000"/>
              </w:rPr>
            </w:pPr>
            <w:r w:rsidRPr="007B5FB0">
              <w:rPr>
                <w:rFonts w:cs="Calibri"/>
                <w:color w:val="000000"/>
              </w:rPr>
              <w:t>51.4</w:t>
            </w:r>
          </w:p>
        </w:tc>
        <w:tc>
          <w:tcPr>
            <w:tcW w:w="1252" w:type="dxa"/>
            <w:tcBorders>
              <w:top w:val="single" w:sz="6" w:space="0" w:color="auto"/>
              <w:left w:val="single" w:sz="4" w:space="0" w:color="auto"/>
              <w:bottom w:val="single" w:sz="12" w:space="0" w:color="auto"/>
              <w:right w:val="nil"/>
            </w:tcBorders>
            <w:shd w:val="clear" w:color="auto" w:fill="auto"/>
            <w:vAlign w:val="bottom"/>
          </w:tcPr>
          <w:p w14:paraId="2FA57C16" w14:textId="77777777" w:rsidR="00D17AD3" w:rsidRPr="007B5FB0" w:rsidRDefault="00D17AD3" w:rsidP="009E359E">
            <w:pPr>
              <w:rPr>
                <w:color w:val="000000"/>
              </w:rPr>
            </w:pPr>
            <w:r>
              <w:rPr>
                <w:color w:val="000000"/>
              </w:rPr>
              <w:t>40</w:t>
            </w:r>
          </w:p>
        </w:tc>
        <w:tc>
          <w:tcPr>
            <w:tcW w:w="615" w:type="dxa"/>
            <w:tcBorders>
              <w:top w:val="single" w:sz="6" w:space="0" w:color="auto"/>
              <w:left w:val="nil"/>
              <w:bottom w:val="single" w:sz="12" w:space="0" w:color="auto"/>
              <w:right w:val="single" w:sz="4" w:space="0" w:color="auto"/>
            </w:tcBorders>
            <w:shd w:val="clear" w:color="auto" w:fill="auto"/>
            <w:vAlign w:val="bottom"/>
          </w:tcPr>
          <w:p w14:paraId="7A9621CB" w14:textId="77777777" w:rsidR="00D17AD3" w:rsidRPr="007B5FB0" w:rsidRDefault="00D17AD3" w:rsidP="009E359E">
            <w:pPr>
              <w:rPr>
                <w:color w:val="000000"/>
              </w:rPr>
            </w:pPr>
            <w:r>
              <w:rPr>
                <w:color w:val="000000"/>
              </w:rPr>
              <w:t>36.1</w:t>
            </w:r>
          </w:p>
        </w:tc>
        <w:tc>
          <w:tcPr>
            <w:tcW w:w="1252" w:type="dxa"/>
            <w:tcBorders>
              <w:top w:val="single" w:sz="6" w:space="0" w:color="auto"/>
              <w:left w:val="single" w:sz="4" w:space="0" w:color="auto"/>
              <w:bottom w:val="single" w:sz="12" w:space="0" w:color="auto"/>
              <w:right w:val="nil"/>
            </w:tcBorders>
            <w:shd w:val="clear" w:color="auto" w:fill="auto"/>
            <w:vAlign w:val="bottom"/>
          </w:tcPr>
          <w:p w14:paraId="6C9B65B9" w14:textId="77777777" w:rsidR="00D17AD3" w:rsidRPr="007B5FB0" w:rsidRDefault="00D17AD3" w:rsidP="009E359E">
            <w:pPr>
              <w:rPr>
                <w:color w:val="000000"/>
              </w:rPr>
            </w:pPr>
            <w:r>
              <w:rPr>
                <w:color w:val="000000"/>
              </w:rPr>
              <w:t>17</w:t>
            </w:r>
          </w:p>
        </w:tc>
        <w:tc>
          <w:tcPr>
            <w:tcW w:w="732" w:type="dxa"/>
            <w:tcBorders>
              <w:top w:val="single" w:sz="6" w:space="0" w:color="auto"/>
              <w:left w:val="nil"/>
              <w:bottom w:val="single" w:sz="12" w:space="0" w:color="auto"/>
              <w:right w:val="single" w:sz="4" w:space="0" w:color="auto"/>
            </w:tcBorders>
            <w:shd w:val="clear" w:color="auto" w:fill="auto"/>
            <w:vAlign w:val="bottom"/>
          </w:tcPr>
          <w:p w14:paraId="209A6983" w14:textId="77777777" w:rsidR="00D17AD3" w:rsidRPr="007B5FB0" w:rsidRDefault="00D17AD3" w:rsidP="009E359E">
            <w:pPr>
              <w:rPr>
                <w:color w:val="000000"/>
              </w:rPr>
            </w:pPr>
            <w:r>
              <w:rPr>
                <w:color w:val="000000"/>
              </w:rPr>
              <w:t>15.3</w:t>
            </w:r>
          </w:p>
        </w:tc>
      </w:tr>
    </w:tbl>
    <w:p w14:paraId="35AE8780" w14:textId="77777777" w:rsidR="00D17AD3" w:rsidRPr="007B5FB0" w:rsidRDefault="00D17AD3" w:rsidP="00D17AD3">
      <w:pPr>
        <w:pStyle w:val="VEOHRCFootnotetext"/>
        <w:spacing w:before="80"/>
        <w:rPr>
          <w:rFonts w:eastAsia="Arial"/>
          <w:highlight w:val="yellow"/>
          <w:lang w:eastAsia="en-US"/>
        </w:rPr>
      </w:pPr>
      <w:r w:rsidRPr="007B5FB0">
        <w:rPr>
          <w:rFonts w:eastAsia="Arial"/>
          <w:lang w:eastAsia="en-US"/>
        </w:rPr>
        <w:t xml:space="preserve">Note: </w:t>
      </w:r>
      <w:r w:rsidRPr="007B5FB0">
        <w:rPr>
          <w:rFonts w:eastAsia="Arial"/>
          <w:lang w:eastAsia="en-US"/>
        </w:rPr>
        <w:tab/>
      </w:r>
      <w:r w:rsidRPr="007B5FB0">
        <w:t>“Active employees” has the same meaning as in Financial Reporting Direction 29C and includes employees on WorkCover leave receiving make up pay.  Active employee numbers do not include:</w:t>
      </w:r>
    </w:p>
    <w:p w14:paraId="0390FF1D" w14:textId="77777777" w:rsidR="00D17AD3" w:rsidRPr="007B5FB0" w:rsidRDefault="00D17AD3" w:rsidP="00D17AD3">
      <w:pPr>
        <w:pStyle w:val="VEOHRCFootnotetext"/>
        <w:numPr>
          <w:ilvl w:val="0"/>
          <w:numId w:val="50"/>
        </w:numPr>
      </w:pPr>
      <w:r w:rsidRPr="007B5FB0">
        <w:t>Separated employees that ceased employment with your organisation during the 12 months from the first pay period of July 2017 until the end of the last full pay period of June 2018.</w:t>
      </w:r>
    </w:p>
    <w:p w14:paraId="6C97A531" w14:textId="77777777" w:rsidR="00D17AD3" w:rsidRPr="007B5FB0" w:rsidRDefault="00D17AD3" w:rsidP="00D17AD3">
      <w:pPr>
        <w:pStyle w:val="VEOHRCFootnotetext"/>
        <w:numPr>
          <w:ilvl w:val="0"/>
          <w:numId w:val="50"/>
        </w:numPr>
      </w:pPr>
      <w:r w:rsidRPr="007B5FB0">
        <w:t>Casual employees who were not employed and paid for work in the final full pay period of June 2018.</w:t>
      </w:r>
    </w:p>
    <w:p w14:paraId="10A948B5" w14:textId="77777777" w:rsidR="00D17AD3" w:rsidRPr="007B5FB0" w:rsidRDefault="00D17AD3" w:rsidP="00D17AD3">
      <w:pPr>
        <w:pStyle w:val="VEOHRCFootnotetext"/>
        <w:numPr>
          <w:ilvl w:val="0"/>
          <w:numId w:val="50"/>
        </w:numPr>
      </w:pPr>
      <w:r w:rsidRPr="007B5FB0">
        <w:t>People who are added to the payroll in the last full pay period in June 2018 solely for the purpose of paying outstanding entitlements.</w:t>
      </w:r>
    </w:p>
    <w:p w14:paraId="4956FDA1" w14:textId="77777777" w:rsidR="00D17AD3" w:rsidRPr="007B5FB0" w:rsidRDefault="00D17AD3" w:rsidP="00D17AD3">
      <w:pPr>
        <w:pStyle w:val="VEOHRCFootnotetext"/>
        <w:numPr>
          <w:ilvl w:val="0"/>
          <w:numId w:val="50"/>
        </w:numPr>
      </w:pPr>
      <w:r w:rsidRPr="007B5FB0">
        <w:t>Volunteers, employment agency staff, contractors, consultants or board members.</w:t>
      </w:r>
    </w:p>
    <w:p w14:paraId="72F17245" w14:textId="77777777" w:rsidR="0099606F" w:rsidRPr="007B5FB0" w:rsidRDefault="0099606F" w:rsidP="0099606F">
      <w:pPr>
        <w:pStyle w:val="VEOHRCHeading1"/>
      </w:pPr>
      <w:bookmarkStart w:id="36" w:name="_Toc524536486"/>
      <w:r w:rsidRPr="007B5FB0">
        <w:t xml:space="preserve">Consultancy </w:t>
      </w:r>
      <w:bookmarkEnd w:id="34"/>
      <w:r w:rsidRPr="007B5FB0">
        <w:t>expenditure</w:t>
      </w:r>
      <w:bookmarkEnd w:id="35"/>
      <w:bookmarkEnd w:id="36"/>
    </w:p>
    <w:p w14:paraId="33B9AADE" w14:textId="77777777" w:rsidR="0099606F" w:rsidRPr="007B5FB0" w:rsidRDefault="0099606F" w:rsidP="0099606F">
      <w:pPr>
        <w:pStyle w:val="VEOHRCHeading3"/>
        <w:rPr>
          <w:lang w:eastAsia="en-US"/>
        </w:rPr>
      </w:pPr>
      <w:r w:rsidRPr="007B5FB0">
        <w:rPr>
          <w:lang w:eastAsia="en-US"/>
        </w:rPr>
        <w:t>Details of consultancies (valued at $10 000 or greater)</w:t>
      </w:r>
    </w:p>
    <w:p w14:paraId="74DCCC67" w14:textId="2F533CC4" w:rsidR="0099606F" w:rsidRPr="007B5FB0" w:rsidRDefault="0099606F" w:rsidP="0099606F">
      <w:pPr>
        <w:pStyle w:val="VEOHRCBodytext"/>
      </w:pPr>
      <w:r w:rsidRPr="007B5FB0">
        <w:t>In 201</w:t>
      </w:r>
      <w:r w:rsidR="008D6268">
        <w:t>7–</w:t>
      </w:r>
      <w:r w:rsidRPr="007B5FB0">
        <w:t>18, there were nine consultancies where the total fees payable to the consultants were $10,000 or greater. Details of individual consultancies are outlined below. Total expenditure incurred during 201</w:t>
      </w:r>
      <w:r w:rsidR="008D6268">
        <w:t>7–</w:t>
      </w:r>
      <w:r w:rsidRPr="007B5FB0">
        <w:t xml:space="preserve">18 related to these consultancies is $301,689 (excluding GST). </w:t>
      </w:r>
    </w:p>
    <w:p w14:paraId="559A8FBE" w14:textId="77777777" w:rsidR="0099606F" w:rsidRPr="007B5FB0" w:rsidRDefault="0099606F" w:rsidP="0099606F">
      <w:pPr>
        <w:spacing w:before="120" w:after="60"/>
        <w:ind w:right="-284"/>
        <w:rPr>
          <w:b/>
          <w:lang w:eastAsia="en-US"/>
        </w:rPr>
      </w:pPr>
    </w:p>
    <w:tbl>
      <w:tblPr>
        <w:tblW w:w="10080" w:type="dxa"/>
        <w:tblInd w:w="28" w:type="dxa"/>
        <w:tblBorders>
          <w:bottom w:val="single" w:sz="12" w:space="0" w:color="auto"/>
        </w:tblBorders>
        <w:tblLayout w:type="fixed"/>
        <w:tblCellMar>
          <w:left w:w="43" w:type="dxa"/>
          <w:right w:w="43" w:type="dxa"/>
        </w:tblCellMar>
        <w:tblLook w:val="0660" w:firstRow="1" w:lastRow="1" w:firstColumn="0" w:lastColumn="0" w:noHBand="1" w:noVBand="1"/>
      </w:tblPr>
      <w:tblGrid>
        <w:gridCol w:w="2142"/>
        <w:gridCol w:w="2409"/>
        <w:gridCol w:w="1134"/>
        <w:gridCol w:w="1134"/>
        <w:gridCol w:w="1134"/>
        <w:gridCol w:w="993"/>
        <w:gridCol w:w="1134"/>
      </w:tblGrid>
      <w:tr w:rsidR="0099606F" w:rsidRPr="007B5FB0" w14:paraId="476C33E3" w14:textId="77777777" w:rsidTr="0071253F">
        <w:trPr>
          <w:trHeight w:val="482"/>
        </w:trPr>
        <w:tc>
          <w:tcPr>
            <w:tcW w:w="2142" w:type="dxa"/>
            <w:tcBorders>
              <w:bottom w:val="single" w:sz="4" w:space="0" w:color="auto"/>
            </w:tcBorders>
            <w:shd w:val="clear" w:color="auto" w:fill="000000"/>
            <w:vAlign w:val="bottom"/>
          </w:tcPr>
          <w:p w14:paraId="25893D79" w14:textId="77777777" w:rsidR="0099606F" w:rsidRPr="007B5FB0" w:rsidRDefault="0099606F" w:rsidP="0071253F">
            <w:pPr>
              <w:pStyle w:val="VEOHRCBodytext"/>
              <w:rPr>
                <w:lang w:eastAsia="en-US"/>
              </w:rPr>
            </w:pPr>
            <w:r w:rsidRPr="007B5FB0">
              <w:rPr>
                <w:lang w:eastAsia="en-US"/>
              </w:rPr>
              <w:lastRenderedPageBreak/>
              <w:t>Consultant</w:t>
            </w:r>
          </w:p>
        </w:tc>
        <w:tc>
          <w:tcPr>
            <w:tcW w:w="2409" w:type="dxa"/>
            <w:tcBorders>
              <w:bottom w:val="single" w:sz="4" w:space="0" w:color="auto"/>
            </w:tcBorders>
            <w:shd w:val="clear" w:color="auto" w:fill="000000"/>
            <w:vAlign w:val="bottom"/>
          </w:tcPr>
          <w:p w14:paraId="1D080F72" w14:textId="77777777" w:rsidR="0099606F" w:rsidRPr="007B5FB0" w:rsidRDefault="0099606F" w:rsidP="0071253F">
            <w:pPr>
              <w:pStyle w:val="VEOHRCBodytext"/>
              <w:rPr>
                <w:lang w:eastAsia="en-US"/>
              </w:rPr>
            </w:pPr>
            <w:r w:rsidRPr="007B5FB0">
              <w:rPr>
                <w:lang w:eastAsia="en-US"/>
              </w:rPr>
              <w:t xml:space="preserve">Purpose of </w:t>
            </w:r>
            <w:r w:rsidRPr="007B5FB0">
              <w:rPr>
                <w:lang w:eastAsia="en-US"/>
              </w:rPr>
              <w:br/>
              <w:t>consultancy</w:t>
            </w:r>
          </w:p>
        </w:tc>
        <w:tc>
          <w:tcPr>
            <w:tcW w:w="1134" w:type="dxa"/>
            <w:tcBorders>
              <w:bottom w:val="single" w:sz="4" w:space="0" w:color="auto"/>
            </w:tcBorders>
            <w:shd w:val="clear" w:color="auto" w:fill="000000"/>
            <w:vAlign w:val="bottom"/>
          </w:tcPr>
          <w:p w14:paraId="59453CA3" w14:textId="77777777" w:rsidR="0099606F" w:rsidRPr="007B5FB0" w:rsidRDefault="0099606F" w:rsidP="0071253F">
            <w:pPr>
              <w:pStyle w:val="VEOHRCBodytext"/>
              <w:rPr>
                <w:lang w:eastAsia="en-US"/>
              </w:rPr>
            </w:pPr>
            <w:r w:rsidRPr="007B5FB0">
              <w:rPr>
                <w:lang w:eastAsia="en-US"/>
              </w:rPr>
              <w:t>Start date</w:t>
            </w:r>
          </w:p>
        </w:tc>
        <w:tc>
          <w:tcPr>
            <w:tcW w:w="1134" w:type="dxa"/>
            <w:tcBorders>
              <w:bottom w:val="single" w:sz="4" w:space="0" w:color="auto"/>
            </w:tcBorders>
            <w:shd w:val="clear" w:color="auto" w:fill="000000"/>
            <w:vAlign w:val="bottom"/>
          </w:tcPr>
          <w:p w14:paraId="50342A35" w14:textId="77777777" w:rsidR="0099606F" w:rsidRPr="007B5FB0" w:rsidRDefault="0099606F" w:rsidP="0071253F">
            <w:pPr>
              <w:pStyle w:val="VEOHRCBodytext"/>
              <w:rPr>
                <w:lang w:eastAsia="en-US"/>
              </w:rPr>
            </w:pPr>
            <w:r w:rsidRPr="007B5FB0">
              <w:rPr>
                <w:lang w:eastAsia="en-US"/>
              </w:rPr>
              <w:t>End date</w:t>
            </w:r>
          </w:p>
        </w:tc>
        <w:tc>
          <w:tcPr>
            <w:tcW w:w="1134" w:type="dxa"/>
            <w:tcBorders>
              <w:bottom w:val="single" w:sz="4" w:space="0" w:color="auto"/>
            </w:tcBorders>
            <w:shd w:val="clear" w:color="auto" w:fill="000000"/>
            <w:vAlign w:val="bottom"/>
          </w:tcPr>
          <w:p w14:paraId="7C4409CB" w14:textId="77777777" w:rsidR="0099606F" w:rsidRPr="007B5FB0" w:rsidRDefault="0099606F" w:rsidP="0071253F">
            <w:pPr>
              <w:pStyle w:val="VEOHRCBodytext"/>
              <w:rPr>
                <w:lang w:eastAsia="en-US"/>
              </w:rPr>
            </w:pPr>
            <w:r w:rsidRPr="007B5FB0">
              <w:rPr>
                <w:lang w:eastAsia="en-US"/>
              </w:rPr>
              <w:t xml:space="preserve">Total approved project fee </w:t>
            </w:r>
            <w:r w:rsidRPr="007B5FB0">
              <w:rPr>
                <w:lang w:eastAsia="en-US"/>
              </w:rPr>
              <w:br/>
              <w:t>(excl. GST)</w:t>
            </w:r>
          </w:p>
        </w:tc>
        <w:tc>
          <w:tcPr>
            <w:tcW w:w="993" w:type="dxa"/>
            <w:tcBorders>
              <w:bottom w:val="single" w:sz="4" w:space="0" w:color="auto"/>
            </w:tcBorders>
            <w:shd w:val="clear" w:color="auto" w:fill="000000"/>
            <w:vAlign w:val="bottom"/>
          </w:tcPr>
          <w:p w14:paraId="5938A914" w14:textId="49B1CD84" w:rsidR="0099606F" w:rsidRPr="007B5FB0" w:rsidRDefault="0099606F" w:rsidP="0071253F">
            <w:pPr>
              <w:pStyle w:val="VEOHRCBodytext"/>
              <w:rPr>
                <w:lang w:eastAsia="en-US"/>
              </w:rPr>
            </w:pPr>
            <w:r w:rsidRPr="007B5FB0">
              <w:rPr>
                <w:lang w:eastAsia="en-US"/>
              </w:rPr>
              <w:t>Expenditure 201</w:t>
            </w:r>
            <w:r w:rsidR="008D6268">
              <w:rPr>
                <w:lang w:eastAsia="en-US"/>
              </w:rPr>
              <w:t>7–</w:t>
            </w:r>
            <w:r w:rsidRPr="007B5FB0">
              <w:rPr>
                <w:lang w:eastAsia="en-US"/>
              </w:rPr>
              <w:t xml:space="preserve">18 </w:t>
            </w:r>
            <w:r w:rsidRPr="007B5FB0">
              <w:rPr>
                <w:lang w:eastAsia="en-US"/>
              </w:rPr>
              <w:br/>
              <w:t>(excl. GST)</w:t>
            </w:r>
          </w:p>
        </w:tc>
        <w:tc>
          <w:tcPr>
            <w:tcW w:w="1134" w:type="dxa"/>
            <w:tcBorders>
              <w:bottom w:val="single" w:sz="4" w:space="0" w:color="auto"/>
            </w:tcBorders>
            <w:shd w:val="clear" w:color="auto" w:fill="000000"/>
            <w:vAlign w:val="bottom"/>
          </w:tcPr>
          <w:p w14:paraId="6DBB59AD" w14:textId="77777777" w:rsidR="0099606F" w:rsidRPr="007B5FB0" w:rsidRDefault="0099606F" w:rsidP="0071253F">
            <w:pPr>
              <w:pStyle w:val="VEOHRCBodytext"/>
              <w:rPr>
                <w:lang w:eastAsia="en-US"/>
              </w:rPr>
            </w:pPr>
            <w:r w:rsidRPr="007B5FB0">
              <w:rPr>
                <w:lang w:eastAsia="en-US"/>
              </w:rPr>
              <w:t xml:space="preserve">Future </w:t>
            </w:r>
            <w:r w:rsidRPr="007B5FB0">
              <w:rPr>
                <w:lang w:eastAsia="en-US"/>
              </w:rPr>
              <w:br/>
              <w:t xml:space="preserve">expenditure </w:t>
            </w:r>
            <w:r w:rsidRPr="007B5FB0">
              <w:rPr>
                <w:lang w:eastAsia="en-US"/>
              </w:rPr>
              <w:br/>
              <w:t>(excl. GST)</w:t>
            </w:r>
          </w:p>
        </w:tc>
      </w:tr>
      <w:tr w:rsidR="0099606F" w:rsidRPr="007B5FB0" w14:paraId="5A8AD006" w14:textId="77777777" w:rsidTr="0071253F">
        <w:trPr>
          <w:cantSplit/>
          <w:trHeight w:val="361"/>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1D0F76FD" w14:textId="77777777" w:rsidR="0099606F" w:rsidRPr="007B5FB0" w:rsidRDefault="0099606F" w:rsidP="0071253F">
            <w:pPr>
              <w:pStyle w:val="VEOHRCBodytext"/>
              <w:rPr>
                <w:rFonts w:cs="Arial"/>
                <w:color w:val="000000"/>
              </w:rPr>
            </w:pPr>
            <w:r w:rsidRPr="007B5FB0">
              <w:rPr>
                <w:rFonts w:cs="Arial"/>
                <w:color w:val="000000"/>
                <w:sz w:val="20"/>
                <w:szCs w:val="20"/>
              </w:rPr>
              <w:t>ARC PUBLIC PTY LTD</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554947C" w14:textId="77777777" w:rsidR="0099606F" w:rsidRPr="007B5FB0" w:rsidRDefault="0099606F" w:rsidP="0071253F">
            <w:pPr>
              <w:pStyle w:val="VEOHRCBodytext"/>
              <w:rPr>
                <w:rFonts w:cs="Arial"/>
                <w:color w:val="000000"/>
              </w:rPr>
            </w:pPr>
            <w:r w:rsidRPr="007B5FB0">
              <w:rPr>
                <w:rFonts w:cs="Arial"/>
                <w:color w:val="000000"/>
                <w:sz w:val="20"/>
                <w:szCs w:val="20"/>
              </w:rPr>
              <w:t>Research into communication insights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D14B50" w14:textId="77777777" w:rsidR="0099606F" w:rsidRPr="007B5FB0" w:rsidRDefault="0099606F" w:rsidP="0071253F">
            <w:pPr>
              <w:pStyle w:val="VEOHRCBodytext"/>
              <w:rPr>
                <w:rFonts w:cs="Arial"/>
                <w:color w:val="000000"/>
              </w:rPr>
            </w:pPr>
            <w:r w:rsidRPr="007B5FB0">
              <w:rPr>
                <w:rFonts w:cs="Arial"/>
                <w:color w:val="000000"/>
                <w:sz w:val="20"/>
                <w:szCs w:val="20"/>
              </w:rPr>
              <w:t>7/06/2018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43160E" w14:textId="77777777" w:rsidR="0099606F" w:rsidRPr="007B5FB0" w:rsidRDefault="0099606F" w:rsidP="0071253F">
            <w:pPr>
              <w:pStyle w:val="VEOHRCBodytext"/>
              <w:rPr>
                <w:rFonts w:cs="Arial"/>
                <w:color w:val="000000"/>
              </w:rPr>
            </w:pPr>
            <w:r w:rsidRPr="007B5FB0">
              <w:rPr>
                <w:rFonts w:cs="Arial"/>
                <w:color w:val="000000"/>
                <w:sz w:val="20"/>
                <w:szCs w:val="20"/>
              </w:rPr>
              <w:t>29/06/2018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B1D055" w14:textId="77777777" w:rsidR="0099606F" w:rsidRPr="007B5FB0" w:rsidRDefault="0099606F" w:rsidP="0071253F">
            <w:pPr>
              <w:pStyle w:val="VEOHRCBodytext"/>
              <w:rPr>
                <w:rFonts w:cs="Arial"/>
                <w:color w:val="000000"/>
              </w:rPr>
            </w:pPr>
            <w:r w:rsidRPr="007B5FB0">
              <w:rPr>
                <w:rFonts w:cs="Arial"/>
                <w:color w:val="000000"/>
                <w:sz w:val="20"/>
                <w:szCs w:val="20"/>
              </w:rPr>
              <w:t>24,500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8921E06" w14:textId="77777777" w:rsidR="0099606F" w:rsidRPr="007B5FB0" w:rsidRDefault="0099606F" w:rsidP="0071253F">
            <w:pPr>
              <w:pStyle w:val="VEOHRCBodytext"/>
              <w:rPr>
                <w:rFonts w:cs="Arial"/>
                <w:color w:val="000000"/>
              </w:rPr>
            </w:pPr>
            <w:r w:rsidRPr="007B5FB0">
              <w:rPr>
                <w:rFonts w:cs="Arial"/>
                <w:color w:val="000000"/>
                <w:sz w:val="20"/>
                <w:szCs w:val="20"/>
              </w:rPr>
              <w:t>24,500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96C184" w14:textId="77777777" w:rsidR="0099606F" w:rsidRPr="007B5FB0" w:rsidRDefault="0099606F" w:rsidP="0071253F">
            <w:pPr>
              <w:pStyle w:val="VEOHRCBodytext"/>
              <w:rPr>
                <w:rFonts w:cs="Arial"/>
                <w:color w:val="000000"/>
              </w:rPr>
            </w:pPr>
            <w:r w:rsidRPr="007B5FB0">
              <w:rPr>
                <w:rFonts w:cs="Arial"/>
                <w:color w:val="000000"/>
                <w:sz w:val="20"/>
                <w:szCs w:val="20"/>
              </w:rPr>
              <w:t> </w:t>
            </w:r>
          </w:p>
        </w:tc>
      </w:tr>
      <w:tr w:rsidR="0099606F" w:rsidRPr="007B5FB0" w14:paraId="3D517F98" w14:textId="77777777" w:rsidTr="0071253F">
        <w:trPr>
          <w:cantSplit/>
          <w:trHeight w:val="361"/>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1A5B65AD" w14:textId="77777777" w:rsidR="0099606F" w:rsidRPr="007B5FB0" w:rsidRDefault="0099606F" w:rsidP="0071253F">
            <w:pPr>
              <w:pStyle w:val="VEOHRCBodytext"/>
              <w:rPr>
                <w:rFonts w:cs="Arial"/>
                <w:color w:val="000000"/>
              </w:rPr>
            </w:pPr>
            <w:r w:rsidRPr="007B5FB0">
              <w:rPr>
                <w:rFonts w:cs="Arial"/>
                <w:color w:val="000000"/>
                <w:sz w:val="20"/>
                <w:szCs w:val="20"/>
              </w:rPr>
              <w:t>PRACTICUS AUSTRALIA PTY LTD</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F585C1D" w14:textId="77777777" w:rsidR="0099606F" w:rsidRPr="007B5FB0" w:rsidRDefault="0099606F" w:rsidP="0071253F">
            <w:pPr>
              <w:pStyle w:val="VEOHRCBodytext"/>
              <w:rPr>
                <w:rFonts w:cs="Arial"/>
                <w:color w:val="000000"/>
              </w:rPr>
            </w:pPr>
            <w:r w:rsidRPr="007B5FB0">
              <w:rPr>
                <w:rFonts w:cs="Arial"/>
                <w:color w:val="000000"/>
                <w:sz w:val="20"/>
                <w:szCs w:val="20"/>
              </w:rPr>
              <w:t>Review of the dispute resolution function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D29C34" w14:textId="77777777" w:rsidR="0099606F" w:rsidRPr="007B5FB0" w:rsidRDefault="0099606F" w:rsidP="0071253F">
            <w:pPr>
              <w:pStyle w:val="VEOHRCBodytext"/>
              <w:rPr>
                <w:rFonts w:cs="Arial"/>
                <w:color w:val="000000"/>
              </w:rPr>
            </w:pPr>
            <w:r w:rsidRPr="007B5FB0">
              <w:rPr>
                <w:rFonts w:cs="Arial"/>
                <w:color w:val="000000"/>
                <w:sz w:val="20"/>
                <w:szCs w:val="20"/>
              </w:rPr>
              <w:t>26/03/2018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BF3E4D" w14:textId="77777777" w:rsidR="0099606F" w:rsidRPr="007B5FB0" w:rsidRDefault="0099606F" w:rsidP="0071253F">
            <w:pPr>
              <w:pStyle w:val="VEOHRCBodytext"/>
              <w:rPr>
                <w:rFonts w:cs="Arial"/>
                <w:color w:val="000000"/>
              </w:rPr>
            </w:pPr>
            <w:r w:rsidRPr="007B5FB0">
              <w:rPr>
                <w:rFonts w:cs="Arial"/>
                <w:color w:val="000000"/>
                <w:sz w:val="20"/>
                <w:szCs w:val="20"/>
              </w:rPr>
              <w:t>30/06/2018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C5C76B" w14:textId="77777777" w:rsidR="0099606F" w:rsidRPr="007B5FB0" w:rsidRDefault="0099606F" w:rsidP="0071253F">
            <w:pPr>
              <w:pStyle w:val="VEOHRCBodytext"/>
              <w:rPr>
                <w:rFonts w:cs="Arial"/>
                <w:color w:val="000000"/>
              </w:rPr>
            </w:pPr>
            <w:r w:rsidRPr="007B5FB0">
              <w:rPr>
                <w:rFonts w:cs="Arial"/>
                <w:color w:val="000000"/>
                <w:sz w:val="20"/>
                <w:szCs w:val="20"/>
              </w:rPr>
              <w:t>44,995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6803D99" w14:textId="77777777" w:rsidR="0099606F" w:rsidRPr="007B5FB0" w:rsidRDefault="0099606F" w:rsidP="0071253F">
            <w:pPr>
              <w:pStyle w:val="VEOHRCBodytext"/>
              <w:rPr>
                <w:rFonts w:cs="Arial"/>
                <w:color w:val="000000"/>
              </w:rPr>
            </w:pPr>
            <w:r w:rsidRPr="007B5FB0">
              <w:rPr>
                <w:rFonts w:cs="Arial"/>
                <w:color w:val="000000"/>
                <w:sz w:val="20"/>
                <w:szCs w:val="20"/>
              </w:rPr>
              <w:t>44,995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C7D55F" w14:textId="77777777" w:rsidR="0099606F" w:rsidRPr="007B5FB0" w:rsidRDefault="0099606F" w:rsidP="0071253F">
            <w:pPr>
              <w:pStyle w:val="VEOHRCBodytext"/>
              <w:rPr>
                <w:rFonts w:cs="Arial"/>
                <w:color w:val="000000"/>
              </w:rPr>
            </w:pPr>
            <w:r w:rsidRPr="007B5FB0">
              <w:rPr>
                <w:rFonts w:cs="Arial"/>
                <w:color w:val="000000"/>
                <w:sz w:val="20"/>
                <w:szCs w:val="20"/>
              </w:rPr>
              <w:t> </w:t>
            </w:r>
          </w:p>
        </w:tc>
      </w:tr>
      <w:tr w:rsidR="0099606F" w:rsidRPr="007B5FB0" w14:paraId="623F2EB5" w14:textId="77777777" w:rsidTr="0071253F">
        <w:trPr>
          <w:cantSplit/>
          <w:trHeight w:val="361"/>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7A98BB37" w14:textId="77777777" w:rsidR="0099606F" w:rsidRPr="007B5FB0" w:rsidRDefault="0099606F" w:rsidP="0071253F">
            <w:pPr>
              <w:pStyle w:val="VEOHRCBodytext"/>
              <w:rPr>
                <w:rFonts w:cs="Arial"/>
                <w:color w:val="000000"/>
              </w:rPr>
            </w:pPr>
            <w:r w:rsidRPr="007B5FB0">
              <w:rPr>
                <w:rFonts w:cs="Arial"/>
                <w:color w:val="000000"/>
                <w:sz w:val="20"/>
                <w:szCs w:val="20"/>
              </w:rPr>
              <w:t>CODE FOR AUS PTY LTD</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50531461" w14:textId="77777777" w:rsidR="0099606F" w:rsidRPr="007B5FB0" w:rsidRDefault="0099606F" w:rsidP="0071253F">
            <w:pPr>
              <w:pStyle w:val="VEOHRCBodytext"/>
              <w:rPr>
                <w:rFonts w:cs="Arial"/>
                <w:color w:val="000000"/>
              </w:rPr>
            </w:pPr>
            <w:r w:rsidRPr="007B5FB0">
              <w:rPr>
                <w:rFonts w:cs="Arial"/>
                <w:color w:val="000000"/>
                <w:sz w:val="20"/>
                <w:szCs w:val="20"/>
              </w:rPr>
              <w:t>Digital lab</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41C08E" w14:textId="77777777" w:rsidR="0099606F" w:rsidRPr="007B5FB0" w:rsidRDefault="0099606F" w:rsidP="0071253F">
            <w:pPr>
              <w:pStyle w:val="VEOHRCBodytext"/>
              <w:rPr>
                <w:rFonts w:cs="Arial"/>
                <w:color w:val="000000"/>
              </w:rPr>
            </w:pPr>
            <w:r w:rsidRPr="007B5FB0">
              <w:rPr>
                <w:rFonts w:cs="Arial"/>
                <w:color w:val="000000"/>
                <w:sz w:val="20"/>
                <w:szCs w:val="20"/>
              </w:rPr>
              <w:t>7/06/2018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84CFF7" w14:textId="77777777" w:rsidR="0099606F" w:rsidRPr="007B5FB0" w:rsidRDefault="0099606F" w:rsidP="0071253F">
            <w:pPr>
              <w:pStyle w:val="VEOHRCBodytext"/>
              <w:rPr>
                <w:rFonts w:cs="Arial"/>
                <w:color w:val="000000"/>
              </w:rPr>
            </w:pPr>
            <w:r w:rsidRPr="007B5FB0">
              <w:rPr>
                <w:rFonts w:cs="Arial"/>
                <w:color w:val="000000"/>
                <w:sz w:val="20"/>
                <w:szCs w:val="20"/>
              </w:rPr>
              <w:t>2/01/2019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2B2268" w14:textId="77777777" w:rsidR="0099606F" w:rsidRPr="007B5FB0" w:rsidRDefault="0099606F" w:rsidP="0071253F">
            <w:pPr>
              <w:pStyle w:val="VEOHRCBodytext"/>
              <w:rPr>
                <w:rFonts w:cs="Arial"/>
                <w:color w:val="000000"/>
              </w:rPr>
            </w:pPr>
            <w:r w:rsidRPr="007B5FB0">
              <w:rPr>
                <w:rFonts w:cs="Arial"/>
                <w:color w:val="000000"/>
                <w:sz w:val="20"/>
                <w:szCs w:val="20"/>
              </w:rPr>
              <w:t>180,000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ED3A3EF" w14:textId="77777777" w:rsidR="0099606F" w:rsidRPr="007B5FB0" w:rsidRDefault="0099606F" w:rsidP="0071253F">
            <w:pPr>
              <w:pStyle w:val="VEOHRCBodytext"/>
              <w:rPr>
                <w:rFonts w:cs="Arial"/>
                <w:color w:val="000000"/>
              </w:rPr>
            </w:pPr>
            <w:r w:rsidRPr="007B5FB0">
              <w:rPr>
                <w:rFonts w:cs="Arial"/>
                <w:color w:val="000000"/>
                <w:sz w:val="20"/>
                <w:szCs w:val="20"/>
              </w:rPr>
              <w:t>60,000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44CB7C" w14:textId="77777777" w:rsidR="0099606F" w:rsidRPr="007B5FB0" w:rsidRDefault="0099606F" w:rsidP="0071253F">
            <w:pPr>
              <w:pStyle w:val="VEOHRCBodytext"/>
              <w:rPr>
                <w:rFonts w:cs="Arial"/>
                <w:color w:val="000000"/>
              </w:rPr>
            </w:pPr>
            <w:r w:rsidRPr="007B5FB0">
              <w:rPr>
                <w:rFonts w:cs="Arial"/>
                <w:color w:val="000000"/>
                <w:sz w:val="20"/>
                <w:szCs w:val="20"/>
              </w:rPr>
              <w:t>120,000</w:t>
            </w:r>
          </w:p>
        </w:tc>
      </w:tr>
      <w:tr w:rsidR="0099606F" w:rsidRPr="007B5FB0" w14:paraId="058EEF23" w14:textId="77777777" w:rsidTr="0071253F">
        <w:trPr>
          <w:cantSplit/>
          <w:trHeight w:val="361"/>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2CEFCDB7" w14:textId="77777777" w:rsidR="0099606F" w:rsidRPr="007B5FB0" w:rsidRDefault="0099606F" w:rsidP="0071253F">
            <w:pPr>
              <w:pStyle w:val="VEOHRCBodytext"/>
              <w:rPr>
                <w:rFonts w:cs="Arial"/>
                <w:color w:val="000000"/>
              </w:rPr>
            </w:pPr>
            <w:r w:rsidRPr="007B5FB0">
              <w:rPr>
                <w:rFonts w:cs="Arial"/>
                <w:color w:val="000000"/>
                <w:sz w:val="20"/>
                <w:szCs w:val="20"/>
              </w:rPr>
              <w:t>SOCIAL VENTURES AUST LTD</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06B3B7E8" w14:textId="77777777" w:rsidR="0099606F" w:rsidRPr="007B5FB0" w:rsidRDefault="0099606F" w:rsidP="0071253F">
            <w:pPr>
              <w:pStyle w:val="VEOHRCBodytext"/>
              <w:rPr>
                <w:rFonts w:cs="Arial"/>
                <w:color w:val="000000"/>
              </w:rPr>
            </w:pPr>
            <w:r w:rsidRPr="007B5FB0">
              <w:rPr>
                <w:rFonts w:cs="Arial"/>
                <w:color w:val="000000"/>
                <w:sz w:val="20"/>
                <w:szCs w:val="20"/>
              </w:rPr>
              <w:t>Review of consulting model and review function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A2EB44" w14:textId="77777777" w:rsidR="0099606F" w:rsidRPr="007B5FB0" w:rsidRDefault="0099606F" w:rsidP="0071253F">
            <w:pPr>
              <w:pStyle w:val="VEOHRCBodytext"/>
              <w:rPr>
                <w:rFonts w:cs="Arial"/>
                <w:color w:val="000000"/>
              </w:rPr>
            </w:pPr>
            <w:r w:rsidRPr="007B5FB0">
              <w:rPr>
                <w:rFonts w:cs="Arial"/>
                <w:color w:val="000000"/>
                <w:sz w:val="20"/>
                <w:szCs w:val="20"/>
              </w:rPr>
              <w:t>14/05/2018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285B16" w14:textId="77777777" w:rsidR="0099606F" w:rsidRPr="007B5FB0" w:rsidRDefault="0099606F" w:rsidP="0071253F">
            <w:pPr>
              <w:pStyle w:val="VEOHRCBodytext"/>
              <w:rPr>
                <w:rFonts w:cs="Arial"/>
                <w:color w:val="000000"/>
              </w:rPr>
            </w:pPr>
            <w:r w:rsidRPr="007B5FB0">
              <w:rPr>
                <w:rFonts w:cs="Arial"/>
                <w:color w:val="000000"/>
                <w:sz w:val="20"/>
                <w:szCs w:val="20"/>
              </w:rPr>
              <w:t>24/08/2018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3B0421" w14:textId="77777777" w:rsidR="0099606F" w:rsidRPr="007B5FB0" w:rsidRDefault="0099606F" w:rsidP="0071253F">
            <w:pPr>
              <w:pStyle w:val="VEOHRCBodytext"/>
              <w:rPr>
                <w:rFonts w:cs="Arial"/>
                <w:color w:val="000000"/>
              </w:rPr>
            </w:pPr>
            <w:r w:rsidRPr="007B5FB0">
              <w:rPr>
                <w:rFonts w:cs="Arial"/>
                <w:color w:val="000000"/>
                <w:sz w:val="20"/>
                <w:szCs w:val="20"/>
              </w:rPr>
              <w:t>77,225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E1A351E" w14:textId="77777777" w:rsidR="0099606F" w:rsidRPr="007B5FB0" w:rsidRDefault="0099606F" w:rsidP="0071253F">
            <w:pPr>
              <w:pStyle w:val="VEOHRCBodytext"/>
              <w:rPr>
                <w:rFonts w:cs="Arial"/>
                <w:color w:val="000000"/>
              </w:rPr>
            </w:pPr>
            <w:r w:rsidRPr="007B5FB0">
              <w:rPr>
                <w:rFonts w:cs="Arial"/>
                <w:color w:val="000000"/>
                <w:sz w:val="20"/>
                <w:szCs w:val="20"/>
              </w:rPr>
              <w:t>38,613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747A91" w14:textId="77777777" w:rsidR="0099606F" w:rsidRPr="007B5FB0" w:rsidRDefault="0099606F" w:rsidP="0071253F">
            <w:pPr>
              <w:pStyle w:val="VEOHRCBodytext"/>
              <w:rPr>
                <w:rFonts w:cs="Arial"/>
                <w:color w:val="000000"/>
              </w:rPr>
            </w:pPr>
            <w:r w:rsidRPr="007B5FB0">
              <w:rPr>
                <w:rFonts w:cs="Arial"/>
                <w:color w:val="000000"/>
                <w:sz w:val="20"/>
                <w:szCs w:val="20"/>
              </w:rPr>
              <w:t>38,613</w:t>
            </w:r>
          </w:p>
        </w:tc>
      </w:tr>
      <w:tr w:rsidR="0099606F" w:rsidRPr="007B5FB0" w14:paraId="2727B20A" w14:textId="77777777" w:rsidTr="0071253F">
        <w:trPr>
          <w:cantSplit/>
          <w:trHeight w:val="361"/>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5778B8E7" w14:textId="77777777" w:rsidR="0099606F" w:rsidRPr="007B5FB0" w:rsidRDefault="0099606F" w:rsidP="0071253F">
            <w:pPr>
              <w:pStyle w:val="VEOHRCBodytext"/>
              <w:rPr>
                <w:rFonts w:cs="Arial"/>
                <w:color w:val="000000"/>
              </w:rPr>
            </w:pPr>
            <w:r w:rsidRPr="007B5FB0">
              <w:rPr>
                <w:rFonts w:cs="Arial"/>
                <w:color w:val="000000"/>
                <w:sz w:val="20"/>
                <w:szCs w:val="20"/>
              </w:rPr>
              <w:t>SOCIAL VENTURES AUST LTD</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4D5A4FAE" w14:textId="77777777" w:rsidR="0099606F" w:rsidRPr="007B5FB0" w:rsidRDefault="0099606F" w:rsidP="0071253F">
            <w:pPr>
              <w:pStyle w:val="VEOHRCBodytext"/>
              <w:rPr>
                <w:rFonts w:cs="Arial"/>
                <w:color w:val="000000"/>
              </w:rPr>
            </w:pPr>
            <w:r w:rsidRPr="007B5FB0">
              <w:rPr>
                <w:rFonts w:cs="Arial"/>
                <w:color w:val="000000"/>
                <w:sz w:val="20"/>
                <w:szCs w:val="20"/>
              </w:rPr>
              <w:t>Complementary measures project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AFB748" w14:textId="77777777" w:rsidR="0099606F" w:rsidRPr="007B5FB0" w:rsidRDefault="0099606F" w:rsidP="0071253F">
            <w:pPr>
              <w:pStyle w:val="VEOHRCBodytext"/>
              <w:rPr>
                <w:rFonts w:cs="Arial"/>
                <w:color w:val="000000"/>
              </w:rPr>
            </w:pPr>
            <w:r w:rsidRPr="007B5FB0">
              <w:rPr>
                <w:rFonts w:cs="Arial"/>
                <w:color w:val="000000"/>
                <w:sz w:val="20"/>
                <w:szCs w:val="20"/>
              </w:rPr>
              <w:t>22/05/2018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16FC4E" w14:textId="77777777" w:rsidR="0099606F" w:rsidRPr="007B5FB0" w:rsidRDefault="0099606F" w:rsidP="0071253F">
            <w:pPr>
              <w:pStyle w:val="VEOHRCBodytext"/>
              <w:rPr>
                <w:rFonts w:cs="Arial"/>
                <w:color w:val="000000"/>
              </w:rPr>
            </w:pPr>
            <w:r w:rsidRPr="007B5FB0">
              <w:rPr>
                <w:rFonts w:cs="Arial"/>
                <w:color w:val="000000"/>
                <w:sz w:val="20"/>
                <w:szCs w:val="20"/>
              </w:rPr>
              <w:t>17/05/2019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DA0A30" w14:textId="77777777" w:rsidR="0099606F" w:rsidRPr="007B5FB0" w:rsidRDefault="0099606F" w:rsidP="0071253F">
            <w:pPr>
              <w:pStyle w:val="VEOHRCBodytext"/>
              <w:rPr>
                <w:rFonts w:cs="Arial"/>
                <w:color w:val="000000"/>
              </w:rPr>
            </w:pPr>
            <w:r w:rsidRPr="007B5FB0">
              <w:rPr>
                <w:rFonts w:cs="Arial"/>
                <w:color w:val="000000"/>
                <w:sz w:val="20"/>
                <w:szCs w:val="20"/>
              </w:rPr>
              <w:t>104,581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FC5A2B7" w14:textId="77777777" w:rsidR="0099606F" w:rsidRPr="007B5FB0" w:rsidRDefault="0099606F" w:rsidP="0071253F">
            <w:pPr>
              <w:pStyle w:val="VEOHRCBodytext"/>
              <w:rPr>
                <w:rFonts w:cs="Arial"/>
                <w:color w:val="000000"/>
              </w:rPr>
            </w:pPr>
            <w:r w:rsidRPr="007B5FB0">
              <w:rPr>
                <w:rFonts w:cs="Arial"/>
                <w:color w:val="000000"/>
                <w:sz w:val="20"/>
                <w:szCs w:val="20"/>
              </w:rPr>
              <w:t>52,291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0000B2" w14:textId="77777777" w:rsidR="0099606F" w:rsidRPr="007B5FB0" w:rsidRDefault="0099606F" w:rsidP="0071253F">
            <w:pPr>
              <w:pStyle w:val="VEOHRCBodytext"/>
              <w:rPr>
                <w:rFonts w:cs="Arial"/>
                <w:color w:val="000000"/>
              </w:rPr>
            </w:pPr>
            <w:r w:rsidRPr="007B5FB0">
              <w:rPr>
                <w:rFonts w:cs="Arial"/>
                <w:color w:val="000000"/>
                <w:sz w:val="20"/>
                <w:szCs w:val="20"/>
              </w:rPr>
              <w:t>52,291</w:t>
            </w:r>
          </w:p>
        </w:tc>
      </w:tr>
      <w:tr w:rsidR="0099606F" w:rsidRPr="007B5FB0" w14:paraId="1411BC18" w14:textId="77777777" w:rsidTr="0071253F">
        <w:trPr>
          <w:cantSplit/>
          <w:trHeight w:val="361"/>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38E5E966" w14:textId="77777777" w:rsidR="0099606F" w:rsidRPr="007B5FB0" w:rsidRDefault="0099606F" w:rsidP="0071253F">
            <w:pPr>
              <w:pStyle w:val="VEOHRCBodytext"/>
              <w:rPr>
                <w:rFonts w:cs="Arial"/>
                <w:color w:val="000000"/>
              </w:rPr>
            </w:pPr>
            <w:r w:rsidRPr="007B5FB0">
              <w:rPr>
                <w:rFonts w:cs="Arial"/>
                <w:color w:val="000000"/>
                <w:sz w:val="20"/>
                <w:szCs w:val="20"/>
              </w:rPr>
              <w:t>PRICEWATERHOUSECOOPERS CONSULTING AUST PTY LTD</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6737B7A2" w14:textId="77777777" w:rsidR="0099606F" w:rsidRPr="007B5FB0" w:rsidRDefault="0099606F" w:rsidP="0071253F">
            <w:pPr>
              <w:pStyle w:val="VEOHRCBodytext"/>
              <w:rPr>
                <w:rFonts w:cs="Arial"/>
                <w:color w:val="000000"/>
              </w:rPr>
            </w:pPr>
            <w:r w:rsidRPr="007B5FB0">
              <w:rPr>
                <w:rFonts w:cs="Arial"/>
                <w:color w:val="000000"/>
                <w:sz w:val="20"/>
                <w:szCs w:val="20"/>
              </w:rPr>
              <w:t>Framework for tracking improvement in human rights culture in public authorities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8CA9ED" w14:textId="77777777" w:rsidR="0099606F" w:rsidRPr="007B5FB0" w:rsidRDefault="0099606F" w:rsidP="0071253F">
            <w:pPr>
              <w:pStyle w:val="VEOHRCBodytext"/>
              <w:rPr>
                <w:rFonts w:cs="Arial"/>
                <w:color w:val="000000"/>
              </w:rPr>
            </w:pPr>
            <w:r w:rsidRPr="007B5FB0">
              <w:rPr>
                <w:rFonts w:cs="Arial"/>
                <w:color w:val="000000"/>
                <w:sz w:val="20"/>
                <w:szCs w:val="20"/>
              </w:rPr>
              <w:t>14/04/2018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5FCE67" w14:textId="77777777" w:rsidR="0099606F" w:rsidRPr="007B5FB0" w:rsidRDefault="0099606F" w:rsidP="0071253F">
            <w:pPr>
              <w:pStyle w:val="VEOHRCBodytext"/>
              <w:rPr>
                <w:rFonts w:cs="Arial"/>
                <w:color w:val="000000"/>
              </w:rPr>
            </w:pPr>
            <w:r w:rsidRPr="007B5FB0">
              <w:rPr>
                <w:rFonts w:cs="Arial"/>
                <w:color w:val="000000"/>
                <w:sz w:val="20"/>
                <w:szCs w:val="20"/>
              </w:rPr>
              <w:t>30/06/2018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7E0F13" w14:textId="77777777" w:rsidR="0099606F" w:rsidRPr="007B5FB0" w:rsidRDefault="0099606F" w:rsidP="0071253F">
            <w:pPr>
              <w:pStyle w:val="VEOHRCBodytext"/>
              <w:rPr>
                <w:rFonts w:cs="Arial"/>
                <w:color w:val="000000"/>
              </w:rPr>
            </w:pPr>
            <w:r w:rsidRPr="007B5FB0">
              <w:rPr>
                <w:rFonts w:cs="Arial"/>
                <w:color w:val="000000"/>
                <w:sz w:val="20"/>
                <w:szCs w:val="20"/>
              </w:rPr>
              <w:t>27,273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F151496" w14:textId="77777777" w:rsidR="0099606F" w:rsidRPr="007B5FB0" w:rsidRDefault="0099606F" w:rsidP="0071253F">
            <w:pPr>
              <w:pStyle w:val="VEOHRCBodytext"/>
              <w:rPr>
                <w:rFonts w:cs="Arial"/>
                <w:color w:val="000000"/>
              </w:rPr>
            </w:pPr>
            <w:r w:rsidRPr="007B5FB0">
              <w:rPr>
                <w:rFonts w:cs="Arial"/>
                <w:color w:val="000000"/>
                <w:sz w:val="20"/>
                <w:szCs w:val="20"/>
              </w:rPr>
              <w:t>27,273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C37951" w14:textId="77777777" w:rsidR="0099606F" w:rsidRPr="007B5FB0" w:rsidRDefault="0099606F" w:rsidP="0071253F">
            <w:pPr>
              <w:pStyle w:val="VEOHRCBodytext"/>
              <w:rPr>
                <w:rFonts w:cs="Arial"/>
                <w:color w:val="000000"/>
              </w:rPr>
            </w:pPr>
            <w:r w:rsidRPr="007B5FB0">
              <w:rPr>
                <w:rFonts w:cs="Arial"/>
                <w:color w:val="000000"/>
                <w:sz w:val="20"/>
                <w:szCs w:val="20"/>
              </w:rPr>
              <w:t> </w:t>
            </w:r>
          </w:p>
        </w:tc>
      </w:tr>
      <w:tr w:rsidR="0099606F" w:rsidRPr="007B5FB0" w14:paraId="5FA558BA" w14:textId="77777777" w:rsidTr="0071253F">
        <w:trPr>
          <w:cantSplit/>
          <w:trHeight w:val="361"/>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0769A9E2" w14:textId="77777777" w:rsidR="0099606F" w:rsidRPr="007B5FB0" w:rsidRDefault="0099606F" w:rsidP="0071253F">
            <w:pPr>
              <w:pStyle w:val="VEOHRCBodytext"/>
              <w:rPr>
                <w:rFonts w:cs="Arial"/>
                <w:color w:val="000000"/>
              </w:rPr>
            </w:pPr>
            <w:r w:rsidRPr="007B5FB0">
              <w:rPr>
                <w:rFonts w:cs="Arial"/>
                <w:color w:val="000000"/>
                <w:sz w:val="20"/>
                <w:szCs w:val="20"/>
              </w:rPr>
              <w:t>SIX O'CLOCK ADVISORY PTY LTD</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BA6E950" w14:textId="77777777" w:rsidR="0099606F" w:rsidRPr="007B5FB0" w:rsidRDefault="0099606F" w:rsidP="0071253F">
            <w:pPr>
              <w:pStyle w:val="VEOHRCBodytext"/>
              <w:rPr>
                <w:rFonts w:cs="Arial"/>
                <w:color w:val="000000"/>
              </w:rPr>
            </w:pPr>
            <w:r w:rsidRPr="007B5FB0">
              <w:rPr>
                <w:rFonts w:cs="Arial"/>
                <w:color w:val="000000"/>
                <w:sz w:val="20"/>
                <w:szCs w:val="20"/>
              </w:rPr>
              <w:t>Media consultancy services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519454" w14:textId="77777777" w:rsidR="0099606F" w:rsidRPr="007B5FB0" w:rsidRDefault="0099606F" w:rsidP="0071253F">
            <w:pPr>
              <w:pStyle w:val="VEOHRCBodytext"/>
              <w:rPr>
                <w:rFonts w:cs="Arial"/>
                <w:color w:val="000000"/>
              </w:rPr>
            </w:pPr>
            <w:r w:rsidRPr="007B5FB0">
              <w:rPr>
                <w:rFonts w:cs="Arial"/>
                <w:color w:val="000000"/>
                <w:sz w:val="20"/>
                <w:szCs w:val="20"/>
              </w:rPr>
              <w:t>23/02/2018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B43481" w14:textId="77777777" w:rsidR="0099606F" w:rsidRPr="007B5FB0" w:rsidRDefault="0099606F" w:rsidP="0071253F">
            <w:pPr>
              <w:pStyle w:val="VEOHRCBodytext"/>
              <w:rPr>
                <w:rFonts w:cs="Arial"/>
                <w:color w:val="000000"/>
              </w:rPr>
            </w:pPr>
            <w:r w:rsidRPr="007B5FB0">
              <w:rPr>
                <w:rFonts w:cs="Arial"/>
                <w:color w:val="000000"/>
                <w:sz w:val="20"/>
                <w:szCs w:val="20"/>
              </w:rPr>
              <w:t>29/06/2018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4F187A" w14:textId="77777777" w:rsidR="0099606F" w:rsidRPr="007B5FB0" w:rsidRDefault="0099606F" w:rsidP="0071253F">
            <w:pPr>
              <w:pStyle w:val="VEOHRCBodytext"/>
              <w:rPr>
                <w:rFonts w:cs="Arial"/>
                <w:color w:val="000000"/>
              </w:rPr>
            </w:pPr>
            <w:r w:rsidRPr="007B5FB0">
              <w:rPr>
                <w:rFonts w:cs="Arial"/>
                <w:color w:val="000000"/>
                <w:sz w:val="20"/>
                <w:szCs w:val="20"/>
              </w:rPr>
              <w:t>10,369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66AAB1B" w14:textId="77777777" w:rsidR="0099606F" w:rsidRPr="007B5FB0" w:rsidRDefault="0099606F" w:rsidP="0071253F">
            <w:pPr>
              <w:pStyle w:val="VEOHRCBodytext"/>
              <w:rPr>
                <w:rFonts w:cs="Arial"/>
                <w:color w:val="000000"/>
              </w:rPr>
            </w:pPr>
            <w:r w:rsidRPr="007B5FB0">
              <w:rPr>
                <w:rFonts w:cs="Arial"/>
                <w:color w:val="000000"/>
                <w:sz w:val="20"/>
                <w:szCs w:val="20"/>
              </w:rPr>
              <w:t>10,369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32F9C9" w14:textId="77777777" w:rsidR="0099606F" w:rsidRPr="007B5FB0" w:rsidRDefault="0099606F" w:rsidP="0071253F">
            <w:pPr>
              <w:pStyle w:val="VEOHRCBodytext"/>
              <w:rPr>
                <w:rFonts w:cs="Arial"/>
                <w:color w:val="000000"/>
              </w:rPr>
            </w:pPr>
            <w:r w:rsidRPr="007B5FB0">
              <w:rPr>
                <w:rFonts w:cs="Arial"/>
                <w:color w:val="000000"/>
                <w:sz w:val="20"/>
                <w:szCs w:val="20"/>
              </w:rPr>
              <w:t> </w:t>
            </w:r>
          </w:p>
        </w:tc>
      </w:tr>
      <w:tr w:rsidR="0099606F" w:rsidRPr="007B5FB0" w14:paraId="28ED58CC" w14:textId="77777777" w:rsidTr="0071253F">
        <w:trPr>
          <w:cantSplit/>
          <w:trHeight w:val="361"/>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6549C710" w14:textId="77777777" w:rsidR="0099606F" w:rsidRPr="007B5FB0" w:rsidRDefault="0099606F" w:rsidP="0071253F">
            <w:pPr>
              <w:pStyle w:val="VEOHRCBodytext"/>
              <w:rPr>
                <w:rFonts w:cs="Arial"/>
                <w:color w:val="000000"/>
              </w:rPr>
            </w:pPr>
            <w:r w:rsidRPr="007B5FB0">
              <w:rPr>
                <w:rFonts w:cs="Arial"/>
                <w:color w:val="000000"/>
                <w:sz w:val="20"/>
                <w:szCs w:val="20"/>
              </w:rPr>
              <w:t>L LANDES DATA SCIENCE</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5A669571" w14:textId="77777777" w:rsidR="0099606F" w:rsidRPr="007B5FB0" w:rsidRDefault="0099606F" w:rsidP="0071253F">
            <w:pPr>
              <w:pStyle w:val="VEOHRCBodytext"/>
              <w:rPr>
                <w:rFonts w:cs="Arial"/>
                <w:color w:val="000000"/>
              </w:rPr>
            </w:pPr>
            <w:r w:rsidRPr="007B5FB0">
              <w:rPr>
                <w:rFonts w:cs="Arial"/>
                <w:color w:val="000000"/>
                <w:sz w:val="20"/>
                <w:szCs w:val="20"/>
              </w:rPr>
              <w:t>Advice and statistical analysis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7FE7B8" w14:textId="77777777" w:rsidR="0099606F" w:rsidRPr="007B5FB0" w:rsidRDefault="0099606F" w:rsidP="0071253F">
            <w:pPr>
              <w:pStyle w:val="VEOHRCBodytext"/>
              <w:rPr>
                <w:rFonts w:cs="Arial"/>
                <w:color w:val="000000"/>
              </w:rPr>
            </w:pPr>
            <w:r w:rsidRPr="007B5FB0">
              <w:rPr>
                <w:rFonts w:cs="Arial"/>
                <w:color w:val="000000"/>
                <w:sz w:val="20"/>
                <w:szCs w:val="20"/>
              </w:rPr>
              <w:t>8/11/2017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E94540" w14:textId="77777777" w:rsidR="0099606F" w:rsidRPr="007B5FB0" w:rsidRDefault="0099606F" w:rsidP="0071253F">
            <w:pPr>
              <w:pStyle w:val="VEOHRCBodytext"/>
              <w:rPr>
                <w:rFonts w:cs="Arial"/>
                <w:color w:val="000000"/>
              </w:rPr>
            </w:pPr>
            <w:r w:rsidRPr="007B5FB0">
              <w:rPr>
                <w:rFonts w:cs="Arial"/>
                <w:color w:val="000000"/>
                <w:sz w:val="20"/>
                <w:szCs w:val="20"/>
              </w:rPr>
              <w:t>23/01/2018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128610" w14:textId="77777777" w:rsidR="0099606F" w:rsidRPr="007B5FB0" w:rsidRDefault="0099606F" w:rsidP="0071253F">
            <w:pPr>
              <w:pStyle w:val="VEOHRCBodytext"/>
              <w:rPr>
                <w:rFonts w:cs="Arial"/>
                <w:color w:val="000000"/>
              </w:rPr>
            </w:pPr>
            <w:r w:rsidRPr="007B5FB0">
              <w:rPr>
                <w:rFonts w:cs="Arial"/>
                <w:color w:val="000000"/>
                <w:sz w:val="20"/>
                <w:szCs w:val="20"/>
              </w:rPr>
              <w:t>11,150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AADD72C" w14:textId="77777777" w:rsidR="0099606F" w:rsidRPr="007B5FB0" w:rsidRDefault="0099606F" w:rsidP="0071253F">
            <w:pPr>
              <w:pStyle w:val="VEOHRCBodytext"/>
              <w:rPr>
                <w:rFonts w:cs="Arial"/>
                <w:color w:val="000000"/>
              </w:rPr>
            </w:pPr>
            <w:r w:rsidRPr="007B5FB0">
              <w:rPr>
                <w:rFonts w:cs="Arial"/>
                <w:color w:val="000000"/>
                <w:sz w:val="20"/>
                <w:szCs w:val="20"/>
              </w:rPr>
              <w:t>11,150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249823" w14:textId="77777777" w:rsidR="0099606F" w:rsidRPr="007B5FB0" w:rsidRDefault="0099606F" w:rsidP="0071253F">
            <w:pPr>
              <w:pStyle w:val="VEOHRCBodytext"/>
              <w:rPr>
                <w:rFonts w:cs="Arial"/>
                <w:color w:val="000000"/>
              </w:rPr>
            </w:pPr>
            <w:r w:rsidRPr="007B5FB0">
              <w:rPr>
                <w:rFonts w:cs="Arial"/>
                <w:color w:val="000000"/>
                <w:sz w:val="20"/>
                <w:szCs w:val="20"/>
              </w:rPr>
              <w:t> </w:t>
            </w:r>
          </w:p>
        </w:tc>
      </w:tr>
      <w:tr w:rsidR="0099606F" w:rsidRPr="007B5FB0" w14:paraId="3F097840" w14:textId="77777777" w:rsidTr="0071253F">
        <w:trPr>
          <w:cantSplit/>
          <w:trHeight w:val="361"/>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34745B08" w14:textId="77777777" w:rsidR="0099606F" w:rsidRPr="007B5FB0" w:rsidRDefault="0099606F" w:rsidP="0071253F">
            <w:pPr>
              <w:pStyle w:val="VEOHRCBodytext"/>
              <w:rPr>
                <w:rFonts w:cs="Arial"/>
                <w:color w:val="000000"/>
              </w:rPr>
            </w:pPr>
            <w:r w:rsidRPr="007B5FB0">
              <w:rPr>
                <w:rFonts w:cs="Arial"/>
                <w:color w:val="000000"/>
                <w:sz w:val="20"/>
                <w:szCs w:val="20"/>
              </w:rPr>
              <w:t>CLEAR HORIZON CONSULTING PTY LTD</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6ED52256" w14:textId="77777777" w:rsidR="0099606F" w:rsidRPr="007B5FB0" w:rsidRDefault="0099606F" w:rsidP="0071253F">
            <w:pPr>
              <w:pStyle w:val="VEOHRCBodytext"/>
              <w:rPr>
                <w:rFonts w:cs="Arial"/>
                <w:color w:val="000000"/>
              </w:rPr>
            </w:pPr>
            <w:r w:rsidRPr="007B5FB0">
              <w:rPr>
                <w:rFonts w:cs="Arial"/>
                <w:color w:val="000000"/>
                <w:sz w:val="20"/>
                <w:szCs w:val="20"/>
              </w:rPr>
              <w:t>Monitoring and evaluation framework</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9334AF" w14:textId="77777777" w:rsidR="0099606F" w:rsidRPr="007B5FB0" w:rsidRDefault="0099606F" w:rsidP="0071253F">
            <w:pPr>
              <w:pStyle w:val="VEOHRCBodytext"/>
              <w:rPr>
                <w:rFonts w:cs="Arial"/>
                <w:color w:val="000000"/>
              </w:rPr>
            </w:pPr>
            <w:r w:rsidRPr="007B5FB0">
              <w:rPr>
                <w:rFonts w:cs="Arial"/>
                <w:color w:val="000000"/>
                <w:sz w:val="20"/>
                <w:szCs w:val="20"/>
              </w:rPr>
              <w:t>1/03/2018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58BF5F" w14:textId="77777777" w:rsidR="0099606F" w:rsidRPr="007B5FB0" w:rsidRDefault="0099606F" w:rsidP="0071253F">
            <w:pPr>
              <w:pStyle w:val="VEOHRCBodytext"/>
              <w:rPr>
                <w:rFonts w:cs="Arial"/>
                <w:color w:val="000000"/>
              </w:rPr>
            </w:pPr>
            <w:r w:rsidRPr="007B5FB0">
              <w:rPr>
                <w:rFonts w:cs="Arial"/>
                <w:color w:val="000000"/>
                <w:sz w:val="20"/>
                <w:szCs w:val="20"/>
              </w:rPr>
              <w:t>30/06/2018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B24FEA" w14:textId="77777777" w:rsidR="0099606F" w:rsidRPr="007B5FB0" w:rsidRDefault="0099606F" w:rsidP="0071253F">
            <w:pPr>
              <w:pStyle w:val="VEOHRCBodytext"/>
              <w:rPr>
                <w:rFonts w:cs="Arial"/>
                <w:color w:val="000000"/>
              </w:rPr>
            </w:pPr>
            <w:r w:rsidRPr="007B5FB0">
              <w:rPr>
                <w:rFonts w:cs="Arial"/>
                <w:color w:val="000000"/>
                <w:sz w:val="20"/>
                <w:szCs w:val="20"/>
              </w:rPr>
              <w:t>32,500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DB0B663" w14:textId="77777777" w:rsidR="0099606F" w:rsidRPr="007B5FB0" w:rsidRDefault="0099606F" w:rsidP="0071253F">
            <w:pPr>
              <w:pStyle w:val="VEOHRCBodytext"/>
              <w:rPr>
                <w:rFonts w:cs="Arial"/>
                <w:color w:val="000000"/>
              </w:rPr>
            </w:pPr>
            <w:r w:rsidRPr="007B5FB0">
              <w:rPr>
                <w:rFonts w:cs="Arial"/>
                <w:color w:val="000000"/>
                <w:sz w:val="20"/>
                <w:szCs w:val="20"/>
              </w:rPr>
              <w:t>32,500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51C543" w14:textId="77777777" w:rsidR="0099606F" w:rsidRPr="007B5FB0" w:rsidRDefault="0099606F" w:rsidP="0071253F">
            <w:pPr>
              <w:pStyle w:val="VEOHRCBodytext"/>
              <w:rPr>
                <w:rFonts w:cs="Arial"/>
                <w:color w:val="000000"/>
              </w:rPr>
            </w:pPr>
            <w:r w:rsidRPr="007B5FB0">
              <w:rPr>
                <w:rFonts w:cs="Arial"/>
                <w:color w:val="000000"/>
                <w:sz w:val="20"/>
                <w:szCs w:val="20"/>
              </w:rPr>
              <w:t> </w:t>
            </w:r>
          </w:p>
        </w:tc>
      </w:tr>
    </w:tbl>
    <w:p w14:paraId="69571214" w14:textId="77777777" w:rsidR="0099606F" w:rsidRPr="007B5FB0" w:rsidRDefault="0099606F" w:rsidP="0099606F">
      <w:pPr>
        <w:pStyle w:val="VEOHRCHeading3"/>
        <w:rPr>
          <w:lang w:eastAsia="en-US"/>
        </w:rPr>
      </w:pPr>
      <w:r w:rsidRPr="007B5FB0">
        <w:rPr>
          <w:lang w:eastAsia="en-US"/>
        </w:rPr>
        <w:t>Details of consultancies under $10 000</w:t>
      </w:r>
    </w:p>
    <w:p w14:paraId="4C5D7982" w14:textId="613F668A" w:rsidR="0099606F" w:rsidRPr="007B5FB0" w:rsidRDefault="0099606F" w:rsidP="0099606F">
      <w:pPr>
        <w:pStyle w:val="VEOHRCBodytext"/>
      </w:pPr>
      <w:r w:rsidRPr="007B5FB0">
        <w:t>In 201</w:t>
      </w:r>
      <w:r w:rsidR="008D6268">
        <w:t>7–</w:t>
      </w:r>
      <w:r w:rsidRPr="007B5FB0">
        <w:t>18, there were six consultancies engaged during the year, where the total fees payable to the individual consultancies was less than $10,000. The total expenditure incurred during 201</w:t>
      </w:r>
      <w:r w:rsidR="008D6268">
        <w:t>7–</w:t>
      </w:r>
      <w:r w:rsidRPr="007B5FB0">
        <w:t>18 in relation to these consultancies was $</w:t>
      </w:r>
      <w:r w:rsidRPr="007B5FB0">
        <w:rPr>
          <w:rFonts w:eastAsia="Calibri"/>
        </w:rPr>
        <w:t xml:space="preserve"> 24,328</w:t>
      </w:r>
      <w:r w:rsidRPr="007B5FB0">
        <w:t xml:space="preserve"> (excl. GST). </w:t>
      </w:r>
    </w:p>
    <w:p w14:paraId="390B4DD0" w14:textId="77777777" w:rsidR="0099606F" w:rsidRPr="007B5FB0" w:rsidRDefault="0099606F" w:rsidP="0099606F">
      <w:pPr>
        <w:pStyle w:val="VEOHRCHeading1"/>
      </w:pPr>
      <w:bookmarkStart w:id="37" w:name="INDEX_AdvertisingExp"/>
      <w:bookmarkStart w:id="38" w:name="_Toc524536487"/>
      <w:bookmarkStart w:id="39" w:name="INDEX_ICTExp"/>
      <w:bookmarkStart w:id="40" w:name="_Toc477967500"/>
      <w:r w:rsidRPr="007B5FB0">
        <w:t xml:space="preserve">Government </w:t>
      </w:r>
      <w:bookmarkEnd w:id="37"/>
      <w:r w:rsidRPr="007B5FB0">
        <w:t>advertising expenditure</w:t>
      </w:r>
      <w:bookmarkEnd w:id="38"/>
    </w:p>
    <w:p w14:paraId="01B4F963" w14:textId="37DA90F4" w:rsidR="0099606F" w:rsidRPr="007B5FB0" w:rsidRDefault="0099606F" w:rsidP="0099606F">
      <w:pPr>
        <w:pStyle w:val="VEOHRCBodytext"/>
      </w:pPr>
      <w:r w:rsidRPr="007B5FB0">
        <w:t>In 201</w:t>
      </w:r>
      <w:r w:rsidR="008D6268">
        <w:t>7–</w:t>
      </w:r>
      <w:r w:rsidRPr="007B5FB0">
        <w:t xml:space="preserve">18, there were no government advertising campaigns with total media spends of $100,000 or greater (exclusive of GST). </w:t>
      </w:r>
    </w:p>
    <w:p w14:paraId="16CFEFC2" w14:textId="77777777" w:rsidR="0099606F" w:rsidRPr="007B5FB0" w:rsidRDefault="0099606F" w:rsidP="0099606F">
      <w:pPr>
        <w:pStyle w:val="VEOHRCHeading1"/>
      </w:pPr>
      <w:bookmarkStart w:id="41" w:name="_Toc524536488"/>
      <w:r w:rsidRPr="007B5FB0">
        <w:t xml:space="preserve">Information </w:t>
      </w:r>
      <w:bookmarkEnd w:id="39"/>
      <w:r w:rsidRPr="007B5FB0">
        <w:t>and communication technology expenditure</w:t>
      </w:r>
      <w:bookmarkEnd w:id="40"/>
      <w:bookmarkEnd w:id="41"/>
    </w:p>
    <w:p w14:paraId="422DA013" w14:textId="77777777" w:rsidR="0099606F" w:rsidRPr="007B5FB0" w:rsidRDefault="0099606F" w:rsidP="0099606F">
      <w:pPr>
        <w:pStyle w:val="VEOHRCHeading3"/>
        <w:rPr>
          <w:lang w:eastAsia="en-US"/>
        </w:rPr>
      </w:pPr>
      <w:r w:rsidRPr="007B5FB0">
        <w:rPr>
          <w:lang w:eastAsia="en-US"/>
        </w:rPr>
        <w:t>Details of information and communication technology (ICT) expenditure</w:t>
      </w:r>
    </w:p>
    <w:p w14:paraId="6B62C507" w14:textId="274EFE4D" w:rsidR="0099606F" w:rsidRPr="007B5FB0" w:rsidRDefault="0099606F" w:rsidP="0099606F">
      <w:pPr>
        <w:pStyle w:val="VEOHRCBodytext"/>
      </w:pPr>
      <w:r w:rsidRPr="007B5FB0">
        <w:t>For the 201</w:t>
      </w:r>
      <w:r w:rsidR="008D6268">
        <w:t>7–</w:t>
      </w:r>
      <w:r w:rsidRPr="007B5FB0">
        <w:t>18 reporting period, the Commission had a total ICT expenditure of $70,</w:t>
      </w:r>
      <w:r w:rsidR="00241A74" w:rsidRPr="007B5FB0">
        <w:t>0</w:t>
      </w:r>
      <w:r w:rsidR="00241A74">
        <w:t>10</w:t>
      </w:r>
      <w:r w:rsidRPr="007B5FB0">
        <w:t xml:space="preserve">, with the details shown below. </w:t>
      </w:r>
    </w:p>
    <w:tbl>
      <w:tblPr>
        <w:tblW w:w="10146" w:type="dxa"/>
        <w:tblInd w:w="28" w:type="dxa"/>
        <w:tblBorders>
          <w:bottom w:val="single" w:sz="12" w:space="0" w:color="auto"/>
        </w:tblBorders>
        <w:tblCellMar>
          <w:left w:w="57" w:type="dxa"/>
          <w:right w:w="57" w:type="dxa"/>
        </w:tblCellMar>
        <w:tblLook w:val="04A0" w:firstRow="1" w:lastRow="0" w:firstColumn="1" w:lastColumn="0" w:noHBand="0" w:noVBand="1"/>
      </w:tblPr>
      <w:tblGrid>
        <w:gridCol w:w="3814"/>
        <w:gridCol w:w="2110"/>
        <w:gridCol w:w="1627"/>
        <w:gridCol w:w="2595"/>
      </w:tblGrid>
      <w:tr w:rsidR="0099606F" w:rsidRPr="00073FE6" w14:paraId="62CF5413" w14:textId="77777777" w:rsidTr="0071253F">
        <w:trPr>
          <w:trHeight w:val="489"/>
        </w:trPr>
        <w:tc>
          <w:tcPr>
            <w:tcW w:w="3814" w:type="dxa"/>
            <w:vMerge w:val="restart"/>
            <w:tcBorders>
              <w:bottom w:val="nil"/>
              <w:right w:val="single" w:sz="4" w:space="0" w:color="FFFFFF"/>
            </w:tcBorders>
            <w:shd w:val="clear" w:color="auto" w:fill="000000"/>
            <w:vAlign w:val="bottom"/>
            <w:hideMark/>
          </w:tcPr>
          <w:p w14:paraId="472D8C5D" w14:textId="77777777" w:rsidR="0099606F" w:rsidRPr="00073FE6" w:rsidRDefault="0099606F" w:rsidP="0071253F">
            <w:pPr>
              <w:pStyle w:val="VEOHRCBodytext"/>
            </w:pPr>
            <w:r w:rsidRPr="00073FE6">
              <w:lastRenderedPageBreak/>
              <w:t>All operational ICT expenditure Business As Usual (BAU) ICT expenditure (excl. GST)*</w:t>
            </w:r>
          </w:p>
        </w:tc>
        <w:tc>
          <w:tcPr>
            <w:tcW w:w="6332" w:type="dxa"/>
            <w:gridSpan w:val="3"/>
            <w:tcBorders>
              <w:left w:val="single" w:sz="4" w:space="0" w:color="FFFFFF"/>
            </w:tcBorders>
            <w:shd w:val="clear" w:color="auto" w:fill="000000"/>
            <w:vAlign w:val="bottom"/>
            <w:hideMark/>
          </w:tcPr>
          <w:p w14:paraId="396E9823" w14:textId="77777777" w:rsidR="0099606F" w:rsidRPr="00073FE6" w:rsidRDefault="0099606F" w:rsidP="0071253F">
            <w:pPr>
              <w:pStyle w:val="VEOHRCBodytext"/>
              <w:jc w:val="right"/>
            </w:pPr>
            <w:r w:rsidRPr="00073FE6">
              <w:t>ICT expenditure related to projects to create or enhance ICT capabilities</w:t>
            </w:r>
          </w:p>
        </w:tc>
      </w:tr>
      <w:tr w:rsidR="0099606F" w:rsidRPr="00073FE6" w14:paraId="2FBC1912" w14:textId="77777777" w:rsidTr="0071253F">
        <w:trPr>
          <w:cantSplit/>
          <w:trHeight w:val="791"/>
        </w:trPr>
        <w:tc>
          <w:tcPr>
            <w:tcW w:w="3814" w:type="dxa"/>
            <w:vMerge/>
            <w:tcBorders>
              <w:bottom w:val="nil"/>
              <w:right w:val="single" w:sz="4" w:space="0" w:color="FFFFFF"/>
            </w:tcBorders>
            <w:shd w:val="clear" w:color="auto" w:fill="000000"/>
            <w:hideMark/>
          </w:tcPr>
          <w:p w14:paraId="46D9432E" w14:textId="77777777" w:rsidR="0099606F" w:rsidRPr="00073FE6" w:rsidRDefault="0099606F" w:rsidP="0071253F">
            <w:pPr>
              <w:pStyle w:val="VEOHRCBodytext"/>
            </w:pPr>
          </w:p>
        </w:tc>
        <w:tc>
          <w:tcPr>
            <w:tcW w:w="2110" w:type="dxa"/>
            <w:tcBorders>
              <w:left w:val="single" w:sz="4" w:space="0" w:color="FFFFFF"/>
            </w:tcBorders>
            <w:shd w:val="clear" w:color="auto" w:fill="000000"/>
            <w:hideMark/>
          </w:tcPr>
          <w:p w14:paraId="17F3133B" w14:textId="77777777" w:rsidR="0099606F" w:rsidRPr="00073FE6" w:rsidRDefault="0099606F" w:rsidP="0071253F">
            <w:pPr>
              <w:pStyle w:val="VEOHRCBodytext"/>
              <w:jc w:val="right"/>
            </w:pPr>
            <w:r w:rsidRPr="00073FE6">
              <w:t>Non Business As Usual (non BAU) ICT expenditure (excl. GST)</w:t>
            </w:r>
          </w:p>
        </w:tc>
        <w:tc>
          <w:tcPr>
            <w:tcW w:w="1627" w:type="dxa"/>
            <w:shd w:val="clear" w:color="auto" w:fill="000000"/>
            <w:hideMark/>
          </w:tcPr>
          <w:p w14:paraId="633577E7" w14:textId="77777777" w:rsidR="0099606F" w:rsidRPr="00073FE6" w:rsidRDefault="0099606F" w:rsidP="0071253F">
            <w:pPr>
              <w:pStyle w:val="VEOHRCBodytext"/>
              <w:jc w:val="right"/>
            </w:pPr>
            <w:r w:rsidRPr="00073FE6">
              <w:t>Operational expenditure (excl. GST)</w:t>
            </w:r>
          </w:p>
        </w:tc>
        <w:tc>
          <w:tcPr>
            <w:tcW w:w="2593" w:type="dxa"/>
            <w:shd w:val="clear" w:color="auto" w:fill="000000"/>
            <w:hideMark/>
          </w:tcPr>
          <w:p w14:paraId="1545BEF9" w14:textId="77777777" w:rsidR="0099606F" w:rsidRPr="00073FE6" w:rsidRDefault="0099606F" w:rsidP="0071253F">
            <w:pPr>
              <w:pStyle w:val="VEOHRCBodytext"/>
              <w:jc w:val="right"/>
            </w:pPr>
            <w:r w:rsidRPr="00073FE6">
              <w:t xml:space="preserve">Capitalexpenditure (excl. GST) </w:t>
            </w:r>
          </w:p>
        </w:tc>
      </w:tr>
      <w:tr w:rsidR="0099606F" w:rsidRPr="00073FE6" w14:paraId="35DF765E" w14:textId="77777777" w:rsidTr="0071253F">
        <w:trPr>
          <w:cantSplit/>
          <w:trHeight w:val="437"/>
        </w:trPr>
        <w:tc>
          <w:tcPr>
            <w:tcW w:w="3814" w:type="dxa"/>
            <w:tcBorders>
              <w:top w:val="nil"/>
            </w:tcBorders>
            <w:shd w:val="clear" w:color="auto" w:fill="FFFFFF"/>
            <w:hideMark/>
          </w:tcPr>
          <w:p w14:paraId="5E1A8D5F" w14:textId="77777777" w:rsidR="0099606F" w:rsidRPr="00073FE6" w:rsidRDefault="0099606F" w:rsidP="0071253F">
            <w:pPr>
              <w:pStyle w:val="VEOHRCBodytext"/>
              <w:jc w:val="right"/>
            </w:pPr>
            <w:r w:rsidRPr="00073FE6">
              <w:t xml:space="preserve">70,010 </w:t>
            </w:r>
          </w:p>
        </w:tc>
        <w:tc>
          <w:tcPr>
            <w:tcW w:w="2110" w:type="dxa"/>
            <w:shd w:val="clear" w:color="auto" w:fill="FFFFFF"/>
            <w:noWrap/>
            <w:hideMark/>
          </w:tcPr>
          <w:p w14:paraId="3BAE5A71" w14:textId="77777777" w:rsidR="0099606F" w:rsidRPr="00073FE6" w:rsidRDefault="0099606F" w:rsidP="0071253F">
            <w:pPr>
              <w:pStyle w:val="VEOHRCBodytext"/>
              <w:jc w:val="right"/>
            </w:pPr>
            <w:r w:rsidRPr="00073FE6">
              <w:t>-</w:t>
            </w:r>
          </w:p>
        </w:tc>
        <w:tc>
          <w:tcPr>
            <w:tcW w:w="1627" w:type="dxa"/>
            <w:shd w:val="clear" w:color="auto" w:fill="FFFFFF"/>
            <w:hideMark/>
          </w:tcPr>
          <w:p w14:paraId="2AD06E3B" w14:textId="77777777" w:rsidR="0099606F" w:rsidRPr="00073FE6" w:rsidRDefault="0099606F" w:rsidP="0071253F">
            <w:pPr>
              <w:pStyle w:val="VEOHRCBodytext"/>
              <w:jc w:val="right"/>
            </w:pPr>
            <w:r w:rsidRPr="00073FE6">
              <w:t xml:space="preserve">70,010 </w:t>
            </w:r>
          </w:p>
        </w:tc>
        <w:tc>
          <w:tcPr>
            <w:tcW w:w="2593" w:type="dxa"/>
            <w:shd w:val="clear" w:color="auto" w:fill="FFFFFF"/>
            <w:noWrap/>
            <w:hideMark/>
          </w:tcPr>
          <w:p w14:paraId="1921845C" w14:textId="77777777" w:rsidR="0099606F" w:rsidRPr="00073FE6" w:rsidRDefault="0099606F" w:rsidP="0071253F">
            <w:pPr>
              <w:pStyle w:val="VEOHRCBodytext"/>
              <w:jc w:val="right"/>
            </w:pPr>
            <w:r w:rsidRPr="00073FE6">
              <w:t>-</w:t>
            </w:r>
          </w:p>
        </w:tc>
      </w:tr>
    </w:tbl>
    <w:p w14:paraId="58CCCFC9" w14:textId="77777777" w:rsidR="0099606F" w:rsidRPr="007B5FB0" w:rsidRDefault="0099606F" w:rsidP="0099606F">
      <w:pPr>
        <w:keepNext/>
        <w:ind w:right="-285"/>
      </w:pPr>
    </w:p>
    <w:p w14:paraId="444C317A" w14:textId="77777777" w:rsidR="0099606F" w:rsidRPr="007B5FB0" w:rsidRDefault="0099606F" w:rsidP="0099606F">
      <w:pPr>
        <w:pStyle w:val="VEOHRCFootnotetext"/>
        <w:rPr>
          <w:rFonts w:eastAsia="Arial Unicode MS"/>
          <w:lang w:val="en-GB" w:eastAsia="en-US"/>
        </w:rPr>
      </w:pPr>
      <w:r w:rsidRPr="007B5FB0">
        <w:rPr>
          <w:rFonts w:eastAsia="Arial Unicode MS"/>
          <w:lang w:val="en-GB"/>
        </w:rPr>
        <w:t xml:space="preserve">* </w:t>
      </w:r>
      <w:r w:rsidRPr="007B5FB0">
        <w:rPr>
          <w:rFonts w:eastAsia="Arial Unicode MS"/>
          <w:lang w:val="en-GB" w:eastAsia="en-US"/>
        </w:rPr>
        <w:t>Note: ICT expenditure refers to the Commission’s costs in providing business enabling ICT services within the current reporting period. It comprises Business As Usual (BAU) ICT expenditure and Non-Business As Usual (Non-BAU) ICT expenditure. Non-BAU ICT expenditure relates to extending or enhancing the Commission’s current ICT capabilities. BAU ICT expenditure is all remaining ICT expenditure which primarily relates to ongoing activities to operate and maintain the current ICT capability.</w:t>
      </w:r>
    </w:p>
    <w:p w14:paraId="3A12FEE5" w14:textId="77777777" w:rsidR="0099606F" w:rsidRPr="007B5FB0" w:rsidRDefault="0099606F" w:rsidP="0099606F">
      <w:pPr>
        <w:pStyle w:val="VEOHRCHeading1"/>
      </w:pPr>
      <w:bookmarkStart w:id="42" w:name="INDEX_CompetitiveNeutralityPolicy"/>
      <w:bookmarkStart w:id="43" w:name="_Toc524536489"/>
      <w:bookmarkStart w:id="44" w:name="_Toc477967504"/>
      <w:bookmarkStart w:id="45" w:name="INDEX_FOI"/>
      <w:bookmarkStart w:id="46" w:name="_Toc477967502"/>
      <w:r w:rsidRPr="007B5FB0">
        <w:t xml:space="preserve">Compliance with Competitive </w:t>
      </w:r>
      <w:bookmarkEnd w:id="42"/>
      <w:r w:rsidRPr="007B5FB0">
        <w:t>Neutrality Policy</w:t>
      </w:r>
      <w:bookmarkEnd w:id="43"/>
    </w:p>
    <w:bookmarkEnd w:id="44"/>
    <w:p w14:paraId="05C96E69" w14:textId="77777777" w:rsidR="0099606F" w:rsidRPr="007B5FB0" w:rsidRDefault="0099606F" w:rsidP="0099606F">
      <w:pPr>
        <w:pStyle w:val="VEOHRCBodytext"/>
      </w:pPr>
      <w:r w:rsidRPr="007B5FB0">
        <w:t>Competitive neutrality requires government businesses to ensure where services compete, or potentially compete with the private sector, any advantage arising solely from their government ownership be removed if it is not in the public interest. Government businesses are required to cost and price these services as if they were privately owned. Competitive neutrality policy supports fair competition between public and private businesses and provides government businesses with a tool to enhance decisions on resource allocation. This policy does not override other policy objectives of government and focuses on efficiency in the provision of service.</w:t>
      </w:r>
    </w:p>
    <w:p w14:paraId="1B9D761B" w14:textId="7A8E104B" w:rsidR="0099606F" w:rsidRPr="007B5FB0" w:rsidRDefault="0099606F" w:rsidP="0099606F">
      <w:pPr>
        <w:pStyle w:val="VEOHRCBodytext"/>
      </w:pPr>
      <w:r w:rsidRPr="007B5FB0">
        <w:t xml:space="preserve">The Commission is working to ensure it fulfils its requirements on competitive neutrality under the Victorian Government’s </w:t>
      </w:r>
      <w:r w:rsidRPr="007B5FB0">
        <w:rPr>
          <w:b/>
        </w:rPr>
        <w:t>Competition Principles Agreement</w:t>
      </w:r>
      <w:r w:rsidRPr="007B5FB0">
        <w:t>.  In 201</w:t>
      </w:r>
      <w:r w:rsidR="008D6268">
        <w:t>7–</w:t>
      </w:r>
      <w:r w:rsidRPr="007B5FB0">
        <w:t>18, the Commission reviewed its fee structure which it applies to those services against which charges may be applied, to ensure that such charges are based on commercial market rates. The fees were adjusted by conducting market research on rates charged by organisations delivering similar services, including rates charged by companies who could be direct competitors.</w:t>
      </w:r>
    </w:p>
    <w:p w14:paraId="02C8B9FC" w14:textId="77777777" w:rsidR="0099606F" w:rsidRPr="007B5FB0" w:rsidRDefault="0099606F" w:rsidP="0099606F">
      <w:pPr>
        <w:pStyle w:val="VEOHRCHeading1"/>
      </w:pPr>
      <w:bookmarkStart w:id="47" w:name="_Toc524536490"/>
      <w:bookmarkStart w:id="48" w:name="INDEX_ProtectedDisclosure"/>
      <w:bookmarkEnd w:id="45"/>
      <w:bookmarkEnd w:id="46"/>
      <w:r w:rsidRPr="007B5FB0">
        <w:t xml:space="preserve">Compliance with the </w:t>
      </w:r>
      <w:r w:rsidRPr="007B5FB0">
        <w:rPr>
          <w:i/>
        </w:rPr>
        <w:t>Building Act 1993</w:t>
      </w:r>
      <w:bookmarkEnd w:id="47"/>
    </w:p>
    <w:p w14:paraId="6993B9A8" w14:textId="77777777" w:rsidR="0099606F" w:rsidRPr="007B5FB0" w:rsidRDefault="0099606F" w:rsidP="0099606F">
      <w:pPr>
        <w:pStyle w:val="VEOHRCBodytext"/>
      </w:pPr>
      <w:r w:rsidRPr="007B5FB0">
        <w:t xml:space="preserve">The Commission does not own or control any government buildings and consequently is exempt from notifying its compliance with the building and maintenance provisions of the </w:t>
      </w:r>
      <w:r w:rsidRPr="007B5FB0">
        <w:rPr>
          <w:i/>
        </w:rPr>
        <w:t>Building Act 1993.</w:t>
      </w:r>
    </w:p>
    <w:p w14:paraId="63465C51" w14:textId="77777777" w:rsidR="0099606F" w:rsidRPr="007B5FB0" w:rsidRDefault="0099606F" w:rsidP="0099606F">
      <w:pPr>
        <w:pStyle w:val="VEOHRCHeading1"/>
      </w:pPr>
      <w:bookmarkStart w:id="49" w:name="_Toc524536491"/>
      <w:r w:rsidRPr="007B5FB0">
        <w:t xml:space="preserve">Compliance </w:t>
      </w:r>
      <w:bookmarkEnd w:id="48"/>
      <w:r w:rsidRPr="007B5FB0">
        <w:t>with the Protected Disclosure Act 2012</w:t>
      </w:r>
      <w:bookmarkEnd w:id="49"/>
      <w:r w:rsidRPr="007B5FB0">
        <w:t xml:space="preserve"> </w:t>
      </w:r>
    </w:p>
    <w:p w14:paraId="1D506AB1" w14:textId="77777777" w:rsidR="0099606F" w:rsidRPr="007B5FB0" w:rsidRDefault="0099606F" w:rsidP="0099606F">
      <w:pPr>
        <w:pStyle w:val="VEOHRCBodytext"/>
        <w:rPr>
          <w:lang w:eastAsia="en-US"/>
        </w:rPr>
      </w:pPr>
      <w:r w:rsidRPr="007B5FB0">
        <w:rPr>
          <w:lang w:eastAsia="en-US"/>
        </w:rPr>
        <w:t xml:space="preserve">The </w:t>
      </w:r>
      <w:r w:rsidRPr="007B5FB0">
        <w:rPr>
          <w:i/>
          <w:lang w:eastAsia="en-US"/>
        </w:rPr>
        <w:t>Protected Disclosure Act 2012</w:t>
      </w:r>
      <w:r w:rsidRPr="007B5FB0">
        <w:rPr>
          <w:lang w:eastAsia="en-US"/>
        </w:rPr>
        <w:t xml:space="preserve"> encourages and assists people in making disclosures of improper conduct by public officers and public bodies. The Act provides protection to people who make disclosures in accordance with the Act and establishes a system for the matters disclosed to be investigated and rectifying action to be taken. </w:t>
      </w:r>
    </w:p>
    <w:p w14:paraId="3119C4EB" w14:textId="77777777" w:rsidR="0099606F" w:rsidRPr="007B5FB0" w:rsidRDefault="0099606F" w:rsidP="0099606F">
      <w:pPr>
        <w:pStyle w:val="VEOHRCBodytext"/>
        <w:rPr>
          <w:lang w:eastAsia="en-US"/>
        </w:rPr>
      </w:pPr>
      <w:r w:rsidRPr="007B5FB0">
        <w:rPr>
          <w:lang w:eastAsia="en-US"/>
        </w:rPr>
        <w:t>The Commission does not tolerate improper conduct by employees, nor the taking of reprisals against those who come forward to disclose such conduct. We are committed to ensuring transparency and accountability in administrative and management practices. We support the making of disclosures that reveal:</w:t>
      </w:r>
    </w:p>
    <w:p w14:paraId="44A44330" w14:textId="5A520F9C" w:rsidR="0099606F" w:rsidRPr="007B5FB0" w:rsidRDefault="0099606F" w:rsidP="0099606F">
      <w:pPr>
        <w:pStyle w:val="VEOHRCListBullet"/>
        <w:rPr>
          <w:lang w:eastAsia="en-US"/>
        </w:rPr>
      </w:pPr>
      <w:r w:rsidRPr="007B5FB0">
        <w:rPr>
          <w:lang w:eastAsia="en-US"/>
        </w:rPr>
        <w:lastRenderedPageBreak/>
        <w:t>corrupt conduct</w:t>
      </w:r>
    </w:p>
    <w:p w14:paraId="6CB25DC7" w14:textId="192DB694" w:rsidR="0099606F" w:rsidRPr="007B5FB0" w:rsidRDefault="0099606F" w:rsidP="0099606F">
      <w:pPr>
        <w:pStyle w:val="VEOHRCListBullet"/>
        <w:rPr>
          <w:lang w:eastAsia="en-US"/>
        </w:rPr>
      </w:pPr>
      <w:r w:rsidRPr="007B5FB0">
        <w:rPr>
          <w:lang w:eastAsia="en-US"/>
        </w:rPr>
        <w:t>conduct involving a substantial mismanagement of public resources</w:t>
      </w:r>
    </w:p>
    <w:p w14:paraId="11C4973A" w14:textId="09C21C9E" w:rsidR="0099606F" w:rsidRPr="007B5FB0" w:rsidRDefault="0099606F" w:rsidP="0099606F">
      <w:pPr>
        <w:pStyle w:val="VEOHRCListBullet"/>
        <w:rPr>
          <w:lang w:eastAsia="en-US"/>
        </w:rPr>
      </w:pPr>
      <w:r w:rsidRPr="007B5FB0">
        <w:rPr>
          <w:lang w:eastAsia="en-US"/>
        </w:rPr>
        <w:t>conduct involving a substantial risk to public</w:t>
      </w:r>
    </w:p>
    <w:p w14:paraId="3DEA5055" w14:textId="77777777" w:rsidR="0099606F" w:rsidRPr="007B5FB0" w:rsidRDefault="0099606F" w:rsidP="0099606F">
      <w:pPr>
        <w:pStyle w:val="VEOHRCListBullet"/>
        <w:rPr>
          <w:lang w:eastAsia="en-US"/>
        </w:rPr>
      </w:pPr>
      <w:r w:rsidRPr="007B5FB0">
        <w:rPr>
          <w:lang w:eastAsia="en-US"/>
        </w:rPr>
        <w:t>health and safety or the environment.</w:t>
      </w:r>
    </w:p>
    <w:p w14:paraId="6118928F" w14:textId="77777777" w:rsidR="0099606F" w:rsidRPr="007B5FB0" w:rsidRDefault="0099606F" w:rsidP="0099606F">
      <w:pPr>
        <w:pStyle w:val="VEOHRCBodytext"/>
        <w:rPr>
          <w:lang w:eastAsia="en-US"/>
        </w:rPr>
      </w:pPr>
      <w:r w:rsidRPr="007B5FB0">
        <w:rPr>
          <w:lang w:eastAsia="en-US"/>
        </w:rPr>
        <w:t>We will take all reasonable steps to protect people who make such disclosures from any detrimental action in reprisal for making the disclosure. We will also afford natural justice to the person who is the subject of the disclosure to the extent it is legally possible.</w:t>
      </w:r>
    </w:p>
    <w:p w14:paraId="06BB754F" w14:textId="77777777" w:rsidR="0099606F" w:rsidRPr="007B5FB0" w:rsidRDefault="0099606F" w:rsidP="0099606F">
      <w:pPr>
        <w:pStyle w:val="VEOHRCHeading3"/>
      </w:pPr>
      <w:r w:rsidRPr="007B5FB0">
        <w:t>Reporting procedures</w:t>
      </w:r>
    </w:p>
    <w:p w14:paraId="609006C1" w14:textId="77777777" w:rsidR="0099606F" w:rsidRPr="007B5FB0" w:rsidRDefault="0099606F" w:rsidP="0099606F">
      <w:pPr>
        <w:pStyle w:val="VEOHRCBodytext"/>
      </w:pPr>
      <w:r w:rsidRPr="007B5FB0">
        <w:t xml:space="preserve">Disclosures about the Commission or any of its employees can be made to the Independent Broadbased Anti-corruption Commission. See ibac.vic.gov.au. </w:t>
      </w:r>
    </w:p>
    <w:p w14:paraId="105FF6A7" w14:textId="77777777" w:rsidR="0099606F" w:rsidRPr="007B5FB0" w:rsidRDefault="0099606F" w:rsidP="0099606F">
      <w:pPr>
        <w:pStyle w:val="VEOHRCBodytext"/>
        <w:rPr>
          <w:rFonts w:cs="ArialMT"/>
          <w:color w:val="0000FF"/>
          <w:szCs w:val="19"/>
          <w:lang w:eastAsia="en-US"/>
        </w:rPr>
      </w:pPr>
      <w:r w:rsidRPr="007B5FB0">
        <w:t>For the Commission’s protected disclosure procedures and more information about reporting improper conduct go to</w:t>
      </w:r>
      <w:r w:rsidRPr="007B5FB0">
        <w:rPr>
          <w:lang w:eastAsia="en-US"/>
        </w:rPr>
        <w:t xml:space="preserve"> </w:t>
      </w:r>
      <w:r w:rsidRPr="007B5FB0">
        <w:rPr>
          <w:rFonts w:cs="ArialMT"/>
          <w:color w:val="0000FF"/>
          <w:szCs w:val="19"/>
          <w:lang w:eastAsia="en-US"/>
        </w:rPr>
        <w:t>humanrightscommission.vic.gov.au.</w:t>
      </w:r>
    </w:p>
    <w:p w14:paraId="4C8624A8" w14:textId="77777777" w:rsidR="0099606F" w:rsidRPr="007B5FB0" w:rsidRDefault="0099606F" w:rsidP="0099606F">
      <w:pPr>
        <w:pStyle w:val="VEOHRCHeading3"/>
      </w:pPr>
      <w:r w:rsidRPr="007B5FB0">
        <w:t>Further information</w:t>
      </w:r>
    </w:p>
    <w:p w14:paraId="51391F84" w14:textId="77777777" w:rsidR="0099606F" w:rsidRPr="007B5FB0" w:rsidRDefault="0099606F" w:rsidP="0099606F">
      <w:pPr>
        <w:pStyle w:val="VEOHRCBodytext"/>
        <w:rPr>
          <w:lang w:eastAsia="en-US"/>
        </w:rPr>
      </w:pPr>
      <w:r w:rsidRPr="007B5FB0">
        <w:rPr>
          <w:lang w:eastAsia="en-US"/>
        </w:rPr>
        <w:t xml:space="preserve">In accordance with Part 9 of the Protected Disclosure Act, the Commission has established Protected Disclosure Procedures, which are available on the Commission’s website at </w:t>
      </w:r>
      <w:r w:rsidRPr="007B5FB0">
        <w:rPr>
          <w:rFonts w:cs="ArialMT"/>
          <w:color w:val="0000FF"/>
          <w:szCs w:val="19"/>
          <w:lang w:eastAsia="en-US"/>
        </w:rPr>
        <w:t>humanrightscommission.vic.gov.au</w:t>
      </w:r>
      <w:r w:rsidRPr="007B5FB0">
        <w:rPr>
          <w:lang w:eastAsia="en-US"/>
        </w:rPr>
        <w:t>.</w:t>
      </w:r>
    </w:p>
    <w:p w14:paraId="177AE6AB" w14:textId="77777777" w:rsidR="0099606F" w:rsidRPr="007B5FB0" w:rsidRDefault="0099606F" w:rsidP="0099606F">
      <w:pPr>
        <w:pStyle w:val="VEOHRCBodytext"/>
        <w:rPr>
          <w:lang w:eastAsia="en-US"/>
        </w:rPr>
      </w:pPr>
      <w:r w:rsidRPr="007B5FB0">
        <w:rPr>
          <w:lang w:eastAsia="en-US"/>
        </w:rPr>
        <w:t>The Protected Disclosure Procedures outline the system for reporting disclosures of improper conduct or detrimental action by the Commission or any of its employees and/or officers and the welfare management of those who make or cooperate with protected disclosures. This includes procedures for the protection of persons from detrimental action taken by the Commission or members, officers or employees of the Commission.</w:t>
      </w:r>
    </w:p>
    <w:p w14:paraId="60EFEE2F" w14:textId="77777777" w:rsidR="0099606F" w:rsidRPr="007B5FB0" w:rsidRDefault="0099606F" w:rsidP="0099606F">
      <w:pPr>
        <w:pStyle w:val="VEOHRCHeading1"/>
      </w:pPr>
      <w:bookmarkStart w:id="50" w:name="INDEX_CarersRecogAct"/>
      <w:bookmarkStart w:id="51" w:name="_Toc477967505"/>
      <w:bookmarkStart w:id="52" w:name="_Toc524536492"/>
      <w:r w:rsidRPr="007B5FB0">
        <w:t xml:space="preserve">Compliance </w:t>
      </w:r>
      <w:bookmarkEnd w:id="50"/>
      <w:r w:rsidRPr="007B5FB0">
        <w:t>with the Carers Recognition Act 2012</w:t>
      </w:r>
      <w:bookmarkEnd w:id="51"/>
      <w:bookmarkEnd w:id="52"/>
    </w:p>
    <w:p w14:paraId="6F916686" w14:textId="77777777" w:rsidR="0099606F" w:rsidRPr="007B5FB0" w:rsidRDefault="0099606F" w:rsidP="0099606F">
      <w:pPr>
        <w:pStyle w:val="VEOHRCBodytext"/>
        <w:rPr>
          <w:lang w:eastAsia="en-US"/>
        </w:rPr>
      </w:pPr>
      <w:r w:rsidRPr="007B5FB0">
        <w:rPr>
          <w:lang w:eastAsia="en-US"/>
        </w:rPr>
        <w:t xml:space="preserve">The Commission has taken all practical measures to comply with its obligations under the </w:t>
      </w:r>
      <w:r w:rsidRPr="007B5FB0">
        <w:rPr>
          <w:i/>
          <w:lang w:eastAsia="en-US"/>
        </w:rPr>
        <w:t>Carers Recognition Act 2012</w:t>
      </w:r>
      <w:r w:rsidRPr="007B5FB0">
        <w:rPr>
          <w:lang w:eastAsia="en-US"/>
        </w:rPr>
        <w:t xml:space="preserve">. Externally, these obligations include promoting the principles of the </w:t>
      </w:r>
      <w:r w:rsidRPr="007B5FB0">
        <w:rPr>
          <w:i/>
          <w:lang w:eastAsia="en-US"/>
        </w:rPr>
        <w:t>Act</w:t>
      </w:r>
      <w:r w:rsidRPr="007B5FB0">
        <w:rPr>
          <w:lang w:eastAsia="en-US"/>
        </w:rPr>
        <w:t xml:space="preserve"> to people in care relationships who receive our services, and to the wider community, by: </w:t>
      </w:r>
    </w:p>
    <w:p w14:paraId="381720A3" w14:textId="1C7E944F" w:rsidR="0099606F" w:rsidRPr="007B5FB0" w:rsidRDefault="0099606F" w:rsidP="0099606F">
      <w:pPr>
        <w:pStyle w:val="VEOHRCListBullet"/>
        <w:rPr>
          <w:lang w:eastAsia="en-US"/>
        </w:rPr>
      </w:pPr>
      <w:r w:rsidRPr="007B5FB0">
        <w:t>distributing</w:t>
      </w:r>
      <w:r w:rsidRPr="007B5FB0">
        <w:rPr>
          <w:lang w:eastAsia="en-US"/>
        </w:rPr>
        <w:t xml:space="preserve"> printed information about the Act on our website for the benefit of members of the public </w:t>
      </w:r>
    </w:p>
    <w:p w14:paraId="6A4BCDBA" w14:textId="3F0C675A" w:rsidR="0099606F" w:rsidRPr="007B5FB0" w:rsidRDefault="0099606F" w:rsidP="0099606F">
      <w:pPr>
        <w:pStyle w:val="VEOHRCListBullet"/>
        <w:rPr>
          <w:lang w:eastAsia="en-US"/>
        </w:rPr>
      </w:pPr>
      <w:r w:rsidRPr="007B5FB0">
        <w:rPr>
          <w:lang w:eastAsia="en-US"/>
        </w:rPr>
        <w:t xml:space="preserve">continuing to educate the community about the rights of carers under the </w:t>
      </w:r>
      <w:r w:rsidRPr="007B5FB0">
        <w:rPr>
          <w:i/>
          <w:lang w:eastAsia="en-US"/>
        </w:rPr>
        <w:t>Equal Opportunity Act</w:t>
      </w:r>
      <w:r w:rsidRPr="007B5FB0">
        <w:rPr>
          <w:lang w:eastAsia="en-US"/>
        </w:rPr>
        <w:t xml:space="preserve"> through our social media campaigns, project initiatives and training workshops </w:t>
      </w:r>
    </w:p>
    <w:p w14:paraId="79204177" w14:textId="77777777" w:rsidR="0099606F" w:rsidRPr="007B5FB0" w:rsidRDefault="0099606F" w:rsidP="0099606F">
      <w:pPr>
        <w:pStyle w:val="VEOHRCListBullet"/>
        <w:rPr>
          <w:lang w:eastAsia="en-US"/>
        </w:rPr>
      </w:pPr>
      <w:r w:rsidRPr="007B5FB0">
        <w:rPr>
          <w:lang w:eastAsia="en-US"/>
        </w:rPr>
        <w:t>providing a publicly available Enquiry Line for members of the public to make complaints about discrimination, including on the basis of their status as carer, as well as the opportunity to participate in dispute resolution at the Commission.</w:t>
      </w:r>
    </w:p>
    <w:p w14:paraId="657C7DD2" w14:textId="191DD20A" w:rsidR="0099606F" w:rsidRPr="007B5FB0" w:rsidRDefault="0099606F" w:rsidP="0099606F">
      <w:pPr>
        <w:pStyle w:val="VEOHRCBodytext"/>
        <w:rPr>
          <w:lang w:eastAsia="en-US"/>
        </w:rPr>
      </w:pPr>
      <w:r w:rsidRPr="007B5FB0">
        <w:rPr>
          <w:lang w:eastAsia="en-US"/>
        </w:rPr>
        <w:t>In 201</w:t>
      </w:r>
      <w:r w:rsidR="008D6268">
        <w:rPr>
          <w:lang w:eastAsia="en-US"/>
        </w:rPr>
        <w:t>7–</w:t>
      </w:r>
      <w:r w:rsidRPr="007B5FB0">
        <w:rPr>
          <w:lang w:eastAsia="en-US"/>
        </w:rPr>
        <w:t xml:space="preserve">18, the Commission received </w:t>
      </w:r>
      <w:r w:rsidRPr="007B5FB0">
        <w:t xml:space="preserve">92 </w:t>
      </w:r>
      <w:r w:rsidRPr="007B5FB0">
        <w:rPr>
          <w:lang w:eastAsia="en-US"/>
        </w:rPr>
        <w:t xml:space="preserve">complaints from the public for dispute resolution relating specifically to carer status as an attribute under the </w:t>
      </w:r>
      <w:r w:rsidRPr="007B5FB0">
        <w:rPr>
          <w:i/>
          <w:lang w:eastAsia="en-US"/>
        </w:rPr>
        <w:t>Equal Opportunity Act</w:t>
      </w:r>
      <w:r w:rsidRPr="007B5FB0">
        <w:rPr>
          <w:lang w:eastAsia="en-US"/>
        </w:rPr>
        <w:t>.  This was down by 14 complaints (13.2%) on the previous year.  The majority of these complaints are still in relation to employment.</w:t>
      </w:r>
    </w:p>
    <w:p w14:paraId="73F3CA69" w14:textId="76CEFADD" w:rsidR="0099606F" w:rsidRPr="007B5FB0" w:rsidRDefault="0099606F" w:rsidP="0099606F">
      <w:pPr>
        <w:pStyle w:val="VEOHRCBodytext"/>
        <w:rPr>
          <w:lang w:eastAsia="en-US"/>
        </w:rPr>
      </w:pPr>
      <w:bookmarkStart w:id="53" w:name="INDEX_OfficebasedenvironmentalRep"/>
      <w:bookmarkStart w:id="54" w:name="_Toc477967507"/>
      <w:r w:rsidRPr="007B5FB0">
        <w:rPr>
          <w:lang w:eastAsia="en-US"/>
        </w:rPr>
        <w:t>Internally, the Commission undertook the following for staff in 201</w:t>
      </w:r>
      <w:r w:rsidR="008D6268">
        <w:rPr>
          <w:lang w:eastAsia="en-US"/>
        </w:rPr>
        <w:t>7–</w:t>
      </w:r>
      <w:r w:rsidRPr="007B5FB0">
        <w:rPr>
          <w:lang w:eastAsia="en-US"/>
        </w:rPr>
        <w:t>18:</w:t>
      </w:r>
    </w:p>
    <w:p w14:paraId="6AA91846" w14:textId="274023C0" w:rsidR="0099606F" w:rsidRPr="007B5FB0" w:rsidRDefault="0099606F" w:rsidP="0099606F">
      <w:pPr>
        <w:pStyle w:val="VEOHRCListBullet"/>
        <w:rPr>
          <w:rFonts w:eastAsia="Arial Unicode MS"/>
          <w:lang w:eastAsia="en-US"/>
        </w:rPr>
      </w:pPr>
      <w:r w:rsidRPr="007B5FB0">
        <w:rPr>
          <w:rFonts w:eastAsia="Arial Unicode MS"/>
          <w:lang w:eastAsia="en-US"/>
        </w:rPr>
        <w:t xml:space="preserve">development of workplace Flexibility policy and toolkit </w:t>
      </w:r>
    </w:p>
    <w:p w14:paraId="741538A0" w14:textId="62A84A00" w:rsidR="0099606F" w:rsidRPr="007B5FB0" w:rsidRDefault="0099606F" w:rsidP="0099606F">
      <w:pPr>
        <w:pStyle w:val="VEOHRCListBullet"/>
        <w:rPr>
          <w:rFonts w:eastAsia="Arial Unicode MS"/>
          <w:lang w:eastAsia="en-US"/>
        </w:rPr>
      </w:pPr>
      <w:r w:rsidRPr="007B5FB0">
        <w:rPr>
          <w:rFonts w:eastAsia="Arial Unicode MS"/>
          <w:lang w:eastAsia="en-US"/>
        </w:rPr>
        <w:t>advertising all positions as 'flexible'</w:t>
      </w:r>
    </w:p>
    <w:p w14:paraId="6D2A5459" w14:textId="6D2BC640" w:rsidR="0099606F" w:rsidRPr="007B5FB0" w:rsidRDefault="0099606F" w:rsidP="0099606F">
      <w:pPr>
        <w:pStyle w:val="VEOHRCListBullet"/>
        <w:rPr>
          <w:rFonts w:eastAsia="Arial Unicode MS"/>
          <w:lang w:eastAsia="en-US"/>
        </w:rPr>
      </w:pPr>
      <w:r w:rsidRPr="007B5FB0">
        <w:rPr>
          <w:rFonts w:eastAsia="Arial Unicode MS"/>
          <w:lang w:eastAsia="en-US"/>
        </w:rPr>
        <w:lastRenderedPageBreak/>
        <w:t>enabling mobile working through the provision of personal and shared networked laptops</w:t>
      </w:r>
    </w:p>
    <w:p w14:paraId="0BF2CED9" w14:textId="77777777" w:rsidR="0099606F" w:rsidRPr="007B5FB0" w:rsidRDefault="0099606F" w:rsidP="0099606F">
      <w:pPr>
        <w:pStyle w:val="VEOHRCListBullet"/>
      </w:pPr>
      <w:r w:rsidRPr="007B5FB0">
        <w:rPr>
          <w:rFonts w:eastAsia="Arial Unicode MS"/>
          <w:lang w:eastAsia="en-US"/>
        </w:rPr>
        <w:t>enhancements to our facilities for breastfeeding/expressing and for employees who need to bring children into work.</w:t>
      </w:r>
    </w:p>
    <w:p w14:paraId="7CF61FB0" w14:textId="77777777" w:rsidR="0099606F" w:rsidRPr="007B5FB0" w:rsidRDefault="0099606F" w:rsidP="0099606F">
      <w:pPr>
        <w:pStyle w:val="VEOHRCHeading1"/>
      </w:pPr>
      <w:bookmarkStart w:id="55" w:name="_Toc524536493"/>
      <w:r w:rsidRPr="007B5FB0">
        <w:t>Freedom of information</w:t>
      </w:r>
      <w:bookmarkEnd w:id="55"/>
    </w:p>
    <w:p w14:paraId="092AA05F" w14:textId="77777777" w:rsidR="0099606F" w:rsidRPr="007B5FB0" w:rsidRDefault="0099606F" w:rsidP="0099606F">
      <w:pPr>
        <w:pStyle w:val="VEOHRCBodytext"/>
        <w:rPr>
          <w:lang w:eastAsia="en-US"/>
        </w:rPr>
      </w:pPr>
      <w:r w:rsidRPr="007B5FB0">
        <w:rPr>
          <w:lang w:eastAsia="en-US"/>
        </w:rPr>
        <w:t xml:space="preserve">Victoria’s </w:t>
      </w:r>
      <w:r w:rsidRPr="007B5FB0">
        <w:rPr>
          <w:i/>
          <w:lang w:eastAsia="en-US"/>
        </w:rPr>
        <w:t>Freedom of Information Act 1982</w:t>
      </w:r>
      <w:r w:rsidRPr="007B5FB0">
        <w:rPr>
          <w:lang w:eastAsia="en-US"/>
        </w:rPr>
        <w:t xml:space="preserve"> (FOI Act) gives members of the public the right to apply for access to information held by ministers, state government departments, local councils, public hospitals, most semi–government agencies and statutory authorities.</w:t>
      </w:r>
    </w:p>
    <w:p w14:paraId="435712AF" w14:textId="77777777" w:rsidR="0099606F" w:rsidRPr="007B5FB0" w:rsidRDefault="0099606F" w:rsidP="0099606F">
      <w:pPr>
        <w:pStyle w:val="VEOHRCBodytext"/>
        <w:rPr>
          <w:lang w:eastAsia="en-US"/>
        </w:rPr>
      </w:pPr>
      <w:r w:rsidRPr="007B5FB0">
        <w:rPr>
          <w:lang w:eastAsia="en-US"/>
        </w:rPr>
        <w:t>The FOI Act allows people to apply for access to documents held by an agency, including documents containing their personal information, irrespective of how the documentation is stored. This includes paper and electronic documents. The two main categories of requests the Commission receives under the FOI Act are individuals asking for documents containing their own personal information, or documents relating to the activities of the Commission.</w:t>
      </w:r>
    </w:p>
    <w:p w14:paraId="7E74A9EC" w14:textId="77777777" w:rsidR="0099606F" w:rsidRPr="007B5FB0" w:rsidRDefault="0099606F" w:rsidP="0099606F">
      <w:pPr>
        <w:pStyle w:val="VEOHRCBodytext"/>
        <w:rPr>
          <w:lang w:eastAsia="en-US"/>
        </w:rPr>
      </w:pPr>
      <w:r w:rsidRPr="007B5FB0">
        <w:rPr>
          <w:lang w:eastAsia="en-US"/>
        </w:rPr>
        <w:t xml:space="preserve">The Commission maintains a filing system in paper form and on an electronic document management system. Files stored by the Commission can be broadly categorised as personnel files, procedure and policy, project files, operational and administrative responsibilities, and general correspondence files. Certain documents are destroyed or transferred to the Public Records Office in accordance with the </w:t>
      </w:r>
      <w:r w:rsidRPr="007B5FB0">
        <w:rPr>
          <w:i/>
          <w:lang w:eastAsia="en-US"/>
        </w:rPr>
        <w:t>Public Records Act 1973</w:t>
      </w:r>
      <w:r w:rsidRPr="007B5FB0">
        <w:rPr>
          <w:lang w:eastAsia="en-US"/>
        </w:rPr>
        <w:t>.</w:t>
      </w:r>
    </w:p>
    <w:p w14:paraId="5CA7C795" w14:textId="77777777" w:rsidR="0099606F" w:rsidRPr="007B5FB0" w:rsidRDefault="0099606F" w:rsidP="0099606F">
      <w:pPr>
        <w:pStyle w:val="VEOHRCBodytext"/>
        <w:rPr>
          <w:lang w:eastAsia="en-US"/>
        </w:rPr>
      </w:pPr>
      <w:r w:rsidRPr="007B5FB0">
        <w:rPr>
          <w:lang w:eastAsia="en-US"/>
        </w:rPr>
        <w:t xml:space="preserve">The Commission has published a statement on its website described as a “Part II Information Statement” which is a snapshot of the types of documents held by the Commission, an outline of what the Commission does and how a person can access the information they require. For example, most of the Commission’s documents relating to its activities and decision-making are publicly available on our website. </w:t>
      </w:r>
    </w:p>
    <w:p w14:paraId="2BA07AEB" w14:textId="77777777" w:rsidR="0099606F" w:rsidRPr="007B5FB0" w:rsidRDefault="0099606F" w:rsidP="0099606F">
      <w:pPr>
        <w:pStyle w:val="VEOHRCBodytext"/>
        <w:rPr>
          <w:lang w:eastAsia="en-US"/>
        </w:rPr>
      </w:pPr>
      <w:r w:rsidRPr="007B5FB0">
        <w:rPr>
          <w:lang w:eastAsia="en-US"/>
        </w:rPr>
        <w:t>However, a person may make a request to the Commission under section 17 of the FOI Act for access to documents which are not publicly available.</w:t>
      </w:r>
    </w:p>
    <w:p w14:paraId="46985067" w14:textId="77777777" w:rsidR="0099606F" w:rsidRPr="007B5FB0" w:rsidRDefault="0099606F" w:rsidP="0099606F">
      <w:pPr>
        <w:pStyle w:val="VEOHRCHeading3"/>
        <w:rPr>
          <w:lang w:eastAsia="en-US"/>
        </w:rPr>
      </w:pPr>
      <w:r w:rsidRPr="007B5FB0">
        <w:rPr>
          <w:lang w:eastAsia="en-US"/>
        </w:rPr>
        <w:t xml:space="preserve">What happens when I make a request under section 17 of the </w:t>
      </w:r>
      <w:r w:rsidRPr="007B5FB0">
        <w:rPr>
          <w:i/>
          <w:lang w:eastAsia="en-US"/>
        </w:rPr>
        <w:t>FOI Act</w:t>
      </w:r>
      <w:r w:rsidRPr="007B5FB0">
        <w:rPr>
          <w:lang w:eastAsia="en-US"/>
        </w:rPr>
        <w:t>?</w:t>
      </w:r>
    </w:p>
    <w:p w14:paraId="5C5160C0" w14:textId="77777777" w:rsidR="0099606F" w:rsidRPr="007B5FB0" w:rsidRDefault="0099606F" w:rsidP="0099606F">
      <w:pPr>
        <w:pStyle w:val="VEOHRCBodytext"/>
        <w:rPr>
          <w:lang w:eastAsia="en-US"/>
        </w:rPr>
      </w:pPr>
      <w:r w:rsidRPr="007B5FB0">
        <w:rPr>
          <w:lang w:eastAsia="en-US"/>
        </w:rPr>
        <w:t>When a document request is received, the Commission’s FOI Officer completes an assessment of the request to ascertain if the request is for information that can be released to the person administratively without requiring a valid FOI request. Where possible, the Commission provides information administratively without requiring an FOI request or fee.</w:t>
      </w:r>
    </w:p>
    <w:p w14:paraId="38F97DB7" w14:textId="77777777" w:rsidR="0099606F" w:rsidRPr="007B5FB0" w:rsidRDefault="0099606F" w:rsidP="0099606F">
      <w:pPr>
        <w:pStyle w:val="VEOHRCBodytext"/>
        <w:rPr>
          <w:lang w:eastAsia="en-US"/>
        </w:rPr>
      </w:pPr>
      <w:r w:rsidRPr="007B5FB0">
        <w:rPr>
          <w:lang w:eastAsia="en-US"/>
        </w:rPr>
        <w:t>If it is not appropriate to release a document or documents administratively, the FOI Officer will assess whether the FOI request is valid under section 17 of the FOI Act. If so, the FOI Officer will conduct a search for documents requested and if they exist, assess whether they are suitable for release or whether any material requested is exempt from release under the FOI Act.</w:t>
      </w:r>
    </w:p>
    <w:p w14:paraId="5658B8C2" w14:textId="77777777" w:rsidR="0099606F" w:rsidRPr="007B5FB0" w:rsidRDefault="0099606F" w:rsidP="0099606F">
      <w:pPr>
        <w:pStyle w:val="VEOHRCBodytext"/>
        <w:rPr>
          <w:lang w:eastAsia="en-US"/>
        </w:rPr>
      </w:pPr>
      <w:r w:rsidRPr="007B5FB0">
        <w:rPr>
          <w:lang w:eastAsia="en-US"/>
        </w:rPr>
        <w:t>The FOI Act outlines general categories of information that are exempt. They include, among others, information relating to the personal or business affairs of third parties, information provided in confidence, documents affecting legal proceedings, information which if released might endanger the lives or physical safety of individuals, cabinet documents and internal working documents, the release of which would be contrary to the public interest.</w:t>
      </w:r>
    </w:p>
    <w:p w14:paraId="24B4DE2B" w14:textId="77777777" w:rsidR="0099606F" w:rsidRPr="007B5FB0" w:rsidRDefault="0099606F" w:rsidP="0099606F">
      <w:pPr>
        <w:pStyle w:val="VEOHRCBodytext"/>
        <w:rPr>
          <w:i/>
          <w:lang w:eastAsia="en-US"/>
        </w:rPr>
      </w:pPr>
      <w:r w:rsidRPr="007B5FB0">
        <w:rPr>
          <w:lang w:eastAsia="en-US"/>
        </w:rPr>
        <w:lastRenderedPageBreak/>
        <w:t xml:space="preserve">The Commission is also subject to a secrecy provision in the </w:t>
      </w:r>
      <w:r w:rsidRPr="007B5FB0">
        <w:rPr>
          <w:i/>
          <w:lang w:eastAsia="en-US"/>
        </w:rPr>
        <w:t xml:space="preserve">Equal Opportunity Act 2010 </w:t>
      </w:r>
      <w:r w:rsidRPr="007B5FB0">
        <w:rPr>
          <w:lang w:eastAsia="en-US"/>
        </w:rPr>
        <w:t>which is an exemption under the FOI Act. This means, broadly speaking, that the Commission cannot release information relating to the affairs of any person without their consent, where that information was obtained by the Commission in the course of performing its functions under the Equal Opportunity Act</w:t>
      </w:r>
      <w:r w:rsidRPr="007B5FB0">
        <w:rPr>
          <w:i/>
          <w:lang w:eastAsia="en-US"/>
        </w:rPr>
        <w:t>.</w:t>
      </w:r>
    </w:p>
    <w:p w14:paraId="49BBDC7B" w14:textId="77777777" w:rsidR="0099606F" w:rsidRPr="007B5FB0" w:rsidRDefault="0099606F" w:rsidP="0099606F">
      <w:pPr>
        <w:pStyle w:val="VEOHRCHeading3"/>
        <w:rPr>
          <w:lang w:eastAsia="en-US"/>
        </w:rPr>
      </w:pPr>
      <w:r w:rsidRPr="007B5FB0">
        <w:rPr>
          <w:lang w:eastAsia="en-US"/>
        </w:rPr>
        <w:t>Lodging an FOI Request with the Commission</w:t>
      </w:r>
    </w:p>
    <w:p w14:paraId="470631C0" w14:textId="77777777" w:rsidR="0099606F" w:rsidRPr="007B5FB0" w:rsidRDefault="0099606F" w:rsidP="0099606F">
      <w:pPr>
        <w:pStyle w:val="VEOHRCBodytext"/>
        <w:rPr>
          <w:lang w:eastAsia="en-US"/>
        </w:rPr>
      </w:pPr>
      <w:r w:rsidRPr="007B5FB0">
        <w:rPr>
          <w:lang w:eastAsia="en-US"/>
        </w:rPr>
        <w:t>A request must be made in writing and should be addressed to the Freedom of Information Officer either by post or email:</w:t>
      </w:r>
    </w:p>
    <w:p w14:paraId="53AF6F23" w14:textId="77777777" w:rsidR="0099606F" w:rsidRPr="007B5FB0" w:rsidRDefault="0099606F" w:rsidP="0099606F">
      <w:pPr>
        <w:pStyle w:val="VEOHRCBodytext"/>
        <w:rPr>
          <w:lang w:eastAsia="en-US"/>
        </w:rPr>
      </w:pPr>
      <w:r w:rsidRPr="007B5FB0">
        <w:rPr>
          <w:lang w:eastAsia="en-US"/>
        </w:rPr>
        <w:t xml:space="preserve">Victorian Equal Opportunity and Human Rights Commission </w:t>
      </w:r>
      <w:r>
        <w:rPr>
          <w:lang w:eastAsia="en-US"/>
        </w:rPr>
        <w:br/>
      </w:r>
      <w:r w:rsidRPr="007B5FB0">
        <w:rPr>
          <w:lang w:eastAsia="en-US"/>
        </w:rPr>
        <w:t xml:space="preserve">Level 3, 204 Lygon Street Carlton, Vic 3053 </w:t>
      </w:r>
      <w:r>
        <w:rPr>
          <w:lang w:eastAsia="en-US"/>
        </w:rPr>
        <w:br/>
      </w:r>
      <w:r w:rsidRPr="007B5FB0">
        <w:rPr>
          <w:lang w:eastAsia="en-US"/>
        </w:rPr>
        <w:t xml:space="preserve">foi@veohrc.vic.gov.au </w:t>
      </w:r>
    </w:p>
    <w:p w14:paraId="0C476A22" w14:textId="77777777" w:rsidR="0099606F" w:rsidRPr="007B5FB0" w:rsidRDefault="0099606F" w:rsidP="0099606F">
      <w:pPr>
        <w:pStyle w:val="VEOHRCBodytext"/>
        <w:rPr>
          <w:lang w:eastAsia="en-US"/>
        </w:rPr>
      </w:pPr>
      <w:r w:rsidRPr="007B5FB0">
        <w:rPr>
          <w:lang w:eastAsia="en-US"/>
        </w:rPr>
        <w:t xml:space="preserve">An FOI request must be specific enough to allow an agency to identify documents considered relevant to a request. Where the terms of a request are vague, assistance will be provided to applicants to help determine the type of documentation being sought. </w:t>
      </w:r>
    </w:p>
    <w:p w14:paraId="2ABF5AB7" w14:textId="70BC1954" w:rsidR="0099606F" w:rsidRPr="007B5FB0" w:rsidRDefault="0099606F" w:rsidP="0099606F">
      <w:pPr>
        <w:pStyle w:val="VEOHRCBodytext"/>
        <w:rPr>
          <w:lang w:eastAsia="en-US"/>
        </w:rPr>
      </w:pPr>
      <w:r w:rsidRPr="007B5FB0">
        <w:rPr>
          <w:lang w:eastAsia="en-US"/>
        </w:rPr>
        <w:t>All FOI requests are subject to an application fee. In the 201</w:t>
      </w:r>
      <w:r w:rsidR="008D6268">
        <w:rPr>
          <w:lang w:eastAsia="en-US"/>
        </w:rPr>
        <w:t>7–</w:t>
      </w:r>
      <w:r w:rsidRPr="007B5FB0">
        <w:rPr>
          <w:lang w:eastAsia="en-US"/>
        </w:rPr>
        <w:t xml:space="preserve">18 financial year, the FOI application fee was $28.40, but as from 1 July 2018 this fee was raised to $28.90. The application fee may be waived in cases where payment would cause an applicant financial hardship. Where an applicant seeks a waiver of this fee, the request should indicate the grounds on which a waiver is being sought (for example, low income or holder of Commonwealth Health Care Card). </w:t>
      </w:r>
    </w:p>
    <w:p w14:paraId="0A07F972" w14:textId="77777777" w:rsidR="0099606F" w:rsidRPr="007B5FB0" w:rsidRDefault="0099606F" w:rsidP="0099606F">
      <w:pPr>
        <w:pStyle w:val="VEOHRCHeading3"/>
        <w:rPr>
          <w:lang w:eastAsia="en-US"/>
        </w:rPr>
      </w:pPr>
      <w:r w:rsidRPr="007B5FB0">
        <w:rPr>
          <w:lang w:eastAsia="en-US"/>
        </w:rPr>
        <w:t>FOI statistics/timeliness</w:t>
      </w:r>
    </w:p>
    <w:p w14:paraId="6EF95185" w14:textId="27E992FB" w:rsidR="0099606F" w:rsidRPr="007B5FB0" w:rsidRDefault="0099606F" w:rsidP="0099606F">
      <w:pPr>
        <w:pStyle w:val="VEOHRCBodytext"/>
        <w:rPr>
          <w:lang w:eastAsia="en-US"/>
        </w:rPr>
      </w:pPr>
      <w:r w:rsidRPr="007B5FB0">
        <w:rPr>
          <w:lang w:eastAsia="en-US"/>
        </w:rPr>
        <w:t>The Commission received one formal FOI request which proceeded to consultation before it was finalised during 201</w:t>
      </w:r>
      <w:r w:rsidR="008D6268">
        <w:rPr>
          <w:lang w:eastAsia="en-US"/>
        </w:rPr>
        <w:t>7–</w:t>
      </w:r>
      <w:r w:rsidRPr="007B5FB0">
        <w:rPr>
          <w:lang w:eastAsia="en-US"/>
        </w:rPr>
        <w:t>18.  There was one other request for consultation from another agency, in relation to a FOI request received by that other agency.  There were no other enquiries under the FOI Act received in 201</w:t>
      </w:r>
      <w:r w:rsidR="008D6268">
        <w:rPr>
          <w:lang w:eastAsia="en-US"/>
        </w:rPr>
        <w:t>7–</w:t>
      </w:r>
      <w:r w:rsidRPr="007B5FB0">
        <w:rPr>
          <w:lang w:eastAsia="en-US"/>
        </w:rPr>
        <w:t>18, nor were there any outstanding FOI matters from the previous year.</w:t>
      </w:r>
    </w:p>
    <w:p w14:paraId="6DB9439D" w14:textId="77777777" w:rsidR="0099606F" w:rsidRPr="007B5FB0" w:rsidRDefault="0099606F" w:rsidP="0099606F">
      <w:pPr>
        <w:pStyle w:val="VEOHRCBodytext"/>
        <w:rPr>
          <w:lang w:eastAsia="en-US"/>
        </w:rPr>
      </w:pPr>
      <w:r w:rsidRPr="007B5FB0">
        <w:rPr>
          <w:lang w:eastAsia="en-US"/>
        </w:rPr>
        <w:t>There were no complaints to the Information Commissioner about a FOI decision, no applications for review by the Information Commissioner and no applications to the Victorian Civil and Administrative Tribunal.</w:t>
      </w:r>
    </w:p>
    <w:p w14:paraId="7763D83D" w14:textId="77777777" w:rsidR="0099606F" w:rsidRPr="007B5FB0" w:rsidRDefault="0099606F" w:rsidP="0099606F">
      <w:pPr>
        <w:pStyle w:val="VEOHRCHeading3"/>
        <w:rPr>
          <w:rFonts w:eastAsia="Arial Unicode MS"/>
          <w:lang w:eastAsia="en-US"/>
        </w:rPr>
      </w:pPr>
      <w:r w:rsidRPr="007B5FB0">
        <w:rPr>
          <w:rFonts w:eastAsia="Arial Unicode MS"/>
          <w:lang w:eastAsia="en-US"/>
        </w:rPr>
        <w:t>Further information</w:t>
      </w:r>
    </w:p>
    <w:p w14:paraId="4C6BA641" w14:textId="77777777" w:rsidR="0099606F" w:rsidRPr="007B5FB0" w:rsidRDefault="0099606F" w:rsidP="0099606F">
      <w:pPr>
        <w:pStyle w:val="VEOHRCBodytext"/>
        <w:rPr>
          <w:lang w:eastAsia="en-US"/>
        </w:rPr>
      </w:pPr>
      <w:bookmarkStart w:id="56" w:name="INDEX_BuildingAct"/>
      <w:bookmarkStart w:id="57" w:name="_Toc477967503"/>
      <w:r w:rsidRPr="007B5FB0">
        <w:t xml:space="preserve">Further information on current charges (including access charges) is available online at </w:t>
      </w:r>
      <w:r w:rsidRPr="007B5FB0">
        <w:rPr>
          <w:rFonts w:cs="ArialMT"/>
          <w:color w:val="0000FF"/>
          <w:szCs w:val="19"/>
        </w:rPr>
        <w:t>www.foi.vic.gov.au</w:t>
      </w:r>
      <w:r w:rsidRPr="007B5FB0">
        <w:rPr>
          <w:lang w:eastAsia="en-US"/>
        </w:rPr>
        <w:t>. It should be noted that, under certain circumstances, some of these charges can be waived.</w:t>
      </w:r>
    </w:p>
    <w:p w14:paraId="58D5DC76" w14:textId="77777777" w:rsidR="0099606F" w:rsidRPr="007B5FB0" w:rsidRDefault="0099606F" w:rsidP="0099606F">
      <w:pPr>
        <w:pStyle w:val="VEOHRCBodytext"/>
        <w:rPr>
          <w:lang w:eastAsia="en-US"/>
        </w:rPr>
      </w:pPr>
      <w:r w:rsidRPr="007B5FB0">
        <w:rPr>
          <w:lang w:eastAsia="en-US"/>
        </w:rPr>
        <w:t xml:space="preserve">Further information on making a request to the Commission can be found on our website </w:t>
      </w:r>
      <w:r w:rsidRPr="007B5FB0">
        <w:rPr>
          <w:rFonts w:cs="ArialMT"/>
          <w:color w:val="0000FF"/>
          <w:szCs w:val="19"/>
        </w:rPr>
        <w:t>humanrightscommission.vic.gov.au/index.php/about-us/freedom-of-information</w:t>
      </w:r>
      <w:r w:rsidRPr="007B5FB0">
        <w:rPr>
          <w:lang w:eastAsia="en-US"/>
        </w:rPr>
        <w:t>.</w:t>
      </w:r>
    </w:p>
    <w:p w14:paraId="1F777455" w14:textId="77777777" w:rsidR="0099606F" w:rsidRPr="007B5FB0" w:rsidRDefault="0099606F" w:rsidP="0099606F">
      <w:pPr>
        <w:pStyle w:val="VEOHRCHeading1"/>
      </w:pPr>
      <w:bookmarkStart w:id="58" w:name="INDEX_VIPP"/>
      <w:bookmarkStart w:id="59" w:name="_Toc524536494"/>
      <w:bookmarkEnd w:id="56"/>
      <w:bookmarkEnd w:id="57"/>
      <w:r w:rsidRPr="007B5FB0">
        <w:t xml:space="preserve">Local </w:t>
      </w:r>
      <w:bookmarkEnd w:id="58"/>
      <w:r w:rsidRPr="007B5FB0">
        <w:t>Jobs First – Victorian Industry Participation Policy</w:t>
      </w:r>
      <w:bookmarkEnd w:id="59"/>
    </w:p>
    <w:p w14:paraId="44B6B613" w14:textId="77777777" w:rsidR="0099606F" w:rsidRPr="007B5FB0" w:rsidRDefault="0099606F" w:rsidP="0099606F">
      <w:pPr>
        <w:pStyle w:val="VEOHRCBodytext"/>
      </w:pPr>
      <w:r w:rsidRPr="007B5FB0">
        <w:t xml:space="preserve">The </w:t>
      </w:r>
      <w:r w:rsidRPr="007B5FB0">
        <w:rPr>
          <w:i/>
        </w:rPr>
        <w:t xml:space="preserve">Victorian Industry Participation Policy Act 2003 </w:t>
      </w:r>
      <w:r w:rsidRPr="007B5FB0">
        <w:t>requires public sector bodies to report on the implementation of the Local Jobs First – Victorian Industry Participation Policy (Local Jobs First – VIPP). Public sector bodies are required to apply the Local Jobs First – VIPP in all procurement activities valued at $3 million or more in metropolitan Melbourne and for statewide projects, or $1 million or more for procurement activities in regional Victoria.</w:t>
      </w:r>
    </w:p>
    <w:p w14:paraId="3073BE89" w14:textId="2BD67BE9" w:rsidR="0099606F" w:rsidRPr="007B5FB0" w:rsidRDefault="0099606F" w:rsidP="0099606F">
      <w:pPr>
        <w:pStyle w:val="VEOHRCBodytext"/>
      </w:pPr>
      <w:r w:rsidRPr="007B5FB0">
        <w:lastRenderedPageBreak/>
        <w:t>The Commission is aware of VIPP requirements, but during 201</w:t>
      </w:r>
      <w:r w:rsidR="008D6268">
        <w:t>7–</w:t>
      </w:r>
      <w:r w:rsidRPr="007B5FB0">
        <w:t>18 the Commission had no metropolitan Melbourne projects valued at &gt;$3 million, nor any regional Victorian projects at &gt;$1 million.  Therefore the VIPP does not apply to any VEOHRC projects or procurements.</w:t>
      </w:r>
    </w:p>
    <w:p w14:paraId="63615A1F" w14:textId="77777777" w:rsidR="0099606F" w:rsidRPr="007B5FB0" w:rsidRDefault="0099606F" w:rsidP="0099606F">
      <w:pPr>
        <w:pStyle w:val="VEOHRCHeading1"/>
      </w:pPr>
      <w:bookmarkStart w:id="60" w:name="_Toc524536495"/>
      <w:r w:rsidRPr="007B5FB0">
        <w:t xml:space="preserve">Compliance with the </w:t>
      </w:r>
      <w:r w:rsidRPr="007B5FB0">
        <w:rPr>
          <w:i/>
        </w:rPr>
        <w:t>Disability Act 2006</w:t>
      </w:r>
      <w:bookmarkEnd w:id="60"/>
    </w:p>
    <w:p w14:paraId="28CB34A0" w14:textId="77777777" w:rsidR="0099606F" w:rsidRPr="007B5FB0" w:rsidRDefault="0099606F" w:rsidP="0099606F">
      <w:pPr>
        <w:pStyle w:val="VEOHRCBodytext"/>
      </w:pPr>
      <w:r w:rsidRPr="007B5FB0">
        <w:t xml:space="preserve">The </w:t>
      </w:r>
      <w:r w:rsidRPr="007B5FB0">
        <w:rPr>
          <w:i/>
        </w:rPr>
        <w:t>Disability Act 2006</w:t>
      </w:r>
      <w:r w:rsidRPr="007B5FB0">
        <w:t xml:space="preserve"> reaffirms and strengthens the rights of people with a disability and recognises that this requires support across the government sector and within the community. </w:t>
      </w:r>
    </w:p>
    <w:p w14:paraId="16AE9E0B" w14:textId="77777777" w:rsidR="0099606F" w:rsidRPr="007B5FB0" w:rsidRDefault="0099606F" w:rsidP="0099606F">
      <w:pPr>
        <w:pStyle w:val="VEOHRCBodytext"/>
      </w:pPr>
      <w:r w:rsidRPr="007B5FB0">
        <w:t xml:space="preserve">The Disability Act requires that public sector bodies prepare a disability action plan and report on its implementation in their annual report.  A disability action plan is a strategic plan which helps an organisation remove barriers that prevent people with a disability from using the organisation’s goods, services and facilities, and from gaining and keeping employment. Disability action planning also strives to promote inclusion and participation in the community, and achieve changes in attitudes and practices that may result in discrimination. </w:t>
      </w:r>
    </w:p>
    <w:p w14:paraId="43F1BD26" w14:textId="245CE1D1" w:rsidR="0099606F" w:rsidRPr="007B5FB0" w:rsidRDefault="0099606F" w:rsidP="0099606F">
      <w:pPr>
        <w:pStyle w:val="VEOHRCBodytext"/>
      </w:pPr>
      <w:r w:rsidRPr="007B5FB0">
        <w:t>During the 201</w:t>
      </w:r>
      <w:r w:rsidR="008D6268">
        <w:t>7–</w:t>
      </w:r>
      <w:r w:rsidRPr="007B5FB0">
        <w:t>18 financial year, the Commission commenced work to review its previous Disability Action Plan 2015-2017.  The timeframe of the previous plan was extended for one further year (to cater for 201</w:t>
      </w:r>
      <w:r w:rsidR="008D6268">
        <w:t>7–</w:t>
      </w:r>
      <w:r w:rsidRPr="007B5FB0">
        <w:t>18), while a new version is developed.</w:t>
      </w:r>
    </w:p>
    <w:p w14:paraId="2BF23AA4" w14:textId="77777777" w:rsidR="0099606F" w:rsidRPr="007B5FB0" w:rsidRDefault="0099606F" w:rsidP="0099606F">
      <w:pPr>
        <w:pStyle w:val="VEOHRCHeading1"/>
      </w:pPr>
      <w:bookmarkStart w:id="61" w:name="_Toc524536496"/>
      <w:r w:rsidRPr="007B5FB0">
        <w:t>Additional Commission information available on request</w:t>
      </w:r>
      <w:bookmarkEnd w:id="61"/>
      <w:r w:rsidRPr="007B5FB0">
        <w:t xml:space="preserve"> </w:t>
      </w:r>
    </w:p>
    <w:p w14:paraId="06C06545" w14:textId="77777777" w:rsidR="0099606F" w:rsidRPr="007B5FB0" w:rsidRDefault="0099606F" w:rsidP="0099606F">
      <w:pPr>
        <w:pStyle w:val="VEOHRCBodytext"/>
      </w:pPr>
      <w:r w:rsidRPr="007B5FB0">
        <w:t xml:space="preserve">In compliance with the requirements of the Standing Directions of the Minister for Finance, details in respect of the items listed below have been retained by the Commission and are available on request, subject to the provisions of the </w:t>
      </w:r>
      <w:r w:rsidRPr="007B5FB0">
        <w:rPr>
          <w:i/>
        </w:rPr>
        <w:t>Freedom of Information Act 1982</w:t>
      </w:r>
      <w:r w:rsidRPr="007B5FB0">
        <w:t>.</w:t>
      </w:r>
    </w:p>
    <w:p w14:paraId="1DF9CAAE" w14:textId="59E5BA91" w:rsidR="0099606F" w:rsidRPr="007B5FB0" w:rsidRDefault="0099606F" w:rsidP="0099606F">
      <w:pPr>
        <w:pStyle w:val="VEOHRCletterlist"/>
        <w:rPr>
          <w:rFonts w:eastAsia="Calibri"/>
        </w:rPr>
      </w:pPr>
      <w:r w:rsidRPr="007B5FB0">
        <w:rPr>
          <w:rFonts w:eastAsia="Calibri"/>
        </w:rPr>
        <w:t>declarations of pecuniary interests that have been duly completed by all relevant officers of the Commission</w:t>
      </w:r>
    </w:p>
    <w:p w14:paraId="12E13B0C" w14:textId="5D332278" w:rsidR="0099606F" w:rsidRPr="007B5FB0" w:rsidRDefault="0099606F" w:rsidP="0099606F">
      <w:pPr>
        <w:pStyle w:val="VEOHRCletterlist"/>
        <w:rPr>
          <w:rFonts w:eastAsia="Calibri"/>
        </w:rPr>
      </w:pPr>
      <w:r w:rsidRPr="007B5FB0">
        <w:rPr>
          <w:rFonts w:eastAsia="Calibri"/>
        </w:rPr>
        <w:t>details of shares held by senior officers of the Commission as nominee or held beneficially in a statutory authority or subsidiary</w:t>
      </w:r>
    </w:p>
    <w:p w14:paraId="65A2F9EC" w14:textId="77777777" w:rsidR="0099606F" w:rsidRPr="007B5FB0" w:rsidRDefault="0099606F" w:rsidP="0099606F">
      <w:pPr>
        <w:pStyle w:val="VEOHRCletterlist"/>
        <w:rPr>
          <w:rFonts w:eastAsia="Calibri"/>
        </w:rPr>
      </w:pPr>
      <w:r w:rsidRPr="007B5FB0">
        <w:rPr>
          <w:rFonts w:eastAsia="Calibri"/>
        </w:rPr>
        <w:t>details of all consultancies and contractors including:</w:t>
      </w:r>
    </w:p>
    <w:p w14:paraId="385AC646" w14:textId="0DBE2E9D" w:rsidR="0099606F" w:rsidRPr="00073FE6" w:rsidRDefault="0099606F" w:rsidP="0099606F">
      <w:pPr>
        <w:pStyle w:val="VEOHRCListBullet2ndlevel"/>
        <w:tabs>
          <w:tab w:val="clear" w:pos="720"/>
          <w:tab w:val="num" w:pos="1440"/>
        </w:tabs>
        <w:ind w:left="1440"/>
        <w:rPr>
          <w:rFonts w:eastAsia="Calibri"/>
        </w:rPr>
      </w:pPr>
      <w:r w:rsidRPr="00073FE6">
        <w:rPr>
          <w:rFonts w:eastAsia="Calibri"/>
        </w:rPr>
        <w:t xml:space="preserve">consultants/contractors engaged </w:t>
      </w:r>
    </w:p>
    <w:p w14:paraId="0D7548B8" w14:textId="540EE86B" w:rsidR="0099606F" w:rsidRPr="00073FE6" w:rsidRDefault="0099606F" w:rsidP="0099606F">
      <w:pPr>
        <w:pStyle w:val="VEOHRCListBullet2ndlevel"/>
        <w:tabs>
          <w:tab w:val="clear" w:pos="720"/>
          <w:tab w:val="num" w:pos="1440"/>
        </w:tabs>
        <w:ind w:left="1440"/>
        <w:rPr>
          <w:rFonts w:eastAsia="Calibri"/>
        </w:rPr>
      </w:pPr>
      <w:r w:rsidRPr="00073FE6">
        <w:rPr>
          <w:rFonts w:eastAsia="Calibri"/>
        </w:rPr>
        <w:t>services provided</w:t>
      </w:r>
    </w:p>
    <w:p w14:paraId="677373CA" w14:textId="08BC8A25" w:rsidR="0099606F" w:rsidRPr="00073FE6" w:rsidRDefault="0099606F" w:rsidP="0099606F">
      <w:pPr>
        <w:pStyle w:val="VEOHRCListBullet2ndlevel"/>
        <w:tabs>
          <w:tab w:val="clear" w:pos="720"/>
          <w:tab w:val="num" w:pos="1440"/>
        </w:tabs>
        <w:ind w:left="1440"/>
        <w:rPr>
          <w:rFonts w:eastAsia="Calibri"/>
        </w:rPr>
      </w:pPr>
      <w:r w:rsidRPr="00073FE6">
        <w:rPr>
          <w:rFonts w:eastAsia="Calibri"/>
        </w:rPr>
        <w:t>expenditure committed to for each engagement</w:t>
      </w:r>
      <w:r w:rsidR="00A15A01">
        <w:rPr>
          <w:rFonts w:eastAsia="Calibri"/>
        </w:rPr>
        <w:t>.</w:t>
      </w:r>
    </w:p>
    <w:p w14:paraId="532DE805" w14:textId="77777777" w:rsidR="0099606F" w:rsidRPr="007B5FB0" w:rsidRDefault="0099606F" w:rsidP="0099606F">
      <w:pPr>
        <w:spacing w:before="120" w:after="120"/>
        <w:ind w:right="-284"/>
      </w:pPr>
      <w:r w:rsidRPr="007B5FB0">
        <w:t xml:space="preserve">The information is available on request from </w:t>
      </w:r>
      <w:r w:rsidRPr="007B5FB0">
        <w:rPr>
          <w:rFonts w:cs="ArialMT"/>
          <w:color w:val="0000FF"/>
          <w:szCs w:val="19"/>
          <w:lang w:val="en-GB" w:eastAsia="en-US"/>
        </w:rPr>
        <w:t>foi@veohrc.vic.gov.au</w:t>
      </w:r>
      <w:r w:rsidRPr="007B5FB0">
        <w:rPr>
          <w:lang w:eastAsia="en-US"/>
        </w:rPr>
        <w:t>.</w:t>
      </w:r>
    </w:p>
    <w:p w14:paraId="232AE747" w14:textId="77777777" w:rsidR="0099606F" w:rsidRPr="007B5FB0" w:rsidRDefault="0099606F" w:rsidP="0099606F">
      <w:pPr>
        <w:pStyle w:val="VEOHRCHeading1"/>
      </w:pPr>
      <w:bookmarkStart w:id="62" w:name="_Toc524536497"/>
      <w:r w:rsidRPr="007B5FB0">
        <w:t xml:space="preserve">Office </w:t>
      </w:r>
      <w:bookmarkEnd w:id="53"/>
      <w:r w:rsidRPr="007B5FB0">
        <w:t>based environmental impacts</w:t>
      </w:r>
      <w:bookmarkEnd w:id="54"/>
      <w:bookmarkEnd w:id="62"/>
    </w:p>
    <w:p w14:paraId="3FF75201" w14:textId="03659E20" w:rsidR="0099606F" w:rsidRPr="007B5FB0" w:rsidRDefault="0099606F" w:rsidP="0099606F">
      <w:pPr>
        <w:pStyle w:val="VEOHRCBodytext"/>
      </w:pPr>
      <w:r w:rsidRPr="007B5FB0">
        <w:t>The Commission is committed to minimising its environmental impact, and undertook several initiatives in 201</w:t>
      </w:r>
      <w:r w:rsidR="008D6268">
        <w:t>7–</w:t>
      </w:r>
      <w:r w:rsidRPr="007B5FB0">
        <w:t>18.</w:t>
      </w:r>
    </w:p>
    <w:p w14:paraId="0E11C795" w14:textId="77777777" w:rsidR="0099606F" w:rsidRPr="007B5FB0" w:rsidRDefault="0099606F" w:rsidP="0099606F">
      <w:pPr>
        <w:pStyle w:val="VEOHRCBodytext"/>
      </w:pPr>
      <w:r w:rsidRPr="007B5FB0">
        <w:t>The Commission occupies 1406m</w:t>
      </w:r>
      <w:r w:rsidRPr="007B5FB0">
        <w:rPr>
          <w:vertAlign w:val="superscript"/>
        </w:rPr>
        <w:t>2</w:t>
      </w:r>
      <w:r w:rsidRPr="007B5FB0">
        <w:t xml:space="preserve"> of office floorspace which is managed by the Department of Justice and Regulation, and any consumption reduction targets and infrastructure initiatives to achieve those targets are reported in the Department’s Annual Report. </w:t>
      </w:r>
    </w:p>
    <w:p w14:paraId="5B226316" w14:textId="77777777" w:rsidR="0099606F" w:rsidRPr="007B5FB0" w:rsidRDefault="0099606F" w:rsidP="0099606F">
      <w:pPr>
        <w:pStyle w:val="VEOHRCBodytext"/>
      </w:pPr>
      <w:r w:rsidRPr="007B5FB0">
        <w:lastRenderedPageBreak/>
        <w:t>The facilities management system for the building occupied by the Commission cannot isolate the Commission’s floorspace. Therefore, no separate electricity or water consumption performance can be reported here in the Commission’s Report of Operations, although it is captured in the overall departmental statistics.</w:t>
      </w:r>
    </w:p>
    <w:p w14:paraId="51403987" w14:textId="77777777" w:rsidR="0099606F" w:rsidRPr="007B5FB0" w:rsidRDefault="0099606F" w:rsidP="0099606F">
      <w:pPr>
        <w:pStyle w:val="VEOHRCBodytext"/>
      </w:pPr>
      <w:r w:rsidRPr="007B5FB0">
        <w:t xml:space="preserve">However locally, the Commission does assist in power consumption reduction by requiring staff to turn off lights when meetings are finished; turn off desktop computers and monitors at the end of the day (all Commission computer monitors also have timed screensavers). </w:t>
      </w:r>
    </w:p>
    <w:p w14:paraId="27EBD785" w14:textId="77777777" w:rsidR="0099606F" w:rsidRPr="007B5FB0" w:rsidRDefault="0099606F" w:rsidP="0099606F">
      <w:pPr>
        <w:pStyle w:val="VEOHRCBodytext"/>
      </w:pPr>
      <w:r w:rsidRPr="007B5FB0">
        <w:t xml:space="preserve">To minimise waste and consumables, the Commission: </w:t>
      </w:r>
    </w:p>
    <w:p w14:paraId="1DB7DD3D" w14:textId="5AF7313A" w:rsidR="0099606F" w:rsidRPr="007B5FB0" w:rsidRDefault="0099606F" w:rsidP="0099606F">
      <w:pPr>
        <w:pStyle w:val="VEOHRCListBullet"/>
      </w:pPr>
      <w:r w:rsidRPr="007B5FB0">
        <w:t>requires all staff to use office landfill, and recycle bins (and the Commission also provides compost bins for biodegradable waste)</w:t>
      </w:r>
    </w:p>
    <w:p w14:paraId="31AF316C" w14:textId="77777777" w:rsidR="0099606F" w:rsidRPr="007B5FB0" w:rsidRDefault="0099606F" w:rsidP="0099606F">
      <w:pPr>
        <w:pStyle w:val="VEOHRCListBullet"/>
      </w:pPr>
      <w:r w:rsidRPr="007B5FB0">
        <w:t xml:space="preserve">collects mobile phones and corks for recycling, and batteries for safe disposal. </w:t>
      </w:r>
    </w:p>
    <w:p w14:paraId="2907C1EB" w14:textId="1B47AD09" w:rsidR="0099606F" w:rsidRPr="007B5FB0" w:rsidRDefault="0099606F" w:rsidP="0099606F">
      <w:pPr>
        <w:pStyle w:val="VEOHRCBodytext"/>
      </w:pPr>
      <w:r w:rsidRPr="007B5FB0">
        <w:t xml:space="preserve">All staff are also encouraged to use </w:t>
      </w:r>
      <w:r w:rsidRPr="007B5FB0">
        <w:rPr>
          <w:lang w:eastAsia="en-US"/>
        </w:rPr>
        <w:t>the option of double-sided printing wherever possible.  In 201</w:t>
      </w:r>
      <w:r w:rsidR="008D6268">
        <w:rPr>
          <w:lang w:eastAsia="en-US"/>
        </w:rPr>
        <w:t>7–</w:t>
      </w:r>
      <w:r w:rsidRPr="007B5FB0">
        <w:rPr>
          <w:lang w:eastAsia="en-US"/>
        </w:rPr>
        <w:t>18, the Commission replaced all office printers with more energy-efficient models, and entered a new printer-servicing contract which is also more environmentally friendly. T</w:t>
      </w:r>
      <w:r w:rsidRPr="007B5FB0">
        <w:t>he Commission uses only recycled paper.</w:t>
      </w:r>
    </w:p>
    <w:p w14:paraId="29A72B5D" w14:textId="77777777" w:rsidR="0099606F" w:rsidRPr="007B5FB0" w:rsidRDefault="0099606F" w:rsidP="0099606F">
      <w:pPr>
        <w:pStyle w:val="VEOHRCBodytext"/>
      </w:pPr>
      <w:r w:rsidRPr="007B5FB0">
        <w:t xml:space="preserve">To reduce fuel consumption and transport costs, the Commission’s four vehicles now all have hybrid electric/petrol motors, and staff are encouraged to use public transport for work travel where possible. </w:t>
      </w:r>
    </w:p>
    <w:p w14:paraId="0D376435" w14:textId="77777777" w:rsidR="0099606F" w:rsidRPr="007B5FB0" w:rsidRDefault="0099606F" w:rsidP="0099606F">
      <w:pPr>
        <w:pStyle w:val="VEOHRCHeading1"/>
      </w:pPr>
      <w:bookmarkStart w:id="63" w:name="_Toc524536498"/>
      <w:r w:rsidRPr="007B5FB0">
        <w:t>Attes</w:t>
      </w:r>
      <w:bookmarkStart w:id="64" w:name="INDEX_AttestationSD"/>
      <w:bookmarkEnd w:id="64"/>
      <w:r w:rsidRPr="007B5FB0">
        <w:t>tation for financial management compliance with Ministerial Standing Direction 5.1.4</w:t>
      </w:r>
      <w:bookmarkEnd w:id="63"/>
    </w:p>
    <w:p w14:paraId="210BFB6E" w14:textId="77777777" w:rsidR="0099606F" w:rsidRPr="007B5FB0" w:rsidRDefault="0099606F" w:rsidP="0099606F">
      <w:pPr>
        <w:pStyle w:val="VEOHRCBodytext"/>
      </w:pPr>
      <w:r w:rsidRPr="007B5FB0">
        <w:t xml:space="preserve">I Moana Weir, Chairperson and on behalf of the Board, certify that the Victorian Equal Opportunity and Human Rights Commission has complied with the applicable Standing Directions of the Minister for Finance under the </w:t>
      </w:r>
      <w:r w:rsidRPr="007B5FB0">
        <w:rPr>
          <w:i/>
        </w:rPr>
        <w:t>Financial Management Act 1994</w:t>
      </w:r>
      <w:r w:rsidRPr="007B5FB0">
        <w:t xml:space="preserve"> and Instructions. </w:t>
      </w:r>
    </w:p>
    <w:p w14:paraId="63B96AF3" w14:textId="77777777" w:rsidR="0099606F" w:rsidRPr="007B5FB0" w:rsidRDefault="0099606F" w:rsidP="0099606F">
      <w:pPr>
        <w:pStyle w:val="VEOHRCBodytext"/>
      </w:pPr>
    </w:p>
    <w:p w14:paraId="5B48CAC3" w14:textId="77777777" w:rsidR="0099606F" w:rsidRPr="007B5FB0" w:rsidRDefault="0099606F" w:rsidP="0099606F">
      <w:pPr>
        <w:pStyle w:val="VEOHRCBodytext"/>
      </w:pPr>
      <w:r w:rsidRPr="007B5FB0">
        <w:t>Signed</w:t>
      </w:r>
    </w:p>
    <w:p w14:paraId="1297768E" w14:textId="77777777" w:rsidR="0099606F" w:rsidRPr="007B5FB0" w:rsidRDefault="0099606F" w:rsidP="0099606F">
      <w:pPr>
        <w:pStyle w:val="VEOHRCBodytext"/>
      </w:pPr>
    </w:p>
    <w:p w14:paraId="57ABE5A6" w14:textId="77777777" w:rsidR="0099606F" w:rsidRPr="007B5FB0" w:rsidRDefault="0099606F" w:rsidP="0099606F">
      <w:pPr>
        <w:pStyle w:val="VEOHRCBodytext"/>
      </w:pPr>
    </w:p>
    <w:p w14:paraId="7895F6C1" w14:textId="77777777" w:rsidR="0099606F" w:rsidRPr="007B5FB0" w:rsidRDefault="0099606F" w:rsidP="0099606F">
      <w:pPr>
        <w:pStyle w:val="VEOHRCBodytext"/>
      </w:pPr>
    </w:p>
    <w:p w14:paraId="2C284812" w14:textId="77777777" w:rsidR="0099606F" w:rsidRPr="007B5FB0" w:rsidRDefault="0099606F" w:rsidP="0099606F">
      <w:pPr>
        <w:pStyle w:val="VEOHRCBodytext"/>
      </w:pPr>
    </w:p>
    <w:p w14:paraId="20619B0E" w14:textId="77777777" w:rsidR="0099606F" w:rsidRPr="007B5FB0" w:rsidRDefault="0099606F" w:rsidP="0099606F">
      <w:pPr>
        <w:pStyle w:val="VEOHRCBodytext"/>
      </w:pPr>
      <w:r w:rsidRPr="007B5FB0">
        <w:t>Moana Weir</w:t>
      </w:r>
    </w:p>
    <w:p w14:paraId="5B862A9F" w14:textId="77777777" w:rsidR="0099606F" w:rsidRPr="007B5FB0" w:rsidRDefault="0099606F" w:rsidP="0099606F">
      <w:pPr>
        <w:pStyle w:val="VEOHRCBodytext"/>
        <w:rPr>
          <w:b/>
        </w:rPr>
      </w:pPr>
      <w:r w:rsidRPr="007B5FB0">
        <w:rPr>
          <w:b/>
        </w:rPr>
        <w:t>Board Chairperson</w:t>
      </w:r>
    </w:p>
    <w:p w14:paraId="451DFAFD" w14:textId="77777777" w:rsidR="0099606F" w:rsidRPr="007B5FB0" w:rsidRDefault="0099606F" w:rsidP="0099606F">
      <w:pPr>
        <w:pStyle w:val="VEOHRCBodytext"/>
        <w:rPr>
          <w:rFonts w:cs="Arial"/>
          <w:b/>
          <w:bCs/>
          <w:kern w:val="32"/>
          <w:sz w:val="32"/>
          <w:szCs w:val="32"/>
          <w:lang w:eastAsia="en-US"/>
        </w:rPr>
      </w:pPr>
    </w:p>
    <w:p w14:paraId="2A32A4F6" w14:textId="77777777" w:rsidR="0099606F" w:rsidRPr="00A14C0D" w:rsidRDefault="0099606F" w:rsidP="0099606F">
      <w:pPr>
        <w:pStyle w:val="VEOHRCBodytext"/>
      </w:pPr>
    </w:p>
    <w:p w14:paraId="30A23702" w14:textId="77777777" w:rsidR="00B54E72" w:rsidRDefault="00B54E72" w:rsidP="00E66F4B">
      <w:pPr>
        <w:pStyle w:val="VEOHRCBodytext"/>
        <w:rPr>
          <w:lang w:eastAsia="en-US"/>
        </w:rPr>
      </w:pPr>
    </w:p>
    <w:p w14:paraId="5A250D37" w14:textId="77777777" w:rsidR="00B54E72" w:rsidRDefault="00B54E72" w:rsidP="00E66F4B">
      <w:pPr>
        <w:pStyle w:val="VEOHRCBodytext"/>
        <w:rPr>
          <w:lang w:eastAsia="en-US"/>
        </w:rPr>
      </w:pPr>
    </w:p>
    <w:p w14:paraId="57125B8F" w14:textId="77777777" w:rsidR="00482B11" w:rsidRDefault="00482B11" w:rsidP="00482B11">
      <w:pPr>
        <w:pStyle w:val="VEOHRCHeading2"/>
        <w:rPr>
          <w:lang w:eastAsia="en-US"/>
        </w:rPr>
      </w:pPr>
      <w:r>
        <w:rPr>
          <w:lang w:eastAsia="en-US"/>
        </w:rPr>
        <w:t>Workforce data trends</w:t>
      </w:r>
    </w:p>
    <w:p w14:paraId="764F7295" w14:textId="4AF6C8B6" w:rsidR="00482B11" w:rsidRDefault="009943B2" w:rsidP="00B80144">
      <w:pPr>
        <w:pStyle w:val="VEOHRCBodytext"/>
      </w:pPr>
      <w:r w:rsidRPr="009943B2">
        <w:rPr>
          <w:highlight w:val="yellow"/>
        </w:rPr>
        <w:t>[To be inserted at EOFY]</w:t>
      </w:r>
    </w:p>
    <w:p w14:paraId="4B9CBD2E" w14:textId="77777777" w:rsidR="00482B11" w:rsidRDefault="00482B11" w:rsidP="00E66F4B">
      <w:pPr>
        <w:pStyle w:val="VEOHRCBodytext"/>
        <w:rPr>
          <w:lang w:eastAsia="en-US"/>
        </w:rPr>
      </w:pPr>
    </w:p>
    <w:p w14:paraId="45469D53" w14:textId="77777777" w:rsidR="00E66F4B" w:rsidRDefault="00E66F4B" w:rsidP="00B80144">
      <w:pPr>
        <w:pStyle w:val="VEOHRCBodytext"/>
        <w:rPr>
          <w:lang w:eastAsia="en-US"/>
        </w:rPr>
      </w:pPr>
      <w:r>
        <w:rPr>
          <w:lang w:eastAsia="en-US"/>
        </w:rPr>
        <w:lastRenderedPageBreak/>
        <w:br w:type="page"/>
      </w:r>
    </w:p>
    <w:p w14:paraId="7C3F7A22" w14:textId="77777777" w:rsidR="00E66F4B" w:rsidRDefault="00E66F4B" w:rsidP="00E66F4B">
      <w:pPr>
        <w:pStyle w:val="VEOHRCHeading1"/>
      </w:pPr>
    </w:p>
    <w:p w14:paraId="3E7EEC8A" w14:textId="77777777" w:rsidR="00E66F4B" w:rsidRPr="000A4E9B" w:rsidRDefault="00E66F4B" w:rsidP="00E66F4B">
      <w:pPr>
        <w:pStyle w:val="VEOHRCChapterTitle"/>
      </w:pPr>
    </w:p>
    <w:p w14:paraId="6286F44F" w14:textId="77777777" w:rsidR="008822C1" w:rsidRDefault="008822C1" w:rsidP="008822C1">
      <w:pPr>
        <w:pStyle w:val="VEOHRCChapterTitle"/>
        <w:sectPr w:rsidR="008822C1" w:rsidSect="008165BD">
          <w:type w:val="continuous"/>
          <w:pgSz w:w="11906" w:h="16838" w:code="9"/>
          <w:pgMar w:top="1134" w:right="1418" w:bottom="1134" w:left="1418" w:header="709" w:footer="272" w:gutter="0"/>
          <w:cols w:space="708"/>
          <w:titlePg/>
          <w:docGrid w:linePitch="360"/>
        </w:sectPr>
      </w:pPr>
    </w:p>
    <w:p w14:paraId="6E575908" w14:textId="77777777" w:rsidR="006F4A5D" w:rsidRDefault="006F4A5D" w:rsidP="006F4A5D">
      <w:pPr>
        <w:pStyle w:val="VEOHRCChapterTitle"/>
        <w:rPr>
          <w:lang w:eastAsia="en-US"/>
        </w:rPr>
      </w:pPr>
      <w:bookmarkStart w:id="65" w:name="_Toc497232314"/>
      <w:bookmarkStart w:id="66" w:name="_Toc524536499"/>
      <w:r>
        <w:lastRenderedPageBreak/>
        <w:t>Appendix 1: Complaints data</w:t>
      </w:r>
      <w:bookmarkEnd w:id="65"/>
      <w:bookmarkEnd w:id="66"/>
    </w:p>
    <w:p w14:paraId="339E5200" w14:textId="1292BA3F" w:rsidR="001B7372" w:rsidRDefault="001B7372" w:rsidP="001B7372">
      <w:pPr>
        <w:pStyle w:val="VEOHRCQuotation"/>
        <w:tabs>
          <w:tab w:val="left" w:pos="2991"/>
        </w:tabs>
        <w:rPr>
          <w:lang w:eastAsia="en-US"/>
        </w:rPr>
      </w:pPr>
      <w:r w:rsidRPr="001B7372">
        <w:rPr>
          <w:b/>
          <w:bCs/>
          <w:szCs w:val="26"/>
          <w:lang w:eastAsia="en-US"/>
        </w:rPr>
        <w:t>Complaints under the EOA and RRTA Acts by area and attribute for 201</w:t>
      </w:r>
      <w:r w:rsidR="008D6268">
        <w:rPr>
          <w:b/>
          <w:bCs/>
          <w:szCs w:val="26"/>
          <w:lang w:eastAsia="en-US"/>
        </w:rPr>
        <w:t>5–</w:t>
      </w:r>
      <w:r w:rsidRPr="001B7372">
        <w:rPr>
          <w:b/>
          <w:bCs/>
          <w:szCs w:val="26"/>
          <w:lang w:eastAsia="en-US"/>
        </w:rPr>
        <w:t>16, 201</w:t>
      </w:r>
      <w:r w:rsidR="008D6268">
        <w:rPr>
          <w:b/>
          <w:bCs/>
          <w:szCs w:val="26"/>
          <w:lang w:eastAsia="en-US"/>
        </w:rPr>
        <w:t>6–</w:t>
      </w:r>
      <w:r w:rsidRPr="001B7372">
        <w:rPr>
          <w:b/>
          <w:bCs/>
          <w:szCs w:val="26"/>
          <w:lang w:eastAsia="en-US"/>
        </w:rPr>
        <w:t>17, 2017/18</w:t>
      </w:r>
    </w:p>
    <w:tbl>
      <w:tblPr>
        <w:tblStyle w:val="GridTable41"/>
        <w:tblW w:w="5000" w:type="pct"/>
        <w:tblLook w:val="04A0" w:firstRow="1" w:lastRow="0" w:firstColumn="1" w:lastColumn="0" w:noHBand="0" w:noVBand="1"/>
      </w:tblPr>
      <w:tblGrid>
        <w:gridCol w:w="3254"/>
        <w:gridCol w:w="672"/>
        <w:gridCol w:w="672"/>
        <w:gridCol w:w="672"/>
        <w:gridCol w:w="672"/>
        <w:gridCol w:w="672"/>
        <w:gridCol w:w="672"/>
        <w:gridCol w:w="673"/>
        <w:gridCol w:w="673"/>
        <w:gridCol w:w="673"/>
        <w:gridCol w:w="32"/>
        <w:gridCol w:w="660"/>
        <w:gridCol w:w="673"/>
        <w:gridCol w:w="673"/>
        <w:gridCol w:w="19"/>
        <w:gridCol w:w="673"/>
        <w:gridCol w:w="673"/>
        <w:gridCol w:w="673"/>
        <w:gridCol w:w="21"/>
        <w:gridCol w:w="673"/>
        <w:gridCol w:w="673"/>
        <w:gridCol w:w="673"/>
        <w:gridCol w:w="19"/>
        <w:gridCol w:w="673"/>
        <w:gridCol w:w="673"/>
        <w:gridCol w:w="673"/>
        <w:gridCol w:w="20"/>
        <w:gridCol w:w="673"/>
        <w:gridCol w:w="673"/>
        <w:gridCol w:w="673"/>
        <w:gridCol w:w="19"/>
        <w:gridCol w:w="673"/>
        <w:gridCol w:w="673"/>
        <w:gridCol w:w="673"/>
      </w:tblGrid>
      <w:tr w:rsidR="00A1438E" w:rsidRPr="001B7372" w14:paraId="5FCE6081" w14:textId="77777777" w:rsidTr="001B7372">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75" w:type="pct"/>
            <w:noWrap/>
            <w:hideMark/>
          </w:tcPr>
          <w:p w14:paraId="32E1BEF2" w14:textId="77777777" w:rsidR="001B7372" w:rsidRPr="001B7372" w:rsidRDefault="001B7372" w:rsidP="001B7372">
            <w:pPr>
              <w:pStyle w:val="VEOHRCBodytext"/>
              <w:rPr>
                <w:sz w:val="20"/>
                <w:szCs w:val="20"/>
              </w:rPr>
            </w:pPr>
            <w:r w:rsidRPr="001B7372">
              <w:rPr>
                <w:sz w:val="20"/>
                <w:szCs w:val="20"/>
              </w:rPr>
              <w:t> </w:t>
            </w:r>
          </w:p>
        </w:tc>
        <w:tc>
          <w:tcPr>
            <w:tcW w:w="469" w:type="pct"/>
            <w:gridSpan w:val="3"/>
            <w:noWrap/>
            <w:hideMark/>
          </w:tcPr>
          <w:p w14:paraId="196709E8" w14:textId="77777777" w:rsidR="001B7372" w:rsidRPr="001B7372" w:rsidRDefault="001B7372" w:rsidP="001B7372">
            <w:pPr>
              <w:pStyle w:val="VEOHRCBodytext"/>
              <w:cnfStyle w:val="100000000000" w:firstRow="1" w:lastRow="0" w:firstColumn="0" w:lastColumn="0" w:oddVBand="0" w:evenVBand="0" w:oddHBand="0" w:evenHBand="0" w:firstRowFirstColumn="0" w:firstRowLastColumn="0" w:lastRowFirstColumn="0" w:lastRowLastColumn="0"/>
              <w:rPr>
                <w:sz w:val="20"/>
                <w:szCs w:val="20"/>
              </w:rPr>
            </w:pPr>
            <w:r w:rsidRPr="001B7372">
              <w:rPr>
                <w:sz w:val="20"/>
                <w:szCs w:val="20"/>
              </w:rPr>
              <w:t>Accomm</w:t>
            </w:r>
          </w:p>
        </w:tc>
        <w:tc>
          <w:tcPr>
            <w:tcW w:w="469" w:type="pct"/>
            <w:gridSpan w:val="3"/>
            <w:noWrap/>
            <w:hideMark/>
          </w:tcPr>
          <w:p w14:paraId="20F3C168" w14:textId="77777777" w:rsidR="001B7372" w:rsidRPr="001B7372" w:rsidRDefault="001B7372" w:rsidP="001B7372">
            <w:pPr>
              <w:pStyle w:val="VEOHRCBodytext"/>
              <w:cnfStyle w:val="100000000000" w:firstRow="1" w:lastRow="0" w:firstColumn="0" w:lastColumn="0" w:oddVBand="0" w:evenVBand="0" w:oddHBand="0" w:evenHBand="0" w:firstRowFirstColumn="0" w:firstRowLastColumn="0" w:lastRowFirstColumn="0" w:lastRowLastColumn="0"/>
              <w:rPr>
                <w:sz w:val="20"/>
                <w:szCs w:val="20"/>
              </w:rPr>
            </w:pPr>
            <w:r w:rsidRPr="001B7372">
              <w:rPr>
                <w:sz w:val="20"/>
                <w:szCs w:val="20"/>
              </w:rPr>
              <w:t>Clubs</w:t>
            </w:r>
          </w:p>
        </w:tc>
        <w:tc>
          <w:tcPr>
            <w:tcW w:w="471" w:type="pct"/>
            <w:gridSpan w:val="4"/>
            <w:noWrap/>
            <w:hideMark/>
          </w:tcPr>
          <w:p w14:paraId="424F6821" w14:textId="77777777" w:rsidR="001B7372" w:rsidRPr="001B7372" w:rsidRDefault="001B7372" w:rsidP="001B7372">
            <w:pPr>
              <w:pStyle w:val="VEOHRCBodytext"/>
              <w:cnfStyle w:val="100000000000" w:firstRow="1" w:lastRow="0" w:firstColumn="0" w:lastColumn="0" w:oddVBand="0" w:evenVBand="0" w:oddHBand="0" w:evenHBand="0" w:firstRowFirstColumn="0" w:firstRowLastColumn="0" w:lastRowFirstColumn="0" w:lastRowLastColumn="0"/>
              <w:rPr>
                <w:sz w:val="20"/>
                <w:szCs w:val="20"/>
              </w:rPr>
            </w:pPr>
            <w:r w:rsidRPr="001B7372">
              <w:rPr>
                <w:sz w:val="20"/>
                <w:szCs w:val="20"/>
              </w:rPr>
              <w:t>Education</w:t>
            </w:r>
          </w:p>
        </w:tc>
        <w:tc>
          <w:tcPr>
            <w:tcW w:w="470" w:type="pct"/>
            <w:gridSpan w:val="4"/>
            <w:noWrap/>
            <w:hideMark/>
          </w:tcPr>
          <w:p w14:paraId="7B5AA069" w14:textId="77777777" w:rsidR="001B7372" w:rsidRPr="001B7372" w:rsidRDefault="001B7372" w:rsidP="001B7372">
            <w:pPr>
              <w:pStyle w:val="VEOHRCBodytext"/>
              <w:cnfStyle w:val="100000000000" w:firstRow="1" w:lastRow="0" w:firstColumn="0" w:lastColumn="0" w:oddVBand="0" w:evenVBand="0" w:oddHBand="0" w:evenHBand="0" w:firstRowFirstColumn="0" w:firstRowLastColumn="0" w:lastRowFirstColumn="0" w:lastRowLastColumn="0"/>
              <w:rPr>
                <w:sz w:val="20"/>
                <w:szCs w:val="20"/>
              </w:rPr>
            </w:pPr>
            <w:r w:rsidRPr="001B7372">
              <w:rPr>
                <w:sz w:val="20"/>
                <w:szCs w:val="20"/>
              </w:rPr>
              <w:t>Employment</w:t>
            </w:r>
          </w:p>
        </w:tc>
        <w:tc>
          <w:tcPr>
            <w:tcW w:w="470" w:type="pct"/>
            <w:gridSpan w:val="4"/>
            <w:noWrap/>
            <w:hideMark/>
          </w:tcPr>
          <w:p w14:paraId="5EC8E7F6" w14:textId="77777777" w:rsidR="001B7372" w:rsidRPr="001B7372" w:rsidRDefault="001B7372" w:rsidP="001B7372">
            <w:pPr>
              <w:pStyle w:val="VEOHRCBodytext"/>
              <w:cnfStyle w:val="100000000000" w:firstRow="1" w:lastRow="0" w:firstColumn="0" w:lastColumn="0" w:oddVBand="0" w:evenVBand="0" w:oddHBand="0" w:evenHBand="0" w:firstRowFirstColumn="0" w:firstRowLastColumn="0" w:lastRowFirstColumn="0" w:lastRowLastColumn="0"/>
              <w:rPr>
                <w:sz w:val="20"/>
                <w:szCs w:val="20"/>
              </w:rPr>
            </w:pPr>
            <w:r w:rsidRPr="001B7372">
              <w:rPr>
                <w:sz w:val="20"/>
                <w:szCs w:val="20"/>
              </w:rPr>
              <w:t>Goods/Services</w:t>
            </w:r>
          </w:p>
        </w:tc>
        <w:tc>
          <w:tcPr>
            <w:tcW w:w="470" w:type="pct"/>
            <w:gridSpan w:val="4"/>
            <w:noWrap/>
            <w:hideMark/>
          </w:tcPr>
          <w:p w14:paraId="5C77A01B" w14:textId="77777777" w:rsidR="001B7372" w:rsidRPr="001B7372" w:rsidRDefault="001B7372" w:rsidP="001B7372">
            <w:pPr>
              <w:pStyle w:val="VEOHRCBodytext"/>
              <w:cnfStyle w:val="100000000000" w:firstRow="1" w:lastRow="0" w:firstColumn="0" w:lastColumn="0" w:oddVBand="0" w:evenVBand="0" w:oddHBand="0" w:evenHBand="0" w:firstRowFirstColumn="0" w:firstRowLastColumn="0" w:lastRowFirstColumn="0" w:lastRowLastColumn="0"/>
              <w:rPr>
                <w:sz w:val="20"/>
                <w:szCs w:val="20"/>
              </w:rPr>
            </w:pPr>
            <w:r w:rsidRPr="001B7372">
              <w:rPr>
                <w:sz w:val="20"/>
                <w:szCs w:val="20"/>
              </w:rPr>
              <w:t>Local Gov't</w:t>
            </w:r>
          </w:p>
        </w:tc>
        <w:tc>
          <w:tcPr>
            <w:tcW w:w="470" w:type="pct"/>
            <w:gridSpan w:val="4"/>
            <w:noWrap/>
            <w:hideMark/>
          </w:tcPr>
          <w:p w14:paraId="7446208B" w14:textId="77777777" w:rsidR="001B7372" w:rsidRPr="001B7372" w:rsidRDefault="001B7372" w:rsidP="001B7372">
            <w:pPr>
              <w:pStyle w:val="VEOHRCBodytext"/>
              <w:cnfStyle w:val="100000000000" w:firstRow="1" w:lastRow="0" w:firstColumn="0" w:lastColumn="0" w:oddVBand="0" w:evenVBand="0" w:oddHBand="0" w:evenHBand="0" w:firstRowFirstColumn="0" w:firstRowLastColumn="0" w:lastRowFirstColumn="0" w:lastRowLastColumn="0"/>
              <w:rPr>
                <w:sz w:val="20"/>
                <w:szCs w:val="20"/>
              </w:rPr>
            </w:pPr>
            <w:r w:rsidRPr="001B7372">
              <w:rPr>
                <w:sz w:val="20"/>
                <w:szCs w:val="20"/>
              </w:rPr>
              <w:t>No area required*</w:t>
            </w:r>
          </w:p>
        </w:tc>
        <w:tc>
          <w:tcPr>
            <w:tcW w:w="470" w:type="pct"/>
            <w:gridSpan w:val="4"/>
            <w:noWrap/>
            <w:hideMark/>
          </w:tcPr>
          <w:p w14:paraId="415B748C" w14:textId="77777777" w:rsidR="001B7372" w:rsidRPr="001B7372" w:rsidRDefault="001B7372" w:rsidP="001B7372">
            <w:pPr>
              <w:pStyle w:val="VEOHRCBodytext"/>
              <w:cnfStyle w:val="100000000000" w:firstRow="1" w:lastRow="0" w:firstColumn="0" w:lastColumn="0" w:oddVBand="0" w:evenVBand="0" w:oddHBand="0" w:evenHBand="0" w:firstRowFirstColumn="0" w:firstRowLastColumn="0" w:lastRowFirstColumn="0" w:lastRowLastColumn="0"/>
              <w:rPr>
                <w:sz w:val="20"/>
                <w:szCs w:val="20"/>
              </w:rPr>
            </w:pPr>
            <w:r w:rsidRPr="001B7372">
              <w:rPr>
                <w:sz w:val="20"/>
                <w:szCs w:val="20"/>
              </w:rPr>
              <w:t>Sport</w:t>
            </w:r>
          </w:p>
        </w:tc>
        <w:tc>
          <w:tcPr>
            <w:tcW w:w="464" w:type="pct"/>
            <w:gridSpan w:val="3"/>
            <w:noWrap/>
            <w:hideMark/>
          </w:tcPr>
          <w:p w14:paraId="6C930908" w14:textId="77777777" w:rsidR="001B7372" w:rsidRPr="001B7372" w:rsidRDefault="001B7372" w:rsidP="001B7372">
            <w:pPr>
              <w:pStyle w:val="VEOHRCBodytext"/>
              <w:cnfStyle w:val="100000000000" w:firstRow="1" w:lastRow="0" w:firstColumn="0" w:lastColumn="0" w:oddVBand="0" w:evenVBand="0" w:oddHBand="0" w:evenHBand="0" w:firstRowFirstColumn="0" w:firstRowLastColumn="0" w:lastRowFirstColumn="0" w:lastRowLastColumn="0"/>
              <w:rPr>
                <w:sz w:val="20"/>
                <w:szCs w:val="20"/>
              </w:rPr>
            </w:pPr>
            <w:r w:rsidRPr="001B7372">
              <w:rPr>
                <w:sz w:val="20"/>
                <w:szCs w:val="20"/>
              </w:rPr>
              <w:t>Total</w:t>
            </w:r>
          </w:p>
        </w:tc>
      </w:tr>
      <w:tr w:rsidR="00A1438E" w:rsidRPr="001B7372" w14:paraId="59BD1D96" w14:textId="77777777" w:rsidTr="001B737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75" w:type="pct"/>
            <w:noWrap/>
            <w:hideMark/>
          </w:tcPr>
          <w:p w14:paraId="0B592496" w14:textId="77777777" w:rsidR="001B7372" w:rsidRPr="001B7372" w:rsidRDefault="001B7372" w:rsidP="001B7372">
            <w:pPr>
              <w:pStyle w:val="VEOHRCBodytext"/>
              <w:rPr>
                <w:color w:val="000000"/>
                <w:sz w:val="20"/>
                <w:szCs w:val="20"/>
              </w:rPr>
            </w:pPr>
            <w:r w:rsidRPr="001B7372">
              <w:rPr>
                <w:color w:val="000000"/>
                <w:sz w:val="20"/>
                <w:szCs w:val="20"/>
              </w:rPr>
              <w:t> </w:t>
            </w:r>
          </w:p>
        </w:tc>
        <w:tc>
          <w:tcPr>
            <w:tcW w:w="156" w:type="pct"/>
            <w:noWrap/>
            <w:hideMark/>
          </w:tcPr>
          <w:p w14:paraId="75DD3B4C"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15/16</w:t>
            </w:r>
          </w:p>
        </w:tc>
        <w:tc>
          <w:tcPr>
            <w:tcW w:w="156" w:type="pct"/>
            <w:noWrap/>
            <w:hideMark/>
          </w:tcPr>
          <w:p w14:paraId="4338C447"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16/17</w:t>
            </w:r>
          </w:p>
        </w:tc>
        <w:tc>
          <w:tcPr>
            <w:tcW w:w="156" w:type="pct"/>
            <w:noWrap/>
            <w:hideMark/>
          </w:tcPr>
          <w:p w14:paraId="73CEA065"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17/18</w:t>
            </w:r>
          </w:p>
        </w:tc>
        <w:tc>
          <w:tcPr>
            <w:tcW w:w="156" w:type="pct"/>
            <w:noWrap/>
            <w:hideMark/>
          </w:tcPr>
          <w:p w14:paraId="58EC4344"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15/16</w:t>
            </w:r>
          </w:p>
        </w:tc>
        <w:tc>
          <w:tcPr>
            <w:tcW w:w="156" w:type="pct"/>
            <w:noWrap/>
            <w:hideMark/>
          </w:tcPr>
          <w:p w14:paraId="7ADD7C37"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16/17</w:t>
            </w:r>
          </w:p>
        </w:tc>
        <w:tc>
          <w:tcPr>
            <w:tcW w:w="156" w:type="pct"/>
            <w:noWrap/>
            <w:hideMark/>
          </w:tcPr>
          <w:p w14:paraId="1DF33521"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17/18</w:t>
            </w:r>
          </w:p>
        </w:tc>
        <w:tc>
          <w:tcPr>
            <w:tcW w:w="156" w:type="pct"/>
            <w:noWrap/>
            <w:hideMark/>
          </w:tcPr>
          <w:p w14:paraId="164A033D"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15/16</w:t>
            </w:r>
          </w:p>
        </w:tc>
        <w:tc>
          <w:tcPr>
            <w:tcW w:w="156" w:type="pct"/>
            <w:noWrap/>
            <w:hideMark/>
          </w:tcPr>
          <w:p w14:paraId="306B033E"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16/17</w:t>
            </w:r>
          </w:p>
        </w:tc>
        <w:tc>
          <w:tcPr>
            <w:tcW w:w="156" w:type="pct"/>
            <w:noWrap/>
            <w:hideMark/>
          </w:tcPr>
          <w:p w14:paraId="14683153"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17/18</w:t>
            </w:r>
          </w:p>
        </w:tc>
        <w:tc>
          <w:tcPr>
            <w:tcW w:w="157" w:type="pct"/>
            <w:gridSpan w:val="2"/>
            <w:noWrap/>
            <w:hideMark/>
          </w:tcPr>
          <w:p w14:paraId="7C3901C9"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15/16</w:t>
            </w:r>
          </w:p>
        </w:tc>
        <w:tc>
          <w:tcPr>
            <w:tcW w:w="156" w:type="pct"/>
            <w:noWrap/>
            <w:hideMark/>
          </w:tcPr>
          <w:p w14:paraId="3206648C"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16/17</w:t>
            </w:r>
          </w:p>
        </w:tc>
        <w:tc>
          <w:tcPr>
            <w:tcW w:w="156" w:type="pct"/>
            <w:noWrap/>
            <w:hideMark/>
          </w:tcPr>
          <w:p w14:paraId="3A4C1152"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17/18</w:t>
            </w:r>
          </w:p>
        </w:tc>
        <w:tc>
          <w:tcPr>
            <w:tcW w:w="156" w:type="pct"/>
            <w:gridSpan w:val="2"/>
            <w:noWrap/>
            <w:hideMark/>
          </w:tcPr>
          <w:p w14:paraId="1341550D"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15/16</w:t>
            </w:r>
          </w:p>
        </w:tc>
        <w:tc>
          <w:tcPr>
            <w:tcW w:w="157" w:type="pct"/>
            <w:noWrap/>
            <w:hideMark/>
          </w:tcPr>
          <w:p w14:paraId="4C689A88"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16/17</w:t>
            </w:r>
          </w:p>
        </w:tc>
        <w:tc>
          <w:tcPr>
            <w:tcW w:w="156" w:type="pct"/>
            <w:noWrap/>
            <w:hideMark/>
          </w:tcPr>
          <w:p w14:paraId="63FD1FD5"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17/18</w:t>
            </w:r>
          </w:p>
        </w:tc>
        <w:tc>
          <w:tcPr>
            <w:tcW w:w="156" w:type="pct"/>
            <w:gridSpan w:val="2"/>
            <w:noWrap/>
            <w:hideMark/>
          </w:tcPr>
          <w:p w14:paraId="00BB12B6"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15/16</w:t>
            </w:r>
          </w:p>
        </w:tc>
        <w:tc>
          <w:tcPr>
            <w:tcW w:w="156" w:type="pct"/>
            <w:noWrap/>
            <w:hideMark/>
          </w:tcPr>
          <w:p w14:paraId="23C98BE9"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16/17</w:t>
            </w:r>
          </w:p>
        </w:tc>
        <w:tc>
          <w:tcPr>
            <w:tcW w:w="156" w:type="pct"/>
            <w:noWrap/>
            <w:hideMark/>
          </w:tcPr>
          <w:p w14:paraId="0609418A"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17/18</w:t>
            </w:r>
          </w:p>
        </w:tc>
        <w:tc>
          <w:tcPr>
            <w:tcW w:w="156" w:type="pct"/>
            <w:gridSpan w:val="2"/>
            <w:noWrap/>
            <w:hideMark/>
          </w:tcPr>
          <w:p w14:paraId="2C240C96"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15/16</w:t>
            </w:r>
          </w:p>
        </w:tc>
        <w:tc>
          <w:tcPr>
            <w:tcW w:w="157" w:type="pct"/>
            <w:noWrap/>
            <w:hideMark/>
          </w:tcPr>
          <w:p w14:paraId="7E039039"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16/17</w:t>
            </w:r>
          </w:p>
        </w:tc>
        <w:tc>
          <w:tcPr>
            <w:tcW w:w="156" w:type="pct"/>
            <w:noWrap/>
            <w:hideMark/>
          </w:tcPr>
          <w:p w14:paraId="69C0C5F7"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17/18</w:t>
            </w:r>
          </w:p>
        </w:tc>
        <w:tc>
          <w:tcPr>
            <w:tcW w:w="156" w:type="pct"/>
            <w:gridSpan w:val="2"/>
            <w:noWrap/>
            <w:hideMark/>
          </w:tcPr>
          <w:p w14:paraId="23778281"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15/16</w:t>
            </w:r>
          </w:p>
        </w:tc>
        <w:tc>
          <w:tcPr>
            <w:tcW w:w="156" w:type="pct"/>
            <w:noWrap/>
            <w:hideMark/>
          </w:tcPr>
          <w:p w14:paraId="3AD64650"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16/17</w:t>
            </w:r>
          </w:p>
        </w:tc>
        <w:tc>
          <w:tcPr>
            <w:tcW w:w="156" w:type="pct"/>
            <w:noWrap/>
            <w:hideMark/>
          </w:tcPr>
          <w:p w14:paraId="49542E6C"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17/18</w:t>
            </w:r>
          </w:p>
        </w:tc>
        <w:tc>
          <w:tcPr>
            <w:tcW w:w="156" w:type="pct"/>
            <w:gridSpan w:val="2"/>
            <w:noWrap/>
            <w:hideMark/>
          </w:tcPr>
          <w:p w14:paraId="3D85CA63"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15/16</w:t>
            </w:r>
          </w:p>
        </w:tc>
        <w:tc>
          <w:tcPr>
            <w:tcW w:w="156" w:type="pct"/>
            <w:noWrap/>
            <w:hideMark/>
          </w:tcPr>
          <w:p w14:paraId="50B21A0C" w14:textId="77777777" w:rsidR="001B7372" w:rsidRPr="00A26A4F"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rPr>
            </w:pPr>
            <w:r w:rsidRPr="00A26A4F">
              <w:rPr>
                <w:color w:val="000000"/>
                <w:sz w:val="20"/>
              </w:rPr>
              <w:t>16/17</w:t>
            </w:r>
          </w:p>
        </w:tc>
        <w:tc>
          <w:tcPr>
            <w:tcW w:w="156" w:type="pct"/>
            <w:noWrap/>
            <w:hideMark/>
          </w:tcPr>
          <w:p w14:paraId="5B9E0F48"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17/18</w:t>
            </w:r>
          </w:p>
        </w:tc>
      </w:tr>
      <w:tr w:rsidR="001B7372" w:rsidRPr="001B7372" w14:paraId="430A0C46" w14:textId="77777777" w:rsidTr="00A26A4F">
        <w:trPr>
          <w:trHeight w:val="397"/>
        </w:trPr>
        <w:tc>
          <w:tcPr>
            <w:cnfStyle w:val="001000000000" w:firstRow="0" w:lastRow="0" w:firstColumn="1" w:lastColumn="0" w:oddVBand="0" w:evenVBand="0" w:oddHBand="0" w:evenHBand="0" w:firstRowFirstColumn="0" w:firstRowLastColumn="0" w:lastRowFirstColumn="0" w:lastRowLastColumn="0"/>
            <w:tcW w:w="775" w:type="pct"/>
            <w:noWrap/>
            <w:hideMark/>
          </w:tcPr>
          <w:p w14:paraId="4724FAEE" w14:textId="77777777" w:rsidR="001B7372" w:rsidRPr="001B7372" w:rsidRDefault="001B7372" w:rsidP="001B7372">
            <w:pPr>
              <w:pStyle w:val="VEOHRCBodytext"/>
              <w:rPr>
                <w:color w:val="000000"/>
                <w:sz w:val="20"/>
                <w:szCs w:val="20"/>
              </w:rPr>
            </w:pPr>
            <w:r w:rsidRPr="001B7372">
              <w:rPr>
                <w:color w:val="000000"/>
                <w:sz w:val="20"/>
                <w:szCs w:val="20"/>
              </w:rPr>
              <w:t>Age</w:t>
            </w:r>
          </w:p>
        </w:tc>
        <w:tc>
          <w:tcPr>
            <w:tcW w:w="156" w:type="pct"/>
            <w:noWrap/>
            <w:hideMark/>
          </w:tcPr>
          <w:p w14:paraId="70BB4477"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7</w:t>
            </w:r>
          </w:p>
        </w:tc>
        <w:tc>
          <w:tcPr>
            <w:tcW w:w="156" w:type="pct"/>
            <w:noWrap/>
            <w:hideMark/>
          </w:tcPr>
          <w:p w14:paraId="5B3E786C"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4</w:t>
            </w:r>
          </w:p>
        </w:tc>
        <w:tc>
          <w:tcPr>
            <w:tcW w:w="156" w:type="pct"/>
            <w:noWrap/>
            <w:hideMark/>
          </w:tcPr>
          <w:p w14:paraId="069EB65B"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5</w:t>
            </w:r>
          </w:p>
        </w:tc>
        <w:tc>
          <w:tcPr>
            <w:tcW w:w="156" w:type="pct"/>
            <w:noWrap/>
            <w:hideMark/>
          </w:tcPr>
          <w:p w14:paraId="11C682D9"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079684BE"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2</w:t>
            </w:r>
          </w:p>
        </w:tc>
        <w:tc>
          <w:tcPr>
            <w:tcW w:w="156" w:type="pct"/>
            <w:noWrap/>
            <w:hideMark/>
          </w:tcPr>
          <w:p w14:paraId="346F328F"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1</w:t>
            </w:r>
          </w:p>
        </w:tc>
        <w:tc>
          <w:tcPr>
            <w:tcW w:w="156" w:type="pct"/>
            <w:noWrap/>
            <w:hideMark/>
          </w:tcPr>
          <w:p w14:paraId="28F36102"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4</w:t>
            </w:r>
          </w:p>
        </w:tc>
        <w:tc>
          <w:tcPr>
            <w:tcW w:w="156" w:type="pct"/>
            <w:noWrap/>
            <w:hideMark/>
          </w:tcPr>
          <w:p w14:paraId="1BDD4107"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2</w:t>
            </w:r>
          </w:p>
        </w:tc>
        <w:tc>
          <w:tcPr>
            <w:tcW w:w="156" w:type="pct"/>
            <w:noWrap/>
            <w:hideMark/>
          </w:tcPr>
          <w:p w14:paraId="12145EF8"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4</w:t>
            </w:r>
          </w:p>
        </w:tc>
        <w:tc>
          <w:tcPr>
            <w:tcW w:w="157" w:type="pct"/>
            <w:gridSpan w:val="2"/>
            <w:noWrap/>
            <w:hideMark/>
          </w:tcPr>
          <w:p w14:paraId="328C1720"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83</w:t>
            </w:r>
          </w:p>
        </w:tc>
        <w:tc>
          <w:tcPr>
            <w:tcW w:w="156" w:type="pct"/>
            <w:noWrap/>
            <w:hideMark/>
          </w:tcPr>
          <w:p w14:paraId="436007F5"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82</w:t>
            </w:r>
          </w:p>
        </w:tc>
        <w:tc>
          <w:tcPr>
            <w:tcW w:w="156" w:type="pct"/>
            <w:noWrap/>
            <w:hideMark/>
          </w:tcPr>
          <w:p w14:paraId="561E19F8"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64</w:t>
            </w:r>
          </w:p>
        </w:tc>
        <w:tc>
          <w:tcPr>
            <w:tcW w:w="156" w:type="pct"/>
            <w:gridSpan w:val="2"/>
            <w:noWrap/>
            <w:hideMark/>
          </w:tcPr>
          <w:p w14:paraId="5BD7225F"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29</w:t>
            </w:r>
          </w:p>
        </w:tc>
        <w:tc>
          <w:tcPr>
            <w:tcW w:w="157" w:type="pct"/>
            <w:noWrap/>
            <w:hideMark/>
          </w:tcPr>
          <w:p w14:paraId="674E8A33"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37</w:t>
            </w:r>
          </w:p>
        </w:tc>
        <w:tc>
          <w:tcPr>
            <w:tcW w:w="156" w:type="pct"/>
            <w:noWrap/>
            <w:hideMark/>
          </w:tcPr>
          <w:p w14:paraId="4B18B1C0"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18</w:t>
            </w:r>
          </w:p>
        </w:tc>
        <w:tc>
          <w:tcPr>
            <w:tcW w:w="156" w:type="pct"/>
            <w:gridSpan w:val="2"/>
            <w:noWrap/>
            <w:hideMark/>
          </w:tcPr>
          <w:p w14:paraId="0D67E9D2"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6681D34F"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1D947C7B"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gridSpan w:val="2"/>
            <w:noWrap/>
            <w:hideMark/>
          </w:tcPr>
          <w:p w14:paraId="64783B0C"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7" w:type="pct"/>
            <w:noWrap/>
            <w:hideMark/>
          </w:tcPr>
          <w:p w14:paraId="737E1652"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472B3542"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gridSpan w:val="2"/>
            <w:noWrap/>
            <w:hideMark/>
          </w:tcPr>
          <w:p w14:paraId="5FA70D5A"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26B81083"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4</w:t>
            </w:r>
          </w:p>
        </w:tc>
        <w:tc>
          <w:tcPr>
            <w:tcW w:w="156" w:type="pct"/>
            <w:noWrap/>
            <w:hideMark/>
          </w:tcPr>
          <w:p w14:paraId="7E5E2AC2"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2</w:t>
            </w:r>
          </w:p>
        </w:tc>
        <w:tc>
          <w:tcPr>
            <w:tcW w:w="156" w:type="pct"/>
            <w:gridSpan w:val="2"/>
            <w:noWrap/>
            <w:hideMark/>
          </w:tcPr>
          <w:p w14:paraId="7D9B4504"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123</w:t>
            </w:r>
          </w:p>
        </w:tc>
        <w:tc>
          <w:tcPr>
            <w:tcW w:w="156" w:type="pct"/>
            <w:noWrap/>
            <w:hideMark/>
          </w:tcPr>
          <w:p w14:paraId="48B3A410" w14:textId="77777777" w:rsidR="001B7372" w:rsidRPr="00A26A4F"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rPr>
            </w:pPr>
            <w:r w:rsidRPr="00A26A4F">
              <w:rPr>
                <w:color w:val="000000"/>
                <w:sz w:val="20"/>
              </w:rPr>
              <w:t>131</w:t>
            </w:r>
          </w:p>
        </w:tc>
        <w:tc>
          <w:tcPr>
            <w:tcW w:w="156" w:type="pct"/>
            <w:noWrap/>
            <w:hideMark/>
          </w:tcPr>
          <w:p w14:paraId="2EA9CC29"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94</w:t>
            </w:r>
          </w:p>
        </w:tc>
      </w:tr>
      <w:tr w:rsidR="00A1438E" w:rsidRPr="001B7372" w14:paraId="0DA4A776" w14:textId="77777777" w:rsidTr="001B737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75" w:type="pct"/>
            <w:noWrap/>
            <w:hideMark/>
          </w:tcPr>
          <w:p w14:paraId="7385A8ED" w14:textId="77777777" w:rsidR="001B7372" w:rsidRPr="001B7372" w:rsidRDefault="001B7372" w:rsidP="001B7372">
            <w:pPr>
              <w:pStyle w:val="VEOHRCBodytext"/>
              <w:rPr>
                <w:color w:val="000000"/>
                <w:sz w:val="20"/>
                <w:szCs w:val="20"/>
              </w:rPr>
            </w:pPr>
            <w:r w:rsidRPr="001B7372">
              <w:rPr>
                <w:color w:val="000000"/>
                <w:sz w:val="20"/>
                <w:szCs w:val="20"/>
              </w:rPr>
              <w:t>Authorising and assisting</w:t>
            </w:r>
          </w:p>
        </w:tc>
        <w:tc>
          <w:tcPr>
            <w:tcW w:w="156" w:type="pct"/>
            <w:noWrap/>
            <w:hideMark/>
          </w:tcPr>
          <w:p w14:paraId="69AE8195"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66AE2A23"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429367F7"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2C08541C"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568F86CB"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5B3304AB"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4F46F5AD"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704BDAB7"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4</w:t>
            </w:r>
          </w:p>
        </w:tc>
        <w:tc>
          <w:tcPr>
            <w:tcW w:w="156" w:type="pct"/>
            <w:noWrap/>
            <w:hideMark/>
          </w:tcPr>
          <w:p w14:paraId="29129BC3"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7" w:type="pct"/>
            <w:gridSpan w:val="2"/>
            <w:noWrap/>
            <w:hideMark/>
          </w:tcPr>
          <w:p w14:paraId="49EE564A"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5771358A"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2D1FD51D"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gridSpan w:val="2"/>
            <w:noWrap/>
            <w:hideMark/>
          </w:tcPr>
          <w:p w14:paraId="393F752E"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7" w:type="pct"/>
            <w:noWrap/>
            <w:hideMark/>
          </w:tcPr>
          <w:p w14:paraId="527F2FAA"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7454714F"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gridSpan w:val="2"/>
            <w:noWrap/>
            <w:hideMark/>
          </w:tcPr>
          <w:p w14:paraId="668BDAC2"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1E543672"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1FB97175"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gridSpan w:val="2"/>
            <w:noWrap/>
            <w:hideMark/>
          </w:tcPr>
          <w:p w14:paraId="28425844"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22</w:t>
            </w:r>
          </w:p>
        </w:tc>
        <w:tc>
          <w:tcPr>
            <w:tcW w:w="157" w:type="pct"/>
            <w:noWrap/>
            <w:hideMark/>
          </w:tcPr>
          <w:p w14:paraId="1440FC7A"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22</w:t>
            </w:r>
          </w:p>
        </w:tc>
        <w:tc>
          <w:tcPr>
            <w:tcW w:w="156" w:type="pct"/>
            <w:noWrap/>
            <w:hideMark/>
          </w:tcPr>
          <w:p w14:paraId="1C228AA5"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6</w:t>
            </w:r>
          </w:p>
        </w:tc>
        <w:tc>
          <w:tcPr>
            <w:tcW w:w="156" w:type="pct"/>
            <w:gridSpan w:val="2"/>
            <w:noWrap/>
            <w:hideMark/>
          </w:tcPr>
          <w:p w14:paraId="742DA9DD"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16DA7FE5"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57692A5D"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gridSpan w:val="2"/>
            <w:noWrap/>
            <w:hideMark/>
          </w:tcPr>
          <w:p w14:paraId="788B1822"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22</w:t>
            </w:r>
          </w:p>
        </w:tc>
        <w:tc>
          <w:tcPr>
            <w:tcW w:w="156" w:type="pct"/>
            <w:noWrap/>
            <w:hideMark/>
          </w:tcPr>
          <w:p w14:paraId="0B29D534" w14:textId="7B9E85CB" w:rsidR="001B7372" w:rsidRPr="00A26A4F" w:rsidRDefault="006C6B47"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rPr>
            </w:pPr>
            <w:r w:rsidRPr="006C6B47">
              <w:rPr>
                <w:rFonts w:cs="Arial"/>
                <w:sz w:val="20"/>
                <w:szCs w:val="20"/>
              </w:rPr>
              <w:t>18</w:t>
            </w:r>
          </w:p>
        </w:tc>
        <w:tc>
          <w:tcPr>
            <w:tcW w:w="156" w:type="pct"/>
            <w:noWrap/>
            <w:hideMark/>
          </w:tcPr>
          <w:p w14:paraId="5EE4E150"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6</w:t>
            </w:r>
          </w:p>
        </w:tc>
      </w:tr>
      <w:tr w:rsidR="001B7372" w:rsidRPr="001B7372" w14:paraId="572CD408" w14:textId="77777777" w:rsidTr="00A26A4F">
        <w:trPr>
          <w:trHeight w:val="397"/>
        </w:trPr>
        <w:tc>
          <w:tcPr>
            <w:cnfStyle w:val="001000000000" w:firstRow="0" w:lastRow="0" w:firstColumn="1" w:lastColumn="0" w:oddVBand="0" w:evenVBand="0" w:oddHBand="0" w:evenHBand="0" w:firstRowFirstColumn="0" w:firstRowLastColumn="0" w:lastRowFirstColumn="0" w:lastRowLastColumn="0"/>
            <w:tcW w:w="775" w:type="pct"/>
            <w:noWrap/>
            <w:hideMark/>
          </w:tcPr>
          <w:p w14:paraId="00B914D7" w14:textId="77777777" w:rsidR="001B7372" w:rsidRPr="001B7372" w:rsidRDefault="001B7372" w:rsidP="001B7372">
            <w:pPr>
              <w:pStyle w:val="VEOHRCBodytext"/>
              <w:rPr>
                <w:color w:val="000000"/>
                <w:sz w:val="20"/>
                <w:szCs w:val="20"/>
              </w:rPr>
            </w:pPr>
            <w:r w:rsidRPr="001B7372">
              <w:rPr>
                <w:color w:val="000000"/>
                <w:sz w:val="20"/>
                <w:szCs w:val="20"/>
              </w:rPr>
              <w:t>Breastfeeding</w:t>
            </w:r>
          </w:p>
        </w:tc>
        <w:tc>
          <w:tcPr>
            <w:tcW w:w="156" w:type="pct"/>
            <w:noWrap/>
            <w:hideMark/>
          </w:tcPr>
          <w:p w14:paraId="57612DB5"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46235C09"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558E9E0F"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5B5288A7"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08515B65"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342BD44F"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107CB165"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3</w:t>
            </w:r>
          </w:p>
        </w:tc>
        <w:tc>
          <w:tcPr>
            <w:tcW w:w="156" w:type="pct"/>
            <w:noWrap/>
            <w:hideMark/>
          </w:tcPr>
          <w:p w14:paraId="1AAE293D"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2670CFD2"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2</w:t>
            </w:r>
          </w:p>
        </w:tc>
        <w:tc>
          <w:tcPr>
            <w:tcW w:w="157" w:type="pct"/>
            <w:gridSpan w:val="2"/>
            <w:noWrap/>
            <w:hideMark/>
          </w:tcPr>
          <w:p w14:paraId="50E169C7"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5</w:t>
            </w:r>
          </w:p>
        </w:tc>
        <w:tc>
          <w:tcPr>
            <w:tcW w:w="156" w:type="pct"/>
            <w:noWrap/>
            <w:hideMark/>
          </w:tcPr>
          <w:p w14:paraId="72A3E3DC"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3</w:t>
            </w:r>
          </w:p>
        </w:tc>
        <w:tc>
          <w:tcPr>
            <w:tcW w:w="156" w:type="pct"/>
            <w:noWrap/>
            <w:hideMark/>
          </w:tcPr>
          <w:p w14:paraId="146976B2"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6</w:t>
            </w:r>
          </w:p>
        </w:tc>
        <w:tc>
          <w:tcPr>
            <w:tcW w:w="156" w:type="pct"/>
            <w:gridSpan w:val="2"/>
            <w:noWrap/>
            <w:hideMark/>
          </w:tcPr>
          <w:p w14:paraId="2CFB433D"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7" w:type="pct"/>
            <w:noWrap/>
            <w:hideMark/>
          </w:tcPr>
          <w:p w14:paraId="3E4F33F5"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7</w:t>
            </w:r>
          </w:p>
        </w:tc>
        <w:tc>
          <w:tcPr>
            <w:tcW w:w="156" w:type="pct"/>
            <w:noWrap/>
            <w:hideMark/>
          </w:tcPr>
          <w:p w14:paraId="7F890BB3"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3</w:t>
            </w:r>
          </w:p>
        </w:tc>
        <w:tc>
          <w:tcPr>
            <w:tcW w:w="156" w:type="pct"/>
            <w:gridSpan w:val="2"/>
            <w:noWrap/>
            <w:hideMark/>
          </w:tcPr>
          <w:p w14:paraId="4792E017"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68ABBB2E"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1F38B1F9"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gridSpan w:val="2"/>
            <w:noWrap/>
            <w:hideMark/>
          </w:tcPr>
          <w:p w14:paraId="5D106443"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7" w:type="pct"/>
            <w:noWrap/>
            <w:hideMark/>
          </w:tcPr>
          <w:p w14:paraId="58E35121"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23AC4352"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gridSpan w:val="2"/>
            <w:noWrap/>
            <w:hideMark/>
          </w:tcPr>
          <w:p w14:paraId="229F5C95"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56AF9805"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2967D421"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gridSpan w:val="2"/>
            <w:noWrap/>
            <w:hideMark/>
          </w:tcPr>
          <w:p w14:paraId="0F41C770"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8</w:t>
            </w:r>
          </w:p>
        </w:tc>
        <w:tc>
          <w:tcPr>
            <w:tcW w:w="156" w:type="pct"/>
            <w:noWrap/>
            <w:hideMark/>
          </w:tcPr>
          <w:p w14:paraId="698CD82B" w14:textId="77777777" w:rsidR="001B7372" w:rsidRPr="00A26A4F"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rPr>
            </w:pPr>
            <w:r w:rsidRPr="00A26A4F">
              <w:rPr>
                <w:color w:val="000000"/>
                <w:sz w:val="20"/>
              </w:rPr>
              <w:t>10</w:t>
            </w:r>
          </w:p>
        </w:tc>
        <w:tc>
          <w:tcPr>
            <w:tcW w:w="156" w:type="pct"/>
            <w:noWrap/>
            <w:hideMark/>
          </w:tcPr>
          <w:p w14:paraId="5B4DEA92"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11</w:t>
            </w:r>
          </w:p>
        </w:tc>
      </w:tr>
      <w:tr w:rsidR="00A1438E" w:rsidRPr="001B7372" w14:paraId="6CE878E3" w14:textId="77777777" w:rsidTr="001B737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75" w:type="pct"/>
            <w:noWrap/>
            <w:hideMark/>
          </w:tcPr>
          <w:p w14:paraId="6DCF0D72" w14:textId="77777777" w:rsidR="001B7372" w:rsidRPr="001B7372" w:rsidRDefault="001B7372" w:rsidP="001B7372">
            <w:pPr>
              <w:pStyle w:val="VEOHRCBodytext"/>
              <w:rPr>
                <w:color w:val="000000"/>
                <w:sz w:val="20"/>
                <w:szCs w:val="20"/>
              </w:rPr>
            </w:pPr>
            <w:r w:rsidRPr="001B7372">
              <w:rPr>
                <w:color w:val="000000"/>
                <w:sz w:val="20"/>
                <w:szCs w:val="20"/>
              </w:rPr>
              <w:t>Carer status</w:t>
            </w:r>
          </w:p>
        </w:tc>
        <w:tc>
          <w:tcPr>
            <w:tcW w:w="156" w:type="pct"/>
            <w:noWrap/>
            <w:hideMark/>
          </w:tcPr>
          <w:p w14:paraId="3B43C6C0"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12</w:t>
            </w:r>
          </w:p>
        </w:tc>
        <w:tc>
          <w:tcPr>
            <w:tcW w:w="156" w:type="pct"/>
            <w:noWrap/>
            <w:hideMark/>
          </w:tcPr>
          <w:p w14:paraId="322C82CD"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7</w:t>
            </w:r>
          </w:p>
        </w:tc>
        <w:tc>
          <w:tcPr>
            <w:tcW w:w="156" w:type="pct"/>
            <w:noWrap/>
            <w:hideMark/>
          </w:tcPr>
          <w:p w14:paraId="70A2BE26"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10</w:t>
            </w:r>
          </w:p>
        </w:tc>
        <w:tc>
          <w:tcPr>
            <w:tcW w:w="156" w:type="pct"/>
            <w:noWrap/>
            <w:hideMark/>
          </w:tcPr>
          <w:p w14:paraId="2E65A32E"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1</w:t>
            </w:r>
          </w:p>
        </w:tc>
        <w:tc>
          <w:tcPr>
            <w:tcW w:w="156" w:type="pct"/>
            <w:noWrap/>
            <w:hideMark/>
          </w:tcPr>
          <w:p w14:paraId="0C31DA6E"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6F9562B5"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50F8B529"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3</w:t>
            </w:r>
          </w:p>
        </w:tc>
        <w:tc>
          <w:tcPr>
            <w:tcW w:w="156" w:type="pct"/>
            <w:noWrap/>
            <w:hideMark/>
          </w:tcPr>
          <w:p w14:paraId="704AC606"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7F9BD61A"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6</w:t>
            </w:r>
          </w:p>
        </w:tc>
        <w:tc>
          <w:tcPr>
            <w:tcW w:w="157" w:type="pct"/>
            <w:gridSpan w:val="2"/>
            <w:noWrap/>
            <w:hideMark/>
          </w:tcPr>
          <w:p w14:paraId="1871A274"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62</w:t>
            </w:r>
          </w:p>
        </w:tc>
        <w:tc>
          <w:tcPr>
            <w:tcW w:w="156" w:type="pct"/>
            <w:noWrap/>
            <w:hideMark/>
          </w:tcPr>
          <w:p w14:paraId="5A71EB1F"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76</w:t>
            </w:r>
          </w:p>
        </w:tc>
        <w:tc>
          <w:tcPr>
            <w:tcW w:w="156" w:type="pct"/>
            <w:noWrap/>
            <w:hideMark/>
          </w:tcPr>
          <w:p w14:paraId="5F55D9D4"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64</w:t>
            </w:r>
          </w:p>
        </w:tc>
        <w:tc>
          <w:tcPr>
            <w:tcW w:w="156" w:type="pct"/>
            <w:gridSpan w:val="2"/>
            <w:noWrap/>
            <w:hideMark/>
          </w:tcPr>
          <w:p w14:paraId="7B92847C"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15</w:t>
            </w:r>
          </w:p>
        </w:tc>
        <w:tc>
          <w:tcPr>
            <w:tcW w:w="157" w:type="pct"/>
            <w:noWrap/>
            <w:hideMark/>
          </w:tcPr>
          <w:p w14:paraId="3EF18D85"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23</w:t>
            </w:r>
          </w:p>
        </w:tc>
        <w:tc>
          <w:tcPr>
            <w:tcW w:w="156" w:type="pct"/>
            <w:noWrap/>
            <w:hideMark/>
          </w:tcPr>
          <w:p w14:paraId="53CF068D"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12</w:t>
            </w:r>
          </w:p>
        </w:tc>
        <w:tc>
          <w:tcPr>
            <w:tcW w:w="156" w:type="pct"/>
            <w:gridSpan w:val="2"/>
            <w:noWrap/>
            <w:hideMark/>
          </w:tcPr>
          <w:p w14:paraId="483B23E4"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1FDCC569"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738E0FFA"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gridSpan w:val="2"/>
            <w:noWrap/>
            <w:hideMark/>
          </w:tcPr>
          <w:p w14:paraId="2C07EAEC"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7" w:type="pct"/>
            <w:noWrap/>
            <w:hideMark/>
          </w:tcPr>
          <w:p w14:paraId="46CC3860"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239B9025"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gridSpan w:val="2"/>
            <w:noWrap/>
            <w:hideMark/>
          </w:tcPr>
          <w:p w14:paraId="21F5AA0B"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1</w:t>
            </w:r>
          </w:p>
        </w:tc>
        <w:tc>
          <w:tcPr>
            <w:tcW w:w="156" w:type="pct"/>
            <w:noWrap/>
            <w:hideMark/>
          </w:tcPr>
          <w:p w14:paraId="6889303A"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720BFECE"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gridSpan w:val="2"/>
            <w:noWrap/>
            <w:hideMark/>
          </w:tcPr>
          <w:p w14:paraId="513B0797"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94</w:t>
            </w:r>
          </w:p>
        </w:tc>
        <w:tc>
          <w:tcPr>
            <w:tcW w:w="156" w:type="pct"/>
            <w:noWrap/>
            <w:hideMark/>
          </w:tcPr>
          <w:p w14:paraId="609F1547" w14:textId="77777777" w:rsidR="001B7372" w:rsidRPr="00A26A4F"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rPr>
            </w:pPr>
            <w:r w:rsidRPr="00A26A4F">
              <w:rPr>
                <w:color w:val="000000"/>
                <w:sz w:val="20"/>
              </w:rPr>
              <w:t>106</w:t>
            </w:r>
          </w:p>
        </w:tc>
        <w:tc>
          <w:tcPr>
            <w:tcW w:w="156" w:type="pct"/>
            <w:noWrap/>
            <w:hideMark/>
          </w:tcPr>
          <w:p w14:paraId="5200346F"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92</w:t>
            </w:r>
          </w:p>
        </w:tc>
      </w:tr>
      <w:tr w:rsidR="001B7372" w:rsidRPr="001B7372" w14:paraId="26B25676" w14:textId="77777777" w:rsidTr="00A26A4F">
        <w:trPr>
          <w:trHeight w:val="397"/>
        </w:trPr>
        <w:tc>
          <w:tcPr>
            <w:cnfStyle w:val="001000000000" w:firstRow="0" w:lastRow="0" w:firstColumn="1" w:lastColumn="0" w:oddVBand="0" w:evenVBand="0" w:oddHBand="0" w:evenHBand="0" w:firstRowFirstColumn="0" w:firstRowLastColumn="0" w:lastRowFirstColumn="0" w:lastRowLastColumn="0"/>
            <w:tcW w:w="775" w:type="pct"/>
            <w:noWrap/>
            <w:hideMark/>
          </w:tcPr>
          <w:p w14:paraId="2D729241" w14:textId="77777777" w:rsidR="001B7372" w:rsidRPr="001B7372" w:rsidRDefault="001B7372" w:rsidP="001B7372">
            <w:pPr>
              <w:pStyle w:val="VEOHRCBodytext"/>
              <w:rPr>
                <w:color w:val="000000"/>
                <w:sz w:val="20"/>
                <w:szCs w:val="20"/>
              </w:rPr>
            </w:pPr>
            <w:r w:rsidRPr="001B7372">
              <w:rPr>
                <w:color w:val="000000"/>
                <w:sz w:val="20"/>
                <w:szCs w:val="20"/>
              </w:rPr>
              <w:t>Disability</w:t>
            </w:r>
          </w:p>
        </w:tc>
        <w:tc>
          <w:tcPr>
            <w:tcW w:w="156" w:type="pct"/>
            <w:noWrap/>
            <w:hideMark/>
          </w:tcPr>
          <w:p w14:paraId="1F618FC6"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38</w:t>
            </w:r>
          </w:p>
        </w:tc>
        <w:tc>
          <w:tcPr>
            <w:tcW w:w="156" w:type="pct"/>
            <w:noWrap/>
            <w:hideMark/>
          </w:tcPr>
          <w:p w14:paraId="7CD54F54"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69</w:t>
            </w:r>
          </w:p>
        </w:tc>
        <w:tc>
          <w:tcPr>
            <w:tcW w:w="156" w:type="pct"/>
            <w:noWrap/>
            <w:hideMark/>
          </w:tcPr>
          <w:p w14:paraId="1E5156C2"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68</w:t>
            </w:r>
          </w:p>
        </w:tc>
        <w:tc>
          <w:tcPr>
            <w:tcW w:w="156" w:type="pct"/>
            <w:noWrap/>
            <w:hideMark/>
          </w:tcPr>
          <w:p w14:paraId="317A1317"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2</w:t>
            </w:r>
          </w:p>
        </w:tc>
        <w:tc>
          <w:tcPr>
            <w:tcW w:w="156" w:type="pct"/>
            <w:noWrap/>
            <w:hideMark/>
          </w:tcPr>
          <w:p w14:paraId="333B1F31"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2</w:t>
            </w:r>
          </w:p>
        </w:tc>
        <w:tc>
          <w:tcPr>
            <w:tcW w:w="156" w:type="pct"/>
            <w:noWrap/>
            <w:hideMark/>
          </w:tcPr>
          <w:p w14:paraId="7E28595D"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6CF93852"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47</w:t>
            </w:r>
          </w:p>
        </w:tc>
        <w:tc>
          <w:tcPr>
            <w:tcW w:w="156" w:type="pct"/>
            <w:noWrap/>
            <w:hideMark/>
          </w:tcPr>
          <w:p w14:paraId="2FF2A597"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68</w:t>
            </w:r>
          </w:p>
        </w:tc>
        <w:tc>
          <w:tcPr>
            <w:tcW w:w="156" w:type="pct"/>
            <w:noWrap/>
            <w:hideMark/>
          </w:tcPr>
          <w:p w14:paraId="0AC758D1"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67</w:t>
            </w:r>
          </w:p>
        </w:tc>
        <w:tc>
          <w:tcPr>
            <w:tcW w:w="157" w:type="pct"/>
            <w:gridSpan w:val="2"/>
            <w:noWrap/>
            <w:hideMark/>
          </w:tcPr>
          <w:p w14:paraId="1CA6FDEE"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258</w:t>
            </w:r>
          </w:p>
        </w:tc>
        <w:tc>
          <w:tcPr>
            <w:tcW w:w="156" w:type="pct"/>
            <w:noWrap/>
            <w:hideMark/>
          </w:tcPr>
          <w:p w14:paraId="4D68492F"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289</w:t>
            </w:r>
          </w:p>
        </w:tc>
        <w:tc>
          <w:tcPr>
            <w:tcW w:w="156" w:type="pct"/>
            <w:noWrap/>
            <w:hideMark/>
          </w:tcPr>
          <w:p w14:paraId="34CC72FB"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282</w:t>
            </w:r>
          </w:p>
        </w:tc>
        <w:tc>
          <w:tcPr>
            <w:tcW w:w="156" w:type="pct"/>
            <w:gridSpan w:val="2"/>
            <w:noWrap/>
            <w:hideMark/>
          </w:tcPr>
          <w:p w14:paraId="2263D809"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197</w:t>
            </w:r>
          </w:p>
        </w:tc>
        <w:tc>
          <w:tcPr>
            <w:tcW w:w="157" w:type="pct"/>
            <w:noWrap/>
            <w:hideMark/>
          </w:tcPr>
          <w:p w14:paraId="6B63845E"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163</w:t>
            </w:r>
          </w:p>
        </w:tc>
        <w:tc>
          <w:tcPr>
            <w:tcW w:w="156" w:type="pct"/>
            <w:noWrap/>
            <w:hideMark/>
          </w:tcPr>
          <w:p w14:paraId="63DA05B4"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245</w:t>
            </w:r>
          </w:p>
        </w:tc>
        <w:tc>
          <w:tcPr>
            <w:tcW w:w="156" w:type="pct"/>
            <w:gridSpan w:val="2"/>
            <w:noWrap/>
            <w:hideMark/>
          </w:tcPr>
          <w:p w14:paraId="3E19B876"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7BC65A2F"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037EBCAE"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gridSpan w:val="2"/>
            <w:noWrap/>
            <w:hideMark/>
          </w:tcPr>
          <w:p w14:paraId="30191F93"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7" w:type="pct"/>
            <w:noWrap/>
            <w:hideMark/>
          </w:tcPr>
          <w:p w14:paraId="4EDD255D"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14EF4E42"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gridSpan w:val="2"/>
            <w:noWrap/>
            <w:hideMark/>
          </w:tcPr>
          <w:p w14:paraId="3B99FBEA"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2</w:t>
            </w:r>
          </w:p>
        </w:tc>
        <w:tc>
          <w:tcPr>
            <w:tcW w:w="156" w:type="pct"/>
            <w:noWrap/>
            <w:hideMark/>
          </w:tcPr>
          <w:p w14:paraId="1D6213DB"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5</w:t>
            </w:r>
          </w:p>
        </w:tc>
        <w:tc>
          <w:tcPr>
            <w:tcW w:w="156" w:type="pct"/>
            <w:noWrap/>
            <w:hideMark/>
          </w:tcPr>
          <w:p w14:paraId="56A075D9"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1</w:t>
            </w:r>
          </w:p>
        </w:tc>
        <w:tc>
          <w:tcPr>
            <w:tcW w:w="156" w:type="pct"/>
            <w:gridSpan w:val="2"/>
            <w:noWrap/>
            <w:hideMark/>
          </w:tcPr>
          <w:p w14:paraId="64D5F5FF"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544</w:t>
            </w:r>
          </w:p>
        </w:tc>
        <w:tc>
          <w:tcPr>
            <w:tcW w:w="156" w:type="pct"/>
            <w:noWrap/>
            <w:hideMark/>
          </w:tcPr>
          <w:p w14:paraId="7F4B349D" w14:textId="77777777" w:rsidR="001B7372" w:rsidRPr="00A26A4F"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rPr>
            </w:pPr>
            <w:r w:rsidRPr="00A26A4F">
              <w:rPr>
                <w:color w:val="000000"/>
                <w:sz w:val="20"/>
              </w:rPr>
              <w:t>596</w:t>
            </w:r>
          </w:p>
        </w:tc>
        <w:tc>
          <w:tcPr>
            <w:tcW w:w="156" w:type="pct"/>
            <w:noWrap/>
            <w:hideMark/>
          </w:tcPr>
          <w:p w14:paraId="032E6A58"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663</w:t>
            </w:r>
          </w:p>
        </w:tc>
      </w:tr>
      <w:tr w:rsidR="00A1438E" w:rsidRPr="001B7372" w14:paraId="2D4FB57E" w14:textId="77777777" w:rsidTr="001B737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75" w:type="pct"/>
            <w:noWrap/>
            <w:hideMark/>
          </w:tcPr>
          <w:p w14:paraId="22ABB1F5" w14:textId="77777777" w:rsidR="001B7372" w:rsidRPr="001B7372" w:rsidRDefault="001B7372" w:rsidP="001B7372">
            <w:pPr>
              <w:pStyle w:val="VEOHRCBodytext"/>
              <w:rPr>
                <w:color w:val="000000"/>
                <w:sz w:val="20"/>
                <w:szCs w:val="20"/>
              </w:rPr>
            </w:pPr>
            <w:r w:rsidRPr="001B7372">
              <w:rPr>
                <w:color w:val="000000"/>
                <w:sz w:val="20"/>
                <w:szCs w:val="20"/>
              </w:rPr>
              <w:t>Discriminatory information request</w:t>
            </w:r>
          </w:p>
        </w:tc>
        <w:tc>
          <w:tcPr>
            <w:tcW w:w="156" w:type="pct"/>
            <w:noWrap/>
            <w:hideMark/>
          </w:tcPr>
          <w:p w14:paraId="2FD6BA41"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5BB41692"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26D2B968"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7D1F8080"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3C91B7C5"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3D43D16A"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6DC5A8F8"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52F02DA6"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6314275F"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7" w:type="pct"/>
            <w:gridSpan w:val="2"/>
            <w:noWrap/>
            <w:hideMark/>
          </w:tcPr>
          <w:p w14:paraId="17376133"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42989467"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72821A11"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gridSpan w:val="2"/>
            <w:noWrap/>
            <w:hideMark/>
          </w:tcPr>
          <w:p w14:paraId="042EF88A"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7" w:type="pct"/>
            <w:noWrap/>
            <w:hideMark/>
          </w:tcPr>
          <w:p w14:paraId="19016B13"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6675806E"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gridSpan w:val="2"/>
            <w:noWrap/>
            <w:hideMark/>
          </w:tcPr>
          <w:p w14:paraId="44CCF592"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05F5B450"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3E132579"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gridSpan w:val="2"/>
            <w:noWrap/>
            <w:hideMark/>
          </w:tcPr>
          <w:p w14:paraId="7F916693"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5</w:t>
            </w:r>
          </w:p>
        </w:tc>
        <w:tc>
          <w:tcPr>
            <w:tcW w:w="157" w:type="pct"/>
            <w:noWrap/>
            <w:hideMark/>
          </w:tcPr>
          <w:p w14:paraId="08190A85"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5</w:t>
            </w:r>
          </w:p>
        </w:tc>
        <w:tc>
          <w:tcPr>
            <w:tcW w:w="156" w:type="pct"/>
            <w:noWrap/>
            <w:hideMark/>
          </w:tcPr>
          <w:p w14:paraId="43B54032"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5</w:t>
            </w:r>
          </w:p>
        </w:tc>
        <w:tc>
          <w:tcPr>
            <w:tcW w:w="156" w:type="pct"/>
            <w:gridSpan w:val="2"/>
            <w:noWrap/>
            <w:hideMark/>
          </w:tcPr>
          <w:p w14:paraId="1B6C9AA1"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3074CB83"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0BB01CD6"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gridSpan w:val="2"/>
            <w:noWrap/>
            <w:hideMark/>
          </w:tcPr>
          <w:p w14:paraId="7E4EF2B7"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5</w:t>
            </w:r>
          </w:p>
        </w:tc>
        <w:tc>
          <w:tcPr>
            <w:tcW w:w="156" w:type="pct"/>
            <w:noWrap/>
            <w:hideMark/>
          </w:tcPr>
          <w:p w14:paraId="35C2406E" w14:textId="77777777" w:rsidR="001B7372" w:rsidRPr="00A26A4F"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rPr>
            </w:pPr>
            <w:r w:rsidRPr="00A26A4F">
              <w:rPr>
                <w:color w:val="000000"/>
                <w:sz w:val="20"/>
              </w:rPr>
              <w:t>5</w:t>
            </w:r>
          </w:p>
        </w:tc>
        <w:tc>
          <w:tcPr>
            <w:tcW w:w="156" w:type="pct"/>
            <w:noWrap/>
            <w:hideMark/>
          </w:tcPr>
          <w:p w14:paraId="782E8FCD"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5</w:t>
            </w:r>
          </w:p>
        </w:tc>
      </w:tr>
      <w:tr w:rsidR="001B7372" w:rsidRPr="001B7372" w14:paraId="3C53B5C3" w14:textId="77777777" w:rsidTr="00A26A4F">
        <w:trPr>
          <w:trHeight w:val="397"/>
        </w:trPr>
        <w:tc>
          <w:tcPr>
            <w:cnfStyle w:val="001000000000" w:firstRow="0" w:lastRow="0" w:firstColumn="1" w:lastColumn="0" w:oddVBand="0" w:evenVBand="0" w:oddHBand="0" w:evenHBand="0" w:firstRowFirstColumn="0" w:firstRowLastColumn="0" w:lastRowFirstColumn="0" w:lastRowLastColumn="0"/>
            <w:tcW w:w="775" w:type="pct"/>
            <w:noWrap/>
            <w:hideMark/>
          </w:tcPr>
          <w:p w14:paraId="65F26CBA" w14:textId="77777777" w:rsidR="001B7372" w:rsidRPr="001B7372" w:rsidRDefault="001B7372" w:rsidP="001B7372">
            <w:pPr>
              <w:pStyle w:val="VEOHRCBodytext"/>
              <w:rPr>
                <w:color w:val="000000"/>
                <w:sz w:val="20"/>
                <w:szCs w:val="20"/>
              </w:rPr>
            </w:pPr>
            <w:r w:rsidRPr="001B7372">
              <w:rPr>
                <w:color w:val="000000"/>
                <w:sz w:val="20"/>
                <w:szCs w:val="20"/>
              </w:rPr>
              <w:t>Employment activity</w:t>
            </w:r>
          </w:p>
        </w:tc>
        <w:tc>
          <w:tcPr>
            <w:tcW w:w="156" w:type="pct"/>
            <w:noWrap/>
            <w:hideMark/>
          </w:tcPr>
          <w:p w14:paraId="20420020"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1F0B9C53"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1B78E7AF"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085CDBA6"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6D63362F"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1222A2D6"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55CDA5A9"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4D592DE5"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71427A70"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7" w:type="pct"/>
            <w:gridSpan w:val="2"/>
            <w:noWrap/>
            <w:hideMark/>
          </w:tcPr>
          <w:p w14:paraId="1E600922"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114</w:t>
            </w:r>
          </w:p>
        </w:tc>
        <w:tc>
          <w:tcPr>
            <w:tcW w:w="156" w:type="pct"/>
            <w:noWrap/>
            <w:hideMark/>
          </w:tcPr>
          <w:p w14:paraId="654B2D4C"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102</w:t>
            </w:r>
          </w:p>
        </w:tc>
        <w:tc>
          <w:tcPr>
            <w:tcW w:w="156" w:type="pct"/>
            <w:noWrap/>
            <w:hideMark/>
          </w:tcPr>
          <w:p w14:paraId="1015B58C"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113</w:t>
            </w:r>
          </w:p>
        </w:tc>
        <w:tc>
          <w:tcPr>
            <w:tcW w:w="156" w:type="pct"/>
            <w:gridSpan w:val="2"/>
            <w:noWrap/>
            <w:hideMark/>
          </w:tcPr>
          <w:p w14:paraId="2BE275C8"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7" w:type="pct"/>
            <w:noWrap/>
            <w:hideMark/>
          </w:tcPr>
          <w:p w14:paraId="29CD3CCB"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41A207FF"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gridSpan w:val="2"/>
            <w:noWrap/>
            <w:hideMark/>
          </w:tcPr>
          <w:p w14:paraId="001989B9"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6EC527A4"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1C8EA994"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gridSpan w:val="2"/>
            <w:noWrap/>
            <w:hideMark/>
          </w:tcPr>
          <w:p w14:paraId="280C62B7"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7" w:type="pct"/>
            <w:noWrap/>
            <w:hideMark/>
          </w:tcPr>
          <w:p w14:paraId="7E33D90C"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261AA802"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gridSpan w:val="2"/>
            <w:noWrap/>
            <w:hideMark/>
          </w:tcPr>
          <w:p w14:paraId="67AC17EF"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501F2967"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56843EBD"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gridSpan w:val="2"/>
            <w:noWrap/>
            <w:hideMark/>
          </w:tcPr>
          <w:p w14:paraId="2A67CF33"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114</w:t>
            </w:r>
          </w:p>
        </w:tc>
        <w:tc>
          <w:tcPr>
            <w:tcW w:w="156" w:type="pct"/>
            <w:noWrap/>
            <w:hideMark/>
          </w:tcPr>
          <w:p w14:paraId="6B8498A3" w14:textId="77777777" w:rsidR="001B7372" w:rsidRPr="00A26A4F"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rPr>
            </w:pPr>
            <w:r w:rsidRPr="00A26A4F">
              <w:rPr>
                <w:color w:val="000000"/>
                <w:sz w:val="20"/>
              </w:rPr>
              <w:t>102</w:t>
            </w:r>
          </w:p>
        </w:tc>
        <w:tc>
          <w:tcPr>
            <w:tcW w:w="156" w:type="pct"/>
            <w:noWrap/>
            <w:hideMark/>
          </w:tcPr>
          <w:p w14:paraId="58E09F7F"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113</w:t>
            </w:r>
          </w:p>
        </w:tc>
      </w:tr>
      <w:tr w:rsidR="00A1438E" w:rsidRPr="001B7372" w14:paraId="7118C426" w14:textId="77777777" w:rsidTr="001B737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75" w:type="pct"/>
            <w:noWrap/>
            <w:hideMark/>
          </w:tcPr>
          <w:p w14:paraId="7270BF85" w14:textId="77777777" w:rsidR="001B7372" w:rsidRPr="001B7372" w:rsidRDefault="001B7372" w:rsidP="001B7372">
            <w:pPr>
              <w:pStyle w:val="VEOHRCBodytext"/>
              <w:rPr>
                <w:color w:val="000000"/>
                <w:sz w:val="20"/>
                <w:szCs w:val="20"/>
              </w:rPr>
            </w:pPr>
            <w:r w:rsidRPr="001B7372">
              <w:rPr>
                <w:color w:val="000000"/>
                <w:sz w:val="20"/>
                <w:szCs w:val="20"/>
              </w:rPr>
              <w:t>Expunged Homosexual Conviction</w:t>
            </w:r>
          </w:p>
        </w:tc>
        <w:tc>
          <w:tcPr>
            <w:tcW w:w="156" w:type="pct"/>
            <w:noWrap/>
            <w:hideMark/>
          </w:tcPr>
          <w:p w14:paraId="6A704EAB"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7186F1FA"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60FDE753"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07A03D63"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295FB776"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580E020F"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2C71CB46"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248FFD65"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42F8D1AD"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7" w:type="pct"/>
            <w:gridSpan w:val="2"/>
            <w:noWrap/>
            <w:hideMark/>
          </w:tcPr>
          <w:p w14:paraId="5E90A659"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6E4A8FA0"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3D74F186"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gridSpan w:val="2"/>
            <w:noWrap/>
            <w:hideMark/>
          </w:tcPr>
          <w:p w14:paraId="4A627A05"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7" w:type="pct"/>
            <w:noWrap/>
            <w:hideMark/>
          </w:tcPr>
          <w:p w14:paraId="3EEFF193"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1613737D"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gridSpan w:val="2"/>
            <w:noWrap/>
            <w:hideMark/>
          </w:tcPr>
          <w:p w14:paraId="03424926"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20FCD5E7"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1EA6C102"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gridSpan w:val="2"/>
            <w:noWrap/>
            <w:hideMark/>
          </w:tcPr>
          <w:p w14:paraId="7E473C25"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7" w:type="pct"/>
            <w:noWrap/>
            <w:hideMark/>
          </w:tcPr>
          <w:p w14:paraId="0DDB5027"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319EB39F"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gridSpan w:val="2"/>
            <w:noWrap/>
            <w:hideMark/>
          </w:tcPr>
          <w:p w14:paraId="305DB13B"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1564EF71"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5C426EB5"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gridSpan w:val="2"/>
            <w:noWrap/>
            <w:hideMark/>
          </w:tcPr>
          <w:p w14:paraId="7B9DF97B"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7678DAD1" w14:textId="77777777" w:rsidR="001B7372" w:rsidRPr="00A26A4F"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rPr>
            </w:pPr>
            <w:r w:rsidRPr="00A26A4F">
              <w:rPr>
                <w:color w:val="000000"/>
                <w:sz w:val="20"/>
              </w:rPr>
              <w:t> </w:t>
            </w:r>
          </w:p>
        </w:tc>
        <w:tc>
          <w:tcPr>
            <w:tcW w:w="156" w:type="pct"/>
            <w:noWrap/>
            <w:hideMark/>
          </w:tcPr>
          <w:p w14:paraId="156F7CF0"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r>
      <w:tr w:rsidR="001B7372" w:rsidRPr="001B7372" w14:paraId="736B0885" w14:textId="77777777" w:rsidTr="00A26A4F">
        <w:trPr>
          <w:trHeight w:val="397"/>
        </w:trPr>
        <w:tc>
          <w:tcPr>
            <w:cnfStyle w:val="001000000000" w:firstRow="0" w:lastRow="0" w:firstColumn="1" w:lastColumn="0" w:oddVBand="0" w:evenVBand="0" w:oddHBand="0" w:evenHBand="0" w:firstRowFirstColumn="0" w:firstRowLastColumn="0" w:lastRowFirstColumn="0" w:lastRowLastColumn="0"/>
            <w:tcW w:w="775" w:type="pct"/>
            <w:noWrap/>
            <w:hideMark/>
          </w:tcPr>
          <w:p w14:paraId="5E29D226" w14:textId="77777777" w:rsidR="001B7372" w:rsidRPr="001B7372" w:rsidRDefault="001B7372" w:rsidP="001B7372">
            <w:pPr>
              <w:pStyle w:val="VEOHRCBodytext"/>
              <w:rPr>
                <w:color w:val="000000"/>
                <w:sz w:val="20"/>
                <w:szCs w:val="20"/>
              </w:rPr>
            </w:pPr>
            <w:r w:rsidRPr="001B7372">
              <w:rPr>
                <w:color w:val="000000"/>
                <w:sz w:val="20"/>
                <w:szCs w:val="20"/>
              </w:rPr>
              <w:t>Gender identity</w:t>
            </w:r>
          </w:p>
        </w:tc>
        <w:tc>
          <w:tcPr>
            <w:tcW w:w="156" w:type="pct"/>
            <w:noWrap/>
            <w:hideMark/>
          </w:tcPr>
          <w:p w14:paraId="056FEED3"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1</w:t>
            </w:r>
          </w:p>
        </w:tc>
        <w:tc>
          <w:tcPr>
            <w:tcW w:w="156" w:type="pct"/>
            <w:noWrap/>
            <w:hideMark/>
          </w:tcPr>
          <w:p w14:paraId="3229C129"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06E417B1"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3</w:t>
            </w:r>
          </w:p>
        </w:tc>
        <w:tc>
          <w:tcPr>
            <w:tcW w:w="156" w:type="pct"/>
            <w:noWrap/>
            <w:hideMark/>
          </w:tcPr>
          <w:p w14:paraId="776D93F3"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41D1C963"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2827BB66"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174D0921"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2</w:t>
            </w:r>
          </w:p>
        </w:tc>
        <w:tc>
          <w:tcPr>
            <w:tcW w:w="156" w:type="pct"/>
            <w:noWrap/>
            <w:hideMark/>
          </w:tcPr>
          <w:p w14:paraId="0163FF00"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743A4577"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2</w:t>
            </w:r>
          </w:p>
        </w:tc>
        <w:tc>
          <w:tcPr>
            <w:tcW w:w="157" w:type="pct"/>
            <w:gridSpan w:val="2"/>
            <w:noWrap/>
            <w:hideMark/>
          </w:tcPr>
          <w:p w14:paraId="7A87D559"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1</w:t>
            </w:r>
          </w:p>
        </w:tc>
        <w:tc>
          <w:tcPr>
            <w:tcW w:w="156" w:type="pct"/>
            <w:noWrap/>
            <w:hideMark/>
          </w:tcPr>
          <w:p w14:paraId="4810AB19"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10</w:t>
            </w:r>
          </w:p>
        </w:tc>
        <w:tc>
          <w:tcPr>
            <w:tcW w:w="156" w:type="pct"/>
            <w:noWrap/>
            <w:hideMark/>
          </w:tcPr>
          <w:p w14:paraId="4280A9FC"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6</w:t>
            </w:r>
          </w:p>
        </w:tc>
        <w:tc>
          <w:tcPr>
            <w:tcW w:w="156" w:type="pct"/>
            <w:gridSpan w:val="2"/>
            <w:noWrap/>
            <w:hideMark/>
          </w:tcPr>
          <w:p w14:paraId="5D060276"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6</w:t>
            </w:r>
          </w:p>
        </w:tc>
        <w:tc>
          <w:tcPr>
            <w:tcW w:w="157" w:type="pct"/>
            <w:noWrap/>
            <w:hideMark/>
          </w:tcPr>
          <w:p w14:paraId="4A994182"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7</w:t>
            </w:r>
          </w:p>
        </w:tc>
        <w:tc>
          <w:tcPr>
            <w:tcW w:w="156" w:type="pct"/>
            <w:noWrap/>
            <w:hideMark/>
          </w:tcPr>
          <w:p w14:paraId="7472ED7E"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10</w:t>
            </w:r>
          </w:p>
        </w:tc>
        <w:tc>
          <w:tcPr>
            <w:tcW w:w="156" w:type="pct"/>
            <w:gridSpan w:val="2"/>
            <w:noWrap/>
            <w:hideMark/>
          </w:tcPr>
          <w:p w14:paraId="780DEFBC"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49B2EDF7"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70600182"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gridSpan w:val="2"/>
            <w:noWrap/>
            <w:hideMark/>
          </w:tcPr>
          <w:p w14:paraId="2E26BDD5"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7" w:type="pct"/>
            <w:noWrap/>
            <w:hideMark/>
          </w:tcPr>
          <w:p w14:paraId="1F4D538C"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748ADA0D"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gridSpan w:val="2"/>
            <w:noWrap/>
            <w:hideMark/>
          </w:tcPr>
          <w:p w14:paraId="0DDC2DC5"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52D49A95"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413B32ED"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gridSpan w:val="2"/>
            <w:noWrap/>
            <w:hideMark/>
          </w:tcPr>
          <w:p w14:paraId="171D7E0D"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10</w:t>
            </w:r>
          </w:p>
        </w:tc>
        <w:tc>
          <w:tcPr>
            <w:tcW w:w="156" w:type="pct"/>
            <w:noWrap/>
            <w:hideMark/>
          </w:tcPr>
          <w:p w14:paraId="617964EE" w14:textId="77777777" w:rsidR="001B7372" w:rsidRPr="00A26A4F"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rPr>
            </w:pPr>
            <w:r w:rsidRPr="00A26A4F">
              <w:rPr>
                <w:color w:val="000000"/>
                <w:sz w:val="20"/>
              </w:rPr>
              <w:t>17</w:t>
            </w:r>
          </w:p>
        </w:tc>
        <w:tc>
          <w:tcPr>
            <w:tcW w:w="156" w:type="pct"/>
            <w:noWrap/>
            <w:hideMark/>
          </w:tcPr>
          <w:p w14:paraId="0921DEBF"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21</w:t>
            </w:r>
          </w:p>
        </w:tc>
      </w:tr>
      <w:tr w:rsidR="00A1438E" w:rsidRPr="001B7372" w14:paraId="12DFDE81" w14:textId="77777777" w:rsidTr="001B737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75" w:type="pct"/>
            <w:noWrap/>
            <w:hideMark/>
          </w:tcPr>
          <w:p w14:paraId="6C32CCED" w14:textId="77777777" w:rsidR="001B7372" w:rsidRPr="001B7372" w:rsidRDefault="001B7372" w:rsidP="001B7372">
            <w:pPr>
              <w:pStyle w:val="VEOHRCBodytext"/>
              <w:rPr>
                <w:color w:val="000000"/>
                <w:sz w:val="20"/>
                <w:szCs w:val="20"/>
              </w:rPr>
            </w:pPr>
            <w:r w:rsidRPr="001B7372">
              <w:rPr>
                <w:color w:val="000000"/>
                <w:sz w:val="20"/>
                <w:szCs w:val="20"/>
              </w:rPr>
              <w:t>Industrial activity</w:t>
            </w:r>
          </w:p>
        </w:tc>
        <w:tc>
          <w:tcPr>
            <w:tcW w:w="156" w:type="pct"/>
            <w:noWrap/>
            <w:hideMark/>
          </w:tcPr>
          <w:p w14:paraId="73EC8E9D"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55281A3D"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7E838414"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166EDF04"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366E57B9"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422821AF"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18A1095F"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74F15055"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68A3D060"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7" w:type="pct"/>
            <w:gridSpan w:val="2"/>
            <w:noWrap/>
            <w:hideMark/>
          </w:tcPr>
          <w:p w14:paraId="6F7DEAAF"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17</w:t>
            </w:r>
          </w:p>
        </w:tc>
        <w:tc>
          <w:tcPr>
            <w:tcW w:w="156" w:type="pct"/>
            <w:noWrap/>
            <w:hideMark/>
          </w:tcPr>
          <w:p w14:paraId="4CA1266C"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16</w:t>
            </w:r>
          </w:p>
        </w:tc>
        <w:tc>
          <w:tcPr>
            <w:tcW w:w="156" w:type="pct"/>
            <w:noWrap/>
            <w:hideMark/>
          </w:tcPr>
          <w:p w14:paraId="5D4BD7F9"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23</w:t>
            </w:r>
          </w:p>
        </w:tc>
        <w:tc>
          <w:tcPr>
            <w:tcW w:w="156" w:type="pct"/>
            <w:gridSpan w:val="2"/>
            <w:noWrap/>
            <w:hideMark/>
          </w:tcPr>
          <w:p w14:paraId="41A94406"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7" w:type="pct"/>
            <w:noWrap/>
            <w:hideMark/>
          </w:tcPr>
          <w:p w14:paraId="15A3687C"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38EC0968"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gridSpan w:val="2"/>
            <w:noWrap/>
            <w:hideMark/>
          </w:tcPr>
          <w:p w14:paraId="5231A2A3"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55392879"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0CD27AF5"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gridSpan w:val="2"/>
            <w:noWrap/>
            <w:hideMark/>
          </w:tcPr>
          <w:p w14:paraId="01C3CA0C"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7" w:type="pct"/>
            <w:noWrap/>
            <w:hideMark/>
          </w:tcPr>
          <w:p w14:paraId="4F2AD4F2"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393836A9"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gridSpan w:val="2"/>
            <w:noWrap/>
            <w:hideMark/>
          </w:tcPr>
          <w:p w14:paraId="3C95CDB5"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5A016A33"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03541161"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gridSpan w:val="2"/>
            <w:noWrap/>
            <w:hideMark/>
          </w:tcPr>
          <w:p w14:paraId="4B2B6A77"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17</w:t>
            </w:r>
          </w:p>
        </w:tc>
        <w:tc>
          <w:tcPr>
            <w:tcW w:w="156" w:type="pct"/>
            <w:noWrap/>
            <w:hideMark/>
          </w:tcPr>
          <w:p w14:paraId="5BA021DC" w14:textId="77777777" w:rsidR="001B7372" w:rsidRPr="00A26A4F"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rPr>
            </w:pPr>
            <w:r w:rsidRPr="00A26A4F">
              <w:rPr>
                <w:color w:val="000000"/>
                <w:sz w:val="20"/>
              </w:rPr>
              <w:t>16</w:t>
            </w:r>
          </w:p>
        </w:tc>
        <w:tc>
          <w:tcPr>
            <w:tcW w:w="156" w:type="pct"/>
            <w:noWrap/>
            <w:hideMark/>
          </w:tcPr>
          <w:p w14:paraId="293FE278"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23</w:t>
            </w:r>
          </w:p>
        </w:tc>
      </w:tr>
      <w:tr w:rsidR="001B7372" w:rsidRPr="001B7372" w14:paraId="4F206CD1" w14:textId="77777777" w:rsidTr="00A26A4F">
        <w:trPr>
          <w:trHeight w:val="397"/>
        </w:trPr>
        <w:tc>
          <w:tcPr>
            <w:cnfStyle w:val="001000000000" w:firstRow="0" w:lastRow="0" w:firstColumn="1" w:lastColumn="0" w:oddVBand="0" w:evenVBand="0" w:oddHBand="0" w:evenHBand="0" w:firstRowFirstColumn="0" w:firstRowLastColumn="0" w:lastRowFirstColumn="0" w:lastRowLastColumn="0"/>
            <w:tcW w:w="775" w:type="pct"/>
            <w:noWrap/>
            <w:hideMark/>
          </w:tcPr>
          <w:p w14:paraId="3167A43A" w14:textId="77777777" w:rsidR="001B7372" w:rsidRPr="001B7372" w:rsidRDefault="001B7372" w:rsidP="001B7372">
            <w:pPr>
              <w:pStyle w:val="VEOHRCBodytext"/>
              <w:rPr>
                <w:color w:val="000000"/>
                <w:sz w:val="20"/>
                <w:szCs w:val="20"/>
              </w:rPr>
            </w:pPr>
            <w:r w:rsidRPr="001B7372">
              <w:rPr>
                <w:color w:val="000000"/>
                <w:sz w:val="20"/>
                <w:szCs w:val="20"/>
              </w:rPr>
              <w:t>Lawful sexual activity</w:t>
            </w:r>
          </w:p>
        </w:tc>
        <w:tc>
          <w:tcPr>
            <w:tcW w:w="156" w:type="pct"/>
            <w:noWrap/>
            <w:hideMark/>
          </w:tcPr>
          <w:p w14:paraId="701402BC"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4AB9D2F1"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55DE5013"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3</w:t>
            </w:r>
          </w:p>
        </w:tc>
        <w:tc>
          <w:tcPr>
            <w:tcW w:w="156" w:type="pct"/>
            <w:noWrap/>
            <w:hideMark/>
          </w:tcPr>
          <w:p w14:paraId="4CB2D1A7"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0321CAF7"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42740A4C"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78BBD1A9"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58673F3F"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0BF241A9"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7" w:type="pct"/>
            <w:gridSpan w:val="2"/>
            <w:noWrap/>
            <w:hideMark/>
          </w:tcPr>
          <w:p w14:paraId="67CDA7D7"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1</w:t>
            </w:r>
          </w:p>
        </w:tc>
        <w:tc>
          <w:tcPr>
            <w:tcW w:w="156" w:type="pct"/>
            <w:noWrap/>
            <w:hideMark/>
          </w:tcPr>
          <w:p w14:paraId="57ACCCD4"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11</w:t>
            </w:r>
          </w:p>
        </w:tc>
        <w:tc>
          <w:tcPr>
            <w:tcW w:w="156" w:type="pct"/>
            <w:noWrap/>
            <w:hideMark/>
          </w:tcPr>
          <w:p w14:paraId="1B3AC62C"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3</w:t>
            </w:r>
          </w:p>
        </w:tc>
        <w:tc>
          <w:tcPr>
            <w:tcW w:w="156" w:type="pct"/>
            <w:gridSpan w:val="2"/>
            <w:noWrap/>
            <w:hideMark/>
          </w:tcPr>
          <w:p w14:paraId="38D141B4"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5</w:t>
            </w:r>
          </w:p>
        </w:tc>
        <w:tc>
          <w:tcPr>
            <w:tcW w:w="157" w:type="pct"/>
            <w:noWrap/>
            <w:hideMark/>
          </w:tcPr>
          <w:p w14:paraId="4ED26750"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3</w:t>
            </w:r>
          </w:p>
        </w:tc>
        <w:tc>
          <w:tcPr>
            <w:tcW w:w="156" w:type="pct"/>
            <w:noWrap/>
            <w:hideMark/>
          </w:tcPr>
          <w:p w14:paraId="78D2487E"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10</w:t>
            </w:r>
          </w:p>
        </w:tc>
        <w:tc>
          <w:tcPr>
            <w:tcW w:w="156" w:type="pct"/>
            <w:gridSpan w:val="2"/>
            <w:noWrap/>
            <w:hideMark/>
          </w:tcPr>
          <w:p w14:paraId="36340136"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041F3CC7"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3D6B4EB2"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gridSpan w:val="2"/>
            <w:noWrap/>
            <w:hideMark/>
          </w:tcPr>
          <w:p w14:paraId="58B6E98A"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7" w:type="pct"/>
            <w:noWrap/>
            <w:hideMark/>
          </w:tcPr>
          <w:p w14:paraId="7C2A3C07"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7B4DE422"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gridSpan w:val="2"/>
            <w:noWrap/>
            <w:hideMark/>
          </w:tcPr>
          <w:p w14:paraId="7635D579"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0A4B7D2B"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0D0D97FE"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gridSpan w:val="2"/>
            <w:noWrap/>
            <w:hideMark/>
          </w:tcPr>
          <w:p w14:paraId="5D8C95AE"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6</w:t>
            </w:r>
          </w:p>
        </w:tc>
        <w:tc>
          <w:tcPr>
            <w:tcW w:w="156" w:type="pct"/>
            <w:noWrap/>
            <w:hideMark/>
          </w:tcPr>
          <w:p w14:paraId="75572D11" w14:textId="77777777" w:rsidR="001B7372" w:rsidRPr="00A26A4F"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rPr>
            </w:pPr>
            <w:r w:rsidRPr="00A26A4F">
              <w:rPr>
                <w:color w:val="000000"/>
                <w:sz w:val="20"/>
              </w:rPr>
              <w:t>14</w:t>
            </w:r>
          </w:p>
        </w:tc>
        <w:tc>
          <w:tcPr>
            <w:tcW w:w="156" w:type="pct"/>
            <w:noWrap/>
            <w:hideMark/>
          </w:tcPr>
          <w:p w14:paraId="2C68E4DB"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16</w:t>
            </w:r>
          </w:p>
        </w:tc>
      </w:tr>
      <w:tr w:rsidR="00A1438E" w:rsidRPr="001B7372" w14:paraId="610039A9" w14:textId="77777777" w:rsidTr="001B737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75" w:type="pct"/>
            <w:noWrap/>
            <w:hideMark/>
          </w:tcPr>
          <w:p w14:paraId="29FB5DCD" w14:textId="77777777" w:rsidR="001B7372" w:rsidRPr="001B7372" w:rsidRDefault="001B7372" w:rsidP="001B7372">
            <w:pPr>
              <w:pStyle w:val="VEOHRCBodytext"/>
              <w:rPr>
                <w:color w:val="000000"/>
                <w:sz w:val="20"/>
                <w:szCs w:val="20"/>
              </w:rPr>
            </w:pPr>
            <w:r w:rsidRPr="001B7372">
              <w:rPr>
                <w:color w:val="000000"/>
                <w:sz w:val="20"/>
                <w:szCs w:val="20"/>
              </w:rPr>
              <w:t>Marital status</w:t>
            </w:r>
          </w:p>
        </w:tc>
        <w:tc>
          <w:tcPr>
            <w:tcW w:w="156" w:type="pct"/>
            <w:noWrap/>
            <w:hideMark/>
          </w:tcPr>
          <w:p w14:paraId="2B4A4D14"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6</w:t>
            </w:r>
          </w:p>
        </w:tc>
        <w:tc>
          <w:tcPr>
            <w:tcW w:w="156" w:type="pct"/>
            <w:noWrap/>
            <w:hideMark/>
          </w:tcPr>
          <w:p w14:paraId="5C7BB64E"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2</w:t>
            </w:r>
          </w:p>
        </w:tc>
        <w:tc>
          <w:tcPr>
            <w:tcW w:w="156" w:type="pct"/>
            <w:noWrap/>
            <w:hideMark/>
          </w:tcPr>
          <w:p w14:paraId="110DB777"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3</w:t>
            </w:r>
          </w:p>
        </w:tc>
        <w:tc>
          <w:tcPr>
            <w:tcW w:w="156" w:type="pct"/>
            <w:noWrap/>
            <w:hideMark/>
          </w:tcPr>
          <w:p w14:paraId="5643FDA3"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096632E8"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30BB95D8"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277055B7"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1B950395"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3EB72426"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7" w:type="pct"/>
            <w:gridSpan w:val="2"/>
            <w:noWrap/>
            <w:hideMark/>
          </w:tcPr>
          <w:p w14:paraId="12F2A86A"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10</w:t>
            </w:r>
          </w:p>
        </w:tc>
        <w:tc>
          <w:tcPr>
            <w:tcW w:w="156" w:type="pct"/>
            <w:noWrap/>
            <w:hideMark/>
          </w:tcPr>
          <w:p w14:paraId="02339F7C"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10</w:t>
            </w:r>
          </w:p>
        </w:tc>
        <w:tc>
          <w:tcPr>
            <w:tcW w:w="156" w:type="pct"/>
            <w:noWrap/>
            <w:hideMark/>
          </w:tcPr>
          <w:p w14:paraId="117A1BA3"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11</w:t>
            </w:r>
          </w:p>
        </w:tc>
        <w:tc>
          <w:tcPr>
            <w:tcW w:w="156" w:type="pct"/>
            <w:gridSpan w:val="2"/>
            <w:noWrap/>
            <w:hideMark/>
          </w:tcPr>
          <w:p w14:paraId="1482E98D"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8</w:t>
            </w:r>
          </w:p>
        </w:tc>
        <w:tc>
          <w:tcPr>
            <w:tcW w:w="157" w:type="pct"/>
            <w:noWrap/>
            <w:hideMark/>
          </w:tcPr>
          <w:p w14:paraId="7D468C94"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5</w:t>
            </w:r>
          </w:p>
        </w:tc>
        <w:tc>
          <w:tcPr>
            <w:tcW w:w="156" w:type="pct"/>
            <w:noWrap/>
            <w:hideMark/>
          </w:tcPr>
          <w:p w14:paraId="168BF91D"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11</w:t>
            </w:r>
          </w:p>
        </w:tc>
        <w:tc>
          <w:tcPr>
            <w:tcW w:w="156" w:type="pct"/>
            <w:gridSpan w:val="2"/>
            <w:noWrap/>
            <w:hideMark/>
          </w:tcPr>
          <w:p w14:paraId="12E07E04"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494F26EF"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7C958399"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gridSpan w:val="2"/>
            <w:noWrap/>
            <w:hideMark/>
          </w:tcPr>
          <w:p w14:paraId="0EE6908D"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7" w:type="pct"/>
            <w:noWrap/>
            <w:hideMark/>
          </w:tcPr>
          <w:p w14:paraId="3E443063"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59012486"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gridSpan w:val="2"/>
            <w:noWrap/>
            <w:hideMark/>
          </w:tcPr>
          <w:p w14:paraId="1BE30B5D"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7037AABA"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229D8766"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gridSpan w:val="2"/>
            <w:noWrap/>
            <w:hideMark/>
          </w:tcPr>
          <w:p w14:paraId="10602834"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24</w:t>
            </w:r>
          </w:p>
        </w:tc>
        <w:tc>
          <w:tcPr>
            <w:tcW w:w="156" w:type="pct"/>
            <w:noWrap/>
            <w:hideMark/>
          </w:tcPr>
          <w:p w14:paraId="53F305B1" w14:textId="77777777" w:rsidR="001B7372" w:rsidRPr="00A26A4F"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rPr>
            </w:pPr>
            <w:r w:rsidRPr="00A26A4F">
              <w:rPr>
                <w:color w:val="000000"/>
                <w:sz w:val="20"/>
              </w:rPr>
              <w:t>17</w:t>
            </w:r>
          </w:p>
        </w:tc>
        <w:tc>
          <w:tcPr>
            <w:tcW w:w="156" w:type="pct"/>
            <w:noWrap/>
            <w:hideMark/>
          </w:tcPr>
          <w:p w14:paraId="2D2E36FC"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25</w:t>
            </w:r>
          </w:p>
        </w:tc>
      </w:tr>
      <w:tr w:rsidR="001B7372" w:rsidRPr="001B7372" w14:paraId="27EF350B" w14:textId="77777777" w:rsidTr="00A26A4F">
        <w:trPr>
          <w:trHeight w:val="397"/>
        </w:trPr>
        <w:tc>
          <w:tcPr>
            <w:cnfStyle w:val="001000000000" w:firstRow="0" w:lastRow="0" w:firstColumn="1" w:lastColumn="0" w:oddVBand="0" w:evenVBand="0" w:oddHBand="0" w:evenHBand="0" w:firstRowFirstColumn="0" w:firstRowLastColumn="0" w:lastRowFirstColumn="0" w:lastRowLastColumn="0"/>
            <w:tcW w:w="775" w:type="pct"/>
            <w:noWrap/>
            <w:hideMark/>
          </w:tcPr>
          <w:p w14:paraId="60B0F99C" w14:textId="77777777" w:rsidR="001B7372" w:rsidRPr="001B7372" w:rsidRDefault="001B7372" w:rsidP="001B7372">
            <w:pPr>
              <w:pStyle w:val="VEOHRCBodytext"/>
              <w:rPr>
                <w:color w:val="000000"/>
                <w:sz w:val="20"/>
                <w:szCs w:val="20"/>
              </w:rPr>
            </w:pPr>
            <w:r w:rsidRPr="001B7372">
              <w:rPr>
                <w:color w:val="000000"/>
                <w:sz w:val="20"/>
                <w:szCs w:val="20"/>
              </w:rPr>
              <w:t>Parental status</w:t>
            </w:r>
          </w:p>
        </w:tc>
        <w:tc>
          <w:tcPr>
            <w:tcW w:w="156" w:type="pct"/>
            <w:noWrap/>
            <w:hideMark/>
          </w:tcPr>
          <w:p w14:paraId="0064C120"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11</w:t>
            </w:r>
          </w:p>
        </w:tc>
        <w:tc>
          <w:tcPr>
            <w:tcW w:w="156" w:type="pct"/>
            <w:noWrap/>
            <w:hideMark/>
          </w:tcPr>
          <w:p w14:paraId="345187DF"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4</w:t>
            </w:r>
          </w:p>
        </w:tc>
        <w:tc>
          <w:tcPr>
            <w:tcW w:w="156" w:type="pct"/>
            <w:noWrap/>
            <w:hideMark/>
          </w:tcPr>
          <w:p w14:paraId="36D6460A"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10</w:t>
            </w:r>
          </w:p>
        </w:tc>
        <w:tc>
          <w:tcPr>
            <w:tcW w:w="156" w:type="pct"/>
            <w:noWrap/>
            <w:hideMark/>
          </w:tcPr>
          <w:p w14:paraId="5549AF32"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1</w:t>
            </w:r>
          </w:p>
        </w:tc>
        <w:tc>
          <w:tcPr>
            <w:tcW w:w="156" w:type="pct"/>
            <w:noWrap/>
            <w:hideMark/>
          </w:tcPr>
          <w:p w14:paraId="06D2E889"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642F7B4D"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0C9A2745"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4</w:t>
            </w:r>
          </w:p>
        </w:tc>
        <w:tc>
          <w:tcPr>
            <w:tcW w:w="156" w:type="pct"/>
            <w:noWrap/>
            <w:hideMark/>
          </w:tcPr>
          <w:p w14:paraId="10E143EE"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3</w:t>
            </w:r>
          </w:p>
        </w:tc>
        <w:tc>
          <w:tcPr>
            <w:tcW w:w="156" w:type="pct"/>
            <w:noWrap/>
            <w:hideMark/>
          </w:tcPr>
          <w:p w14:paraId="2CF7CE57"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2</w:t>
            </w:r>
          </w:p>
        </w:tc>
        <w:tc>
          <w:tcPr>
            <w:tcW w:w="157" w:type="pct"/>
            <w:gridSpan w:val="2"/>
            <w:noWrap/>
            <w:hideMark/>
          </w:tcPr>
          <w:p w14:paraId="39B3A105"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66</w:t>
            </w:r>
          </w:p>
        </w:tc>
        <w:tc>
          <w:tcPr>
            <w:tcW w:w="156" w:type="pct"/>
            <w:noWrap/>
            <w:hideMark/>
          </w:tcPr>
          <w:p w14:paraId="3B35063F"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60</w:t>
            </w:r>
          </w:p>
        </w:tc>
        <w:tc>
          <w:tcPr>
            <w:tcW w:w="156" w:type="pct"/>
            <w:noWrap/>
            <w:hideMark/>
          </w:tcPr>
          <w:p w14:paraId="7C3D7906"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50</w:t>
            </w:r>
          </w:p>
        </w:tc>
        <w:tc>
          <w:tcPr>
            <w:tcW w:w="156" w:type="pct"/>
            <w:gridSpan w:val="2"/>
            <w:noWrap/>
            <w:hideMark/>
          </w:tcPr>
          <w:p w14:paraId="5D58C8B9"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9</w:t>
            </w:r>
          </w:p>
        </w:tc>
        <w:tc>
          <w:tcPr>
            <w:tcW w:w="157" w:type="pct"/>
            <w:noWrap/>
            <w:hideMark/>
          </w:tcPr>
          <w:p w14:paraId="321950A0"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16</w:t>
            </w:r>
          </w:p>
        </w:tc>
        <w:tc>
          <w:tcPr>
            <w:tcW w:w="156" w:type="pct"/>
            <w:noWrap/>
            <w:hideMark/>
          </w:tcPr>
          <w:p w14:paraId="1036E7CA"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10</w:t>
            </w:r>
          </w:p>
        </w:tc>
        <w:tc>
          <w:tcPr>
            <w:tcW w:w="156" w:type="pct"/>
            <w:gridSpan w:val="2"/>
            <w:noWrap/>
            <w:hideMark/>
          </w:tcPr>
          <w:p w14:paraId="2566E5CF"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778AFD3A"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2A21A1C4"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gridSpan w:val="2"/>
            <w:noWrap/>
            <w:hideMark/>
          </w:tcPr>
          <w:p w14:paraId="6747B43E"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7" w:type="pct"/>
            <w:noWrap/>
            <w:hideMark/>
          </w:tcPr>
          <w:p w14:paraId="44DA98C6"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1123AD23"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gridSpan w:val="2"/>
            <w:noWrap/>
            <w:hideMark/>
          </w:tcPr>
          <w:p w14:paraId="20B5DCF3"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1</w:t>
            </w:r>
          </w:p>
        </w:tc>
        <w:tc>
          <w:tcPr>
            <w:tcW w:w="156" w:type="pct"/>
            <w:noWrap/>
            <w:hideMark/>
          </w:tcPr>
          <w:p w14:paraId="7BEA29D2"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61534B6F"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gridSpan w:val="2"/>
            <w:noWrap/>
            <w:hideMark/>
          </w:tcPr>
          <w:p w14:paraId="5381BBC3"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92</w:t>
            </w:r>
          </w:p>
        </w:tc>
        <w:tc>
          <w:tcPr>
            <w:tcW w:w="156" w:type="pct"/>
            <w:noWrap/>
            <w:hideMark/>
          </w:tcPr>
          <w:p w14:paraId="330D0AE5" w14:textId="77777777" w:rsidR="001B7372" w:rsidRPr="00A26A4F"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rPr>
            </w:pPr>
            <w:r w:rsidRPr="00A26A4F">
              <w:rPr>
                <w:color w:val="000000"/>
                <w:sz w:val="20"/>
              </w:rPr>
              <w:t>83</w:t>
            </w:r>
          </w:p>
        </w:tc>
        <w:tc>
          <w:tcPr>
            <w:tcW w:w="156" w:type="pct"/>
            <w:noWrap/>
            <w:hideMark/>
          </w:tcPr>
          <w:p w14:paraId="1667D1FB"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72</w:t>
            </w:r>
          </w:p>
        </w:tc>
      </w:tr>
      <w:tr w:rsidR="00A1438E" w:rsidRPr="001B7372" w14:paraId="651881CD" w14:textId="77777777" w:rsidTr="001B737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75" w:type="pct"/>
            <w:noWrap/>
            <w:hideMark/>
          </w:tcPr>
          <w:p w14:paraId="1ED2BCF1" w14:textId="77777777" w:rsidR="001B7372" w:rsidRPr="001B7372" w:rsidRDefault="001B7372" w:rsidP="001B7372">
            <w:pPr>
              <w:pStyle w:val="VEOHRCBodytext"/>
              <w:rPr>
                <w:color w:val="000000"/>
                <w:sz w:val="20"/>
                <w:szCs w:val="20"/>
              </w:rPr>
            </w:pPr>
            <w:r w:rsidRPr="001B7372">
              <w:rPr>
                <w:color w:val="000000"/>
                <w:sz w:val="20"/>
                <w:szCs w:val="20"/>
              </w:rPr>
              <w:t>Personal association</w:t>
            </w:r>
          </w:p>
        </w:tc>
        <w:tc>
          <w:tcPr>
            <w:tcW w:w="156" w:type="pct"/>
            <w:noWrap/>
            <w:hideMark/>
          </w:tcPr>
          <w:p w14:paraId="15A72A24"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4</w:t>
            </w:r>
          </w:p>
        </w:tc>
        <w:tc>
          <w:tcPr>
            <w:tcW w:w="156" w:type="pct"/>
            <w:noWrap/>
            <w:hideMark/>
          </w:tcPr>
          <w:p w14:paraId="49087095"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15</w:t>
            </w:r>
          </w:p>
        </w:tc>
        <w:tc>
          <w:tcPr>
            <w:tcW w:w="156" w:type="pct"/>
            <w:noWrap/>
            <w:hideMark/>
          </w:tcPr>
          <w:p w14:paraId="63D3E53C"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7</w:t>
            </w:r>
          </w:p>
        </w:tc>
        <w:tc>
          <w:tcPr>
            <w:tcW w:w="156" w:type="pct"/>
            <w:noWrap/>
            <w:hideMark/>
          </w:tcPr>
          <w:p w14:paraId="530E1838"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5EC40BFC"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1</w:t>
            </w:r>
          </w:p>
        </w:tc>
        <w:tc>
          <w:tcPr>
            <w:tcW w:w="156" w:type="pct"/>
            <w:noWrap/>
            <w:hideMark/>
          </w:tcPr>
          <w:p w14:paraId="220CB51D"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5C8CE8F5"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1</w:t>
            </w:r>
          </w:p>
        </w:tc>
        <w:tc>
          <w:tcPr>
            <w:tcW w:w="156" w:type="pct"/>
            <w:noWrap/>
            <w:hideMark/>
          </w:tcPr>
          <w:p w14:paraId="24D1ED86"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1</w:t>
            </w:r>
          </w:p>
        </w:tc>
        <w:tc>
          <w:tcPr>
            <w:tcW w:w="156" w:type="pct"/>
            <w:noWrap/>
            <w:hideMark/>
          </w:tcPr>
          <w:p w14:paraId="24920473"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7" w:type="pct"/>
            <w:gridSpan w:val="2"/>
            <w:noWrap/>
            <w:hideMark/>
          </w:tcPr>
          <w:p w14:paraId="10C1704B"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9</w:t>
            </w:r>
          </w:p>
        </w:tc>
        <w:tc>
          <w:tcPr>
            <w:tcW w:w="156" w:type="pct"/>
            <w:noWrap/>
            <w:hideMark/>
          </w:tcPr>
          <w:p w14:paraId="67FDAFC8"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7</w:t>
            </w:r>
          </w:p>
        </w:tc>
        <w:tc>
          <w:tcPr>
            <w:tcW w:w="156" w:type="pct"/>
            <w:noWrap/>
            <w:hideMark/>
          </w:tcPr>
          <w:p w14:paraId="0A4D70E3"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16</w:t>
            </w:r>
          </w:p>
        </w:tc>
        <w:tc>
          <w:tcPr>
            <w:tcW w:w="156" w:type="pct"/>
            <w:gridSpan w:val="2"/>
            <w:noWrap/>
            <w:hideMark/>
          </w:tcPr>
          <w:p w14:paraId="57F07726"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22</w:t>
            </w:r>
          </w:p>
        </w:tc>
        <w:tc>
          <w:tcPr>
            <w:tcW w:w="157" w:type="pct"/>
            <w:noWrap/>
            <w:hideMark/>
          </w:tcPr>
          <w:p w14:paraId="3F17DFF8"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23</w:t>
            </w:r>
          </w:p>
        </w:tc>
        <w:tc>
          <w:tcPr>
            <w:tcW w:w="156" w:type="pct"/>
            <w:noWrap/>
            <w:hideMark/>
          </w:tcPr>
          <w:p w14:paraId="11F80DE7"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29</w:t>
            </w:r>
          </w:p>
        </w:tc>
        <w:tc>
          <w:tcPr>
            <w:tcW w:w="156" w:type="pct"/>
            <w:gridSpan w:val="2"/>
            <w:noWrap/>
            <w:hideMark/>
          </w:tcPr>
          <w:p w14:paraId="743A2477"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7595E95B"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13263947"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gridSpan w:val="2"/>
            <w:noWrap/>
            <w:hideMark/>
          </w:tcPr>
          <w:p w14:paraId="3C701DF4"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7" w:type="pct"/>
            <w:noWrap/>
            <w:hideMark/>
          </w:tcPr>
          <w:p w14:paraId="3439E638"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2C41BE3F"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gridSpan w:val="2"/>
            <w:noWrap/>
            <w:hideMark/>
          </w:tcPr>
          <w:p w14:paraId="712C50CC"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4C24A11D"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3445AAE1"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gridSpan w:val="2"/>
            <w:noWrap/>
            <w:hideMark/>
          </w:tcPr>
          <w:p w14:paraId="6FB94F4E"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36</w:t>
            </w:r>
          </w:p>
        </w:tc>
        <w:tc>
          <w:tcPr>
            <w:tcW w:w="156" w:type="pct"/>
            <w:noWrap/>
            <w:hideMark/>
          </w:tcPr>
          <w:p w14:paraId="33244DCF" w14:textId="77777777" w:rsidR="001B7372" w:rsidRPr="00A26A4F"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rPr>
            </w:pPr>
            <w:r w:rsidRPr="00A26A4F">
              <w:rPr>
                <w:color w:val="000000"/>
                <w:sz w:val="20"/>
              </w:rPr>
              <w:t>47</w:t>
            </w:r>
          </w:p>
        </w:tc>
        <w:tc>
          <w:tcPr>
            <w:tcW w:w="156" w:type="pct"/>
            <w:noWrap/>
            <w:hideMark/>
          </w:tcPr>
          <w:p w14:paraId="12C9DC63"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52</w:t>
            </w:r>
          </w:p>
        </w:tc>
      </w:tr>
      <w:tr w:rsidR="001B7372" w:rsidRPr="001B7372" w14:paraId="08D2F194" w14:textId="77777777" w:rsidTr="00A26A4F">
        <w:trPr>
          <w:trHeight w:val="397"/>
        </w:trPr>
        <w:tc>
          <w:tcPr>
            <w:cnfStyle w:val="001000000000" w:firstRow="0" w:lastRow="0" w:firstColumn="1" w:lastColumn="0" w:oddVBand="0" w:evenVBand="0" w:oddHBand="0" w:evenHBand="0" w:firstRowFirstColumn="0" w:firstRowLastColumn="0" w:lastRowFirstColumn="0" w:lastRowLastColumn="0"/>
            <w:tcW w:w="775" w:type="pct"/>
            <w:noWrap/>
            <w:hideMark/>
          </w:tcPr>
          <w:p w14:paraId="78388C61" w14:textId="77777777" w:rsidR="001B7372" w:rsidRPr="001B7372" w:rsidRDefault="001B7372" w:rsidP="001B7372">
            <w:pPr>
              <w:pStyle w:val="VEOHRCBodytext"/>
              <w:rPr>
                <w:color w:val="000000"/>
                <w:sz w:val="20"/>
                <w:szCs w:val="20"/>
              </w:rPr>
            </w:pPr>
            <w:r w:rsidRPr="001B7372">
              <w:rPr>
                <w:color w:val="000000"/>
                <w:sz w:val="20"/>
                <w:szCs w:val="20"/>
              </w:rPr>
              <w:t>Physical features</w:t>
            </w:r>
          </w:p>
        </w:tc>
        <w:tc>
          <w:tcPr>
            <w:tcW w:w="156" w:type="pct"/>
            <w:noWrap/>
            <w:hideMark/>
          </w:tcPr>
          <w:p w14:paraId="2C6E6F8F"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23BA806A"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44DD3694"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1</w:t>
            </w:r>
          </w:p>
        </w:tc>
        <w:tc>
          <w:tcPr>
            <w:tcW w:w="156" w:type="pct"/>
            <w:noWrap/>
            <w:hideMark/>
          </w:tcPr>
          <w:p w14:paraId="75839DF6"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554FCA2C"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710BD1B9"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6D799AF1"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11</w:t>
            </w:r>
          </w:p>
        </w:tc>
        <w:tc>
          <w:tcPr>
            <w:tcW w:w="156" w:type="pct"/>
            <w:noWrap/>
            <w:hideMark/>
          </w:tcPr>
          <w:p w14:paraId="6D3A0FC0"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2</w:t>
            </w:r>
          </w:p>
        </w:tc>
        <w:tc>
          <w:tcPr>
            <w:tcW w:w="156" w:type="pct"/>
            <w:noWrap/>
            <w:hideMark/>
          </w:tcPr>
          <w:p w14:paraId="677B30DC"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1</w:t>
            </w:r>
          </w:p>
        </w:tc>
        <w:tc>
          <w:tcPr>
            <w:tcW w:w="157" w:type="pct"/>
            <w:gridSpan w:val="2"/>
            <w:noWrap/>
            <w:hideMark/>
          </w:tcPr>
          <w:p w14:paraId="7C0E485A"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62</w:t>
            </w:r>
          </w:p>
        </w:tc>
        <w:tc>
          <w:tcPr>
            <w:tcW w:w="156" w:type="pct"/>
            <w:noWrap/>
            <w:hideMark/>
          </w:tcPr>
          <w:p w14:paraId="4AFA9C21"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31</w:t>
            </w:r>
          </w:p>
        </w:tc>
        <w:tc>
          <w:tcPr>
            <w:tcW w:w="156" w:type="pct"/>
            <w:noWrap/>
            <w:hideMark/>
          </w:tcPr>
          <w:p w14:paraId="0B448C83"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40</w:t>
            </w:r>
          </w:p>
        </w:tc>
        <w:tc>
          <w:tcPr>
            <w:tcW w:w="156" w:type="pct"/>
            <w:gridSpan w:val="2"/>
            <w:noWrap/>
            <w:hideMark/>
          </w:tcPr>
          <w:p w14:paraId="5FCF2DFE"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39</w:t>
            </w:r>
          </w:p>
        </w:tc>
        <w:tc>
          <w:tcPr>
            <w:tcW w:w="157" w:type="pct"/>
            <w:noWrap/>
            <w:hideMark/>
          </w:tcPr>
          <w:p w14:paraId="2A245027"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15</w:t>
            </w:r>
          </w:p>
        </w:tc>
        <w:tc>
          <w:tcPr>
            <w:tcW w:w="156" w:type="pct"/>
            <w:noWrap/>
            <w:hideMark/>
          </w:tcPr>
          <w:p w14:paraId="4E23AAB4"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19</w:t>
            </w:r>
          </w:p>
        </w:tc>
        <w:tc>
          <w:tcPr>
            <w:tcW w:w="156" w:type="pct"/>
            <w:gridSpan w:val="2"/>
            <w:noWrap/>
            <w:hideMark/>
          </w:tcPr>
          <w:p w14:paraId="4958A09E"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6816B672"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4A622694"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gridSpan w:val="2"/>
            <w:noWrap/>
            <w:hideMark/>
          </w:tcPr>
          <w:p w14:paraId="326EDC93"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7" w:type="pct"/>
            <w:noWrap/>
            <w:hideMark/>
          </w:tcPr>
          <w:p w14:paraId="6210C0F4"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37C72A68"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gridSpan w:val="2"/>
            <w:noWrap/>
            <w:hideMark/>
          </w:tcPr>
          <w:p w14:paraId="6EB2A27B"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56104C8E"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4A55D7CD"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gridSpan w:val="2"/>
            <w:noWrap/>
            <w:hideMark/>
          </w:tcPr>
          <w:p w14:paraId="5A44A2BF"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112</w:t>
            </w:r>
          </w:p>
        </w:tc>
        <w:tc>
          <w:tcPr>
            <w:tcW w:w="156" w:type="pct"/>
            <w:noWrap/>
            <w:hideMark/>
          </w:tcPr>
          <w:p w14:paraId="162459F9" w14:textId="77777777" w:rsidR="001B7372" w:rsidRPr="00A26A4F"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rPr>
            </w:pPr>
            <w:r w:rsidRPr="00A26A4F">
              <w:rPr>
                <w:color w:val="000000"/>
                <w:sz w:val="20"/>
              </w:rPr>
              <w:t>48</w:t>
            </w:r>
          </w:p>
        </w:tc>
        <w:tc>
          <w:tcPr>
            <w:tcW w:w="156" w:type="pct"/>
            <w:noWrap/>
            <w:hideMark/>
          </w:tcPr>
          <w:p w14:paraId="0B9C5E1B"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61</w:t>
            </w:r>
          </w:p>
        </w:tc>
      </w:tr>
      <w:tr w:rsidR="00A1438E" w:rsidRPr="001B7372" w14:paraId="209E1266" w14:textId="77777777" w:rsidTr="001B737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75" w:type="pct"/>
            <w:noWrap/>
            <w:hideMark/>
          </w:tcPr>
          <w:p w14:paraId="1F8A5DFC" w14:textId="77777777" w:rsidR="001B7372" w:rsidRPr="001B7372" w:rsidRDefault="001B7372" w:rsidP="001B7372">
            <w:pPr>
              <w:pStyle w:val="VEOHRCBodytext"/>
              <w:rPr>
                <w:color w:val="000000"/>
                <w:sz w:val="20"/>
                <w:szCs w:val="20"/>
              </w:rPr>
            </w:pPr>
            <w:r w:rsidRPr="001B7372">
              <w:rPr>
                <w:color w:val="000000"/>
                <w:sz w:val="20"/>
                <w:szCs w:val="20"/>
              </w:rPr>
              <w:t>Political belief or activity</w:t>
            </w:r>
          </w:p>
        </w:tc>
        <w:tc>
          <w:tcPr>
            <w:tcW w:w="156" w:type="pct"/>
            <w:noWrap/>
            <w:hideMark/>
          </w:tcPr>
          <w:p w14:paraId="1A444E43"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497B1F48"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136BD6D0"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2B1CB23F"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06EED5B6"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13894AC9"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1506C62E"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3FED9F4A"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1A04A5CA"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2</w:t>
            </w:r>
          </w:p>
        </w:tc>
        <w:tc>
          <w:tcPr>
            <w:tcW w:w="157" w:type="pct"/>
            <w:gridSpan w:val="2"/>
            <w:noWrap/>
            <w:hideMark/>
          </w:tcPr>
          <w:p w14:paraId="3F58E9EF"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3</w:t>
            </w:r>
          </w:p>
        </w:tc>
        <w:tc>
          <w:tcPr>
            <w:tcW w:w="156" w:type="pct"/>
            <w:noWrap/>
            <w:hideMark/>
          </w:tcPr>
          <w:p w14:paraId="51134E77"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2</w:t>
            </w:r>
          </w:p>
        </w:tc>
        <w:tc>
          <w:tcPr>
            <w:tcW w:w="156" w:type="pct"/>
            <w:noWrap/>
            <w:hideMark/>
          </w:tcPr>
          <w:p w14:paraId="6CB6007F"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3</w:t>
            </w:r>
          </w:p>
        </w:tc>
        <w:tc>
          <w:tcPr>
            <w:tcW w:w="156" w:type="pct"/>
            <w:gridSpan w:val="2"/>
            <w:noWrap/>
            <w:hideMark/>
          </w:tcPr>
          <w:p w14:paraId="1D3DFD1A"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5</w:t>
            </w:r>
          </w:p>
        </w:tc>
        <w:tc>
          <w:tcPr>
            <w:tcW w:w="157" w:type="pct"/>
            <w:noWrap/>
            <w:hideMark/>
          </w:tcPr>
          <w:p w14:paraId="6E2396C0"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665B2874"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2</w:t>
            </w:r>
          </w:p>
        </w:tc>
        <w:tc>
          <w:tcPr>
            <w:tcW w:w="156" w:type="pct"/>
            <w:gridSpan w:val="2"/>
            <w:noWrap/>
            <w:hideMark/>
          </w:tcPr>
          <w:p w14:paraId="522BC8C6"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2</w:t>
            </w:r>
          </w:p>
        </w:tc>
        <w:tc>
          <w:tcPr>
            <w:tcW w:w="156" w:type="pct"/>
            <w:noWrap/>
            <w:hideMark/>
          </w:tcPr>
          <w:p w14:paraId="74C23D93"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2</w:t>
            </w:r>
          </w:p>
        </w:tc>
        <w:tc>
          <w:tcPr>
            <w:tcW w:w="156" w:type="pct"/>
            <w:noWrap/>
            <w:hideMark/>
          </w:tcPr>
          <w:p w14:paraId="5AC134F3"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gridSpan w:val="2"/>
            <w:noWrap/>
            <w:hideMark/>
          </w:tcPr>
          <w:p w14:paraId="4119348E"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7" w:type="pct"/>
            <w:noWrap/>
            <w:hideMark/>
          </w:tcPr>
          <w:p w14:paraId="7F020319"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0B3DDC48"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gridSpan w:val="2"/>
            <w:noWrap/>
            <w:hideMark/>
          </w:tcPr>
          <w:p w14:paraId="5F3875EB"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1410A851"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5E15ED23"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gridSpan w:val="2"/>
            <w:noWrap/>
            <w:hideMark/>
          </w:tcPr>
          <w:p w14:paraId="0A373D06"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10</w:t>
            </w:r>
          </w:p>
        </w:tc>
        <w:tc>
          <w:tcPr>
            <w:tcW w:w="156" w:type="pct"/>
            <w:noWrap/>
            <w:hideMark/>
          </w:tcPr>
          <w:p w14:paraId="042CB27A" w14:textId="30E3A2C5" w:rsidR="001B7372" w:rsidRPr="00A26A4F" w:rsidRDefault="006C6B47"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rPr>
            </w:pPr>
            <w:r w:rsidRPr="006C6B47">
              <w:rPr>
                <w:rFonts w:cs="Arial"/>
                <w:sz w:val="20"/>
                <w:szCs w:val="20"/>
              </w:rPr>
              <w:t>2</w:t>
            </w:r>
          </w:p>
        </w:tc>
        <w:tc>
          <w:tcPr>
            <w:tcW w:w="156" w:type="pct"/>
            <w:noWrap/>
            <w:hideMark/>
          </w:tcPr>
          <w:p w14:paraId="41C794A3"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7</w:t>
            </w:r>
          </w:p>
        </w:tc>
      </w:tr>
      <w:tr w:rsidR="001B7372" w:rsidRPr="001B7372" w14:paraId="094AE9E2" w14:textId="77777777" w:rsidTr="00A26A4F">
        <w:trPr>
          <w:trHeight w:val="397"/>
        </w:trPr>
        <w:tc>
          <w:tcPr>
            <w:cnfStyle w:val="001000000000" w:firstRow="0" w:lastRow="0" w:firstColumn="1" w:lastColumn="0" w:oddVBand="0" w:evenVBand="0" w:oddHBand="0" w:evenHBand="0" w:firstRowFirstColumn="0" w:firstRowLastColumn="0" w:lastRowFirstColumn="0" w:lastRowLastColumn="0"/>
            <w:tcW w:w="775" w:type="pct"/>
            <w:noWrap/>
            <w:hideMark/>
          </w:tcPr>
          <w:p w14:paraId="6B349D15" w14:textId="77777777" w:rsidR="001B7372" w:rsidRPr="001B7372" w:rsidRDefault="001B7372" w:rsidP="001B7372">
            <w:pPr>
              <w:pStyle w:val="VEOHRCBodytext"/>
              <w:rPr>
                <w:color w:val="000000"/>
                <w:sz w:val="20"/>
                <w:szCs w:val="20"/>
              </w:rPr>
            </w:pPr>
            <w:r w:rsidRPr="001B7372">
              <w:rPr>
                <w:color w:val="000000"/>
                <w:sz w:val="20"/>
                <w:szCs w:val="20"/>
              </w:rPr>
              <w:t>Pregnancy</w:t>
            </w:r>
          </w:p>
        </w:tc>
        <w:tc>
          <w:tcPr>
            <w:tcW w:w="156" w:type="pct"/>
            <w:noWrap/>
            <w:hideMark/>
          </w:tcPr>
          <w:p w14:paraId="5C7B1A26"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79A716D1"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1</w:t>
            </w:r>
          </w:p>
        </w:tc>
        <w:tc>
          <w:tcPr>
            <w:tcW w:w="156" w:type="pct"/>
            <w:noWrap/>
            <w:hideMark/>
          </w:tcPr>
          <w:p w14:paraId="1A23492A"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3</w:t>
            </w:r>
          </w:p>
        </w:tc>
        <w:tc>
          <w:tcPr>
            <w:tcW w:w="156" w:type="pct"/>
            <w:noWrap/>
            <w:hideMark/>
          </w:tcPr>
          <w:p w14:paraId="56BA7FD6"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4BC71BB1"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307E452C"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773063BA"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3</w:t>
            </w:r>
          </w:p>
        </w:tc>
        <w:tc>
          <w:tcPr>
            <w:tcW w:w="156" w:type="pct"/>
            <w:noWrap/>
            <w:hideMark/>
          </w:tcPr>
          <w:p w14:paraId="166EBFFF"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31C862FE"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7" w:type="pct"/>
            <w:gridSpan w:val="2"/>
            <w:noWrap/>
            <w:hideMark/>
          </w:tcPr>
          <w:p w14:paraId="6F8A7D71"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33</w:t>
            </w:r>
          </w:p>
        </w:tc>
        <w:tc>
          <w:tcPr>
            <w:tcW w:w="156" w:type="pct"/>
            <w:noWrap/>
            <w:hideMark/>
          </w:tcPr>
          <w:p w14:paraId="2EFB49B8"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38</w:t>
            </w:r>
          </w:p>
        </w:tc>
        <w:tc>
          <w:tcPr>
            <w:tcW w:w="156" w:type="pct"/>
            <w:noWrap/>
            <w:hideMark/>
          </w:tcPr>
          <w:p w14:paraId="7947E072"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23</w:t>
            </w:r>
          </w:p>
        </w:tc>
        <w:tc>
          <w:tcPr>
            <w:tcW w:w="156" w:type="pct"/>
            <w:gridSpan w:val="2"/>
            <w:noWrap/>
            <w:hideMark/>
          </w:tcPr>
          <w:p w14:paraId="557A75FD"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2</w:t>
            </w:r>
          </w:p>
        </w:tc>
        <w:tc>
          <w:tcPr>
            <w:tcW w:w="157" w:type="pct"/>
            <w:noWrap/>
            <w:hideMark/>
          </w:tcPr>
          <w:p w14:paraId="560D5F6C"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1</w:t>
            </w:r>
          </w:p>
        </w:tc>
        <w:tc>
          <w:tcPr>
            <w:tcW w:w="156" w:type="pct"/>
            <w:noWrap/>
            <w:hideMark/>
          </w:tcPr>
          <w:p w14:paraId="5A129D61"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3</w:t>
            </w:r>
          </w:p>
        </w:tc>
        <w:tc>
          <w:tcPr>
            <w:tcW w:w="156" w:type="pct"/>
            <w:gridSpan w:val="2"/>
            <w:noWrap/>
            <w:hideMark/>
          </w:tcPr>
          <w:p w14:paraId="172C88B4"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22851B89"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677E2ECF"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gridSpan w:val="2"/>
            <w:noWrap/>
            <w:hideMark/>
          </w:tcPr>
          <w:p w14:paraId="6ED6A572"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7" w:type="pct"/>
            <w:noWrap/>
            <w:hideMark/>
          </w:tcPr>
          <w:p w14:paraId="3B95F5FC"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030A89DC"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gridSpan w:val="2"/>
            <w:noWrap/>
            <w:hideMark/>
          </w:tcPr>
          <w:p w14:paraId="46577112"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2399A991"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590AEAFA"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gridSpan w:val="2"/>
            <w:noWrap/>
            <w:hideMark/>
          </w:tcPr>
          <w:p w14:paraId="12E567B8"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38</w:t>
            </w:r>
          </w:p>
        </w:tc>
        <w:tc>
          <w:tcPr>
            <w:tcW w:w="156" w:type="pct"/>
            <w:noWrap/>
            <w:hideMark/>
          </w:tcPr>
          <w:p w14:paraId="05C8AABB" w14:textId="77777777" w:rsidR="001B7372" w:rsidRPr="00A26A4F"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rPr>
            </w:pPr>
            <w:r w:rsidRPr="00A26A4F">
              <w:rPr>
                <w:color w:val="000000"/>
                <w:sz w:val="20"/>
              </w:rPr>
              <w:t>40</w:t>
            </w:r>
          </w:p>
        </w:tc>
        <w:tc>
          <w:tcPr>
            <w:tcW w:w="156" w:type="pct"/>
            <w:noWrap/>
            <w:hideMark/>
          </w:tcPr>
          <w:p w14:paraId="7E4A73D7"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29</w:t>
            </w:r>
          </w:p>
        </w:tc>
      </w:tr>
      <w:tr w:rsidR="00A1438E" w:rsidRPr="001B7372" w14:paraId="4BEEBB41" w14:textId="77777777" w:rsidTr="001B737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75" w:type="pct"/>
            <w:noWrap/>
            <w:hideMark/>
          </w:tcPr>
          <w:p w14:paraId="19FB3070" w14:textId="77777777" w:rsidR="001B7372" w:rsidRPr="001B7372" w:rsidRDefault="001B7372" w:rsidP="001B7372">
            <w:pPr>
              <w:pStyle w:val="VEOHRCBodytext"/>
              <w:rPr>
                <w:color w:val="000000"/>
                <w:sz w:val="20"/>
                <w:szCs w:val="20"/>
              </w:rPr>
            </w:pPr>
            <w:r w:rsidRPr="001B7372">
              <w:rPr>
                <w:color w:val="000000"/>
                <w:sz w:val="20"/>
                <w:szCs w:val="20"/>
              </w:rPr>
              <w:t>Race</w:t>
            </w:r>
          </w:p>
        </w:tc>
        <w:tc>
          <w:tcPr>
            <w:tcW w:w="156" w:type="pct"/>
            <w:noWrap/>
            <w:hideMark/>
          </w:tcPr>
          <w:p w14:paraId="547DE80B"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16</w:t>
            </w:r>
          </w:p>
        </w:tc>
        <w:tc>
          <w:tcPr>
            <w:tcW w:w="156" w:type="pct"/>
            <w:noWrap/>
            <w:hideMark/>
          </w:tcPr>
          <w:p w14:paraId="7D3BC00A"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4</w:t>
            </w:r>
          </w:p>
        </w:tc>
        <w:tc>
          <w:tcPr>
            <w:tcW w:w="156" w:type="pct"/>
            <w:noWrap/>
            <w:hideMark/>
          </w:tcPr>
          <w:p w14:paraId="78433BDC"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13</w:t>
            </w:r>
          </w:p>
        </w:tc>
        <w:tc>
          <w:tcPr>
            <w:tcW w:w="156" w:type="pct"/>
            <w:noWrap/>
            <w:hideMark/>
          </w:tcPr>
          <w:p w14:paraId="465C6D6B"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62DE7D82"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1</w:t>
            </w:r>
          </w:p>
        </w:tc>
        <w:tc>
          <w:tcPr>
            <w:tcW w:w="156" w:type="pct"/>
            <w:noWrap/>
            <w:hideMark/>
          </w:tcPr>
          <w:p w14:paraId="0C81C3B0"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693CFA25"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20</w:t>
            </w:r>
          </w:p>
        </w:tc>
        <w:tc>
          <w:tcPr>
            <w:tcW w:w="156" w:type="pct"/>
            <w:noWrap/>
            <w:hideMark/>
          </w:tcPr>
          <w:p w14:paraId="63555B05"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12</w:t>
            </w:r>
          </w:p>
        </w:tc>
        <w:tc>
          <w:tcPr>
            <w:tcW w:w="156" w:type="pct"/>
            <w:noWrap/>
            <w:hideMark/>
          </w:tcPr>
          <w:p w14:paraId="5C91B923"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20</w:t>
            </w:r>
          </w:p>
        </w:tc>
        <w:tc>
          <w:tcPr>
            <w:tcW w:w="157" w:type="pct"/>
            <w:gridSpan w:val="2"/>
            <w:noWrap/>
            <w:hideMark/>
          </w:tcPr>
          <w:p w14:paraId="5D786A40"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100</w:t>
            </w:r>
          </w:p>
        </w:tc>
        <w:tc>
          <w:tcPr>
            <w:tcW w:w="156" w:type="pct"/>
            <w:noWrap/>
            <w:hideMark/>
          </w:tcPr>
          <w:p w14:paraId="6F9100B9"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56</w:t>
            </w:r>
          </w:p>
        </w:tc>
        <w:tc>
          <w:tcPr>
            <w:tcW w:w="156" w:type="pct"/>
            <w:noWrap/>
            <w:hideMark/>
          </w:tcPr>
          <w:p w14:paraId="28D5B37E"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109</w:t>
            </w:r>
          </w:p>
        </w:tc>
        <w:tc>
          <w:tcPr>
            <w:tcW w:w="156" w:type="pct"/>
            <w:gridSpan w:val="2"/>
            <w:noWrap/>
            <w:hideMark/>
          </w:tcPr>
          <w:p w14:paraId="2953AD09"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60</w:t>
            </w:r>
          </w:p>
        </w:tc>
        <w:tc>
          <w:tcPr>
            <w:tcW w:w="157" w:type="pct"/>
            <w:noWrap/>
            <w:hideMark/>
          </w:tcPr>
          <w:p w14:paraId="0A21F7F5"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36</w:t>
            </w:r>
          </w:p>
        </w:tc>
        <w:tc>
          <w:tcPr>
            <w:tcW w:w="156" w:type="pct"/>
            <w:noWrap/>
            <w:hideMark/>
          </w:tcPr>
          <w:p w14:paraId="543222A2"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62</w:t>
            </w:r>
          </w:p>
        </w:tc>
        <w:tc>
          <w:tcPr>
            <w:tcW w:w="156" w:type="pct"/>
            <w:gridSpan w:val="2"/>
            <w:noWrap/>
            <w:hideMark/>
          </w:tcPr>
          <w:p w14:paraId="22677646"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7631119A"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537D274C"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gridSpan w:val="2"/>
            <w:noWrap/>
            <w:hideMark/>
          </w:tcPr>
          <w:p w14:paraId="03596D3F"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7" w:type="pct"/>
            <w:noWrap/>
            <w:hideMark/>
          </w:tcPr>
          <w:p w14:paraId="18C0CD2D"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378BEF2C"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gridSpan w:val="2"/>
            <w:noWrap/>
            <w:hideMark/>
          </w:tcPr>
          <w:p w14:paraId="0E632AD4"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0D6EB134"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1</w:t>
            </w:r>
          </w:p>
        </w:tc>
        <w:tc>
          <w:tcPr>
            <w:tcW w:w="156" w:type="pct"/>
            <w:noWrap/>
            <w:hideMark/>
          </w:tcPr>
          <w:p w14:paraId="6A90D57B"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3</w:t>
            </w:r>
          </w:p>
        </w:tc>
        <w:tc>
          <w:tcPr>
            <w:tcW w:w="156" w:type="pct"/>
            <w:gridSpan w:val="2"/>
            <w:noWrap/>
            <w:hideMark/>
          </w:tcPr>
          <w:p w14:paraId="515AB55C"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196</w:t>
            </w:r>
          </w:p>
        </w:tc>
        <w:tc>
          <w:tcPr>
            <w:tcW w:w="156" w:type="pct"/>
            <w:noWrap/>
            <w:hideMark/>
          </w:tcPr>
          <w:p w14:paraId="1FEC76EC" w14:textId="77777777" w:rsidR="001B7372" w:rsidRPr="00A26A4F"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rPr>
            </w:pPr>
            <w:r w:rsidRPr="00A26A4F">
              <w:rPr>
                <w:color w:val="000000"/>
                <w:sz w:val="20"/>
              </w:rPr>
              <w:t>110</w:t>
            </w:r>
          </w:p>
        </w:tc>
        <w:tc>
          <w:tcPr>
            <w:tcW w:w="156" w:type="pct"/>
            <w:noWrap/>
            <w:hideMark/>
          </w:tcPr>
          <w:p w14:paraId="4D9AEFCF"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207</w:t>
            </w:r>
          </w:p>
        </w:tc>
      </w:tr>
      <w:tr w:rsidR="001B7372" w:rsidRPr="001B7372" w14:paraId="2EB472A0" w14:textId="77777777" w:rsidTr="00CC7D83">
        <w:trPr>
          <w:trHeight w:val="397"/>
        </w:trPr>
        <w:tc>
          <w:tcPr>
            <w:cnfStyle w:val="001000000000" w:firstRow="0" w:lastRow="0" w:firstColumn="1" w:lastColumn="0" w:oddVBand="0" w:evenVBand="0" w:oddHBand="0" w:evenHBand="0" w:firstRowFirstColumn="0" w:firstRowLastColumn="0" w:lastRowFirstColumn="0" w:lastRowLastColumn="0"/>
            <w:tcW w:w="756" w:type="pct"/>
            <w:noWrap/>
            <w:hideMark/>
          </w:tcPr>
          <w:p w14:paraId="20928B66" w14:textId="77777777" w:rsidR="001B7372" w:rsidRPr="001B7372" w:rsidRDefault="001B7372" w:rsidP="001B7372">
            <w:pPr>
              <w:pStyle w:val="VEOHRCBodytext"/>
              <w:rPr>
                <w:color w:val="000000"/>
                <w:sz w:val="20"/>
                <w:szCs w:val="20"/>
              </w:rPr>
            </w:pPr>
            <w:r w:rsidRPr="001B7372">
              <w:rPr>
                <w:color w:val="000000"/>
                <w:sz w:val="20"/>
                <w:szCs w:val="20"/>
              </w:rPr>
              <w:t>Racial vilification</w:t>
            </w:r>
          </w:p>
        </w:tc>
        <w:tc>
          <w:tcPr>
            <w:tcW w:w="156" w:type="pct"/>
            <w:noWrap/>
            <w:hideMark/>
          </w:tcPr>
          <w:p w14:paraId="30FA9947"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18D70EBD"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0D5D2940"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4A0445C1"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20F4DE39"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6CFDF3C4"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657D95D8"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1DEA7230"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462B526F"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61" w:type="pct"/>
            <w:gridSpan w:val="2"/>
            <w:noWrap/>
            <w:hideMark/>
          </w:tcPr>
          <w:p w14:paraId="0706529B"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189BB577"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288D4FB4"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60" w:type="pct"/>
            <w:gridSpan w:val="2"/>
            <w:noWrap/>
            <w:hideMark/>
          </w:tcPr>
          <w:p w14:paraId="50376C14"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793A243D"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468D245B"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61" w:type="pct"/>
            <w:gridSpan w:val="2"/>
            <w:noWrap/>
            <w:hideMark/>
          </w:tcPr>
          <w:p w14:paraId="2FB89BFD"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58450616"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6B075747"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61" w:type="pct"/>
            <w:gridSpan w:val="2"/>
            <w:noWrap/>
            <w:hideMark/>
          </w:tcPr>
          <w:p w14:paraId="13AC1E1B"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9</w:t>
            </w:r>
          </w:p>
        </w:tc>
        <w:tc>
          <w:tcPr>
            <w:tcW w:w="156" w:type="pct"/>
            <w:noWrap/>
            <w:hideMark/>
          </w:tcPr>
          <w:p w14:paraId="4D0BA715"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9</w:t>
            </w:r>
          </w:p>
        </w:tc>
        <w:tc>
          <w:tcPr>
            <w:tcW w:w="156" w:type="pct"/>
            <w:noWrap/>
            <w:hideMark/>
          </w:tcPr>
          <w:p w14:paraId="5315B016"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4</w:t>
            </w:r>
          </w:p>
        </w:tc>
        <w:tc>
          <w:tcPr>
            <w:tcW w:w="161" w:type="pct"/>
            <w:gridSpan w:val="2"/>
            <w:noWrap/>
            <w:hideMark/>
          </w:tcPr>
          <w:p w14:paraId="02112592"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66DB02E4"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7B0ACF27"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61" w:type="pct"/>
            <w:gridSpan w:val="2"/>
            <w:noWrap/>
            <w:hideMark/>
          </w:tcPr>
          <w:p w14:paraId="68B9F258"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9</w:t>
            </w:r>
          </w:p>
        </w:tc>
        <w:tc>
          <w:tcPr>
            <w:tcW w:w="156" w:type="pct"/>
            <w:noWrap/>
            <w:vAlign w:val="bottom"/>
            <w:hideMark/>
          </w:tcPr>
          <w:p w14:paraId="4092F874" w14:textId="343943AF" w:rsidR="001B7372" w:rsidRPr="00A26A4F" w:rsidRDefault="006C6B47"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rPr>
            </w:pPr>
            <w:r w:rsidRPr="006C6B47">
              <w:rPr>
                <w:rFonts w:cs="Arial"/>
                <w:sz w:val="20"/>
                <w:szCs w:val="20"/>
              </w:rPr>
              <w:t>3</w:t>
            </w:r>
          </w:p>
        </w:tc>
        <w:tc>
          <w:tcPr>
            <w:tcW w:w="156" w:type="pct"/>
            <w:noWrap/>
            <w:hideMark/>
          </w:tcPr>
          <w:p w14:paraId="615255DA"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4</w:t>
            </w:r>
          </w:p>
        </w:tc>
      </w:tr>
      <w:tr w:rsidR="00A1438E" w:rsidRPr="001B7372" w14:paraId="3A74DBB2" w14:textId="77777777" w:rsidTr="001B737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75" w:type="pct"/>
            <w:noWrap/>
            <w:hideMark/>
          </w:tcPr>
          <w:p w14:paraId="5B9E2337" w14:textId="77777777" w:rsidR="001B7372" w:rsidRPr="001B7372" w:rsidRDefault="001B7372" w:rsidP="001B7372">
            <w:pPr>
              <w:pStyle w:val="VEOHRCBodytext"/>
              <w:rPr>
                <w:color w:val="000000"/>
                <w:sz w:val="20"/>
                <w:szCs w:val="20"/>
              </w:rPr>
            </w:pPr>
            <w:r w:rsidRPr="001B7372">
              <w:rPr>
                <w:color w:val="000000"/>
                <w:sz w:val="20"/>
                <w:szCs w:val="20"/>
              </w:rPr>
              <w:t>Religious belief or activity</w:t>
            </w:r>
          </w:p>
        </w:tc>
        <w:tc>
          <w:tcPr>
            <w:tcW w:w="156" w:type="pct"/>
            <w:noWrap/>
            <w:hideMark/>
          </w:tcPr>
          <w:p w14:paraId="5CB9CC92"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1</w:t>
            </w:r>
          </w:p>
        </w:tc>
        <w:tc>
          <w:tcPr>
            <w:tcW w:w="156" w:type="pct"/>
            <w:noWrap/>
            <w:hideMark/>
          </w:tcPr>
          <w:p w14:paraId="5EE9E3D7"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4DD69109"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4</w:t>
            </w:r>
          </w:p>
        </w:tc>
        <w:tc>
          <w:tcPr>
            <w:tcW w:w="156" w:type="pct"/>
            <w:noWrap/>
            <w:hideMark/>
          </w:tcPr>
          <w:p w14:paraId="3B86EF9F"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42A36913"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1202CE3B"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10AE561F"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16</w:t>
            </w:r>
          </w:p>
        </w:tc>
        <w:tc>
          <w:tcPr>
            <w:tcW w:w="156" w:type="pct"/>
            <w:noWrap/>
            <w:hideMark/>
          </w:tcPr>
          <w:p w14:paraId="0B2AAEF1"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4</w:t>
            </w:r>
          </w:p>
        </w:tc>
        <w:tc>
          <w:tcPr>
            <w:tcW w:w="156" w:type="pct"/>
            <w:noWrap/>
            <w:hideMark/>
          </w:tcPr>
          <w:p w14:paraId="7F86188E"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3</w:t>
            </w:r>
          </w:p>
        </w:tc>
        <w:tc>
          <w:tcPr>
            <w:tcW w:w="157" w:type="pct"/>
            <w:gridSpan w:val="2"/>
            <w:noWrap/>
            <w:hideMark/>
          </w:tcPr>
          <w:p w14:paraId="56690AF4"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22</w:t>
            </w:r>
          </w:p>
        </w:tc>
        <w:tc>
          <w:tcPr>
            <w:tcW w:w="156" w:type="pct"/>
            <w:noWrap/>
            <w:hideMark/>
          </w:tcPr>
          <w:p w14:paraId="16D606CA"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22</w:t>
            </w:r>
          </w:p>
        </w:tc>
        <w:tc>
          <w:tcPr>
            <w:tcW w:w="156" w:type="pct"/>
            <w:noWrap/>
            <w:hideMark/>
          </w:tcPr>
          <w:p w14:paraId="2BCF2630"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23</w:t>
            </w:r>
          </w:p>
        </w:tc>
        <w:tc>
          <w:tcPr>
            <w:tcW w:w="156" w:type="pct"/>
            <w:gridSpan w:val="2"/>
            <w:noWrap/>
            <w:hideMark/>
          </w:tcPr>
          <w:p w14:paraId="44F8B8C2"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15</w:t>
            </w:r>
          </w:p>
        </w:tc>
        <w:tc>
          <w:tcPr>
            <w:tcW w:w="157" w:type="pct"/>
            <w:noWrap/>
            <w:hideMark/>
          </w:tcPr>
          <w:p w14:paraId="14D4C298"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11</w:t>
            </w:r>
          </w:p>
        </w:tc>
        <w:tc>
          <w:tcPr>
            <w:tcW w:w="156" w:type="pct"/>
            <w:noWrap/>
            <w:hideMark/>
          </w:tcPr>
          <w:p w14:paraId="413A0C13"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35</w:t>
            </w:r>
          </w:p>
        </w:tc>
        <w:tc>
          <w:tcPr>
            <w:tcW w:w="156" w:type="pct"/>
            <w:gridSpan w:val="2"/>
            <w:noWrap/>
            <w:hideMark/>
          </w:tcPr>
          <w:p w14:paraId="6AEDF9FC"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469C2485"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6F31D26A"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gridSpan w:val="2"/>
            <w:noWrap/>
            <w:hideMark/>
          </w:tcPr>
          <w:p w14:paraId="65620D03"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7" w:type="pct"/>
            <w:noWrap/>
            <w:hideMark/>
          </w:tcPr>
          <w:p w14:paraId="7D9A2A7E"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1E5D0E06"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gridSpan w:val="2"/>
            <w:noWrap/>
            <w:hideMark/>
          </w:tcPr>
          <w:p w14:paraId="72EFC588"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7379EBF0"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275D4801"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gridSpan w:val="2"/>
            <w:noWrap/>
            <w:hideMark/>
          </w:tcPr>
          <w:p w14:paraId="40A024E8"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54</w:t>
            </w:r>
          </w:p>
        </w:tc>
        <w:tc>
          <w:tcPr>
            <w:tcW w:w="156" w:type="pct"/>
            <w:noWrap/>
            <w:hideMark/>
          </w:tcPr>
          <w:p w14:paraId="5AB4AA40" w14:textId="77777777" w:rsidR="001B7372" w:rsidRPr="00A26A4F"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rPr>
            </w:pPr>
            <w:r w:rsidRPr="00A26A4F">
              <w:rPr>
                <w:color w:val="000000"/>
                <w:sz w:val="20"/>
              </w:rPr>
              <w:t>37</w:t>
            </w:r>
          </w:p>
        </w:tc>
        <w:tc>
          <w:tcPr>
            <w:tcW w:w="156" w:type="pct"/>
            <w:noWrap/>
            <w:hideMark/>
          </w:tcPr>
          <w:p w14:paraId="5FF44E83"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65</w:t>
            </w:r>
          </w:p>
        </w:tc>
      </w:tr>
      <w:tr w:rsidR="001B7372" w:rsidRPr="001B7372" w14:paraId="3F485D9B" w14:textId="77777777" w:rsidTr="00CC7D83">
        <w:trPr>
          <w:trHeight w:val="397"/>
        </w:trPr>
        <w:tc>
          <w:tcPr>
            <w:cnfStyle w:val="001000000000" w:firstRow="0" w:lastRow="0" w:firstColumn="1" w:lastColumn="0" w:oddVBand="0" w:evenVBand="0" w:oddHBand="0" w:evenHBand="0" w:firstRowFirstColumn="0" w:firstRowLastColumn="0" w:lastRowFirstColumn="0" w:lastRowLastColumn="0"/>
            <w:tcW w:w="756" w:type="pct"/>
            <w:noWrap/>
            <w:hideMark/>
          </w:tcPr>
          <w:p w14:paraId="301D08EB" w14:textId="77777777" w:rsidR="001B7372" w:rsidRPr="001B7372" w:rsidRDefault="001B7372" w:rsidP="001B7372">
            <w:pPr>
              <w:pStyle w:val="VEOHRCBodytext"/>
              <w:rPr>
                <w:color w:val="000000"/>
                <w:sz w:val="20"/>
                <w:szCs w:val="20"/>
              </w:rPr>
            </w:pPr>
            <w:r w:rsidRPr="001B7372">
              <w:rPr>
                <w:color w:val="000000"/>
                <w:sz w:val="20"/>
                <w:szCs w:val="20"/>
              </w:rPr>
              <w:t>Religious vilification</w:t>
            </w:r>
          </w:p>
        </w:tc>
        <w:tc>
          <w:tcPr>
            <w:tcW w:w="156" w:type="pct"/>
            <w:noWrap/>
            <w:hideMark/>
          </w:tcPr>
          <w:p w14:paraId="64EBDD43"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47942E87"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1AC9CD0F"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4ACC6E06"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1FA5B127"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3289D7E5"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6D2C44E7"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565C5484"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2F233CDF"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61" w:type="pct"/>
            <w:gridSpan w:val="2"/>
            <w:noWrap/>
            <w:hideMark/>
          </w:tcPr>
          <w:p w14:paraId="75E30695"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21807E96"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59850F17"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60" w:type="pct"/>
            <w:gridSpan w:val="2"/>
            <w:noWrap/>
            <w:hideMark/>
          </w:tcPr>
          <w:p w14:paraId="60A0D3F3"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14EFEF04"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53B128D8"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61" w:type="pct"/>
            <w:gridSpan w:val="2"/>
            <w:noWrap/>
            <w:hideMark/>
          </w:tcPr>
          <w:p w14:paraId="4E78CFBE"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0BC68DBC"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5B381360"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61" w:type="pct"/>
            <w:gridSpan w:val="2"/>
            <w:noWrap/>
            <w:hideMark/>
          </w:tcPr>
          <w:p w14:paraId="114C3EEB"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4</w:t>
            </w:r>
          </w:p>
        </w:tc>
        <w:tc>
          <w:tcPr>
            <w:tcW w:w="156" w:type="pct"/>
            <w:noWrap/>
            <w:hideMark/>
          </w:tcPr>
          <w:p w14:paraId="35166635"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4</w:t>
            </w:r>
          </w:p>
        </w:tc>
        <w:tc>
          <w:tcPr>
            <w:tcW w:w="156" w:type="pct"/>
            <w:noWrap/>
            <w:hideMark/>
          </w:tcPr>
          <w:p w14:paraId="375BD8DE"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14</w:t>
            </w:r>
          </w:p>
        </w:tc>
        <w:tc>
          <w:tcPr>
            <w:tcW w:w="161" w:type="pct"/>
            <w:gridSpan w:val="2"/>
            <w:noWrap/>
            <w:hideMark/>
          </w:tcPr>
          <w:p w14:paraId="599B9FC7"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424D7B0C"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31764876"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61" w:type="pct"/>
            <w:gridSpan w:val="2"/>
            <w:noWrap/>
            <w:hideMark/>
          </w:tcPr>
          <w:p w14:paraId="21C6AD30"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4</w:t>
            </w:r>
          </w:p>
        </w:tc>
        <w:tc>
          <w:tcPr>
            <w:tcW w:w="156" w:type="pct"/>
            <w:noWrap/>
            <w:vAlign w:val="bottom"/>
            <w:hideMark/>
          </w:tcPr>
          <w:p w14:paraId="5DEEC781" w14:textId="27428891" w:rsidR="001B7372" w:rsidRPr="00A26A4F" w:rsidRDefault="006C6B47"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rPr>
            </w:pPr>
            <w:r w:rsidRPr="006C6B47">
              <w:rPr>
                <w:rFonts w:cs="Arial"/>
                <w:sz w:val="20"/>
                <w:szCs w:val="20"/>
              </w:rPr>
              <w:t>5</w:t>
            </w:r>
          </w:p>
        </w:tc>
        <w:tc>
          <w:tcPr>
            <w:tcW w:w="156" w:type="pct"/>
            <w:noWrap/>
            <w:hideMark/>
          </w:tcPr>
          <w:p w14:paraId="2C687B21"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14</w:t>
            </w:r>
          </w:p>
        </w:tc>
      </w:tr>
      <w:tr w:rsidR="00A1438E" w:rsidRPr="001B7372" w14:paraId="31C5ECFA" w14:textId="77777777" w:rsidTr="001B737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75" w:type="pct"/>
            <w:noWrap/>
            <w:hideMark/>
          </w:tcPr>
          <w:p w14:paraId="563BDB20" w14:textId="77777777" w:rsidR="001B7372" w:rsidRPr="001B7372" w:rsidRDefault="001B7372" w:rsidP="001B7372">
            <w:pPr>
              <w:pStyle w:val="VEOHRCBodytext"/>
              <w:rPr>
                <w:color w:val="000000"/>
                <w:sz w:val="20"/>
                <w:szCs w:val="20"/>
              </w:rPr>
            </w:pPr>
            <w:r w:rsidRPr="001B7372">
              <w:rPr>
                <w:color w:val="000000"/>
                <w:sz w:val="20"/>
                <w:szCs w:val="20"/>
              </w:rPr>
              <w:t>Sex</w:t>
            </w:r>
          </w:p>
        </w:tc>
        <w:tc>
          <w:tcPr>
            <w:tcW w:w="156" w:type="pct"/>
            <w:noWrap/>
            <w:hideMark/>
          </w:tcPr>
          <w:p w14:paraId="51522FF8"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7</w:t>
            </w:r>
          </w:p>
        </w:tc>
        <w:tc>
          <w:tcPr>
            <w:tcW w:w="156" w:type="pct"/>
            <w:noWrap/>
            <w:hideMark/>
          </w:tcPr>
          <w:p w14:paraId="590712A9"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4</w:t>
            </w:r>
          </w:p>
        </w:tc>
        <w:tc>
          <w:tcPr>
            <w:tcW w:w="156" w:type="pct"/>
            <w:noWrap/>
            <w:hideMark/>
          </w:tcPr>
          <w:p w14:paraId="7F63C7DD"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6</w:t>
            </w:r>
          </w:p>
        </w:tc>
        <w:tc>
          <w:tcPr>
            <w:tcW w:w="156" w:type="pct"/>
            <w:noWrap/>
            <w:hideMark/>
          </w:tcPr>
          <w:p w14:paraId="31F76DC2"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7C3A8AB5"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6CE83CC9"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2</w:t>
            </w:r>
          </w:p>
        </w:tc>
        <w:tc>
          <w:tcPr>
            <w:tcW w:w="156" w:type="pct"/>
            <w:noWrap/>
            <w:hideMark/>
          </w:tcPr>
          <w:p w14:paraId="2470CEC0"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8</w:t>
            </w:r>
          </w:p>
        </w:tc>
        <w:tc>
          <w:tcPr>
            <w:tcW w:w="156" w:type="pct"/>
            <w:noWrap/>
            <w:hideMark/>
          </w:tcPr>
          <w:p w14:paraId="16B86C9A"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5</w:t>
            </w:r>
          </w:p>
        </w:tc>
        <w:tc>
          <w:tcPr>
            <w:tcW w:w="156" w:type="pct"/>
            <w:noWrap/>
            <w:hideMark/>
          </w:tcPr>
          <w:p w14:paraId="3C2B030C"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7</w:t>
            </w:r>
          </w:p>
        </w:tc>
        <w:tc>
          <w:tcPr>
            <w:tcW w:w="157" w:type="pct"/>
            <w:gridSpan w:val="2"/>
            <w:noWrap/>
            <w:hideMark/>
          </w:tcPr>
          <w:p w14:paraId="5920B88D"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130</w:t>
            </w:r>
          </w:p>
        </w:tc>
        <w:tc>
          <w:tcPr>
            <w:tcW w:w="156" w:type="pct"/>
            <w:noWrap/>
            <w:hideMark/>
          </w:tcPr>
          <w:p w14:paraId="5754E737"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121</w:t>
            </w:r>
          </w:p>
        </w:tc>
        <w:tc>
          <w:tcPr>
            <w:tcW w:w="156" w:type="pct"/>
            <w:noWrap/>
            <w:hideMark/>
          </w:tcPr>
          <w:p w14:paraId="6F371BB1"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145</w:t>
            </w:r>
          </w:p>
        </w:tc>
        <w:tc>
          <w:tcPr>
            <w:tcW w:w="156" w:type="pct"/>
            <w:gridSpan w:val="2"/>
            <w:noWrap/>
            <w:hideMark/>
          </w:tcPr>
          <w:p w14:paraId="302E5907"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49</w:t>
            </w:r>
          </w:p>
        </w:tc>
        <w:tc>
          <w:tcPr>
            <w:tcW w:w="157" w:type="pct"/>
            <w:noWrap/>
            <w:hideMark/>
          </w:tcPr>
          <w:p w14:paraId="7D1A219A"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40</w:t>
            </w:r>
          </w:p>
        </w:tc>
        <w:tc>
          <w:tcPr>
            <w:tcW w:w="156" w:type="pct"/>
            <w:noWrap/>
            <w:hideMark/>
          </w:tcPr>
          <w:p w14:paraId="6E881CC2"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63</w:t>
            </w:r>
          </w:p>
        </w:tc>
        <w:tc>
          <w:tcPr>
            <w:tcW w:w="156" w:type="pct"/>
            <w:gridSpan w:val="2"/>
            <w:noWrap/>
            <w:hideMark/>
          </w:tcPr>
          <w:p w14:paraId="76C43C94"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6154EE94"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12518480"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gridSpan w:val="2"/>
            <w:noWrap/>
            <w:hideMark/>
          </w:tcPr>
          <w:p w14:paraId="5C54E915"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7" w:type="pct"/>
            <w:noWrap/>
            <w:hideMark/>
          </w:tcPr>
          <w:p w14:paraId="407EA884"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56139A48"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gridSpan w:val="2"/>
            <w:noWrap/>
            <w:hideMark/>
          </w:tcPr>
          <w:p w14:paraId="49129D30"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1</w:t>
            </w:r>
          </w:p>
        </w:tc>
        <w:tc>
          <w:tcPr>
            <w:tcW w:w="156" w:type="pct"/>
            <w:noWrap/>
            <w:hideMark/>
          </w:tcPr>
          <w:p w14:paraId="6A251CE4"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2</w:t>
            </w:r>
          </w:p>
        </w:tc>
        <w:tc>
          <w:tcPr>
            <w:tcW w:w="156" w:type="pct"/>
            <w:noWrap/>
            <w:hideMark/>
          </w:tcPr>
          <w:p w14:paraId="2CD24A98"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3</w:t>
            </w:r>
          </w:p>
        </w:tc>
        <w:tc>
          <w:tcPr>
            <w:tcW w:w="156" w:type="pct"/>
            <w:gridSpan w:val="2"/>
            <w:noWrap/>
            <w:hideMark/>
          </w:tcPr>
          <w:p w14:paraId="1A84750C"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195</w:t>
            </w:r>
          </w:p>
        </w:tc>
        <w:tc>
          <w:tcPr>
            <w:tcW w:w="156" w:type="pct"/>
            <w:noWrap/>
            <w:hideMark/>
          </w:tcPr>
          <w:p w14:paraId="668B204E" w14:textId="77777777" w:rsidR="001B7372" w:rsidRPr="00A26A4F"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rPr>
            </w:pPr>
            <w:r w:rsidRPr="00A26A4F">
              <w:rPr>
                <w:color w:val="000000"/>
                <w:sz w:val="20"/>
              </w:rPr>
              <w:t>172</w:t>
            </w:r>
          </w:p>
        </w:tc>
        <w:tc>
          <w:tcPr>
            <w:tcW w:w="156" w:type="pct"/>
            <w:noWrap/>
            <w:hideMark/>
          </w:tcPr>
          <w:p w14:paraId="02632D1A"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226</w:t>
            </w:r>
          </w:p>
        </w:tc>
      </w:tr>
      <w:tr w:rsidR="001B7372" w:rsidRPr="001B7372" w14:paraId="63A05020" w14:textId="77777777" w:rsidTr="00A26A4F">
        <w:trPr>
          <w:trHeight w:val="397"/>
        </w:trPr>
        <w:tc>
          <w:tcPr>
            <w:cnfStyle w:val="001000000000" w:firstRow="0" w:lastRow="0" w:firstColumn="1" w:lastColumn="0" w:oddVBand="0" w:evenVBand="0" w:oddHBand="0" w:evenHBand="0" w:firstRowFirstColumn="0" w:firstRowLastColumn="0" w:lastRowFirstColumn="0" w:lastRowLastColumn="0"/>
            <w:tcW w:w="775" w:type="pct"/>
            <w:noWrap/>
            <w:hideMark/>
          </w:tcPr>
          <w:p w14:paraId="112104F2" w14:textId="77777777" w:rsidR="001B7372" w:rsidRPr="001B7372" w:rsidRDefault="001B7372" w:rsidP="001B7372">
            <w:pPr>
              <w:pStyle w:val="VEOHRCBodytext"/>
              <w:rPr>
                <w:color w:val="000000"/>
                <w:sz w:val="20"/>
                <w:szCs w:val="20"/>
              </w:rPr>
            </w:pPr>
            <w:r w:rsidRPr="001B7372">
              <w:rPr>
                <w:color w:val="000000"/>
                <w:sz w:val="20"/>
                <w:szCs w:val="20"/>
              </w:rPr>
              <w:t>Sexual harassment</w:t>
            </w:r>
          </w:p>
        </w:tc>
        <w:tc>
          <w:tcPr>
            <w:tcW w:w="156" w:type="pct"/>
            <w:noWrap/>
            <w:hideMark/>
          </w:tcPr>
          <w:p w14:paraId="3AC78564"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3</w:t>
            </w:r>
          </w:p>
        </w:tc>
        <w:tc>
          <w:tcPr>
            <w:tcW w:w="156" w:type="pct"/>
            <w:noWrap/>
            <w:hideMark/>
          </w:tcPr>
          <w:p w14:paraId="13552020"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1</w:t>
            </w:r>
          </w:p>
        </w:tc>
        <w:tc>
          <w:tcPr>
            <w:tcW w:w="156" w:type="pct"/>
            <w:noWrap/>
            <w:hideMark/>
          </w:tcPr>
          <w:p w14:paraId="43BE3A73"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73D52AE9"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53DC2461"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3F6C8145"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2</w:t>
            </w:r>
          </w:p>
        </w:tc>
        <w:tc>
          <w:tcPr>
            <w:tcW w:w="156" w:type="pct"/>
            <w:noWrap/>
            <w:hideMark/>
          </w:tcPr>
          <w:p w14:paraId="40A7FA59"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1</w:t>
            </w:r>
          </w:p>
        </w:tc>
        <w:tc>
          <w:tcPr>
            <w:tcW w:w="156" w:type="pct"/>
            <w:noWrap/>
            <w:hideMark/>
          </w:tcPr>
          <w:p w14:paraId="073C10B6"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3</w:t>
            </w:r>
          </w:p>
        </w:tc>
        <w:tc>
          <w:tcPr>
            <w:tcW w:w="156" w:type="pct"/>
            <w:noWrap/>
            <w:hideMark/>
          </w:tcPr>
          <w:p w14:paraId="2659CA92"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1</w:t>
            </w:r>
          </w:p>
        </w:tc>
        <w:tc>
          <w:tcPr>
            <w:tcW w:w="157" w:type="pct"/>
            <w:gridSpan w:val="2"/>
            <w:noWrap/>
            <w:hideMark/>
          </w:tcPr>
          <w:p w14:paraId="5DBCFC35"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138</w:t>
            </w:r>
          </w:p>
        </w:tc>
        <w:tc>
          <w:tcPr>
            <w:tcW w:w="156" w:type="pct"/>
            <w:noWrap/>
            <w:hideMark/>
          </w:tcPr>
          <w:p w14:paraId="36246DCC"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116</w:t>
            </w:r>
          </w:p>
        </w:tc>
        <w:tc>
          <w:tcPr>
            <w:tcW w:w="156" w:type="pct"/>
            <w:noWrap/>
            <w:hideMark/>
          </w:tcPr>
          <w:p w14:paraId="2E94FE35"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144</w:t>
            </w:r>
          </w:p>
        </w:tc>
        <w:tc>
          <w:tcPr>
            <w:tcW w:w="156" w:type="pct"/>
            <w:gridSpan w:val="2"/>
            <w:noWrap/>
            <w:hideMark/>
          </w:tcPr>
          <w:p w14:paraId="24E8FB97"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28</w:t>
            </w:r>
          </w:p>
        </w:tc>
        <w:tc>
          <w:tcPr>
            <w:tcW w:w="157" w:type="pct"/>
            <w:noWrap/>
            <w:hideMark/>
          </w:tcPr>
          <w:p w14:paraId="19089C83"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11</w:t>
            </w:r>
          </w:p>
        </w:tc>
        <w:tc>
          <w:tcPr>
            <w:tcW w:w="156" w:type="pct"/>
            <w:noWrap/>
            <w:hideMark/>
          </w:tcPr>
          <w:p w14:paraId="7A68FA18"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9</w:t>
            </w:r>
          </w:p>
        </w:tc>
        <w:tc>
          <w:tcPr>
            <w:tcW w:w="156" w:type="pct"/>
            <w:gridSpan w:val="2"/>
            <w:noWrap/>
            <w:hideMark/>
          </w:tcPr>
          <w:p w14:paraId="284F66E0"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092A7878"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3D5C45F2"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gridSpan w:val="2"/>
            <w:noWrap/>
            <w:hideMark/>
          </w:tcPr>
          <w:p w14:paraId="17F43127"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7" w:type="pct"/>
            <w:noWrap/>
            <w:hideMark/>
          </w:tcPr>
          <w:p w14:paraId="0E0E6FA6"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5ADDFBE9"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gridSpan w:val="2"/>
            <w:noWrap/>
            <w:hideMark/>
          </w:tcPr>
          <w:p w14:paraId="1115F3DD"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12390D13"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31B756B0"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gridSpan w:val="2"/>
            <w:noWrap/>
            <w:hideMark/>
          </w:tcPr>
          <w:p w14:paraId="61856E09"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170</w:t>
            </w:r>
          </w:p>
        </w:tc>
        <w:tc>
          <w:tcPr>
            <w:tcW w:w="156" w:type="pct"/>
            <w:noWrap/>
            <w:hideMark/>
          </w:tcPr>
          <w:p w14:paraId="56DB2FC7" w14:textId="77777777" w:rsidR="001B7372" w:rsidRPr="00A26A4F"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rPr>
            </w:pPr>
            <w:r w:rsidRPr="00A26A4F">
              <w:rPr>
                <w:color w:val="000000"/>
                <w:sz w:val="20"/>
              </w:rPr>
              <w:t>131</w:t>
            </w:r>
          </w:p>
        </w:tc>
        <w:tc>
          <w:tcPr>
            <w:tcW w:w="156" w:type="pct"/>
            <w:noWrap/>
            <w:hideMark/>
          </w:tcPr>
          <w:p w14:paraId="31C4BD56"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156</w:t>
            </w:r>
          </w:p>
        </w:tc>
      </w:tr>
      <w:tr w:rsidR="00A1438E" w:rsidRPr="001B7372" w14:paraId="55F10D50" w14:textId="77777777" w:rsidTr="001B737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75" w:type="pct"/>
            <w:noWrap/>
            <w:hideMark/>
          </w:tcPr>
          <w:p w14:paraId="182ECB32" w14:textId="77777777" w:rsidR="001B7372" w:rsidRPr="001B7372" w:rsidRDefault="001B7372" w:rsidP="001B7372">
            <w:pPr>
              <w:pStyle w:val="VEOHRCBodytext"/>
              <w:rPr>
                <w:color w:val="000000"/>
                <w:sz w:val="20"/>
                <w:szCs w:val="20"/>
              </w:rPr>
            </w:pPr>
            <w:r w:rsidRPr="001B7372">
              <w:rPr>
                <w:color w:val="000000"/>
                <w:sz w:val="20"/>
                <w:szCs w:val="20"/>
              </w:rPr>
              <w:t>Sexual orientation</w:t>
            </w:r>
          </w:p>
        </w:tc>
        <w:tc>
          <w:tcPr>
            <w:tcW w:w="156" w:type="pct"/>
            <w:noWrap/>
            <w:hideMark/>
          </w:tcPr>
          <w:p w14:paraId="56360266"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1</w:t>
            </w:r>
          </w:p>
        </w:tc>
        <w:tc>
          <w:tcPr>
            <w:tcW w:w="156" w:type="pct"/>
            <w:noWrap/>
            <w:hideMark/>
          </w:tcPr>
          <w:p w14:paraId="7106D699"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2E6399BA"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3</w:t>
            </w:r>
          </w:p>
        </w:tc>
        <w:tc>
          <w:tcPr>
            <w:tcW w:w="156" w:type="pct"/>
            <w:noWrap/>
            <w:hideMark/>
          </w:tcPr>
          <w:p w14:paraId="3E0D4F02"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1F9CE2C9"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60B4F170"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189F4D47"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3</w:t>
            </w:r>
          </w:p>
        </w:tc>
        <w:tc>
          <w:tcPr>
            <w:tcW w:w="156" w:type="pct"/>
            <w:noWrap/>
            <w:hideMark/>
          </w:tcPr>
          <w:p w14:paraId="32644C60"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4CD2BF76"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6</w:t>
            </w:r>
          </w:p>
        </w:tc>
        <w:tc>
          <w:tcPr>
            <w:tcW w:w="157" w:type="pct"/>
            <w:gridSpan w:val="2"/>
            <w:noWrap/>
            <w:hideMark/>
          </w:tcPr>
          <w:p w14:paraId="4C0801BC"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25</w:t>
            </w:r>
          </w:p>
        </w:tc>
        <w:tc>
          <w:tcPr>
            <w:tcW w:w="156" w:type="pct"/>
            <w:noWrap/>
            <w:hideMark/>
          </w:tcPr>
          <w:p w14:paraId="6A376A67"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22</w:t>
            </w:r>
          </w:p>
        </w:tc>
        <w:tc>
          <w:tcPr>
            <w:tcW w:w="156" w:type="pct"/>
            <w:noWrap/>
            <w:hideMark/>
          </w:tcPr>
          <w:p w14:paraId="6AF9DAD7"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22</w:t>
            </w:r>
          </w:p>
        </w:tc>
        <w:tc>
          <w:tcPr>
            <w:tcW w:w="156" w:type="pct"/>
            <w:gridSpan w:val="2"/>
            <w:noWrap/>
            <w:hideMark/>
          </w:tcPr>
          <w:p w14:paraId="0E4D59C1"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12</w:t>
            </w:r>
          </w:p>
        </w:tc>
        <w:tc>
          <w:tcPr>
            <w:tcW w:w="157" w:type="pct"/>
            <w:noWrap/>
            <w:hideMark/>
          </w:tcPr>
          <w:p w14:paraId="4878E71A"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10</w:t>
            </w:r>
          </w:p>
        </w:tc>
        <w:tc>
          <w:tcPr>
            <w:tcW w:w="156" w:type="pct"/>
            <w:noWrap/>
            <w:hideMark/>
          </w:tcPr>
          <w:p w14:paraId="6146ADCE"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34</w:t>
            </w:r>
          </w:p>
        </w:tc>
        <w:tc>
          <w:tcPr>
            <w:tcW w:w="156" w:type="pct"/>
            <w:gridSpan w:val="2"/>
            <w:noWrap/>
            <w:hideMark/>
          </w:tcPr>
          <w:p w14:paraId="6F869E1C"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1A6C960E"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52C5508E"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gridSpan w:val="2"/>
            <w:noWrap/>
            <w:hideMark/>
          </w:tcPr>
          <w:p w14:paraId="76B03DA3"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7" w:type="pct"/>
            <w:noWrap/>
            <w:hideMark/>
          </w:tcPr>
          <w:p w14:paraId="62397F30"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52D140B5"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gridSpan w:val="2"/>
            <w:noWrap/>
            <w:hideMark/>
          </w:tcPr>
          <w:p w14:paraId="40AC4BA7"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2CDF0EB9"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0444ACDF"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 </w:t>
            </w:r>
          </w:p>
        </w:tc>
        <w:tc>
          <w:tcPr>
            <w:tcW w:w="156" w:type="pct"/>
            <w:gridSpan w:val="2"/>
            <w:noWrap/>
            <w:hideMark/>
          </w:tcPr>
          <w:p w14:paraId="59A89C6F"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41</w:t>
            </w:r>
          </w:p>
        </w:tc>
        <w:tc>
          <w:tcPr>
            <w:tcW w:w="156" w:type="pct"/>
            <w:noWrap/>
            <w:hideMark/>
          </w:tcPr>
          <w:p w14:paraId="34863BB8" w14:textId="77777777" w:rsidR="001B7372" w:rsidRPr="00A26A4F"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rPr>
            </w:pPr>
            <w:r w:rsidRPr="00A26A4F">
              <w:rPr>
                <w:color w:val="000000"/>
                <w:sz w:val="20"/>
              </w:rPr>
              <w:t>32</w:t>
            </w:r>
          </w:p>
        </w:tc>
        <w:tc>
          <w:tcPr>
            <w:tcW w:w="156" w:type="pct"/>
            <w:noWrap/>
            <w:hideMark/>
          </w:tcPr>
          <w:p w14:paraId="1CADE32E"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color w:val="000000"/>
                <w:sz w:val="20"/>
                <w:szCs w:val="20"/>
              </w:rPr>
            </w:pPr>
            <w:r w:rsidRPr="001B7372">
              <w:rPr>
                <w:color w:val="000000"/>
                <w:sz w:val="20"/>
                <w:szCs w:val="20"/>
              </w:rPr>
              <w:t>65</w:t>
            </w:r>
          </w:p>
        </w:tc>
      </w:tr>
      <w:tr w:rsidR="001B7372" w:rsidRPr="001B7372" w14:paraId="485DF5CA" w14:textId="77777777" w:rsidTr="00CC7D83">
        <w:trPr>
          <w:trHeight w:val="397"/>
        </w:trPr>
        <w:tc>
          <w:tcPr>
            <w:cnfStyle w:val="001000000000" w:firstRow="0" w:lastRow="0" w:firstColumn="1" w:lastColumn="0" w:oddVBand="0" w:evenVBand="0" w:oddHBand="0" w:evenHBand="0" w:firstRowFirstColumn="0" w:firstRowLastColumn="0" w:lastRowFirstColumn="0" w:lastRowLastColumn="0"/>
            <w:tcW w:w="756" w:type="pct"/>
            <w:noWrap/>
            <w:hideMark/>
          </w:tcPr>
          <w:p w14:paraId="1B989958" w14:textId="77777777" w:rsidR="001B7372" w:rsidRPr="001B7372" w:rsidRDefault="001B7372" w:rsidP="001B7372">
            <w:pPr>
              <w:pStyle w:val="VEOHRCBodytext"/>
              <w:rPr>
                <w:color w:val="000000"/>
                <w:sz w:val="20"/>
                <w:szCs w:val="20"/>
              </w:rPr>
            </w:pPr>
            <w:r w:rsidRPr="001B7372">
              <w:rPr>
                <w:color w:val="000000"/>
                <w:sz w:val="20"/>
                <w:szCs w:val="20"/>
              </w:rPr>
              <w:t>Victimisation</w:t>
            </w:r>
          </w:p>
        </w:tc>
        <w:tc>
          <w:tcPr>
            <w:tcW w:w="156" w:type="pct"/>
            <w:noWrap/>
            <w:hideMark/>
          </w:tcPr>
          <w:p w14:paraId="483F924B"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49DC3278"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1F88FCAA"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6551BBC7"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0B9DC013"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3DDE5944"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161360AB"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0070473B"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6E69645E"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61" w:type="pct"/>
            <w:gridSpan w:val="2"/>
            <w:noWrap/>
            <w:hideMark/>
          </w:tcPr>
          <w:p w14:paraId="5C3C645B"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13E2E655"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02AAF43E"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60" w:type="pct"/>
            <w:gridSpan w:val="2"/>
            <w:noWrap/>
            <w:hideMark/>
          </w:tcPr>
          <w:p w14:paraId="7368AC30"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11A29A17"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25FE1715"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61" w:type="pct"/>
            <w:gridSpan w:val="2"/>
            <w:noWrap/>
            <w:hideMark/>
          </w:tcPr>
          <w:p w14:paraId="1FC85959"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64186134"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1655F8BC"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61" w:type="pct"/>
            <w:gridSpan w:val="2"/>
            <w:noWrap/>
            <w:hideMark/>
          </w:tcPr>
          <w:p w14:paraId="7B340CE6"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192</w:t>
            </w:r>
          </w:p>
        </w:tc>
        <w:tc>
          <w:tcPr>
            <w:tcW w:w="156" w:type="pct"/>
            <w:noWrap/>
            <w:hideMark/>
          </w:tcPr>
          <w:p w14:paraId="16DFD422"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192</w:t>
            </w:r>
          </w:p>
        </w:tc>
        <w:tc>
          <w:tcPr>
            <w:tcW w:w="156" w:type="pct"/>
            <w:noWrap/>
            <w:hideMark/>
          </w:tcPr>
          <w:p w14:paraId="23D9EA81"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219</w:t>
            </w:r>
          </w:p>
        </w:tc>
        <w:tc>
          <w:tcPr>
            <w:tcW w:w="161" w:type="pct"/>
            <w:gridSpan w:val="2"/>
            <w:noWrap/>
            <w:hideMark/>
          </w:tcPr>
          <w:p w14:paraId="7A061BA5"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575F7F67"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56" w:type="pct"/>
            <w:noWrap/>
            <w:hideMark/>
          </w:tcPr>
          <w:p w14:paraId="05A77301"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 </w:t>
            </w:r>
          </w:p>
        </w:tc>
        <w:tc>
          <w:tcPr>
            <w:tcW w:w="161" w:type="pct"/>
            <w:gridSpan w:val="2"/>
            <w:noWrap/>
            <w:hideMark/>
          </w:tcPr>
          <w:p w14:paraId="03F3A603"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192</w:t>
            </w:r>
          </w:p>
        </w:tc>
        <w:tc>
          <w:tcPr>
            <w:tcW w:w="156" w:type="pct"/>
            <w:noWrap/>
            <w:vAlign w:val="bottom"/>
            <w:hideMark/>
          </w:tcPr>
          <w:p w14:paraId="353480DB" w14:textId="633B089B" w:rsidR="001B7372" w:rsidRPr="00A26A4F" w:rsidRDefault="006C6B47"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rPr>
            </w:pPr>
            <w:r w:rsidRPr="006C6B47">
              <w:rPr>
                <w:rFonts w:cs="Arial"/>
                <w:sz w:val="20"/>
                <w:szCs w:val="20"/>
              </w:rPr>
              <w:t>164</w:t>
            </w:r>
          </w:p>
        </w:tc>
        <w:tc>
          <w:tcPr>
            <w:tcW w:w="156" w:type="pct"/>
            <w:noWrap/>
            <w:hideMark/>
          </w:tcPr>
          <w:p w14:paraId="3A401B24" w14:textId="77777777" w:rsidR="001B7372" w:rsidRPr="001B7372" w:rsidRDefault="001B7372" w:rsidP="001B7372">
            <w:pPr>
              <w:pStyle w:val="VEOHRCBodytext"/>
              <w:cnfStyle w:val="000000000000" w:firstRow="0" w:lastRow="0" w:firstColumn="0" w:lastColumn="0" w:oddVBand="0" w:evenVBand="0" w:oddHBand="0" w:evenHBand="0" w:firstRowFirstColumn="0" w:firstRowLastColumn="0" w:lastRowFirstColumn="0" w:lastRowLastColumn="0"/>
              <w:rPr>
                <w:color w:val="000000"/>
                <w:sz w:val="20"/>
                <w:szCs w:val="20"/>
              </w:rPr>
            </w:pPr>
            <w:r w:rsidRPr="001B7372">
              <w:rPr>
                <w:color w:val="000000"/>
                <w:sz w:val="20"/>
                <w:szCs w:val="20"/>
              </w:rPr>
              <w:t>219</w:t>
            </w:r>
          </w:p>
        </w:tc>
      </w:tr>
      <w:tr w:rsidR="00A1438E" w:rsidRPr="001B7372" w14:paraId="6AAB384C" w14:textId="77777777" w:rsidTr="001B737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75" w:type="pct"/>
            <w:noWrap/>
            <w:hideMark/>
          </w:tcPr>
          <w:p w14:paraId="57AB2BAF" w14:textId="44D1FD3E" w:rsidR="001B7372" w:rsidRPr="001B7372" w:rsidRDefault="001B7372" w:rsidP="001B7372">
            <w:pPr>
              <w:pStyle w:val="VEOHRCBodytext"/>
              <w:rPr>
                <w:sz w:val="20"/>
                <w:szCs w:val="20"/>
              </w:rPr>
            </w:pPr>
            <w:r w:rsidRPr="001B7372">
              <w:rPr>
                <w:sz w:val="20"/>
                <w:szCs w:val="20"/>
              </w:rPr>
              <w:t>Total</w:t>
            </w:r>
          </w:p>
        </w:tc>
        <w:tc>
          <w:tcPr>
            <w:tcW w:w="156" w:type="pct"/>
            <w:noWrap/>
            <w:hideMark/>
          </w:tcPr>
          <w:p w14:paraId="5CB7C897"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sz w:val="20"/>
                <w:szCs w:val="20"/>
              </w:rPr>
            </w:pPr>
            <w:r w:rsidRPr="001B7372">
              <w:rPr>
                <w:sz w:val="20"/>
                <w:szCs w:val="20"/>
              </w:rPr>
              <w:t>107</w:t>
            </w:r>
          </w:p>
        </w:tc>
        <w:tc>
          <w:tcPr>
            <w:tcW w:w="156" w:type="pct"/>
            <w:noWrap/>
            <w:hideMark/>
          </w:tcPr>
          <w:p w14:paraId="119737E7"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sz w:val="20"/>
                <w:szCs w:val="20"/>
              </w:rPr>
            </w:pPr>
            <w:r w:rsidRPr="001B7372">
              <w:rPr>
                <w:sz w:val="20"/>
                <w:szCs w:val="20"/>
              </w:rPr>
              <w:t>111</w:t>
            </w:r>
          </w:p>
        </w:tc>
        <w:tc>
          <w:tcPr>
            <w:tcW w:w="156" w:type="pct"/>
            <w:noWrap/>
            <w:hideMark/>
          </w:tcPr>
          <w:p w14:paraId="714853BC"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sz w:val="20"/>
                <w:szCs w:val="20"/>
              </w:rPr>
            </w:pPr>
            <w:r w:rsidRPr="001B7372">
              <w:rPr>
                <w:sz w:val="20"/>
                <w:szCs w:val="20"/>
              </w:rPr>
              <w:t>139</w:t>
            </w:r>
          </w:p>
        </w:tc>
        <w:tc>
          <w:tcPr>
            <w:tcW w:w="156" w:type="pct"/>
            <w:noWrap/>
            <w:hideMark/>
          </w:tcPr>
          <w:p w14:paraId="7EC143B0"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sz w:val="20"/>
                <w:szCs w:val="20"/>
              </w:rPr>
            </w:pPr>
            <w:r w:rsidRPr="001B7372">
              <w:rPr>
                <w:sz w:val="20"/>
                <w:szCs w:val="20"/>
              </w:rPr>
              <w:t>4</w:t>
            </w:r>
          </w:p>
        </w:tc>
        <w:tc>
          <w:tcPr>
            <w:tcW w:w="156" w:type="pct"/>
            <w:noWrap/>
            <w:hideMark/>
          </w:tcPr>
          <w:p w14:paraId="574EA275"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sz w:val="20"/>
                <w:szCs w:val="20"/>
              </w:rPr>
            </w:pPr>
            <w:r w:rsidRPr="001B7372">
              <w:rPr>
                <w:sz w:val="20"/>
                <w:szCs w:val="20"/>
              </w:rPr>
              <w:t>6</w:t>
            </w:r>
          </w:p>
        </w:tc>
        <w:tc>
          <w:tcPr>
            <w:tcW w:w="156" w:type="pct"/>
            <w:noWrap/>
            <w:hideMark/>
          </w:tcPr>
          <w:p w14:paraId="7EBB5584"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sz w:val="20"/>
                <w:szCs w:val="20"/>
              </w:rPr>
            </w:pPr>
            <w:r w:rsidRPr="001B7372">
              <w:rPr>
                <w:sz w:val="20"/>
                <w:szCs w:val="20"/>
              </w:rPr>
              <w:t>5</w:t>
            </w:r>
          </w:p>
        </w:tc>
        <w:tc>
          <w:tcPr>
            <w:tcW w:w="156" w:type="pct"/>
            <w:noWrap/>
            <w:hideMark/>
          </w:tcPr>
          <w:p w14:paraId="73CCA22F"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sz w:val="20"/>
                <w:szCs w:val="20"/>
              </w:rPr>
            </w:pPr>
            <w:r w:rsidRPr="001B7372">
              <w:rPr>
                <w:sz w:val="20"/>
                <w:szCs w:val="20"/>
              </w:rPr>
              <w:t>126</w:t>
            </w:r>
          </w:p>
        </w:tc>
        <w:tc>
          <w:tcPr>
            <w:tcW w:w="156" w:type="pct"/>
            <w:noWrap/>
            <w:hideMark/>
          </w:tcPr>
          <w:p w14:paraId="0C76E162"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sz w:val="20"/>
                <w:szCs w:val="20"/>
              </w:rPr>
            </w:pPr>
            <w:r w:rsidRPr="001B7372">
              <w:rPr>
                <w:sz w:val="20"/>
                <w:szCs w:val="20"/>
              </w:rPr>
              <w:t>104</w:t>
            </w:r>
          </w:p>
        </w:tc>
        <w:tc>
          <w:tcPr>
            <w:tcW w:w="156" w:type="pct"/>
            <w:noWrap/>
            <w:hideMark/>
          </w:tcPr>
          <w:p w14:paraId="47B12D44"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sz w:val="20"/>
                <w:szCs w:val="20"/>
              </w:rPr>
            </w:pPr>
            <w:r w:rsidRPr="001B7372">
              <w:rPr>
                <w:sz w:val="20"/>
                <w:szCs w:val="20"/>
              </w:rPr>
              <w:t>123</w:t>
            </w:r>
          </w:p>
        </w:tc>
        <w:tc>
          <w:tcPr>
            <w:tcW w:w="157" w:type="pct"/>
            <w:gridSpan w:val="2"/>
            <w:noWrap/>
            <w:hideMark/>
          </w:tcPr>
          <w:p w14:paraId="73225A2C"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sz w:val="20"/>
                <w:szCs w:val="20"/>
              </w:rPr>
            </w:pPr>
            <w:r w:rsidRPr="001B7372">
              <w:rPr>
                <w:sz w:val="20"/>
                <w:szCs w:val="20"/>
              </w:rPr>
              <w:t>1139</w:t>
            </w:r>
          </w:p>
        </w:tc>
        <w:tc>
          <w:tcPr>
            <w:tcW w:w="156" w:type="pct"/>
            <w:noWrap/>
            <w:hideMark/>
          </w:tcPr>
          <w:p w14:paraId="07EA4D56"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sz w:val="20"/>
                <w:szCs w:val="20"/>
              </w:rPr>
            </w:pPr>
            <w:r w:rsidRPr="001B7372">
              <w:rPr>
                <w:sz w:val="20"/>
                <w:szCs w:val="20"/>
              </w:rPr>
              <w:t>1074</w:t>
            </w:r>
          </w:p>
        </w:tc>
        <w:tc>
          <w:tcPr>
            <w:tcW w:w="156" w:type="pct"/>
            <w:noWrap/>
            <w:hideMark/>
          </w:tcPr>
          <w:p w14:paraId="42A59FC1"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sz w:val="20"/>
                <w:szCs w:val="20"/>
              </w:rPr>
            </w:pPr>
            <w:r w:rsidRPr="001B7372">
              <w:rPr>
                <w:sz w:val="20"/>
                <w:szCs w:val="20"/>
              </w:rPr>
              <w:t>1147</w:t>
            </w:r>
          </w:p>
        </w:tc>
        <w:tc>
          <w:tcPr>
            <w:tcW w:w="156" w:type="pct"/>
            <w:gridSpan w:val="2"/>
            <w:noWrap/>
            <w:hideMark/>
          </w:tcPr>
          <w:p w14:paraId="66EE7BD6"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sz w:val="20"/>
                <w:szCs w:val="20"/>
              </w:rPr>
            </w:pPr>
            <w:r w:rsidRPr="001B7372">
              <w:rPr>
                <w:sz w:val="20"/>
                <w:szCs w:val="20"/>
              </w:rPr>
              <w:t>501</w:t>
            </w:r>
          </w:p>
        </w:tc>
        <w:tc>
          <w:tcPr>
            <w:tcW w:w="157" w:type="pct"/>
            <w:noWrap/>
            <w:hideMark/>
          </w:tcPr>
          <w:p w14:paraId="6611C0F1"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sz w:val="20"/>
                <w:szCs w:val="20"/>
              </w:rPr>
            </w:pPr>
            <w:r w:rsidRPr="001B7372">
              <w:rPr>
                <w:sz w:val="20"/>
                <w:szCs w:val="20"/>
              </w:rPr>
              <w:t>408</w:t>
            </w:r>
          </w:p>
        </w:tc>
        <w:tc>
          <w:tcPr>
            <w:tcW w:w="156" w:type="pct"/>
            <w:noWrap/>
            <w:hideMark/>
          </w:tcPr>
          <w:p w14:paraId="5223D596"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sz w:val="20"/>
                <w:szCs w:val="20"/>
              </w:rPr>
            </w:pPr>
            <w:r w:rsidRPr="001B7372">
              <w:rPr>
                <w:sz w:val="20"/>
                <w:szCs w:val="20"/>
              </w:rPr>
              <w:t>575</w:t>
            </w:r>
          </w:p>
        </w:tc>
        <w:tc>
          <w:tcPr>
            <w:tcW w:w="156" w:type="pct"/>
            <w:gridSpan w:val="2"/>
            <w:noWrap/>
            <w:hideMark/>
          </w:tcPr>
          <w:p w14:paraId="43C5B4E2"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sz w:val="20"/>
                <w:szCs w:val="20"/>
              </w:rPr>
            </w:pPr>
            <w:r w:rsidRPr="001B7372">
              <w:rPr>
                <w:sz w:val="20"/>
                <w:szCs w:val="20"/>
              </w:rPr>
              <w:t>2</w:t>
            </w:r>
          </w:p>
        </w:tc>
        <w:tc>
          <w:tcPr>
            <w:tcW w:w="156" w:type="pct"/>
            <w:noWrap/>
            <w:hideMark/>
          </w:tcPr>
          <w:p w14:paraId="12B91054"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sz w:val="20"/>
                <w:szCs w:val="20"/>
              </w:rPr>
            </w:pPr>
            <w:r w:rsidRPr="001B7372">
              <w:rPr>
                <w:sz w:val="20"/>
                <w:szCs w:val="20"/>
              </w:rPr>
              <w:t>2</w:t>
            </w:r>
          </w:p>
        </w:tc>
        <w:tc>
          <w:tcPr>
            <w:tcW w:w="156" w:type="pct"/>
            <w:noWrap/>
            <w:hideMark/>
          </w:tcPr>
          <w:p w14:paraId="60B43244"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sz w:val="20"/>
                <w:szCs w:val="20"/>
              </w:rPr>
            </w:pPr>
            <w:r w:rsidRPr="001B7372">
              <w:rPr>
                <w:sz w:val="20"/>
                <w:szCs w:val="20"/>
              </w:rPr>
              <w:t>0</w:t>
            </w:r>
          </w:p>
        </w:tc>
        <w:tc>
          <w:tcPr>
            <w:tcW w:w="156" w:type="pct"/>
            <w:gridSpan w:val="2"/>
            <w:noWrap/>
            <w:hideMark/>
          </w:tcPr>
          <w:p w14:paraId="7BF94D0A"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sz w:val="20"/>
                <w:szCs w:val="20"/>
              </w:rPr>
            </w:pPr>
            <w:r w:rsidRPr="001B7372">
              <w:rPr>
                <w:sz w:val="20"/>
                <w:szCs w:val="20"/>
              </w:rPr>
              <w:t>232</w:t>
            </w:r>
          </w:p>
        </w:tc>
        <w:tc>
          <w:tcPr>
            <w:tcW w:w="157" w:type="pct"/>
            <w:noWrap/>
            <w:hideMark/>
          </w:tcPr>
          <w:p w14:paraId="260D7FE1"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sz w:val="20"/>
                <w:szCs w:val="20"/>
              </w:rPr>
            </w:pPr>
            <w:r w:rsidRPr="001B7372">
              <w:rPr>
                <w:sz w:val="20"/>
                <w:szCs w:val="20"/>
              </w:rPr>
              <w:t>232</w:t>
            </w:r>
          </w:p>
        </w:tc>
        <w:tc>
          <w:tcPr>
            <w:tcW w:w="156" w:type="pct"/>
            <w:noWrap/>
            <w:hideMark/>
          </w:tcPr>
          <w:p w14:paraId="6EEFAF54"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sz w:val="20"/>
                <w:szCs w:val="20"/>
              </w:rPr>
            </w:pPr>
            <w:r w:rsidRPr="001B7372">
              <w:rPr>
                <w:sz w:val="20"/>
                <w:szCs w:val="20"/>
              </w:rPr>
              <w:t>248</w:t>
            </w:r>
          </w:p>
        </w:tc>
        <w:tc>
          <w:tcPr>
            <w:tcW w:w="156" w:type="pct"/>
            <w:gridSpan w:val="2"/>
            <w:noWrap/>
            <w:hideMark/>
          </w:tcPr>
          <w:p w14:paraId="7C262C7D"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sz w:val="20"/>
                <w:szCs w:val="20"/>
              </w:rPr>
            </w:pPr>
            <w:r w:rsidRPr="001B7372">
              <w:rPr>
                <w:sz w:val="20"/>
                <w:szCs w:val="20"/>
              </w:rPr>
              <w:t>5</w:t>
            </w:r>
          </w:p>
        </w:tc>
        <w:tc>
          <w:tcPr>
            <w:tcW w:w="156" w:type="pct"/>
            <w:noWrap/>
            <w:hideMark/>
          </w:tcPr>
          <w:p w14:paraId="5F85A4BB"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sz w:val="20"/>
                <w:szCs w:val="20"/>
              </w:rPr>
            </w:pPr>
            <w:r w:rsidRPr="001B7372">
              <w:rPr>
                <w:sz w:val="20"/>
                <w:szCs w:val="20"/>
              </w:rPr>
              <w:t>12</w:t>
            </w:r>
          </w:p>
        </w:tc>
        <w:tc>
          <w:tcPr>
            <w:tcW w:w="156" w:type="pct"/>
            <w:noWrap/>
            <w:hideMark/>
          </w:tcPr>
          <w:p w14:paraId="250D7460"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sz w:val="20"/>
                <w:szCs w:val="20"/>
              </w:rPr>
            </w:pPr>
            <w:r w:rsidRPr="001B7372">
              <w:rPr>
                <w:sz w:val="20"/>
                <w:szCs w:val="20"/>
              </w:rPr>
              <w:t>9</w:t>
            </w:r>
          </w:p>
        </w:tc>
        <w:tc>
          <w:tcPr>
            <w:tcW w:w="156" w:type="pct"/>
            <w:gridSpan w:val="2"/>
            <w:noWrap/>
            <w:hideMark/>
          </w:tcPr>
          <w:p w14:paraId="10364392"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sz w:val="20"/>
                <w:szCs w:val="20"/>
              </w:rPr>
            </w:pPr>
            <w:r w:rsidRPr="001B7372">
              <w:rPr>
                <w:sz w:val="20"/>
                <w:szCs w:val="20"/>
              </w:rPr>
              <w:t>2116</w:t>
            </w:r>
          </w:p>
        </w:tc>
        <w:tc>
          <w:tcPr>
            <w:tcW w:w="156" w:type="pct"/>
            <w:noWrap/>
            <w:hideMark/>
          </w:tcPr>
          <w:p w14:paraId="0CCAF077" w14:textId="098B9C7C" w:rsidR="001B7372" w:rsidRPr="001B7372" w:rsidRDefault="006C6B47" w:rsidP="001B7372">
            <w:pPr>
              <w:pStyle w:val="VEOHRCBodytext"/>
              <w:cnfStyle w:val="000000100000" w:firstRow="0" w:lastRow="0" w:firstColumn="0" w:lastColumn="0" w:oddVBand="0" w:evenVBand="0" w:oddHBand="1" w:evenHBand="0" w:firstRowFirstColumn="0" w:firstRowLastColumn="0" w:lastRowFirstColumn="0" w:lastRowLastColumn="0"/>
              <w:rPr>
                <w:sz w:val="20"/>
                <w:szCs w:val="20"/>
              </w:rPr>
            </w:pPr>
            <w:r w:rsidRPr="006C6B47">
              <w:rPr>
                <w:rFonts w:cs="Arial"/>
                <w:bCs/>
                <w:sz w:val="20"/>
                <w:szCs w:val="20"/>
              </w:rPr>
              <w:t>1906</w:t>
            </w:r>
          </w:p>
        </w:tc>
        <w:tc>
          <w:tcPr>
            <w:tcW w:w="156" w:type="pct"/>
            <w:noWrap/>
            <w:hideMark/>
          </w:tcPr>
          <w:p w14:paraId="6077B016" w14:textId="77777777" w:rsidR="001B7372" w:rsidRPr="001B7372" w:rsidRDefault="001B7372" w:rsidP="001B7372">
            <w:pPr>
              <w:pStyle w:val="VEOHRCBodytext"/>
              <w:cnfStyle w:val="000000100000" w:firstRow="0" w:lastRow="0" w:firstColumn="0" w:lastColumn="0" w:oddVBand="0" w:evenVBand="0" w:oddHBand="1" w:evenHBand="0" w:firstRowFirstColumn="0" w:firstRowLastColumn="0" w:lastRowFirstColumn="0" w:lastRowLastColumn="0"/>
              <w:rPr>
                <w:sz w:val="20"/>
                <w:szCs w:val="20"/>
              </w:rPr>
            </w:pPr>
            <w:r w:rsidRPr="001B7372">
              <w:rPr>
                <w:sz w:val="20"/>
                <w:szCs w:val="20"/>
              </w:rPr>
              <w:t>2246</w:t>
            </w:r>
          </w:p>
        </w:tc>
      </w:tr>
    </w:tbl>
    <w:p w14:paraId="23943E34" w14:textId="62B3E76F" w:rsidR="008822C1" w:rsidRPr="00B74C80" w:rsidRDefault="008822C1" w:rsidP="00B80144">
      <w:pPr>
        <w:pStyle w:val="VEOHRCBodytext"/>
        <w:rPr>
          <w:lang w:eastAsia="en-US"/>
        </w:rPr>
      </w:pPr>
    </w:p>
    <w:p w14:paraId="09232749" w14:textId="77777777" w:rsidR="008822C1" w:rsidRDefault="008822C1" w:rsidP="000A4E9B">
      <w:pPr>
        <w:pStyle w:val="VEOHRCBodytext"/>
        <w:sectPr w:rsidR="008822C1" w:rsidSect="009E48A7">
          <w:pgSz w:w="23814" w:h="16839" w:orient="landscape" w:code="8"/>
          <w:pgMar w:top="709" w:right="1134" w:bottom="993" w:left="1134" w:header="709" w:footer="272" w:gutter="0"/>
          <w:cols w:space="708"/>
          <w:titlePg/>
          <w:docGrid w:linePitch="360"/>
        </w:sectPr>
      </w:pPr>
      <w:r>
        <w:t xml:space="preserve">* Complaints that relate to any provision of the Act(s) that do not require an area of public life to be claimed. That is, prohibited conduct that can occur in any context. </w:t>
      </w:r>
    </w:p>
    <w:p w14:paraId="24A6DF8E" w14:textId="6CEF3DD4" w:rsidR="008822C1" w:rsidRDefault="009E48A7" w:rsidP="008822C1">
      <w:pPr>
        <w:pStyle w:val="VEOHRCHeading3"/>
      </w:pPr>
      <w:r w:rsidRPr="009E48A7">
        <w:lastRenderedPageBreak/>
        <w:t>Issues raised from enquiries 201</w:t>
      </w:r>
      <w:r w:rsidR="008D6268">
        <w:t>5–</w:t>
      </w:r>
      <w:r w:rsidRPr="009E48A7">
        <w:t>16, 201</w:t>
      </w:r>
      <w:r w:rsidR="008D6268">
        <w:t>6–</w:t>
      </w:r>
      <w:r w:rsidRPr="009E48A7">
        <w:t>17, 201</w:t>
      </w:r>
      <w:r w:rsidR="008D6268">
        <w:t>7–</w:t>
      </w:r>
      <w:r w:rsidRPr="009E48A7">
        <w:t>18</w:t>
      </w:r>
    </w:p>
    <w:tbl>
      <w:tblPr>
        <w:tblStyle w:val="GridTable41"/>
        <w:tblW w:w="8951" w:type="dxa"/>
        <w:tblLook w:val="04A0" w:firstRow="1" w:lastRow="0" w:firstColumn="1" w:lastColumn="0" w:noHBand="0" w:noVBand="1"/>
      </w:tblPr>
      <w:tblGrid>
        <w:gridCol w:w="4815"/>
        <w:gridCol w:w="1084"/>
        <w:gridCol w:w="1084"/>
        <w:gridCol w:w="1084"/>
        <w:gridCol w:w="884"/>
      </w:tblGrid>
      <w:tr w:rsidR="009E48A7" w:rsidRPr="009E48A7" w14:paraId="28E11415" w14:textId="77777777" w:rsidTr="009E48A7">
        <w:trPr>
          <w:cnfStyle w:val="100000000000" w:firstRow="1" w:lastRow="0" w:firstColumn="0" w:lastColumn="0" w:oddVBand="0" w:evenVBand="0" w:oddHBand="0"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815" w:type="dxa"/>
            <w:hideMark/>
          </w:tcPr>
          <w:p w14:paraId="57746E16" w14:textId="77777777" w:rsidR="009E48A7" w:rsidRPr="009E48A7" w:rsidRDefault="009E48A7" w:rsidP="00B80144">
            <w:pPr>
              <w:pStyle w:val="VEOHRCBodytext"/>
            </w:pPr>
            <w:r w:rsidRPr="009E48A7">
              <w:t>Issue</w:t>
            </w:r>
          </w:p>
        </w:tc>
        <w:tc>
          <w:tcPr>
            <w:tcW w:w="1084" w:type="dxa"/>
            <w:hideMark/>
          </w:tcPr>
          <w:p w14:paraId="28B01D8E" w14:textId="4ACCE836" w:rsidR="009E48A7" w:rsidRPr="009E48A7" w:rsidRDefault="009E48A7" w:rsidP="009E48A7">
            <w:pPr>
              <w:pStyle w:val="VEOHRCBodytext"/>
              <w:cnfStyle w:val="100000000000" w:firstRow="1" w:lastRow="0" w:firstColumn="0" w:lastColumn="0" w:oddVBand="0" w:evenVBand="0" w:oddHBand="0" w:evenHBand="0" w:firstRowFirstColumn="0" w:firstRowLastColumn="0" w:lastRowFirstColumn="0" w:lastRowLastColumn="0"/>
            </w:pPr>
            <w:r w:rsidRPr="009E48A7">
              <w:t>201</w:t>
            </w:r>
            <w:r w:rsidR="008D6268">
              <w:t>5–</w:t>
            </w:r>
            <w:r w:rsidRPr="009E48A7">
              <w:t>16</w:t>
            </w:r>
          </w:p>
        </w:tc>
        <w:tc>
          <w:tcPr>
            <w:tcW w:w="1084" w:type="dxa"/>
            <w:hideMark/>
          </w:tcPr>
          <w:p w14:paraId="076AA914" w14:textId="77777777" w:rsidR="009E48A7" w:rsidRPr="009E48A7" w:rsidRDefault="009E48A7" w:rsidP="009E48A7">
            <w:pPr>
              <w:pStyle w:val="VEOHRCBodytext"/>
              <w:cnfStyle w:val="100000000000" w:firstRow="1" w:lastRow="0" w:firstColumn="0" w:lastColumn="0" w:oddVBand="0" w:evenVBand="0" w:oddHBand="0" w:evenHBand="0" w:firstRowFirstColumn="0" w:firstRowLastColumn="0" w:lastRowFirstColumn="0" w:lastRowLastColumn="0"/>
            </w:pPr>
            <w:r w:rsidRPr="009E48A7">
              <w:t>2016/17</w:t>
            </w:r>
          </w:p>
        </w:tc>
        <w:tc>
          <w:tcPr>
            <w:tcW w:w="1084" w:type="dxa"/>
            <w:hideMark/>
          </w:tcPr>
          <w:p w14:paraId="21E52B99" w14:textId="2D5A27D8" w:rsidR="009E48A7" w:rsidRPr="009E48A7" w:rsidRDefault="009E48A7" w:rsidP="009E48A7">
            <w:pPr>
              <w:pStyle w:val="VEOHRCBodytext"/>
              <w:cnfStyle w:val="100000000000" w:firstRow="1" w:lastRow="0" w:firstColumn="0" w:lastColumn="0" w:oddVBand="0" w:evenVBand="0" w:oddHBand="0" w:evenHBand="0" w:firstRowFirstColumn="0" w:firstRowLastColumn="0" w:lastRowFirstColumn="0" w:lastRowLastColumn="0"/>
            </w:pPr>
            <w:r w:rsidRPr="009E48A7">
              <w:t>201</w:t>
            </w:r>
            <w:r w:rsidR="008D6268">
              <w:t>7–</w:t>
            </w:r>
            <w:r w:rsidRPr="009E48A7">
              <w:t>18</w:t>
            </w:r>
          </w:p>
        </w:tc>
        <w:tc>
          <w:tcPr>
            <w:tcW w:w="884" w:type="dxa"/>
            <w:hideMark/>
          </w:tcPr>
          <w:p w14:paraId="6FC6636C" w14:textId="4C55A8A9" w:rsidR="009E48A7" w:rsidRPr="009E48A7" w:rsidRDefault="009E48A7" w:rsidP="009E48A7">
            <w:pPr>
              <w:pStyle w:val="VEOHRCBodytext"/>
              <w:cnfStyle w:val="100000000000" w:firstRow="1" w:lastRow="0" w:firstColumn="0" w:lastColumn="0" w:oddVBand="0" w:evenVBand="0" w:oddHBand="0" w:evenHBand="0" w:firstRowFirstColumn="0" w:firstRowLastColumn="0" w:lastRowFirstColumn="0" w:lastRowLastColumn="0"/>
            </w:pPr>
            <w:r w:rsidRPr="009E48A7">
              <w:t>3</w:t>
            </w:r>
            <w:r>
              <w:t>-yr</w:t>
            </w:r>
            <w:r w:rsidRPr="009E48A7">
              <w:t xml:space="preserve"> Total</w:t>
            </w:r>
          </w:p>
        </w:tc>
      </w:tr>
      <w:tr w:rsidR="009E48A7" w:rsidRPr="009E48A7" w14:paraId="0571D30C" w14:textId="77777777" w:rsidTr="009E48A7">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815" w:type="dxa"/>
            <w:hideMark/>
          </w:tcPr>
          <w:p w14:paraId="5DCC2831" w14:textId="77777777" w:rsidR="009E48A7" w:rsidRPr="009E48A7" w:rsidRDefault="009E48A7" w:rsidP="009E48A7">
            <w:pPr>
              <w:pStyle w:val="VEOHRCBodytext"/>
              <w:rPr>
                <w:color w:val="000000"/>
              </w:rPr>
            </w:pPr>
            <w:r w:rsidRPr="009E48A7">
              <w:rPr>
                <w:color w:val="000000"/>
              </w:rPr>
              <w:t>Age</w:t>
            </w:r>
          </w:p>
        </w:tc>
        <w:tc>
          <w:tcPr>
            <w:tcW w:w="1084" w:type="dxa"/>
            <w:hideMark/>
          </w:tcPr>
          <w:p w14:paraId="7C2ED356"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402</w:t>
            </w:r>
          </w:p>
        </w:tc>
        <w:tc>
          <w:tcPr>
            <w:tcW w:w="1084" w:type="dxa"/>
            <w:hideMark/>
          </w:tcPr>
          <w:p w14:paraId="2B6E8DE5"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411</w:t>
            </w:r>
          </w:p>
        </w:tc>
        <w:tc>
          <w:tcPr>
            <w:tcW w:w="1084" w:type="dxa"/>
            <w:hideMark/>
          </w:tcPr>
          <w:p w14:paraId="4B464336"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318</w:t>
            </w:r>
          </w:p>
        </w:tc>
        <w:tc>
          <w:tcPr>
            <w:tcW w:w="884" w:type="dxa"/>
            <w:hideMark/>
          </w:tcPr>
          <w:p w14:paraId="618D5139"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1131</w:t>
            </w:r>
          </w:p>
        </w:tc>
      </w:tr>
      <w:tr w:rsidR="009E48A7" w:rsidRPr="009E48A7" w14:paraId="3CD99249" w14:textId="77777777" w:rsidTr="009E48A7">
        <w:trPr>
          <w:trHeight w:val="232"/>
        </w:trPr>
        <w:tc>
          <w:tcPr>
            <w:cnfStyle w:val="001000000000" w:firstRow="0" w:lastRow="0" w:firstColumn="1" w:lastColumn="0" w:oddVBand="0" w:evenVBand="0" w:oddHBand="0" w:evenHBand="0" w:firstRowFirstColumn="0" w:firstRowLastColumn="0" w:lastRowFirstColumn="0" w:lastRowLastColumn="0"/>
            <w:tcW w:w="4815" w:type="dxa"/>
            <w:hideMark/>
          </w:tcPr>
          <w:p w14:paraId="7ABA36F1" w14:textId="77777777" w:rsidR="009E48A7" w:rsidRPr="009E48A7" w:rsidRDefault="009E48A7" w:rsidP="009E48A7">
            <w:pPr>
              <w:pStyle w:val="VEOHRCBodytext"/>
              <w:rPr>
                <w:color w:val="000000"/>
              </w:rPr>
            </w:pPr>
            <w:r w:rsidRPr="009E48A7">
              <w:rPr>
                <w:color w:val="000000"/>
              </w:rPr>
              <w:t>Authorising and assisting</w:t>
            </w:r>
          </w:p>
        </w:tc>
        <w:tc>
          <w:tcPr>
            <w:tcW w:w="1084" w:type="dxa"/>
            <w:noWrap/>
            <w:hideMark/>
          </w:tcPr>
          <w:p w14:paraId="54DAB59C"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30</w:t>
            </w:r>
          </w:p>
        </w:tc>
        <w:tc>
          <w:tcPr>
            <w:tcW w:w="1084" w:type="dxa"/>
            <w:hideMark/>
          </w:tcPr>
          <w:p w14:paraId="6575F776"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47</w:t>
            </w:r>
          </w:p>
        </w:tc>
        <w:tc>
          <w:tcPr>
            <w:tcW w:w="1084" w:type="dxa"/>
            <w:hideMark/>
          </w:tcPr>
          <w:p w14:paraId="79A3693E"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8</w:t>
            </w:r>
          </w:p>
        </w:tc>
        <w:tc>
          <w:tcPr>
            <w:tcW w:w="884" w:type="dxa"/>
            <w:hideMark/>
          </w:tcPr>
          <w:p w14:paraId="0D0967A3"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85</w:t>
            </w:r>
          </w:p>
        </w:tc>
      </w:tr>
      <w:tr w:rsidR="009E48A7" w:rsidRPr="009E48A7" w14:paraId="0B198690" w14:textId="77777777" w:rsidTr="009E48A7">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815" w:type="dxa"/>
            <w:hideMark/>
          </w:tcPr>
          <w:p w14:paraId="01CDCB99" w14:textId="77777777" w:rsidR="009E48A7" w:rsidRPr="009E48A7" w:rsidRDefault="009E48A7" w:rsidP="009E48A7">
            <w:pPr>
              <w:pStyle w:val="VEOHRCBodytext"/>
              <w:rPr>
                <w:color w:val="000000"/>
              </w:rPr>
            </w:pPr>
            <w:r w:rsidRPr="009E48A7">
              <w:rPr>
                <w:color w:val="000000"/>
              </w:rPr>
              <w:t>Breastfeeding</w:t>
            </w:r>
          </w:p>
        </w:tc>
        <w:tc>
          <w:tcPr>
            <w:tcW w:w="1084" w:type="dxa"/>
            <w:noWrap/>
            <w:hideMark/>
          </w:tcPr>
          <w:p w14:paraId="4F084E39"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27</w:t>
            </w:r>
          </w:p>
        </w:tc>
        <w:tc>
          <w:tcPr>
            <w:tcW w:w="1084" w:type="dxa"/>
            <w:hideMark/>
          </w:tcPr>
          <w:p w14:paraId="0CADCFE8"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31</w:t>
            </w:r>
          </w:p>
        </w:tc>
        <w:tc>
          <w:tcPr>
            <w:tcW w:w="1084" w:type="dxa"/>
            <w:hideMark/>
          </w:tcPr>
          <w:p w14:paraId="030DB0AE"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36</w:t>
            </w:r>
          </w:p>
        </w:tc>
        <w:tc>
          <w:tcPr>
            <w:tcW w:w="884" w:type="dxa"/>
            <w:hideMark/>
          </w:tcPr>
          <w:p w14:paraId="3F3FBBEF"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94</w:t>
            </w:r>
          </w:p>
        </w:tc>
      </w:tr>
      <w:tr w:rsidR="009E48A7" w:rsidRPr="009E48A7" w14:paraId="17C24EF2" w14:textId="77777777" w:rsidTr="009E48A7">
        <w:trPr>
          <w:trHeight w:val="232"/>
        </w:trPr>
        <w:tc>
          <w:tcPr>
            <w:cnfStyle w:val="001000000000" w:firstRow="0" w:lastRow="0" w:firstColumn="1" w:lastColumn="0" w:oddVBand="0" w:evenVBand="0" w:oddHBand="0" w:evenHBand="0" w:firstRowFirstColumn="0" w:firstRowLastColumn="0" w:lastRowFirstColumn="0" w:lastRowLastColumn="0"/>
            <w:tcW w:w="4815" w:type="dxa"/>
            <w:hideMark/>
          </w:tcPr>
          <w:p w14:paraId="6D4BF869" w14:textId="77777777" w:rsidR="009E48A7" w:rsidRPr="009E48A7" w:rsidRDefault="009E48A7" w:rsidP="009E48A7">
            <w:pPr>
              <w:pStyle w:val="VEOHRCBodytext"/>
              <w:rPr>
                <w:color w:val="000000"/>
              </w:rPr>
            </w:pPr>
            <w:r w:rsidRPr="009E48A7">
              <w:rPr>
                <w:color w:val="000000"/>
              </w:rPr>
              <w:t>Carer status</w:t>
            </w:r>
          </w:p>
        </w:tc>
        <w:tc>
          <w:tcPr>
            <w:tcW w:w="1084" w:type="dxa"/>
            <w:noWrap/>
            <w:hideMark/>
          </w:tcPr>
          <w:p w14:paraId="1685B388"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308</w:t>
            </w:r>
          </w:p>
        </w:tc>
        <w:tc>
          <w:tcPr>
            <w:tcW w:w="1084" w:type="dxa"/>
            <w:hideMark/>
          </w:tcPr>
          <w:p w14:paraId="224524BA"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321</w:t>
            </w:r>
          </w:p>
        </w:tc>
        <w:tc>
          <w:tcPr>
            <w:tcW w:w="1084" w:type="dxa"/>
            <w:hideMark/>
          </w:tcPr>
          <w:p w14:paraId="519EAF83"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234</w:t>
            </w:r>
          </w:p>
        </w:tc>
        <w:tc>
          <w:tcPr>
            <w:tcW w:w="884" w:type="dxa"/>
            <w:hideMark/>
          </w:tcPr>
          <w:p w14:paraId="4FC01A6B"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863</w:t>
            </w:r>
          </w:p>
        </w:tc>
      </w:tr>
      <w:tr w:rsidR="009E48A7" w:rsidRPr="009E48A7" w14:paraId="67F721DD" w14:textId="77777777" w:rsidTr="009E48A7">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815" w:type="dxa"/>
            <w:hideMark/>
          </w:tcPr>
          <w:p w14:paraId="145B45C0" w14:textId="77777777" w:rsidR="009E48A7" w:rsidRPr="009E48A7" w:rsidRDefault="009E48A7" w:rsidP="009E48A7">
            <w:pPr>
              <w:pStyle w:val="VEOHRCBodytext"/>
              <w:rPr>
                <w:color w:val="000000"/>
              </w:rPr>
            </w:pPr>
            <w:r w:rsidRPr="009E48A7">
              <w:rPr>
                <w:color w:val="000000"/>
              </w:rPr>
              <w:t>Charter of Human Rights</w:t>
            </w:r>
          </w:p>
        </w:tc>
        <w:tc>
          <w:tcPr>
            <w:tcW w:w="1084" w:type="dxa"/>
            <w:noWrap/>
            <w:hideMark/>
          </w:tcPr>
          <w:p w14:paraId="0C8F9432"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157</w:t>
            </w:r>
          </w:p>
        </w:tc>
        <w:tc>
          <w:tcPr>
            <w:tcW w:w="1084" w:type="dxa"/>
            <w:hideMark/>
          </w:tcPr>
          <w:p w14:paraId="7B34F38A"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242</w:t>
            </w:r>
          </w:p>
        </w:tc>
        <w:tc>
          <w:tcPr>
            <w:tcW w:w="1084" w:type="dxa"/>
            <w:hideMark/>
          </w:tcPr>
          <w:p w14:paraId="396FE9DF"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146</w:t>
            </w:r>
          </w:p>
        </w:tc>
        <w:tc>
          <w:tcPr>
            <w:tcW w:w="884" w:type="dxa"/>
            <w:hideMark/>
          </w:tcPr>
          <w:p w14:paraId="156BE9DB"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545</w:t>
            </w:r>
          </w:p>
        </w:tc>
      </w:tr>
      <w:tr w:rsidR="009E48A7" w:rsidRPr="009E48A7" w14:paraId="3FF4A24A" w14:textId="77777777" w:rsidTr="009E48A7">
        <w:trPr>
          <w:trHeight w:val="232"/>
        </w:trPr>
        <w:tc>
          <w:tcPr>
            <w:cnfStyle w:val="001000000000" w:firstRow="0" w:lastRow="0" w:firstColumn="1" w:lastColumn="0" w:oddVBand="0" w:evenVBand="0" w:oddHBand="0" w:evenHBand="0" w:firstRowFirstColumn="0" w:firstRowLastColumn="0" w:lastRowFirstColumn="0" w:lastRowLastColumn="0"/>
            <w:tcW w:w="4815" w:type="dxa"/>
            <w:hideMark/>
          </w:tcPr>
          <w:p w14:paraId="0EDB1B0B" w14:textId="77777777" w:rsidR="009E48A7" w:rsidRPr="009E48A7" w:rsidRDefault="009E48A7" w:rsidP="009E48A7">
            <w:pPr>
              <w:pStyle w:val="VEOHRCBodytext"/>
              <w:rPr>
                <w:color w:val="000000"/>
              </w:rPr>
            </w:pPr>
            <w:r w:rsidRPr="009E48A7">
              <w:rPr>
                <w:color w:val="000000"/>
              </w:rPr>
              <w:t>Child protection</w:t>
            </w:r>
          </w:p>
        </w:tc>
        <w:tc>
          <w:tcPr>
            <w:tcW w:w="1084" w:type="dxa"/>
            <w:noWrap/>
            <w:hideMark/>
          </w:tcPr>
          <w:p w14:paraId="06A91CDD"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14</w:t>
            </w:r>
          </w:p>
        </w:tc>
        <w:tc>
          <w:tcPr>
            <w:tcW w:w="1084" w:type="dxa"/>
            <w:hideMark/>
          </w:tcPr>
          <w:p w14:paraId="20C4EFAD"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34</w:t>
            </w:r>
          </w:p>
        </w:tc>
        <w:tc>
          <w:tcPr>
            <w:tcW w:w="1084" w:type="dxa"/>
            <w:hideMark/>
          </w:tcPr>
          <w:p w14:paraId="3E2B8BD3"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24</w:t>
            </w:r>
          </w:p>
        </w:tc>
        <w:tc>
          <w:tcPr>
            <w:tcW w:w="884" w:type="dxa"/>
            <w:hideMark/>
          </w:tcPr>
          <w:p w14:paraId="279FFE89"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72</w:t>
            </w:r>
          </w:p>
        </w:tc>
      </w:tr>
      <w:tr w:rsidR="009E48A7" w:rsidRPr="009E48A7" w14:paraId="7430DB83" w14:textId="77777777" w:rsidTr="009E48A7">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815" w:type="dxa"/>
            <w:hideMark/>
          </w:tcPr>
          <w:p w14:paraId="2702C687" w14:textId="77777777" w:rsidR="009E48A7" w:rsidRPr="009E48A7" w:rsidRDefault="009E48A7" w:rsidP="009E48A7">
            <w:pPr>
              <w:pStyle w:val="VEOHRCBodytext"/>
              <w:rPr>
                <w:color w:val="000000"/>
              </w:rPr>
            </w:pPr>
            <w:r w:rsidRPr="009E48A7">
              <w:rPr>
                <w:color w:val="000000"/>
              </w:rPr>
              <w:t>Court</w:t>
            </w:r>
          </w:p>
        </w:tc>
        <w:tc>
          <w:tcPr>
            <w:tcW w:w="1084" w:type="dxa"/>
            <w:noWrap/>
            <w:hideMark/>
          </w:tcPr>
          <w:p w14:paraId="3086F41F"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70</w:t>
            </w:r>
          </w:p>
        </w:tc>
        <w:tc>
          <w:tcPr>
            <w:tcW w:w="1084" w:type="dxa"/>
            <w:hideMark/>
          </w:tcPr>
          <w:p w14:paraId="44502340"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72</w:t>
            </w:r>
          </w:p>
        </w:tc>
        <w:tc>
          <w:tcPr>
            <w:tcW w:w="1084" w:type="dxa"/>
            <w:hideMark/>
          </w:tcPr>
          <w:p w14:paraId="51652DDC"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80</w:t>
            </w:r>
          </w:p>
        </w:tc>
        <w:tc>
          <w:tcPr>
            <w:tcW w:w="884" w:type="dxa"/>
            <w:hideMark/>
          </w:tcPr>
          <w:p w14:paraId="319D2212"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222</w:t>
            </w:r>
          </w:p>
        </w:tc>
      </w:tr>
      <w:tr w:rsidR="009E48A7" w:rsidRPr="009E48A7" w14:paraId="0C0D58B2" w14:textId="77777777" w:rsidTr="009E48A7">
        <w:trPr>
          <w:trHeight w:val="232"/>
        </w:trPr>
        <w:tc>
          <w:tcPr>
            <w:cnfStyle w:val="001000000000" w:firstRow="0" w:lastRow="0" w:firstColumn="1" w:lastColumn="0" w:oddVBand="0" w:evenVBand="0" w:oddHBand="0" w:evenHBand="0" w:firstRowFirstColumn="0" w:firstRowLastColumn="0" w:lastRowFirstColumn="0" w:lastRowLastColumn="0"/>
            <w:tcW w:w="4815" w:type="dxa"/>
            <w:hideMark/>
          </w:tcPr>
          <w:p w14:paraId="11621BAA" w14:textId="77777777" w:rsidR="009E48A7" w:rsidRPr="009E48A7" w:rsidRDefault="009E48A7" w:rsidP="009E48A7">
            <w:pPr>
              <w:pStyle w:val="VEOHRCBodytext"/>
              <w:rPr>
                <w:color w:val="000000"/>
              </w:rPr>
            </w:pPr>
            <w:r w:rsidRPr="009E48A7">
              <w:rPr>
                <w:color w:val="000000"/>
              </w:rPr>
              <w:t>Criminal record</w:t>
            </w:r>
          </w:p>
        </w:tc>
        <w:tc>
          <w:tcPr>
            <w:tcW w:w="1084" w:type="dxa"/>
            <w:noWrap/>
            <w:hideMark/>
          </w:tcPr>
          <w:p w14:paraId="7BCC11F6"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39</w:t>
            </w:r>
          </w:p>
        </w:tc>
        <w:tc>
          <w:tcPr>
            <w:tcW w:w="1084" w:type="dxa"/>
            <w:hideMark/>
          </w:tcPr>
          <w:p w14:paraId="5ED9F5F6"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42</w:t>
            </w:r>
          </w:p>
        </w:tc>
        <w:tc>
          <w:tcPr>
            <w:tcW w:w="1084" w:type="dxa"/>
            <w:hideMark/>
          </w:tcPr>
          <w:p w14:paraId="6ABDD846"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22</w:t>
            </w:r>
          </w:p>
        </w:tc>
        <w:tc>
          <w:tcPr>
            <w:tcW w:w="884" w:type="dxa"/>
            <w:hideMark/>
          </w:tcPr>
          <w:p w14:paraId="101EE394"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103</w:t>
            </w:r>
          </w:p>
        </w:tc>
      </w:tr>
      <w:tr w:rsidR="009E48A7" w:rsidRPr="009E48A7" w14:paraId="56D1D781" w14:textId="77777777" w:rsidTr="009E48A7">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815" w:type="dxa"/>
            <w:hideMark/>
          </w:tcPr>
          <w:p w14:paraId="7710536B" w14:textId="77777777" w:rsidR="009E48A7" w:rsidRPr="009E48A7" w:rsidRDefault="009E48A7" w:rsidP="009E48A7">
            <w:pPr>
              <w:pStyle w:val="VEOHRCBodytext"/>
              <w:rPr>
                <w:color w:val="000000"/>
              </w:rPr>
            </w:pPr>
            <w:r w:rsidRPr="009E48A7">
              <w:rPr>
                <w:color w:val="000000"/>
              </w:rPr>
              <w:t>Disability</w:t>
            </w:r>
          </w:p>
        </w:tc>
        <w:tc>
          <w:tcPr>
            <w:tcW w:w="1084" w:type="dxa"/>
            <w:noWrap/>
            <w:hideMark/>
          </w:tcPr>
          <w:p w14:paraId="485D16E6"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1808</w:t>
            </w:r>
          </w:p>
        </w:tc>
        <w:tc>
          <w:tcPr>
            <w:tcW w:w="1084" w:type="dxa"/>
            <w:hideMark/>
          </w:tcPr>
          <w:p w14:paraId="3644461B"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1749</w:t>
            </w:r>
          </w:p>
        </w:tc>
        <w:tc>
          <w:tcPr>
            <w:tcW w:w="1084" w:type="dxa"/>
            <w:hideMark/>
          </w:tcPr>
          <w:p w14:paraId="74423766"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1845</w:t>
            </w:r>
          </w:p>
        </w:tc>
        <w:tc>
          <w:tcPr>
            <w:tcW w:w="884" w:type="dxa"/>
            <w:hideMark/>
          </w:tcPr>
          <w:p w14:paraId="2B5429BC"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5402</w:t>
            </w:r>
          </w:p>
        </w:tc>
      </w:tr>
      <w:tr w:rsidR="009E48A7" w:rsidRPr="009E48A7" w14:paraId="4B51C632" w14:textId="77777777" w:rsidTr="009E48A7">
        <w:trPr>
          <w:trHeight w:val="465"/>
        </w:trPr>
        <w:tc>
          <w:tcPr>
            <w:cnfStyle w:val="001000000000" w:firstRow="0" w:lastRow="0" w:firstColumn="1" w:lastColumn="0" w:oddVBand="0" w:evenVBand="0" w:oddHBand="0" w:evenHBand="0" w:firstRowFirstColumn="0" w:firstRowLastColumn="0" w:lastRowFirstColumn="0" w:lastRowLastColumn="0"/>
            <w:tcW w:w="4815" w:type="dxa"/>
            <w:hideMark/>
          </w:tcPr>
          <w:p w14:paraId="4B455145" w14:textId="77777777" w:rsidR="009E48A7" w:rsidRPr="009E48A7" w:rsidRDefault="009E48A7" w:rsidP="009E48A7">
            <w:pPr>
              <w:pStyle w:val="VEOHRCBodytext"/>
              <w:rPr>
                <w:color w:val="000000"/>
              </w:rPr>
            </w:pPr>
            <w:r w:rsidRPr="009E48A7">
              <w:rPr>
                <w:color w:val="000000"/>
              </w:rPr>
              <w:t>Discriminatory Advertisement</w:t>
            </w:r>
          </w:p>
        </w:tc>
        <w:tc>
          <w:tcPr>
            <w:tcW w:w="1084" w:type="dxa"/>
            <w:noWrap/>
            <w:hideMark/>
          </w:tcPr>
          <w:p w14:paraId="3D4BA300"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3</w:t>
            </w:r>
          </w:p>
        </w:tc>
        <w:tc>
          <w:tcPr>
            <w:tcW w:w="1084" w:type="dxa"/>
            <w:hideMark/>
          </w:tcPr>
          <w:p w14:paraId="19B91629"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15</w:t>
            </w:r>
          </w:p>
        </w:tc>
        <w:tc>
          <w:tcPr>
            <w:tcW w:w="1084" w:type="dxa"/>
            <w:hideMark/>
          </w:tcPr>
          <w:p w14:paraId="6C93F098"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1</w:t>
            </w:r>
          </w:p>
        </w:tc>
        <w:tc>
          <w:tcPr>
            <w:tcW w:w="884" w:type="dxa"/>
            <w:hideMark/>
          </w:tcPr>
          <w:p w14:paraId="0281DEEC"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19</w:t>
            </w:r>
          </w:p>
        </w:tc>
      </w:tr>
      <w:tr w:rsidR="009E48A7" w:rsidRPr="009E48A7" w14:paraId="3DD031C4" w14:textId="77777777" w:rsidTr="009E48A7">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4815" w:type="dxa"/>
            <w:hideMark/>
          </w:tcPr>
          <w:p w14:paraId="1B2D4A6E" w14:textId="77777777" w:rsidR="009E48A7" w:rsidRPr="009E48A7" w:rsidRDefault="009E48A7" w:rsidP="009E48A7">
            <w:pPr>
              <w:pStyle w:val="VEOHRCBodytext"/>
              <w:rPr>
                <w:color w:val="000000"/>
              </w:rPr>
            </w:pPr>
            <w:r w:rsidRPr="009E48A7">
              <w:rPr>
                <w:color w:val="000000"/>
              </w:rPr>
              <w:t>Discriminatory information request</w:t>
            </w:r>
          </w:p>
        </w:tc>
        <w:tc>
          <w:tcPr>
            <w:tcW w:w="1084" w:type="dxa"/>
            <w:noWrap/>
            <w:hideMark/>
          </w:tcPr>
          <w:p w14:paraId="338D1569"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56</w:t>
            </w:r>
          </w:p>
        </w:tc>
        <w:tc>
          <w:tcPr>
            <w:tcW w:w="1084" w:type="dxa"/>
            <w:hideMark/>
          </w:tcPr>
          <w:p w14:paraId="467B2081"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73</w:t>
            </w:r>
          </w:p>
        </w:tc>
        <w:tc>
          <w:tcPr>
            <w:tcW w:w="1084" w:type="dxa"/>
            <w:hideMark/>
          </w:tcPr>
          <w:p w14:paraId="7C9ADA03"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58</w:t>
            </w:r>
          </w:p>
        </w:tc>
        <w:tc>
          <w:tcPr>
            <w:tcW w:w="884" w:type="dxa"/>
            <w:hideMark/>
          </w:tcPr>
          <w:p w14:paraId="5BAAAD88"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187</w:t>
            </w:r>
          </w:p>
        </w:tc>
      </w:tr>
      <w:tr w:rsidR="009E48A7" w:rsidRPr="009E48A7" w14:paraId="6F8F3F74" w14:textId="77777777" w:rsidTr="009E48A7">
        <w:trPr>
          <w:trHeight w:val="232"/>
        </w:trPr>
        <w:tc>
          <w:tcPr>
            <w:cnfStyle w:val="001000000000" w:firstRow="0" w:lastRow="0" w:firstColumn="1" w:lastColumn="0" w:oddVBand="0" w:evenVBand="0" w:oddHBand="0" w:evenHBand="0" w:firstRowFirstColumn="0" w:firstRowLastColumn="0" w:lastRowFirstColumn="0" w:lastRowLastColumn="0"/>
            <w:tcW w:w="4815" w:type="dxa"/>
            <w:hideMark/>
          </w:tcPr>
          <w:p w14:paraId="7712139A" w14:textId="77777777" w:rsidR="009E48A7" w:rsidRPr="009E48A7" w:rsidRDefault="009E48A7" w:rsidP="009E48A7">
            <w:pPr>
              <w:pStyle w:val="VEOHRCBodytext"/>
              <w:rPr>
                <w:color w:val="000000"/>
              </w:rPr>
            </w:pPr>
            <w:r w:rsidRPr="009E48A7">
              <w:rPr>
                <w:color w:val="000000"/>
              </w:rPr>
              <w:t>Education</w:t>
            </w:r>
          </w:p>
        </w:tc>
        <w:tc>
          <w:tcPr>
            <w:tcW w:w="1084" w:type="dxa"/>
            <w:noWrap/>
            <w:hideMark/>
          </w:tcPr>
          <w:p w14:paraId="0B86EE43"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13</w:t>
            </w:r>
          </w:p>
        </w:tc>
        <w:tc>
          <w:tcPr>
            <w:tcW w:w="1084" w:type="dxa"/>
            <w:hideMark/>
          </w:tcPr>
          <w:p w14:paraId="526F48CB"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35</w:t>
            </w:r>
          </w:p>
        </w:tc>
        <w:tc>
          <w:tcPr>
            <w:tcW w:w="1084" w:type="dxa"/>
            <w:hideMark/>
          </w:tcPr>
          <w:p w14:paraId="12488664"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35</w:t>
            </w:r>
          </w:p>
        </w:tc>
        <w:tc>
          <w:tcPr>
            <w:tcW w:w="884" w:type="dxa"/>
            <w:hideMark/>
          </w:tcPr>
          <w:p w14:paraId="03585A5C"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83</w:t>
            </w:r>
          </w:p>
        </w:tc>
      </w:tr>
      <w:tr w:rsidR="009E48A7" w:rsidRPr="009E48A7" w14:paraId="53F23636" w14:textId="77777777" w:rsidTr="009E48A7">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815" w:type="dxa"/>
            <w:hideMark/>
          </w:tcPr>
          <w:p w14:paraId="658242A5" w14:textId="77777777" w:rsidR="009E48A7" w:rsidRPr="009E48A7" w:rsidRDefault="009E48A7" w:rsidP="009E48A7">
            <w:pPr>
              <w:pStyle w:val="VEOHRCBodytext"/>
              <w:rPr>
                <w:color w:val="000000"/>
              </w:rPr>
            </w:pPr>
            <w:r w:rsidRPr="009E48A7">
              <w:rPr>
                <w:color w:val="000000"/>
              </w:rPr>
              <w:t>Employment activity</w:t>
            </w:r>
          </w:p>
        </w:tc>
        <w:tc>
          <w:tcPr>
            <w:tcW w:w="1084" w:type="dxa"/>
            <w:noWrap/>
            <w:hideMark/>
          </w:tcPr>
          <w:p w14:paraId="5143975F"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273</w:t>
            </w:r>
          </w:p>
        </w:tc>
        <w:tc>
          <w:tcPr>
            <w:tcW w:w="1084" w:type="dxa"/>
            <w:hideMark/>
          </w:tcPr>
          <w:p w14:paraId="2912F2C7"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279</w:t>
            </w:r>
          </w:p>
        </w:tc>
        <w:tc>
          <w:tcPr>
            <w:tcW w:w="1084" w:type="dxa"/>
            <w:hideMark/>
          </w:tcPr>
          <w:p w14:paraId="56F878E9"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261</w:t>
            </w:r>
          </w:p>
        </w:tc>
        <w:tc>
          <w:tcPr>
            <w:tcW w:w="884" w:type="dxa"/>
            <w:hideMark/>
          </w:tcPr>
          <w:p w14:paraId="15435A77"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813</w:t>
            </w:r>
          </w:p>
        </w:tc>
      </w:tr>
      <w:tr w:rsidR="009E48A7" w:rsidRPr="009E48A7" w14:paraId="1159CAA8" w14:textId="77777777" w:rsidTr="009E48A7">
        <w:trPr>
          <w:trHeight w:val="232"/>
        </w:trPr>
        <w:tc>
          <w:tcPr>
            <w:cnfStyle w:val="001000000000" w:firstRow="0" w:lastRow="0" w:firstColumn="1" w:lastColumn="0" w:oddVBand="0" w:evenVBand="0" w:oddHBand="0" w:evenHBand="0" w:firstRowFirstColumn="0" w:firstRowLastColumn="0" w:lastRowFirstColumn="0" w:lastRowLastColumn="0"/>
            <w:tcW w:w="4815" w:type="dxa"/>
            <w:hideMark/>
          </w:tcPr>
          <w:p w14:paraId="0E168B30" w14:textId="77777777" w:rsidR="009E48A7" w:rsidRPr="009E48A7" w:rsidRDefault="009E48A7" w:rsidP="009E48A7">
            <w:pPr>
              <w:pStyle w:val="VEOHRCBodytext"/>
              <w:rPr>
                <w:color w:val="000000"/>
              </w:rPr>
            </w:pPr>
            <w:r w:rsidRPr="009E48A7">
              <w:rPr>
                <w:color w:val="000000"/>
              </w:rPr>
              <w:t>Employment Law</w:t>
            </w:r>
          </w:p>
        </w:tc>
        <w:tc>
          <w:tcPr>
            <w:tcW w:w="1084" w:type="dxa"/>
            <w:noWrap/>
            <w:hideMark/>
          </w:tcPr>
          <w:p w14:paraId="11E6748D"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266</w:t>
            </w:r>
          </w:p>
        </w:tc>
        <w:tc>
          <w:tcPr>
            <w:tcW w:w="1084" w:type="dxa"/>
            <w:hideMark/>
          </w:tcPr>
          <w:p w14:paraId="5111FCF8"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298</w:t>
            </w:r>
          </w:p>
        </w:tc>
        <w:tc>
          <w:tcPr>
            <w:tcW w:w="1084" w:type="dxa"/>
            <w:hideMark/>
          </w:tcPr>
          <w:p w14:paraId="3A229554"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224</w:t>
            </w:r>
          </w:p>
        </w:tc>
        <w:tc>
          <w:tcPr>
            <w:tcW w:w="884" w:type="dxa"/>
            <w:hideMark/>
          </w:tcPr>
          <w:p w14:paraId="5BC78C2F"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788</w:t>
            </w:r>
          </w:p>
        </w:tc>
      </w:tr>
      <w:tr w:rsidR="009E48A7" w:rsidRPr="009E48A7" w14:paraId="7C73730B" w14:textId="77777777" w:rsidTr="009E48A7">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815" w:type="dxa"/>
            <w:hideMark/>
          </w:tcPr>
          <w:p w14:paraId="3CC051DE" w14:textId="77777777" w:rsidR="009E48A7" w:rsidRPr="009E48A7" w:rsidRDefault="009E48A7" w:rsidP="009E48A7">
            <w:pPr>
              <w:pStyle w:val="VEOHRCBodytext"/>
              <w:rPr>
                <w:color w:val="000000"/>
              </w:rPr>
            </w:pPr>
            <w:r w:rsidRPr="009E48A7">
              <w:rPr>
                <w:color w:val="000000"/>
              </w:rPr>
              <w:t>EO -Information provided</w:t>
            </w:r>
          </w:p>
        </w:tc>
        <w:tc>
          <w:tcPr>
            <w:tcW w:w="1084" w:type="dxa"/>
            <w:noWrap/>
            <w:hideMark/>
          </w:tcPr>
          <w:p w14:paraId="39118C63"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w:t>
            </w:r>
          </w:p>
        </w:tc>
        <w:tc>
          <w:tcPr>
            <w:tcW w:w="1084" w:type="dxa"/>
            <w:hideMark/>
          </w:tcPr>
          <w:p w14:paraId="71438A87"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1060</w:t>
            </w:r>
          </w:p>
        </w:tc>
        <w:tc>
          <w:tcPr>
            <w:tcW w:w="1084" w:type="dxa"/>
            <w:hideMark/>
          </w:tcPr>
          <w:p w14:paraId="472651B5"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900</w:t>
            </w:r>
          </w:p>
        </w:tc>
        <w:tc>
          <w:tcPr>
            <w:tcW w:w="884" w:type="dxa"/>
            <w:hideMark/>
          </w:tcPr>
          <w:p w14:paraId="24195F8D"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1960</w:t>
            </w:r>
          </w:p>
        </w:tc>
      </w:tr>
      <w:tr w:rsidR="009E48A7" w:rsidRPr="009E48A7" w14:paraId="44DA28AD" w14:textId="77777777" w:rsidTr="009E48A7">
        <w:trPr>
          <w:trHeight w:val="465"/>
        </w:trPr>
        <w:tc>
          <w:tcPr>
            <w:cnfStyle w:val="001000000000" w:firstRow="0" w:lastRow="0" w:firstColumn="1" w:lastColumn="0" w:oddVBand="0" w:evenVBand="0" w:oddHBand="0" w:evenHBand="0" w:firstRowFirstColumn="0" w:firstRowLastColumn="0" w:lastRowFirstColumn="0" w:lastRowLastColumn="0"/>
            <w:tcW w:w="4815" w:type="dxa"/>
            <w:hideMark/>
          </w:tcPr>
          <w:p w14:paraId="7411707E" w14:textId="77777777" w:rsidR="009E48A7" w:rsidRPr="009E48A7" w:rsidRDefault="009E48A7" w:rsidP="009E48A7">
            <w:pPr>
              <w:pStyle w:val="VEOHRCBodytext"/>
              <w:rPr>
                <w:color w:val="000000"/>
              </w:rPr>
            </w:pPr>
            <w:r w:rsidRPr="009E48A7">
              <w:rPr>
                <w:color w:val="000000"/>
              </w:rPr>
              <w:t>Expunged homosexual conviction</w:t>
            </w:r>
          </w:p>
        </w:tc>
        <w:tc>
          <w:tcPr>
            <w:tcW w:w="1084" w:type="dxa"/>
            <w:noWrap/>
            <w:hideMark/>
          </w:tcPr>
          <w:p w14:paraId="5C158995"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w:t>
            </w:r>
          </w:p>
        </w:tc>
        <w:tc>
          <w:tcPr>
            <w:tcW w:w="1084" w:type="dxa"/>
            <w:hideMark/>
          </w:tcPr>
          <w:p w14:paraId="414C040D"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2</w:t>
            </w:r>
          </w:p>
        </w:tc>
        <w:tc>
          <w:tcPr>
            <w:tcW w:w="1084" w:type="dxa"/>
            <w:hideMark/>
          </w:tcPr>
          <w:p w14:paraId="1C444848"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1</w:t>
            </w:r>
          </w:p>
        </w:tc>
        <w:tc>
          <w:tcPr>
            <w:tcW w:w="884" w:type="dxa"/>
            <w:hideMark/>
          </w:tcPr>
          <w:p w14:paraId="0295B8AB"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3</w:t>
            </w:r>
          </w:p>
        </w:tc>
      </w:tr>
      <w:tr w:rsidR="009E48A7" w:rsidRPr="009E48A7" w14:paraId="2293059B" w14:textId="77777777" w:rsidTr="009E48A7">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815" w:type="dxa"/>
            <w:hideMark/>
          </w:tcPr>
          <w:p w14:paraId="0057434E" w14:textId="77777777" w:rsidR="009E48A7" w:rsidRPr="009E48A7" w:rsidRDefault="009E48A7" w:rsidP="009E48A7">
            <w:pPr>
              <w:pStyle w:val="VEOHRCBodytext"/>
              <w:rPr>
                <w:color w:val="000000"/>
              </w:rPr>
            </w:pPr>
            <w:r w:rsidRPr="009E48A7">
              <w:rPr>
                <w:color w:val="000000"/>
              </w:rPr>
              <w:t>Family Court</w:t>
            </w:r>
          </w:p>
        </w:tc>
        <w:tc>
          <w:tcPr>
            <w:tcW w:w="1084" w:type="dxa"/>
            <w:noWrap/>
            <w:hideMark/>
          </w:tcPr>
          <w:p w14:paraId="2EBDB245"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28</w:t>
            </w:r>
          </w:p>
        </w:tc>
        <w:tc>
          <w:tcPr>
            <w:tcW w:w="1084" w:type="dxa"/>
            <w:hideMark/>
          </w:tcPr>
          <w:p w14:paraId="3E6CDDFB"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23</w:t>
            </w:r>
          </w:p>
        </w:tc>
        <w:tc>
          <w:tcPr>
            <w:tcW w:w="1084" w:type="dxa"/>
            <w:hideMark/>
          </w:tcPr>
          <w:p w14:paraId="718CB109"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16</w:t>
            </w:r>
          </w:p>
        </w:tc>
        <w:tc>
          <w:tcPr>
            <w:tcW w:w="884" w:type="dxa"/>
            <w:hideMark/>
          </w:tcPr>
          <w:p w14:paraId="3D7091B8"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67</w:t>
            </w:r>
          </w:p>
        </w:tc>
      </w:tr>
      <w:tr w:rsidR="009E48A7" w:rsidRPr="009E48A7" w14:paraId="068CE126" w14:textId="77777777" w:rsidTr="009E48A7">
        <w:trPr>
          <w:trHeight w:val="232"/>
        </w:trPr>
        <w:tc>
          <w:tcPr>
            <w:cnfStyle w:val="001000000000" w:firstRow="0" w:lastRow="0" w:firstColumn="1" w:lastColumn="0" w:oddVBand="0" w:evenVBand="0" w:oddHBand="0" w:evenHBand="0" w:firstRowFirstColumn="0" w:firstRowLastColumn="0" w:lastRowFirstColumn="0" w:lastRowLastColumn="0"/>
            <w:tcW w:w="4815" w:type="dxa"/>
            <w:hideMark/>
          </w:tcPr>
          <w:p w14:paraId="7D4AC2E7" w14:textId="77777777" w:rsidR="009E48A7" w:rsidRPr="009E48A7" w:rsidRDefault="009E48A7" w:rsidP="009E48A7">
            <w:pPr>
              <w:pStyle w:val="VEOHRCBodytext"/>
              <w:rPr>
                <w:color w:val="000000"/>
              </w:rPr>
            </w:pPr>
            <w:r w:rsidRPr="009E48A7">
              <w:rPr>
                <w:color w:val="000000"/>
              </w:rPr>
              <w:t>Gender identity</w:t>
            </w:r>
          </w:p>
        </w:tc>
        <w:tc>
          <w:tcPr>
            <w:tcW w:w="1084" w:type="dxa"/>
            <w:noWrap/>
            <w:hideMark/>
          </w:tcPr>
          <w:p w14:paraId="38240F94"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59</w:t>
            </w:r>
          </w:p>
        </w:tc>
        <w:tc>
          <w:tcPr>
            <w:tcW w:w="1084" w:type="dxa"/>
            <w:hideMark/>
          </w:tcPr>
          <w:p w14:paraId="5A767DC0"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81</w:t>
            </w:r>
          </w:p>
        </w:tc>
        <w:tc>
          <w:tcPr>
            <w:tcW w:w="1084" w:type="dxa"/>
            <w:hideMark/>
          </w:tcPr>
          <w:p w14:paraId="0EC3188D"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72</w:t>
            </w:r>
          </w:p>
        </w:tc>
        <w:tc>
          <w:tcPr>
            <w:tcW w:w="884" w:type="dxa"/>
            <w:hideMark/>
          </w:tcPr>
          <w:p w14:paraId="6D919EFA"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212</w:t>
            </w:r>
          </w:p>
        </w:tc>
      </w:tr>
      <w:tr w:rsidR="009E48A7" w:rsidRPr="009E48A7" w14:paraId="61894C23" w14:textId="77777777" w:rsidTr="009E48A7">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815" w:type="dxa"/>
            <w:hideMark/>
          </w:tcPr>
          <w:p w14:paraId="65A619E3" w14:textId="77777777" w:rsidR="009E48A7" w:rsidRPr="009E48A7" w:rsidRDefault="009E48A7" w:rsidP="009E48A7">
            <w:pPr>
              <w:pStyle w:val="VEOHRCBodytext"/>
              <w:rPr>
                <w:color w:val="000000"/>
              </w:rPr>
            </w:pPr>
            <w:r w:rsidRPr="009E48A7">
              <w:rPr>
                <w:color w:val="000000"/>
              </w:rPr>
              <w:t>Government - Federal</w:t>
            </w:r>
          </w:p>
        </w:tc>
        <w:tc>
          <w:tcPr>
            <w:tcW w:w="1084" w:type="dxa"/>
            <w:noWrap/>
            <w:hideMark/>
          </w:tcPr>
          <w:p w14:paraId="303C0450"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39</w:t>
            </w:r>
          </w:p>
        </w:tc>
        <w:tc>
          <w:tcPr>
            <w:tcW w:w="1084" w:type="dxa"/>
            <w:hideMark/>
          </w:tcPr>
          <w:p w14:paraId="097E4BA8"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58</w:t>
            </w:r>
          </w:p>
        </w:tc>
        <w:tc>
          <w:tcPr>
            <w:tcW w:w="1084" w:type="dxa"/>
            <w:hideMark/>
          </w:tcPr>
          <w:p w14:paraId="4D29104C"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63</w:t>
            </w:r>
          </w:p>
        </w:tc>
        <w:tc>
          <w:tcPr>
            <w:tcW w:w="884" w:type="dxa"/>
            <w:hideMark/>
          </w:tcPr>
          <w:p w14:paraId="3B630A27"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160</w:t>
            </w:r>
          </w:p>
        </w:tc>
      </w:tr>
      <w:tr w:rsidR="009E48A7" w:rsidRPr="009E48A7" w14:paraId="0805233B" w14:textId="77777777" w:rsidTr="009E48A7">
        <w:trPr>
          <w:trHeight w:val="232"/>
        </w:trPr>
        <w:tc>
          <w:tcPr>
            <w:cnfStyle w:val="001000000000" w:firstRow="0" w:lastRow="0" w:firstColumn="1" w:lastColumn="0" w:oddVBand="0" w:evenVBand="0" w:oddHBand="0" w:evenHBand="0" w:firstRowFirstColumn="0" w:firstRowLastColumn="0" w:lastRowFirstColumn="0" w:lastRowLastColumn="0"/>
            <w:tcW w:w="4815" w:type="dxa"/>
            <w:hideMark/>
          </w:tcPr>
          <w:p w14:paraId="6B3ACFFA" w14:textId="77777777" w:rsidR="009E48A7" w:rsidRPr="009E48A7" w:rsidRDefault="009E48A7" w:rsidP="009E48A7">
            <w:pPr>
              <w:pStyle w:val="VEOHRCBodytext"/>
              <w:rPr>
                <w:color w:val="000000"/>
              </w:rPr>
            </w:pPr>
            <w:r w:rsidRPr="009E48A7">
              <w:rPr>
                <w:color w:val="000000"/>
              </w:rPr>
              <w:t>Government - Local</w:t>
            </w:r>
          </w:p>
        </w:tc>
        <w:tc>
          <w:tcPr>
            <w:tcW w:w="1084" w:type="dxa"/>
            <w:noWrap/>
            <w:hideMark/>
          </w:tcPr>
          <w:p w14:paraId="4A498DED"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8</w:t>
            </w:r>
          </w:p>
        </w:tc>
        <w:tc>
          <w:tcPr>
            <w:tcW w:w="1084" w:type="dxa"/>
            <w:hideMark/>
          </w:tcPr>
          <w:p w14:paraId="02D68A5A"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18</w:t>
            </w:r>
          </w:p>
        </w:tc>
        <w:tc>
          <w:tcPr>
            <w:tcW w:w="1084" w:type="dxa"/>
            <w:hideMark/>
          </w:tcPr>
          <w:p w14:paraId="7B865C95"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11</w:t>
            </w:r>
          </w:p>
        </w:tc>
        <w:tc>
          <w:tcPr>
            <w:tcW w:w="884" w:type="dxa"/>
            <w:hideMark/>
          </w:tcPr>
          <w:p w14:paraId="6C9AC1AE"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37</w:t>
            </w:r>
          </w:p>
        </w:tc>
      </w:tr>
      <w:tr w:rsidR="009E48A7" w:rsidRPr="009E48A7" w14:paraId="74DF0A51" w14:textId="77777777" w:rsidTr="009E48A7">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815" w:type="dxa"/>
            <w:hideMark/>
          </w:tcPr>
          <w:p w14:paraId="48253B04" w14:textId="77777777" w:rsidR="009E48A7" w:rsidRPr="009E48A7" w:rsidRDefault="009E48A7" w:rsidP="009E48A7">
            <w:pPr>
              <w:pStyle w:val="VEOHRCBodytext"/>
              <w:rPr>
                <w:color w:val="000000"/>
              </w:rPr>
            </w:pPr>
            <w:r w:rsidRPr="009E48A7">
              <w:rPr>
                <w:color w:val="000000"/>
              </w:rPr>
              <w:t>Government - State</w:t>
            </w:r>
          </w:p>
        </w:tc>
        <w:tc>
          <w:tcPr>
            <w:tcW w:w="1084" w:type="dxa"/>
            <w:noWrap/>
            <w:hideMark/>
          </w:tcPr>
          <w:p w14:paraId="5755E537"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12</w:t>
            </w:r>
          </w:p>
        </w:tc>
        <w:tc>
          <w:tcPr>
            <w:tcW w:w="1084" w:type="dxa"/>
            <w:hideMark/>
          </w:tcPr>
          <w:p w14:paraId="154743E1"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29</w:t>
            </w:r>
          </w:p>
        </w:tc>
        <w:tc>
          <w:tcPr>
            <w:tcW w:w="1084" w:type="dxa"/>
            <w:hideMark/>
          </w:tcPr>
          <w:p w14:paraId="6A03BA7F"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12</w:t>
            </w:r>
          </w:p>
        </w:tc>
        <w:tc>
          <w:tcPr>
            <w:tcW w:w="884" w:type="dxa"/>
            <w:hideMark/>
          </w:tcPr>
          <w:p w14:paraId="2C1676F9"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53</w:t>
            </w:r>
          </w:p>
        </w:tc>
      </w:tr>
      <w:tr w:rsidR="009E48A7" w:rsidRPr="009E48A7" w14:paraId="2DA5B335" w14:textId="77777777" w:rsidTr="009E48A7">
        <w:trPr>
          <w:trHeight w:val="232"/>
        </w:trPr>
        <w:tc>
          <w:tcPr>
            <w:cnfStyle w:val="001000000000" w:firstRow="0" w:lastRow="0" w:firstColumn="1" w:lastColumn="0" w:oddVBand="0" w:evenVBand="0" w:oddHBand="0" w:evenHBand="0" w:firstRowFirstColumn="0" w:firstRowLastColumn="0" w:lastRowFirstColumn="0" w:lastRowLastColumn="0"/>
            <w:tcW w:w="4815" w:type="dxa"/>
            <w:hideMark/>
          </w:tcPr>
          <w:p w14:paraId="2B9BB9CA" w14:textId="77777777" w:rsidR="009E48A7" w:rsidRPr="009E48A7" w:rsidRDefault="009E48A7" w:rsidP="009E48A7">
            <w:pPr>
              <w:pStyle w:val="VEOHRCBodytext"/>
              <w:rPr>
                <w:color w:val="000000"/>
              </w:rPr>
            </w:pPr>
            <w:r w:rsidRPr="009E48A7">
              <w:rPr>
                <w:color w:val="000000"/>
              </w:rPr>
              <w:t>Homelessness</w:t>
            </w:r>
          </w:p>
        </w:tc>
        <w:tc>
          <w:tcPr>
            <w:tcW w:w="1084" w:type="dxa"/>
            <w:noWrap/>
            <w:hideMark/>
          </w:tcPr>
          <w:p w14:paraId="103357AC"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4</w:t>
            </w:r>
          </w:p>
        </w:tc>
        <w:tc>
          <w:tcPr>
            <w:tcW w:w="1084" w:type="dxa"/>
            <w:hideMark/>
          </w:tcPr>
          <w:p w14:paraId="1CB71A6F"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12</w:t>
            </w:r>
          </w:p>
        </w:tc>
        <w:tc>
          <w:tcPr>
            <w:tcW w:w="1084" w:type="dxa"/>
            <w:hideMark/>
          </w:tcPr>
          <w:p w14:paraId="377DC999"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8</w:t>
            </w:r>
          </w:p>
        </w:tc>
        <w:tc>
          <w:tcPr>
            <w:tcW w:w="884" w:type="dxa"/>
            <w:hideMark/>
          </w:tcPr>
          <w:p w14:paraId="6FABD20A"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24</w:t>
            </w:r>
          </w:p>
        </w:tc>
      </w:tr>
      <w:tr w:rsidR="009E48A7" w:rsidRPr="009E48A7" w14:paraId="4F1B3268" w14:textId="77777777" w:rsidTr="009E48A7">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815" w:type="dxa"/>
            <w:hideMark/>
          </w:tcPr>
          <w:p w14:paraId="48D8CF8C" w14:textId="77777777" w:rsidR="009E48A7" w:rsidRPr="009E48A7" w:rsidRDefault="009E48A7" w:rsidP="009E48A7">
            <w:pPr>
              <w:pStyle w:val="VEOHRCBodytext"/>
              <w:rPr>
                <w:color w:val="000000"/>
              </w:rPr>
            </w:pPr>
            <w:r w:rsidRPr="009E48A7">
              <w:rPr>
                <w:color w:val="000000"/>
              </w:rPr>
              <w:t>Indigenous</w:t>
            </w:r>
          </w:p>
        </w:tc>
        <w:tc>
          <w:tcPr>
            <w:tcW w:w="1084" w:type="dxa"/>
            <w:noWrap/>
            <w:hideMark/>
          </w:tcPr>
          <w:p w14:paraId="409EF8CA"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2</w:t>
            </w:r>
          </w:p>
        </w:tc>
        <w:tc>
          <w:tcPr>
            <w:tcW w:w="1084" w:type="dxa"/>
            <w:hideMark/>
          </w:tcPr>
          <w:p w14:paraId="2DBB2970"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15</w:t>
            </w:r>
          </w:p>
        </w:tc>
        <w:tc>
          <w:tcPr>
            <w:tcW w:w="1084" w:type="dxa"/>
            <w:hideMark/>
          </w:tcPr>
          <w:p w14:paraId="00316F2E"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9</w:t>
            </w:r>
          </w:p>
        </w:tc>
        <w:tc>
          <w:tcPr>
            <w:tcW w:w="884" w:type="dxa"/>
            <w:hideMark/>
          </w:tcPr>
          <w:p w14:paraId="0382E1C0"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26</w:t>
            </w:r>
          </w:p>
        </w:tc>
      </w:tr>
      <w:tr w:rsidR="009E48A7" w:rsidRPr="009E48A7" w14:paraId="028F8BC1" w14:textId="77777777" w:rsidTr="009E48A7">
        <w:trPr>
          <w:trHeight w:val="232"/>
        </w:trPr>
        <w:tc>
          <w:tcPr>
            <w:cnfStyle w:val="001000000000" w:firstRow="0" w:lastRow="0" w:firstColumn="1" w:lastColumn="0" w:oddVBand="0" w:evenVBand="0" w:oddHBand="0" w:evenHBand="0" w:firstRowFirstColumn="0" w:firstRowLastColumn="0" w:lastRowFirstColumn="0" w:lastRowLastColumn="0"/>
            <w:tcW w:w="4815" w:type="dxa"/>
            <w:hideMark/>
          </w:tcPr>
          <w:p w14:paraId="616995B5" w14:textId="77777777" w:rsidR="009E48A7" w:rsidRPr="009E48A7" w:rsidRDefault="009E48A7" w:rsidP="009E48A7">
            <w:pPr>
              <w:pStyle w:val="VEOHRCBodytext"/>
              <w:rPr>
                <w:color w:val="000000"/>
              </w:rPr>
            </w:pPr>
            <w:r w:rsidRPr="009E48A7">
              <w:rPr>
                <w:color w:val="000000"/>
              </w:rPr>
              <w:t>Industrial activity</w:t>
            </w:r>
          </w:p>
        </w:tc>
        <w:tc>
          <w:tcPr>
            <w:tcW w:w="1084" w:type="dxa"/>
            <w:noWrap/>
            <w:hideMark/>
          </w:tcPr>
          <w:p w14:paraId="2AA13738"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60</w:t>
            </w:r>
          </w:p>
        </w:tc>
        <w:tc>
          <w:tcPr>
            <w:tcW w:w="1084" w:type="dxa"/>
            <w:hideMark/>
          </w:tcPr>
          <w:p w14:paraId="05D0197E"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50</w:t>
            </w:r>
          </w:p>
        </w:tc>
        <w:tc>
          <w:tcPr>
            <w:tcW w:w="1084" w:type="dxa"/>
            <w:hideMark/>
          </w:tcPr>
          <w:p w14:paraId="1B6EA874"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37</w:t>
            </w:r>
          </w:p>
        </w:tc>
        <w:tc>
          <w:tcPr>
            <w:tcW w:w="884" w:type="dxa"/>
            <w:hideMark/>
          </w:tcPr>
          <w:p w14:paraId="7F412E06"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147</w:t>
            </w:r>
          </w:p>
        </w:tc>
      </w:tr>
      <w:tr w:rsidR="009E48A7" w:rsidRPr="009E48A7" w14:paraId="72BEBCAE" w14:textId="77777777" w:rsidTr="009E48A7">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815" w:type="dxa"/>
            <w:hideMark/>
          </w:tcPr>
          <w:p w14:paraId="57F10A0F" w14:textId="77777777" w:rsidR="009E48A7" w:rsidRPr="009E48A7" w:rsidRDefault="009E48A7" w:rsidP="009E48A7">
            <w:pPr>
              <w:pStyle w:val="VEOHRCBodytext"/>
              <w:rPr>
                <w:color w:val="000000"/>
              </w:rPr>
            </w:pPr>
            <w:r w:rsidRPr="009E48A7">
              <w:rPr>
                <w:color w:val="000000"/>
              </w:rPr>
              <w:t>Information provided</w:t>
            </w:r>
          </w:p>
        </w:tc>
        <w:tc>
          <w:tcPr>
            <w:tcW w:w="1084" w:type="dxa"/>
            <w:noWrap/>
            <w:hideMark/>
          </w:tcPr>
          <w:p w14:paraId="551BBBF7"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3359</w:t>
            </w:r>
          </w:p>
        </w:tc>
        <w:tc>
          <w:tcPr>
            <w:tcW w:w="1084" w:type="dxa"/>
            <w:hideMark/>
          </w:tcPr>
          <w:p w14:paraId="2406CD65"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1308</w:t>
            </w:r>
          </w:p>
        </w:tc>
        <w:tc>
          <w:tcPr>
            <w:tcW w:w="1084" w:type="dxa"/>
            <w:hideMark/>
          </w:tcPr>
          <w:p w14:paraId="34026D4A"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1240</w:t>
            </w:r>
          </w:p>
        </w:tc>
        <w:tc>
          <w:tcPr>
            <w:tcW w:w="884" w:type="dxa"/>
            <w:hideMark/>
          </w:tcPr>
          <w:p w14:paraId="5C27824D"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5907</w:t>
            </w:r>
          </w:p>
        </w:tc>
      </w:tr>
      <w:tr w:rsidR="009E48A7" w:rsidRPr="009E48A7" w14:paraId="7CED33B6" w14:textId="77777777" w:rsidTr="009E48A7">
        <w:trPr>
          <w:trHeight w:val="232"/>
        </w:trPr>
        <w:tc>
          <w:tcPr>
            <w:cnfStyle w:val="001000000000" w:firstRow="0" w:lastRow="0" w:firstColumn="1" w:lastColumn="0" w:oddVBand="0" w:evenVBand="0" w:oddHBand="0" w:evenHBand="0" w:firstRowFirstColumn="0" w:firstRowLastColumn="0" w:lastRowFirstColumn="0" w:lastRowLastColumn="0"/>
            <w:tcW w:w="4815" w:type="dxa"/>
            <w:hideMark/>
          </w:tcPr>
          <w:p w14:paraId="1A5950F4" w14:textId="77777777" w:rsidR="009E48A7" w:rsidRPr="009E48A7" w:rsidRDefault="009E48A7" w:rsidP="009E48A7">
            <w:pPr>
              <w:pStyle w:val="VEOHRCBodytext"/>
              <w:rPr>
                <w:color w:val="000000"/>
              </w:rPr>
            </w:pPr>
            <w:r w:rsidRPr="009E48A7">
              <w:rPr>
                <w:color w:val="000000"/>
              </w:rPr>
              <w:t>Involuntary patient</w:t>
            </w:r>
          </w:p>
        </w:tc>
        <w:tc>
          <w:tcPr>
            <w:tcW w:w="1084" w:type="dxa"/>
            <w:noWrap/>
            <w:hideMark/>
          </w:tcPr>
          <w:p w14:paraId="6F837049"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30</w:t>
            </w:r>
          </w:p>
        </w:tc>
        <w:tc>
          <w:tcPr>
            <w:tcW w:w="1084" w:type="dxa"/>
            <w:hideMark/>
          </w:tcPr>
          <w:p w14:paraId="2077A3F2"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34</w:t>
            </w:r>
          </w:p>
        </w:tc>
        <w:tc>
          <w:tcPr>
            <w:tcW w:w="1084" w:type="dxa"/>
            <w:hideMark/>
          </w:tcPr>
          <w:p w14:paraId="28D94578"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21</w:t>
            </w:r>
          </w:p>
        </w:tc>
        <w:tc>
          <w:tcPr>
            <w:tcW w:w="884" w:type="dxa"/>
            <w:hideMark/>
          </w:tcPr>
          <w:p w14:paraId="324ADC2B"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85</w:t>
            </w:r>
          </w:p>
        </w:tc>
      </w:tr>
      <w:tr w:rsidR="009E48A7" w:rsidRPr="009E48A7" w14:paraId="6A4DCB0B" w14:textId="77777777" w:rsidTr="009E48A7">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815" w:type="dxa"/>
            <w:hideMark/>
          </w:tcPr>
          <w:p w14:paraId="32E5C202" w14:textId="77777777" w:rsidR="009E48A7" w:rsidRPr="009E48A7" w:rsidRDefault="009E48A7" w:rsidP="009E48A7">
            <w:pPr>
              <w:pStyle w:val="VEOHRCBodytext"/>
              <w:rPr>
                <w:color w:val="000000"/>
              </w:rPr>
            </w:pPr>
            <w:r w:rsidRPr="009E48A7">
              <w:rPr>
                <w:color w:val="000000"/>
              </w:rPr>
              <w:t>Lawful sexual activity</w:t>
            </w:r>
          </w:p>
        </w:tc>
        <w:tc>
          <w:tcPr>
            <w:tcW w:w="1084" w:type="dxa"/>
            <w:noWrap/>
            <w:hideMark/>
          </w:tcPr>
          <w:p w14:paraId="335087FD"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30</w:t>
            </w:r>
          </w:p>
        </w:tc>
        <w:tc>
          <w:tcPr>
            <w:tcW w:w="1084" w:type="dxa"/>
            <w:hideMark/>
          </w:tcPr>
          <w:p w14:paraId="337DD6C5"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55</w:t>
            </w:r>
          </w:p>
        </w:tc>
        <w:tc>
          <w:tcPr>
            <w:tcW w:w="1084" w:type="dxa"/>
            <w:hideMark/>
          </w:tcPr>
          <w:p w14:paraId="7DA4FF95"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26</w:t>
            </w:r>
          </w:p>
        </w:tc>
        <w:tc>
          <w:tcPr>
            <w:tcW w:w="884" w:type="dxa"/>
            <w:hideMark/>
          </w:tcPr>
          <w:p w14:paraId="3DEDE3ED"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111</w:t>
            </w:r>
          </w:p>
        </w:tc>
      </w:tr>
      <w:tr w:rsidR="009E48A7" w:rsidRPr="009E48A7" w14:paraId="346CBF4C" w14:textId="77777777" w:rsidTr="009E48A7">
        <w:trPr>
          <w:trHeight w:val="232"/>
        </w:trPr>
        <w:tc>
          <w:tcPr>
            <w:cnfStyle w:val="001000000000" w:firstRow="0" w:lastRow="0" w:firstColumn="1" w:lastColumn="0" w:oddVBand="0" w:evenVBand="0" w:oddHBand="0" w:evenHBand="0" w:firstRowFirstColumn="0" w:firstRowLastColumn="0" w:lastRowFirstColumn="0" w:lastRowLastColumn="0"/>
            <w:tcW w:w="4815" w:type="dxa"/>
            <w:hideMark/>
          </w:tcPr>
          <w:p w14:paraId="45735DEE" w14:textId="77777777" w:rsidR="009E48A7" w:rsidRPr="009E48A7" w:rsidRDefault="009E48A7" w:rsidP="009E48A7">
            <w:pPr>
              <w:pStyle w:val="VEOHRCBodytext"/>
              <w:rPr>
                <w:color w:val="000000"/>
              </w:rPr>
            </w:pPr>
            <w:r w:rsidRPr="009E48A7">
              <w:rPr>
                <w:color w:val="000000"/>
              </w:rPr>
              <w:lastRenderedPageBreak/>
              <w:t>Marital status</w:t>
            </w:r>
          </w:p>
        </w:tc>
        <w:tc>
          <w:tcPr>
            <w:tcW w:w="1084" w:type="dxa"/>
            <w:noWrap/>
            <w:hideMark/>
          </w:tcPr>
          <w:p w14:paraId="75E753BE"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76</w:t>
            </w:r>
          </w:p>
        </w:tc>
        <w:tc>
          <w:tcPr>
            <w:tcW w:w="1084" w:type="dxa"/>
            <w:hideMark/>
          </w:tcPr>
          <w:p w14:paraId="46848986"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104</w:t>
            </w:r>
          </w:p>
        </w:tc>
        <w:tc>
          <w:tcPr>
            <w:tcW w:w="1084" w:type="dxa"/>
            <w:hideMark/>
          </w:tcPr>
          <w:p w14:paraId="659CA9ED"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78</w:t>
            </w:r>
          </w:p>
        </w:tc>
        <w:tc>
          <w:tcPr>
            <w:tcW w:w="884" w:type="dxa"/>
            <w:hideMark/>
          </w:tcPr>
          <w:p w14:paraId="462FD78B"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258</w:t>
            </w:r>
          </w:p>
        </w:tc>
      </w:tr>
      <w:tr w:rsidR="009E48A7" w:rsidRPr="009E48A7" w14:paraId="3F66D0BA" w14:textId="77777777" w:rsidTr="009E48A7">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815" w:type="dxa"/>
            <w:hideMark/>
          </w:tcPr>
          <w:p w14:paraId="4AF38B3E" w14:textId="77777777" w:rsidR="009E48A7" w:rsidRPr="009E48A7" w:rsidRDefault="009E48A7" w:rsidP="009E48A7">
            <w:pPr>
              <w:pStyle w:val="VEOHRCBodytext"/>
              <w:rPr>
                <w:color w:val="000000"/>
              </w:rPr>
            </w:pPr>
            <w:r w:rsidRPr="009E48A7">
              <w:rPr>
                <w:color w:val="000000"/>
              </w:rPr>
              <w:t>Media</w:t>
            </w:r>
          </w:p>
        </w:tc>
        <w:tc>
          <w:tcPr>
            <w:tcW w:w="1084" w:type="dxa"/>
            <w:noWrap/>
            <w:hideMark/>
          </w:tcPr>
          <w:p w14:paraId="7C31B20C"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6</w:t>
            </w:r>
          </w:p>
        </w:tc>
        <w:tc>
          <w:tcPr>
            <w:tcW w:w="1084" w:type="dxa"/>
            <w:hideMark/>
          </w:tcPr>
          <w:p w14:paraId="19885F1D"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12</w:t>
            </w:r>
          </w:p>
        </w:tc>
        <w:tc>
          <w:tcPr>
            <w:tcW w:w="1084" w:type="dxa"/>
            <w:hideMark/>
          </w:tcPr>
          <w:p w14:paraId="1FB58C9E"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8</w:t>
            </w:r>
          </w:p>
        </w:tc>
        <w:tc>
          <w:tcPr>
            <w:tcW w:w="884" w:type="dxa"/>
            <w:hideMark/>
          </w:tcPr>
          <w:p w14:paraId="12E03BE7"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26</w:t>
            </w:r>
          </w:p>
        </w:tc>
      </w:tr>
      <w:tr w:rsidR="009E48A7" w:rsidRPr="009E48A7" w14:paraId="195563A7" w14:textId="77777777" w:rsidTr="009E48A7">
        <w:trPr>
          <w:trHeight w:val="232"/>
        </w:trPr>
        <w:tc>
          <w:tcPr>
            <w:cnfStyle w:val="001000000000" w:firstRow="0" w:lastRow="0" w:firstColumn="1" w:lastColumn="0" w:oddVBand="0" w:evenVBand="0" w:oddHBand="0" w:evenHBand="0" w:firstRowFirstColumn="0" w:firstRowLastColumn="0" w:lastRowFirstColumn="0" w:lastRowLastColumn="0"/>
            <w:tcW w:w="4815" w:type="dxa"/>
            <w:hideMark/>
          </w:tcPr>
          <w:p w14:paraId="6662582B" w14:textId="77777777" w:rsidR="009E48A7" w:rsidRPr="009E48A7" w:rsidRDefault="009E48A7" w:rsidP="009E48A7">
            <w:pPr>
              <w:pStyle w:val="VEOHRCBodytext"/>
              <w:rPr>
                <w:color w:val="000000"/>
              </w:rPr>
            </w:pPr>
            <w:r w:rsidRPr="009E48A7">
              <w:rPr>
                <w:color w:val="000000"/>
              </w:rPr>
              <w:t>No jurisdiction</w:t>
            </w:r>
          </w:p>
        </w:tc>
        <w:tc>
          <w:tcPr>
            <w:tcW w:w="1084" w:type="dxa"/>
            <w:noWrap/>
            <w:hideMark/>
          </w:tcPr>
          <w:p w14:paraId="65DD5956"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1045</w:t>
            </w:r>
          </w:p>
        </w:tc>
        <w:tc>
          <w:tcPr>
            <w:tcW w:w="1084" w:type="dxa"/>
            <w:hideMark/>
          </w:tcPr>
          <w:p w14:paraId="77B931C6"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1483</w:t>
            </w:r>
          </w:p>
        </w:tc>
        <w:tc>
          <w:tcPr>
            <w:tcW w:w="1084" w:type="dxa"/>
            <w:hideMark/>
          </w:tcPr>
          <w:p w14:paraId="16B76A99"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1716</w:t>
            </w:r>
          </w:p>
        </w:tc>
        <w:tc>
          <w:tcPr>
            <w:tcW w:w="884" w:type="dxa"/>
            <w:hideMark/>
          </w:tcPr>
          <w:p w14:paraId="15813831"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4244</w:t>
            </w:r>
          </w:p>
        </w:tc>
      </w:tr>
      <w:tr w:rsidR="009E48A7" w:rsidRPr="009E48A7" w14:paraId="1BB6CB6F" w14:textId="77777777" w:rsidTr="009E48A7">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815" w:type="dxa"/>
            <w:hideMark/>
          </w:tcPr>
          <w:p w14:paraId="7BDCCBD1" w14:textId="77777777" w:rsidR="009E48A7" w:rsidRPr="009E48A7" w:rsidRDefault="009E48A7" w:rsidP="009E48A7">
            <w:pPr>
              <w:pStyle w:val="VEOHRCBodytext"/>
              <w:rPr>
                <w:color w:val="000000"/>
              </w:rPr>
            </w:pPr>
            <w:r w:rsidRPr="009E48A7">
              <w:rPr>
                <w:color w:val="000000"/>
              </w:rPr>
              <w:t>Parental status</w:t>
            </w:r>
          </w:p>
        </w:tc>
        <w:tc>
          <w:tcPr>
            <w:tcW w:w="1084" w:type="dxa"/>
            <w:noWrap/>
            <w:hideMark/>
          </w:tcPr>
          <w:p w14:paraId="6083FC12"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289</w:t>
            </w:r>
          </w:p>
        </w:tc>
        <w:tc>
          <w:tcPr>
            <w:tcW w:w="1084" w:type="dxa"/>
            <w:hideMark/>
          </w:tcPr>
          <w:p w14:paraId="426A3527"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261</w:t>
            </w:r>
          </w:p>
        </w:tc>
        <w:tc>
          <w:tcPr>
            <w:tcW w:w="1084" w:type="dxa"/>
            <w:hideMark/>
          </w:tcPr>
          <w:p w14:paraId="7F85E13F"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218</w:t>
            </w:r>
          </w:p>
        </w:tc>
        <w:tc>
          <w:tcPr>
            <w:tcW w:w="884" w:type="dxa"/>
            <w:hideMark/>
          </w:tcPr>
          <w:p w14:paraId="4E1F240C"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768</w:t>
            </w:r>
          </w:p>
        </w:tc>
      </w:tr>
      <w:tr w:rsidR="009E48A7" w:rsidRPr="009E48A7" w14:paraId="29A7FE68" w14:textId="77777777" w:rsidTr="009E48A7">
        <w:trPr>
          <w:trHeight w:val="232"/>
        </w:trPr>
        <w:tc>
          <w:tcPr>
            <w:cnfStyle w:val="001000000000" w:firstRow="0" w:lastRow="0" w:firstColumn="1" w:lastColumn="0" w:oddVBand="0" w:evenVBand="0" w:oddHBand="0" w:evenHBand="0" w:firstRowFirstColumn="0" w:firstRowLastColumn="0" w:lastRowFirstColumn="0" w:lastRowLastColumn="0"/>
            <w:tcW w:w="4815" w:type="dxa"/>
            <w:hideMark/>
          </w:tcPr>
          <w:p w14:paraId="4EA72A74" w14:textId="77777777" w:rsidR="009E48A7" w:rsidRPr="009E48A7" w:rsidRDefault="009E48A7" w:rsidP="009E48A7">
            <w:pPr>
              <w:pStyle w:val="VEOHRCBodytext"/>
              <w:rPr>
                <w:color w:val="000000"/>
              </w:rPr>
            </w:pPr>
            <w:r w:rsidRPr="009E48A7">
              <w:rPr>
                <w:color w:val="000000"/>
              </w:rPr>
              <w:t>Personal association</w:t>
            </w:r>
          </w:p>
        </w:tc>
        <w:tc>
          <w:tcPr>
            <w:tcW w:w="1084" w:type="dxa"/>
            <w:noWrap/>
            <w:hideMark/>
          </w:tcPr>
          <w:p w14:paraId="7E1488C4"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99</w:t>
            </w:r>
          </w:p>
        </w:tc>
        <w:tc>
          <w:tcPr>
            <w:tcW w:w="1084" w:type="dxa"/>
            <w:hideMark/>
          </w:tcPr>
          <w:p w14:paraId="74CFC53B"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105</w:t>
            </w:r>
          </w:p>
        </w:tc>
        <w:tc>
          <w:tcPr>
            <w:tcW w:w="1084" w:type="dxa"/>
            <w:hideMark/>
          </w:tcPr>
          <w:p w14:paraId="61CE565A"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80</w:t>
            </w:r>
          </w:p>
        </w:tc>
        <w:tc>
          <w:tcPr>
            <w:tcW w:w="884" w:type="dxa"/>
            <w:hideMark/>
          </w:tcPr>
          <w:p w14:paraId="43D3A684"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284</w:t>
            </w:r>
          </w:p>
        </w:tc>
      </w:tr>
      <w:tr w:rsidR="009E48A7" w:rsidRPr="009E48A7" w14:paraId="4953C130" w14:textId="77777777" w:rsidTr="009E48A7">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815" w:type="dxa"/>
            <w:hideMark/>
          </w:tcPr>
          <w:p w14:paraId="2CD79733" w14:textId="77777777" w:rsidR="009E48A7" w:rsidRPr="009E48A7" w:rsidRDefault="009E48A7" w:rsidP="009E48A7">
            <w:pPr>
              <w:pStyle w:val="VEOHRCBodytext"/>
              <w:rPr>
                <w:color w:val="000000"/>
              </w:rPr>
            </w:pPr>
            <w:r w:rsidRPr="009E48A7">
              <w:rPr>
                <w:color w:val="000000"/>
              </w:rPr>
              <w:t>Physical features</w:t>
            </w:r>
          </w:p>
        </w:tc>
        <w:tc>
          <w:tcPr>
            <w:tcW w:w="1084" w:type="dxa"/>
            <w:noWrap/>
            <w:hideMark/>
          </w:tcPr>
          <w:p w14:paraId="65D05AF0"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243</w:t>
            </w:r>
          </w:p>
        </w:tc>
        <w:tc>
          <w:tcPr>
            <w:tcW w:w="1084" w:type="dxa"/>
            <w:hideMark/>
          </w:tcPr>
          <w:p w14:paraId="053D9A1C"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184</w:t>
            </w:r>
          </w:p>
        </w:tc>
        <w:tc>
          <w:tcPr>
            <w:tcW w:w="1084" w:type="dxa"/>
            <w:hideMark/>
          </w:tcPr>
          <w:p w14:paraId="274DCD62"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159</w:t>
            </w:r>
          </w:p>
        </w:tc>
        <w:tc>
          <w:tcPr>
            <w:tcW w:w="884" w:type="dxa"/>
            <w:hideMark/>
          </w:tcPr>
          <w:p w14:paraId="6ECCFEB1"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586</w:t>
            </w:r>
          </w:p>
        </w:tc>
      </w:tr>
      <w:tr w:rsidR="009E48A7" w:rsidRPr="009E48A7" w14:paraId="5CF27985" w14:textId="77777777" w:rsidTr="009E48A7">
        <w:trPr>
          <w:trHeight w:val="232"/>
        </w:trPr>
        <w:tc>
          <w:tcPr>
            <w:cnfStyle w:val="001000000000" w:firstRow="0" w:lastRow="0" w:firstColumn="1" w:lastColumn="0" w:oddVBand="0" w:evenVBand="0" w:oddHBand="0" w:evenHBand="0" w:firstRowFirstColumn="0" w:firstRowLastColumn="0" w:lastRowFirstColumn="0" w:lastRowLastColumn="0"/>
            <w:tcW w:w="4815" w:type="dxa"/>
            <w:hideMark/>
          </w:tcPr>
          <w:p w14:paraId="2D273611" w14:textId="77777777" w:rsidR="009E48A7" w:rsidRPr="009E48A7" w:rsidRDefault="009E48A7" w:rsidP="009E48A7">
            <w:pPr>
              <w:pStyle w:val="VEOHRCBodytext"/>
              <w:rPr>
                <w:color w:val="000000"/>
              </w:rPr>
            </w:pPr>
            <w:r w:rsidRPr="009E48A7">
              <w:rPr>
                <w:color w:val="000000"/>
              </w:rPr>
              <w:t>Police</w:t>
            </w:r>
          </w:p>
        </w:tc>
        <w:tc>
          <w:tcPr>
            <w:tcW w:w="1084" w:type="dxa"/>
            <w:noWrap/>
            <w:hideMark/>
          </w:tcPr>
          <w:p w14:paraId="5451E5AB"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78</w:t>
            </w:r>
          </w:p>
        </w:tc>
        <w:tc>
          <w:tcPr>
            <w:tcW w:w="1084" w:type="dxa"/>
            <w:hideMark/>
          </w:tcPr>
          <w:p w14:paraId="64E4B380"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109</w:t>
            </w:r>
          </w:p>
        </w:tc>
        <w:tc>
          <w:tcPr>
            <w:tcW w:w="1084" w:type="dxa"/>
            <w:hideMark/>
          </w:tcPr>
          <w:p w14:paraId="34C7224C"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74</w:t>
            </w:r>
          </w:p>
        </w:tc>
        <w:tc>
          <w:tcPr>
            <w:tcW w:w="884" w:type="dxa"/>
            <w:hideMark/>
          </w:tcPr>
          <w:p w14:paraId="567B8D8F"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261</w:t>
            </w:r>
          </w:p>
        </w:tc>
      </w:tr>
      <w:tr w:rsidR="009E48A7" w:rsidRPr="009E48A7" w14:paraId="0640ACCF" w14:textId="77777777" w:rsidTr="009E48A7">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815" w:type="dxa"/>
            <w:hideMark/>
          </w:tcPr>
          <w:p w14:paraId="5D2CC399" w14:textId="77777777" w:rsidR="009E48A7" w:rsidRPr="009E48A7" w:rsidRDefault="009E48A7" w:rsidP="009E48A7">
            <w:pPr>
              <w:pStyle w:val="VEOHRCBodytext"/>
              <w:rPr>
                <w:color w:val="000000"/>
              </w:rPr>
            </w:pPr>
            <w:r w:rsidRPr="009E48A7">
              <w:rPr>
                <w:color w:val="000000"/>
              </w:rPr>
              <w:t>Political belief or activity</w:t>
            </w:r>
          </w:p>
        </w:tc>
        <w:tc>
          <w:tcPr>
            <w:tcW w:w="1084" w:type="dxa"/>
            <w:noWrap/>
            <w:hideMark/>
          </w:tcPr>
          <w:p w14:paraId="1958AE15"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59</w:t>
            </w:r>
          </w:p>
        </w:tc>
        <w:tc>
          <w:tcPr>
            <w:tcW w:w="1084" w:type="dxa"/>
            <w:hideMark/>
          </w:tcPr>
          <w:p w14:paraId="7A1B2BE0"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29</w:t>
            </w:r>
          </w:p>
        </w:tc>
        <w:tc>
          <w:tcPr>
            <w:tcW w:w="1084" w:type="dxa"/>
            <w:hideMark/>
          </w:tcPr>
          <w:p w14:paraId="7F6F1ED1"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33</w:t>
            </w:r>
          </w:p>
        </w:tc>
        <w:tc>
          <w:tcPr>
            <w:tcW w:w="884" w:type="dxa"/>
            <w:hideMark/>
          </w:tcPr>
          <w:p w14:paraId="64FE2E3C"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121</w:t>
            </w:r>
          </w:p>
        </w:tc>
      </w:tr>
      <w:tr w:rsidR="009E48A7" w:rsidRPr="009E48A7" w14:paraId="282F4783" w14:textId="77777777" w:rsidTr="009E48A7">
        <w:trPr>
          <w:trHeight w:val="232"/>
        </w:trPr>
        <w:tc>
          <w:tcPr>
            <w:cnfStyle w:val="001000000000" w:firstRow="0" w:lastRow="0" w:firstColumn="1" w:lastColumn="0" w:oddVBand="0" w:evenVBand="0" w:oddHBand="0" w:evenHBand="0" w:firstRowFirstColumn="0" w:firstRowLastColumn="0" w:lastRowFirstColumn="0" w:lastRowLastColumn="0"/>
            <w:tcW w:w="4815" w:type="dxa"/>
            <w:hideMark/>
          </w:tcPr>
          <w:p w14:paraId="7A324215" w14:textId="77777777" w:rsidR="009E48A7" w:rsidRPr="009E48A7" w:rsidRDefault="009E48A7" w:rsidP="009E48A7">
            <w:pPr>
              <w:pStyle w:val="VEOHRCBodytext"/>
              <w:rPr>
                <w:color w:val="000000"/>
              </w:rPr>
            </w:pPr>
            <w:r w:rsidRPr="009E48A7">
              <w:rPr>
                <w:color w:val="000000"/>
              </w:rPr>
              <w:t>Pregnancy</w:t>
            </w:r>
          </w:p>
        </w:tc>
        <w:tc>
          <w:tcPr>
            <w:tcW w:w="1084" w:type="dxa"/>
            <w:noWrap/>
            <w:hideMark/>
          </w:tcPr>
          <w:p w14:paraId="751E2B5E"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140</w:t>
            </w:r>
          </w:p>
        </w:tc>
        <w:tc>
          <w:tcPr>
            <w:tcW w:w="1084" w:type="dxa"/>
            <w:hideMark/>
          </w:tcPr>
          <w:p w14:paraId="2172AC36"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110</w:t>
            </w:r>
          </w:p>
        </w:tc>
        <w:tc>
          <w:tcPr>
            <w:tcW w:w="1084" w:type="dxa"/>
            <w:hideMark/>
          </w:tcPr>
          <w:p w14:paraId="47455F38"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116</w:t>
            </w:r>
          </w:p>
        </w:tc>
        <w:tc>
          <w:tcPr>
            <w:tcW w:w="884" w:type="dxa"/>
            <w:hideMark/>
          </w:tcPr>
          <w:p w14:paraId="4B62CBBF"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366</w:t>
            </w:r>
          </w:p>
        </w:tc>
      </w:tr>
      <w:tr w:rsidR="009E48A7" w:rsidRPr="009E48A7" w14:paraId="78C9C56A" w14:textId="77777777" w:rsidTr="009E48A7">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815" w:type="dxa"/>
            <w:hideMark/>
          </w:tcPr>
          <w:p w14:paraId="38D7405C" w14:textId="77777777" w:rsidR="009E48A7" w:rsidRPr="009E48A7" w:rsidRDefault="009E48A7" w:rsidP="009E48A7">
            <w:pPr>
              <w:pStyle w:val="VEOHRCBodytext"/>
              <w:rPr>
                <w:color w:val="000000"/>
              </w:rPr>
            </w:pPr>
            <w:r w:rsidRPr="009E48A7">
              <w:rPr>
                <w:color w:val="000000"/>
              </w:rPr>
              <w:t>Prisons</w:t>
            </w:r>
          </w:p>
        </w:tc>
        <w:tc>
          <w:tcPr>
            <w:tcW w:w="1084" w:type="dxa"/>
            <w:noWrap/>
            <w:hideMark/>
          </w:tcPr>
          <w:p w14:paraId="34CCE61C"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28</w:t>
            </w:r>
          </w:p>
        </w:tc>
        <w:tc>
          <w:tcPr>
            <w:tcW w:w="1084" w:type="dxa"/>
            <w:hideMark/>
          </w:tcPr>
          <w:p w14:paraId="33A48E19"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66</w:t>
            </w:r>
          </w:p>
        </w:tc>
        <w:tc>
          <w:tcPr>
            <w:tcW w:w="1084" w:type="dxa"/>
            <w:hideMark/>
          </w:tcPr>
          <w:p w14:paraId="4AEC2B53"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25</w:t>
            </w:r>
          </w:p>
        </w:tc>
        <w:tc>
          <w:tcPr>
            <w:tcW w:w="884" w:type="dxa"/>
            <w:hideMark/>
          </w:tcPr>
          <w:p w14:paraId="6146EB9D"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119</w:t>
            </w:r>
          </w:p>
        </w:tc>
      </w:tr>
      <w:tr w:rsidR="009E48A7" w:rsidRPr="009E48A7" w14:paraId="2A18A0C1" w14:textId="77777777" w:rsidTr="009E48A7">
        <w:trPr>
          <w:trHeight w:val="232"/>
        </w:trPr>
        <w:tc>
          <w:tcPr>
            <w:cnfStyle w:val="001000000000" w:firstRow="0" w:lastRow="0" w:firstColumn="1" w:lastColumn="0" w:oddVBand="0" w:evenVBand="0" w:oddHBand="0" w:evenHBand="0" w:firstRowFirstColumn="0" w:firstRowLastColumn="0" w:lastRowFirstColumn="0" w:lastRowLastColumn="0"/>
            <w:tcW w:w="4815" w:type="dxa"/>
            <w:hideMark/>
          </w:tcPr>
          <w:p w14:paraId="6FA77C79" w14:textId="77777777" w:rsidR="009E48A7" w:rsidRPr="009E48A7" w:rsidRDefault="009E48A7" w:rsidP="009E48A7">
            <w:pPr>
              <w:pStyle w:val="VEOHRCBodytext"/>
              <w:rPr>
                <w:color w:val="000000"/>
              </w:rPr>
            </w:pPr>
            <w:r w:rsidRPr="009E48A7">
              <w:rPr>
                <w:color w:val="000000"/>
              </w:rPr>
              <w:t>Privacy</w:t>
            </w:r>
          </w:p>
        </w:tc>
        <w:tc>
          <w:tcPr>
            <w:tcW w:w="1084" w:type="dxa"/>
            <w:noWrap/>
            <w:hideMark/>
          </w:tcPr>
          <w:p w14:paraId="075F2FA9"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17</w:t>
            </w:r>
          </w:p>
        </w:tc>
        <w:tc>
          <w:tcPr>
            <w:tcW w:w="1084" w:type="dxa"/>
            <w:hideMark/>
          </w:tcPr>
          <w:p w14:paraId="69B42A0D"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21</w:t>
            </w:r>
          </w:p>
        </w:tc>
        <w:tc>
          <w:tcPr>
            <w:tcW w:w="1084" w:type="dxa"/>
            <w:hideMark/>
          </w:tcPr>
          <w:p w14:paraId="3FBE35C0"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9</w:t>
            </w:r>
          </w:p>
        </w:tc>
        <w:tc>
          <w:tcPr>
            <w:tcW w:w="884" w:type="dxa"/>
            <w:hideMark/>
          </w:tcPr>
          <w:p w14:paraId="7F20D858"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47</w:t>
            </w:r>
          </w:p>
        </w:tc>
      </w:tr>
      <w:tr w:rsidR="009E48A7" w:rsidRPr="009E48A7" w14:paraId="26B4E541" w14:textId="77777777" w:rsidTr="009E48A7">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815" w:type="dxa"/>
            <w:hideMark/>
          </w:tcPr>
          <w:p w14:paraId="0DDBDE76" w14:textId="77777777" w:rsidR="009E48A7" w:rsidRPr="009E48A7" w:rsidRDefault="009E48A7" w:rsidP="009E48A7">
            <w:pPr>
              <w:pStyle w:val="VEOHRCBodytext"/>
              <w:rPr>
                <w:color w:val="000000"/>
              </w:rPr>
            </w:pPr>
            <w:r w:rsidRPr="009E48A7">
              <w:rPr>
                <w:color w:val="000000"/>
              </w:rPr>
              <w:t>Publications - Commission</w:t>
            </w:r>
          </w:p>
        </w:tc>
        <w:tc>
          <w:tcPr>
            <w:tcW w:w="1084" w:type="dxa"/>
            <w:noWrap/>
            <w:hideMark/>
          </w:tcPr>
          <w:p w14:paraId="46F2203F"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81</w:t>
            </w:r>
          </w:p>
        </w:tc>
        <w:tc>
          <w:tcPr>
            <w:tcW w:w="1084" w:type="dxa"/>
            <w:hideMark/>
          </w:tcPr>
          <w:p w14:paraId="51CBE063"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72</w:t>
            </w:r>
          </w:p>
        </w:tc>
        <w:tc>
          <w:tcPr>
            <w:tcW w:w="1084" w:type="dxa"/>
            <w:hideMark/>
          </w:tcPr>
          <w:p w14:paraId="156C0518"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48</w:t>
            </w:r>
          </w:p>
        </w:tc>
        <w:tc>
          <w:tcPr>
            <w:tcW w:w="884" w:type="dxa"/>
            <w:hideMark/>
          </w:tcPr>
          <w:p w14:paraId="6C0C1600"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201</w:t>
            </w:r>
          </w:p>
        </w:tc>
      </w:tr>
      <w:tr w:rsidR="009E48A7" w:rsidRPr="009E48A7" w14:paraId="79DCADB3" w14:textId="77777777" w:rsidTr="009E48A7">
        <w:trPr>
          <w:trHeight w:val="232"/>
        </w:trPr>
        <w:tc>
          <w:tcPr>
            <w:cnfStyle w:val="001000000000" w:firstRow="0" w:lastRow="0" w:firstColumn="1" w:lastColumn="0" w:oddVBand="0" w:evenVBand="0" w:oddHBand="0" w:evenHBand="0" w:firstRowFirstColumn="0" w:firstRowLastColumn="0" w:lastRowFirstColumn="0" w:lastRowLastColumn="0"/>
            <w:tcW w:w="4815" w:type="dxa"/>
            <w:hideMark/>
          </w:tcPr>
          <w:p w14:paraId="04CBADC8" w14:textId="77777777" w:rsidR="009E48A7" w:rsidRPr="009E48A7" w:rsidRDefault="009E48A7" w:rsidP="009E48A7">
            <w:pPr>
              <w:pStyle w:val="VEOHRCBodytext"/>
              <w:rPr>
                <w:color w:val="000000"/>
              </w:rPr>
            </w:pPr>
            <w:r w:rsidRPr="009E48A7">
              <w:rPr>
                <w:color w:val="000000"/>
              </w:rPr>
              <w:t>Race</w:t>
            </w:r>
          </w:p>
        </w:tc>
        <w:tc>
          <w:tcPr>
            <w:tcW w:w="1084" w:type="dxa"/>
            <w:noWrap/>
            <w:hideMark/>
          </w:tcPr>
          <w:p w14:paraId="14D689DB"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608</w:t>
            </w:r>
          </w:p>
        </w:tc>
        <w:tc>
          <w:tcPr>
            <w:tcW w:w="1084" w:type="dxa"/>
            <w:hideMark/>
          </w:tcPr>
          <w:p w14:paraId="057352E1"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473</w:t>
            </w:r>
          </w:p>
        </w:tc>
        <w:tc>
          <w:tcPr>
            <w:tcW w:w="1084" w:type="dxa"/>
            <w:hideMark/>
          </w:tcPr>
          <w:p w14:paraId="343F3DAF"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630</w:t>
            </w:r>
          </w:p>
        </w:tc>
        <w:tc>
          <w:tcPr>
            <w:tcW w:w="884" w:type="dxa"/>
            <w:hideMark/>
          </w:tcPr>
          <w:p w14:paraId="792E2209"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1711</w:t>
            </w:r>
          </w:p>
        </w:tc>
      </w:tr>
      <w:tr w:rsidR="009E48A7" w:rsidRPr="009E48A7" w14:paraId="203F705A" w14:textId="77777777" w:rsidTr="009E48A7">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815" w:type="dxa"/>
            <w:hideMark/>
          </w:tcPr>
          <w:p w14:paraId="2200A4BD" w14:textId="77777777" w:rsidR="009E48A7" w:rsidRPr="009E48A7" w:rsidRDefault="009E48A7" w:rsidP="009E48A7">
            <w:pPr>
              <w:pStyle w:val="VEOHRCBodytext"/>
              <w:rPr>
                <w:color w:val="000000"/>
              </w:rPr>
            </w:pPr>
            <w:r w:rsidRPr="009E48A7">
              <w:rPr>
                <w:color w:val="000000"/>
              </w:rPr>
              <w:t>Racial vilification</w:t>
            </w:r>
          </w:p>
        </w:tc>
        <w:tc>
          <w:tcPr>
            <w:tcW w:w="1084" w:type="dxa"/>
            <w:noWrap/>
            <w:hideMark/>
          </w:tcPr>
          <w:p w14:paraId="0DBCB21E"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66</w:t>
            </w:r>
          </w:p>
        </w:tc>
        <w:tc>
          <w:tcPr>
            <w:tcW w:w="1084" w:type="dxa"/>
            <w:hideMark/>
          </w:tcPr>
          <w:p w14:paraId="1B09D901"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54</w:t>
            </w:r>
          </w:p>
        </w:tc>
        <w:tc>
          <w:tcPr>
            <w:tcW w:w="1084" w:type="dxa"/>
            <w:hideMark/>
          </w:tcPr>
          <w:p w14:paraId="63D6C65D"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50</w:t>
            </w:r>
          </w:p>
        </w:tc>
        <w:tc>
          <w:tcPr>
            <w:tcW w:w="884" w:type="dxa"/>
            <w:hideMark/>
          </w:tcPr>
          <w:p w14:paraId="4184D72B"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170</w:t>
            </w:r>
          </w:p>
        </w:tc>
      </w:tr>
      <w:tr w:rsidR="009E48A7" w:rsidRPr="009E48A7" w14:paraId="0F44FE4F" w14:textId="77777777" w:rsidTr="009E48A7">
        <w:trPr>
          <w:trHeight w:val="232"/>
        </w:trPr>
        <w:tc>
          <w:tcPr>
            <w:cnfStyle w:val="001000000000" w:firstRow="0" w:lastRow="0" w:firstColumn="1" w:lastColumn="0" w:oddVBand="0" w:evenVBand="0" w:oddHBand="0" w:evenHBand="0" w:firstRowFirstColumn="0" w:firstRowLastColumn="0" w:lastRowFirstColumn="0" w:lastRowLastColumn="0"/>
            <w:tcW w:w="4815" w:type="dxa"/>
            <w:hideMark/>
          </w:tcPr>
          <w:p w14:paraId="3CC5FD78" w14:textId="77777777" w:rsidR="009E48A7" w:rsidRPr="009E48A7" w:rsidRDefault="009E48A7" w:rsidP="009E48A7">
            <w:pPr>
              <w:pStyle w:val="VEOHRCBodytext"/>
              <w:rPr>
                <w:color w:val="000000"/>
              </w:rPr>
            </w:pPr>
            <w:r w:rsidRPr="009E48A7">
              <w:rPr>
                <w:color w:val="000000"/>
              </w:rPr>
              <w:t>Religious belief or activity</w:t>
            </w:r>
          </w:p>
        </w:tc>
        <w:tc>
          <w:tcPr>
            <w:tcW w:w="1084" w:type="dxa"/>
            <w:noWrap/>
            <w:hideMark/>
          </w:tcPr>
          <w:p w14:paraId="1299B718"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181</w:t>
            </w:r>
          </w:p>
        </w:tc>
        <w:tc>
          <w:tcPr>
            <w:tcW w:w="1084" w:type="dxa"/>
            <w:hideMark/>
          </w:tcPr>
          <w:p w14:paraId="2E11C6AC"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146</w:t>
            </w:r>
          </w:p>
        </w:tc>
        <w:tc>
          <w:tcPr>
            <w:tcW w:w="1084" w:type="dxa"/>
            <w:hideMark/>
          </w:tcPr>
          <w:p w14:paraId="7AFF7BBD"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160</w:t>
            </w:r>
          </w:p>
        </w:tc>
        <w:tc>
          <w:tcPr>
            <w:tcW w:w="884" w:type="dxa"/>
            <w:hideMark/>
          </w:tcPr>
          <w:p w14:paraId="363AF7E6"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487</w:t>
            </w:r>
          </w:p>
        </w:tc>
      </w:tr>
      <w:tr w:rsidR="009E48A7" w:rsidRPr="009E48A7" w14:paraId="4CDF3112" w14:textId="77777777" w:rsidTr="009E48A7">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815" w:type="dxa"/>
            <w:hideMark/>
          </w:tcPr>
          <w:p w14:paraId="64DCE8AD" w14:textId="77777777" w:rsidR="009E48A7" w:rsidRPr="009E48A7" w:rsidRDefault="009E48A7" w:rsidP="009E48A7">
            <w:pPr>
              <w:pStyle w:val="VEOHRCBodytext"/>
              <w:rPr>
                <w:color w:val="000000"/>
              </w:rPr>
            </w:pPr>
            <w:r w:rsidRPr="009E48A7">
              <w:rPr>
                <w:color w:val="000000"/>
              </w:rPr>
              <w:t>Religious vilification</w:t>
            </w:r>
          </w:p>
        </w:tc>
        <w:tc>
          <w:tcPr>
            <w:tcW w:w="1084" w:type="dxa"/>
            <w:noWrap/>
            <w:hideMark/>
          </w:tcPr>
          <w:p w14:paraId="09D715BC"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28</w:t>
            </w:r>
          </w:p>
        </w:tc>
        <w:tc>
          <w:tcPr>
            <w:tcW w:w="1084" w:type="dxa"/>
            <w:hideMark/>
          </w:tcPr>
          <w:p w14:paraId="1B697B75"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27</w:t>
            </w:r>
          </w:p>
        </w:tc>
        <w:tc>
          <w:tcPr>
            <w:tcW w:w="1084" w:type="dxa"/>
            <w:hideMark/>
          </w:tcPr>
          <w:p w14:paraId="38B1E6C9"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27</w:t>
            </w:r>
          </w:p>
        </w:tc>
        <w:tc>
          <w:tcPr>
            <w:tcW w:w="884" w:type="dxa"/>
            <w:hideMark/>
          </w:tcPr>
          <w:p w14:paraId="1BEF781A"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82</w:t>
            </w:r>
          </w:p>
        </w:tc>
      </w:tr>
      <w:tr w:rsidR="009E48A7" w:rsidRPr="009E48A7" w14:paraId="52B0E388" w14:textId="77777777" w:rsidTr="009E48A7">
        <w:trPr>
          <w:trHeight w:val="232"/>
        </w:trPr>
        <w:tc>
          <w:tcPr>
            <w:cnfStyle w:val="001000000000" w:firstRow="0" w:lastRow="0" w:firstColumn="1" w:lastColumn="0" w:oddVBand="0" w:evenVBand="0" w:oddHBand="0" w:evenHBand="0" w:firstRowFirstColumn="0" w:firstRowLastColumn="0" w:lastRowFirstColumn="0" w:lastRowLastColumn="0"/>
            <w:tcW w:w="4815" w:type="dxa"/>
            <w:hideMark/>
          </w:tcPr>
          <w:p w14:paraId="296A5F26" w14:textId="77777777" w:rsidR="009E48A7" w:rsidRPr="009E48A7" w:rsidRDefault="009E48A7" w:rsidP="009E48A7">
            <w:pPr>
              <w:pStyle w:val="VEOHRCBodytext"/>
              <w:rPr>
                <w:color w:val="000000"/>
              </w:rPr>
            </w:pPr>
            <w:r w:rsidRPr="009E48A7">
              <w:rPr>
                <w:color w:val="000000"/>
              </w:rPr>
              <w:t>RRTA-Information provided</w:t>
            </w:r>
          </w:p>
        </w:tc>
        <w:tc>
          <w:tcPr>
            <w:tcW w:w="1084" w:type="dxa"/>
            <w:noWrap/>
            <w:hideMark/>
          </w:tcPr>
          <w:p w14:paraId="70D105F3"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w:t>
            </w:r>
          </w:p>
        </w:tc>
        <w:tc>
          <w:tcPr>
            <w:tcW w:w="1084" w:type="dxa"/>
            <w:hideMark/>
          </w:tcPr>
          <w:p w14:paraId="1DDE309E"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36</w:t>
            </w:r>
          </w:p>
        </w:tc>
        <w:tc>
          <w:tcPr>
            <w:tcW w:w="1084" w:type="dxa"/>
            <w:hideMark/>
          </w:tcPr>
          <w:p w14:paraId="6FFBE241"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35</w:t>
            </w:r>
          </w:p>
        </w:tc>
        <w:tc>
          <w:tcPr>
            <w:tcW w:w="884" w:type="dxa"/>
            <w:hideMark/>
          </w:tcPr>
          <w:p w14:paraId="2D23D50B"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71</w:t>
            </w:r>
          </w:p>
        </w:tc>
      </w:tr>
      <w:tr w:rsidR="009E48A7" w:rsidRPr="009E48A7" w14:paraId="1BE2C294" w14:textId="77777777" w:rsidTr="009E48A7">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815" w:type="dxa"/>
            <w:hideMark/>
          </w:tcPr>
          <w:p w14:paraId="6715BEC2" w14:textId="77777777" w:rsidR="009E48A7" w:rsidRPr="009E48A7" w:rsidRDefault="009E48A7" w:rsidP="009E48A7">
            <w:pPr>
              <w:pStyle w:val="VEOHRCBodytext"/>
              <w:rPr>
                <w:color w:val="000000"/>
              </w:rPr>
            </w:pPr>
            <w:r w:rsidRPr="009E48A7">
              <w:rPr>
                <w:color w:val="000000"/>
              </w:rPr>
              <w:t>Sex</w:t>
            </w:r>
          </w:p>
        </w:tc>
        <w:tc>
          <w:tcPr>
            <w:tcW w:w="1084" w:type="dxa"/>
            <w:noWrap/>
            <w:hideMark/>
          </w:tcPr>
          <w:p w14:paraId="4843F6F6"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472</w:t>
            </w:r>
          </w:p>
        </w:tc>
        <w:tc>
          <w:tcPr>
            <w:tcW w:w="1084" w:type="dxa"/>
            <w:hideMark/>
          </w:tcPr>
          <w:p w14:paraId="72661714"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559</w:t>
            </w:r>
          </w:p>
        </w:tc>
        <w:tc>
          <w:tcPr>
            <w:tcW w:w="1084" w:type="dxa"/>
            <w:hideMark/>
          </w:tcPr>
          <w:p w14:paraId="519040B1"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447</w:t>
            </w:r>
          </w:p>
        </w:tc>
        <w:tc>
          <w:tcPr>
            <w:tcW w:w="884" w:type="dxa"/>
            <w:hideMark/>
          </w:tcPr>
          <w:p w14:paraId="260EABD5"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1478</w:t>
            </w:r>
          </w:p>
        </w:tc>
      </w:tr>
      <w:tr w:rsidR="009E48A7" w:rsidRPr="009E48A7" w14:paraId="101BCC71" w14:textId="77777777" w:rsidTr="009E48A7">
        <w:trPr>
          <w:trHeight w:val="232"/>
        </w:trPr>
        <w:tc>
          <w:tcPr>
            <w:cnfStyle w:val="001000000000" w:firstRow="0" w:lastRow="0" w:firstColumn="1" w:lastColumn="0" w:oddVBand="0" w:evenVBand="0" w:oddHBand="0" w:evenHBand="0" w:firstRowFirstColumn="0" w:firstRowLastColumn="0" w:lastRowFirstColumn="0" w:lastRowLastColumn="0"/>
            <w:tcW w:w="4815" w:type="dxa"/>
            <w:hideMark/>
          </w:tcPr>
          <w:p w14:paraId="654F6415" w14:textId="77777777" w:rsidR="009E48A7" w:rsidRPr="009E48A7" w:rsidRDefault="009E48A7" w:rsidP="009E48A7">
            <w:pPr>
              <w:pStyle w:val="VEOHRCBodytext"/>
              <w:rPr>
                <w:color w:val="000000"/>
              </w:rPr>
            </w:pPr>
            <w:r w:rsidRPr="009E48A7">
              <w:rPr>
                <w:color w:val="000000"/>
              </w:rPr>
              <w:t>Sexual harassment</w:t>
            </w:r>
          </w:p>
        </w:tc>
        <w:tc>
          <w:tcPr>
            <w:tcW w:w="1084" w:type="dxa"/>
            <w:noWrap/>
            <w:hideMark/>
          </w:tcPr>
          <w:p w14:paraId="31BF5BF0"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437</w:t>
            </w:r>
          </w:p>
        </w:tc>
        <w:tc>
          <w:tcPr>
            <w:tcW w:w="1084" w:type="dxa"/>
            <w:hideMark/>
          </w:tcPr>
          <w:p w14:paraId="1536C5A8"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371</w:t>
            </w:r>
          </w:p>
        </w:tc>
        <w:tc>
          <w:tcPr>
            <w:tcW w:w="1084" w:type="dxa"/>
            <w:hideMark/>
          </w:tcPr>
          <w:p w14:paraId="71496BBC"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432</w:t>
            </w:r>
          </w:p>
        </w:tc>
        <w:tc>
          <w:tcPr>
            <w:tcW w:w="884" w:type="dxa"/>
            <w:hideMark/>
          </w:tcPr>
          <w:p w14:paraId="28B703DC"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1240</w:t>
            </w:r>
          </w:p>
        </w:tc>
      </w:tr>
      <w:tr w:rsidR="009E48A7" w:rsidRPr="009E48A7" w14:paraId="005678E8" w14:textId="77777777" w:rsidTr="009E48A7">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815" w:type="dxa"/>
            <w:hideMark/>
          </w:tcPr>
          <w:p w14:paraId="157EC366" w14:textId="77777777" w:rsidR="009E48A7" w:rsidRPr="009E48A7" w:rsidRDefault="009E48A7" w:rsidP="009E48A7">
            <w:pPr>
              <w:pStyle w:val="VEOHRCBodytext"/>
              <w:rPr>
                <w:color w:val="000000"/>
              </w:rPr>
            </w:pPr>
            <w:r w:rsidRPr="009E48A7">
              <w:rPr>
                <w:color w:val="000000"/>
              </w:rPr>
              <w:t>Sexual orientation</w:t>
            </w:r>
          </w:p>
        </w:tc>
        <w:tc>
          <w:tcPr>
            <w:tcW w:w="1084" w:type="dxa"/>
            <w:noWrap/>
            <w:hideMark/>
          </w:tcPr>
          <w:p w14:paraId="3B1AEA4F"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139</w:t>
            </w:r>
          </w:p>
        </w:tc>
        <w:tc>
          <w:tcPr>
            <w:tcW w:w="1084" w:type="dxa"/>
            <w:hideMark/>
          </w:tcPr>
          <w:p w14:paraId="129BB2C4"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98</w:t>
            </w:r>
          </w:p>
        </w:tc>
        <w:tc>
          <w:tcPr>
            <w:tcW w:w="1084" w:type="dxa"/>
            <w:hideMark/>
          </w:tcPr>
          <w:p w14:paraId="7A25C96A"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138</w:t>
            </w:r>
          </w:p>
        </w:tc>
        <w:tc>
          <w:tcPr>
            <w:tcW w:w="884" w:type="dxa"/>
            <w:hideMark/>
          </w:tcPr>
          <w:p w14:paraId="16ACDAE6"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375</w:t>
            </w:r>
          </w:p>
        </w:tc>
      </w:tr>
      <w:tr w:rsidR="009E48A7" w:rsidRPr="009E48A7" w14:paraId="632284D6" w14:textId="77777777" w:rsidTr="009E48A7">
        <w:trPr>
          <w:trHeight w:val="232"/>
        </w:trPr>
        <w:tc>
          <w:tcPr>
            <w:cnfStyle w:val="001000000000" w:firstRow="0" w:lastRow="0" w:firstColumn="1" w:lastColumn="0" w:oddVBand="0" w:evenVBand="0" w:oddHBand="0" w:evenHBand="0" w:firstRowFirstColumn="0" w:firstRowLastColumn="0" w:lastRowFirstColumn="0" w:lastRowLastColumn="0"/>
            <w:tcW w:w="4815" w:type="dxa"/>
            <w:hideMark/>
          </w:tcPr>
          <w:p w14:paraId="10691D79" w14:textId="77777777" w:rsidR="009E48A7" w:rsidRPr="009E48A7" w:rsidRDefault="009E48A7" w:rsidP="009E48A7">
            <w:pPr>
              <w:pStyle w:val="VEOHRCBodytext"/>
              <w:rPr>
                <w:color w:val="000000"/>
              </w:rPr>
            </w:pPr>
            <w:r w:rsidRPr="009E48A7">
              <w:rPr>
                <w:color w:val="000000"/>
              </w:rPr>
              <w:t>Tenancy</w:t>
            </w:r>
          </w:p>
        </w:tc>
        <w:tc>
          <w:tcPr>
            <w:tcW w:w="1084" w:type="dxa"/>
            <w:noWrap/>
            <w:hideMark/>
          </w:tcPr>
          <w:p w14:paraId="2B9C5F7C"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204</w:t>
            </w:r>
          </w:p>
        </w:tc>
        <w:tc>
          <w:tcPr>
            <w:tcW w:w="1084" w:type="dxa"/>
            <w:hideMark/>
          </w:tcPr>
          <w:p w14:paraId="2907E68E"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125</w:t>
            </w:r>
          </w:p>
        </w:tc>
        <w:tc>
          <w:tcPr>
            <w:tcW w:w="1084" w:type="dxa"/>
            <w:hideMark/>
          </w:tcPr>
          <w:p w14:paraId="2F249EB8"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89</w:t>
            </w:r>
          </w:p>
        </w:tc>
        <w:tc>
          <w:tcPr>
            <w:tcW w:w="884" w:type="dxa"/>
            <w:hideMark/>
          </w:tcPr>
          <w:p w14:paraId="2AE9B71C"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418</w:t>
            </w:r>
          </w:p>
        </w:tc>
      </w:tr>
      <w:tr w:rsidR="009E48A7" w:rsidRPr="009E48A7" w14:paraId="6D604CF3" w14:textId="77777777" w:rsidTr="009E48A7">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815" w:type="dxa"/>
            <w:hideMark/>
          </w:tcPr>
          <w:p w14:paraId="3E4EF383" w14:textId="77777777" w:rsidR="009E48A7" w:rsidRPr="009E48A7" w:rsidRDefault="009E48A7" w:rsidP="009E48A7">
            <w:pPr>
              <w:pStyle w:val="VEOHRCBodytext"/>
              <w:rPr>
                <w:color w:val="000000"/>
              </w:rPr>
            </w:pPr>
            <w:r w:rsidRPr="009E48A7">
              <w:rPr>
                <w:color w:val="000000"/>
              </w:rPr>
              <w:t>Training requests</w:t>
            </w:r>
          </w:p>
        </w:tc>
        <w:tc>
          <w:tcPr>
            <w:tcW w:w="1084" w:type="dxa"/>
            <w:noWrap/>
            <w:hideMark/>
          </w:tcPr>
          <w:p w14:paraId="75E0C666"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42</w:t>
            </w:r>
          </w:p>
        </w:tc>
        <w:tc>
          <w:tcPr>
            <w:tcW w:w="1084" w:type="dxa"/>
            <w:hideMark/>
          </w:tcPr>
          <w:p w14:paraId="4B2820C7"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61</w:t>
            </w:r>
          </w:p>
        </w:tc>
        <w:tc>
          <w:tcPr>
            <w:tcW w:w="1084" w:type="dxa"/>
            <w:hideMark/>
          </w:tcPr>
          <w:p w14:paraId="5D7E5785"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41</w:t>
            </w:r>
          </w:p>
        </w:tc>
        <w:tc>
          <w:tcPr>
            <w:tcW w:w="884" w:type="dxa"/>
            <w:hideMark/>
          </w:tcPr>
          <w:p w14:paraId="52F0725D"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144</w:t>
            </w:r>
          </w:p>
        </w:tc>
      </w:tr>
      <w:tr w:rsidR="009E48A7" w:rsidRPr="009E48A7" w14:paraId="343C9ADC" w14:textId="77777777" w:rsidTr="009E48A7">
        <w:trPr>
          <w:trHeight w:val="232"/>
        </w:trPr>
        <w:tc>
          <w:tcPr>
            <w:cnfStyle w:val="001000000000" w:firstRow="0" w:lastRow="0" w:firstColumn="1" w:lastColumn="0" w:oddVBand="0" w:evenVBand="0" w:oddHBand="0" w:evenHBand="0" w:firstRowFirstColumn="0" w:firstRowLastColumn="0" w:lastRowFirstColumn="0" w:lastRowLastColumn="0"/>
            <w:tcW w:w="4815" w:type="dxa"/>
            <w:hideMark/>
          </w:tcPr>
          <w:p w14:paraId="2274E716" w14:textId="77777777" w:rsidR="009E48A7" w:rsidRPr="009E48A7" w:rsidRDefault="009E48A7" w:rsidP="009E48A7">
            <w:pPr>
              <w:pStyle w:val="VEOHRCBodytext"/>
              <w:rPr>
                <w:color w:val="000000"/>
              </w:rPr>
            </w:pPr>
            <w:r w:rsidRPr="009E48A7">
              <w:rPr>
                <w:color w:val="000000"/>
              </w:rPr>
              <w:t>Transport</w:t>
            </w:r>
          </w:p>
        </w:tc>
        <w:tc>
          <w:tcPr>
            <w:tcW w:w="1084" w:type="dxa"/>
            <w:noWrap/>
            <w:hideMark/>
          </w:tcPr>
          <w:p w14:paraId="79D2048A"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0</w:t>
            </w:r>
          </w:p>
        </w:tc>
        <w:tc>
          <w:tcPr>
            <w:tcW w:w="1084" w:type="dxa"/>
            <w:hideMark/>
          </w:tcPr>
          <w:p w14:paraId="09052244"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1</w:t>
            </w:r>
          </w:p>
        </w:tc>
        <w:tc>
          <w:tcPr>
            <w:tcW w:w="1084" w:type="dxa"/>
            <w:hideMark/>
          </w:tcPr>
          <w:p w14:paraId="25002F32"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4</w:t>
            </w:r>
          </w:p>
        </w:tc>
        <w:tc>
          <w:tcPr>
            <w:tcW w:w="884" w:type="dxa"/>
            <w:hideMark/>
          </w:tcPr>
          <w:p w14:paraId="131F5640"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5</w:t>
            </w:r>
          </w:p>
        </w:tc>
      </w:tr>
      <w:tr w:rsidR="009E48A7" w:rsidRPr="009E48A7" w14:paraId="6B9FFB91" w14:textId="77777777" w:rsidTr="009E48A7">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815" w:type="dxa"/>
            <w:hideMark/>
          </w:tcPr>
          <w:p w14:paraId="140DB9F3" w14:textId="77777777" w:rsidR="009E48A7" w:rsidRPr="009E48A7" w:rsidRDefault="009E48A7" w:rsidP="009E48A7">
            <w:pPr>
              <w:pStyle w:val="VEOHRCBodytext"/>
              <w:rPr>
                <w:color w:val="000000"/>
              </w:rPr>
            </w:pPr>
            <w:r w:rsidRPr="009E48A7">
              <w:rPr>
                <w:color w:val="000000"/>
              </w:rPr>
              <w:t>Victimisation</w:t>
            </w:r>
          </w:p>
        </w:tc>
        <w:tc>
          <w:tcPr>
            <w:tcW w:w="1084" w:type="dxa"/>
            <w:noWrap/>
            <w:hideMark/>
          </w:tcPr>
          <w:p w14:paraId="6DA35273"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382</w:t>
            </w:r>
          </w:p>
        </w:tc>
        <w:tc>
          <w:tcPr>
            <w:tcW w:w="1084" w:type="dxa"/>
            <w:hideMark/>
          </w:tcPr>
          <w:p w14:paraId="2D9F084E"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300</w:t>
            </w:r>
          </w:p>
        </w:tc>
        <w:tc>
          <w:tcPr>
            <w:tcW w:w="1084" w:type="dxa"/>
            <w:hideMark/>
          </w:tcPr>
          <w:p w14:paraId="490E5BFF"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346</w:t>
            </w:r>
          </w:p>
        </w:tc>
        <w:tc>
          <w:tcPr>
            <w:tcW w:w="884" w:type="dxa"/>
            <w:hideMark/>
          </w:tcPr>
          <w:p w14:paraId="46EC204D"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1028</w:t>
            </w:r>
          </w:p>
        </w:tc>
      </w:tr>
      <w:tr w:rsidR="009E48A7" w:rsidRPr="009E48A7" w14:paraId="7B477087" w14:textId="77777777" w:rsidTr="009E48A7">
        <w:trPr>
          <w:trHeight w:val="232"/>
        </w:trPr>
        <w:tc>
          <w:tcPr>
            <w:cnfStyle w:val="001000000000" w:firstRow="0" w:lastRow="0" w:firstColumn="1" w:lastColumn="0" w:oddVBand="0" w:evenVBand="0" w:oddHBand="0" w:evenHBand="0" w:firstRowFirstColumn="0" w:firstRowLastColumn="0" w:lastRowFirstColumn="0" w:lastRowLastColumn="0"/>
            <w:tcW w:w="4815" w:type="dxa"/>
            <w:hideMark/>
          </w:tcPr>
          <w:p w14:paraId="7382E275" w14:textId="77777777" w:rsidR="009E48A7" w:rsidRPr="009E48A7" w:rsidRDefault="009E48A7" w:rsidP="009E48A7">
            <w:pPr>
              <w:pStyle w:val="VEOHRCBodytext"/>
              <w:rPr>
                <w:color w:val="000000"/>
              </w:rPr>
            </w:pPr>
            <w:r w:rsidRPr="009E48A7">
              <w:rPr>
                <w:color w:val="000000"/>
              </w:rPr>
              <w:t>WorkCover</w:t>
            </w:r>
          </w:p>
        </w:tc>
        <w:tc>
          <w:tcPr>
            <w:tcW w:w="1084" w:type="dxa"/>
            <w:noWrap/>
            <w:hideMark/>
          </w:tcPr>
          <w:p w14:paraId="7F369B36"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6</w:t>
            </w:r>
          </w:p>
        </w:tc>
        <w:tc>
          <w:tcPr>
            <w:tcW w:w="1084" w:type="dxa"/>
            <w:hideMark/>
          </w:tcPr>
          <w:p w14:paraId="6CED586E"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9</w:t>
            </w:r>
          </w:p>
        </w:tc>
        <w:tc>
          <w:tcPr>
            <w:tcW w:w="1084" w:type="dxa"/>
            <w:hideMark/>
          </w:tcPr>
          <w:p w14:paraId="686670DD"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4</w:t>
            </w:r>
          </w:p>
        </w:tc>
        <w:tc>
          <w:tcPr>
            <w:tcW w:w="884" w:type="dxa"/>
            <w:hideMark/>
          </w:tcPr>
          <w:p w14:paraId="3D04C6B2" w14:textId="77777777" w:rsidR="009E48A7" w:rsidRPr="009E48A7" w:rsidRDefault="009E48A7" w:rsidP="009E48A7">
            <w:pPr>
              <w:pStyle w:val="VEOHRCBodytext"/>
              <w:cnfStyle w:val="000000000000" w:firstRow="0" w:lastRow="0" w:firstColumn="0" w:lastColumn="0" w:oddVBand="0" w:evenVBand="0" w:oddHBand="0" w:evenHBand="0" w:firstRowFirstColumn="0" w:firstRowLastColumn="0" w:lastRowFirstColumn="0" w:lastRowLastColumn="0"/>
            </w:pPr>
            <w:r w:rsidRPr="009E48A7">
              <w:t>19</w:t>
            </w:r>
          </w:p>
        </w:tc>
      </w:tr>
      <w:tr w:rsidR="009E48A7" w:rsidRPr="009E48A7" w14:paraId="1465E211" w14:textId="77777777" w:rsidTr="009E48A7">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815" w:type="dxa"/>
            <w:hideMark/>
          </w:tcPr>
          <w:p w14:paraId="7EB4F163" w14:textId="77777777" w:rsidR="009E48A7" w:rsidRPr="009E48A7" w:rsidRDefault="009E48A7" w:rsidP="009E48A7">
            <w:pPr>
              <w:pStyle w:val="VEOHRCBodytext"/>
            </w:pPr>
            <w:r w:rsidRPr="009E48A7">
              <w:t>Total</w:t>
            </w:r>
          </w:p>
        </w:tc>
        <w:tc>
          <w:tcPr>
            <w:tcW w:w="1084" w:type="dxa"/>
            <w:hideMark/>
          </w:tcPr>
          <w:p w14:paraId="7E9D5706"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11823</w:t>
            </w:r>
          </w:p>
        </w:tc>
        <w:tc>
          <w:tcPr>
            <w:tcW w:w="1084" w:type="dxa"/>
            <w:hideMark/>
          </w:tcPr>
          <w:p w14:paraId="75208F51"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11210</w:t>
            </w:r>
          </w:p>
        </w:tc>
        <w:tc>
          <w:tcPr>
            <w:tcW w:w="1084" w:type="dxa"/>
            <w:hideMark/>
          </w:tcPr>
          <w:p w14:paraId="7D27064A"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10675</w:t>
            </w:r>
          </w:p>
        </w:tc>
        <w:tc>
          <w:tcPr>
            <w:tcW w:w="884" w:type="dxa"/>
            <w:hideMark/>
          </w:tcPr>
          <w:p w14:paraId="5D294C6D" w14:textId="77777777" w:rsidR="009E48A7" w:rsidRPr="009E48A7" w:rsidRDefault="009E48A7" w:rsidP="009E48A7">
            <w:pPr>
              <w:pStyle w:val="VEOHRCBodytext"/>
              <w:cnfStyle w:val="000000100000" w:firstRow="0" w:lastRow="0" w:firstColumn="0" w:lastColumn="0" w:oddVBand="0" w:evenVBand="0" w:oddHBand="1" w:evenHBand="0" w:firstRowFirstColumn="0" w:firstRowLastColumn="0" w:lastRowFirstColumn="0" w:lastRowLastColumn="0"/>
            </w:pPr>
            <w:r w:rsidRPr="009E48A7">
              <w:t>33708</w:t>
            </w:r>
          </w:p>
        </w:tc>
      </w:tr>
    </w:tbl>
    <w:p w14:paraId="61A9BFEC" w14:textId="77777777" w:rsidR="009521DC" w:rsidRPr="009521DC" w:rsidRDefault="009521DC" w:rsidP="00B80144">
      <w:pPr>
        <w:pStyle w:val="VEOHRCBodytext"/>
      </w:pPr>
    </w:p>
    <w:p w14:paraId="2A05D26E" w14:textId="77777777" w:rsidR="007756EA" w:rsidRPr="000A4E9B" w:rsidRDefault="007756EA" w:rsidP="00B80144">
      <w:pPr>
        <w:pStyle w:val="VEOHRCBodytext"/>
      </w:pPr>
      <w:bookmarkStart w:id="67" w:name="_Toc495576642"/>
      <w:r>
        <w:rPr>
          <w:noProof/>
          <w:lang w:eastAsia="en-US"/>
        </w:rPr>
        <w:br w:type="page"/>
      </w:r>
    </w:p>
    <w:bookmarkEnd w:id="67"/>
    <w:p w14:paraId="59768ED3" w14:textId="77777777" w:rsidR="009857BC" w:rsidRDefault="009857BC" w:rsidP="00E22EF1">
      <w:pPr>
        <w:pStyle w:val="VEOHRCHeading2"/>
      </w:pPr>
    </w:p>
    <w:p w14:paraId="345207F9" w14:textId="77777777" w:rsidR="00656C7B" w:rsidRDefault="00656C7B" w:rsidP="00E22EF1">
      <w:pPr>
        <w:pStyle w:val="VEOHRCHeading2"/>
      </w:pPr>
    </w:p>
    <w:p w14:paraId="4A08B4B2" w14:textId="77777777" w:rsidR="00656C7B" w:rsidRDefault="00656C7B" w:rsidP="00E22EF1">
      <w:pPr>
        <w:pStyle w:val="VEOHRCHeading2"/>
      </w:pPr>
    </w:p>
    <w:p w14:paraId="4B08F751" w14:textId="77777777" w:rsidR="00656C7B" w:rsidRDefault="00656C7B" w:rsidP="00E22EF1">
      <w:pPr>
        <w:pStyle w:val="VEOHRCHeading2"/>
      </w:pPr>
    </w:p>
    <w:p w14:paraId="793DA476" w14:textId="77777777" w:rsidR="00656C7B" w:rsidRDefault="00656C7B" w:rsidP="00E22EF1">
      <w:pPr>
        <w:pStyle w:val="VEOHRCHeading2"/>
      </w:pPr>
    </w:p>
    <w:p w14:paraId="6F4C78C0" w14:textId="77777777" w:rsidR="005216A6" w:rsidRDefault="005216A6" w:rsidP="00E22EF1">
      <w:pPr>
        <w:pStyle w:val="VEOHRCHeading2"/>
      </w:pPr>
    </w:p>
    <w:p w14:paraId="4CDB2ACB" w14:textId="77777777" w:rsidR="00656C7B" w:rsidRDefault="00656C7B" w:rsidP="00E22EF1">
      <w:pPr>
        <w:pStyle w:val="VEOHRCHeading2"/>
      </w:pPr>
    </w:p>
    <w:p w14:paraId="0F058531" w14:textId="77777777" w:rsidR="00656C7B" w:rsidRDefault="00656C7B" w:rsidP="00E22EF1">
      <w:pPr>
        <w:pStyle w:val="VEOHRCHeading2"/>
      </w:pPr>
    </w:p>
    <w:p w14:paraId="61D35B4D" w14:textId="77777777" w:rsidR="00656C7B" w:rsidRDefault="00656C7B" w:rsidP="00E22EF1">
      <w:pPr>
        <w:pStyle w:val="VEOHRCHeading2"/>
      </w:pPr>
    </w:p>
    <w:p w14:paraId="04628326" w14:textId="77777777" w:rsidR="00656C7B" w:rsidRDefault="00656C7B" w:rsidP="00E22EF1">
      <w:pPr>
        <w:pStyle w:val="VEOHRCHeading2"/>
      </w:pPr>
    </w:p>
    <w:p w14:paraId="524E0B0A" w14:textId="77777777" w:rsidR="00656C7B" w:rsidRDefault="00656C7B" w:rsidP="00E22EF1">
      <w:pPr>
        <w:pStyle w:val="VEOHRCHeading2"/>
      </w:pPr>
    </w:p>
    <w:p w14:paraId="170A6E5B" w14:textId="77777777" w:rsidR="00656C7B" w:rsidRDefault="00656C7B" w:rsidP="00E22EF1">
      <w:pPr>
        <w:pStyle w:val="VEOHRCHeading2"/>
      </w:pPr>
    </w:p>
    <w:p w14:paraId="063845DF" w14:textId="77777777" w:rsidR="00656C7B" w:rsidRDefault="00656C7B" w:rsidP="00E22EF1">
      <w:pPr>
        <w:pStyle w:val="VEOHRCHeading2"/>
      </w:pPr>
    </w:p>
    <w:p w14:paraId="37DD20F4" w14:textId="77777777" w:rsidR="00656C7B" w:rsidRDefault="00656C7B" w:rsidP="00E22EF1">
      <w:pPr>
        <w:pStyle w:val="VEOHRCHeading2"/>
      </w:pPr>
    </w:p>
    <w:p w14:paraId="3945F92C" w14:textId="77777777" w:rsidR="00656C7B" w:rsidRDefault="00656C7B" w:rsidP="00E22EF1">
      <w:pPr>
        <w:pStyle w:val="VEOHRCHeading2"/>
      </w:pPr>
    </w:p>
    <w:p w14:paraId="4C74E03B" w14:textId="77777777" w:rsidR="009857BC" w:rsidRDefault="009857BC" w:rsidP="00E22EF1">
      <w:pPr>
        <w:pStyle w:val="VEOHRCHeading2"/>
      </w:pPr>
    </w:p>
    <w:p w14:paraId="3ACB09B5" w14:textId="77777777" w:rsidR="00B5078A" w:rsidRPr="00107E76" w:rsidRDefault="00F9699A" w:rsidP="00B5078A">
      <w:pPr>
        <w:pStyle w:val="VEOHRCBodytext"/>
      </w:pPr>
      <w:r w:rsidRPr="00302B87">
        <w:rPr>
          <w:noProof/>
          <w:lang w:val="en-AU"/>
        </w:rPr>
        <w:drawing>
          <wp:inline distT="0" distB="0" distL="0" distR="0" wp14:anchorId="5C17CB5A" wp14:editId="17E114A3">
            <wp:extent cx="2161540" cy="581660"/>
            <wp:effectExtent l="0" t="0" r="0" b="8890"/>
            <wp:docPr id="9" name="Picture 9" descr="HRC_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RC__logo_B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1540" cy="581660"/>
                    </a:xfrm>
                    <a:prstGeom prst="rect">
                      <a:avLst/>
                    </a:prstGeom>
                    <a:noFill/>
                    <a:ln>
                      <a:noFill/>
                    </a:ln>
                  </pic:spPr>
                </pic:pic>
              </a:graphicData>
            </a:graphic>
          </wp:inline>
        </w:drawing>
      </w:r>
    </w:p>
    <w:p w14:paraId="1A40292B" w14:textId="77777777" w:rsidR="00B5078A" w:rsidRDefault="00B5078A" w:rsidP="00B5078A">
      <w:pPr>
        <w:pStyle w:val="VEOHRCHeading3"/>
      </w:pPr>
      <w:bookmarkStart w:id="68" w:name="_Toc287949169"/>
    </w:p>
    <w:p w14:paraId="2A7803E1" w14:textId="3BCC6818" w:rsidR="00B5078A" w:rsidRPr="00107E76" w:rsidRDefault="00B5078A" w:rsidP="00B5078A">
      <w:pPr>
        <w:pStyle w:val="VEOHRCHeading3"/>
      </w:pPr>
      <w:r w:rsidRPr="00107E76">
        <w:t>Contact us</w:t>
      </w:r>
      <w:bookmarkEnd w:id="68"/>
    </w:p>
    <w:p w14:paraId="59399D7D" w14:textId="77777777" w:rsidR="00E2047F" w:rsidRPr="000A4E9B" w:rsidRDefault="00B5078A" w:rsidP="00E2047F">
      <w:pPr>
        <w:pStyle w:val="VEOHRCBodytext"/>
      </w:pPr>
      <w:r w:rsidRPr="007514BD">
        <w:t xml:space="preserve">Enquiry Line </w:t>
      </w:r>
      <w:r w:rsidRPr="007514BD">
        <w:tab/>
        <w:t>1300 292 153 or (03) 9032 3583</w:t>
      </w:r>
      <w:r w:rsidRPr="007514BD">
        <w:br/>
        <w:t>Fax</w:t>
      </w:r>
      <w:r w:rsidRPr="007514BD">
        <w:tab/>
        <w:t>1300 891 858</w:t>
      </w:r>
      <w:r w:rsidRPr="007514BD">
        <w:br/>
        <w:t>Hearing impaired (TTY)</w:t>
      </w:r>
      <w:r w:rsidRPr="007514BD">
        <w:tab/>
        <w:t>1300 289 621</w:t>
      </w:r>
      <w:r w:rsidRPr="007514BD">
        <w:br/>
        <w:t>Interpreters</w:t>
      </w:r>
      <w:r w:rsidRPr="007514BD">
        <w:tab/>
        <w:t>1300 152 494</w:t>
      </w:r>
      <w:r w:rsidRPr="007514BD">
        <w:br/>
        <w:t>Email</w:t>
      </w:r>
      <w:r w:rsidRPr="007514BD">
        <w:tab/>
      </w:r>
      <w:hyperlink r:id="rId21" w:history="1">
        <w:r w:rsidRPr="007514BD">
          <w:t>information@veohrc.vic.gov.au</w:t>
        </w:r>
      </w:hyperlink>
      <w:r w:rsidRPr="007514BD">
        <w:br/>
        <w:t>Website</w:t>
      </w:r>
      <w:r w:rsidRPr="007514BD">
        <w:tab/>
      </w:r>
      <w:hyperlink r:id="rId22" w:history="1">
        <w:r w:rsidR="00E2047F" w:rsidRPr="00F77069">
          <w:rPr>
            <w:rStyle w:val="Hyperlink"/>
          </w:rPr>
          <w:t>www.humanrightscommission.vic.gov.au</w:t>
        </w:r>
      </w:hyperlink>
      <w:r w:rsidR="00526B8B">
        <w:t xml:space="preserve"> </w:t>
      </w:r>
      <w:r w:rsidR="00E2047F">
        <w:br/>
      </w:r>
      <w:r w:rsidR="00E2047F" w:rsidRPr="00E2047F">
        <w:t>Follow us on Twitter</w:t>
      </w:r>
      <w:r w:rsidR="00E2047F" w:rsidRPr="00E2047F">
        <w:tab/>
      </w:r>
      <w:hyperlink r:id="rId23" w:history="1">
        <w:r w:rsidR="00E2047F" w:rsidRPr="00F77069">
          <w:rPr>
            <w:rStyle w:val="Hyperlink"/>
          </w:rPr>
          <w:t>www.twitter.com/VEOHRC</w:t>
        </w:r>
      </w:hyperlink>
      <w:r w:rsidR="00E2047F">
        <w:t xml:space="preserve"> </w:t>
      </w:r>
      <w:r w:rsidR="00E2047F" w:rsidRPr="00E2047F">
        <w:br/>
        <w:t>Find us at</w:t>
      </w:r>
      <w:r w:rsidR="00E2047F" w:rsidRPr="00E2047F">
        <w:tab/>
      </w:r>
      <w:hyperlink r:id="rId24" w:history="1">
        <w:r w:rsidR="00E2047F" w:rsidRPr="00F77069">
          <w:rPr>
            <w:rStyle w:val="Hyperlink"/>
          </w:rPr>
          <w:t>www.facebook.com/VEOHRC</w:t>
        </w:r>
      </w:hyperlink>
      <w:r w:rsidR="00E2047F" w:rsidRPr="000A4E9B">
        <w:t xml:space="preserve"> </w:t>
      </w:r>
    </w:p>
    <w:p w14:paraId="125B9A95" w14:textId="77777777" w:rsidR="00B5078A" w:rsidRPr="00107E76" w:rsidRDefault="00B5078A" w:rsidP="000A4E9B">
      <w:pPr>
        <w:pStyle w:val="VEOHRCChapterTitle"/>
      </w:pPr>
    </w:p>
    <w:p w14:paraId="5F45F542" w14:textId="7908A11F" w:rsidR="00BC7857" w:rsidRDefault="00B5078A" w:rsidP="000A4E9B">
      <w:pPr>
        <w:pStyle w:val="VEOHRCChapterTitle"/>
      </w:pPr>
      <w:bookmarkStart w:id="69" w:name="_Toc516668703"/>
      <w:bookmarkStart w:id="70" w:name="_Toc524536500"/>
      <w:r w:rsidRPr="00107E76">
        <w:t>humanrightscommission.vic.gov.au</w:t>
      </w:r>
      <w:bookmarkEnd w:id="69"/>
      <w:bookmarkEnd w:id="70"/>
    </w:p>
    <w:sectPr w:rsidR="00BC7857" w:rsidSect="00925C48">
      <w:headerReference w:type="even" r:id="rId25"/>
      <w:headerReference w:type="default" r:id="rId26"/>
      <w:footerReference w:type="default" r:id="rId27"/>
      <w:headerReference w:type="first" r:id="rId28"/>
      <w:pgSz w:w="11906" w:h="16838" w:code="9"/>
      <w:pgMar w:top="851" w:right="1418" w:bottom="1187" w:left="1418" w:header="709" w:footer="53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A26552" w14:textId="77777777" w:rsidR="00A750B1" w:rsidRDefault="00A750B1">
      <w:r>
        <w:separator/>
      </w:r>
    </w:p>
    <w:p w14:paraId="4D15BDB3" w14:textId="77777777" w:rsidR="00A750B1" w:rsidRDefault="00A750B1"/>
  </w:endnote>
  <w:endnote w:type="continuationSeparator" w:id="0">
    <w:p w14:paraId="72E7C9BD" w14:textId="77777777" w:rsidR="00A750B1" w:rsidRDefault="00A750B1">
      <w:r>
        <w:continuationSeparator/>
      </w:r>
    </w:p>
    <w:p w14:paraId="41334CB3" w14:textId="77777777" w:rsidR="00A750B1" w:rsidRDefault="00A750B1"/>
  </w:endnote>
  <w:endnote w:type="continuationNotice" w:id="1">
    <w:p w14:paraId="1EEFD06E" w14:textId="77777777" w:rsidR="00A750B1" w:rsidRDefault="00A750B1"/>
    <w:p w14:paraId="711BC07C" w14:textId="77777777" w:rsidR="00A750B1" w:rsidRDefault="00A750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Frutiger 55 Roman">
    <w:panose1 w:val="00000000000000000000"/>
    <w:charset w:val="00"/>
    <w:family w:val="swiss"/>
    <w:notTrueType/>
    <w:pitch w:val="variable"/>
    <w:sig w:usb0="00000003" w:usb1="00000000" w:usb2="00000000" w:usb3="00000000" w:csb0="00000001" w:csb1="00000000"/>
  </w:font>
  <w:font w:name="Frutiger 45 Light">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cript MT Bold">
    <w:altName w:val="Zapfino"/>
    <w:charset w:val="00"/>
    <w:family w:val="script"/>
    <w:pitch w:val="variable"/>
    <w:sig w:usb0="00000003" w:usb1="00000000" w:usb2="00000000" w:usb3="00000000" w:csb0="00000001" w:csb1="00000000"/>
  </w:font>
  <w:font w:name="ArialMT">
    <w:altName w:val="Arial"/>
    <w:charset w:val="00"/>
    <w:family w:val="auto"/>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Book">
    <w:altName w:val="Franklin Gothic Medium"/>
    <w:charset w:val="00"/>
    <w:family w:val="auto"/>
    <w:pitch w:val="variable"/>
    <w:sig w:usb0="00000001" w:usb1="00000000" w:usb2="00000000" w:usb3="00000000" w:csb0="0000009F" w:csb1="00000000"/>
  </w:font>
  <w:font w:name="Arial MT Light">
    <w:altName w:val="Malgun Gothic"/>
    <w:charset w:val="00"/>
    <w:family w:val="auto"/>
    <w:pitch w:val="variable"/>
    <w:sig w:usb0="00000003" w:usb1="00000000" w:usb2="00000000" w:usb3="00000000" w:csb0="00000001" w:csb1="00000000"/>
  </w:font>
  <w:font w:name="Roboto">
    <w:charset w:val="00"/>
    <w:family w:val="auto"/>
    <w:pitch w:val="variable"/>
    <w:sig w:usb0="E00002FF" w:usb1="5000205B" w:usb2="0000002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MT-Medium">
    <w:altName w:val="Arial MT Medium"/>
    <w:charset w:val="00"/>
    <w:family w:val="auto"/>
    <w:pitch w:val="variable"/>
    <w:sig w:usb0="00000003" w:usb1="00000000" w:usb2="00000000" w:usb3="00000000" w:csb0="00000001" w:csb1="00000000"/>
  </w:font>
  <w:font w:name="ArialMT-Light">
    <w:altName w:val="Arial MT Light"/>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26EEA" w14:textId="77777777" w:rsidR="00082543" w:rsidRDefault="00082543" w:rsidP="008822C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55FF45" w14:textId="77777777" w:rsidR="00082543" w:rsidRDefault="00082543" w:rsidP="00924B4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53BDD" w14:textId="77777777" w:rsidR="00082543" w:rsidRPr="00924B42" w:rsidRDefault="00082543" w:rsidP="008822C1">
    <w:pPr>
      <w:pStyle w:val="Footer"/>
      <w:framePr w:wrap="none" w:vAnchor="text" w:hAnchor="margin" w:xAlign="right" w:y="1"/>
      <w:rPr>
        <w:rStyle w:val="PageNumber"/>
        <w:sz w:val="18"/>
        <w:szCs w:val="18"/>
      </w:rPr>
    </w:pPr>
    <w:r w:rsidRPr="00924B42">
      <w:rPr>
        <w:rStyle w:val="PageNumber"/>
        <w:sz w:val="18"/>
        <w:szCs w:val="18"/>
      </w:rPr>
      <w:fldChar w:fldCharType="begin"/>
    </w:r>
    <w:r w:rsidRPr="00924B42">
      <w:rPr>
        <w:rStyle w:val="PageNumber"/>
        <w:sz w:val="18"/>
        <w:szCs w:val="18"/>
      </w:rPr>
      <w:instrText xml:space="preserve">PAGE  </w:instrText>
    </w:r>
    <w:r w:rsidRPr="00924B42">
      <w:rPr>
        <w:rStyle w:val="PageNumber"/>
        <w:sz w:val="18"/>
        <w:szCs w:val="18"/>
      </w:rPr>
      <w:fldChar w:fldCharType="separate"/>
    </w:r>
    <w:r w:rsidR="0098018E">
      <w:rPr>
        <w:rStyle w:val="PageNumber"/>
        <w:noProof/>
        <w:sz w:val="18"/>
        <w:szCs w:val="18"/>
      </w:rPr>
      <w:t>3</w:t>
    </w:r>
    <w:r w:rsidRPr="00924B42">
      <w:rPr>
        <w:rStyle w:val="PageNumber"/>
        <w:sz w:val="18"/>
        <w:szCs w:val="18"/>
      </w:rPr>
      <w:fldChar w:fldCharType="end"/>
    </w:r>
  </w:p>
  <w:p w14:paraId="7D665A28" w14:textId="7FB037B4" w:rsidR="00082543" w:rsidRPr="00924B42" w:rsidRDefault="00082543" w:rsidP="00924B42">
    <w:pPr>
      <w:pStyle w:val="Footer"/>
      <w:tabs>
        <w:tab w:val="clear" w:pos="4153"/>
        <w:tab w:val="clear" w:pos="8306"/>
        <w:tab w:val="left" w:pos="1139"/>
      </w:tabs>
      <w:ind w:right="360"/>
      <w:rPr>
        <w:sz w:val="18"/>
        <w:szCs w:val="18"/>
      </w:rPr>
    </w:pPr>
    <w:r w:rsidRPr="00924B42">
      <w:rPr>
        <w:rFonts w:cs="Arial"/>
        <w:i/>
        <w:sz w:val="18"/>
        <w:szCs w:val="18"/>
      </w:rPr>
      <w:t xml:space="preserve">Victorian Equal Opportunity and Human Rights Commission Annual Report </w:t>
    </w:r>
    <w:r>
      <w:rPr>
        <w:rFonts w:cs="Arial"/>
        <w:i/>
        <w:sz w:val="18"/>
        <w:szCs w:val="18"/>
      </w:rPr>
      <w:t>2017–18</w:t>
    </w:r>
    <w:r w:rsidRPr="00924B42">
      <w:rPr>
        <w:sz w:val="18"/>
        <w:szCs w:val="18"/>
      </w:rPr>
      <w:tab/>
    </w:r>
    <w:r w:rsidRPr="00924B42">
      <w:rPr>
        <w:sz w:val="18"/>
        <w:szCs w:val="18"/>
      </w:rPr>
      <w:tab/>
    </w:r>
    <w:r w:rsidRPr="00924B42">
      <w:rPr>
        <w:sz w:val="18"/>
        <w:szCs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81706" w14:textId="47C3BD5A" w:rsidR="00082543" w:rsidRPr="00DB69DF" w:rsidRDefault="00082543" w:rsidP="00DB69DF">
    <w:pPr>
      <w:pStyle w:val="Footer"/>
      <w:tabs>
        <w:tab w:val="clear" w:pos="4153"/>
        <w:tab w:val="clear" w:pos="8306"/>
        <w:tab w:val="left" w:pos="1139"/>
      </w:tabs>
      <w:ind w:right="360"/>
      <w:rPr>
        <w:sz w:val="18"/>
        <w:szCs w:val="18"/>
      </w:rPr>
    </w:pPr>
    <w:r w:rsidRPr="00924B42">
      <w:rPr>
        <w:rFonts w:cs="Arial"/>
        <w:i/>
        <w:sz w:val="18"/>
        <w:szCs w:val="18"/>
      </w:rPr>
      <w:t xml:space="preserve">Victorian Equal Opportunity and Human Rights Commission Annual Report </w:t>
    </w:r>
    <w:r>
      <w:rPr>
        <w:rFonts w:cs="Arial"/>
        <w:i/>
        <w:sz w:val="18"/>
        <w:szCs w:val="18"/>
      </w:rPr>
      <w:t>2017-18</w:t>
    </w:r>
    <w:r>
      <w:rPr>
        <w:rFonts w:cs="Arial"/>
        <w:i/>
        <w:sz w:val="18"/>
        <w:szCs w:val="18"/>
      </w:rPr>
      <w:tab/>
    </w:r>
    <w:r>
      <w:rPr>
        <w:rFonts w:cs="Arial"/>
        <w:i/>
        <w:sz w:val="18"/>
        <w:szCs w:val="18"/>
      </w:rPr>
      <w:tab/>
    </w:r>
    <w:r w:rsidRPr="00BD79E3">
      <w:rPr>
        <w:rFonts w:cs="Arial"/>
        <w:sz w:val="18"/>
        <w:szCs w:val="18"/>
      </w:rPr>
      <w:t xml:space="preserve"> </w:t>
    </w:r>
    <w:r w:rsidRPr="00BD79E3">
      <w:rPr>
        <w:rStyle w:val="PageNumber"/>
        <w:rFonts w:cs="Arial"/>
        <w:sz w:val="18"/>
        <w:szCs w:val="18"/>
      </w:rPr>
      <w:fldChar w:fldCharType="begin"/>
    </w:r>
    <w:r w:rsidRPr="00BD79E3">
      <w:rPr>
        <w:rStyle w:val="PageNumber"/>
        <w:rFonts w:cs="Arial"/>
        <w:sz w:val="18"/>
        <w:szCs w:val="18"/>
      </w:rPr>
      <w:instrText xml:space="preserve"> PAGE </w:instrText>
    </w:r>
    <w:r w:rsidRPr="00BD79E3">
      <w:rPr>
        <w:rStyle w:val="PageNumber"/>
        <w:rFonts w:cs="Arial"/>
        <w:sz w:val="18"/>
        <w:szCs w:val="18"/>
      </w:rPr>
      <w:fldChar w:fldCharType="separate"/>
    </w:r>
    <w:r w:rsidR="0098018E">
      <w:rPr>
        <w:rStyle w:val="PageNumber"/>
        <w:rFonts w:cs="Arial"/>
        <w:noProof/>
        <w:sz w:val="18"/>
        <w:szCs w:val="18"/>
      </w:rPr>
      <w:t>51</w:t>
    </w:r>
    <w:r w:rsidRPr="00BD79E3">
      <w:rPr>
        <w:rStyle w:val="PageNumber"/>
        <w:rFonts w:cs="Arial"/>
        <w:sz w:val="18"/>
        <w:szCs w:val="18"/>
      </w:rPr>
      <w:fldChar w:fldCharType="end"/>
    </w:r>
  </w:p>
  <w:p w14:paraId="3D8CE6BA" w14:textId="77777777" w:rsidR="00082543" w:rsidRDefault="0008254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568088" w14:textId="77777777" w:rsidR="00A750B1" w:rsidRDefault="00A750B1">
      <w:r>
        <w:separator/>
      </w:r>
    </w:p>
    <w:p w14:paraId="148DD459" w14:textId="77777777" w:rsidR="00A750B1" w:rsidRDefault="00A750B1"/>
  </w:footnote>
  <w:footnote w:type="continuationSeparator" w:id="0">
    <w:p w14:paraId="597FA5B6" w14:textId="77777777" w:rsidR="00A750B1" w:rsidRDefault="00A750B1">
      <w:r>
        <w:continuationSeparator/>
      </w:r>
    </w:p>
    <w:p w14:paraId="11050FC3" w14:textId="77777777" w:rsidR="00A750B1" w:rsidRDefault="00A750B1"/>
  </w:footnote>
  <w:footnote w:type="continuationNotice" w:id="1">
    <w:p w14:paraId="7BB81FFC" w14:textId="77777777" w:rsidR="00A750B1" w:rsidRDefault="00A750B1"/>
    <w:p w14:paraId="61AFF524" w14:textId="77777777" w:rsidR="00A750B1" w:rsidRDefault="00A750B1"/>
  </w:footnote>
  <w:footnote w:id="2">
    <w:p w14:paraId="73EF3E2A" w14:textId="77777777" w:rsidR="00082543" w:rsidRPr="00465E00" w:rsidRDefault="00082543" w:rsidP="0099606F">
      <w:pPr>
        <w:pStyle w:val="FootnoteText"/>
        <w:rPr>
          <w:i/>
        </w:rPr>
      </w:pPr>
      <w:r>
        <w:rPr>
          <w:rStyle w:val="FootnoteReference"/>
        </w:rPr>
        <w:footnoteRef/>
      </w:r>
      <w:r>
        <w:t xml:space="preserve"> The three Acts governing the work of the Victorian Equal Opportunity and Human Rights Commission are the </w:t>
      </w:r>
      <w:r>
        <w:rPr>
          <w:i/>
        </w:rPr>
        <w:t>Equal Opportunity Act 2010</w:t>
      </w:r>
      <w:r>
        <w:t xml:space="preserve">; </w:t>
      </w:r>
      <w:r>
        <w:rPr>
          <w:i/>
        </w:rPr>
        <w:t>Charter of Human Rights and Responsibilities Act 2006</w:t>
      </w:r>
      <w:r>
        <w:t xml:space="preserve">; and the </w:t>
      </w:r>
      <w:r>
        <w:rPr>
          <w:i/>
        </w:rPr>
        <w:t>Racial and Religious Tolerance Act 2001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8BAA4" w14:textId="280C8735" w:rsidR="00082543" w:rsidRDefault="000825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895FD" w14:textId="77777777" w:rsidR="00082543" w:rsidRDefault="00082543">
    <w:pPr>
      <w:pStyle w:val="Header"/>
    </w:pPr>
  </w:p>
  <w:p w14:paraId="09103A8D" w14:textId="77777777" w:rsidR="00082543" w:rsidRDefault="0008254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13EE1" w14:textId="77777777" w:rsidR="00082543" w:rsidRDefault="00082543">
    <w:pPr>
      <w:pStyle w:val="Header"/>
    </w:pPr>
  </w:p>
  <w:p w14:paraId="01DA648F" w14:textId="77777777" w:rsidR="00082543" w:rsidRDefault="0008254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4F48C" w14:textId="77777777" w:rsidR="00082543" w:rsidRDefault="000825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14A440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556DFF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EA0B84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98638B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DA0FF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1AF6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9CA1B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23CA98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B00B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72024FE"/>
    <w:lvl w:ilvl="0">
      <w:numFmt w:val="bullet"/>
      <w:pStyle w:val="VEOHRCListBullet2ndlevel"/>
      <w:lvlText w:val="-"/>
      <w:lvlJc w:val="left"/>
      <w:pPr>
        <w:tabs>
          <w:tab w:val="num" w:pos="720"/>
        </w:tabs>
        <w:ind w:left="720" w:hanging="360"/>
      </w:pPr>
      <w:rPr>
        <w:rFonts w:ascii="Arial" w:eastAsia="Times New Roman" w:hAnsi="Arial" w:cs="Arial" w:hint="default"/>
      </w:rPr>
    </w:lvl>
  </w:abstractNum>
  <w:abstractNum w:abstractNumId="10" w15:restartNumberingAfterBreak="0">
    <w:nsid w:val="05541522"/>
    <w:multiLevelType w:val="hybridMultilevel"/>
    <w:tmpl w:val="D23CC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9A0703A"/>
    <w:multiLevelType w:val="hybridMultilevel"/>
    <w:tmpl w:val="80E69102"/>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ACD1C38"/>
    <w:multiLevelType w:val="multilevel"/>
    <w:tmpl w:val="1C067092"/>
    <w:lvl w:ilvl="0">
      <w:start w:val="1"/>
      <w:numFmt w:val="bullet"/>
      <w:pStyle w:val="Bullet"/>
      <w:lvlText w:val=""/>
      <w:lvlJc w:val="left"/>
      <w:pPr>
        <w:tabs>
          <w:tab w:val="num" w:pos="644"/>
        </w:tabs>
        <w:ind w:left="644" w:hanging="360"/>
      </w:pPr>
      <w:rPr>
        <w:rFonts w:ascii="Symbol" w:hAnsi="Symbol" w:hint="default"/>
      </w:rPr>
    </w:lvl>
    <w:lvl w:ilvl="1" w:tentative="1">
      <w:start w:val="1"/>
      <w:numFmt w:val="bullet"/>
      <w:lvlText w:val="o"/>
      <w:lvlJc w:val="left"/>
      <w:pPr>
        <w:tabs>
          <w:tab w:val="num" w:pos="1724"/>
        </w:tabs>
        <w:ind w:left="1724" w:hanging="360"/>
      </w:pPr>
      <w:rPr>
        <w:rFonts w:ascii="Courier New" w:hAnsi="Courier New" w:hint="default"/>
      </w:rPr>
    </w:lvl>
    <w:lvl w:ilvl="2" w:tentative="1">
      <w:start w:val="1"/>
      <w:numFmt w:val="bullet"/>
      <w:lvlText w:val=""/>
      <w:lvlJc w:val="left"/>
      <w:pPr>
        <w:tabs>
          <w:tab w:val="num" w:pos="2444"/>
        </w:tabs>
        <w:ind w:left="2444" w:hanging="360"/>
      </w:pPr>
      <w:rPr>
        <w:rFonts w:ascii="Wingdings" w:hAnsi="Wingdings" w:hint="default"/>
      </w:rPr>
    </w:lvl>
    <w:lvl w:ilvl="3" w:tentative="1">
      <w:start w:val="1"/>
      <w:numFmt w:val="bullet"/>
      <w:lvlText w:val=""/>
      <w:lvlJc w:val="left"/>
      <w:pPr>
        <w:tabs>
          <w:tab w:val="num" w:pos="3164"/>
        </w:tabs>
        <w:ind w:left="3164" w:hanging="360"/>
      </w:pPr>
      <w:rPr>
        <w:rFonts w:ascii="Symbol" w:hAnsi="Symbol" w:hint="default"/>
      </w:rPr>
    </w:lvl>
    <w:lvl w:ilvl="4" w:tentative="1">
      <w:start w:val="1"/>
      <w:numFmt w:val="bullet"/>
      <w:lvlText w:val="o"/>
      <w:lvlJc w:val="left"/>
      <w:pPr>
        <w:tabs>
          <w:tab w:val="num" w:pos="3884"/>
        </w:tabs>
        <w:ind w:left="3884" w:hanging="360"/>
      </w:pPr>
      <w:rPr>
        <w:rFonts w:ascii="Courier New" w:hAnsi="Courier New" w:hint="default"/>
      </w:rPr>
    </w:lvl>
    <w:lvl w:ilvl="5" w:tentative="1">
      <w:start w:val="1"/>
      <w:numFmt w:val="bullet"/>
      <w:lvlText w:val=""/>
      <w:lvlJc w:val="left"/>
      <w:pPr>
        <w:tabs>
          <w:tab w:val="num" w:pos="4604"/>
        </w:tabs>
        <w:ind w:left="4604" w:hanging="360"/>
      </w:pPr>
      <w:rPr>
        <w:rFonts w:ascii="Wingdings" w:hAnsi="Wingdings" w:hint="default"/>
      </w:rPr>
    </w:lvl>
    <w:lvl w:ilvl="6" w:tentative="1">
      <w:start w:val="1"/>
      <w:numFmt w:val="bullet"/>
      <w:lvlText w:val=""/>
      <w:lvlJc w:val="left"/>
      <w:pPr>
        <w:tabs>
          <w:tab w:val="num" w:pos="5324"/>
        </w:tabs>
        <w:ind w:left="5324" w:hanging="360"/>
      </w:pPr>
      <w:rPr>
        <w:rFonts w:ascii="Symbol" w:hAnsi="Symbol" w:hint="default"/>
      </w:rPr>
    </w:lvl>
    <w:lvl w:ilvl="7" w:tentative="1">
      <w:start w:val="1"/>
      <w:numFmt w:val="bullet"/>
      <w:lvlText w:val="o"/>
      <w:lvlJc w:val="left"/>
      <w:pPr>
        <w:tabs>
          <w:tab w:val="num" w:pos="6044"/>
        </w:tabs>
        <w:ind w:left="6044" w:hanging="360"/>
      </w:pPr>
      <w:rPr>
        <w:rFonts w:ascii="Courier New" w:hAnsi="Courier New" w:hint="default"/>
      </w:rPr>
    </w:lvl>
    <w:lvl w:ilvl="8"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0B37663B"/>
    <w:multiLevelType w:val="hybridMultilevel"/>
    <w:tmpl w:val="6920757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0DB342DB"/>
    <w:multiLevelType w:val="hybridMultilevel"/>
    <w:tmpl w:val="7F1E21DC"/>
    <w:lvl w:ilvl="0" w:tplc="03A29D64">
      <w:start w:val="1"/>
      <w:numFmt w:val="bullet"/>
      <w:pStyle w:val="TableText-List3"/>
      <w:lvlText w:val=""/>
      <w:lvlJc w:val="left"/>
      <w:pPr>
        <w:tabs>
          <w:tab w:val="num" w:pos="425"/>
        </w:tabs>
        <w:ind w:left="425" w:hanging="141"/>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E062B06"/>
    <w:multiLevelType w:val="multilevel"/>
    <w:tmpl w:val="6DDE58B8"/>
    <w:lvl w:ilvl="0">
      <w:start w:val="1"/>
      <w:numFmt w:val="decimal"/>
      <w:lvlText w:val="%1."/>
      <w:lvlJc w:val="left"/>
      <w:pPr>
        <w:tabs>
          <w:tab w:val="num" w:pos="720"/>
        </w:tabs>
        <w:ind w:left="720" w:hanging="360"/>
      </w:pPr>
      <w:rPr>
        <w:rFonts w:hint="default"/>
      </w:rPr>
    </w:lvl>
    <w:lvl w:ilvl="1">
      <w:start w:val="1"/>
      <w:numFmt w:val="lowerLetter"/>
      <w:pStyle w:val="VEOHRCletterlist"/>
      <w:lvlText w:val="%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6" w15:restartNumberingAfterBreak="0">
    <w:nsid w:val="0E6270DA"/>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0FA4290A"/>
    <w:multiLevelType w:val="hybridMultilevel"/>
    <w:tmpl w:val="49A0D0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5F915CD"/>
    <w:multiLevelType w:val="hybridMultilevel"/>
    <w:tmpl w:val="0A00E00C"/>
    <w:lvl w:ilvl="0" w:tplc="4B5EC29C">
      <w:start w:val="1"/>
      <w:numFmt w:val="bullet"/>
      <w:pStyle w:val="BodyText-List-RestrictedRelease"/>
      <w:lvlText w:val=""/>
      <w:lvlJc w:val="left"/>
      <w:pPr>
        <w:tabs>
          <w:tab w:val="num" w:pos="720"/>
        </w:tabs>
        <w:ind w:left="720" w:hanging="360"/>
      </w:pPr>
      <w:rPr>
        <w:rFonts w:ascii="Symbol" w:hAnsi="Symbol" w:hint="default"/>
        <w:color w:val="auto"/>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9FF05CF"/>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A072B55"/>
    <w:multiLevelType w:val="multilevel"/>
    <w:tmpl w:val="36CEEAB6"/>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1" w15:restartNumberingAfterBreak="0">
    <w:nsid w:val="1D811B41"/>
    <w:multiLevelType w:val="multilevel"/>
    <w:tmpl w:val="518604D6"/>
    <w:lvl w:ilvl="0">
      <w:start w:val="1"/>
      <w:numFmt w:val="bullet"/>
      <w:pStyle w:val="Bullet2"/>
      <w:lvlText w:val="~"/>
      <w:lvlJc w:val="left"/>
      <w:pPr>
        <w:tabs>
          <w:tab w:val="num" w:pos="927"/>
        </w:tabs>
        <w:ind w:left="927" w:hanging="360"/>
      </w:pPr>
      <w:rPr>
        <w:rFonts w:hAnsi="Arial" w:hint="default"/>
      </w:rPr>
    </w:lvl>
    <w:lvl w:ilvl="1">
      <w:start w:val="1"/>
      <w:numFmt w:val="bullet"/>
      <w:pStyle w:val="bullet3"/>
      <w:lvlText w:val=""/>
      <w:lvlJc w:val="left"/>
      <w:pPr>
        <w:tabs>
          <w:tab w:val="num" w:pos="2007"/>
        </w:tabs>
        <w:ind w:left="2007" w:hanging="360"/>
      </w:pPr>
      <w:rPr>
        <w:rFonts w:ascii="Symbol" w:hAnsi="Symbol"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21B72C27"/>
    <w:multiLevelType w:val="multilevel"/>
    <w:tmpl w:val="D49860B2"/>
    <w:lvl w:ilvl="0">
      <w:start w:val="1"/>
      <w:numFmt w:val="decimal"/>
      <w:lvlRestart w:val="0"/>
      <w:pStyle w:val="Table-Number"/>
      <w:lvlText w:val="%1"/>
      <w:lvlJc w:val="left"/>
      <w:pPr>
        <w:tabs>
          <w:tab w:val="num" w:pos="283"/>
        </w:tabs>
        <w:ind w:left="283" w:hanging="283"/>
      </w:pPr>
      <w:rPr>
        <w:rFonts w:ascii="Verdana" w:hAnsi="Verdana" w:hint="default"/>
        <w:b w:val="0"/>
        <w:i w:val="0"/>
        <w:sz w:val="18"/>
      </w:rPr>
    </w:lvl>
    <w:lvl w:ilvl="1">
      <w:start w:val="1"/>
      <w:numFmt w:val="lowerLetter"/>
      <w:pStyle w:val="TableText-List-Level1"/>
      <w:lvlText w:val="%2)"/>
      <w:lvlJc w:val="left"/>
      <w:pPr>
        <w:tabs>
          <w:tab w:val="num" w:pos="283"/>
        </w:tabs>
        <w:ind w:left="283" w:hanging="283"/>
      </w:pPr>
      <w:rPr>
        <w:rFonts w:ascii="Verdana" w:hAnsi="Verdana" w:hint="default"/>
      </w:rPr>
    </w:lvl>
    <w:lvl w:ilvl="2">
      <w:start w:val="1"/>
      <w:numFmt w:val="lowerRoman"/>
      <w:pStyle w:val="TableText-List-Level2"/>
      <w:lvlText w:val="%3"/>
      <w:lvlJc w:val="left"/>
      <w:pPr>
        <w:tabs>
          <w:tab w:val="num" w:pos="567"/>
        </w:tabs>
        <w:ind w:left="567" w:hanging="284"/>
      </w:pPr>
      <w:rPr>
        <w:rFonts w:ascii="Verdana" w:hAnsi="Verdana" w:hint="default"/>
      </w:rPr>
    </w:lvl>
    <w:lvl w:ilvl="3">
      <w:start w:val="1"/>
      <w:numFmt w:val="decimal"/>
      <w:lvlText w:val="%1.%2.%3.%4."/>
      <w:lvlJc w:val="left"/>
      <w:pPr>
        <w:tabs>
          <w:tab w:val="num" w:pos="2160"/>
        </w:tabs>
        <w:ind w:left="1729" w:hanging="652"/>
      </w:pPr>
      <w:rPr>
        <w:rFonts w:ascii="Verdana" w:hAnsi="Verdana" w:hint="default"/>
      </w:rPr>
    </w:lvl>
    <w:lvl w:ilvl="4">
      <w:start w:val="1"/>
      <w:numFmt w:val="decimal"/>
      <w:lvlText w:val="%1.%2.%3.%4.%5."/>
      <w:lvlJc w:val="left"/>
      <w:pPr>
        <w:tabs>
          <w:tab w:val="num" w:pos="2517"/>
        </w:tabs>
        <w:ind w:left="2234" w:hanging="794"/>
      </w:pPr>
      <w:rPr>
        <w:rFonts w:ascii="Verdana" w:hAnsi="Verdana" w:hint="default"/>
      </w:rPr>
    </w:lvl>
    <w:lvl w:ilvl="5">
      <w:start w:val="1"/>
      <w:numFmt w:val="decimal"/>
      <w:lvlText w:val="%1.%2.%3.%4.%5.%6."/>
      <w:lvlJc w:val="left"/>
      <w:pPr>
        <w:tabs>
          <w:tab w:val="num" w:pos="3237"/>
        </w:tabs>
        <w:ind w:left="2738" w:hanging="941"/>
      </w:pPr>
      <w:rPr>
        <w:rFonts w:ascii="Verdana" w:hAnsi="Verdana" w:hint="default"/>
      </w:rPr>
    </w:lvl>
    <w:lvl w:ilvl="6">
      <w:start w:val="1"/>
      <w:numFmt w:val="decimal"/>
      <w:lvlText w:val="%1.%2.%3.%4.%5.%6.%7."/>
      <w:lvlJc w:val="left"/>
      <w:pPr>
        <w:tabs>
          <w:tab w:val="num" w:pos="3957"/>
        </w:tabs>
        <w:ind w:left="3237" w:hanging="1077"/>
      </w:pPr>
      <w:rPr>
        <w:rFonts w:ascii="Verdana" w:hAnsi="Verdana" w:hint="default"/>
      </w:rPr>
    </w:lvl>
    <w:lvl w:ilvl="7">
      <w:start w:val="1"/>
      <w:numFmt w:val="decimal"/>
      <w:lvlText w:val="%1.%2.%3.%4.%5.%6.%7.%8."/>
      <w:lvlJc w:val="left"/>
      <w:pPr>
        <w:tabs>
          <w:tab w:val="num" w:pos="4320"/>
        </w:tabs>
        <w:ind w:left="3742" w:hanging="1225"/>
      </w:pPr>
      <w:rPr>
        <w:rFonts w:ascii="Verdana" w:hAnsi="Verdana" w:hint="default"/>
      </w:rPr>
    </w:lvl>
    <w:lvl w:ilvl="8">
      <w:start w:val="1"/>
      <w:numFmt w:val="decimal"/>
      <w:lvlText w:val="%1.%2.%3.%4.%5.%6.%7.%8.%9."/>
      <w:lvlJc w:val="left"/>
      <w:pPr>
        <w:tabs>
          <w:tab w:val="num" w:pos="5040"/>
        </w:tabs>
        <w:ind w:left="4320" w:hanging="1440"/>
      </w:pPr>
      <w:rPr>
        <w:rFonts w:ascii="Verdana" w:hAnsi="Verdana" w:hint="default"/>
      </w:rPr>
    </w:lvl>
  </w:abstractNum>
  <w:abstractNum w:abstractNumId="23" w15:restartNumberingAfterBreak="0">
    <w:nsid w:val="22281366"/>
    <w:multiLevelType w:val="hybridMultilevel"/>
    <w:tmpl w:val="ED2C472C"/>
    <w:lvl w:ilvl="0" w:tplc="73501DA0">
      <w:start w:val="1"/>
      <w:numFmt w:val="decimal"/>
      <w:lvlText w:val="%1."/>
      <w:lvlJc w:val="left"/>
      <w:pPr>
        <w:tabs>
          <w:tab w:val="num" w:pos="720"/>
        </w:tabs>
        <w:ind w:left="720" w:hanging="360"/>
      </w:pPr>
    </w:lvl>
    <w:lvl w:ilvl="1" w:tplc="014E52AE" w:tentative="1">
      <w:start w:val="1"/>
      <w:numFmt w:val="lowerLetter"/>
      <w:lvlText w:val="%2."/>
      <w:lvlJc w:val="left"/>
      <w:pPr>
        <w:tabs>
          <w:tab w:val="num" w:pos="1440"/>
        </w:tabs>
        <w:ind w:left="1440" w:hanging="360"/>
      </w:pPr>
    </w:lvl>
    <w:lvl w:ilvl="2" w:tplc="2F1820CE">
      <w:start w:val="1"/>
      <w:numFmt w:val="lowerRoman"/>
      <w:pStyle w:val="Handoutdotlist1"/>
      <w:lvlText w:val="%3."/>
      <w:lvlJc w:val="right"/>
      <w:pPr>
        <w:tabs>
          <w:tab w:val="num" w:pos="2340"/>
        </w:tabs>
        <w:ind w:left="2340" w:hanging="360"/>
      </w:pPr>
    </w:lvl>
    <w:lvl w:ilvl="3" w:tplc="D97E4378" w:tentative="1">
      <w:start w:val="1"/>
      <w:numFmt w:val="decimal"/>
      <w:lvlText w:val="%4."/>
      <w:lvlJc w:val="left"/>
      <w:pPr>
        <w:tabs>
          <w:tab w:val="num" w:pos="2880"/>
        </w:tabs>
        <w:ind w:left="2880" w:hanging="360"/>
      </w:pPr>
    </w:lvl>
    <w:lvl w:ilvl="4" w:tplc="A8EE5D0E" w:tentative="1">
      <w:start w:val="1"/>
      <w:numFmt w:val="lowerLetter"/>
      <w:lvlText w:val="%5."/>
      <w:lvlJc w:val="left"/>
      <w:pPr>
        <w:tabs>
          <w:tab w:val="num" w:pos="3600"/>
        </w:tabs>
        <w:ind w:left="3600" w:hanging="360"/>
      </w:pPr>
    </w:lvl>
    <w:lvl w:ilvl="5" w:tplc="54745AD6" w:tentative="1">
      <w:start w:val="1"/>
      <w:numFmt w:val="lowerRoman"/>
      <w:lvlText w:val="%6."/>
      <w:lvlJc w:val="right"/>
      <w:pPr>
        <w:tabs>
          <w:tab w:val="num" w:pos="4320"/>
        </w:tabs>
        <w:ind w:left="4320" w:hanging="180"/>
      </w:pPr>
    </w:lvl>
    <w:lvl w:ilvl="6" w:tplc="3D1CE1D4" w:tentative="1">
      <w:start w:val="1"/>
      <w:numFmt w:val="decimal"/>
      <w:lvlText w:val="%7."/>
      <w:lvlJc w:val="left"/>
      <w:pPr>
        <w:tabs>
          <w:tab w:val="num" w:pos="5040"/>
        </w:tabs>
        <w:ind w:left="5040" w:hanging="360"/>
      </w:pPr>
    </w:lvl>
    <w:lvl w:ilvl="7" w:tplc="3CEA2746" w:tentative="1">
      <w:start w:val="1"/>
      <w:numFmt w:val="lowerLetter"/>
      <w:lvlText w:val="%8."/>
      <w:lvlJc w:val="left"/>
      <w:pPr>
        <w:tabs>
          <w:tab w:val="num" w:pos="5760"/>
        </w:tabs>
        <w:ind w:left="5760" w:hanging="360"/>
      </w:pPr>
    </w:lvl>
    <w:lvl w:ilvl="8" w:tplc="ED30F2C6" w:tentative="1">
      <w:start w:val="1"/>
      <w:numFmt w:val="lowerRoman"/>
      <w:lvlText w:val="%9."/>
      <w:lvlJc w:val="right"/>
      <w:pPr>
        <w:tabs>
          <w:tab w:val="num" w:pos="6480"/>
        </w:tabs>
        <w:ind w:left="6480" w:hanging="180"/>
      </w:pPr>
    </w:lvl>
  </w:abstractNum>
  <w:abstractNum w:abstractNumId="24" w15:restartNumberingAfterBreak="0">
    <w:nsid w:val="25C53C8B"/>
    <w:multiLevelType w:val="multilevel"/>
    <w:tmpl w:val="91525E22"/>
    <w:lvl w:ilvl="0">
      <w:start w:val="1"/>
      <w:numFmt w:val="decimal"/>
      <w:lvlText w:val="%1."/>
      <w:lvlJc w:val="left"/>
      <w:pPr>
        <w:tabs>
          <w:tab w:val="num" w:pos="567"/>
        </w:tabs>
        <w:ind w:left="567" w:hanging="567"/>
      </w:pPr>
    </w:lvl>
    <w:lvl w:ilvl="1">
      <w:start w:val="1"/>
      <w:numFmt w:val="bullet"/>
      <w:pStyle w:val="bullets"/>
      <w:lvlText w:val=""/>
      <w:lvlJc w:val="left"/>
      <w:pPr>
        <w:tabs>
          <w:tab w:val="num" w:pos="927"/>
        </w:tabs>
        <w:ind w:left="720" w:hanging="153"/>
      </w:pPr>
      <w:rPr>
        <w:rFonts w:ascii="Wingdings" w:hAnsi="Wingding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28114D51"/>
    <w:multiLevelType w:val="hybridMultilevel"/>
    <w:tmpl w:val="A0DCA972"/>
    <w:lvl w:ilvl="0" w:tplc="7C8C868A">
      <w:start w:val="1"/>
      <w:numFmt w:val="bullet"/>
      <w:pStyle w:val="Titlepagecontentslist1"/>
      <w:lvlText w:val=""/>
      <w:lvlJc w:val="left"/>
      <w:pPr>
        <w:tabs>
          <w:tab w:val="num" w:pos="417"/>
        </w:tabs>
        <w:ind w:left="340" w:hanging="283"/>
      </w:pPr>
      <w:rPr>
        <w:rFonts w:ascii="Symbol" w:hAnsi="Symbol" w:hint="default"/>
      </w:rPr>
    </w:lvl>
    <w:lvl w:ilvl="1" w:tplc="ED30EB64">
      <w:start w:val="1"/>
      <w:numFmt w:val="bullet"/>
      <w:lvlText w:val="o"/>
      <w:lvlJc w:val="left"/>
      <w:pPr>
        <w:tabs>
          <w:tab w:val="num" w:pos="2177"/>
        </w:tabs>
        <w:ind w:left="2177" w:hanging="360"/>
      </w:pPr>
      <w:rPr>
        <w:rFonts w:ascii="Courier New" w:hAnsi="Courier New" w:hint="default"/>
      </w:rPr>
    </w:lvl>
    <w:lvl w:ilvl="2" w:tplc="E1B8EEF6" w:tentative="1">
      <w:start w:val="1"/>
      <w:numFmt w:val="bullet"/>
      <w:lvlText w:val=""/>
      <w:lvlJc w:val="left"/>
      <w:pPr>
        <w:tabs>
          <w:tab w:val="num" w:pos="2897"/>
        </w:tabs>
        <w:ind w:left="2897" w:hanging="360"/>
      </w:pPr>
      <w:rPr>
        <w:rFonts w:ascii="Wingdings" w:hAnsi="Wingdings" w:hint="default"/>
      </w:rPr>
    </w:lvl>
    <w:lvl w:ilvl="3" w:tplc="0BA40A56" w:tentative="1">
      <w:start w:val="1"/>
      <w:numFmt w:val="bullet"/>
      <w:lvlText w:val=""/>
      <w:lvlJc w:val="left"/>
      <w:pPr>
        <w:tabs>
          <w:tab w:val="num" w:pos="3617"/>
        </w:tabs>
        <w:ind w:left="3617" w:hanging="360"/>
      </w:pPr>
      <w:rPr>
        <w:rFonts w:ascii="Symbol" w:hAnsi="Symbol" w:hint="default"/>
      </w:rPr>
    </w:lvl>
    <w:lvl w:ilvl="4" w:tplc="C32E4BB6" w:tentative="1">
      <w:start w:val="1"/>
      <w:numFmt w:val="bullet"/>
      <w:lvlText w:val="o"/>
      <w:lvlJc w:val="left"/>
      <w:pPr>
        <w:tabs>
          <w:tab w:val="num" w:pos="4337"/>
        </w:tabs>
        <w:ind w:left="4337" w:hanging="360"/>
      </w:pPr>
      <w:rPr>
        <w:rFonts w:ascii="Courier New" w:hAnsi="Courier New" w:hint="default"/>
      </w:rPr>
    </w:lvl>
    <w:lvl w:ilvl="5" w:tplc="0B2CF636" w:tentative="1">
      <w:start w:val="1"/>
      <w:numFmt w:val="bullet"/>
      <w:lvlText w:val=""/>
      <w:lvlJc w:val="left"/>
      <w:pPr>
        <w:tabs>
          <w:tab w:val="num" w:pos="5057"/>
        </w:tabs>
        <w:ind w:left="5057" w:hanging="360"/>
      </w:pPr>
      <w:rPr>
        <w:rFonts w:ascii="Wingdings" w:hAnsi="Wingdings" w:hint="default"/>
      </w:rPr>
    </w:lvl>
    <w:lvl w:ilvl="6" w:tplc="09D20EC0" w:tentative="1">
      <w:start w:val="1"/>
      <w:numFmt w:val="bullet"/>
      <w:lvlText w:val=""/>
      <w:lvlJc w:val="left"/>
      <w:pPr>
        <w:tabs>
          <w:tab w:val="num" w:pos="5777"/>
        </w:tabs>
        <w:ind w:left="5777" w:hanging="360"/>
      </w:pPr>
      <w:rPr>
        <w:rFonts w:ascii="Symbol" w:hAnsi="Symbol" w:hint="default"/>
      </w:rPr>
    </w:lvl>
    <w:lvl w:ilvl="7" w:tplc="38EE4F6E" w:tentative="1">
      <w:start w:val="1"/>
      <w:numFmt w:val="bullet"/>
      <w:lvlText w:val="o"/>
      <w:lvlJc w:val="left"/>
      <w:pPr>
        <w:tabs>
          <w:tab w:val="num" w:pos="6497"/>
        </w:tabs>
        <w:ind w:left="6497" w:hanging="360"/>
      </w:pPr>
      <w:rPr>
        <w:rFonts w:ascii="Courier New" w:hAnsi="Courier New" w:hint="default"/>
      </w:rPr>
    </w:lvl>
    <w:lvl w:ilvl="8" w:tplc="C86431E4" w:tentative="1">
      <w:start w:val="1"/>
      <w:numFmt w:val="bullet"/>
      <w:lvlText w:val=""/>
      <w:lvlJc w:val="left"/>
      <w:pPr>
        <w:tabs>
          <w:tab w:val="num" w:pos="7217"/>
        </w:tabs>
        <w:ind w:left="7217" w:hanging="360"/>
      </w:pPr>
      <w:rPr>
        <w:rFonts w:ascii="Wingdings" w:hAnsi="Wingdings" w:hint="default"/>
      </w:rPr>
    </w:lvl>
  </w:abstractNum>
  <w:abstractNum w:abstractNumId="26" w15:restartNumberingAfterBreak="0">
    <w:nsid w:val="28922093"/>
    <w:multiLevelType w:val="hybridMultilevel"/>
    <w:tmpl w:val="DAC44DC2"/>
    <w:lvl w:ilvl="0" w:tplc="59F8EBB4">
      <w:start w:val="1"/>
      <w:numFmt w:val="bullet"/>
      <w:pStyle w:val="TableText-List-Nolinespacing"/>
      <w:lvlText w:val=""/>
      <w:lvlJc w:val="left"/>
      <w:pPr>
        <w:tabs>
          <w:tab w:val="num" w:pos="142"/>
        </w:tabs>
        <w:ind w:left="142" w:hanging="142"/>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9E85E8A"/>
    <w:multiLevelType w:val="hybridMultilevel"/>
    <w:tmpl w:val="0444F09C"/>
    <w:lvl w:ilvl="0" w:tplc="0409000F">
      <w:start w:val="1"/>
      <w:numFmt w:val="decimal"/>
      <w:lvlText w:val="%1."/>
      <w:lvlJc w:val="left"/>
      <w:pPr>
        <w:ind w:left="720" w:hanging="360"/>
      </w:pPr>
      <w:rPr>
        <w:rFonts w:cs="Times New Roman" w:hint="default"/>
      </w:rPr>
    </w:lvl>
    <w:lvl w:ilvl="1" w:tplc="457E764C">
      <w:start w:val="1"/>
      <w:numFmt w:val="lowerRoman"/>
      <w:pStyle w:val="VEOHRCRomannumberlist"/>
      <w:lvlText w:val="%2)"/>
      <w:lvlJc w:val="left"/>
      <w:pPr>
        <w:tabs>
          <w:tab w:val="num" w:pos="1995"/>
        </w:tabs>
        <w:ind w:left="1995" w:hanging="915"/>
      </w:pPr>
      <w:rPr>
        <w:rFonts w:hint="default"/>
      </w:rPr>
    </w:lvl>
    <w:lvl w:ilvl="2" w:tplc="0C090019">
      <w:start w:val="1"/>
      <w:numFmt w:val="lowerLetter"/>
      <w:lvlText w:val="%3."/>
      <w:lvlJc w:val="left"/>
      <w:pPr>
        <w:tabs>
          <w:tab w:val="num" w:pos="2340"/>
        </w:tabs>
        <w:ind w:left="2340" w:hanging="360"/>
      </w:pPr>
      <w:rPr>
        <w:rFonts w:hint="default"/>
      </w:rPr>
    </w:lvl>
    <w:lvl w:ilvl="3" w:tplc="45CC0D7C">
      <w:start w:val="1"/>
      <w:numFmt w:val="decimal"/>
      <w:lvlText w:val="%4"/>
      <w:lvlJc w:val="left"/>
      <w:pPr>
        <w:tabs>
          <w:tab w:val="num" w:pos="2880"/>
        </w:tabs>
        <w:ind w:left="2880" w:hanging="360"/>
      </w:pPr>
      <w:rPr>
        <w:rFonts w:hint="default"/>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2E0B282B"/>
    <w:multiLevelType w:val="hybridMultilevel"/>
    <w:tmpl w:val="854E7CB6"/>
    <w:lvl w:ilvl="0" w:tplc="249E12BE">
      <w:start w:val="1"/>
      <w:numFmt w:val="decimal"/>
      <w:pStyle w:val="VEOHRCNumberedlist"/>
      <w:lvlText w:val="%1."/>
      <w:lvlJc w:val="left"/>
      <w:pPr>
        <w:ind w:left="720"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2E3D1375"/>
    <w:multiLevelType w:val="hybridMultilevel"/>
    <w:tmpl w:val="30D4C086"/>
    <w:lvl w:ilvl="0" w:tplc="F290283E">
      <w:start w:val="1"/>
      <w:numFmt w:val="bullet"/>
      <w:pStyle w:val="VEOHRCListBullet"/>
      <w:lvlText w:val=""/>
      <w:lvlJc w:val="left"/>
      <w:pPr>
        <w:tabs>
          <w:tab w:val="num" w:pos="360"/>
        </w:tabs>
        <w:ind w:left="360" w:hanging="360"/>
      </w:pPr>
      <w:rPr>
        <w:rFonts w:ascii="Symbol" w:hAnsi="Symbol" w:hint="default"/>
      </w:rPr>
    </w:lvl>
    <w:lvl w:ilvl="1" w:tplc="2C6A4A6C">
      <w:start w:val="1"/>
      <w:numFmt w:val="bullet"/>
      <w:lvlText w:val="o"/>
      <w:lvlJc w:val="left"/>
      <w:pPr>
        <w:tabs>
          <w:tab w:val="num" w:pos="1440"/>
        </w:tabs>
        <w:ind w:left="1440" w:hanging="360"/>
      </w:pPr>
      <w:rPr>
        <w:rFonts w:ascii="Courier New" w:hAnsi="Courier New" w:cs="Courier New" w:hint="default"/>
      </w:rPr>
    </w:lvl>
    <w:lvl w:ilvl="2" w:tplc="76BA1B42" w:tentative="1">
      <w:start w:val="1"/>
      <w:numFmt w:val="bullet"/>
      <w:lvlText w:val=""/>
      <w:lvlJc w:val="left"/>
      <w:pPr>
        <w:tabs>
          <w:tab w:val="num" w:pos="2160"/>
        </w:tabs>
        <w:ind w:left="2160" w:hanging="360"/>
      </w:pPr>
      <w:rPr>
        <w:rFonts w:ascii="Wingdings" w:hAnsi="Wingdings" w:hint="default"/>
      </w:rPr>
    </w:lvl>
    <w:lvl w:ilvl="3" w:tplc="15F0E9EE" w:tentative="1">
      <w:start w:val="1"/>
      <w:numFmt w:val="bullet"/>
      <w:lvlText w:val=""/>
      <w:lvlJc w:val="left"/>
      <w:pPr>
        <w:tabs>
          <w:tab w:val="num" w:pos="2880"/>
        </w:tabs>
        <w:ind w:left="2880" w:hanging="360"/>
      </w:pPr>
      <w:rPr>
        <w:rFonts w:ascii="Symbol" w:hAnsi="Symbol" w:hint="default"/>
      </w:rPr>
    </w:lvl>
    <w:lvl w:ilvl="4" w:tplc="11A2F7D8" w:tentative="1">
      <w:start w:val="1"/>
      <w:numFmt w:val="bullet"/>
      <w:lvlText w:val="o"/>
      <w:lvlJc w:val="left"/>
      <w:pPr>
        <w:tabs>
          <w:tab w:val="num" w:pos="3600"/>
        </w:tabs>
        <w:ind w:left="3600" w:hanging="360"/>
      </w:pPr>
      <w:rPr>
        <w:rFonts w:ascii="Courier New" w:hAnsi="Courier New" w:cs="Courier New" w:hint="default"/>
      </w:rPr>
    </w:lvl>
    <w:lvl w:ilvl="5" w:tplc="D51E70EE" w:tentative="1">
      <w:start w:val="1"/>
      <w:numFmt w:val="bullet"/>
      <w:lvlText w:val=""/>
      <w:lvlJc w:val="left"/>
      <w:pPr>
        <w:tabs>
          <w:tab w:val="num" w:pos="4320"/>
        </w:tabs>
        <w:ind w:left="4320" w:hanging="360"/>
      </w:pPr>
      <w:rPr>
        <w:rFonts w:ascii="Wingdings" w:hAnsi="Wingdings" w:hint="default"/>
      </w:rPr>
    </w:lvl>
    <w:lvl w:ilvl="6" w:tplc="CC46155A" w:tentative="1">
      <w:start w:val="1"/>
      <w:numFmt w:val="bullet"/>
      <w:lvlText w:val=""/>
      <w:lvlJc w:val="left"/>
      <w:pPr>
        <w:tabs>
          <w:tab w:val="num" w:pos="5040"/>
        </w:tabs>
        <w:ind w:left="5040" w:hanging="360"/>
      </w:pPr>
      <w:rPr>
        <w:rFonts w:ascii="Symbol" w:hAnsi="Symbol" w:hint="default"/>
      </w:rPr>
    </w:lvl>
    <w:lvl w:ilvl="7" w:tplc="715424AC" w:tentative="1">
      <w:start w:val="1"/>
      <w:numFmt w:val="bullet"/>
      <w:lvlText w:val="o"/>
      <w:lvlJc w:val="left"/>
      <w:pPr>
        <w:tabs>
          <w:tab w:val="num" w:pos="5760"/>
        </w:tabs>
        <w:ind w:left="5760" w:hanging="360"/>
      </w:pPr>
      <w:rPr>
        <w:rFonts w:ascii="Courier New" w:hAnsi="Courier New" w:cs="Courier New" w:hint="default"/>
      </w:rPr>
    </w:lvl>
    <w:lvl w:ilvl="8" w:tplc="39CA80F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E9B2156"/>
    <w:multiLevelType w:val="singleLevel"/>
    <w:tmpl w:val="FC10802C"/>
    <w:lvl w:ilvl="0">
      <w:start w:val="1"/>
      <w:numFmt w:val="bullet"/>
      <w:pStyle w:val="BodyText-List"/>
      <w:lvlText w:val=""/>
      <w:lvlJc w:val="left"/>
      <w:pPr>
        <w:tabs>
          <w:tab w:val="num" w:pos="1418"/>
        </w:tabs>
        <w:ind w:left="1418" w:hanging="567"/>
      </w:pPr>
      <w:rPr>
        <w:rFonts w:ascii="Symbol" w:hAnsi="Symbol" w:hint="default"/>
        <w:color w:val="auto"/>
        <w:sz w:val="18"/>
      </w:rPr>
    </w:lvl>
  </w:abstractNum>
  <w:abstractNum w:abstractNumId="31" w15:restartNumberingAfterBreak="0">
    <w:nsid w:val="32B04E30"/>
    <w:multiLevelType w:val="hybridMultilevel"/>
    <w:tmpl w:val="BBEAAF48"/>
    <w:lvl w:ilvl="0" w:tplc="0944D490">
      <w:start w:val="1"/>
      <w:numFmt w:val="bullet"/>
      <w:pStyle w:val="TableText-ListIndent"/>
      <w:lvlText w:val=""/>
      <w:lvlJc w:val="left"/>
      <w:pPr>
        <w:tabs>
          <w:tab w:val="num" w:pos="284"/>
        </w:tabs>
        <w:ind w:left="284" w:hanging="142"/>
      </w:pPr>
      <w:rPr>
        <w:rFonts w:ascii="Symbol" w:hAnsi="Symbol" w:hint="default"/>
        <w:color w:val="auto"/>
        <w:sz w:val="12"/>
      </w:rPr>
    </w:lvl>
    <w:lvl w:ilvl="1" w:tplc="2886EB30" w:tentative="1">
      <w:start w:val="1"/>
      <w:numFmt w:val="bullet"/>
      <w:lvlText w:val="o"/>
      <w:lvlJc w:val="left"/>
      <w:pPr>
        <w:tabs>
          <w:tab w:val="num" w:pos="1440"/>
        </w:tabs>
        <w:ind w:left="1440" w:hanging="360"/>
      </w:pPr>
      <w:rPr>
        <w:rFonts w:ascii="Courier New" w:hAnsi="Courier New" w:cs="Courier New" w:hint="default"/>
      </w:rPr>
    </w:lvl>
    <w:lvl w:ilvl="2" w:tplc="2AF2D676" w:tentative="1">
      <w:start w:val="1"/>
      <w:numFmt w:val="bullet"/>
      <w:lvlText w:val=""/>
      <w:lvlJc w:val="left"/>
      <w:pPr>
        <w:tabs>
          <w:tab w:val="num" w:pos="2160"/>
        </w:tabs>
        <w:ind w:left="2160" w:hanging="360"/>
      </w:pPr>
      <w:rPr>
        <w:rFonts w:ascii="Wingdings" w:hAnsi="Wingdings" w:hint="default"/>
      </w:rPr>
    </w:lvl>
    <w:lvl w:ilvl="3" w:tplc="FB50DF4E" w:tentative="1">
      <w:start w:val="1"/>
      <w:numFmt w:val="bullet"/>
      <w:lvlText w:val=""/>
      <w:lvlJc w:val="left"/>
      <w:pPr>
        <w:tabs>
          <w:tab w:val="num" w:pos="2880"/>
        </w:tabs>
        <w:ind w:left="2880" w:hanging="360"/>
      </w:pPr>
      <w:rPr>
        <w:rFonts w:ascii="Symbol" w:hAnsi="Symbol" w:hint="default"/>
      </w:rPr>
    </w:lvl>
    <w:lvl w:ilvl="4" w:tplc="5266A9BC" w:tentative="1">
      <w:start w:val="1"/>
      <w:numFmt w:val="bullet"/>
      <w:lvlText w:val="o"/>
      <w:lvlJc w:val="left"/>
      <w:pPr>
        <w:tabs>
          <w:tab w:val="num" w:pos="3600"/>
        </w:tabs>
        <w:ind w:left="3600" w:hanging="360"/>
      </w:pPr>
      <w:rPr>
        <w:rFonts w:ascii="Courier New" w:hAnsi="Courier New" w:cs="Courier New" w:hint="default"/>
      </w:rPr>
    </w:lvl>
    <w:lvl w:ilvl="5" w:tplc="22F45E0C" w:tentative="1">
      <w:start w:val="1"/>
      <w:numFmt w:val="bullet"/>
      <w:lvlText w:val=""/>
      <w:lvlJc w:val="left"/>
      <w:pPr>
        <w:tabs>
          <w:tab w:val="num" w:pos="4320"/>
        </w:tabs>
        <w:ind w:left="4320" w:hanging="360"/>
      </w:pPr>
      <w:rPr>
        <w:rFonts w:ascii="Wingdings" w:hAnsi="Wingdings" w:hint="default"/>
      </w:rPr>
    </w:lvl>
    <w:lvl w:ilvl="6" w:tplc="6F021A26" w:tentative="1">
      <w:start w:val="1"/>
      <w:numFmt w:val="bullet"/>
      <w:lvlText w:val=""/>
      <w:lvlJc w:val="left"/>
      <w:pPr>
        <w:tabs>
          <w:tab w:val="num" w:pos="5040"/>
        </w:tabs>
        <w:ind w:left="5040" w:hanging="360"/>
      </w:pPr>
      <w:rPr>
        <w:rFonts w:ascii="Symbol" w:hAnsi="Symbol" w:hint="default"/>
      </w:rPr>
    </w:lvl>
    <w:lvl w:ilvl="7" w:tplc="909E8448" w:tentative="1">
      <w:start w:val="1"/>
      <w:numFmt w:val="bullet"/>
      <w:lvlText w:val="o"/>
      <w:lvlJc w:val="left"/>
      <w:pPr>
        <w:tabs>
          <w:tab w:val="num" w:pos="5760"/>
        </w:tabs>
        <w:ind w:left="5760" w:hanging="360"/>
      </w:pPr>
      <w:rPr>
        <w:rFonts w:ascii="Courier New" w:hAnsi="Courier New" w:cs="Courier New" w:hint="default"/>
      </w:rPr>
    </w:lvl>
    <w:lvl w:ilvl="8" w:tplc="2FBEFA5C"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39C2ED9"/>
    <w:multiLevelType w:val="multilevel"/>
    <w:tmpl w:val="1F682A28"/>
    <w:styleLink w:val="Headings"/>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3" w15:restartNumberingAfterBreak="0">
    <w:nsid w:val="3DF17F8F"/>
    <w:multiLevelType w:val="hybridMultilevel"/>
    <w:tmpl w:val="C4B2776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3E837903"/>
    <w:multiLevelType w:val="hybridMultilevel"/>
    <w:tmpl w:val="BACE058A"/>
    <w:lvl w:ilvl="0" w:tplc="0B5C2C74">
      <w:start w:val="1"/>
      <w:numFmt w:val="bullet"/>
      <w:pStyle w:val="BodyText-List-Indent"/>
      <w:lvlText w:val=""/>
      <w:lvlJc w:val="left"/>
      <w:pPr>
        <w:tabs>
          <w:tab w:val="num" w:pos="1985"/>
        </w:tabs>
        <w:ind w:left="1985" w:hanging="567"/>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ECE1F1A"/>
    <w:multiLevelType w:val="hybridMultilevel"/>
    <w:tmpl w:val="183E646A"/>
    <w:lvl w:ilvl="0" w:tplc="FFFFFFFF">
      <w:start w:val="1"/>
      <w:numFmt w:val="bullet"/>
      <w:pStyle w:val="Figure-List"/>
      <w:lvlText w:val=""/>
      <w:lvlJc w:val="left"/>
      <w:pPr>
        <w:tabs>
          <w:tab w:val="num" w:pos="360"/>
        </w:tabs>
        <w:ind w:left="227" w:hanging="227"/>
      </w:pPr>
      <w:rPr>
        <w:rFonts w:ascii="Wingdings" w:hAnsi="Wingdings"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3B336B0"/>
    <w:multiLevelType w:val="multilevel"/>
    <w:tmpl w:val="B8261A2A"/>
    <w:lvl w:ilvl="0">
      <w:start w:val="1"/>
      <w:numFmt w:val="decimal"/>
      <w:lvlRestart w:val="0"/>
      <w:pStyle w:val="Level1-Heading"/>
      <w:lvlText w:val="%1."/>
      <w:lvlJc w:val="left"/>
      <w:pPr>
        <w:tabs>
          <w:tab w:val="num" w:pos="850"/>
        </w:tabs>
        <w:ind w:left="850" w:hanging="850"/>
      </w:pPr>
      <w:rPr>
        <w:rFonts w:ascii="Verdana" w:hAnsi="Verdana" w:hint="default"/>
        <w:b/>
        <w:i w:val="0"/>
        <w:sz w:val="20"/>
      </w:rPr>
    </w:lvl>
    <w:lvl w:ilvl="1">
      <w:start w:val="1"/>
      <w:numFmt w:val="decimal"/>
      <w:pStyle w:val="Level2-Heading"/>
      <w:lvlText w:val="%1.%2"/>
      <w:lvlJc w:val="left"/>
      <w:pPr>
        <w:tabs>
          <w:tab w:val="num" w:pos="850"/>
        </w:tabs>
        <w:ind w:left="850" w:hanging="850"/>
      </w:pPr>
      <w:rPr>
        <w:rFonts w:ascii="Verdana" w:hAnsi="Verdana" w:hint="default"/>
        <w:b/>
        <w:i w:val="0"/>
        <w:sz w:val="20"/>
      </w:rPr>
    </w:lvl>
    <w:lvl w:ilvl="2">
      <w:start w:val="1"/>
      <w:numFmt w:val="decimal"/>
      <w:pStyle w:val="Level3-Heading"/>
      <w:lvlText w:val="%1.%2.%3"/>
      <w:lvlJc w:val="left"/>
      <w:pPr>
        <w:tabs>
          <w:tab w:val="num" w:pos="850"/>
        </w:tabs>
        <w:ind w:left="850" w:hanging="850"/>
      </w:pPr>
      <w:rPr>
        <w:rFonts w:ascii="Verdana" w:hAnsi="Verdana" w:hint="default"/>
        <w:b w:val="0"/>
        <w:i w:val="0"/>
        <w:sz w:val="20"/>
      </w:rPr>
    </w:lvl>
    <w:lvl w:ilvl="3">
      <w:start w:val="1"/>
      <w:numFmt w:val="decimal"/>
      <w:pStyle w:val="Level4-Heading"/>
      <w:lvlText w:val="%1.%2.%3.%4"/>
      <w:lvlJc w:val="left"/>
      <w:pPr>
        <w:tabs>
          <w:tab w:val="num" w:pos="850"/>
        </w:tabs>
        <w:ind w:left="850" w:hanging="850"/>
      </w:pPr>
      <w:rPr>
        <w:rFonts w:ascii="Verdana" w:hAnsi="Verdana" w:hint="default"/>
        <w:b w:val="0"/>
        <w:i w:val="0"/>
        <w:sz w:val="20"/>
      </w:rPr>
    </w:lvl>
    <w:lvl w:ilvl="4">
      <w:start w:val="1"/>
      <w:numFmt w:val="lowerLetter"/>
      <w:pStyle w:val="LevelBody1-a"/>
      <w:lvlText w:val="(%5)"/>
      <w:lvlJc w:val="left"/>
      <w:pPr>
        <w:tabs>
          <w:tab w:val="num" w:pos="1417"/>
        </w:tabs>
        <w:ind w:left="1417" w:hanging="567"/>
      </w:pPr>
      <w:rPr>
        <w:rFonts w:ascii="Verdana" w:hAnsi="Verdana" w:hint="default"/>
        <w:b w:val="0"/>
        <w:i w:val="0"/>
        <w:sz w:val="20"/>
      </w:rPr>
    </w:lvl>
    <w:lvl w:ilvl="5">
      <w:start w:val="1"/>
      <w:numFmt w:val="lowerRoman"/>
      <w:pStyle w:val="LevelBody2-i"/>
      <w:lvlText w:val="(%6)"/>
      <w:lvlJc w:val="left"/>
      <w:pPr>
        <w:tabs>
          <w:tab w:val="num" w:pos="1984"/>
        </w:tabs>
        <w:ind w:left="1984" w:hanging="567"/>
      </w:pPr>
      <w:rPr>
        <w:rFonts w:ascii="Verdana" w:hAnsi="Verdana" w:hint="default"/>
        <w:b w:val="0"/>
        <w:i w:val="0"/>
        <w:sz w:val="20"/>
      </w:rPr>
    </w:lvl>
    <w:lvl w:ilvl="6">
      <w:start w:val="1"/>
      <w:numFmt w:val="upperLetter"/>
      <w:pStyle w:val="LevelBody3-A"/>
      <w:lvlText w:val="(%7)"/>
      <w:lvlJc w:val="left"/>
      <w:pPr>
        <w:tabs>
          <w:tab w:val="num" w:pos="2551"/>
        </w:tabs>
        <w:ind w:left="2551" w:hanging="567"/>
      </w:pPr>
      <w:rPr>
        <w:rFonts w:ascii="Verdana" w:hAnsi="Verdana" w:hint="default"/>
      </w:rPr>
    </w:lvl>
    <w:lvl w:ilvl="7">
      <w:start w:val="1"/>
      <w:numFmt w:val="upperRoman"/>
      <w:pStyle w:val="LevelBody4-I"/>
      <w:lvlText w:val="(%8)"/>
      <w:lvlJc w:val="left"/>
      <w:pPr>
        <w:tabs>
          <w:tab w:val="num" w:pos="3118"/>
        </w:tabs>
        <w:ind w:left="3118" w:hanging="567"/>
      </w:pPr>
      <w:rPr>
        <w:rFonts w:ascii="Verdana" w:hAnsi="Verdana" w:hint="default"/>
      </w:rPr>
    </w:lvl>
    <w:lvl w:ilvl="8">
      <w:start w:val="1"/>
      <w:numFmt w:val="none"/>
      <w:suff w:val="nothing"/>
      <w:lvlText w:val=""/>
      <w:lvlJc w:val="left"/>
      <w:pPr>
        <w:ind w:left="0" w:firstLine="0"/>
      </w:pPr>
      <w:rPr>
        <w:rFonts w:ascii="Verdana" w:hAnsi="Verdana" w:hint="default"/>
      </w:rPr>
    </w:lvl>
  </w:abstractNum>
  <w:abstractNum w:abstractNumId="37" w15:restartNumberingAfterBreak="0">
    <w:nsid w:val="53E13826"/>
    <w:multiLevelType w:val="hybridMultilevel"/>
    <w:tmpl w:val="7486A0AC"/>
    <w:lvl w:ilvl="0" w:tplc="8AE86358">
      <w:start w:val="1"/>
      <w:numFmt w:val="bullet"/>
      <w:pStyle w:val="Bullet1Tightlessspacing"/>
      <w:lvlText w:val=""/>
      <w:lvlJc w:val="left"/>
      <w:pPr>
        <w:ind w:left="1080" w:hanging="360"/>
      </w:pPr>
      <w:rPr>
        <w:rFonts w:ascii="Symbol" w:hAnsi="Symbol" w:hint="default"/>
        <w:color w:val="E26E00"/>
        <w:sz w:val="18"/>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5ED02300"/>
    <w:multiLevelType w:val="hybridMultilevel"/>
    <w:tmpl w:val="E90C0874"/>
    <w:lvl w:ilvl="0" w:tplc="58DE90D8">
      <w:start w:val="1"/>
      <w:numFmt w:val="decimal"/>
      <w:pStyle w:val="TableText-numbers"/>
      <w:lvlText w:val="%1."/>
      <w:lvlJc w:val="left"/>
      <w:pPr>
        <w:tabs>
          <w:tab w:val="num" w:pos="360"/>
        </w:tabs>
        <w:ind w:left="284" w:hanging="284"/>
      </w:pPr>
    </w:lvl>
    <w:lvl w:ilvl="1" w:tplc="0C090003">
      <w:start w:val="1"/>
      <w:numFmt w:val="bullet"/>
      <w:lvlText w:val=""/>
      <w:lvlJc w:val="left"/>
      <w:pPr>
        <w:tabs>
          <w:tab w:val="num" w:pos="288"/>
        </w:tabs>
        <w:ind w:left="360" w:hanging="360"/>
      </w:pPr>
      <w:rPr>
        <w:rFonts w:ascii="Symbol" w:hAnsi="Symbol" w:hint="default"/>
      </w:r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39" w15:restartNumberingAfterBreak="0">
    <w:nsid w:val="5F686764"/>
    <w:multiLevelType w:val="hybridMultilevel"/>
    <w:tmpl w:val="8FBA7F5E"/>
    <w:lvl w:ilvl="0" w:tplc="CC7650DC">
      <w:start w:val="1"/>
      <w:numFmt w:val="bullet"/>
      <w:pStyle w:val="TableText-List"/>
      <w:lvlText w:val=""/>
      <w:lvlJc w:val="left"/>
      <w:pPr>
        <w:tabs>
          <w:tab w:val="num" w:pos="142"/>
        </w:tabs>
        <w:ind w:left="142" w:hanging="142"/>
      </w:pPr>
      <w:rPr>
        <w:rFonts w:ascii="Wingdings" w:hAnsi="Wingdings" w:hint="default"/>
      </w:rPr>
    </w:lvl>
    <w:lvl w:ilvl="1" w:tplc="0F78D536">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2C27C10"/>
    <w:multiLevelType w:val="hybridMultilevel"/>
    <w:tmpl w:val="6E0EB2DE"/>
    <w:lvl w:ilvl="0" w:tplc="5E707B34">
      <w:start w:val="9"/>
      <w:numFmt w:val="bullet"/>
      <w:pStyle w:val="Titlepagecontentslistindented"/>
      <w:lvlText w:val="-"/>
      <w:lvlJc w:val="left"/>
      <w:pPr>
        <w:tabs>
          <w:tab w:val="num" w:pos="1040"/>
        </w:tabs>
        <w:ind w:left="1040" w:hanging="360"/>
      </w:pPr>
      <w:rPr>
        <w:rFonts w:ascii="Times New Roman" w:eastAsia="Times New Roman" w:hAnsi="Times New Roman" w:cs="Times New Roman" w:hint="default"/>
      </w:rPr>
    </w:lvl>
    <w:lvl w:ilvl="1" w:tplc="FFFFFFFF" w:tentative="1">
      <w:start w:val="1"/>
      <w:numFmt w:val="bullet"/>
      <w:lvlText w:val="o"/>
      <w:lvlJc w:val="left"/>
      <w:pPr>
        <w:tabs>
          <w:tab w:val="num" w:pos="1760"/>
        </w:tabs>
        <w:ind w:left="1760" w:hanging="360"/>
      </w:pPr>
      <w:rPr>
        <w:rFonts w:ascii="Courier New" w:hAnsi="Courier New" w:hint="default"/>
      </w:rPr>
    </w:lvl>
    <w:lvl w:ilvl="2" w:tplc="FFFFFFFF" w:tentative="1">
      <w:start w:val="1"/>
      <w:numFmt w:val="bullet"/>
      <w:lvlText w:val=""/>
      <w:lvlJc w:val="left"/>
      <w:pPr>
        <w:tabs>
          <w:tab w:val="num" w:pos="2480"/>
        </w:tabs>
        <w:ind w:left="2480" w:hanging="360"/>
      </w:pPr>
      <w:rPr>
        <w:rFonts w:ascii="Wingdings" w:hAnsi="Wingdings" w:hint="default"/>
      </w:rPr>
    </w:lvl>
    <w:lvl w:ilvl="3" w:tplc="FFFFFFFF" w:tentative="1">
      <w:start w:val="1"/>
      <w:numFmt w:val="bullet"/>
      <w:lvlText w:val=""/>
      <w:lvlJc w:val="left"/>
      <w:pPr>
        <w:tabs>
          <w:tab w:val="num" w:pos="3200"/>
        </w:tabs>
        <w:ind w:left="3200" w:hanging="360"/>
      </w:pPr>
      <w:rPr>
        <w:rFonts w:ascii="Symbol" w:hAnsi="Symbol" w:hint="default"/>
      </w:rPr>
    </w:lvl>
    <w:lvl w:ilvl="4" w:tplc="FFFFFFFF" w:tentative="1">
      <w:start w:val="1"/>
      <w:numFmt w:val="bullet"/>
      <w:lvlText w:val="o"/>
      <w:lvlJc w:val="left"/>
      <w:pPr>
        <w:tabs>
          <w:tab w:val="num" w:pos="3920"/>
        </w:tabs>
        <w:ind w:left="3920" w:hanging="360"/>
      </w:pPr>
      <w:rPr>
        <w:rFonts w:ascii="Courier New" w:hAnsi="Courier New" w:hint="default"/>
      </w:rPr>
    </w:lvl>
    <w:lvl w:ilvl="5" w:tplc="FFFFFFFF" w:tentative="1">
      <w:start w:val="1"/>
      <w:numFmt w:val="bullet"/>
      <w:lvlText w:val=""/>
      <w:lvlJc w:val="left"/>
      <w:pPr>
        <w:tabs>
          <w:tab w:val="num" w:pos="4640"/>
        </w:tabs>
        <w:ind w:left="4640" w:hanging="360"/>
      </w:pPr>
      <w:rPr>
        <w:rFonts w:ascii="Wingdings" w:hAnsi="Wingdings" w:hint="default"/>
      </w:rPr>
    </w:lvl>
    <w:lvl w:ilvl="6" w:tplc="FFFFFFFF" w:tentative="1">
      <w:start w:val="1"/>
      <w:numFmt w:val="bullet"/>
      <w:lvlText w:val=""/>
      <w:lvlJc w:val="left"/>
      <w:pPr>
        <w:tabs>
          <w:tab w:val="num" w:pos="5360"/>
        </w:tabs>
        <w:ind w:left="5360" w:hanging="360"/>
      </w:pPr>
      <w:rPr>
        <w:rFonts w:ascii="Symbol" w:hAnsi="Symbol" w:hint="default"/>
      </w:rPr>
    </w:lvl>
    <w:lvl w:ilvl="7" w:tplc="FFFFFFFF" w:tentative="1">
      <w:start w:val="1"/>
      <w:numFmt w:val="bullet"/>
      <w:lvlText w:val="o"/>
      <w:lvlJc w:val="left"/>
      <w:pPr>
        <w:tabs>
          <w:tab w:val="num" w:pos="6080"/>
        </w:tabs>
        <w:ind w:left="6080" w:hanging="360"/>
      </w:pPr>
      <w:rPr>
        <w:rFonts w:ascii="Courier New" w:hAnsi="Courier New" w:hint="default"/>
      </w:rPr>
    </w:lvl>
    <w:lvl w:ilvl="8" w:tplc="FFFFFFFF" w:tentative="1">
      <w:start w:val="1"/>
      <w:numFmt w:val="bullet"/>
      <w:lvlText w:val=""/>
      <w:lvlJc w:val="left"/>
      <w:pPr>
        <w:tabs>
          <w:tab w:val="num" w:pos="6800"/>
        </w:tabs>
        <w:ind w:left="6800" w:hanging="360"/>
      </w:pPr>
      <w:rPr>
        <w:rFonts w:ascii="Wingdings" w:hAnsi="Wingdings" w:hint="default"/>
      </w:rPr>
    </w:lvl>
  </w:abstractNum>
  <w:abstractNum w:abstractNumId="41" w15:restartNumberingAfterBreak="0">
    <w:nsid w:val="64D16B07"/>
    <w:multiLevelType w:val="multilevel"/>
    <w:tmpl w:val="9756276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2" w15:restartNumberingAfterBreak="0">
    <w:nsid w:val="6BCC4772"/>
    <w:multiLevelType w:val="hybridMultilevel"/>
    <w:tmpl w:val="6C44DF9C"/>
    <w:lvl w:ilvl="0" w:tplc="78FE35DA">
      <w:start w:val="1"/>
      <w:numFmt w:val="bullet"/>
      <w:pStyle w:val="GuidanceText-List"/>
      <w:lvlText w:val=""/>
      <w:lvlJc w:val="left"/>
      <w:pPr>
        <w:tabs>
          <w:tab w:val="num" w:pos="1418"/>
        </w:tabs>
        <w:ind w:left="1418" w:hanging="567"/>
      </w:pPr>
      <w:rPr>
        <w:rFonts w:ascii="Symbol" w:hAnsi="Symbol" w:hint="default"/>
        <w:color w:val="0000FF"/>
        <w:sz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BCD6DC5"/>
    <w:multiLevelType w:val="hybridMultilevel"/>
    <w:tmpl w:val="342CEC4E"/>
    <w:lvl w:ilvl="0" w:tplc="456A5824">
      <w:start w:val="1"/>
      <w:numFmt w:val="bullet"/>
      <w:pStyle w:val="TableText-ListItalics"/>
      <w:lvlText w:val=""/>
      <w:lvlJc w:val="left"/>
      <w:pPr>
        <w:tabs>
          <w:tab w:val="num" w:pos="142"/>
        </w:tabs>
        <w:ind w:left="142" w:hanging="142"/>
      </w:pPr>
      <w:rPr>
        <w:rFonts w:ascii="Wingdings" w:hAnsi="Wingdings" w:hint="default"/>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BF97656"/>
    <w:multiLevelType w:val="hybridMultilevel"/>
    <w:tmpl w:val="49C8F17C"/>
    <w:lvl w:ilvl="0" w:tplc="1A98B12A">
      <w:start w:val="1"/>
      <w:numFmt w:val="upperLetter"/>
      <w:pStyle w:val="Level0-Recitals"/>
      <w:lvlText w:val="%1"/>
      <w:lvlJc w:val="left"/>
      <w:pPr>
        <w:tabs>
          <w:tab w:val="num" w:pos="709"/>
        </w:tabs>
        <w:ind w:left="709" w:hanging="709"/>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7087408A"/>
    <w:multiLevelType w:val="multilevel"/>
    <w:tmpl w:val="73B8D12A"/>
    <w:lvl w:ilvl="0">
      <w:start w:val="1"/>
      <w:numFmt w:val="decimal"/>
      <w:pStyle w:val="AppendixHeading1"/>
      <w:lvlText w:val="Appendix %1"/>
      <w:lvlJc w:val="left"/>
      <w:pPr>
        <w:tabs>
          <w:tab w:val="num" w:pos="1440"/>
        </w:tabs>
        <w:ind w:left="1134" w:hanging="1134"/>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71F22E4C"/>
    <w:multiLevelType w:val="hybridMultilevel"/>
    <w:tmpl w:val="86444B4A"/>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4FB0F79"/>
    <w:multiLevelType w:val="multilevel"/>
    <w:tmpl w:val="9AD09778"/>
    <w:lvl w:ilvl="0">
      <w:start w:val="1"/>
      <w:numFmt w:val="decimal"/>
      <w:lvlText w:val="%1.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8" w15:restartNumberingAfterBreak="0">
    <w:nsid w:val="7598249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76393400"/>
    <w:multiLevelType w:val="multilevel"/>
    <w:tmpl w:val="A9EC56C0"/>
    <w:lvl w:ilvl="0">
      <w:start w:val="1"/>
      <w:numFmt w:val="decimal"/>
      <w:lvlRestart w:val="0"/>
      <w:pStyle w:val="BodyText-NumberedList1"/>
      <w:lvlText w:val="%1)"/>
      <w:lvlJc w:val="left"/>
      <w:pPr>
        <w:tabs>
          <w:tab w:val="num" w:pos="1417"/>
        </w:tabs>
        <w:ind w:left="1417" w:hanging="567"/>
      </w:pPr>
      <w:rPr>
        <w:rFonts w:ascii="Verdana" w:hAnsi="Verdana" w:hint="default"/>
      </w:rPr>
    </w:lvl>
    <w:lvl w:ilvl="1">
      <w:start w:val="1"/>
      <w:numFmt w:val="lowerLetter"/>
      <w:pStyle w:val="BodyText-NumberedLista"/>
      <w:lvlText w:val="%2."/>
      <w:lvlJc w:val="left"/>
      <w:pPr>
        <w:tabs>
          <w:tab w:val="num" w:pos="1984"/>
        </w:tabs>
        <w:ind w:left="1984" w:hanging="567"/>
      </w:pPr>
      <w:rPr>
        <w:rFonts w:ascii="Verdana" w:hAnsi="Verdana" w:hint="default"/>
      </w:rPr>
    </w:lvl>
    <w:lvl w:ilvl="2">
      <w:start w:val="1"/>
      <w:numFmt w:val="lowerRoman"/>
      <w:pStyle w:val="BodyText-NumberedListi"/>
      <w:lvlText w:val="%3."/>
      <w:lvlJc w:val="left"/>
      <w:pPr>
        <w:tabs>
          <w:tab w:val="num" w:pos="2449"/>
        </w:tabs>
        <w:ind w:left="2449" w:hanging="465"/>
      </w:pPr>
      <w:rPr>
        <w:rFonts w:ascii="Verdana" w:hAnsi="Verdana" w:hint="default"/>
      </w:rPr>
    </w:lvl>
    <w:lvl w:ilvl="3">
      <w:start w:val="1"/>
      <w:numFmt w:val="decimal"/>
      <w:pStyle w:val="BodyText-NumberedList10"/>
      <w:lvlText w:val="(%4)"/>
      <w:lvlJc w:val="left"/>
      <w:pPr>
        <w:tabs>
          <w:tab w:val="num" w:pos="3005"/>
        </w:tabs>
        <w:ind w:left="3005" w:hanging="556"/>
      </w:pPr>
      <w:rPr>
        <w:rFonts w:ascii="Verdana" w:hAnsi="Verdana" w:hint="default"/>
      </w:rPr>
    </w:lvl>
    <w:lvl w:ilvl="4">
      <w:start w:val="1"/>
      <w:numFmt w:val="decimal"/>
      <w:lvlText w:val="%1.%2.%3.%4.%5."/>
      <w:lvlJc w:val="left"/>
      <w:pPr>
        <w:tabs>
          <w:tab w:val="num" w:pos="3084"/>
        </w:tabs>
        <w:ind w:left="3084" w:hanging="794"/>
      </w:pPr>
      <w:rPr>
        <w:rFonts w:ascii="Verdana" w:hAnsi="Verdana" w:hint="default"/>
      </w:rPr>
    </w:lvl>
    <w:lvl w:ilvl="5">
      <w:start w:val="1"/>
      <w:numFmt w:val="decimal"/>
      <w:lvlText w:val="%1.%2.%3.%4.%5.%6."/>
      <w:lvlJc w:val="left"/>
      <w:pPr>
        <w:tabs>
          <w:tab w:val="num" w:pos="3589"/>
        </w:tabs>
        <w:ind w:left="3589" w:hanging="936"/>
      </w:pPr>
      <w:rPr>
        <w:rFonts w:ascii="Verdana" w:hAnsi="Verdana" w:hint="default"/>
      </w:rPr>
    </w:lvl>
    <w:lvl w:ilvl="6">
      <w:start w:val="1"/>
      <w:numFmt w:val="decimal"/>
      <w:lvlText w:val="%1.%2.%3.%4.%5.%6.%7."/>
      <w:lvlJc w:val="left"/>
      <w:pPr>
        <w:tabs>
          <w:tab w:val="num" w:pos="4093"/>
        </w:tabs>
        <w:ind w:left="4093" w:hanging="1083"/>
      </w:pPr>
      <w:rPr>
        <w:rFonts w:ascii="Verdana" w:hAnsi="Verdana" w:hint="default"/>
      </w:rPr>
    </w:lvl>
    <w:lvl w:ilvl="7">
      <w:start w:val="1"/>
      <w:numFmt w:val="decimal"/>
      <w:lvlText w:val="%1.%2.%3.%4.%5.%6.%7.%8."/>
      <w:lvlJc w:val="left"/>
      <w:pPr>
        <w:tabs>
          <w:tab w:val="num" w:pos="4592"/>
        </w:tabs>
        <w:ind w:left="4592" w:hanging="1219"/>
      </w:pPr>
      <w:rPr>
        <w:rFonts w:ascii="Verdana" w:hAnsi="Verdana" w:hint="default"/>
      </w:rPr>
    </w:lvl>
    <w:lvl w:ilvl="8">
      <w:start w:val="1"/>
      <w:numFmt w:val="decimal"/>
      <w:lvlText w:val="%1.%2.%3.%4.%5.%6.%7.%8.%9."/>
      <w:lvlJc w:val="left"/>
      <w:pPr>
        <w:tabs>
          <w:tab w:val="num" w:pos="5170"/>
        </w:tabs>
        <w:ind w:left="5170" w:hanging="1440"/>
      </w:pPr>
      <w:rPr>
        <w:rFonts w:ascii="Verdana" w:hAnsi="Verdana"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8"/>
  </w:num>
  <w:num w:numId="12">
    <w:abstractNumId w:val="19"/>
  </w:num>
  <w:num w:numId="13">
    <w:abstractNumId w:val="16"/>
  </w:num>
  <w:num w:numId="14">
    <w:abstractNumId w:val="29"/>
  </w:num>
  <w:num w:numId="15">
    <w:abstractNumId w:val="47"/>
  </w:num>
  <w:num w:numId="16">
    <w:abstractNumId w:val="12"/>
  </w:num>
  <w:num w:numId="17">
    <w:abstractNumId w:val="21"/>
  </w:num>
  <w:num w:numId="18">
    <w:abstractNumId w:val="24"/>
  </w:num>
  <w:num w:numId="19">
    <w:abstractNumId w:val="23"/>
  </w:num>
  <w:num w:numId="20">
    <w:abstractNumId w:val="25"/>
  </w:num>
  <w:num w:numId="21">
    <w:abstractNumId w:val="40"/>
  </w:num>
  <w:num w:numId="22">
    <w:abstractNumId w:val="45"/>
  </w:num>
  <w:num w:numId="23">
    <w:abstractNumId w:val="35"/>
  </w:num>
  <w:num w:numId="24">
    <w:abstractNumId w:val="39"/>
  </w:num>
  <w:num w:numId="25">
    <w:abstractNumId w:val="18"/>
  </w:num>
  <w:num w:numId="26">
    <w:abstractNumId w:val="34"/>
  </w:num>
  <w:num w:numId="27">
    <w:abstractNumId w:val="26"/>
  </w:num>
  <w:num w:numId="28">
    <w:abstractNumId w:val="31"/>
  </w:num>
  <w:num w:numId="29">
    <w:abstractNumId w:val="43"/>
  </w:num>
  <w:num w:numId="30">
    <w:abstractNumId w:val="38"/>
  </w:num>
  <w:num w:numId="31">
    <w:abstractNumId w:val="44"/>
  </w:num>
  <w:num w:numId="32">
    <w:abstractNumId w:val="36"/>
  </w:num>
  <w:num w:numId="33">
    <w:abstractNumId w:val="30"/>
  </w:num>
  <w:num w:numId="34">
    <w:abstractNumId w:val="42"/>
  </w:num>
  <w:num w:numId="35">
    <w:abstractNumId w:val="22"/>
  </w:num>
  <w:num w:numId="36">
    <w:abstractNumId w:val="14"/>
  </w:num>
  <w:num w:numId="37">
    <w:abstractNumId w:val="49"/>
  </w:num>
  <w:num w:numId="38">
    <w:abstractNumId w:val="27"/>
  </w:num>
  <w:num w:numId="39">
    <w:abstractNumId w:val="15"/>
  </w:num>
  <w:num w:numId="40">
    <w:abstractNumId w:val="32"/>
  </w:num>
  <w:num w:numId="41">
    <w:abstractNumId w:val="37"/>
  </w:num>
  <w:num w:numId="42">
    <w:abstractNumId w:val="10"/>
  </w:num>
  <w:num w:numId="43">
    <w:abstractNumId w:val="28"/>
  </w:num>
  <w:num w:numId="44">
    <w:abstractNumId w:val="20"/>
  </w:num>
  <w:num w:numId="45">
    <w:abstractNumId w:val="11"/>
  </w:num>
  <w:num w:numId="46">
    <w:abstractNumId w:val="33"/>
  </w:num>
  <w:num w:numId="47">
    <w:abstractNumId w:val="13"/>
  </w:num>
  <w:num w:numId="48">
    <w:abstractNumId w:val="41"/>
  </w:num>
  <w:num w:numId="49">
    <w:abstractNumId w:val="17"/>
  </w:num>
  <w:num w:numId="50">
    <w:abstractNumId w:val="4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49">
      <o:colormru v:ext="edit" colors="#00a5e6,#454545,#f3f4e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B87"/>
    <w:rsid w:val="0000091E"/>
    <w:rsid w:val="0000122D"/>
    <w:rsid w:val="00001C6D"/>
    <w:rsid w:val="000023A6"/>
    <w:rsid w:val="000030E2"/>
    <w:rsid w:val="00004595"/>
    <w:rsid w:val="00005805"/>
    <w:rsid w:val="00005ADB"/>
    <w:rsid w:val="00006D44"/>
    <w:rsid w:val="000109F4"/>
    <w:rsid w:val="00012681"/>
    <w:rsid w:val="00013E47"/>
    <w:rsid w:val="000222F5"/>
    <w:rsid w:val="000259EA"/>
    <w:rsid w:val="0003080D"/>
    <w:rsid w:val="0003088A"/>
    <w:rsid w:val="00031390"/>
    <w:rsid w:val="00032A06"/>
    <w:rsid w:val="00032B53"/>
    <w:rsid w:val="000359B6"/>
    <w:rsid w:val="00041082"/>
    <w:rsid w:val="000420D8"/>
    <w:rsid w:val="00042CA3"/>
    <w:rsid w:val="0004476B"/>
    <w:rsid w:val="00044F4D"/>
    <w:rsid w:val="00053991"/>
    <w:rsid w:val="00054D7D"/>
    <w:rsid w:val="000612EC"/>
    <w:rsid w:val="00061829"/>
    <w:rsid w:val="00062784"/>
    <w:rsid w:val="00063374"/>
    <w:rsid w:val="00063AC8"/>
    <w:rsid w:val="000678B7"/>
    <w:rsid w:val="000701A8"/>
    <w:rsid w:val="000735CB"/>
    <w:rsid w:val="00077083"/>
    <w:rsid w:val="0007790E"/>
    <w:rsid w:val="00080190"/>
    <w:rsid w:val="0008129F"/>
    <w:rsid w:val="00082543"/>
    <w:rsid w:val="00084218"/>
    <w:rsid w:val="000860D8"/>
    <w:rsid w:val="00093E54"/>
    <w:rsid w:val="000A0CC8"/>
    <w:rsid w:val="000A2748"/>
    <w:rsid w:val="000A4416"/>
    <w:rsid w:val="000A4D81"/>
    <w:rsid w:val="000A4E9B"/>
    <w:rsid w:val="000A50E2"/>
    <w:rsid w:val="000A5AE4"/>
    <w:rsid w:val="000A6187"/>
    <w:rsid w:val="000B20C2"/>
    <w:rsid w:val="000B2E66"/>
    <w:rsid w:val="000C09A5"/>
    <w:rsid w:val="000C1E65"/>
    <w:rsid w:val="000C3C50"/>
    <w:rsid w:val="000C5066"/>
    <w:rsid w:val="000C54EA"/>
    <w:rsid w:val="000C6431"/>
    <w:rsid w:val="000C69F8"/>
    <w:rsid w:val="000C78F8"/>
    <w:rsid w:val="000C7F28"/>
    <w:rsid w:val="000D17D5"/>
    <w:rsid w:val="000D20C8"/>
    <w:rsid w:val="000D3772"/>
    <w:rsid w:val="000D74DE"/>
    <w:rsid w:val="000E0FEE"/>
    <w:rsid w:val="000E232A"/>
    <w:rsid w:val="000E2477"/>
    <w:rsid w:val="000E290D"/>
    <w:rsid w:val="000E338A"/>
    <w:rsid w:val="000E476B"/>
    <w:rsid w:val="000E4B10"/>
    <w:rsid w:val="000E5399"/>
    <w:rsid w:val="000F3B2C"/>
    <w:rsid w:val="000F504B"/>
    <w:rsid w:val="000F6EE4"/>
    <w:rsid w:val="000F79BE"/>
    <w:rsid w:val="001015AC"/>
    <w:rsid w:val="00102FB5"/>
    <w:rsid w:val="00103304"/>
    <w:rsid w:val="00103563"/>
    <w:rsid w:val="00103E89"/>
    <w:rsid w:val="001044E4"/>
    <w:rsid w:val="00107865"/>
    <w:rsid w:val="001118B2"/>
    <w:rsid w:val="0011491D"/>
    <w:rsid w:val="00114A89"/>
    <w:rsid w:val="00122138"/>
    <w:rsid w:val="00123351"/>
    <w:rsid w:val="00124060"/>
    <w:rsid w:val="00124749"/>
    <w:rsid w:val="00127887"/>
    <w:rsid w:val="00130069"/>
    <w:rsid w:val="00130B08"/>
    <w:rsid w:val="0013173E"/>
    <w:rsid w:val="00132003"/>
    <w:rsid w:val="00132ACF"/>
    <w:rsid w:val="00132B51"/>
    <w:rsid w:val="00135C13"/>
    <w:rsid w:val="00136152"/>
    <w:rsid w:val="00136EA7"/>
    <w:rsid w:val="001410B4"/>
    <w:rsid w:val="00143877"/>
    <w:rsid w:val="00144066"/>
    <w:rsid w:val="00144DB3"/>
    <w:rsid w:val="00147E4D"/>
    <w:rsid w:val="001504FA"/>
    <w:rsid w:val="00151C30"/>
    <w:rsid w:val="001522CE"/>
    <w:rsid w:val="001542E3"/>
    <w:rsid w:val="0016071F"/>
    <w:rsid w:val="00160B36"/>
    <w:rsid w:val="00162613"/>
    <w:rsid w:val="00166A58"/>
    <w:rsid w:val="00166EAC"/>
    <w:rsid w:val="001706A8"/>
    <w:rsid w:val="00170CF4"/>
    <w:rsid w:val="001710C4"/>
    <w:rsid w:val="00174381"/>
    <w:rsid w:val="00177A31"/>
    <w:rsid w:val="00181097"/>
    <w:rsid w:val="001827DD"/>
    <w:rsid w:val="00182C0F"/>
    <w:rsid w:val="0018499C"/>
    <w:rsid w:val="001859E6"/>
    <w:rsid w:val="00185BBA"/>
    <w:rsid w:val="001878A4"/>
    <w:rsid w:val="00187E71"/>
    <w:rsid w:val="00191C3F"/>
    <w:rsid w:val="0019294E"/>
    <w:rsid w:val="00192B37"/>
    <w:rsid w:val="00193E85"/>
    <w:rsid w:val="001948B8"/>
    <w:rsid w:val="001A02D7"/>
    <w:rsid w:val="001A04E7"/>
    <w:rsid w:val="001A266E"/>
    <w:rsid w:val="001A3336"/>
    <w:rsid w:val="001A377A"/>
    <w:rsid w:val="001A4998"/>
    <w:rsid w:val="001B14B8"/>
    <w:rsid w:val="001B4046"/>
    <w:rsid w:val="001B4870"/>
    <w:rsid w:val="001B4A47"/>
    <w:rsid w:val="001B7372"/>
    <w:rsid w:val="001C16A2"/>
    <w:rsid w:val="001C297A"/>
    <w:rsid w:val="001C2A9D"/>
    <w:rsid w:val="001C2AE6"/>
    <w:rsid w:val="001C77A4"/>
    <w:rsid w:val="001D020A"/>
    <w:rsid w:val="001D1A53"/>
    <w:rsid w:val="001D2FE0"/>
    <w:rsid w:val="001D36D3"/>
    <w:rsid w:val="001D5368"/>
    <w:rsid w:val="001E1C63"/>
    <w:rsid w:val="001E4409"/>
    <w:rsid w:val="001E6248"/>
    <w:rsid w:val="001F08CA"/>
    <w:rsid w:val="001F406E"/>
    <w:rsid w:val="001F43AF"/>
    <w:rsid w:val="001F4FB0"/>
    <w:rsid w:val="001F66E1"/>
    <w:rsid w:val="00200767"/>
    <w:rsid w:val="00205316"/>
    <w:rsid w:val="00205A10"/>
    <w:rsid w:val="00213295"/>
    <w:rsid w:val="002137DC"/>
    <w:rsid w:val="00215180"/>
    <w:rsid w:val="00217830"/>
    <w:rsid w:val="00221679"/>
    <w:rsid w:val="00230633"/>
    <w:rsid w:val="002324EC"/>
    <w:rsid w:val="002351C8"/>
    <w:rsid w:val="00235BF0"/>
    <w:rsid w:val="00241A74"/>
    <w:rsid w:val="00243A55"/>
    <w:rsid w:val="0024594C"/>
    <w:rsid w:val="002463A4"/>
    <w:rsid w:val="00250208"/>
    <w:rsid w:val="00253050"/>
    <w:rsid w:val="00254054"/>
    <w:rsid w:val="0025760D"/>
    <w:rsid w:val="00260FE5"/>
    <w:rsid w:val="002632D4"/>
    <w:rsid w:val="00263E90"/>
    <w:rsid w:val="00265A2C"/>
    <w:rsid w:val="002662EA"/>
    <w:rsid w:val="002704AC"/>
    <w:rsid w:val="00271EAD"/>
    <w:rsid w:val="00272ABC"/>
    <w:rsid w:val="00274CA9"/>
    <w:rsid w:val="00274E4B"/>
    <w:rsid w:val="00275D32"/>
    <w:rsid w:val="002770F5"/>
    <w:rsid w:val="00277BF5"/>
    <w:rsid w:val="002805BC"/>
    <w:rsid w:val="002815EE"/>
    <w:rsid w:val="00281BFD"/>
    <w:rsid w:val="00281D6F"/>
    <w:rsid w:val="00284921"/>
    <w:rsid w:val="0028785E"/>
    <w:rsid w:val="00287BA9"/>
    <w:rsid w:val="002903F9"/>
    <w:rsid w:val="0029049B"/>
    <w:rsid w:val="00290A9C"/>
    <w:rsid w:val="00295E6B"/>
    <w:rsid w:val="0029634D"/>
    <w:rsid w:val="0029662A"/>
    <w:rsid w:val="00296F30"/>
    <w:rsid w:val="00297639"/>
    <w:rsid w:val="002A1EFF"/>
    <w:rsid w:val="002A58FD"/>
    <w:rsid w:val="002A606A"/>
    <w:rsid w:val="002B2223"/>
    <w:rsid w:val="002B4ECE"/>
    <w:rsid w:val="002B5A88"/>
    <w:rsid w:val="002C3656"/>
    <w:rsid w:val="002C4CCE"/>
    <w:rsid w:val="002C4E8F"/>
    <w:rsid w:val="002C52ED"/>
    <w:rsid w:val="002D23C5"/>
    <w:rsid w:val="002D732E"/>
    <w:rsid w:val="002E170F"/>
    <w:rsid w:val="002E2D57"/>
    <w:rsid w:val="002E63D1"/>
    <w:rsid w:val="002E6C5A"/>
    <w:rsid w:val="002E7CF6"/>
    <w:rsid w:val="002F016E"/>
    <w:rsid w:val="002F0F3F"/>
    <w:rsid w:val="002F13A4"/>
    <w:rsid w:val="002F1F95"/>
    <w:rsid w:val="002F2C8F"/>
    <w:rsid w:val="002F5E40"/>
    <w:rsid w:val="002F6BDE"/>
    <w:rsid w:val="002F71E6"/>
    <w:rsid w:val="003001B3"/>
    <w:rsid w:val="00300959"/>
    <w:rsid w:val="00301490"/>
    <w:rsid w:val="00301FC7"/>
    <w:rsid w:val="003021A0"/>
    <w:rsid w:val="00302B87"/>
    <w:rsid w:val="00302E8D"/>
    <w:rsid w:val="00303E7F"/>
    <w:rsid w:val="00306EAC"/>
    <w:rsid w:val="0031009A"/>
    <w:rsid w:val="0031423E"/>
    <w:rsid w:val="00320B5C"/>
    <w:rsid w:val="00321D24"/>
    <w:rsid w:val="00322547"/>
    <w:rsid w:val="003271F0"/>
    <w:rsid w:val="00331327"/>
    <w:rsid w:val="00331E68"/>
    <w:rsid w:val="00332721"/>
    <w:rsid w:val="003337A6"/>
    <w:rsid w:val="0034022D"/>
    <w:rsid w:val="0034037D"/>
    <w:rsid w:val="00342573"/>
    <w:rsid w:val="00342C96"/>
    <w:rsid w:val="00343C00"/>
    <w:rsid w:val="00345BDC"/>
    <w:rsid w:val="00354B14"/>
    <w:rsid w:val="00357692"/>
    <w:rsid w:val="003600EC"/>
    <w:rsid w:val="00363B5B"/>
    <w:rsid w:val="003664FE"/>
    <w:rsid w:val="003745EF"/>
    <w:rsid w:val="00374776"/>
    <w:rsid w:val="00377007"/>
    <w:rsid w:val="003832C6"/>
    <w:rsid w:val="00383B36"/>
    <w:rsid w:val="00383CDE"/>
    <w:rsid w:val="003869DC"/>
    <w:rsid w:val="00390221"/>
    <w:rsid w:val="00390BFC"/>
    <w:rsid w:val="003917A4"/>
    <w:rsid w:val="00395EEE"/>
    <w:rsid w:val="003965C3"/>
    <w:rsid w:val="003966A0"/>
    <w:rsid w:val="00396759"/>
    <w:rsid w:val="003A1B4B"/>
    <w:rsid w:val="003A2537"/>
    <w:rsid w:val="003A3392"/>
    <w:rsid w:val="003A3EF4"/>
    <w:rsid w:val="003A4D22"/>
    <w:rsid w:val="003A75BB"/>
    <w:rsid w:val="003A7955"/>
    <w:rsid w:val="003A7FD1"/>
    <w:rsid w:val="003B3DBB"/>
    <w:rsid w:val="003B52BD"/>
    <w:rsid w:val="003B5560"/>
    <w:rsid w:val="003B639C"/>
    <w:rsid w:val="003B6A57"/>
    <w:rsid w:val="003C0038"/>
    <w:rsid w:val="003C21BD"/>
    <w:rsid w:val="003C5E29"/>
    <w:rsid w:val="003C6EEE"/>
    <w:rsid w:val="003D0A30"/>
    <w:rsid w:val="003D1E98"/>
    <w:rsid w:val="003D381D"/>
    <w:rsid w:val="003D6D4F"/>
    <w:rsid w:val="003D7868"/>
    <w:rsid w:val="003E03C4"/>
    <w:rsid w:val="003E1D3A"/>
    <w:rsid w:val="003E3F8A"/>
    <w:rsid w:val="003E676F"/>
    <w:rsid w:val="003F5036"/>
    <w:rsid w:val="003F77A0"/>
    <w:rsid w:val="003F7854"/>
    <w:rsid w:val="00400A59"/>
    <w:rsid w:val="00400AB1"/>
    <w:rsid w:val="0040486E"/>
    <w:rsid w:val="00404E8A"/>
    <w:rsid w:val="00407E80"/>
    <w:rsid w:val="00407E8E"/>
    <w:rsid w:val="00413AA3"/>
    <w:rsid w:val="004173AE"/>
    <w:rsid w:val="00420F5B"/>
    <w:rsid w:val="0042154A"/>
    <w:rsid w:val="00421D66"/>
    <w:rsid w:val="0042336F"/>
    <w:rsid w:val="00423B70"/>
    <w:rsid w:val="004246DD"/>
    <w:rsid w:val="0042650F"/>
    <w:rsid w:val="00430C66"/>
    <w:rsid w:val="00433A79"/>
    <w:rsid w:val="00433C26"/>
    <w:rsid w:val="004348FB"/>
    <w:rsid w:val="00435788"/>
    <w:rsid w:val="00442B93"/>
    <w:rsid w:val="0044777B"/>
    <w:rsid w:val="00451A11"/>
    <w:rsid w:val="004523C5"/>
    <w:rsid w:val="004572D8"/>
    <w:rsid w:val="00460F1E"/>
    <w:rsid w:val="004612D5"/>
    <w:rsid w:val="00462CD4"/>
    <w:rsid w:val="0046438D"/>
    <w:rsid w:val="004657EF"/>
    <w:rsid w:val="00467777"/>
    <w:rsid w:val="00467861"/>
    <w:rsid w:val="00472229"/>
    <w:rsid w:val="0047591F"/>
    <w:rsid w:val="00475D41"/>
    <w:rsid w:val="0047686E"/>
    <w:rsid w:val="00480E19"/>
    <w:rsid w:val="00481144"/>
    <w:rsid w:val="00482B11"/>
    <w:rsid w:val="00484003"/>
    <w:rsid w:val="0048424B"/>
    <w:rsid w:val="004854BE"/>
    <w:rsid w:val="00486649"/>
    <w:rsid w:val="00486BA0"/>
    <w:rsid w:val="00487572"/>
    <w:rsid w:val="00487E03"/>
    <w:rsid w:val="004905E9"/>
    <w:rsid w:val="004919DD"/>
    <w:rsid w:val="00491A3B"/>
    <w:rsid w:val="0049250C"/>
    <w:rsid w:val="0049422B"/>
    <w:rsid w:val="004A38C5"/>
    <w:rsid w:val="004A3DFF"/>
    <w:rsid w:val="004A3E78"/>
    <w:rsid w:val="004A55B7"/>
    <w:rsid w:val="004A755D"/>
    <w:rsid w:val="004B0BAE"/>
    <w:rsid w:val="004B10A6"/>
    <w:rsid w:val="004B2AAA"/>
    <w:rsid w:val="004B2D28"/>
    <w:rsid w:val="004B5447"/>
    <w:rsid w:val="004B5D77"/>
    <w:rsid w:val="004B7BC8"/>
    <w:rsid w:val="004C1A56"/>
    <w:rsid w:val="004C50E8"/>
    <w:rsid w:val="004C7A9B"/>
    <w:rsid w:val="004D0CE2"/>
    <w:rsid w:val="004D2862"/>
    <w:rsid w:val="004D4E74"/>
    <w:rsid w:val="004D7718"/>
    <w:rsid w:val="004E011C"/>
    <w:rsid w:val="004E0C1F"/>
    <w:rsid w:val="004E1C8D"/>
    <w:rsid w:val="004E2C3A"/>
    <w:rsid w:val="004E31BA"/>
    <w:rsid w:val="004E4F22"/>
    <w:rsid w:val="004E6111"/>
    <w:rsid w:val="004E7376"/>
    <w:rsid w:val="004F06E3"/>
    <w:rsid w:val="004F1362"/>
    <w:rsid w:val="004F49B2"/>
    <w:rsid w:val="004F51A0"/>
    <w:rsid w:val="004F561E"/>
    <w:rsid w:val="004F5A1B"/>
    <w:rsid w:val="005003CC"/>
    <w:rsid w:val="00500601"/>
    <w:rsid w:val="00500F88"/>
    <w:rsid w:val="00501D53"/>
    <w:rsid w:val="005024C2"/>
    <w:rsid w:val="005042CB"/>
    <w:rsid w:val="00505BE9"/>
    <w:rsid w:val="00512C29"/>
    <w:rsid w:val="00514066"/>
    <w:rsid w:val="00514ACD"/>
    <w:rsid w:val="00516087"/>
    <w:rsid w:val="00520DE2"/>
    <w:rsid w:val="005216A6"/>
    <w:rsid w:val="00522A78"/>
    <w:rsid w:val="005244C3"/>
    <w:rsid w:val="005256F7"/>
    <w:rsid w:val="00526419"/>
    <w:rsid w:val="005268EB"/>
    <w:rsid w:val="00526B8B"/>
    <w:rsid w:val="00530F52"/>
    <w:rsid w:val="00531593"/>
    <w:rsid w:val="00531699"/>
    <w:rsid w:val="00532621"/>
    <w:rsid w:val="005350DA"/>
    <w:rsid w:val="00535117"/>
    <w:rsid w:val="005356C5"/>
    <w:rsid w:val="0053671F"/>
    <w:rsid w:val="005376D3"/>
    <w:rsid w:val="00540F42"/>
    <w:rsid w:val="00542D75"/>
    <w:rsid w:val="00544709"/>
    <w:rsid w:val="00544A1C"/>
    <w:rsid w:val="00545D3D"/>
    <w:rsid w:val="00546EEE"/>
    <w:rsid w:val="005477E2"/>
    <w:rsid w:val="00547E4B"/>
    <w:rsid w:val="00551266"/>
    <w:rsid w:val="005515BC"/>
    <w:rsid w:val="005515EA"/>
    <w:rsid w:val="00553F0F"/>
    <w:rsid w:val="0055410E"/>
    <w:rsid w:val="005542EF"/>
    <w:rsid w:val="00554C9C"/>
    <w:rsid w:val="005579B8"/>
    <w:rsid w:val="0056016E"/>
    <w:rsid w:val="00560A10"/>
    <w:rsid w:val="00560C1C"/>
    <w:rsid w:val="005622BC"/>
    <w:rsid w:val="005625B3"/>
    <w:rsid w:val="00562709"/>
    <w:rsid w:val="0056295F"/>
    <w:rsid w:val="0056661D"/>
    <w:rsid w:val="005722CD"/>
    <w:rsid w:val="00572F99"/>
    <w:rsid w:val="00574C9A"/>
    <w:rsid w:val="00576F40"/>
    <w:rsid w:val="0057728D"/>
    <w:rsid w:val="00581E30"/>
    <w:rsid w:val="0058484F"/>
    <w:rsid w:val="00585B42"/>
    <w:rsid w:val="00594542"/>
    <w:rsid w:val="0059695A"/>
    <w:rsid w:val="00597BDE"/>
    <w:rsid w:val="005A2471"/>
    <w:rsid w:val="005A27E1"/>
    <w:rsid w:val="005A64F0"/>
    <w:rsid w:val="005A7E22"/>
    <w:rsid w:val="005B0217"/>
    <w:rsid w:val="005B168B"/>
    <w:rsid w:val="005B2780"/>
    <w:rsid w:val="005B35BB"/>
    <w:rsid w:val="005B37CE"/>
    <w:rsid w:val="005B4901"/>
    <w:rsid w:val="005B584E"/>
    <w:rsid w:val="005B5E65"/>
    <w:rsid w:val="005B6A66"/>
    <w:rsid w:val="005C2970"/>
    <w:rsid w:val="005D2CD1"/>
    <w:rsid w:val="005D7169"/>
    <w:rsid w:val="005E32A7"/>
    <w:rsid w:val="005E33F5"/>
    <w:rsid w:val="005E3D4D"/>
    <w:rsid w:val="005E5263"/>
    <w:rsid w:val="005F078D"/>
    <w:rsid w:val="005F5353"/>
    <w:rsid w:val="006006A9"/>
    <w:rsid w:val="006060BC"/>
    <w:rsid w:val="0060657E"/>
    <w:rsid w:val="00607C87"/>
    <w:rsid w:val="0061103B"/>
    <w:rsid w:val="00612A1A"/>
    <w:rsid w:val="00613D71"/>
    <w:rsid w:val="006159F9"/>
    <w:rsid w:val="00617617"/>
    <w:rsid w:val="006178E4"/>
    <w:rsid w:val="00621B40"/>
    <w:rsid w:val="00621D06"/>
    <w:rsid w:val="0062600D"/>
    <w:rsid w:val="006275DE"/>
    <w:rsid w:val="0063040C"/>
    <w:rsid w:val="00630662"/>
    <w:rsid w:val="00631FB9"/>
    <w:rsid w:val="00632791"/>
    <w:rsid w:val="00632E44"/>
    <w:rsid w:val="00634A51"/>
    <w:rsid w:val="00635792"/>
    <w:rsid w:val="00636530"/>
    <w:rsid w:val="006412B2"/>
    <w:rsid w:val="00642990"/>
    <w:rsid w:val="00645731"/>
    <w:rsid w:val="00645D6F"/>
    <w:rsid w:val="00651864"/>
    <w:rsid w:val="00656C7B"/>
    <w:rsid w:val="00656D77"/>
    <w:rsid w:val="00656E4C"/>
    <w:rsid w:val="0065757B"/>
    <w:rsid w:val="006610DE"/>
    <w:rsid w:val="00664BA8"/>
    <w:rsid w:val="00664DCB"/>
    <w:rsid w:val="00667CFF"/>
    <w:rsid w:val="0067050B"/>
    <w:rsid w:val="00670611"/>
    <w:rsid w:val="00671EFE"/>
    <w:rsid w:val="006726FC"/>
    <w:rsid w:val="00672B77"/>
    <w:rsid w:val="006736B8"/>
    <w:rsid w:val="00673E4B"/>
    <w:rsid w:val="00675F50"/>
    <w:rsid w:val="00677856"/>
    <w:rsid w:val="006805CF"/>
    <w:rsid w:val="00682373"/>
    <w:rsid w:val="006829CF"/>
    <w:rsid w:val="00691F6B"/>
    <w:rsid w:val="0069348A"/>
    <w:rsid w:val="00695E50"/>
    <w:rsid w:val="006A48F9"/>
    <w:rsid w:val="006B6121"/>
    <w:rsid w:val="006B61C2"/>
    <w:rsid w:val="006B6C62"/>
    <w:rsid w:val="006B7DDC"/>
    <w:rsid w:val="006C010B"/>
    <w:rsid w:val="006C04C0"/>
    <w:rsid w:val="006C2E40"/>
    <w:rsid w:val="006C6B47"/>
    <w:rsid w:val="006D2ADB"/>
    <w:rsid w:val="006D48B1"/>
    <w:rsid w:val="006D6363"/>
    <w:rsid w:val="006E0A3A"/>
    <w:rsid w:val="006E2C59"/>
    <w:rsid w:val="006E2D82"/>
    <w:rsid w:val="006E3B66"/>
    <w:rsid w:val="006E401B"/>
    <w:rsid w:val="006F0298"/>
    <w:rsid w:val="006F47EB"/>
    <w:rsid w:val="006F4A5D"/>
    <w:rsid w:val="006F5027"/>
    <w:rsid w:val="00701838"/>
    <w:rsid w:val="00706FC6"/>
    <w:rsid w:val="0071253F"/>
    <w:rsid w:val="00712E03"/>
    <w:rsid w:val="00714E85"/>
    <w:rsid w:val="00715623"/>
    <w:rsid w:val="007165B6"/>
    <w:rsid w:val="007166DD"/>
    <w:rsid w:val="00716A55"/>
    <w:rsid w:val="00716BFD"/>
    <w:rsid w:val="007222BE"/>
    <w:rsid w:val="0072383D"/>
    <w:rsid w:val="007300D6"/>
    <w:rsid w:val="00730542"/>
    <w:rsid w:val="00731548"/>
    <w:rsid w:val="00731CF6"/>
    <w:rsid w:val="00732ACF"/>
    <w:rsid w:val="007330AC"/>
    <w:rsid w:val="00733465"/>
    <w:rsid w:val="00740792"/>
    <w:rsid w:val="007419DE"/>
    <w:rsid w:val="007443E5"/>
    <w:rsid w:val="007455D3"/>
    <w:rsid w:val="00755061"/>
    <w:rsid w:val="00755B42"/>
    <w:rsid w:val="00755B46"/>
    <w:rsid w:val="007566E1"/>
    <w:rsid w:val="007571A1"/>
    <w:rsid w:val="0075769A"/>
    <w:rsid w:val="007602D5"/>
    <w:rsid w:val="00760B76"/>
    <w:rsid w:val="0076182A"/>
    <w:rsid w:val="00761A38"/>
    <w:rsid w:val="00762096"/>
    <w:rsid w:val="007650A3"/>
    <w:rsid w:val="007656CC"/>
    <w:rsid w:val="00772B7D"/>
    <w:rsid w:val="007755E9"/>
    <w:rsid w:val="007756EA"/>
    <w:rsid w:val="00776B06"/>
    <w:rsid w:val="00776E77"/>
    <w:rsid w:val="00780DD9"/>
    <w:rsid w:val="00781867"/>
    <w:rsid w:val="00781A17"/>
    <w:rsid w:val="007821C1"/>
    <w:rsid w:val="007829B2"/>
    <w:rsid w:val="00782E8E"/>
    <w:rsid w:val="00783576"/>
    <w:rsid w:val="00784F53"/>
    <w:rsid w:val="00786056"/>
    <w:rsid w:val="00786552"/>
    <w:rsid w:val="007879CA"/>
    <w:rsid w:val="00791717"/>
    <w:rsid w:val="007928D2"/>
    <w:rsid w:val="00794242"/>
    <w:rsid w:val="0079708A"/>
    <w:rsid w:val="007A0508"/>
    <w:rsid w:val="007A08B9"/>
    <w:rsid w:val="007A0C95"/>
    <w:rsid w:val="007A1619"/>
    <w:rsid w:val="007A57EC"/>
    <w:rsid w:val="007A7241"/>
    <w:rsid w:val="007B1419"/>
    <w:rsid w:val="007B2233"/>
    <w:rsid w:val="007B549E"/>
    <w:rsid w:val="007B6EC1"/>
    <w:rsid w:val="007B76BD"/>
    <w:rsid w:val="007C1484"/>
    <w:rsid w:val="007C4C49"/>
    <w:rsid w:val="007C51FF"/>
    <w:rsid w:val="007C5788"/>
    <w:rsid w:val="007C7CA0"/>
    <w:rsid w:val="007D6FFB"/>
    <w:rsid w:val="007D73A9"/>
    <w:rsid w:val="007E18D5"/>
    <w:rsid w:val="007E2B11"/>
    <w:rsid w:val="007E6C6B"/>
    <w:rsid w:val="007E6F29"/>
    <w:rsid w:val="007F029B"/>
    <w:rsid w:val="007F0781"/>
    <w:rsid w:val="007F3503"/>
    <w:rsid w:val="007F4611"/>
    <w:rsid w:val="007F75D7"/>
    <w:rsid w:val="00800CEB"/>
    <w:rsid w:val="00804939"/>
    <w:rsid w:val="0080535C"/>
    <w:rsid w:val="00811901"/>
    <w:rsid w:val="0081268C"/>
    <w:rsid w:val="0081292B"/>
    <w:rsid w:val="0081434D"/>
    <w:rsid w:val="008165BD"/>
    <w:rsid w:val="00823603"/>
    <w:rsid w:val="00825C5D"/>
    <w:rsid w:val="008272B4"/>
    <w:rsid w:val="00830F21"/>
    <w:rsid w:val="00831329"/>
    <w:rsid w:val="00833C18"/>
    <w:rsid w:val="00833F2F"/>
    <w:rsid w:val="00834020"/>
    <w:rsid w:val="008345F0"/>
    <w:rsid w:val="0083468C"/>
    <w:rsid w:val="008346D8"/>
    <w:rsid w:val="0083738D"/>
    <w:rsid w:val="0083787E"/>
    <w:rsid w:val="008468AC"/>
    <w:rsid w:val="00847F4B"/>
    <w:rsid w:val="00851C6D"/>
    <w:rsid w:val="00853C41"/>
    <w:rsid w:val="00853D26"/>
    <w:rsid w:val="00857E1D"/>
    <w:rsid w:val="0086108A"/>
    <w:rsid w:val="00861587"/>
    <w:rsid w:val="00864C43"/>
    <w:rsid w:val="0086552C"/>
    <w:rsid w:val="008661D3"/>
    <w:rsid w:val="008674FF"/>
    <w:rsid w:val="00872344"/>
    <w:rsid w:val="00873E2E"/>
    <w:rsid w:val="00876966"/>
    <w:rsid w:val="0087714C"/>
    <w:rsid w:val="00877262"/>
    <w:rsid w:val="008777A6"/>
    <w:rsid w:val="008822C1"/>
    <w:rsid w:val="0088338C"/>
    <w:rsid w:val="008842E8"/>
    <w:rsid w:val="00884525"/>
    <w:rsid w:val="00885849"/>
    <w:rsid w:val="0088587B"/>
    <w:rsid w:val="00885FCE"/>
    <w:rsid w:val="008870FE"/>
    <w:rsid w:val="00892941"/>
    <w:rsid w:val="0089346F"/>
    <w:rsid w:val="00893DCD"/>
    <w:rsid w:val="0089518B"/>
    <w:rsid w:val="0089580A"/>
    <w:rsid w:val="008A12A7"/>
    <w:rsid w:val="008A6489"/>
    <w:rsid w:val="008B11DE"/>
    <w:rsid w:val="008B1949"/>
    <w:rsid w:val="008B1BCB"/>
    <w:rsid w:val="008B36D8"/>
    <w:rsid w:val="008B64F0"/>
    <w:rsid w:val="008B70BD"/>
    <w:rsid w:val="008B711E"/>
    <w:rsid w:val="008C0932"/>
    <w:rsid w:val="008C13B4"/>
    <w:rsid w:val="008C2B21"/>
    <w:rsid w:val="008C4E43"/>
    <w:rsid w:val="008C5EBA"/>
    <w:rsid w:val="008C6200"/>
    <w:rsid w:val="008C65C3"/>
    <w:rsid w:val="008C78F3"/>
    <w:rsid w:val="008C7DF2"/>
    <w:rsid w:val="008D34B3"/>
    <w:rsid w:val="008D5C80"/>
    <w:rsid w:val="008D6268"/>
    <w:rsid w:val="008D7DF7"/>
    <w:rsid w:val="008E2E9B"/>
    <w:rsid w:val="008E427B"/>
    <w:rsid w:val="008E479F"/>
    <w:rsid w:val="008E5EAC"/>
    <w:rsid w:val="008E6BB5"/>
    <w:rsid w:val="008E7690"/>
    <w:rsid w:val="008F0759"/>
    <w:rsid w:val="008F3D3A"/>
    <w:rsid w:val="008F51EC"/>
    <w:rsid w:val="008F6104"/>
    <w:rsid w:val="0090133D"/>
    <w:rsid w:val="00903081"/>
    <w:rsid w:val="00903D99"/>
    <w:rsid w:val="00906556"/>
    <w:rsid w:val="00906FE8"/>
    <w:rsid w:val="00910C17"/>
    <w:rsid w:val="00911FCE"/>
    <w:rsid w:val="00912A08"/>
    <w:rsid w:val="009157F1"/>
    <w:rsid w:val="009159E1"/>
    <w:rsid w:val="00917C4D"/>
    <w:rsid w:val="0092024A"/>
    <w:rsid w:val="00921A05"/>
    <w:rsid w:val="0092324F"/>
    <w:rsid w:val="00924B42"/>
    <w:rsid w:val="00925C48"/>
    <w:rsid w:val="00927285"/>
    <w:rsid w:val="00931B81"/>
    <w:rsid w:val="00933502"/>
    <w:rsid w:val="00941761"/>
    <w:rsid w:val="00943D2B"/>
    <w:rsid w:val="00945D6D"/>
    <w:rsid w:val="00947D59"/>
    <w:rsid w:val="0095081A"/>
    <w:rsid w:val="00951D20"/>
    <w:rsid w:val="009521DC"/>
    <w:rsid w:val="009527C3"/>
    <w:rsid w:val="00953D13"/>
    <w:rsid w:val="00953ED1"/>
    <w:rsid w:val="00955108"/>
    <w:rsid w:val="00957CCB"/>
    <w:rsid w:val="00961ABC"/>
    <w:rsid w:val="0096756B"/>
    <w:rsid w:val="00967B21"/>
    <w:rsid w:val="00973A1D"/>
    <w:rsid w:val="00976F15"/>
    <w:rsid w:val="0098018E"/>
    <w:rsid w:val="00980F0A"/>
    <w:rsid w:val="00981514"/>
    <w:rsid w:val="00982240"/>
    <w:rsid w:val="00982E9A"/>
    <w:rsid w:val="009842C5"/>
    <w:rsid w:val="009844FD"/>
    <w:rsid w:val="009857BC"/>
    <w:rsid w:val="00986674"/>
    <w:rsid w:val="009878F8"/>
    <w:rsid w:val="00991C56"/>
    <w:rsid w:val="009943B2"/>
    <w:rsid w:val="0099606F"/>
    <w:rsid w:val="0099691D"/>
    <w:rsid w:val="0099780E"/>
    <w:rsid w:val="00997BA1"/>
    <w:rsid w:val="009A02D8"/>
    <w:rsid w:val="009A0D15"/>
    <w:rsid w:val="009A2456"/>
    <w:rsid w:val="009A565C"/>
    <w:rsid w:val="009A5A89"/>
    <w:rsid w:val="009A67B4"/>
    <w:rsid w:val="009A74C6"/>
    <w:rsid w:val="009A7E23"/>
    <w:rsid w:val="009B10AA"/>
    <w:rsid w:val="009B12A8"/>
    <w:rsid w:val="009B2975"/>
    <w:rsid w:val="009B5129"/>
    <w:rsid w:val="009B6C33"/>
    <w:rsid w:val="009B740E"/>
    <w:rsid w:val="009C12C3"/>
    <w:rsid w:val="009C2CAF"/>
    <w:rsid w:val="009C5AB7"/>
    <w:rsid w:val="009C65F0"/>
    <w:rsid w:val="009C6D77"/>
    <w:rsid w:val="009D10B5"/>
    <w:rsid w:val="009D1A2A"/>
    <w:rsid w:val="009D36E2"/>
    <w:rsid w:val="009D37EB"/>
    <w:rsid w:val="009D7071"/>
    <w:rsid w:val="009D71AB"/>
    <w:rsid w:val="009D755E"/>
    <w:rsid w:val="009E2477"/>
    <w:rsid w:val="009E3525"/>
    <w:rsid w:val="009E359E"/>
    <w:rsid w:val="009E3F98"/>
    <w:rsid w:val="009E48A7"/>
    <w:rsid w:val="009E5252"/>
    <w:rsid w:val="009F4338"/>
    <w:rsid w:val="00A02656"/>
    <w:rsid w:val="00A03ABF"/>
    <w:rsid w:val="00A06550"/>
    <w:rsid w:val="00A06CE8"/>
    <w:rsid w:val="00A0753A"/>
    <w:rsid w:val="00A0759E"/>
    <w:rsid w:val="00A077D5"/>
    <w:rsid w:val="00A10969"/>
    <w:rsid w:val="00A1154B"/>
    <w:rsid w:val="00A11B0D"/>
    <w:rsid w:val="00A12985"/>
    <w:rsid w:val="00A129B6"/>
    <w:rsid w:val="00A1438E"/>
    <w:rsid w:val="00A15A01"/>
    <w:rsid w:val="00A15FF7"/>
    <w:rsid w:val="00A16358"/>
    <w:rsid w:val="00A176FC"/>
    <w:rsid w:val="00A212AB"/>
    <w:rsid w:val="00A21423"/>
    <w:rsid w:val="00A24D7A"/>
    <w:rsid w:val="00A2617E"/>
    <w:rsid w:val="00A26A4F"/>
    <w:rsid w:val="00A30FC4"/>
    <w:rsid w:val="00A31F66"/>
    <w:rsid w:val="00A32ACD"/>
    <w:rsid w:val="00A3373D"/>
    <w:rsid w:val="00A37AAE"/>
    <w:rsid w:val="00A422D8"/>
    <w:rsid w:val="00A43B15"/>
    <w:rsid w:val="00A44175"/>
    <w:rsid w:val="00A536AD"/>
    <w:rsid w:val="00A54CA6"/>
    <w:rsid w:val="00A55310"/>
    <w:rsid w:val="00A61B90"/>
    <w:rsid w:val="00A6208B"/>
    <w:rsid w:val="00A6751B"/>
    <w:rsid w:val="00A7211B"/>
    <w:rsid w:val="00A728D5"/>
    <w:rsid w:val="00A72ADF"/>
    <w:rsid w:val="00A73C6B"/>
    <w:rsid w:val="00A740AC"/>
    <w:rsid w:val="00A750B1"/>
    <w:rsid w:val="00A761C4"/>
    <w:rsid w:val="00A76969"/>
    <w:rsid w:val="00A837CB"/>
    <w:rsid w:val="00A83856"/>
    <w:rsid w:val="00A84860"/>
    <w:rsid w:val="00A84DCB"/>
    <w:rsid w:val="00A85D21"/>
    <w:rsid w:val="00A869B6"/>
    <w:rsid w:val="00A93E5F"/>
    <w:rsid w:val="00AA12B8"/>
    <w:rsid w:val="00AA21DC"/>
    <w:rsid w:val="00AA58EE"/>
    <w:rsid w:val="00AA6612"/>
    <w:rsid w:val="00AB0654"/>
    <w:rsid w:val="00AB1010"/>
    <w:rsid w:val="00AB429F"/>
    <w:rsid w:val="00AB5A2C"/>
    <w:rsid w:val="00AB5C35"/>
    <w:rsid w:val="00AC04C4"/>
    <w:rsid w:val="00AC1EBA"/>
    <w:rsid w:val="00AC36F2"/>
    <w:rsid w:val="00AC3E25"/>
    <w:rsid w:val="00AC43E1"/>
    <w:rsid w:val="00AC5975"/>
    <w:rsid w:val="00AC6E44"/>
    <w:rsid w:val="00AD07F7"/>
    <w:rsid w:val="00AD0A30"/>
    <w:rsid w:val="00AD2279"/>
    <w:rsid w:val="00AD3E7D"/>
    <w:rsid w:val="00AD5F67"/>
    <w:rsid w:val="00AD6660"/>
    <w:rsid w:val="00AE2A87"/>
    <w:rsid w:val="00AE60BA"/>
    <w:rsid w:val="00AE626F"/>
    <w:rsid w:val="00AE79F0"/>
    <w:rsid w:val="00AF098C"/>
    <w:rsid w:val="00AF1380"/>
    <w:rsid w:val="00AF1657"/>
    <w:rsid w:val="00AF24E6"/>
    <w:rsid w:val="00AF4EF5"/>
    <w:rsid w:val="00AF69F3"/>
    <w:rsid w:val="00B027CA"/>
    <w:rsid w:val="00B02BB1"/>
    <w:rsid w:val="00B03E73"/>
    <w:rsid w:val="00B1216E"/>
    <w:rsid w:val="00B126A9"/>
    <w:rsid w:val="00B13F96"/>
    <w:rsid w:val="00B17689"/>
    <w:rsid w:val="00B24742"/>
    <w:rsid w:val="00B2655C"/>
    <w:rsid w:val="00B306A9"/>
    <w:rsid w:val="00B32D33"/>
    <w:rsid w:val="00B34BFA"/>
    <w:rsid w:val="00B41301"/>
    <w:rsid w:val="00B42844"/>
    <w:rsid w:val="00B44AA8"/>
    <w:rsid w:val="00B45B5F"/>
    <w:rsid w:val="00B46381"/>
    <w:rsid w:val="00B46C65"/>
    <w:rsid w:val="00B5078A"/>
    <w:rsid w:val="00B50827"/>
    <w:rsid w:val="00B52007"/>
    <w:rsid w:val="00B52040"/>
    <w:rsid w:val="00B54E72"/>
    <w:rsid w:val="00B554B4"/>
    <w:rsid w:val="00B56121"/>
    <w:rsid w:val="00B56684"/>
    <w:rsid w:val="00B60591"/>
    <w:rsid w:val="00B6069D"/>
    <w:rsid w:val="00B61E6A"/>
    <w:rsid w:val="00B65CB9"/>
    <w:rsid w:val="00B66332"/>
    <w:rsid w:val="00B67CA6"/>
    <w:rsid w:val="00B70977"/>
    <w:rsid w:val="00B74C80"/>
    <w:rsid w:val="00B764ED"/>
    <w:rsid w:val="00B772C9"/>
    <w:rsid w:val="00B77E16"/>
    <w:rsid w:val="00B800C1"/>
    <w:rsid w:val="00B80144"/>
    <w:rsid w:val="00B812B5"/>
    <w:rsid w:val="00B8425E"/>
    <w:rsid w:val="00B84636"/>
    <w:rsid w:val="00B85119"/>
    <w:rsid w:val="00B918C2"/>
    <w:rsid w:val="00B91C0C"/>
    <w:rsid w:val="00B97EDE"/>
    <w:rsid w:val="00BA050A"/>
    <w:rsid w:val="00BA0656"/>
    <w:rsid w:val="00BA39A3"/>
    <w:rsid w:val="00BA4AA0"/>
    <w:rsid w:val="00BA6746"/>
    <w:rsid w:val="00BB0E8D"/>
    <w:rsid w:val="00BB1E78"/>
    <w:rsid w:val="00BB2F5E"/>
    <w:rsid w:val="00BB3EF0"/>
    <w:rsid w:val="00BB4E4D"/>
    <w:rsid w:val="00BB6F9E"/>
    <w:rsid w:val="00BC2E90"/>
    <w:rsid w:val="00BC72F0"/>
    <w:rsid w:val="00BC7857"/>
    <w:rsid w:val="00BD4EE8"/>
    <w:rsid w:val="00BD66FB"/>
    <w:rsid w:val="00BE0F95"/>
    <w:rsid w:val="00BE10A2"/>
    <w:rsid w:val="00BE25C1"/>
    <w:rsid w:val="00BE5896"/>
    <w:rsid w:val="00BF1C98"/>
    <w:rsid w:val="00BF2295"/>
    <w:rsid w:val="00BF2A65"/>
    <w:rsid w:val="00BF2BF8"/>
    <w:rsid w:val="00BF450E"/>
    <w:rsid w:val="00BF65E2"/>
    <w:rsid w:val="00C00E62"/>
    <w:rsid w:val="00C01485"/>
    <w:rsid w:val="00C01AF5"/>
    <w:rsid w:val="00C0302F"/>
    <w:rsid w:val="00C03A63"/>
    <w:rsid w:val="00C04F00"/>
    <w:rsid w:val="00C06649"/>
    <w:rsid w:val="00C10853"/>
    <w:rsid w:val="00C15564"/>
    <w:rsid w:val="00C1584A"/>
    <w:rsid w:val="00C2020B"/>
    <w:rsid w:val="00C21CA9"/>
    <w:rsid w:val="00C22F98"/>
    <w:rsid w:val="00C307FF"/>
    <w:rsid w:val="00C310E0"/>
    <w:rsid w:val="00C33A5A"/>
    <w:rsid w:val="00C34240"/>
    <w:rsid w:val="00C42803"/>
    <w:rsid w:val="00C43184"/>
    <w:rsid w:val="00C432BC"/>
    <w:rsid w:val="00C4639B"/>
    <w:rsid w:val="00C5229B"/>
    <w:rsid w:val="00C56288"/>
    <w:rsid w:val="00C57F52"/>
    <w:rsid w:val="00C626AD"/>
    <w:rsid w:val="00C62FA1"/>
    <w:rsid w:val="00C64627"/>
    <w:rsid w:val="00C65B44"/>
    <w:rsid w:val="00C70A35"/>
    <w:rsid w:val="00C715B8"/>
    <w:rsid w:val="00C7479C"/>
    <w:rsid w:val="00C7517B"/>
    <w:rsid w:val="00C815D5"/>
    <w:rsid w:val="00C832A6"/>
    <w:rsid w:val="00C904A4"/>
    <w:rsid w:val="00C9179A"/>
    <w:rsid w:val="00C92763"/>
    <w:rsid w:val="00C92F8E"/>
    <w:rsid w:val="00C94A9F"/>
    <w:rsid w:val="00C94D36"/>
    <w:rsid w:val="00C9550D"/>
    <w:rsid w:val="00C9666A"/>
    <w:rsid w:val="00CA605B"/>
    <w:rsid w:val="00CA6483"/>
    <w:rsid w:val="00CB03AF"/>
    <w:rsid w:val="00CB159F"/>
    <w:rsid w:val="00CB5E3C"/>
    <w:rsid w:val="00CC0A03"/>
    <w:rsid w:val="00CC232B"/>
    <w:rsid w:val="00CC257D"/>
    <w:rsid w:val="00CC3499"/>
    <w:rsid w:val="00CC3EB3"/>
    <w:rsid w:val="00CC4935"/>
    <w:rsid w:val="00CC62EB"/>
    <w:rsid w:val="00CC7D83"/>
    <w:rsid w:val="00CC7E54"/>
    <w:rsid w:val="00CD12D0"/>
    <w:rsid w:val="00CD2644"/>
    <w:rsid w:val="00CD28D8"/>
    <w:rsid w:val="00CD3E56"/>
    <w:rsid w:val="00CD4082"/>
    <w:rsid w:val="00CD4BE6"/>
    <w:rsid w:val="00CD58BA"/>
    <w:rsid w:val="00CE03BC"/>
    <w:rsid w:val="00CE1D92"/>
    <w:rsid w:val="00CE2AC7"/>
    <w:rsid w:val="00CE4C6D"/>
    <w:rsid w:val="00CF0AC2"/>
    <w:rsid w:val="00CF121B"/>
    <w:rsid w:val="00CF456E"/>
    <w:rsid w:val="00CF7EF7"/>
    <w:rsid w:val="00D02AAE"/>
    <w:rsid w:val="00D02C30"/>
    <w:rsid w:val="00D05564"/>
    <w:rsid w:val="00D0788F"/>
    <w:rsid w:val="00D148AD"/>
    <w:rsid w:val="00D15E0D"/>
    <w:rsid w:val="00D17AD3"/>
    <w:rsid w:val="00D25A32"/>
    <w:rsid w:val="00D3465D"/>
    <w:rsid w:val="00D4452E"/>
    <w:rsid w:val="00D44638"/>
    <w:rsid w:val="00D47CC7"/>
    <w:rsid w:val="00D50B20"/>
    <w:rsid w:val="00D54708"/>
    <w:rsid w:val="00D54BAC"/>
    <w:rsid w:val="00D603AF"/>
    <w:rsid w:val="00D60D59"/>
    <w:rsid w:val="00D626DE"/>
    <w:rsid w:val="00D65C34"/>
    <w:rsid w:val="00D73A77"/>
    <w:rsid w:val="00D80589"/>
    <w:rsid w:val="00D82397"/>
    <w:rsid w:val="00D83706"/>
    <w:rsid w:val="00D87159"/>
    <w:rsid w:val="00D90A6F"/>
    <w:rsid w:val="00D90CCD"/>
    <w:rsid w:val="00D91B72"/>
    <w:rsid w:val="00D92AF5"/>
    <w:rsid w:val="00D92D5E"/>
    <w:rsid w:val="00D9783F"/>
    <w:rsid w:val="00DA0CE2"/>
    <w:rsid w:val="00DA4CDD"/>
    <w:rsid w:val="00DA6C99"/>
    <w:rsid w:val="00DA7BD6"/>
    <w:rsid w:val="00DB04B6"/>
    <w:rsid w:val="00DB554F"/>
    <w:rsid w:val="00DB6018"/>
    <w:rsid w:val="00DB69DF"/>
    <w:rsid w:val="00DB75CA"/>
    <w:rsid w:val="00DB7A07"/>
    <w:rsid w:val="00DB7D79"/>
    <w:rsid w:val="00DC42E2"/>
    <w:rsid w:val="00DC5625"/>
    <w:rsid w:val="00DD3194"/>
    <w:rsid w:val="00DD59F4"/>
    <w:rsid w:val="00DD76A2"/>
    <w:rsid w:val="00DE0601"/>
    <w:rsid w:val="00DE22A5"/>
    <w:rsid w:val="00DE371D"/>
    <w:rsid w:val="00DE6487"/>
    <w:rsid w:val="00DF1E99"/>
    <w:rsid w:val="00DF57A2"/>
    <w:rsid w:val="00DF58A1"/>
    <w:rsid w:val="00DF63B7"/>
    <w:rsid w:val="00DF7C76"/>
    <w:rsid w:val="00E04077"/>
    <w:rsid w:val="00E041F7"/>
    <w:rsid w:val="00E06A8A"/>
    <w:rsid w:val="00E06B8E"/>
    <w:rsid w:val="00E10D10"/>
    <w:rsid w:val="00E1261E"/>
    <w:rsid w:val="00E1281F"/>
    <w:rsid w:val="00E13770"/>
    <w:rsid w:val="00E157FF"/>
    <w:rsid w:val="00E1621B"/>
    <w:rsid w:val="00E164E2"/>
    <w:rsid w:val="00E17D15"/>
    <w:rsid w:val="00E2047F"/>
    <w:rsid w:val="00E2088A"/>
    <w:rsid w:val="00E20DA0"/>
    <w:rsid w:val="00E22185"/>
    <w:rsid w:val="00E22B2F"/>
    <w:rsid w:val="00E22EF1"/>
    <w:rsid w:val="00E23370"/>
    <w:rsid w:val="00E26590"/>
    <w:rsid w:val="00E309B4"/>
    <w:rsid w:val="00E319EF"/>
    <w:rsid w:val="00E35A63"/>
    <w:rsid w:val="00E366EB"/>
    <w:rsid w:val="00E37D4D"/>
    <w:rsid w:val="00E44EC5"/>
    <w:rsid w:val="00E4658D"/>
    <w:rsid w:val="00E51435"/>
    <w:rsid w:val="00E53478"/>
    <w:rsid w:val="00E54AF0"/>
    <w:rsid w:val="00E64591"/>
    <w:rsid w:val="00E65B97"/>
    <w:rsid w:val="00E669E7"/>
    <w:rsid w:val="00E66F4B"/>
    <w:rsid w:val="00E73DEB"/>
    <w:rsid w:val="00E81842"/>
    <w:rsid w:val="00E8337E"/>
    <w:rsid w:val="00E86592"/>
    <w:rsid w:val="00E921DE"/>
    <w:rsid w:val="00E940B5"/>
    <w:rsid w:val="00E946C5"/>
    <w:rsid w:val="00E94717"/>
    <w:rsid w:val="00E95998"/>
    <w:rsid w:val="00EA0A5B"/>
    <w:rsid w:val="00EA293D"/>
    <w:rsid w:val="00EA3E95"/>
    <w:rsid w:val="00EA4FAE"/>
    <w:rsid w:val="00EA58F0"/>
    <w:rsid w:val="00EA5947"/>
    <w:rsid w:val="00EA6EDD"/>
    <w:rsid w:val="00EB0BE6"/>
    <w:rsid w:val="00EB0F7D"/>
    <w:rsid w:val="00EB15EB"/>
    <w:rsid w:val="00EB2ADF"/>
    <w:rsid w:val="00EB3A9F"/>
    <w:rsid w:val="00EB5450"/>
    <w:rsid w:val="00EB686C"/>
    <w:rsid w:val="00EB6CA6"/>
    <w:rsid w:val="00EC01E2"/>
    <w:rsid w:val="00EC658B"/>
    <w:rsid w:val="00EC7DEE"/>
    <w:rsid w:val="00ED0DE4"/>
    <w:rsid w:val="00ED256A"/>
    <w:rsid w:val="00ED4031"/>
    <w:rsid w:val="00ED53C6"/>
    <w:rsid w:val="00ED591B"/>
    <w:rsid w:val="00EE1AD0"/>
    <w:rsid w:val="00EE1FE3"/>
    <w:rsid w:val="00EE3A8D"/>
    <w:rsid w:val="00EE3C36"/>
    <w:rsid w:val="00EE57A9"/>
    <w:rsid w:val="00EE697D"/>
    <w:rsid w:val="00EE6FC1"/>
    <w:rsid w:val="00EE73BD"/>
    <w:rsid w:val="00EF0176"/>
    <w:rsid w:val="00EF04C5"/>
    <w:rsid w:val="00EF25B2"/>
    <w:rsid w:val="00EF5518"/>
    <w:rsid w:val="00F0033B"/>
    <w:rsid w:val="00F01E17"/>
    <w:rsid w:val="00F050C6"/>
    <w:rsid w:val="00F13187"/>
    <w:rsid w:val="00F14908"/>
    <w:rsid w:val="00F14CFD"/>
    <w:rsid w:val="00F14FF7"/>
    <w:rsid w:val="00F15940"/>
    <w:rsid w:val="00F1597F"/>
    <w:rsid w:val="00F1678D"/>
    <w:rsid w:val="00F16DEF"/>
    <w:rsid w:val="00F22CAE"/>
    <w:rsid w:val="00F3086F"/>
    <w:rsid w:val="00F34618"/>
    <w:rsid w:val="00F35DDD"/>
    <w:rsid w:val="00F372ED"/>
    <w:rsid w:val="00F41B73"/>
    <w:rsid w:val="00F44602"/>
    <w:rsid w:val="00F455ED"/>
    <w:rsid w:val="00F456E0"/>
    <w:rsid w:val="00F47C7F"/>
    <w:rsid w:val="00F50085"/>
    <w:rsid w:val="00F51DC8"/>
    <w:rsid w:val="00F5336A"/>
    <w:rsid w:val="00F57C42"/>
    <w:rsid w:val="00F606A9"/>
    <w:rsid w:val="00F634C1"/>
    <w:rsid w:val="00F63FC9"/>
    <w:rsid w:val="00F64D8F"/>
    <w:rsid w:val="00F71891"/>
    <w:rsid w:val="00F73066"/>
    <w:rsid w:val="00F77273"/>
    <w:rsid w:val="00F80A6C"/>
    <w:rsid w:val="00F81BA0"/>
    <w:rsid w:val="00F85360"/>
    <w:rsid w:val="00F91893"/>
    <w:rsid w:val="00F956D3"/>
    <w:rsid w:val="00F9699A"/>
    <w:rsid w:val="00F972A5"/>
    <w:rsid w:val="00F977A5"/>
    <w:rsid w:val="00FA29F4"/>
    <w:rsid w:val="00FA2F73"/>
    <w:rsid w:val="00FA31B8"/>
    <w:rsid w:val="00FB00D0"/>
    <w:rsid w:val="00FB16EC"/>
    <w:rsid w:val="00FB7E28"/>
    <w:rsid w:val="00FC15EB"/>
    <w:rsid w:val="00FC2776"/>
    <w:rsid w:val="00FC3D02"/>
    <w:rsid w:val="00FC70E2"/>
    <w:rsid w:val="00FC712A"/>
    <w:rsid w:val="00FC7DD5"/>
    <w:rsid w:val="00FD4638"/>
    <w:rsid w:val="00FD552D"/>
    <w:rsid w:val="00FD6670"/>
    <w:rsid w:val="00FE061A"/>
    <w:rsid w:val="00FE233B"/>
    <w:rsid w:val="00FE491A"/>
    <w:rsid w:val="00FE4F13"/>
    <w:rsid w:val="00FE6011"/>
    <w:rsid w:val="00FE63E9"/>
    <w:rsid w:val="00FE6ED5"/>
    <w:rsid w:val="00FE730E"/>
    <w:rsid w:val="00FF584B"/>
    <w:rsid w:val="00FF6FE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00a5e6,#454545,#f3f4ea"/>
    </o:shapedefaults>
    <o:shapelayout v:ext="edit">
      <o:idmap v:ext="edit" data="1"/>
    </o:shapelayout>
  </w:shapeDefaults>
  <w:decimalSymbol w:val="."/>
  <w:listSeparator w:val=","/>
  <w14:docId w14:val="6337278A"/>
  <w15:docId w15:val="{1E5C65FB-F45B-46F5-B464-0C61CF8B1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en-AU" w:eastAsia="en-AU" w:bidi="ar-SA"/>
      </w:rPr>
    </w:rPrDefault>
    <w:pPrDefault/>
  </w:docDefaults>
  <w:latentStyles w:defLockedState="0" w:defUIPriority="0" w:defSemiHidden="0" w:defUnhideWhenUsed="0" w:defQFormat="0" w:count="371">
    <w:lsdException w:name="heading 1" w:qFormat="1"/>
    <w:lsdException w:name="heading 2" w:uiPriority="9" w:qFormat="1"/>
    <w:lsdException w:name="heading 3"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A4998"/>
    <w:rPr>
      <w:sz w:val="24"/>
      <w:szCs w:val="24"/>
    </w:rPr>
  </w:style>
  <w:style w:type="paragraph" w:styleId="Heading1">
    <w:name w:val="heading 1"/>
    <w:basedOn w:val="Normal"/>
    <w:next w:val="Normal"/>
    <w:link w:val="Heading1Char"/>
    <w:qFormat/>
    <w:rsid w:val="005D7169"/>
    <w:pPr>
      <w:keepNext/>
      <w:spacing w:before="240" w:after="60"/>
      <w:outlineLvl w:val="0"/>
    </w:pPr>
    <w:rPr>
      <w:rFonts w:ascii="Frutiger 55 Roman" w:hAnsi="Frutiger 55 Roman" w:cs="Arial"/>
      <w:b/>
      <w:bCs/>
      <w:kern w:val="32"/>
      <w:sz w:val="36"/>
      <w:szCs w:val="32"/>
    </w:rPr>
  </w:style>
  <w:style w:type="paragraph" w:styleId="Heading2">
    <w:name w:val="heading 2"/>
    <w:aliases w:val="Heading 1.1"/>
    <w:basedOn w:val="Normal"/>
    <w:next w:val="Normal"/>
    <w:link w:val="Heading2Char"/>
    <w:uiPriority w:val="9"/>
    <w:qFormat/>
    <w:rsid w:val="00221679"/>
    <w:pPr>
      <w:keepNext/>
      <w:spacing w:before="240" w:after="60"/>
      <w:outlineLvl w:val="1"/>
    </w:pPr>
    <w:rPr>
      <w:rFonts w:ascii="Frutiger 55 Roman" w:hAnsi="Frutiger 55 Roman" w:cs="Arial"/>
      <w:b/>
      <w:bCs/>
      <w:iCs/>
      <w:sz w:val="28"/>
      <w:szCs w:val="28"/>
    </w:rPr>
  </w:style>
  <w:style w:type="paragraph" w:styleId="Heading3">
    <w:name w:val="heading 3"/>
    <w:basedOn w:val="Normal"/>
    <w:next w:val="Normal"/>
    <w:link w:val="Heading3Char"/>
    <w:qFormat/>
    <w:rsid w:val="00221679"/>
    <w:pPr>
      <w:keepNext/>
      <w:numPr>
        <w:ilvl w:val="2"/>
        <w:numId w:val="15"/>
      </w:numPr>
      <w:spacing w:before="240" w:after="60"/>
      <w:outlineLvl w:val="2"/>
    </w:pPr>
    <w:rPr>
      <w:rFonts w:ascii="Frutiger 55 Roman" w:hAnsi="Frutiger 55 Roman" w:cs="Arial"/>
      <w:bCs/>
      <w:szCs w:val="26"/>
    </w:rPr>
  </w:style>
  <w:style w:type="paragraph" w:styleId="Heading4">
    <w:name w:val="heading 4"/>
    <w:basedOn w:val="Normal"/>
    <w:next w:val="Normal"/>
    <w:link w:val="Heading4Char"/>
    <w:rsid w:val="00221679"/>
    <w:pPr>
      <w:keepNext/>
      <w:numPr>
        <w:ilvl w:val="3"/>
        <w:numId w:val="15"/>
      </w:numPr>
      <w:spacing w:before="240" w:after="60"/>
      <w:outlineLvl w:val="3"/>
    </w:pPr>
    <w:rPr>
      <w:rFonts w:ascii="Frutiger 45 Light" w:hAnsi="Frutiger 45 Light"/>
      <w:bCs/>
      <w:i/>
      <w:szCs w:val="28"/>
    </w:rPr>
  </w:style>
  <w:style w:type="paragraph" w:styleId="Heading5">
    <w:name w:val="heading 5"/>
    <w:basedOn w:val="Normal"/>
    <w:next w:val="Normal"/>
    <w:link w:val="Heading5Char"/>
    <w:rsid w:val="00221679"/>
    <w:pPr>
      <w:numPr>
        <w:ilvl w:val="4"/>
        <w:numId w:val="15"/>
      </w:numPr>
      <w:spacing w:before="240" w:after="60"/>
      <w:outlineLvl w:val="4"/>
    </w:pPr>
    <w:rPr>
      <w:b/>
      <w:bCs/>
      <w:i/>
      <w:iCs/>
      <w:sz w:val="26"/>
      <w:szCs w:val="26"/>
    </w:rPr>
  </w:style>
  <w:style w:type="paragraph" w:styleId="Heading6">
    <w:name w:val="heading 6"/>
    <w:basedOn w:val="Normal"/>
    <w:next w:val="Normal"/>
    <w:link w:val="Heading6Char"/>
    <w:rsid w:val="00221679"/>
    <w:pPr>
      <w:numPr>
        <w:ilvl w:val="5"/>
        <w:numId w:val="15"/>
      </w:numPr>
      <w:spacing w:before="240" w:after="60"/>
      <w:outlineLvl w:val="5"/>
    </w:pPr>
    <w:rPr>
      <w:b/>
      <w:bCs/>
      <w:sz w:val="22"/>
      <w:szCs w:val="22"/>
    </w:rPr>
  </w:style>
  <w:style w:type="paragraph" w:styleId="Heading7">
    <w:name w:val="heading 7"/>
    <w:basedOn w:val="Normal"/>
    <w:next w:val="Normal"/>
    <w:link w:val="Heading7Char"/>
    <w:rsid w:val="00221679"/>
    <w:pPr>
      <w:numPr>
        <w:ilvl w:val="6"/>
        <w:numId w:val="15"/>
      </w:numPr>
      <w:spacing w:before="240" w:after="60"/>
      <w:outlineLvl w:val="6"/>
    </w:pPr>
  </w:style>
  <w:style w:type="paragraph" w:styleId="Heading8">
    <w:name w:val="heading 8"/>
    <w:basedOn w:val="Normal"/>
    <w:next w:val="Normal"/>
    <w:link w:val="Heading8Char"/>
    <w:rsid w:val="00221679"/>
    <w:pPr>
      <w:numPr>
        <w:ilvl w:val="7"/>
        <w:numId w:val="15"/>
      </w:numPr>
      <w:spacing w:before="240" w:after="60"/>
      <w:outlineLvl w:val="7"/>
    </w:pPr>
    <w:rPr>
      <w:i/>
      <w:iCs/>
    </w:rPr>
  </w:style>
  <w:style w:type="paragraph" w:styleId="Heading9">
    <w:name w:val="heading 9"/>
    <w:basedOn w:val="Normal"/>
    <w:next w:val="Normal"/>
    <w:link w:val="Heading9Char"/>
    <w:rsid w:val="00221679"/>
    <w:pPr>
      <w:numPr>
        <w:ilvl w:val="8"/>
        <w:numId w:val="15"/>
      </w:numPr>
      <w:spacing w:before="240" w:after="60"/>
      <w:outlineLvl w:val="8"/>
    </w:pPr>
    <w:rPr>
      <w:rFonts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21679"/>
    <w:rPr>
      <w:rFonts w:ascii="Frutiger 55 Roman" w:hAnsi="Frutiger 55 Roman" w:cs="Arial"/>
      <w:b/>
      <w:bCs/>
      <w:kern w:val="32"/>
      <w:sz w:val="36"/>
      <w:szCs w:val="32"/>
      <w:lang w:val="en-AU" w:eastAsia="en-AU" w:bidi="ar-SA"/>
    </w:rPr>
  </w:style>
  <w:style w:type="numbering" w:styleId="111111">
    <w:name w:val="Outline List 2"/>
    <w:basedOn w:val="NoList"/>
    <w:semiHidden/>
    <w:rsid w:val="00CB03AF"/>
    <w:pPr>
      <w:numPr>
        <w:numId w:val="11"/>
      </w:numPr>
    </w:pPr>
  </w:style>
  <w:style w:type="numbering" w:styleId="1ai">
    <w:name w:val="Outline List 1"/>
    <w:basedOn w:val="NoList"/>
    <w:semiHidden/>
    <w:rsid w:val="00CB03AF"/>
    <w:pPr>
      <w:numPr>
        <w:numId w:val="12"/>
      </w:numPr>
    </w:pPr>
  </w:style>
  <w:style w:type="numbering" w:styleId="ArticleSection">
    <w:name w:val="Outline List 3"/>
    <w:basedOn w:val="NoList"/>
    <w:semiHidden/>
    <w:rsid w:val="00CB03AF"/>
    <w:pPr>
      <w:numPr>
        <w:numId w:val="13"/>
      </w:numPr>
    </w:pPr>
  </w:style>
  <w:style w:type="paragraph" w:styleId="BlockText">
    <w:name w:val="Block Text"/>
    <w:basedOn w:val="Normal"/>
    <w:semiHidden/>
    <w:rsid w:val="00CB03AF"/>
    <w:pPr>
      <w:spacing w:after="120"/>
      <w:ind w:left="1440" w:right="1440"/>
    </w:pPr>
  </w:style>
  <w:style w:type="paragraph" w:customStyle="1" w:styleId="VEOHRCListBullet2ndlevel">
    <w:name w:val="VEOHRC List Bullet 2nd level"/>
    <w:basedOn w:val="VEOHRCListBullet"/>
    <w:qFormat/>
    <w:rsid w:val="00A2617E"/>
    <w:pPr>
      <w:numPr>
        <w:numId w:val="1"/>
      </w:numPr>
    </w:pPr>
  </w:style>
  <w:style w:type="paragraph" w:styleId="BodyText2">
    <w:name w:val="Body Text 2"/>
    <w:basedOn w:val="Normal"/>
    <w:link w:val="BodyText2Char"/>
    <w:semiHidden/>
    <w:rsid w:val="00CB03AF"/>
    <w:pPr>
      <w:spacing w:after="120" w:line="480" w:lineRule="auto"/>
    </w:pPr>
  </w:style>
  <w:style w:type="paragraph" w:styleId="BodyText3">
    <w:name w:val="Body Text 3"/>
    <w:basedOn w:val="Normal"/>
    <w:link w:val="BodyText3Char"/>
    <w:semiHidden/>
    <w:rsid w:val="00CB03AF"/>
    <w:pPr>
      <w:spacing w:after="120"/>
    </w:pPr>
    <w:rPr>
      <w:sz w:val="16"/>
      <w:szCs w:val="16"/>
    </w:rPr>
  </w:style>
  <w:style w:type="paragraph" w:styleId="BodyTextFirstIndent">
    <w:name w:val="Body Text First Indent"/>
    <w:basedOn w:val="Normal"/>
    <w:link w:val="BodyTextFirstIndentChar"/>
    <w:semiHidden/>
    <w:rsid w:val="00811901"/>
    <w:pPr>
      <w:ind w:firstLine="210"/>
    </w:pPr>
  </w:style>
  <w:style w:type="paragraph" w:styleId="BodyTextIndent">
    <w:name w:val="Body Text Indent"/>
    <w:basedOn w:val="Normal"/>
    <w:link w:val="BodyTextIndentChar"/>
    <w:semiHidden/>
    <w:rsid w:val="00CB03AF"/>
    <w:pPr>
      <w:spacing w:after="120"/>
      <w:ind w:left="283"/>
    </w:pPr>
  </w:style>
  <w:style w:type="paragraph" w:styleId="BodyTextFirstIndent2">
    <w:name w:val="Body Text First Indent 2"/>
    <w:basedOn w:val="BodyTextIndent"/>
    <w:link w:val="BodyTextFirstIndent2Char"/>
    <w:semiHidden/>
    <w:rsid w:val="00CB03AF"/>
    <w:pPr>
      <w:ind w:firstLine="210"/>
    </w:pPr>
  </w:style>
  <w:style w:type="paragraph" w:styleId="BodyTextIndent2">
    <w:name w:val="Body Text Indent 2"/>
    <w:basedOn w:val="Normal"/>
    <w:link w:val="BodyTextIndent2Char"/>
    <w:semiHidden/>
    <w:rsid w:val="00CB03AF"/>
    <w:pPr>
      <w:spacing w:after="120" w:line="480" w:lineRule="auto"/>
      <w:ind w:left="283"/>
    </w:pPr>
  </w:style>
  <w:style w:type="paragraph" w:styleId="BodyTextIndent3">
    <w:name w:val="Body Text Indent 3"/>
    <w:basedOn w:val="Normal"/>
    <w:link w:val="BodyTextIndent3Char"/>
    <w:semiHidden/>
    <w:rsid w:val="00CB03AF"/>
    <w:pPr>
      <w:spacing w:after="120"/>
      <w:ind w:left="283"/>
    </w:pPr>
    <w:rPr>
      <w:sz w:val="16"/>
      <w:szCs w:val="16"/>
    </w:rPr>
  </w:style>
  <w:style w:type="paragraph" w:styleId="Closing">
    <w:name w:val="Closing"/>
    <w:basedOn w:val="Normal"/>
    <w:link w:val="ClosingChar"/>
    <w:semiHidden/>
    <w:rsid w:val="00CB03AF"/>
    <w:pPr>
      <w:ind w:left="4252"/>
    </w:pPr>
  </w:style>
  <w:style w:type="paragraph" w:styleId="Date">
    <w:name w:val="Date"/>
    <w:basedOn w:val="Normal"/>
    <w:next w:val="Normal"/>
    <w:link w:val="DateChar"/>
    <w:semiHidden/>
    <w:rsid w:val="00CB03AF"/>
  </w:style>
  <w:style w:type="paragraph" w:styleId="E-mailSignature">
    <w:name w:val="E-mail Signature"/>
    <w:basedOn w:val="Normal"/>
    <w:link w:val="E-mailSignatureChar"/>
    <w:semiHidden/>
    <w:rsid w:val="00CB03AF"/>
  </w:style>
  <w:style w:type="paragraph" w:styleId="EnvelopeAddress">
    <w:name w:val="envelope address"/>
    <w:basedOn w:val="Normal"/>
    <w:semiHidden/>
    <w:rsid w:val="00CB03AF"/>
    <w:pPr>
      <w:framePr w:w="7920" w:h="1980" w:hRule="exact" w:hSpace="180" w:wrap="auto" w:hAnchor="page" w:xAlign="center" w:yAlign="bottom"/>
      <w:ind w:left="2880"/>
    </w:pPr>
    <w:rPr>
      <w:rFonts w:cs="Arial"/>
    </w:rPr>
  </w:style>
  <w:style w:type="paragraph" w:styleId="EnvelopeReturn">
    <w:name w:val="envelope return"/>
    <w:basedOn w:val="Normal"/>
    <w:semiHidden/>
    <w:rsid w:val="00CB03AF"/>
    <w:rPr>
      <w:rFonts w:cs="Arial"/>
      <w:sz w:val="20"/>
      <w:szCs w:val="20"/>
    </w:rPr>
  </w:style>
  <w:style w:type="character" w:styleId="FollowedHyperlink">
    <w:name w:val="FollowedHyperlink"/>
    <w:uiPriority w:val="99"/>
    <w:semiHidden/>
    <w:rsid w:val="00CB03AF"/>
    <w:rPr>
      <w:color w:val="800080"/>
      <w:u w:val="single"/>
    </w:rPr>
  </w:style>
  <w:style w:type="paragraph" w:styleId="Footer">
    <w:name w:val="footer"/>
    <w:basedOn w:val="Normal"/>
    <w:link w:val="FooterChar"/>
    <w:uiPriority w:val="99"/>
    <w:rsid w:val="00CB03AF"/>
    <w:pPr>
      <w:tabs>
        <w:tab w:val="center" w:pos="4153"/>
        <w:tab w:val="right" w:pos="8306"/>
      </w:tabs>
    </w:pPr>
  </w:style>
  <w:style w:type="paragraph" w:styleId="Header">
    <w:name w:val="header"/>
    <w:basedOn w:val="Normal"/>
    <w:link w:val="HeaderChar"/>
    <w:semiHidden/>
    <w:rsid w:val="00CB03AF"/>
    <w:pPr>
      <w:tabs>
        <w:tab w:val="center" w:pos="4153"/>
        <w:tab w:val="right" w:pos="8306"/>
      </w:tabs>
    </w:pPr>
  </w:style>
  <w:style w:type="character" w:styleId="HTMLAcronym">
    <w:name w:val="HTML Acronym"/>
    <w:basedOn w:val="DefaultParagraphFont"/>
    <w:semiHidden/>
    <w:rsid w:val="00CB03AF"/>
  </w:style>
  <w:style w:type="paragraph" w:styleId="HTMLAddress">
    <w:name w:val="HTML Address"/>
    <w:basedOn w:val="Normal"/>
    <w:link w:val="HTMLAddressChar"/>
    <w:semiHidden/>
    <w:rsid w:val="00CB03AF"/>
    <w:rPr>
      <w:i/>
      <w:iCs/>
    </w:rPr>
  </w:style>
  <w:style w:type="character" w:styleId="HTMLCite">
    <w:name w:val="HTML Cite"/>
    <w:semiHidden/>
    <w:rsid w:val="00CB03AF"/>
    <w:rPr>
      <w:i/>
      <w:iCs/>
    </w:rPr>
  </w:style>
  <w:style w:type="character" w:styleId="HTMLCode">
    <w:name w:val="HTML Code"/>
    <w:semiHidden/>
    <w:rsid w:val="00CB03AF"/>
    <w:rPr>
      <w:rFonts w:ascii="Courier New" w:hAnsi="Courier New" w:cs="Courier New"/>
      <w:sz w:val="20"/>
      <w:szCs w:val="20"/>
    </w:rPr>
  </w:style>
  <w:style w:type="character" w:styleId="HTMLDefinition">
    <w:name w:val="HTML Definition"/>
    <w:semiHidden/>
    <w:rsid w:val="00CB03AF"/>
    <w:rPr>
      <w:i/>
      <w:iCs/>
    </w:rPr>
  </w:style>
  <w:style w:type="character" w:styleId="HTMLKeyboard">
    <w:name w:val="HTML Keyboard"/>
    <w:semiHidden/>
    <w:rsid w:val="00CB03AF"/>
    <w:rPr>
      <w:rFonts w:ascii="Courier New" w:hAnsi="Courier New" w:cs="Courier New"/>
      <w:sz w:val="20"/>
      <w:szCs w:val="20"/>
    </w:rPr>
  </w:style>
  <w:style w:type="paragraph" w:styleId="HTMLPreformatted">
    <w:name w:val="HTML Preformatted"/>
    <w:basedOn w:val="Normal"/>
    <w:link w:val="HTMLPreformattedChar"/>
    <w:semiHidden/>
    <w:rsid w:val="00CB03AF"/>
    <w:rPr>
      <w:rFonts w:ascii="Courier New" w:hAnsi="Courier New" w:cs="Courier New"/>
      <w:sz w:val="20"/>
      <w:szCs w:val="20"/>
    </w:rPr>
  </w:style>
  <w:style w:type="character" w:styleId="HTMLSample">
    <w:name w:val="HTML Sample"/>
    <w:semiHidden/>
    <w:rsid w:val="00CB03AF"/>
    <w:rPr>
      <w:rFonts w:ascii="Courier New" w:hAnsi="Courier New" w:cs="Courier New"/>
    </w:rPr>
  </w:style>
  <w:style w:type="character" w:styleId="HTMLTypewriter">
    <w:name w:val="HTML Typewriter"/>
    <w:semiHidden/>
    <w:rsid w:val="00CB03AF"/>
    <w:rPr>
      <w:rFonts w:ascii="Courier New" w:hAnsi="Courier New" w:cs="Courier New"/>
      <w:sz w:val="20"/>
      <w:szCs w:val="20"/>
    </w:rPr>
  </w:style>
  <w:style w:type="character" w:styleId="HTMLVariable">
    <w:name w:val="HTML Variable"/>
    <w:semiHidden/>
    <w:rsid w:val="00CB03AF"/>
    <w:rPr>
      <w:i/>
      <w:iCs/>
    </w:rPr>
  </w:style>
  <w:style w:type="character" w:styleId="Hyperlink">
    <w:name w:val="Hyperlink"/>
    <w:uiPriority w:val="99"/>
    <w:rsid w:val="00CB03AF"/>
    <w:rPr>
      <w:color w:val="0000FF"/>
      <w:u w:val="single"/>
    </w:rPr>
  </w:style>
  <w:style w:type="character" w:styleId="LineNumber">
    <w:name w:val="line number"/>
    <w:basedOn w:val="DefaultParagraphFont"/>
    <w:semiHidden/>
    <w:rsid w:val="00CB03AF"/>
  </w:style>
  <w:style w:type="paragraph" w:styleId="FootnoteText">
    <w:name w:val="footnote text"/>
    <w:aliases w:val="single space Char,single space,Footnote reference,FA Fu,Footnote Text Char Char Char Char Char,Footnote Text Char Char Char Char,vFootnote Text,Footnote Text Char Char,Footnote Text Char1 Char Char"/>
    <w:basedOn w:val="Normal"/>
    <w:link w:val="FootnoteTextChar"/>
    <w:uiPriority w:val="99"/>
    <w:qFormat/>
    <w:rsid w:val="00205316"/>
    <w:rPr>
      <w:sz w:val="20"/>
      <w:szCs w:val="20"/>
    </w:rPr>
  </w:style>
  <w:style w:type="paragraph" w:customStyle="1" w:styleId="VEOHRCListBullet">
    <w:name w:val="VEOHRC List Bullet"/>
    <w:basedOn w:val="Normal"/>
    <w:uiPriority w:val="99"/>
    <w:qFormat/>
    <w:rsid w:val="00A2617E"/>
    <w:pPr>
      <w:numPr>
        <w:numId w:val="14"/>
      </w:numPr>
      <w:spacing w:after="60" w:line="240" w:lineRule="atLeast"/>
    </w:pPr>
    <w:rPr>
      <w:lang w:val="en-GB"/>
    </w:rPr>
  </w:style>
  <w:style w:type="paragraph" w:styleId="List3">
    <w:name w:val="List 3"/>
    <w:basedOn w:val="Normal"/>
    <w:semiHidden/>
    <w:rsid w:val="00CB03AF"/>
    <w:pPr>
      <w:ind w:left="849" w:hanging="283"/>
    </w:pPr>
  </w:style>
  <w:style w:type="paragraph" w:styleId="List4">
    <w:name w:val="List 4"/>
    <w:basedOn w:val="Normal"/>
    <w:semiHidden/>
    <w:rsid w:val="00CB03AF"/>
    <w:pPr>
      <w:ind w:left="1132" w:hanging="283"/>
    </w:pPr>
  </w:style>
  <w:style w:type="paragraph" w:styleId="List5">
    <w:name w:val="List 5"/>
    <w:basedOn w:val="Normal"/>
    <w:semiHidden/>
    <w:rsid w:val="00CB03AF"/>
    <w:pPr>
      <w:ind w:left="1415" w:hanging="283"/>
    </w:pPr>
  </w:style>
  <w:style w:type="paragraph" w:styleId="BodyText">
    <w:name w:val="Body Text"/>
    <w:basedOn w:val="Normal"/>
    <w:link w:val="BodyTextChar"/>
    <w:semiHidden/>
    <w:rsid w:val="00EF25B2"/>
    <w:pPr>
      <w:spacing w:after="120"/>
    </w:pPr>
  </w:style>
  <w:style w:type="paragraph" w:styleId="ListBullet2">
    <w:name w:val="List Bullet 2"/>
    <w:basedOn w:val="Normal"/>
    <w:semiHidden/>
    <w:rsid w:val="00CB03AF"/>
    <w:pPr>
      <w:numPr>
        <w:numId w:val="2"/>
      </w:numPr>
    </w:pPr>
  </w:style>
  <w:style w:type="paragraph" w:styleId="ListBullet3">
    <w:name w:val="List Bullet 3"/>
    <w:basedOn w:val="Normal"/>
    <w:semiHidden/>
    <w:rsid w:val="00CB03AF"/>
    <w:pPr>
      <w:numPr>
        <w:numId w:val="3"/>
      </w:numPr>
    </w:pPr>
  </w:style>
  <w:style w:type="paragraph" w:styleId="ListBullet4">
    <w:name w:val="List Bullet 4"/>
    <w:basedOn w:val="Normal"/>
    <w:semiHidden/>
    <w:rsid w:val="00CB03AF"/>
    <w:pPr>
      <w:numPr>
        <w:numId w:val="4"/>
      </w:numPr>
    </w:pPr>
  </w:style>
  <w:style w:type="paragraph" w:styleId="ListBullet5">
    <w:name w:val="List Bullet 5"/>
    <w:basedOn w:val="Normal"/>
    <w:semiHidden/>
    <w:rsid w:val="00CB03AF"/>
    <w:pPr>
      <w:numPr>
        <w:numId w:val="5"/>
      </w:numPr>
    </w:pPr>
  </w:style>
  <w:style w:type="paragraph" w:styleId="ListContinue">
    <w:name w:val="List Continue"/>
    <w:basedOn w:val="Normal"/>
    <w:semiHidden/>
    <w:rsid w:val="00CB03AF"/>
    <w:pPr>
      <w:spacing w:after="120"/>
      <w:ind w:left="283"/>
    </w:pPr>
  </w:style>
  <w:style w:type="paragraph" w:styleId="ListContinue2">
    <w:name w:val="List Continue 2"/>
    <w:basedOn w:val="Normal"/>
    <w:semiHidden/>
    <w:rsid w:val="00CB03AF"/>
    <w:pPr>
      <w:spacing w:after="120"/>
      <w:ind w:left="566"/>
    </w:pPr>
  </w:style>
  <w:style w:type="paragraph" w:styleId="ListContinue3">
    <w:name w:val="List Continue 3"/>
    <w:basedOn w:val="Normal"/>
    <w:semiHidden/>
    <w:rsid w:val="00CB03AF"/>
    <w:pPr>
      <w:spacing w:after="120"/>
      <w:ind w:left="849"/>
    </w:pPr>
  </w:style>
  <w:style w:type="paragraph" w:styleId="ListContinue4">
    <w:name w:val="List Continue 4"/>
    <w:basedOn w:val="Normal"/>
    <w:semiHidden/>
    <w:rsid w:val="00CB03AF"/>
    <w:pPr>
      <w:spacing w:after="120"/>
      <w:ind w:left="1132"/>
    </w:pPr>
  </w:style>
  <w:style w:type="paragraph" w:styleId="ListContinue5">
    <w:name w:val="List Continue 5"/>
    <w:basedOn w:val="Normal"/>
    <w:semiHidden/>
    <w:rsid w:val="00CB03AF"/>
    <w:pPr>
      <w:spacing w:after="120"/>
      <w:ind w:left="1415"/>
    </w:pPr>
  </w:style>
  <w:style w:type="paragraph" w:styleId="ListNumber">
    <w:name w:val="List Number"/>
    <w:basedOn w:val="Normal"/>
    <w:semiHidden/>
    <w:rsid w:val="007165B6"/>
    <w:pPr>
      <w:numPr>
        <w:numId w:val="6"/>
      </w:numPr>
    </w:pPr>
  </w:style>
  <w:style w:type="paragraph" w:styleId="ListNumber2">
    <w:name w:val="List Number 2"/>
    <w:basedOn w:val="Normal"/>
    <w:semiHidden/>
    <w:rsid w:val="00CB03AF"/>
    <w:pPr>
      <w:numPr>
        <w:numId w:val="7"/>
      </w:numPr>
    </w:pPr>
  </w:style>
  <w:style w:type="paragraph" w:styleId="ListNumber3">
    <w:name w:val="List Number 3"/>
    <w:basedOn w:val="Normal"/>
    <w:semiHidden/>
    <w:rsid w:val="00CB03AF"/>
    <w:pPr>
      <w:numPr>
        <w:numId w:val="8"/>
      </w:numPr>
    </w:pPr>
  </w:style>
  <w:style w:type="paragraph" w:styleId="ListNumber4">
    <w:name w:val="List Number 4"/>
    <w:basedOn w:val="Normal"/>
    <w:semiHidden/>
    <w:rsid w:val="00CB03AF"/>
    <w:pPr>
      <w:numPr>
        <w:numId w:val="9"/>
      </w:numPr>
    </w:pPr>
  </w:style>
  <w:style w:type="paragraph" w:styleId="ListNumber5">
    <w:name w:val="List Number 5"/>
    <w:basedOn w:val="Normal"/>
    <w:semiHidden/>
    <w:rsid w:val="00CB03AF"/>
    <w:pPr>
      <w:numPr>
        <w:numId w:val="10"/>
      </w:numPr>
    </w:pPr>
  </w:style>
  <w:style w:type="paragraph" w:styleId="MessageHeader">
    <w:name w:val="Message Header"/>
    <w:basedOn w:val="Normal"/>
    <w:link w:val="MessageHeaderChar"/>
    <w:semiHidden/>
    <w:rsid w:val="00CB03AF"/>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rsid w:val="00CB03AF"/>
  </w:style>
  <w:style w:type="paragraph" w:styleId="NormalIndent">
    <w:name w:val="Normal Indent"/>
    <w:basedOn w:val="Normal"/>
    <w:semiHidden/>
    <w:rsid w:val="00CB03AF"/>
    <w:pPr>
      <w:ind w:left="720"/>
    </w:pPr>
  </w:style>
  <w:style w:type="paragraph" w:styleId="NoteHeading">
    <w:name w:val="Note Heading"/>
    <w:basedOn w:val="Normal"/>
    <w:next w:val="Normal"/>
    <w:link w:val="NoteHeadingChar"/>
    <w:semiHidden/>
    <w:rsid w:val="00CB03AF"/>
  </w:style>
  <w:style w:type="character" w:styleId="PageNumber">
    <w:name w:val="page number"/>
    <w:basedOn w:val="DefaultParagraphFont"/>
    <w:semiHidden/>
    <w:rsid w:val="00CB03AF"/>
  </w:style>
  <w:style w:type="paragraph" w:styleId="PlainText">
    <w:name w:val="Plain Text"/>
    <w:basedOn w:val="Normal"/>
    <w:link w:val="PlainTextChar"/>
    <w:semiHidden/>
    <w:rsid w:val="00CB03AF"/>
    <w:rPr>
      <w:rFonts w:ascii="Courier New" w:hAnsi="Courier New" w:cs="Courier New"/>
      <w:sz w:val="20"/>
      <w:szCs w:val="20"/>
    </w:rPr>
  </w:style>
  <w:style w:type="paragraph" w:styleId="Salutation">
    <w:name w:val="Salutation"/>
    <w:basedOn w:val="Normal"/>
    <w:next w:val="Normal"/>
    <w:link w:val="SalutationChar"/>
    <w:semiHidden/>
    <w:rsid w:val="00CB03AF"/>
  </w:style>
  <w:style w:type="paragraph" w:styleId="Signature">
    <w:name w:val="Signature"/>
    <w:basedOn w:val="Normal"/>
    <w:link w:val="SignatureChar"/>
    <w:semiHidden/>
    <w:rsid w:val="00CB03AF"/>
    <w:pPr>
      <w:ind w:left="4252"/>
    </w:pPr>
  </w:style>
  <w:style w:type="character" w:styleId="Strong">
    <w:name w:val="Strong"/>
    <w:uiPriority w:val="22"/>
    <w:qFormat/>
    <w:rsid w:val="00CB03AF"/>
    <w:rPr>
      <w:b/>
      <w:bCs/>
    </w:rPr>
  </w:style>
  <w:style w:type="paragraph" w:styleId="Subtitle">
    <w:name w:val="Subtitle"/>
    <w:basedOn w:val="Normal"/>
    <w:link w:val="SubtitleChar"/>
    <w:rsid w:val="00CB03AF"/>
    <w:pPr>
      <w:spacing w:after="60"/>
      <w:jc w:val="center"/>
      <w:outlineLvl w:val="1"/>
    </w:pPr>
    <w:rPr>
      <w:rFonts w:cs="Arial"/>
    </w:rPr>
  </w:style>
  <w:style w:type="table" w:styleId="Table3Deffects1">
    <w:name w:val="Table 3D effects 1"/>
    <w:basedOn w:val="TableNormal"/>
    <w:semiHidden/>
    <w:rsid w:val="00CB03A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B03A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B03A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B03A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B03A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B03A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B03A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B03A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B03A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B03A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B03A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B03A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B03A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B03A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B03A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B03A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B03A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CB03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B03A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B03A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B03A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B03A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B03A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B03A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B03A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B03A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B03A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B03A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B03A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B03A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B03A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B03A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B03A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B03A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B03A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B03A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B03A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B03A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B03A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B03A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B03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B03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B03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B03A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CB03AF"/>
    <w:pPr>
      <w:spacing w:before="240" w:after="60"/>
      <w:jc w:val="center"/>
      <w:outlineLvl w:val="0"/>
    </w:pPr>
    <w:rPr>
      <w:rFonts w:cs="Arial"/>
      <w:b/>
      <w:bCs/>
      <w:kern w:val="28"/>
      <w:sz w:val="32"/>
      <w:szCs w:val="32"/>
    </w:rPr>
  </w:style>
  <w:style w:type="paragraph" w:styleId="List">
    <w:name w:val="List"/>
    <w:basedOn w:val="Normal"/>
    <w:semiHidden/>
    <w:rsid w:val="00EF25B2"/>
    <w:pPr>
      <w:ind w:left="283" w:hanging="283"/>
    </w:pPr>
  </w:style>
  <w:style w:type="paragraph" w:customStyle="1" w:styleId="VEOHRCFootnotetext">
    <w:name w:val="VEOHRC Footnote text"/>
    <w:basedOn w:val="Normal"/>
    <w:rsid w:val="00931B81"/>
    <w:pPr>
      <w:spacing w:line="200" w:lineRule="atLeast"/>
    </w:pPr>
    <w:rPr>
      <w:sz w:val="20"/>
      <w:szCs w:val="20"/>
    </w:rPr>
  </w:style>
  <w:style w:type="paragraph" w:customStyle="1" w:styleId="VEOHRCQuotation">
    <w:name w:val="VEOHRC Quotation"/>
    <w:basedOn w:val="Normal"/>
    <w:qFormat/>
    <w:rsid w:val="00301490"/>
    <w:pPr>
      <w:spacing w:before="120" w:after="120"/>
      <w:ind w:left="720" w:right="788"/>
    </w:pPr>
    <w:rPr>
      <w:rFonts w:cs="Arial"/>
      <w:lang w:val="en-GB"/>
    </w:rPr>
  </w:style>
  <w:style w:type="paragraph" w:styleId="List2">
    <w:name w:val="List 2"/>
    <w:basedOn w:val="Normal"/>
    <w:semiHidden/>
    <w:rsid w:val="00EF25B2"/>
    <w:pPr>
      <w:ind w:left="566" w:hanging="283"/>
    </w:pPr>
  </w:style>
  <w:style w:type="paragraph" w:customStyle="1" w:styleId="VEOHRCHeading1">
    <w:name w:val="VEOHRC Heading 1"/>
    <w:basedOn w:val="Heading1"/>
    <w:link w:val="VEOHRCHeading1Char"/>
    <w:uiPriority w:val="99"/>
    <w:qFormat/>
    <w:rsid w:val="00DB7D79"/>
    <w:pPr>
      <w:spacing w:before="300" w:after="0" w:line="360" w:lineRule="atLeast"/>
    </w:pPr>
    <w:rPr>
      <w:rFonts w:ascii="Arial" w:hAnsi="Arial" w:cs="Times New Roman"/>
      <w:lang w:val="en-GB"/>
    </w:rPr>
  </w:style>
  <w:style w:type="paragraph" w:customStyle="1" w:styleId="VEOHRCBodytext">
    <w:name w:val="VEOHRC Body text"/>
    <w:link w:val="VEOHRCBodytextChar"/>
    <w:qFormat/>
    <w:rsid w:val="00E2047F"/>
    <w:pPr>
      <w:tabs>
        <w:tab w:val="left" w:pos="2640"/>
      </w:tabs>
      <w:spacing w:before="80" w:after="120"/>
    </w:pPr>
    <w:rPr>
      <w:rFonts w:eastAsia="Arial Unicode MS"/>
      <w:sz w:val="24"/>
      <w:szCs w:val="24"/>
      <w:lang w:val="en-GB"/>
    </w:rPr>
  </w:style>
  <w:style w:type="paragraph" w:styleId="ListBullet">
    <w:name w:val="List Bullet"/>
    <w:basedOn w:val="Normal"/>
    <w:semiHidden/>
    <w:rsid w:val="00EF25B2"/>
    <w:pPr>
      <w:tabs>
        <w:tab w:val="num" w:pos="720"/>
      </w:tabs>
      <w:ind w:left="720" w:hanging="360"/>
    </w:pPr>
  </w:style>
  <w:style w:type="character" w:styleId="FootnoteReference">
    <w:name w:val="footnote reference"/>
    <w:uiPriority w:val="99"/>
    <w:rsid w:val="00205316"/>
    <w:rPr>
      <w:vertAlign w:val="superscript"/>
    </w:rPr>
  </w:style>
  <w:style w:type="paragraph" w:customStyle="1" w:styleId="VEOHRCChapterTitle">
    <w:name w:val="VEOHRC Chapter Title"/>
    <w:basedOn w:val="Normal"/>
    <w:qFormat/>
    <w:rsid w:val="000A4E9B"/>
    <w:pPr>
      <w:spacing w:after="120" w:line="360" w:lineRule="atLeast"/>
    </w:pPr>
    <w:rPr>
      <w:sz w:val="48"/>
      <w:lang w:val="en-GB"/>
    </w:rPr>
  </w:style>
  <w:style w:type="paragraph" w:customStyle="1" w:styleId="VEOHRCHeading2">
    <w:name w:val="VEOHRC Heading 2"/>
    <w:qFormat/>
    <w:rsid w:val="004919DD"/>
    <w:pPr>
      <w:keepNext/>
      <w:spacing w:before="240" w:line="280" w:lineRule="atLeast"/>
    </w:pPr>
    <w:rPr>
      <w:rFonts w:eastAsia="Arial Unicode MS" w:cs="Arial"/>
      <w:bCs/>
      <w:iCs/>
      <w:sz w:val="28"/>
      <w:szCs w:val="28"/>
      <w:lang w:val="en-GB"/>
    </w:rPr>
  </w:style>
  <w:style w:type="paragraph" w:customStyle="1" w:styleId="VEOHRCHeading3">
    <w:name w:val="VEOHRC Heading 3"/>
    <w:basedOn w:val="Heading3"/>
    <w:next w:val="Normal"/>
    <w:link w:val="VEOHRCHeading3Char"/>
    <w:uiPriority w:val="99"/>
    <w:qFormat/>
    <w:rsid w:val="00A2617E"/>
    <w:pPr>
      <w:numPr>
        <w:ilvl w:val="0"/>
        <w:numId w:val="0"/>
      </w:numPr>
      <w:spacing w:before="180" w:after="0" w:line="240" w:lineRule="atLeast"/>
    </w:pPr>
    <w:rPr>
      <w:rFonts w:ascii="Arial" w:hAnsi="Arial"/>
      <w:b/>
      <w:lang w:val="en-GB"/>
    </w:rPr>
  </w:style>
  <w:style w:type="paragraph" w:customStyle="1" w:styleId="VEOHRCHeading4">
    <w:name w:val="VEOHRC Heading 4"/>
    <w:basedOn w:val="Heading4"/>
    <w:qFormat/>
    <w:rsid w:val="00A2617E"/>
    <w:pPr>
      <w:numPr>
        <w:ilvl w:val="0"/>
        <w:numId w:val="0"/>
      </w:numPr>
      <w:spacing w:before="120" w:after="0"/>
    </w:pPr>
    <w:rPr>
      <w:rFonts w:ascii="Arial" w:hAnsi="Arial"/>
      <w:lang w:val="en-GB"/>
    </w:rPr>
  </w:style>
  <w:style w:type="paragraph" w:customStyle="1" w:styleId="VEOHRCFootnotereference">
    <w:name w:val="VEOHRC Footnote reference"/>
    <w:basedOn w:val="FootnoteText"/>
    <w:link w:val="VEOHRCFootnotereferenceChar"/>
    <w:rsid w:val="00205316"/>
    <w:rPr>
      <w:vertAlign w:val="superscript"/>
    </w:rPr>
  </w:style>
  <w:style w:type="character" w:customStyle="1" w:styleId="FootnoteTextChar">
    <w:name w:val="Footnote Text Char"/>
    <w:aliases w:val="single space Char Char,single space Char1,Footnote reference Char,FA Fu Char,Footnote Text Char Char Char Char Char Char,Footnote Text Char Char Char Char Char1,vFootnote Text Char,Footnote Text Char Char Char"/>
    <w:link w:val="FootnoteText"/>
    <w:uiPriority w:val="99"/>
    <w:rsid w:val="00205316"/>
    <w:rPr>
      <w:rFonts w:ascii="Frutiger 45 Light" w:hAnsi="Frutiger 45 Light"/>
      <w:lang w:val="en-AU" w:eastAsia="en-AU" w:bidi="ar-SA"/>
    </w:rPr>
  </w:style>
  <w:style w:type="character" w:customStyle="1" w:styleId="VEOHRCFootnotereferenceChar">
    <w:name w:val="VEOHRC Footnote reference Char"/>
    <w:link w:val="VEOHRCFootnotereference"/>
    <w:rsid w:val="00205316"/>
    <w:rPr>
      <w:rFonts w:ascii="Arial" w:hAnsi="Arial"/>
      <w:vertAlign w:val="superscript"/>
      <w:lang w:val="en-AU" w:eastAsia="en-AU" w:bidi="ar-SA"/>
    </w:rPr>
  </w:style>
  <w:style w:type="paragraph" w:customStyle="1" w:styleId="VEOHRCNumberedlist">
    <w:name w:val="VEOHRC Numbered list"/>
    <w:basedOn w:val="VEOHRCListBullet"/>
    <w:qFormat/>
    <w:rsid w:val="00A2617E"/>
    <w:pPr>
      <w:numPr>
        <w:numId w:val="43"/>
      </w:numPr>
    </w:pPr>
  </w:style>
  <w:style w:type="paragraph" w:customStyle="1" w:styleId="VEOHRCsubhead">
    <w:name w:val="VEOHRC &gt; subhead"/>
    <w:basedOn w:val="VEOHRCBodytext"/>
    <w:rsid w:val="00A2617E"/>
    <w:rPr>
      <w:sz w:val="28"/>
    </w:rPr>
  </w:style>
  <w:style w:type="paragraph" w:styleId="TOC1">
    <w:name w:val="toc 1"/>
    <w:aliases w:val="VEOHRC TOC 1"/>
    <w:basedOn w:val="Normal"/>
    <w:next w:val="Normal"/>
    <w:autoRedefine/>
    <w:uiPriority w:val="39"/>
    <w:rsid w:val="00E64591"/>
    <w:pPr>
      <w:tabs>
        <w:tab w:val="right" w:pos="9072"/>
      </w:tabs>
      <w:spacing w:before="360"/>
    </w:pPr>
    <w:rPr>
      <w:rFonts w:cs="Arial"/>
      <w:b/>
      <w:bCs/>
    </w:rPr>
  </w:style>
  <w:style w:type="paragraph" w:styleId="TOC2">
    <w:name w:val="toc 2"/>
    <w:basedOn w:val="Normal"/>
    <w:next w:val="Normal"/>
    <w:autoRedefine/>
    <w:uiPriority w:val="39"/>
    <w:rsid w:val="00E64591"/>
    <w:pPr>
      <w:spacing w:before="240"/>
    </w:pPr>
    <w:rPr>
      <w:b/>
      <w:bCs/>
      <w:sz w:val="20"/>
      <w:szCs w:val="20"/>
    </w:rPr>
  </w:style>
  <w:style w:type="paragraph" w:styleId="TOC3">
    <w:name w:val="toc 3"/>
    <w:basedOn w:val="Normal"/>
    <w:next w:val="Normal"/>
    <w:autoRedefine/>
    <w:uiPriority w:val="39"/>
    <w:rsid w:val="0058484F"/>
    <w:pPr>
      <w:tabs>
        <w:tab w:val="left" w:pos="960"/>
        <w:tab w:val="right" w:leader="dot" w:pos="9060"/>
      </w:tabs>
      <w:ind w:left="240"/>
    </w:pPr>
    <w:rPr>
      <w:rFonts w:ascii="Times New Roman" w:hAnsi="Times New Roman"/>
      <w:sz w:val="20"/>
      <w:szCs w:val="20"/>
    </w:rPr>
  </w:style>
  <w:style w:type="paragraph" w:styleId="TOC4">
    <w:name w:val="toc 4"/>
    <w:basedOn w:val="Normal"/>
    <w:next w:val="Normal"/>
    <w:autoRedefine/>
    <w:semiHidden/>
    <w:rsid w:val="00487E03"/>
    <w:pPr>
      <w:ind w:left="480"/>
    </w:pPr>
    <w:rPr>
      <w:rFonts w:ascii="Times New Roman" w:hAnsi="Times New Roman"/>
      <w:sz w:val="20"/>
      <w:szCs w:val="20"/>
    </w:rPr>
  </w:style>
  <w:style w:type="paragraph" w:styleId="TOC5">
    <w:name w:val="toc 5"/>
    <w:basedOn w:val="Normal"/>
    <w:next w:val="Normal"/>
    <w:autoRedefine/>
    <w:semiHidden/>
    <w:rsid w:val="00487E03"/>
    <w:pPr>
      <w:ind w:left="720"/>
    </w:pPr>
    <w:rPr>
      <w:rFonts w:ascii="Times New Roman" w:hAnsi="Times New Roman"/>
      <w:sz w:val="20"/>
      <w:szCs w:val="20"/>
    </w:rPr>
  </w:style>
  <w:style w:type="paragraph" w:styleId="TOC6">
    <w:name w:val="toc 6"/>
    <w:basedOn w:val="Normal"/>
    <w:next w:val="Normal"/>
    <w:autoRedefine/>
    <w:semiHidden/>
    <w:rsid w:val="00487E03"/>
    <w:pPr>
      <w:ind w:left="960"/>
    </w:pPr>
    <w:rPr>
      <w:rFonts w:ascii="Times New Roman" w:hAnsi="Times New Roman"/>
      <w:sz w:val="20"/>
      <w:szCs w:val="20"/>
    </w:rPr>
  </w:style>
  <w:style w:type="paragraph" w:styleId="TOC7">
    <w:name w:val="toc 7"/>
    <w:basedOn w:val="Normal"/>
    <w:next w:val="Normal"/>
    <w:autoRedefine/>
    <w:semiHidden/>
    <w:rsid w:val="00487E03"/>
    <w:pPr>
      <w:ind w:left="1200"/>
    </w:pPr>
    <w:rPr>
      <w:rFonts w:ascii="Times New Roman" w:hAnsi="Times New Roman"/>
      <w:sz w:val="20"/>
      <w:szCs w:val="20"/>
    </w:rPr>
  </w:style>
  <w:style w:type="paragraph" w:styleId="TOC8">
    <w:name w:val="toc 8"/>
    <w:basedOn w:val="Normal"/>
    <w:next w:val="Normal"/>
    <w:autoRedefine/>
    <w:semiHidden/>
    <w:rsid w:val="00487E03"/>
    <w:pPr>
      <w:ind w:left="1440"/>
    </w:pPr>
    <w:rPr>
      <w:rFonts w:ascii="Times New Roman" w:hAnsi="Times New Roman"/>
      <w:sz w:val="20"/>
      <w:szCs w:val="20"/>
    </w:rPr>
  </w:style>
  <w:style w:type="paragraph" w:styleId="TOC9">
    <w:name w:val="toc 9"/>
    <w:basedOn w:val="Normal"/>
    <w:next w:val="Normal"/>
    <w:autoRedefine/>
    <w:semiHidden/>
    <w:rsid w:val="00487E03"/>
    <w:pPr>
      <w:ind w:left="1680"/>
    </w:pPr>
    <w:rPr>
      <w:rFonts w:ascii="Times New Roman" w:hAnsi="Times New Roman"/>
      <w:sz w:val="20"/>
      <w:szCs w:val="20"/>
    </w:rPr>
  </w:style>
  <w:style w:type="paragraph" w:customStyle="1" w:styleId="VEOHRCTOC1">
    <w:name w:val="VEOHRC TOC1"/>
    <w:basedOn w:val="TOC1"/>
    <w:rsid w:val="00130069"/>
    <w:pPr>
      <w:spacing w:before="240"/>
    </w:pPr>
    <w:rPr>
      <w:caps/>
      <w:noProof/>
    </w:rPr>
  </w:style>
  <w:style w:type="paragraph" w:customStyle="1" w:styleId="VEOHRCTOC2">
    <w:name w:val="VEOHRC TOC 2"/>
    <w:basedOn w:val="TOC2"/>
    <w:rsid w:val="00130069"/>
    <w:pPr>
      <w:tabs>
        <w:tab w:val="left" w:pos="720"/>
        <w:tab w:val="right" w:leader="dot" w:pos="9060"/>
      </w:tabs>
      <w:spacing w:before="120"/>
    </w:pPr>
    <w:rPr>
      <w:b w:val="0"/>
      <w:noProof/>
      <w:sz w:val="24"/>
    </w:rPr>
  </w:style>
  <w:style w:type="paragraph" w:customStyle="1" w:styleId="VEOHRCTOC3">
    <w:name w:val="VEOHRC TOC 3"/>
    <w:basedOn w:val="TOC3"/>
    <w:rsid w:val="00130069"/>
    <w:pPr>
      <w:spacing w:before="60"/>
      <w:ind w:left="238"/>
    </w:pPr>
    <w:rPr>
      <w:rFonts w:ascii="Arial" w:hAnsi="Arial"/>
      <w:i/>
      <w:noProof/>
    </w:rPr>
  </w:style>
  <w:style w:type="paragraph" w:styleId="BalloonText">
    <w:name w:val="Balloon Text"/>
    <w:basedOn w:val="Normal"/>
    <w:link w:val="BalloonTextChar"/>
    <w:semiHidden/>
    <w:rsid w:val="00D9783F"/>
    <w:rPr>
      <w:rFonts w:ascii="Tahoma" w:hAnsi="Tahoma" w:cs="Tahoma"/>
      <w:sz w:val="16"/>
      <w:szCs w:val="16"/>
      <w:lang w:eastAsia="en-US"/>
    </w:rPr>
  </w:style>
  <w:style w:type="paragraph" w:customStyle="1" w:styleId="BodyText1">
    <w:name w:val="Body Text1"/>
    <w:semiHidden/>
    <w:rsid w:val="00D9783F"/>
    <w:pPr>
      <w:tabs>
        <w:tab w:val="left" w:pos="567"/>
        <w:tab w:val="left" w:pos="1134"/>
      </w:tabs>
      <w:spacing w:after="170" w:line="280" w:lineRule="atLeast"/>
    </w:pPr>
    <w:rPr>
      <w:rFonts w:ascii="Times" w:hAnsi="Times"/>
      <w:sz w:val="24"/>
      <w:szCs w:val="24"/>
      <w:lang w:eastAsia="en-US"/>
    </w:rPr>
  </w:style>
  <w:style w:type="paragraph" w:customStyle="1" w:styleId="bull">
    <w:name w:val="bull"/>
    <w:basedOn w:val="Normal"/>
    <w:semiHidden/>
    <w:rsid w:val="00D9783F"/>
    <w:pPr>
      <w:tabs>
        <w:tab w:val="num" w:pos="851"/>
      </w:tabs>
      <w:spacing w:line="300" w:lineRule="atLeast"/>
      <w:ind w:right="237"/>
    </w:pPr>
    <w:rPr>
      <w:sz w:val="21"/>
      <w:szCs w:val="20"/>
      <w:lang w:eastAsia="en-US"/>
    </w:rPr>
  </w:style>
  <w:style w:type="paragraph" w:customStyle="1" w:styleId="Bullet">
    <w:name w:val="Bullet"/>
    <w:basedOn w:val="BodyText1"/>
    <w:semiHidden/>
    <w:rsid w:val="00D9783F"/>
    <w:pPr>
      <w:numPr>
        <w:numId w:val="16"/>
      </w:numPr>
      <w:tabs>
        <w:tab w:val="clear" w:pos="567"/>
        <w:tab w:val="clear" w:pos="1134"/>
      </w:tabs>
      <w:spacing w:after="60" w:line="240" w:lineRule="auto"/>
    </w:pPr>
    <w:rPr>
      <w:rFonts w:ascii="Times New Roman" w:hAnsi="Times New Roman"/>
    </w:rPr>
  </w:style>
  <w:style w:type="paragraph" w:customStyle="1" w:styleId="Bullet2">
    <w:name w:val="Bullet 2"/>
    <w:basedOn w:val="Bullet"/>
    <w:semiHidden/>
    <w:rsid w:val="00D9783F"/>
    <w:pPr>
      <w:numPr>
        <w:numId w:val="17"/>
      </w:numPr>
      <w:tabs>
        <w:tab w:val="left" w:pos="993"/>
      </w:tabs>
    </w:pPr>
  </w:style>
  <w:style w:type="paragraph" w:customStyle="1" w:styleId="bullet3">
    <w:name w:val="bullet 3"/>
    <w:basedOn w:val="Normal"/>
    <w:semiHidden/>
    <w:rsid w:val="00D9783F"/>
    <w:pPr>
      <w:numPr>
        <w:ilvl w:val="1"/>
        <w:numId w:val="17"/>
      </w:numPr>
    </w:pPr>
    <w:rPr>
      <w:rFonts w:ascii="Times New Roman" w:hAnsi="Times New Roman"/>
      <w:szCs w:val="20"/>
      <w:lang w:eastAsia="en-US"/>
    </w:rPr>
  </w:style>
  <w:style w:type="paragraph" w:customStyle="1" w:styleId="bullets">
    <w:name w:val="bullets"/>
    <w:basedOn w:val="BodyTextFirstIndent"/>
    <w:semiHidden/>
    <w:rsid w:val="00D9783F"/>
    <w:pPr>
      <w:numPr>
        <w:ilvl w:val="1"/>
        <w:numId w:val="18"/>
      </w:numPr>
      <w:spacing w:before="240"/>
    </w:pPr>
    <w:rPr>
      <w:rFonts w:ascii="Times New Roman" w:hAnsi="Times New Roman"/>
      <w:noProof/>
      <w:szCs w:val="20"/>
      <w:lang w:eastAsia="en-US"/>
    </w:rPr>
  </w:style>
  <w:style w:type="paragraph" w:customStyle="1" w:styleId="charttext">
    <w:name w:val="chart text"/>
    <w:basedOn w:val="Normal"/>
    <w:semiHidden/>
    <w:rsid w:val="00D9783F"/>
    <w:pPr>
      <w:spacing w:line="300" w:lineRule="atLeast"/>
      <w:jc w:val="center"/>
    </w:pPr>
    <w:rPr>
      <w:noProof/>
      <w:sz w:val="20"/>
      <w:szCs w:val="20"/>
      <w:lang w:eastAsia="en-US"/>
    </w:rPr>
  </w:style>
  <w:style w:type="paragraph" w:customStyle="1" w:styleId="charttextind">
    <w:name w:val="chart text ind"/>
    <w:basedOn w:val="charttext"/>
    <w:semiHidden/>
    <w:rsid w:val="00D9783F"/>
    <w:pPr>
      <w:ind w:left="284" w:hanging="284"/>
      <w:jc w:val="left"/>
    </w:pPr>
  </w:style>
  <w:style w:type="character" w:styleId="CommentReference">
    <w:name w:val="annotation reference"/>
    <w:uiPriority w:val="99"/>
    <w:semiHidden/>
    <w:rsid w:val="00D9783F"/>
    <w:rPr>
      <w:sz w:val="16"/>
      <w:szCs w:val="16"/>
    </w:rPr>
  </w:style>
  <w:style w:type="paragraph" w:styleId="CommentText">
    <w:name w:val="annotation text"/>
    <w:basedOn w:val="Normal"/>
    <w:link w:val="CommentTextChar"/>
    <w:uiPriority w:val="99"/>
    <w:semiHidden/>
    <w:rsid w:val="00D9783F"/>
    <w:rPr>
      <w:rFonts w:ascii="Times New Roman" w:hAnsi="Times New Roman"/>
      <w:sz w:val="20"/>
      <w:szCs w:val="20"/>
      <w:lang w:eastAsia="en-US"/>
    </w:rPr>
  </w:style>
  <w:style w:type="paragraph" w:styleId="CommentSubject">
    <w:name w:val="annotation subject"/>
    <w:basedOn w:val="CommentText"/>
    <w:next w:val="CommentText"/>
    <w:link w:val="CommentSubjectChar"/>
    <w:semiHidden/>
    <w:rsid w:val="00D9783F"/>
    <w:rPr>
      <w:b/>
      <w:bCs/>
    </w:rPr>
  </w:style>
  <w:style w:type="paragraph" w:styleId="DocumentMap">
    <w:name w:val="Document Map"/>
    <w:basedOn w:val="Normal"/>
    <w:link w:val="DocumentMapChar"/>
    <w:semiHidden/>
    <w:rsid w:val="00D9783F"/>
    <w:pPr>
      <w:shd w:val="clear" w:color="auto" w:fill="000080"/>
    </w:pPr>
    <w:rPr>
      <w:rFonts w:ascii="Tahoma" w:hAnsi="Tahoma" w:cs="Tahoma"/>
      <w:szCs w:val="20"/>
      <w:lang w:eastAsia="en-US"/>
    </w:rPr>
  </w:style>
  <w:style w:type="character" w:customStyle="1" w:styleId="googqs-tidbit-1">
    <w:name w:val="goog_qs-tidbit-1"/>
    <w:basedOn w:val="DefaultParagraphFont"/>
    <w:semiHidden/>
    <w:rsid w:val="00D9783F"/>
  </w:style>
  <w:style w:type="paragraph" w:customStyle="1" w:styleId="Handoutbreakouttextbox">
    <w:name w:val="Handout breakout text box"/>
    <w:basedOn w:val="Normal"/>
    <w:autoRedefine/>
    <w:semiHidden/>
    <w:rsid w:val="00D9783F"/>
    <w:pPr>
      <w:spacing w:before="60" w:after="120" w:line="260" w:lineRule="exact"/>
      <w:ind w:right="170"/>
    </w:pPr>
    <w:rPr>
      <w:sz w:val="20"/>
      <w:szCs w:val="20"/>
      <w:lang w:eastAsia="en-US"/>
    </w:rPr>
  </w:style>
  <w:style w:type="paragraph" w:customStyle="1" w:styleId="Handoutbreakouttextboxheading">
    <w:name w:val="Handout breakout text box heading"/>
    <w:basedOn w:val="Handoutbreakouttextbox"/>
    <w:autoRedefine/>
    <w:semiHidden/>
    <w:rsid w:val="00D9783F"/>
    <w:pPr>
      <w:shd w:val="clear" w:color="auto" w:fill="D9D9D9"/>
      <w:spacing w:after="60"/>
    </w:pPr>
    <w:rPr>
      <w:b/>
      <w:smallCaps/>
      <w:spacing w:val="5"/>
      <w:sz w:val="26"/>
    </w:rPr>
  </w:style>
  <w:style w:type="paragraph" w:customStyle="1" w:styleId="Handoutbreakouttextboxheading1">
    <w:name w:val="Handout breakout text box heading1"/>
    <w:basedOn w:val="Handoutbreakouttextbox"/>
    <w:semiHidden/>
    <w:rsid w:val="00D9783F"/>
    <w:pPr>
      <w:spacing w:after="60"/>
      <w:ind w:left="170" w:hanging="170"/>
      <w:jc w:val="both"/>
    </w:pPr>
    <w:rPr>
      <w:rFonts w:cs="Arial"/>
      <w:b/>
      <w:bCs/>
      <w:smallCaps/>
      <w:spacing w:val="5"/>
      <w:sz w:val="26"/>
    </w:rPr>
  </w:style>
  <w:style w:type="paragraph" w:customStyle="1" w:styleId="Handoutbreakouttextboxheading2">
    <w:name w:val="Handout breakout text box heading2"/>
    <w:basedOn w:val="Handoutbreakouttextbox"/>
    <w:semiHidden/>
    <w:rsid w:val="00D9783F"/>
    <w:pPr>
      <w:spacing w:after="60"/>
      <w:ind w:left="170" w:hanging="170"/>
      <w:jc w:val="both"/>
    </w:pPr>
    <w:rPr>
      <w:rFonts w:cs="Arial"/>
      <w:b/>
      <w:bCs/>
      <w:smallCaps/>
      <w:spacing w:val="5"/>
      <w:sz w:val="26"/>
    </w:rPr>
  </w:style>
  <w:style w:type="paragraph" w:customStyle="1" w:styleId="Handoutbreakouttextboxheading3">
    <w:name w:val="Handout breakout text box heading3"/>
    <w:basedOn w:val="Handoutbreakouttextbox"/>
    <w:semiHidden/>
    <w:rsid w:val="00D9783F"/>
    <w:pPr>
      <w:spacing w:after="60"/>
      <w:ind w:left="170" w:hanging="170"/>
      <w:jc w:val="both"/>
    </w:pPr>
    <w:rPr>
      <w:rFonts w:cs="Arial"/>
      <w:b/>
      <w:bCs/>
      <w:smallCaps/>
      <w:spacing w:val="5"/>
      <w:sz w:val="26"/>
    </w:rPr>
  </w:style>
  <w:style w:type="paragraph" w:customStyle="1" w:styleId="Handoutbreakouttextbox1">
    <w:name w:val="Handout breakout text box1"/>
    <w:basedOn w:val="Handoutnormaltext"/>
    <w:semiHidden/>
    <w:rsid w:val="00D9783F"/>
    <w:pPr>
      <w:spacing w:before="60" w:after="120" w:line="260" w:lineRule="exact"/>
      <w:ind w:left="170" w:right="170"/>
      <w:jc w:val="both"/>
    </w:pPr>
    <w:rPr>
      <w:bCs/>
      <w:iCs w:val="0"/>
    </w:rPr>
  </w:style>
  <w:style w:type="paragraph" w:customStyle="1" w:styleId="Handoutbreakouttextbox2">
    <w:name w:val="Handout breakout text box2"/>
    <w:basedOn w:val="Handoutnormaltext"/>
    <w:semiHidden/>
    <w:rsid w:val="00D9783F"/>
    <w:pPr>
      <w:spacing w:before="60" w:after="120" w:line="260" w:lineRule="exact"/>
      <w:ind w:left="170" w:right="170"/>
      <w:jc w:val="both"/>
    </w:pPr>
    <w:rPr>
      <w:bCs/>
      <w:iCs w:val="0"/>
    </w:rPr>
  </w:style>
  <w:style w:type="paragraph" w:customStyle="1" w:styleId="Handoutbreakouttextbox3">
    <w:name w:val="Handout breakout text box3"/>
    <w:basedOn w:val="Handoutnormaltext"/>
    <w:semiHidden/>
    <w:rsid w:val="00D9783F"/>
    <w:pPr>
      <w:spacing w:before="60" w:after="120" w:line="260" w:lineRule="exact"/>
      <w:ind w:left="170" w:right="170"/>
      <w:jc w:val="both"/>
    </w:pPr>
    <w:rPr>
      <w:bCs/>
      <w:iCs w:val="0"/>
    </w:rPr>
  </w:style>
  <w:style w:type="paragraph" w:customStyle="1" w:styleId="Handoutdialogue">
    <w:name w:val="Handout dialogue"/>
    <w:basedOn w:val="Handoutnormaltext"/>
    <w:semiHidden/>
    <w:rsid w:val="00D9783F"/>
    <w:pPr>
      <w:spacing w:after="140"/>
      <w:ind w:left="340" w:right="170"/>
    </w:pPr>
    <w:rPr>
      <w:bCs/>
      <w:i/>
      <w:iCs w:val="0"/>
      <w:sz w:val="21"/>
    </w:rPr>
  </w:style>
  <w:style w:type="paragraph" w:customStyle="1" w:styleId="Handoutdialogue1">
    <w:name w:val="Handout dialogue1"/>
    <w:basedOn w:val="Handoutnormaltext"/>
    <w:semiHidden/>
    <w:rsid w:val="00D9783F"/>
    <w:pPr>
      <w:spacing w:after="140"/>
      <w:ind w:left="340" w:right="170"/>
    </w:pPr>
    <w:rPr>
      <w:bCs/>
      <w:i/>
      <w:iCs w:val="0"/>
      <w:sz w:val="21"/>
    </w:rPr>
  </w:style>
  <w:style w:type="paragraph" w:customStyle="1" w:styleId="Handoutdialogue2">
    <w:name w:val="Handout dialogue2"/>
    <w:basedOn w:val="Handoutnormaltext"/>
    <w:semiHidden/>
    <w:rsid w:val="00D9783F"/>
    <w:pPr>
      <w:spacing w:after="140"/>
      <w:ind w:left="340" w:right="170"/>
    </w:pPr>
    <w:rPr>
      <w:bCs/>
      <w:i/>
      <w:iCs w:val="0"/>
      <w:sz w:val="21"/>
    </w:rPr>
  </w:style>
  <w:style w:type="paragraph" w:customStyle="1" w:styleId="Handoutdotlist1">
    <w:name w:val="Handout dot list 1"/>
    <w:basedOn w:val="Handoutnormaltext"/>
    <w:autoRedefine/>
    <w:semiHidden/>
    <w:rsid w:val="00D9783F"/>
    <w:pPr>
      <w:numPr>
        <w:ilvl w:val="2"/>
        <w:numId w:val="19"/>
      </w:numPr>
      <w:spacing w:after="140"/>
    </w:pPr>
  </w:style>
  <w:style w:type="paragraph" w:customStyle="1" w:styleId="Handoutdotlist11">
    <w:name w:val="Handout dot list 11"/>
    <w:basedOn w:val="Handoutnormaltext"/>
    <w:semiHidden/>
    <w:rsid w:val="00D9783F"/>
    <w:pPr>
      <w:tabs>
        <w:tab w:val="num" w:pos="530"/>
      </w:tabs>
      <w:spacing w:after="140"/>
      <w:ind w:left="510" w:hanging="340"/>
    </w:pPr>
    <w:rPr>
      <w:bCs/>
      <w:iCs w:val="0"/>
      <w:sz w:val="21"/>
    </w:rPr>
  </w:style>
  <w:style w:type="paragraph" w:customStyle="1" w:styleId="Handoutdotlist12">
    <w:name w:val="Handout dot list 12"/>
    <w:basedOn w:val="Handoutnormaltext"/>
    <w:semiHidden/>
    <w:rsid w:val="00D9783F"/>
    <w:pPr>
      <w:tabs>
        <w:tab w:val="num" w:pos="530"/>
      </w:tabs>
      <w:spacing w:after="140"/>
      <w:ind w:left="510" w:hanging="340"/>
    </w:pPr>
    <w:rPr>
      <w:bCs/>
      <w:iCs w:val="0"/>
      <w:sz w:val="21"/>
    </w:rPr>
  </w:style>
  <w:style w:type="paragraph" w:customStyle="1" w:styleId="Handoutdotlist13">
    <w:name w:val="Handout dot list 13"/>
    <w:basedOn w:val="Handoutnormaltext"/>
    <w:semiHidden/>
    <w:rsid w:val="00D9783F"/>
    <w:pPr>
      <w:tabs>
        <w:tab w:val="num" w:pos="530"/>
      </w:tabs>
      <w:spacing w:after="140"/>
      <w:ind w:left="510" w:hanging="340"/>
    </w:pPr>
    <w:rPr>
      <w:bCs/>
      <w:iCs w:val="0"/>
      <w:sz w:val="21"/>
    </w:rPr>
  </w:style>
  <w:style w:type="paragraph" w:customStyle="1" w:styleId="Handoutlevel1heading">
    <w:name w:val="Handout level 1 heading"/>
    <w:basedOn w:val="Heading4"/>
    <w:autoRedefine/>
    <w:semiHidden/>
    <w:rsid w:val="00D9783F"/>
    <w:pPr>
      <w:numPr>
        <w:ilvl w:val="0"/>
        <w:numId w:val="0"/>
      </w:numPr>
      <w:spacing w:before="720" w:after="240"/>
      <w:outlineLvl w:val="0"/>
    </w:pPr>
    <w:rPr>
      <w:rFonts w:ascii="Arial" w:hAnsi="Arial"/>
      <w:b/>
      <w:bCs w:val="0"/>
      <w:i w:val="0"/>
      <w:sz w:val="36"/>
      <w:szCs w:val="20"/>
      <w:lang w:eastAsia="en-US"/>
    </w:rPr>
  </w:style>
  <w:style w:type="paragraph" w:customStyle="1" w:styleId="Handoutlevel1heading1">
    <w:name w:val="Handout level 1 heading1"/>
    <w:basedOn w:val="Heading4"/>
    <w:semiHidden/>
    <w:rsid w:val="00D9783F"/>
    <w:pPr>
      <w:numPr>
        <w:ilvl w:val="0"/>
        <w:numId w:val="0"/>
      </w:numPr>
      <w:spacing w:before="720" w:after="240"/>
      <w:ind w:left="170" w:hanging="170"/>
    </w:pPr>
    <w:rPr>
      <w:rFonts w:ascii="Arial" w:hAnsi="Arial"/>
      <w:b/>
      <w:bCs w:val="0"/>
      <w:i w:val="0"/>
      <w:sz w:val="36"/>
      <w:szCs w:val="20"/>
      <w:lang w:eastAsia="en-US"/>
    </w:rPr>
  </w:style>
  <w:style w:type="paragraph" w:customStyle="1" w:styleId="Handoutlevel1heading2">
    <w:name w:val="Handout level 1 heading2"/>
    <w:basedOn w:val="Heading4"/>
    <w:semiHidden/>
    <w:rsid w:val="00D9783F"/>
    <w:pPr>
      <w:numPr>
        <w:ilvl w:val="0"/>
        <w:numId w:val="0"/>
      </w:numPr>
      <w:spacing w:before="720" w:after="240"/>
      <w:ind w:left="170" w:hanging="170"/>
    </w:pPr>
    <w:rPr>
      <w:rFonts w:ascii="Arial" w:hAnsi="Arial"/>
      <w:b/>
      <w:bCs w:val="0"/>
      <w:i w:val="0"/>
      <w:sz w:val="36"/>
      <w:szCs w:val="20"/>
      <w:lang w:eastAsia="en-US"/>
    </w:rPr>
  </w:style>
  <w:style w:type="paragraph" w:customStyle="1" w:styleId="Handoutlevel1heading3">
    <w:name w:val="Handout level 1 heading3"/>
    <w:basedOn w:val="Heading4"/>
    <w:semiHidden/>
    <w:rsid w:val="00D9783F"/>
    <w:pPr>
      <w:numPr>
        <w:ilvl w:val="0"/>
        <w:numId w:val="0"/>
      </w:numPr>
      <w:spacing w:before="720" w:after="240"/>
      <w:ind w:left="170" w:hanging="170"/>
    </w:pPr>
    <w:rPr>
      <w:rFonts w:ascii="Arial" w:hAnsi="Arial"/>
      <w:b/>
      <w:bCs w:val="0"/>
      <w:i w:val="0"/>
      <w:sz w:val="36"/>
      <w:szCs w:val="20"/>
      <w:lang w:eastAsia="en-US"/>
    </w:rPr>
  </w:style>
  <w:style w:type="paragraph" w:customStyle="1" w:styleId="Handoutlevel2heading">
    <w:name w:val="Handout level 2 heading"/>
    <w:basedOn w:val="Handoutlevel1heading"/>
    <w:autoRedefine/>
    <w:semiHidden/>
    <w:rsid w:val="00D9783F"/>
    <w:pPr>
      <w:shd w:val="clear" w:color="auto" w:fill="D9D9D9"/>
      <w:spacing w:before="560" w:after="140"/>
      <w:ind w:right="70"/>
    </w:pPr>
    <w:rPr>
      <w:sz w:val="28"/>
    </w:rPr>
  </w:style>
  <w:style w:type="paragraph" w:customStyle="1" w:styleId="Handoutlevel2heading1">
    <w:name w:val="Handout level 2 heading1"/>
    <w:basedOn w:val="Handoutlevel1heading"/>
    <w:semiHidden/>
    <w:rsid w:val="00D9783F"/>
    <w:pPr>
      <w:spacing w:before="560" w:after="140"/>
      <w:ind w:left="170" w:hanging="170"/>
      <w:outlineLvl w:val="3"/>
    </w:pPr>
    <w:rPr>
      <w:sz w:val="28"/>
    </w:rPr>
  </w:style>
  <w:style w:type="paragraph" w:customStyle="1" w:styleId="Handoutlevel2heading2">
    <w:name w:val="Handout level 2 heading2"/>
    <w:basedOn w:val="Handoutlevel1heading"/>
    <w:semiHidden/>
    <w:rsid w:val="00D9783F"/>
    <w:pPr>
      <w:spacing w:before="560" w:after="140"/>
      <w:ind w:left="170" w:hanging="170"/>
      <w:outlineLvl w:val="3"/>
    </w:pPr>
    <w:rPr>
      <w:sz w:val="28"/>
    </w:rPr>
  </w:style>
  <w:style w:type="paragraph" w:customStyle="1" w:styleId="Handoutlevel2heading3">
    <w:name w:val="Handout level 2 heading3"/>
    <w:basedOn w:val="Handoutlevel1heading"/>
    <w:semiHidden/>
    <w:rsid w:val="00D9783F"/>
    <w:pPr>
      <w:spacing w:before="560" w:after="140"/>
      <w:ind w:left="170" w:hanging="170"/>
      <w:outlineLvl w:val="3"/>
    </w:pPr>
    <w:rPr>
      <w:sz w:val="28"/>
    </w:rPr>
  </w:style>
  <w:style w:type="paragraph" w:customStyle="1" w:styleId="Handoutlevel3heading">
    <w:name w:val="Handout level 3 heading"/>
    <w:basedOn w:val="Handoutlevel2heading"/>
    <w:autoRedefine/>
    <w:semiHidden/>
    <w:rsid w:val="00D9783F"/>
    <w:pPr>
      <w:shd w:val="clear" w:color="auto" w:fill="auto"/>
      <w:spacing w:before="360" w:after="70"/>
      <w:outlineLvl w:val="9"/>
    </w:pPr>
    <w:rPr>
      <w:sz w:val="24"/>
      <w:szCs w:val="24"/>
      <w:lang w:val="en-US"/>
    </w:rPr>
  </w:style>
  <w:style w:type="paragraph" w:customStyle="1" w:styleId="Handoutlevel3heading1">
    <w:name w:val="Handout level 3 heading1"/>
    <w:basedOn w:val="Handoutlevel2heading"/>
    <w:semiHidden/>
    <w:rsid w:val="00D9783F"/>
    <w:pPr>
      <w:shd w:val="clear" w:color="auto" w:fill="auto"/>
      <w:spacing w:before="360" w:after="70"/>
      <w:ind w:left="170" w:right="0" w:hanging="170"/>
      <w:outlineLvl w:val="3"/>
    </w:pPr>
    <w:rPr>
      <w:sz w:val="24"/>
    </w:rPr>
  </w:style>
  <w:style w:type="paragraph" w:customStyle="1" w:styleId="Handoutlevel3heading2">
    <w:name w:val="Handout level 3 heading2"/>
    <w:basedOn w:val="Handoutlevel2heading"/>
    <w:semiHidden/>
    <w:rsid w:val="00D9783F"/>
    <w:pPr>
      <w:shd w:val="clear" w:color="auto" w:fill="auto"/>
      <w:spacing w:before="360" w:after="70"/>
      <w:ind w:left="170" w:right="0" w:hanging="170"/>
      <w:outlineLvl w:val="3"/>
    </w:pPr>
    <w:rPr>
      <w:sz w:val="24"/>
    </w:rPr>
  </w:style>
  <w:style w:type="paragraph" w:customStyle="1" w:styleId="Handoutlevel3heading3">
    <w:name w:val="Handout level 3 heading3"/>
    <w:basedOn w:val="Handoutlevel2heading"/>
    <w:semiHidden/>
    <w:rsid w:val="00D9783F"/>
    <w:pPr>
      <w:shd w:val="clear" w:color="auto" w:fill="auto"/>
      <w:spacing w:before="360" w:after="70"/>
      <w:ind w:left="170" w:right="0" w:hanging="170"/>
      <w:outlineLvl w:val="3"/>
    </w:pPr>
    <w:rPr>
      <w:sz w:val="24"/>
    </w:rPr>
  </w:style>
  <w:style w:type="paragraph" w:customStyle="1" w:styleId="Handoutlevel3heading4">
    <w:name w:val="Handout level 3 heading4"/>
    <w:basedOn w:val="Handoutlevel2heading"/>
    <w:semiHidden/>
    <w:rsid w:val="00D9783F"/>
    <w:pPr>
      <w:shd w:val="clear" w:color="auto" w:fill="auto"/>
      <w:spacing w:before="360" w:after="70"/>
      <w:ind w:left="170" w:right="0" w:hanging="170"/>
      <w:outlineLvl w:val="3"/>
    </w:pPr>
    <w:rPr>
      <w:sz w:val="24"/>
    </w:rPr>
  </w:style>
  <w:style w:type="paragraph" w:customStyle="1" w:styleId="Handoutlevel3heading5">
    <w:name w:val="Handout level 3 heading5"/>
    <w:basedOn w:val="Normal"/>
    <w:semiHidden/>
    <w:rsid w:val="00D9783F"/>
    <w:pPr>
      <w:keepNext/>
      <w:spacing w:before="360" w:after="70"/>
      <w:ind w:left="170" w:hanging="170"/>
      <w:outlineLvl w:val="3"/>
    </w:pPr>
    <w:rPr>
      <w:b/>
      <w:szCs w:val="20"/>
      <w:lang w:eastAsia="en-US"/>
    </w:rPr>
  </w:style>
  <w:style w:type="paragraph" w:customStyle="1" w:styleId="Handoutlevel4">
    <w:name w:val="Handout level 4"/>
    <w:basedOn w:val="Handoutlevel3heading"/>
    <w:semiHidden/>
    <w:rsid w:val="00D9783F"/>
    <w:rPr>
      <w:sz w:val="20"/>
    </w:rPr>
  </w:style>
  <w:style w:type="paragraph" w:customStyle="1" w:styleId="Handoutnormaltext">
    <w:name w:val="Handout normal text"/>
    <w:basedOn w:val="Normal"/>
    <w:autoRedefine/>
    <w:semiHidden/>
    <w:rsid w:val="00D9783F"/>
    <w:pPr>
      <w:spacing w:after="60" w:line="280" w:lineRule="exact"/>
      <w:ind w:left="360"/>
    </w:pPr>
    <w:rPr>
      <w:rFonts w:cs="Arial"/>
      <w:iCs/>
      <w:sz w:val="20"/>
      <w:szCs w:val="20"/>
      <w:lang w:eastAsia="en-US"/>
    </w:rPr>
  </w:style>
  <w:style w:type="paragraph" w:customStyle="1" w:styleId="Handoutnormaltext1">
    <w:name w:val="Handout normal text1"/>
    <w:basedOn w:val="Normal"/>
    <w:semiHidden/>
    <w:rsid w:val="00D9783F"/>
    <w:pPr>
      <w:spacing w:after="140" w:line="280" w:lineRule="exact"/>
      <w:ind w:left="170"/>
    </w:pPr>
    <w:rPr>
      <w:rFonts w:cs="Arial"/>
      <w:bCs/>
      <w:sz w:val="21"/>
      <w:szCs w:val="20"/>
      <w:lang w:eastAsia="en-US"/>
    </w:rPr>
  </w:style>
  <w:style w:type="paragraph" w:customStyle="1" w:styleId="Handoutnormaltext2">
    <w:name w:val="Handout normal text2"/>
    <w:basedOn w:val="Normal"/>
    <w:semiHidden/>
    <w:rsid w:val="00D9783F"/>
    <w:pPr>
      <w:spacing w:after="140" w:line="280" w:lineRule="exact"/>
      <w:ind w:left="170"/>
    </w:pPr>
    <w:rPr>
      <w:rFonts w:cs="Arial"/>
      <w:bCs/>
      <w:sz w:val="21"/>
      <w:szCs w:val="20"/>
      <w:lang w:eastAsia="en-US"/>
    </w:rPr>
  </w:style>
  <w:style w:type="paragraph" w:customStyle="1" w:styleId="Handoutnormaltext3">
    <w:name w:val="Handout normal text3"/>
    <w:basedOn w:val="Normal"/>
    <w:semiHidden/>
    <w:rsid w:val="00D9783F"/>
    <w:pPr>
      <w:spacing w:after="140" w:line="280" w:lineRule="exact"/>
      <w:ind w:left="170"/>
    </w:pPr>
    <w:rPr>
      <w:rFonts w:cs="Arial"/>
      <w:bCs/>
      <w:sz w:val="21"/>
      <w:szCs w:val="20"/>
      <w:lang w:eastAsia="en-US"/>
    </w:rPr>
  </w:style>
  <w:style w:type="paragraph" w:customStyle="1" w:styleId="Handoutnormaltext4">
    <w:name w:val="Handout normal text4"/>
    <w:basedOn w:val="Normal"/>
    <w:semiHidden/>
    <w:rsid w:val="00D9783F"/>
    <w:pPr>
      <w:spacing w:after="140" w:line="280" w:lineRule="exact"/>
      <w:ind w:left="170"/>
    </w:pPr>
    <w:rPr>
      <w:rFonts w:cs="Arial"/>
      <w:bCs/>
      <w:sz w:val="21"/>
      <w:szCs w:val="20"/>
      <w:lang w:eastAsia="en-US"/>
    </w:rPr>
  </w:style>
  <w:style w:type="paragraph" w:customStyle="1" w:styleId="Handoutnormaltext5">
    <w:name w:val="Handout normal text5"/>
    <w:basedOn w:val="Normal"/>
    <w:semiHidden/>
    <w:rsid w:val="00D9783F"/>
    <w:pPr>
      <w:spacing w:after="140" w:line="280" w:lineRule="exact"/>
      <w:ind w:left="170"/>
    </w:pPr>
    <w:rPr>
      <w:rFonts w:cs="Arial"/>
      <w:bCs/>
      <w:sz w:val="21"/>
      <w:szCs w:val="20"/>
      <w:lang w:eastAsia="en-US"/>
    </w:rPr>
  </w:style>
  <w:style w:type="paragraph" w:customStyle="1" w:styleId="Handoutnumberedlist1">
    <w:name w:val="Handout numbered list 1"/>
    <w:basedOn w:val="Handoutnormaltext"/>
    <w:autoRedefine/>
    <w:semiHidden/>
    <w:rsid w:val="00D9783F"/>
    <w:pPr>
      <w:spacing w:after="40"/>
      <w:ind w:left="340"/>
    </w:pPr>
  </w:style>
  <w:style w:type="paragraph" w:customStyle="1" w:styleId="Handoutnumberedlist11">
    <w:name w:val="Handout numbered list 11"/>
    <w:basedOn w:val="Handoutnormaltext"/>
    <w:semiHidden/>
    <w:rsid w:val="00D9783F"/>
    <w:pPr>
      <w:tabs>
        <w:tab w:val="num" w:pos="907"/>
      </w:tabs>
      <w:spacing w:after="40"/>
      <w:ind w:left="907" w:hanging="567"/>
    </w:pPr>
    <w:rPr>
      <w:bCs/>
      <w:iCs w:val="0"/>
      <w:sz w:val="21"/>
    </w:rPr>
  </w:style>
  <w:style w:type="paragraph" w:customStyle="1" w:styleId="Handoutnumberedlist12">
    <w:name w:val="Handout numbered list 12"/>
    <w:basedOn w:val="Handoutnormaltext"/>
    <w:semiHidden/>
    <w:rsid w:val="00D9783F"/>
    <w:pPr>
      <w:tabs>
        <w:tab w:val="num" w:pos="907"/>
      </w:tabs>
      <w:spacing w:after="40"/>
      <w:ind w:left="907" w:hanging="567"/>
    </w:pPr>
    <w:rPr>
      <w:bCs/>
      <w:iCs w:val="0"/>
      <w:sz w:val="21"/>
    </w:rPr>
  </w:style>
  <w:style w:type="paragraph" w:customStyle="1" w:styleId="Handoutnumberedlist13">
    <w:name w:val="Handout numbered list 13"/>
    <w:basedOn w:val="Handoutnormaltext"/>
    <w:semiHidden/>
    <w:rsid w:val="00D9783F"/>
    <w:pPr>
      <w:tabs>
        <w:tab w:val="num" w:pos="907"/>
      </w:tabs>
      <w:spacing w:after="40"/>
      <w:ind w:left="907" w:hanging="567"/>
    </w:pPr>
    <w:rPr>
      <w:bCs/>
      <w:iCs w:val="0"/>
      <w:sz w:val="21"/>
    </w:rPr>
  </w:style>
  <w:style w:type="paragraph" w:customStyle="1" w:styleId="StyleHandoutnormaltextNotItalic">
    <w:name w:val="Style Handout normal text + Not Italic"/>
    <w:basedOn w:val="Handoutnormaltext"/>
    <w:autoRedefine/>
    <w:semiHidden/>
    <w:rsid w:val="00D9783F"/>
    <w:rPr>
      <w:bCs/>
      <w:i/>
    </w:rPr>
  </w:style>
  <w:style w:type="paragraph" w:customStyle="1" w:styleId="Titlepagecontentslist1">
    <w:name w:val="Title page contents list 1"/>
    <w:basedOn w:val="Normal"/>
    <w:semiHidden/>
    <w:rsid w:val="00D9783F"/>
    <w:pPr>
      <w:numPr>
        <w:numId w:val="20"/>
      </w:numPr>
      <w:spacing w:after="160"/>
      <w:ind w:right="2268"/>
    </w:pPr>
    <w:rPr>
      <w:b/>
      <w:sz w:val="28"/>
      <w:szCs w:val="20"/>
      <w:lang w:eastAsia="en-US"/>
    </w:rPr>
  </w:style>
  <w:style w:type="paragraph" w:customStyle="1" w:styleId="Titlepagecontentslistindented">
    <w:name w:val="Title page contents list indented"/>
    <w:basedOn w:val="Normal"/>
    <w:autoRedefine/>
    <w:semiHidden/>
    <w:rsid w:val="00D9783F"/>
    <w:pPr>
      <w:numPr>
        <w:numId w:val="21"/>
      </w:numPr>
      <w:spacing w:after="160"/>
      <w:ind w:right="2268"/>
    </w:pPr>
    <w:rPr>
      <w:szCs w:val="20"/>
      <w:lang w:eastAsia="en-US"/>
    </w:rPr>
  </w:style>
  <w:style w:type="paragraph" w:customStyle="1" w:styleId="TitlepageRHoutsidetitle">
    <w:name w:val="Title page RH outside title"/>
    <w:basedOn w:val="Normal"/>
    <w:semiHidden/>
    <w:rsid w:val="00D9783F"/>
    <w:pPr>
      <w:jc w:val="center"/>
    </w:pPr>
    <w:rPr>
      <w:rFonts w:ascii="Arial Black" w:hAnsi="Arial Black"/>
      <w:sz w:val="84"/>
      <w:szCs w:val="20"/>
      <w:lang w:eastAsia="en-US"/>
    </w:rPr>
  </w:style>
  <w:style w:type="paragraph" w:customStyle="1" w:styleId="TitlepageRHoutsidetitle1">
    <w:name w:val="Title page RH outside title1"/>
    <w:basedOn w:val="Normal"/>
    <w:semiHidden/>
    <w:rsid w:val="00D9783F"/>
    <w:pPr>
      <w:jc w:val="center"/>
    </w:pPr>
    <w:rPr>
      <w:rFonts w:ascii="Arial Black" w:hAnsi="Arial Black"/>
      <w:sz w:val="84"/>
      <w:szCs w:val="20"/>
      <w:lang w:eastAsia="en-US"/>
    </w:rPr>
  </w:style>
  <w:style w:type="paragraph" w:customStyle="1" w:styleId="TitlepageRHoutsidetitle2">
    <w:name w:val="Title page RH outside title2"/>
    <w:basedOn w:val="Normal"/>
    <w:semiHidden/>
    <w:rsid w:val="00D9783F"/>
    <w:pPr>
      <w:jc w:val="center"/>
    </w:pPr>
    <w:rPr>
      <w:rFonts w:ascii="Arial Black" w:hAnsi="Arial Black"/>
      <w:sz w:val="84"/>
      <w:szCs w:val="20"/>
      <w:lang w:eastAsia="en-US"/>
    </w:rPr>
  </w:style>
  <w:style w:type="paragraph" w:customStyle="1" w:styleId="TitlepageRHoutsidetitle3">
    <w:name w:val="Title page RH outside title3"/>
    <w:basedOn w:val="Normal"/>
    <w:semiHidden/>
    <w:rsid w:val="00D9783F"/>
    <w:pPr>
      <w:jc w:val="center"/>
    </w:pPr>
    <w:rPr>
      <w:rFonts w:ascii="Arial Black" w:hAnsi="Arial Black"/>
      <w:sz w:val="84"/>
      <w:szCs w:val="20"/>
      <w:lang w:eastAsia="en-US"/>
    </w:rPr>
  </w:style>
  <w:style w:type="paragraph" w:customStyle="1" w:styleId="TitlepageRHoutsidetitle4">
    <w:name w:val="Title page RH outside title4"/>
    <w:basedOn w:val="Normal"/>
    <w:semiHidden/>
    <w:rsid w:val="00D9783F"/>
    <w:pPr>
      <w:jc w:val="center"/>
    </w:pPr>
    <w:rPr>
      <w:rFonts w:ascii="Arial Black" w:hAnsi="Arial Black"/>
      <w:sz w:val="84"/>
      <w:szCs w:val="20"/>
      <w:lang w:eastAsia="en-US"/>
    </w:rPr>
  </w:style>
  <w:style w:type="paragraph" w:customStyle="1" w:styleId="Titlepagetitle">
    <w:name w:val="Title page title"/>
    <w:basedOn w:val="Heading1"/>
    <w:next w:val="Normal"/>
    <w:semiHidden/>
    <w:rsid w:val="00D9783F"/>
    <w:pPr>
      <w:spacing w:before="0" w:after="960"/>
    </w:pPr>
    <w:rPr>
      <w:rFonts w:ascii="Arial" w:hAnsi="Arial" w:cs="Times New Roman"/>
      <w:bCs w:val="0"/>
      <w:kern w:val="0"/>
      <w:sz w:val="44"/>
      <w:szCs w:val="20"/>
      <w:lang w:eastAsia="en-US"/>
    </w:rPr>
  </w:style>
  <w:style w:type="paragraph" w:customStyle="1" w:styleId="Titlepagetitle1">
    <w:name w:val="Title page title1"/>
    <w:basedOn w:val="Heading1"/>
    <w:next w:val="Normal"/>
    <w:semiHidden/>
    <w:rsid w:val="00D9783F"/>
    <w:pPr>
      <w:spacing w:before="0" w:after="960"/>
    </w:pPr>
    <w:rPr>
      <w:rFonts w:ascii="Arial" w:hAnsi="Arial" w:cs="Times New Roman"/>
      <w:bCs w:val="0"/>
      <w:kern w:val="0"/>
      <w:sz w:val="44"/>
      <w:szCs w:val="20"/>
      <w:lang w:eastAsia="en-US"/>
    </w:rPr>
  </w:style>
  <w:style w:type="paragraph" w:customStyle="1" w:styleId="Titlepagetitle2">
    <w:name w:val="Title page title2"/>
    <w:basedOn w:val="Heading1"/>
    <w:next w:val="Normal"/>
    <w:semiHidden/>
    <w:rsid w:val="00D9783F"/>
    <w:pPr>
      <w:spacing w:before="0" w:after="960"/>
    </w:pPr>
    <w:rPr>
      <w:rFonts w:ascii="Arial" w:hAnsi="Arial" w:cs="Times New Roman"/>
      <w:bCs w:val="0"/>
      <w:kern w:val="0"/>
      <w:sz w:val="44"/>
      <w:szCs w:val="20"/>
      <w:lang w:eastAsia="en-US"/>
    </w:rPr>
  </w:style>
  <w:style w:type="paragraph" w:customStyle="1" w:styleId="Titlepagetitle3">
    <w:name w:val="Title page title3"/>
    <w:basedOn w:val="Heading1"/>
    <w:next w:val="Normal"/>
    <w:semiHidden/>
    <w:rsid w:val="00D9783F"/>
    <w:pPr>
      <w:spacing w:before="0" w:after="960"/>
    </w:pPr>
    <w:rPr>
      <w:rFonts w:ascii="Arial" w:hAnsi="Arial" w:cs="Times New Roman"/>
      <w:bCs w:val="0"/>
      <w:kern w:val="0"/>
      <w:sz w:val="44"/>
      <w:szCs w:val="20"/>
      <w:lang w:eastAsia="en-US"/>
    </w:rPr>
  </w:style>
  <w:style w:type="paragraph" w:customStyle="1" w:styleId="Titlepagetitle4">
    <w:name w:val="Title page title4"/>
    <w:basedOn w:val="Heading1"/>
    <w:next w:val="Normal"/>
    <w:semiHidden/>
    <w:rsid w:val="00D9783F"/>
    <w:pPr>
      <w:spacing w:before="0" w:after="960"/>
    </w:pPr>
    <w:rPr>
      <w:rFonts w:ascii="Arial" w:hAnsi="Arial" w:cs="Times New Roman"/>
      <w:bCs w:val="0"/>
      <w:kern w:val="0"/>
      <w:sz w:val="44"/>
      <w:szCs w:val="20"/>
      <w:lang w:eastAsia="en-US"/>
    </w:rPr>
  </w:style>
  <w:style w:type="character" w:customStyle="1" w:styleId="VEOHRCBodytextChar">
    <w:name w:val="VEOHRC Body text Char"/>
    <w:link w:val="VEOHRCBodytext"/>
    <w:rsid w:val="00E2047F"/>
    <w:rPr>
      <w:rFonts w:ascii="Arial" w:eastAsia="Arial Unicode MS" w:hAnsi="Arial"/>
      <w:sz w:val="24"/>
      <w:szCs w:val="24"/>
      <w:lang w:val="en-GB" w:eastAsia="en-AU" w:bidi="ar-SA"/>
    </w:rPr>
  </w:style>
  <w:style w:type="paragraph" w:customStyle="1" w:styleId="Level0-HeadingTOC">
    <w:name w:val="Level 0 - Heading (TOC)"/>
    <w:next w:val="LegalBodyText"/>
    <w:semiHidden/>
    <w:rsid w:val="00D9783F"/>
    <w:pPr>
      <w:spacing w:before="120" w:after="120"/>
      <w:outlineLvl w:val="8"/>
    </w:pPr>
    <w:rPr>
      <w:rFonts w:ascii="Verdana" w:hAnsi="Verdana"/>
      <w:b/>
      <w:caps/>
      <w:color w:val="52006B"/>
      <w:sz w:val="22"/>
      <w:szCs w:val="22"/>
      <w:lang w:eastAsia="en-US"/>
    </w:rPr>
  </w:style>
  <w:style w:type="paragraph" w:customStyle="1" w:styleId="Level0-Recitals">
    <w:name w:val="Level 0 - Recitals"/>
    <w:semiHidden/>
    <w:rsid w:val="00D9783F"/>
    <w:pPr>
      <w:numPr>
        <w:numId w:val="31"/>
      </w:numPr>
      <w:tabs>
        <w:tab w:val="left" w:pos="851"/>
      </w:tabs>
      <w:spacing w:before="120" w:after="120"/>
    </w:pPr>
    <w:rPr>
      <w:rFonts w:ascii="Verdana" w:hAnsi="Verdana"/>
      <w:sz w:val="24"/>
      <w:szCs w:val="24"/>
      <w:lang w:eastAsia="en-US"/>
    </w:rPr>
  </w:style>
  <w:style w:type="paragraph" w:customStyle="1" w:styleId="BodyText-Bold">
    <w:name w:val="Body Text - Bold"/>
    <w:link w:val="BodyText-BoldChar"/>
    <w:semiHidden/>
    <w:rsid w:val="00D9783F"/>
    <w:pPr>
      <w:spacing w:before="120" w:after="120"/>
      <w:ind w:left="567"/>
    </w:pPr>
    <w:rPr>
      <w:rFonts w:ascii="Verdana" w:hAnsi="Verdana"/>
      <w:b/>
      <w:sz w:val="24"/>
      <w:szCs w:val="24"/>
      <w:lang w:eastAsia="en-US"/>
    </w:rPr>
  </w:style>
  <w:style w:type="paragraph" w:customStyle="1" w:styleId="Default">
    <w:name w:val="Default"/>
    <w:rsid w:val="00D9783F"/>
    <w:pPr>
      <w:autoSpaceDE w:val="0"/>
      <w:autoSpaceDN w:val="0"/>
      <w:adjustRightInd w:val="0"/>
    </w:pPr>
    <w:rPr>
      <w:rFonts w:cs="Arial"/>
      <w:color w:val="000000"/>
      <w:sz w:val="24"/>
      <w:szCs w:val="24"/>
    </w:rPr>
  </w:style>
  <w:style w:type="paragraph" w:customStyle="1" w:styleId="DRHead3">
    <w:name w:val="DR Head 3"/>
    <w:basedOn w:val="Normal"/>
    <w:semiHidden/>
    <w:rsid w:val="00D9783F"/>
    <w:pPr>
      <w:shd w:val="clear" w:color="auto" w:fill="FFFFFF"/>
      <w:spacing w:before="100" w:beforeAutospacing="1" w:after="210" w:line="480" w:lineRule="auto"/>
    </w:pPr>
    <w:rPr>
      <w:rFonts w:ascii="Times New Roman" w:hAnsi="Times New Roman"/>
      <w:b/>
      <w:szCs w:val="20"/>
      <w:lang w:eastAsia="en-US"/>
    </w:rPr>
  </w:style>
  <w:style w:type="paragraph" w:customStyle="1" w:styleId="DRHead1">
    <w:name w:val="DR Head1"/>
    <w:basedOn w:val="Normal"/>
    <w:semiHidden/>
    <w:rsid w:val="00D9783F"/>
    <w:pPr>
      <w:autoSpaceDE w:val="0"/>
      <w:autoSpaceDN w:val="0"/>
      <w:adjustRightInd w:val="0"/>
      <w:spacing w:line="480" w:lineRule="auto"/>
    </w:pPr>
    <w:rPr>
      <w:rFonts w:ascii="Times New Roman" w:hAnsi="Times New Roman"/>
      <w:b/>
      <w:iCs/>
      <w:szCs w:val="20"/>
      <w:u w:val="single"/>
      <w:lang w:val="en-US" w:eastAsia="en-US"/>
    </w:rPr>
  </w:style>
  <w:style w:type="paragraph" w:customStyle="1" w:styleId="Tablecontent">
    <w:name w:val="Table content"/>
    <w:basedOn w:val="Normal"/>
    <w:semiHidden/>
    <w:rsid w:val="00D9783F"/>
    <w:pPr>
      <w:spacing w:before="120" w:after="120"/>
    </w:pPr>
    <w:rPr>
      <w:rFonts w:cs="Arial"/>
      <w:color w:val="616365"/>
      <w:sz w:val="20"/>
      <w:szCs w:val="18"/>
      <w:lang w:eastAsia="en-US"/>
    </w:rPr>
  </w:style>
  <w:style w:type="paragraph" w:customStyle="1" w:styleId="TableText">
    <w:name w:val="Table Text"/>
    <w:link w:val="TableTextChar"/>
    <w:semiHidden/>
    <w:rsid w:val="00D9783F"/>
    <w:pPr>
      <w:spacing w:before="60" w:after="60"/>
    </w:pPr>
    <w:rPr>
      <w:rFonts w:ascii="Verdana" w:hAnsi="Verdana"/>
      <w:sz w:val="18"/>
      <w:szCs w:val="18"/>
      <w:lang w:eastAsia="en-US"/>
    </w:rPr>
  </w:style>
  <w:style w:type="paragraph" w:customStyle="1" w:styleId="TableText-List">
    <w:name w:val="Table Text - List"/>
    <w:semiHidden/>
    <w:rsid w:val="00D9783F"/>
    <w:pPr>
      <w:numPr>
        <w:numId w:val="24"/>
      </w:numPr>
      <w:spacing w:before="60" w:after="60"/>
    </w:pPr>
    <w:rPr>
      <w:rFonts w:ascii="Verdana" w:hAnsi="Verdana"/>
      <w:kern w:val="22"/>
      <w:sz w:val="18"/>
      <w:szCs w:val="18"/>
      <w:lang w:eastAsia="en-US"/>
    </w:rPr>
  </w:style>
  <w:style w:type="paragraph" w:customStyle="1" w:styleId="TableText-Centred">
    <w:name w:val="Table Text - Centred"/>
    <w:semiHidden/>
    <w:rsid w:val="00D9783F"/>
    <w:pPr>
      <w:spacing w:before="60" w:after="60"/>
      <w:jc w:val="center"/>
    </w:pPr>
    <w:rPr>
      <w:rFonts w:ascii="Verdana" w:hAnsi="Verdana"/>
      <w:sz w:val="18"/>
      <w:szCs w:val="18"/>
      <w:lang w:eastAsia="en-US"/>
    </w:rPr>
  </w:style>
  <w:style w:type="paragraph" w:customStyle="1" w:styleId="TableHeader">
    <w:name w:val="Table Header"/>
    <w:semiHidden/>
    <w:rsid w:val="00D9783F"/>
    <w:pPr>
      <w:keepNext/>
      <w:spacing w:before="120" w:after="120"/>
    </w:pPr>
    <w:rPr>
      <w:rFonts w:ascii="Verdana" w:hAnsi="Verdana"/>
      <w:b/>
      <w:color w:val="002B45"/>
      <w:sz w:val="24"/>
      <w:szCs w:val="24"/>
      <w:lang w:eastAsia="en-US"/>
    </w:rPr>
  </w:style>
  <w:style w:type="paragraph" w:customStyle="1" w:styleId="TableText-CentredBold">
    <w:name w:val="Table Text - Centred / Bold"/>
    <w:semiHidden/>
    <w:rsid w:val="00D9783F"/>
    <w:pPr>
      <w:spacing w:before="60" w:after="60"/>
      <w:jc w:val="center"/>
    </w:pPr>
    <w:rPr>
      <w:rFonts w:ascii="Verdana" w:hAnsi="Verdana"/>
      <w:b/>
      <w:sz w:val="18"/>
      <w:szCs w:val="18"/>
      <w:lang w:eastAsia="en-US"/>
    </w:rPr>
  </w:style>
  <w:style w:type="paragraph" w:customStyle="1" w:styleId="Spacer">
    <w:name w:val="Spacer"/>
    <w:semiHidden/>
    <w:rsid w:val="00D9783F"/>
    <w:pPr>
      <w:ind w:left="567"/>
    </w:pPr>
    <w:rPr>
      <w:rFonts w:ascii="Verdana" w:hAnsi="Verdana"/>
      <w:sz w:val="12"/>
      <w:szCs w:val="12"/>
      <w:lang w:eastAsia="en-US"/>
    </w:rPr>
  </w:style>
  <w:style w:type="paragraph" w:customStyle="1" w:styleId="TableText-Bold">
    <w:name w:val="Table Text - Bold"/>
    <w:semiHidden/>
    <w:rsid w:val="00D9783F"/>
    <w:pPr>
      <w:spacing w:before="60" w:after="60"/>
    </w:pPr>
    <w:rPr>
      <w:rFonts w:ascii="Verdana" w:hAnsi="Verdana"/>
      <w:b/>
      <w:sz w:val="18"/>
      <w:szCs w:val="18"/>
      <w:lang w:eastAsia="en-US"/>
    </w:rPr>
  </w:style>
  <w:style w:type="paragraph" w:customStyle="1" w:styleId="AppendixHeading1">
    <w:name w:val="Appendix Heading 1"/>
    <w:next w:val="AppendixHeading2"/>
    <w:semiHidden/>
    <w:rsid w:val="00D9783F"/>
    <w:pPr>
      <w:keepNext/>
      <w:pageBreakBefore/>
      <w:numPr>
        <w:numId w:val="22"/>
      </w:numPr>
      <w:tabs>
        <w:tab w:val="clear" w:pos="1440"/>
        <w:tab w:val="left" w:pos="2268"/>
      </w:tabs>
      <w:spacing w:after="120"/>
      <w:ind w:left="2268" w:hanging="2268"/>
      <w:contextualSpacing/>
      <w:outlineLvl w:val="0"/>
    </w:pPr>
    <w:rPr>
      <w:rFonts w:ascii="Verdana" w:hAnsi="Verdana"/>
      <w:color w:val="52006B"/>
      <w:sz w:val="32"/>
      <w:szCs w:val="36"/>
      <w:lang w:eastAsia="en-US"/>
    </w:rPr>
  </w:style>
  <w:style w:type="paragraph" w:customStyle="1" w:styleId="FigureLabel">
    <w:name w:val="Figure Label"/>
    <w:next w:val="Normal"/>
    <w:semiHidden/>
    <w:rsid w:val="00D9783F"/>
    <w:pPr>
      <w:keepNext/>
      <w:keepLines/>
      <w:tabs>
        <w:tab w:val="left" w:pos="1701"/>
      </w:tabs>
      <w:spacing w:before="120" w:after="120"/>
      <w:ind w:left="1701" w:hanging="1134"/>
    </w:pPr>
    <w:rPr>
      <w:rFonts w:ascii="Verdana" w:hAnsi="Verdana"/>
      <w:i/>
      <w:sz w:val="24"/>
      <w:szCs w:val="24"/>
      <w:lang w:eastAsia="en-US"/>
    </w:rPr>
  </w:style>
  <w:style w:type="paragraph" w:customStyle="1" w:styleId="Figure-List">
    <w:name w:val="Figure - List"/>
    <w:semiHidden/>
    <w:rsid w:val="00D9783F"/>
    <w:pPr>
      <w:numPr>
        <w:numId w:val="23"/>
      </w:numPr>
      <w:tabs>
        <w:tab w:val="left" w:pos="142"/>
      </w:tabs>
      <w:spacing w:after="60"/>
    </w:pPr>
    <w:rPr>
      <w:sz w:val="18"/>
      <w:szCs w:val="18"/>
      <w:lang w:eastAsia="en-US"/>
    </w:rPr>
  </w:style>
  <w:style w:type="paragraph" w:customStyle="1" w:styleId="BodyText-RestrictedRelease">
    <w:name w:val="Body Text - Restricted Release"/>
    <w:semiHidden/>
    <w:rsid w:val="00D9783F"/>
    <w:pPr>
      <w:spacing w:after="120"/>
    </w:pPr>
    <w:rPr>
      <w:rFonts w:ascii="Verdana" w:eastAsia="Times" w:hAnsi="Verdana"/>
      <w:sz w:val="16"/>
      <w:szCs w:val="30"/>
    </w:rPr>
  </w:style>
  <w:style w:type="paragraph" w:customStyle="1" w:styleId="TableLabel">
    <w:name w:val="Table Label"/>
    <w:next w:val="Normal"/>
    <w:semiHidden/>
    <w:rsid w:val="00D9783F"/>
    <w:pPr>
      <w:keepNext/>
      <w:keepLines/>
      <w:tabs>
        <w:tab w:val="left" w:pos="1701"/>
      </w:tabs>
      <w:spacing w:before="120" w:after="120"/>
      <w:ind w:left="1701" w:hanging="1134"/>
    </w:pPr>
    <w:rPr>
      <w:rFonts w:ascii="Verdana" w:hAnsi="Verdana"/>
      <w:i/>
      <w:sz w:val="24"/>
      <w:szCs w:val="24"/>
      <w:lang w:eastAsia="en-US"/>
    </w:rPr>
  </w:style>
  <w:style w:type="paragraph" w:customStyle="1" w:styleId="AppendixHeading2">
    <w:name w:val="Appendix Heading 2"/>
    <w:next w:val="BodyText"/>
    <w:semiHidden/>
    <w:rsid w:val="00D9783F"/>
    <w:pPr>
      <w:keepNext/>
      <w:tabs>
        <w:tab w:val="left" w:pos="794"/>
        <w:tab w:val="left" w:pos="907"/>
      </w:tabs>
      <w:spacing w:before="240" w:after="120"/>
      <w:outlineLvl w:val="1"/>
    </w:pPr>
    <w:rPr>
      <w:rFonts w:ascii="Verdana" w:hAnsi="Verdana"/>
      <w:iCs/>
      <w:color w:val="52006B"/>
      <w:sz w:val="28"/>
      <w:szCs w:val="28"/>
      <w:lang w:val="en-US" w:eastAsia="en-US"/>
    </w:rPr>
  </w:style>
  <w:style w:type="paragraph" w:customStyle="1" w:styleId="BodyText-NumberedListi">
    <w:name w:val="Body Text - Numbered List i"/>
    <w:link w:val="BodyText-NumberedListiCharChar"/>
    <w:semiHidden/>
    <w:rsid w:val="00D9783F"/>
    <w:pPr>
      <w:numPr>
        <w:ilvl w:val="2"/>
        <w:numId w:val="37"/>
      </w:numPr>
      <w:spacing w:before="60" w:after="60"/>
    </w:pPr>
    <w:rPr>
      <w:rFonts w:ascii="Verdana" w:eastAsia="Times" w:hAnsi="Verdana"/>
      <w:sz w:val="24"/>
      <w:szCs w:val="24"/>
      <w:lang w:eastAsia="en-US"/>
    </w:rPr>
  </w:style>
  <w:style w:type="paragraph" w:customStyle="1" w:styleId="TableText-List-Nolinespacing">
    <w:name w:val="Table Text - List - No line spacing"/>
    <w:semiHidden/>
    <w:rsid w:val="00D9783F"/>
    <w:pPr>
      <w:numPr>
        <w:numId w:val="27"/>
      </w:numPr>
    </w:pPr>
    <w:rPr>
      <w:rFonts w:ascii="Verdana" w:hAnsi="Verdana"/>
      <w:kern w:val="22"/>
      <w:sz w:val="18"/>
      <w:szCs w:val="18"/>
      <w:lang w:eastAsia="en-US"/>
    </w:rPr>
  </w:style>
  <w:style w:type="paragraph" w:customStyle="1" w:styleId="BodyText-List-Indent">
    <w:name w:val="Body Text - List - Indent"/>
    <w:semiHidden/>
    <w:rsid w:val="00D9783F"/>
    <w:pPr>
      <w:numPr>
        <w:numId w:val="26"/>
      </w:numPr>
      <w:spacing w:after="120"/>
    </w:pPr>
    <w:rPr>
      <w:rFonts w:ascii="Verdana" w:eastAsia="Times" w:hAnsi="Verdana"/>
      <w:sz w:val="24"/>
      <w:szCs w:val="24"/>
      <w:lang w:eastAsia="en-US"/>
    </w:rPr>
  </w:style>
  <w:style w:type="paragraph" w:customStyle="1" w:styleId="FinalorDraft">
    <w:name w:val="Final or Draft"/>
    <w:semiHidden/>
    <w:rsid w:val="00D9783F"/>
    <w:pPr>
      <w:jc w:val="center"/>
    </w:pPr>
    <w:rPr>
      <w:rFonts w:ascii="Verdana" w:hAnsi="Verdana"/>
      <w:b/>
      <w:bCs/>
      <w:snapToGrid w:val="0"/>
      <w:color w:val="52006B"/>
      <w:sz w:val="24"/>
      <w:szCs w:val="16"/>
      <w:lang w:eastAsia="en-US"/>
    </w:rPr>
  </w:style>
  <w:style w:type="paragraph" w:customStyle="1" w:styleId="BodyText-Italics">
    <w:name w:val="Body Text - Italics"/>
    <w:semiHidden/>
    <w:rsid w:val="00D9783F"/>
    <w:pPr>
      <w:spacing w:before="120" w:after="120"/>
      <w:ind w:left="567"/>
    </w:pPr>
    <w:rPr>
      <w:rFonts w:ascii="Verdana" w:eastAsia="Times" w:hAnsi="Verdana"/>
      <w:i/>
      <w:sz w:val="24"/>
      <w:szCs w:val="24"/>
      <w:lang w:eastAsia="en-US"/>
    </w:rPr>
  </w:style>
  <w:style w:type="paragraph" w:customStyle="1" w:styleId="FigureHeading">
    <w:name w:val="Figure Heading"/>
    <w:semiHidden/>
    <w:rsid w:val="00D9783F"/>
    <w:pPr>
      <w:spacing w:after="120"/>
      <w:jc w:val="center"/>
    </w:pPr>
    <w:rPr>
      <w:b/>
      <w:sz w:val="18"/>
      <w:szCs w:val="18"/>
      <w:lang w:eastAsia="en-US"/>
    </w:rPr>
  </w:style>
  <w:style w:type="paragraph" w:customStyle="1" w:styleId="BodyText-SmallText">
    <w:name w:val="Body Text - Small Text"/>
    <w:semiHidden/>
    <w:rsid w:val="00D9783F"/>
    <w:pPr>
      <w:spacing w:before="120"/>
      <w:ind w:left="567"/>
    </w:pPr>
    <w:rPr>
      <w:rFonts w:ascii="Verdana" w:hAnsi="Verdana"/>
      <w:sz w:val="16"/>
      <w:szCs w:val="24"/>
      <w:lang w:eastAsia="en-US"/>
    </w:rPr>
  </w:style>
  <w:style w:type="paragraph" w:customStyle="1" w:styleId="TableText-numbers">
    <w:name w:val="Table Text - numbers"/>
    <w:basedOn w:val="TableText"/>
    <w:semiHidden/>
    <w:rsid w:val="00D9783F"/>
    <w:pPr>
      <w:numPr>
        <w:numId w:val="30"/>
      </w:numPr>
      <w:tabs>
        <w:tab w:val="clear" w:pos="360"/>
        <w:tab w:val="num" w:pos="1492"/>
      </w:tabs>
      <w:spacing w:before="40" w:after="40"/>
      <w:ind w:left="1492" w:hanging="360"/>
    </w:pPr>
    <w:rPr>
      <w:szCs w:val="24"/>
    </w:rPr>
  </w:style>
  <w:style w:type="paragraph" w:customStyle="1" w:styleId="BodyText-List">
    <w:name w:val="Body Text - List"/>
    <w:semiHidden/>
    <w:rsid w:val="00D9783F"/>
    <w:pPr>
      <w:numPr>
        <w:numId w:val="33"/>
      </w:numPr>
      <w:spacing w:after="120"/>
    </w:pPr>
    <w:rPr>
      <w:rFonts w:ascii="Verdana" w:hAnsi="Verdana"/>
      <w:sz w:val="24"/>
      <w:szCs w:val="24"/>
      <w:lang w:eastAsia="en-US"/>
    </w:rPr>
  </w:style>
  <w:style w:type="paragraph" w:customStyle="1" w:styleId="BodyText-NumberedList1">
    <w:name w:val="Body Text - Numbered List 1"/>
    <w:basedOn w:val="BodyText-NumberedLista"/>
    <w:semiHidden/>
    <w:rsid w:val="00D9783F"/>
    <w:pPr>
      <w:numPr>
        <w:ilvl w:val="0"/>
      </w:numPr>
      <w:tabs>
        <w:tab w:val="clear" w:pos="1417"/>
        <w:tab w:val="num" w:pos="360"/>
        <w:tab w:val="num" w:pos="720"/>
        <w:tab w:val="left" w:pos="1389"/>
      </w:tabs>
      <w:ind w:left="720" w:hanging="360"/>
    </w:pPr>
  </w:style>
  <w:style w:type="paragraph" w:customStyle="1" w:styleId="BodyText-NumberedLista">
    <w:name w:val="Body Text - Numbered List a"/>
    <w:link w:val="BodyText-NumberedListaCharChar"/>
    <w:semiHidden/>
    <w:rsid w:val="00D9783F"/>
    <w:pPr>
      <w:numPr>
        <w:ilvl w:val="1"/>
        <w:numId w:val="37"/>
      </w:numPr>
      <w:spacing w:before="60" w:after="60"/>
    </w:pPr>
    <w:rPr>
      <w:rFonts w:ascii="Verdana" w:hAnsi="Verdana"/>
      <w:sz w:val="24"/>
      <w:szCs w:val="24"/>
      <w:lang w:eastAsia="en-US"/>
    </w:rPr>
  </w:style>
  <w:style w:type="paragraph" w:customStyle="1" w:styleId="TableText-ListItalics">
    <w:name w:val="Table Text - List Italics"/>
    <w:semiHidden/>
    <w:rsid w:val="00D9783F"/>
    <w:pPr>
      <w:numPr>
        <w:numId w:val="29"/>
      </w:numPr>
      <w:spacing w:before="60" w:after="60"/>
    </w:pPr>
    <w:rPr>
      <w:rFonts w:ascii="Verdana" w:eastAsia="Times" w:hAnsi="Verdana"/>
      <w:i/>
      <w:kern w:val="22"/>
      <w:sz w:val="18"/>
      <w:szCs w:val="18"/>
      <w:lang w:eastAsia="en-US"/>
    </w:rPr>
  </w:style>
  <w:style w:type="paragraph" w:customStyle="1" w:styleId="Reporttitle">
    <w:name w:val="Report title"/>
    <w:next w:val="Titledateandversion"/>
    <w:semiHidden/>
    <w:rsid w:val="00D9783F"/>
    <w:pPr>
      <w:spacing w:before="120" w:after="120"/>
    </w:pPr>
    <w:rPr>
      <w:rFonts w:ascii="Times" w:eastAsia="Times" w:hAnsi="Times"/>
      <w:color w:val="52006B"/>
      <w:sz w:val="80"/>
      <w:szCs w:val="96"/>
    </w:rPr>
  </w:style>
  <w:style w:type="paragraph" w:customStyle="1" w:styleId="Titledateandversion">
    <w:name w:val="Title date and version"/>
    <w:semiHidden/>
    <w:rsid w:val="00D9783F"/>
    <w:rPr>
      <w:rFonts w:ascii="Times" w:eastAsia="Times" w:hAnsi="Times"/>
      <w:color w:val="87ADB0"/>
      <w:sz w:val="22"/>
      <w:szCs w:val="30"/>
    </w:rPr>
  </w:style>
  <w:style w:type="paragraph" w:customStyle="1" w:styleId="Subtitle0">
    <w:name w:val="Sub title"/>
    <w:semiHidden/>
    <w:rsid w:val="00D9783F"/>
    <w:pPr>
      <w:spacing w:after="240"/>
    </w:pPr>
    <w:rPr>
      <w:rFonts w:ascii="Times" w:eastAsia="Times" w:hAnsi="Times"/>
      <w:color w:val="52006B"/>
      <w:sz w:val="40"/>
      <w:szCs w:val="40"/>
    </w:rPr>
  </w:style>
  <w:style w:type="paragraph" w:customStyle="1" w:styleId="Subtitle2">
    <w:name w:val="Sub title 2"/>
    <w:semiHidden/>
    <w:rsid w:val="00D9783F"/>
    <w:pPr>
      <w:pBdr>
        <w:top w:val="single" w:sz="8" w:space="1" w:color="52006B"/>
      </w:pBdr>
      <w:spacing w:before="240"/>
    </w:pPr>
    <w:rPr>
      <w:rFonts w:ascii="Times" w:eastAsia="Times" w:hAnsi="Times"/>
      <w:color w:val="52006B"/>
      <w:sz w:val="40"/>
      <w:szCs w:val="40"/>
    </w:rPr>
  </w:style>
  <w:style w:type="paragraph" w:customStyle="1" w:styleId="Reporttitle2">
    <w:name w:val="Report_title 2"/>
    <w:semiHidden/>
    <w:rsid w:val="00D9783F"/>
    <w:pPr>
      <w:spacing w:before="120" w:after="120"/>
    </w:pPr>
    <w:rPr>
      <w:rFonts w:ascii="Times" w:eastAsia="Times" w:hAnsi="Times"/>
      <w:color w:val="52006B"/>
      <w:sz w:val="44"/>
      <w:szCs w:val="96"/>
    </w:rPr>
  </w:style>
  <w:style w:type="paragraph" w:customStyle="1" w:styleId="TableText-Italics">
    <w:name w:val="Table Text - Italics"/>
    <w:semiHidden/>
    <w:rsid w:val="00D9783F"/>
    <w:pPr>
      <w:spacing w:before="60" w:after="60"/>
    </w:pPr>
    <w:rPr>
      <w:rFonts w:ascii="Verdana" w:hAnsi="Verdana"/>
      <w:i/>
      <w:sz w:val="18"/>
      <w:szCs w:val="18"/>
      <w:lang w:eastAsia="en-US"/>
    </w:rPr>
  </w:style>
  <w:style w:type="paragraph" w:customStyle="1" w:styleId="Heading-inTOC">
    <w:name w:val="Heading - in TOC"/>
    <w:next w:val="Normal"/>
    <w:link w:val="Heading-inTOCChar"/>
    <w:semiHidden/>
    <w:rsid w:val="00D9783F"/>
    <w:pPr>
      <w:keepNext/>
      <w:spacing w:before="360" w:after="240"/>
      <w:outlineLvl w:val="0"/>
    </w:pPr>
    <w:rPr>
      <w:rFonts w:ascii="Verdana" w:hAnsi="Verdana"/>
      <w:color w:val="52006B"/>
      <w:sz w:val="28"/>
      <w:szCs w:val="28"/>
      <w:lang w:eastAsia="en-US"/>
    </w:rPr>
  </w:style>
  <w:style w:type="paragraph" w:customStyle="1" w:styleId="TableText-BoldColour">
    <w:name w:val="Table Text - Bold Colour"/>
    <w:semiHidden/>
    <w:rsid w:val="00D9783F"/>
    <w:pPr>
      <w:spacing w:before="60" w:after="60"/>
    </w:pPr>
    <w:rPr>
      <w:rFonts w:ascii="Verdana" w:hAnsi="Verdana"/>
      <w:b/>
      <w:color w:val="52006B"/>
      <w:sz w:val="18"/>
      <w:szCs w:val="18"/>
      <w:lang w:eastAsia="en-US"/>
    </w:rPr>
  </w:style>
  <w:style w:type="paragraph" w:customStyle="1" w:styleId="Organisationname">
    <w:name w:val="Organisation name"/>
    <w:semiHidden/>
    <w:rsid w:val="00D9783F"/>
    <w:rPr>
      <w:rFonts w:ascii="Times" w:hAnsi="Times"/>
      <w:b/>
      <w:color w:val="52006B"/>
      <w:sz w:val="23"/>
      <w:szCs w:val="26"/>
      <w:lang w:eastAsia="en-US"/>
    </w:rPr>
  </w:style>
  <w:style w:type="paragraph" w:customStyle="1" w:styleId="Reporttitle-Centred">
    <w:name w:val="Report_title - Centred"/>
    <w:semiHidden/>
    <w:rsid w:val="00D9783F"/>
    <w:pPr>
      <w:spacing w:before="120" w:after="120"/>
      <w:jc w:val="center"/>
    </w:pPr>
    <w:rPr>
      <w:rFonts w:ascii="Times" w:eastAsia="Times" w:hAnsi="Times"/>
      <w:color w:val="52006B"/>
      <w:sz w:val="80"/>
      <w:szCs w:val="96"/>
    </w:rPr>
  </w:style>
  <w:style w:type="paragraph" w:customStyle="1" w:styleId="Subtitle-Centred">
    <w:name w:val="Sub title - Centred"/>
    <w:semiHidden/>
    <w:rsid w:val="00D9783F"/>
    <w:pPr>
      <w:spacing w:after="240"/>
      <w:jc w:val="center"/>
    </w:pPr>
    <w:rPr>
      <w:rFonts w:ascii="Times" w:eastAsia="Times" w:hAnsi="Times"/>
      <w:color w:val="52006B"/>
      <w:sz w:val="40"/>
      <w:szCs w:val="40"/>
    </w:rPr>
  </w:style>
  <w:style w:type="paragraph" w:customStyle="1" w:styleId="NoStyle">
    <w:name w:val="No Style"/>
    <w:link w:val="NoStyleCharChar"/>
    <w:semiHidden/>
    <w:rsid w:val="00D9783F"/>
    <w:pPr>
      <w:ind w:left="567"/>
    </w:pPr>
    <w:rPr>
      <w:rFonts w:ascii="Verdana" w:eastAsia="Times" w:hAnsi="Verdana"/>
      <w:sz w:val="24"/>
      <w:szCs w:val="30"/>
    </w:rPr>
  </w:style>
  <w:style w:type="paragraph" w:customStyle="1" w:styleId="Heading-notinTOC">
    <w:name w:val="Heading - not in TOC"/>
    <w:next w:val="BodyText"/>
    <w:semiHidden/>
    <w:rsid w:val="00D9783F"/>
    <w:pPr>
      <w:keepNext/>
      <w:spacing w:before="360" w:after="240"/>
    </w:pPr>
    <w:rPr>
      <w:rFonts w:ascii="Verdana" w:hAnsi="Verdana"/>
      <w:color w:val="52006B"/>
      <w:sz w:val="28"/>
      <w:szCs w:val="28"/>
      <w:lang w:eastAsia="en-US"/>
    </w:rPr>
  </w:style>
  <w:style w:type="paragraph" w:customStyle="1" w:styleId="Footer-smalltext">
    <w:name w:val="Footer - small text"/>
    <w:semiHidden/>
    <w:rsid w:val="00D9783F"/>
    <w:pPr>
      <w:pBdr>
        <w:bottom w:val="single" w:sz="8" w:space="1" w:color="87ADB0"/>
      </w:pBdr>
    </w:pPr>
    <w:rPr>
      <w:rFonts w:ascii="Verdana" w:hAnsi="Verdana"/>
      <w:bCs/>
      <w:noProof/>
      <w:snapToGrid w:val="0"/>
      <w:color w:val="52006B"/>
      <w:sz w:val="12"/>
      <w:szCs w:val="12"/>
      <w:lang w:eastAsia="en-US"/>
    </w:rPr>
  </w:style>
  <w:style w:type="paragraph" w:customStyle="1" w:styleId="TableTextSmall">
    <w:name w:val="Table Text Small"/>
    <w:semiHidden/>
    <w:rsid w:val="00D9783F"/>
    <w:pPr>
      <w:spacing w:before="60" w:after="60"/>
    </w:pPr>
    <w:rPr>
      <w:rFonts w:ascii="Verdana" w:hAnsi="Verdana"/>
      <w:sz w:val="16"/>
      <w:szCs w:val="18"/>
      <w:lang w:eastAsia="en-US"/>
    </w:rPr>
  </w:style>
  <w:style w:type="paragraph" w:customStyle="1" w:styleId="BodyText-List-RestrictedRelease">
    <w:name w:val="Body Text - List - Restricted Release"/>
    <w:semiHidden/>
    <w:rsid w:val="00D9783F"/>
    <w:pPr>
      <w:numPr>
        <w:numId w:val="25"/>
      </w:numPr>
      <w:spacing w:after="120"/>
    </w:pPr>
    <w:rPr>
      <w:rFonts w:ascii="Verdana" w:hAnsi="Verdana"/>
      <w:sz w:val="16"/>
      <w:szCs w:val="24"/>
      <w:lang w:val="en-US" w:eastAsia="en-US"/>
    </w:rPr>
  </w:style>
  <w:style w:type="character" w:customStyle="1" w:styleId="NoStyleCharChar">
    <w:name w:val="No Style Char Char"/>
    <w:link w:val="NoStyle"/>
    <w:rsid w:val="00D9783F"/>
    <w:rPr>
      <w:rFonts w:ascii="Verdana" w:eastAsia="Times" w:hAnsi="Verdana"/>
      <w:szCs w:val="30"/>
      <w:lang w:val="en-AU" w:eastAsia="en-AU" w:bidi="ar-SA"/>
    </w:rPr>
  </w:style>
  <w:style w:type="paragraph" w:customStyle="1" w:styleId="BodyText-SmallCentredBold">
    <w:name w:val="Body Text - Small Centred Bold"/>
    <w:semiHidden/>
    <w:rsid w:val="00D9783F"/>
    <w:pPr>
      <w:spacing w:before="120" w:after="120"/>
      <w:ind w:left="567"/>
      <w:jc w:val="center"/>
    </w:pPr>
    <w:rPr>
      <w:rFonts w:ascii="Verdana" w:hAnsi="Verdana"/>
      <w:b/>
      <w:sz w:val="16"/>
      <w:szCs w:val="24"/>
      <w:lang w:eastAsia="en-US"/>
    </w:rPr>
  </w:style>
  <w:style w:type="paragraph" w:customStyle="1" w:styleId="FigureText">
    <w:name w:val="Figure Text"/>
    <w:semiHidden/>
    <w:rsid w:val="00D9783F"/>
    <w:pPr>
      <w:spacing w:after="120"/>
    </w:pPr>
    <w:rPr>
      <w:rFonts w:ascii="Verdana" w:hAnsi="Verdana"/>
      <w:sz w:val="18"/>
      <w:szCs w:val="24"/>
      <w:lang w:eastAsia="en-US"/>
    </w:rPr>
  </w:style>
  <w:style w:type="paragraph" w:customStyle="1" w:styleId="BodyText-Centred">
    <w:name w:val="Body Text - Centred"/>
    <w:semiHidden/>
    <w:rsid w:val="00D9783F"/>
    <w:pPr>
      <w:spacing w:before="120" w:after="120"/>
      <w:ind w:left="567"/>
      <w:jc w:val="center"/>
    </w:pPr>
    <w:rPr>
      <w:rFonts w:ascii="Verdana" w:eastAsia="Times" w:hAnsi="Verdana"/>
      <w:sz w:val="24"/>
      <w:szCs w:val="24"/>
      <w:lang w:eastAsia="en-US"/>
    </w:rPr>
  </w:style>
  <w:style w:type="paragraph" w:customStyle="1" w:styleId="Heading-notinTOC-centred">
    <w:name w:val="Heading - not in TOC - centred"/>
    <w:next w:val="BodyText"/>
    <w:semiHidden/>
    <w:rsid w:val="00D9783F"/>
    <w:pPr>
      <w:keepNext/>
      <w:spacing w:before="360" w:after="240"/>
      <w:jc w:val="center"/>
    </w:pPr>
    <w:rPr>
      <w:rFonts w:ascii="Verdana" w:hAnsi="Verdana"/>
      <w:color w:val="52006B"/>
      <w:sz w:val="28"/>
      <w:szCs w:val="28"/>
      <w:lang w:eastAsia="en-US"/>
    </w:rPr>
  </w:style>
  <w:style w:type="character" w:styleId="EndnoteReference">
    <w:name w:val="endnote reference"/>
    <w:semiHidden/>
    <w:rsid w:val="00D9783F"/>
    <w:rPr>
      <w:rFonts w:ascii="Script MT Bold" w:hAnsi="Script MT Bold"/>
      <w:color w:val="FF0000"/>
      <w:sz w:val="32"/>
      <w:u w:val="single"/>
      <w:vertAlign w:val="superscript"/>
    </w:rPr>
  </w:style>
  <w:style w:type="paragraph" w:styleId="EndnoteText">
    <w:name w:val="endnote text"/>
    <w:basedOn w:val="Normal"/>
    <w:link w:val="EndnoteTextChar"/>
    <w:semiHidden/>
    <w:rsid w:val="00D9783F"/>
    <w:rPr>
      <w:rFonts w:ascii="Script MT Bold" w:hAnsi="Script MT Bold"/>
      <w:color w:val="FF0000"/>
      <w:szCs w:val="20"/>
      <w:u w:val="single"/>
      <w:lang w:eastAsia="en-US"/>
    </w:rPr>
  </w:style>
  <w:style w:type="paragraph" w:styleId="Index1">
    <w:name w:val="index 1"/>
    <w:basedOn w:val="Normal"/>
    <w:next w:val="Normal"/>
    <w:autoRedefine/>
    <w:semiHidden/>
    <w:rsid w:val="00D9783F"/>
    <w:pPr>
      <w:ind w:left="320" w:hanging="320"/>
    </w:pPr>
    <w:rPr>
      <w:rFonts w:ascii="Script MT Bold" w:hAnsi="Script MT Bold"/>
      <w:color w:val="FF0000"/>
      <w:szCs w:val="20"/>
      <w:u w:val="single"/>
      <w:lang w:eastAsia="en-US"/>
    </w:rPr>
  </w:style>
  <w:style w:type="paragraph" w:styleId="Index2">
    <w:name w:val="index 2"/>
    <w:basedOn w:val="Normal"/>
    <w:next w:val="Normal"/>
    <w:autoRedefine/>
    <w:semiHidden/>
    <w:rsid w:val="00D9783F"/>
    <w:pPr>
      <w:ind w:left="640" w:hanging="320"/>
    </w:pPr>
    <w:rPr>
      <w:rFonts w:ascii="Script MT Bold" w:hAnsi="Script MT Bold"/>
      <w:color w:val="FF0000"/>
      <w:szCs w:val="20"/>
      <w:u w:val="single"/>
      <w:lang w:eastAsia="en-US"/>
    </w:rPr>
  </w:style>
  <w:style w:type="paragraph" w:styleId="Index3">
    <w:name w:val="index 3"/>
    <w:basedOn w:val="Normal"/>
    <w:next w:val="Normal"/>
    <w:autoRedefine/>
    <w:semiHidden/>
    <w:rsid w:val="00D9783F"/>
    <w:pPr>
      <w:ind w:left="960" w:hanging="320"/>
    </w:pPr>
    <w:rPr>
      <w:rFonts w:ascii="Script MT Bold" w:hAnsi="Script MT Bold"/>
      <w:color w:val="FF0000"/>
      <w:szCs w:val="20"/>
      <w:u w:val="single"/>
      <w:lang w:eastAsia="en-US"/>
    </w:rPr>
  </w:style>
  <w:style w:type="paragraph" w:styleId="Index4">
    <w:name w:val="index 4"/>
    <w:basedOn w:val="Normal"/>
    <w:next w:val="Normal"/>
    <w:autoRedefine/>
    <w:semiHidden/>
    <w:rsid w:val="00D9783F"/>
    <w:pPr>
      <w:ind w:left="1280" w:hanging="320"/>
    </w:pPr>
    <w:rPr>
      <w:rFonts w:ascii="Script MT Bold" w:hAnsi="Script MT Bold"/>
      <w:color w:val="FF0000"/>
      <w:szCs w:val="20"/>
      <w:u w:val="single"/>
      <w:lang w:eastAsia="en-US"/>
    </w:rPr>
  </w:style>
  <w:style w:type="paragraph" w:styleId="Index5">
    <w:name w:val="index 5"/>
    <w:basedOn w:val="Normal"/>
    <w:next w:val="Normal"/>
    <w:autoRedefine/>
    <w:semiHidden/>
    <w:rsid w:val="00D9783F"/>
    <w:pPr>
      <w:ind w:left="1600" w:hanging="320"/>
    </w:pPr>
    <w:rPr>
      <w:rFonts w:ascii="Script MT Bold" w:hAnsi="Script MT Bold"/>
      <w:color w:val="FF0000"/>
      <w:szCs w:val="20"/>
      <w:u w:val="single"/>
      <w:lang w:eastAsia="en-US"/>
    </w:rPr>
  </w:style>
  <w:style w:type="paragraph" w:styleId="Index6">
    <w:name w:val="index 6"/>
    <w:basedOn w:val="Normal"/>
    <w:next w:val="Normal"/>
    <w:autoRedefine/>
    <w:semiHidden/>
    <w:rsid w:val="00D9783F"/>
    <w:pPr>
      <w:ind w:left="1920" w:hanging="320"/>
    </w:pPr>
    <w:rPr>
      <w:rFonts w:ascii="Script MT Bold" w:hAnsi="Script MT Bold"/>
      <w:color w:val="FF0000"/>
      <w:szCs w:val="20"/>
      <w:u w:val="single"/>
      <w:lang w:eastAsia="en-US"/>
    </w:rPr>
  </w:style>
  <w:style w:type="paragraph" w:styleId="Index7">
    <w:name w:val="index 7"/>
    <w:basedOn w:val="Normal"/>
    <w:next w:val="Normal"/>
    <w:autoRedefine/>
    <w:semiHidden/>
    <w:rsid w:val="00D9783F"/>
    <w:pPr>
      <w:ind w:left="2240" w:hanging="320"/>
    </w:pPr>
    <w:rPr>
      <w:rFonts w:ascii="Script MT Bold" w:hAnsi="Script MT Bold"/>
      <w:color w:val="FF0000"/>
      <w:szCs w:val="20"/>
      <w:u w:val="single"/>
      <w:lang w:eastAsia="en-US"/>
    </w:rPr>
  </w:style>
  <w:style w:type="paragraph" w:styleId="Index8">
    <w:name w:val="index 8"/>
    <w:basedOn w:val="Normal"/>
    <w:next w:val="Normal"/>
    <w:autoRedefine/>
    <w:semiHidden/>
    <w:rsid w:val="00D9783F"/>
    <w:pPr>
      <w:ind w:left="2560" w:hanging="320"/>
    </w:pPr>
    <w:rPr>
      <w:rFonts w:ascii="Script MT Bold" w:hAnsi="Script MT Bold"/>
      <w:color w:val="FF0000"/>
      <w:szCs w:val="20"/>
      <w:u w:val="single"/>
      <w:lang w:eastAsia="en-US"/>
    </w:rPr>
  </w:style>
  <w:style w:type="paragraph" w:styleId="Index9">
    <w:name w:val="index 9"/>
    <w:basedOn w:val="Normal"/>
    <w:next w:val="Normal"/>
    <w:autoRedefine/>
    <w:semiHidden/>
    <w:rsid w:val="00D9783F"/>
    <w:pPr>
      <w:ind w:left="2880" w:hanging="320"/>
    </w:pPr>
    <w:rPr>
      <w:rFonts w:ascii="Script MT Bold" w:hAnsi="Script MT Bold"/>
      <w:color w:val="FF0000"/>
      <w:szCs w:val="20"/>
      <w:u w:val="single"/>
      <w:lang w:eastAsia="en-US"/>
    </w:rPr>
  </w:style>
  <w:style w:type="paragraph" w:styleId="IndexHeading">
    <w:name w:val="index heading"/>
    <w:basedOn w:val="Normal"/>
    <w:next w:val="Index1"/>
    <w:semiHidden/>
    <w:rsid w:val="00D9783F"/>
    <w:rPr>
      <w:rFonts w:ascii="Script MT Bold" w:hAnsi="Script MT Bold" w:cs="Arial"/>
      <w:b/>
      <w:bCs/>
      <w:color w:val="FF0000"/>
      <w:szCs w:val="20"/>
      <w:u w:val="single"/>
      <w:lang w:eastAsia="en-US"/>
    </w:rPr>
  </w:style>
  <w:style w:type="paragraph" w:styleId="MacroText">
    <w:name w:val="macro"/>
    <w:link w:val="MacroTextChar"/>
    <w:semiHidden/>
    <w:rsid w:val="00D9783F"/>
    <w:pPr>
      <w:tabs>
        <w:tab w:val="left" w:pos="480"/>
        <w:tab w:val="left" w:pos="960"/>
        <w:tab w:val="left" w:pos="1440"/>
        <w:tab w:val="left" w:pos="1920"/>
        <w:tab w:val="left" w:pos="2400"/>
        <w:tab w:val="left" w:pos="2880"/>
        <w:tab w:val="left" w:pos="3360"/>
        <w:tab w:val="left" w:pos="3840"/>
        <w:tab w:val="left" w:pos="4320"/>
      </w:tabs>
    </w:pPr>
    <w:rPr>
      <w:rFonts w:ascii="Script MT Bold" w:hAnsi="Script MT Bold" w:cs="Courier New"/>
      <w:color w:val="FF0000"/>
      <w:sz w:val="32"/>
      <w:szCs w:val="24"/>
      <w:u w:val="single"/>
      <w:lang w:eastAsia="en-US"/>
    </w:rPr>
  </w:style>
  <w:style w:type="paragraph" w:styleId="TableofAuthorities">
    <w:name w:val="table of authorities"/>
    <w:basedOn w:val="Normal"/>
    <w:next w:val="Normal"/>
    <w:semiHidden/>
    <w:rsid w:val="00D9783F"/>
    <w:pPr>
      <w:ind w:left="320" w:hanging="320"/>
    </w:pPr>
    <w:rPr>
      <w:rFonts w:ascii="Script MT Bold" w:hAnsi="Script MT Bold"/>
      <w:color w:val="FF0000"/>
      <w:szCs w:val="20"/>
      <w:u w:val="single"/>
      <w:lang w:eastAsia="en-US"/>
    </w:rPr>
  </w:style>
  <w:style w:type="paragraph" w:styleId="TableofFigures">
    <w:name w:val="table of figures"/>
    <w:next w:val="Normal"/>
    <w:semiHidden/>
    <w:rsid w:val="00D9783F"/>
    <w:pPr>
      <w:tabs>
        <w:tab w:val="left" w:pos="1710"/>
        <w:tab w:val="right" w:leader="dot" w:pos="9063"/>
      </w:tabs>
      <w:ind w:left="1704" w:right="279" w:hanging="1134"/>
    </w:pPr>
    <w:rPr>
      <w:rFonts w:ascii="Verdana" w:eastAsia="Times" w:hAnsi="Verdana"/>
      <w:noProof/>
      <w:sz w:val="24"/>
      <w:szCs w:val="24"/>
      <w:lang w:eastAsia="en-US"/>
    </w:rPr>
  </w:style>
  <w:style w:type="paragraph" w:styleId="TOAHeading">
    <w:name w:val="toa heading"/>
    <w:basedOn w:val="Normal"/>
    <w:next w:val="Normal"/>
    <w:semiHidden/>
    <w:rsid w:val="00D9783F"/>
    <w:pPr>
      <w:spacing w:before="120"/>
    </w:pPr>
    <w:rPr>
      <w:rFonts w:ascii="Script MT Bold" w:hAnsi="Script MT Bold" w:cs="Arial"/>
      <w:b/>
      <w:bCs/>
      <w:color w:val="FF0000"/>
      <w:u w:val="single"/>
      <w:lang w:eastAsia="en-US"/>
    </w:rPr>
  </w:style>
  <w:style w:type="paragraph" w:customStyle="1" w:styleId="TableText-ListIndent">
    <w:name w:val="Table Text - List Indent"/>
    <w:semiHidden/>
    <w:rsid w:val="00D9783F"/>
    <w:pPr>
      <w:numPr>
        <w:numId w:val="28"/>
      </w:numPr>
      <w:spacing w:before="60" w:after="60"/>
    </w:pPr>
    <w:rPr>
      <w:rFonts w:ascii="Verdana" w:eastAsia="Times" w:hAnsi="Verdana"/>
      <w:sz w:val="18"/>
      <w:szCs w:val="18"/>
      <w:lang w:eastAsia="en-US"/>
    </w:rPr>
  </w:style>
  <w:style w:type="character" w:customStyle="1" w:styleId="BodyText-RestrictedReleaseCharCharChar">
    <w:name w:val="Body Text - Restricted Release Char Char Char"/>
    <w:semiHidden/>
    <w:rsid w:val="00D9783F"/>
    <w:rPr>
      <w:rFonts w:ascii="Verdana" w:eastAsia="Times" w:hAnsi="Verdana"/>
      <w:szCs w:val="30"/>
      <w:lang w:val="en-AU" w:eastAsia="en-AU" w:bidi="ar-SA"/>
    </w:rPr>
  </w:style>
  <w:style w:type="character" w:customStyle="1" w:styleId="NoStyleCharacter">
    <w:name w:val="No Style Character"/>
    <w:semiHidden/>
    <w:rsid w:val="00D9783F"/>
    <w:rPr>
      <w:rFonts w:eastAsia="Times"/>
    </w:rPr>
  </w:style>
  <w:style w:type="character" w:customStyle="1" w:styleId="BodyText-NumberedListaCharChar">
    <w:name w:val="Body Text - Numbered List a Char Char"/>
    <w:link w:val="BodyText-NumberedLista"/>
    <w:semiHidden/>
    <w:rsid w:val="00D9783F"/>
    <w:rPr>
      <w:rFonts w:ascii="Verdana" w:hAnsi="Verdana"/>
      <w:sz w:val="24"/>
      <w:szCs w:val="24"/>
      <w:lang w:eastAsia="en-US"/>
    </w:rPr>
  </w:style>
  <w:style w:type="paragraph" w:customStyle="1" w:styleId="Heading-notinTOC-RestrictedText">
    <w:name w:val="Heading - not in TOC - Restricted Text"/>
    <w:next w:val="BodyText"/>
    <w:semiHidden/>
    <w:rsid w:val="00D9783F"/>
    <w:pPr>
      <w:keepNext/>
      <w:spacing w:after="120"/>
    </w:pPr>
    <w:rPr>
      <w:rFonts w:ascii="Verdana" w:hAnsi="Verdana"/>
      <w:b/>
      <w:color w:val="52006B"/>
      <w:sz w:val="24"/>
      <w:szCs w:val="28"/>
      <w:lang w:eastAsia="en-US"/>
    </w:rPr>
  </w:style>
  <w:style w:type="character" w:customStyle="1" w:styleId="BodyText-NumberedListiCharChar">
    <w:name w:val="Body Text - Numbered List i Char Char"/>
    <w:link w:val="BodyText-NumberedListi"/>
    <w:semiHidden/>
    <w:rsid w:val="00D9783F"/>
    <w:rPr>
      <w:rFonts w:ascii="Verdana" w:eastAsia="Times" w:hAnsi="Verdana"/>
      <w:sz w:val="24"/>
      <w:szCs w:val="24"/>
      <w:lang w:eastAsia="en-US"/>
    </w:rPr>
  </w:style>
  <w:style w:type="paragraph" w:customStyle="1" w:styleId="TableHeaderVertical">
    <w:name w:val="Table Header Vertical"/>
    <w:basedOn w:val="TableHeader"/>
    <w:semiHidden/>
    <w:rsid w:val="00D9783F"/>
    <w:pPr>
      <w:keepNext w:val="0"/>
      <w:spacing w:before="60" w:after="60"/>
    </w:pPr>
    <w:rPr>
      <w:sz w:val="18"/>
    </w:rPr>
  </w:style>
  <w:style w:type="paragraph" w:styleId="Caption">
    <w:name w:val="caption"/>
    <w:basedOn w:val="Normal"/>
    <w:next w:val="Normal"/>
    <w:rsid w:val="00D9783F"/>
    <w:rPr>
      <w:rFonts w:ascii="Script MT Bold" w:hAnsi="Script MT Bold"/>
      <w:b/>
      <w:bCs/>
      <w:sz w:val="20"/>
      <w:szCs w:val="20"/>
      <w:lang w:eastAsia="en-US"/>
    </w:rPr>
  </w:style>
  <w:style w:type="character" w:customStyle="1" w:styleId="Bullet-Orange">
    <w:name w:val="Bullet - Orange"/>
    <w:semiHidden/>
    <w:rsid w:val="00D9783F"/>
    <w:rPr>
      <w:rFonts w:eastAsia="Times"/>
      <w:color w:val="FF9900"/>
    </w:rPr>
  </w:style>
  <w:style w:type="character" w:customStyle="1" w:styleId="Bullet-Red">
    <w:name w:val="Bullet - Red"/>
    <w:semiHidden/>
    <w:rsid w:val="00D9783F"/>
    <w:rPr>
      <w:rFonts w:eastAsia="Times"/>
      <w:color w:val="FF0000"/>
    </w:rPr>
  </w:style>
  <w:style w:type="character" w:customStyle="1" w:styleId="Bullet-Blue">
    <w:name w:val="Bullet - Blue"/>
    <w:semiHidden/>
    <w:rsid w:val="00D9783F"/>
    <w:rPr>
      <w:rFonts w:eastAsia="Times"/>
      <w:color w:val="0000FF"/>
    </w:rPr>
  </w:style>
  <w:style w:type="character" w:customStyle="1" w:styleId="Bullet-Green">
    <w:name w:val="Bullet - Green"/>
    <w:semiHidden/>
    <w:rsid w:val="00D9783F"/>
    <w:rPr>
      <w:rFonts w:eastAsia="Times"/>
      <w:color w:val="008000"/>
    </w:rPr>
  </w:style>
  <w:style w:type="paragraph" w:customStyle="1" w:styleId="GuidanceText">
    <w:name w:val="Guidance Text"/>
    <w:next w:val="BodyText"/>
    <w:link w:val="GuidanceTextChar"/>
    <w:semiHidden/>
    <w:rsid w:val="00D9783F"/>
    <w:pPr>
      <w:spacing w:before="120" w:after="120"/>
      <w:ind w:left="567"/>
    </w:pPr>
    <w:rPr>
      <w:rFonts w:ascii="Verdana" w:hAnsi="Verdana"/>
      <w:i/>
      <w:color w:val="0000FF"/>
      <w:sz w:val="24"/>
      <w:szCs w:val="24"/>
      <w:lang w:eastAsia="en-US"/>
    </w:rPr>
  </w:style>
  <w:style w:type="character" w:customStyle="1" w:styleId="GuidanceTextChar">
    <w:name w:val="Guidance Text Char"/>
    <w:link w:val="GuidanceText"/>
    <w:rsid w:val="00D9783F"/>
    <w:rPr>
      <w:rFonts w:ascii="Verdana" w:hAnsi="Verdana"/>
      <w:i/>
      <w:color w:val="0000FF"/>
      <w:szCs w:val="24"/>
      <w:lang w:val="en-AU" w:eastAsia="en-US" w:bidi="ar-SA"/>
    </w:rPr>
  </w:style>
  <w:style w:type="paragraph" w:customStyle="1" w:styleId="Header-Right">
    <w:name w:val="Header - Right"/>
    <w:link w:val="Header-RightCharChar"/>
    <w:semiHidden/>
    <w:rsid w:val="00D9783F"/>
    <w:pPr>
      <w:pBdr>
        <w:bottom w:val="single" w:sz="8" w:space="1" w:color="87ADB0"/>
      </w:pBdr>
      <w:jc w:val="right"/>
    </w:pPr>
    <w:rPr>
      <w:rFonts w:ascii="Frutiger 45 Light" w:hAnsi="Frutiger 45 Light"/>
      <w:sz w:val="24"/>
      <w:szCs w:val="24"/>
    </w:rPr>
  </w:style>
  <w:style w:type="character" w:customStyle="1" w:styleId="HeaderChar">
    <w:name w:val="Header Char"/>
    <w:link w:val="Header"/>
    <w:rsid w:val="00D9783F"/>
    <w:rPr>
      <w:rFonts w:ascii="Frutiger 45 Light" w:hAnsi="Frutiger 45 Light"/>
      <w:sz w:val="24"/>
      <w:szCs w:val="24"/>
      <w:lang w:val="en-AU" w:eastAsia="en-AU" w:bidi="ar-SA"/>
    </w:rPr>
  </w:style>
  <w:style w:type="character" w:customStyle="1" w:styleId="Header-RightCharChar">
    <w:name w:val="Header - Right Char Char"/>
    <w:link w:val="Header-Right"/>
    <w:rsid w:val="00D9783F"/>
    <w:rPr>
      <w:rFonts w:ascii="Frutiger 45 Light" w:hAnsi="Frutiger 45 Light"/>
      <w:sz w:val="24"/>
      <w:szCs w:val="24"/>
      <w:lang w:val="en-AU" w:eastAsia="en-AU" w:bidi="ar-SA"/>
    </w:rPr>
  </w:style>
  <w:style w:type="paragraph" w:customStyle="1" w:styleId="TableGuidanceText">
    <w:name w:val="Table Guidance Text"/>
    <w:next w:val="TableText"/>
    <w:semiHidden/>
    <w:rsid w:val="00D9783F"/>
    <w:pPr>
      <w:spacing w:before="60" w:after="60"/>
    </w:pPr>
    <w:rPr>
      <w:rFonts w:ascii="Verdana" w:hAnsi="Verdana"/>
      <w:i/>
      <w:color w:val="0000FF"/>
      <w:sz w:val="18"/>
      <w:szCs w:val="18"/>
      <w:lang w:eastAsia="en-US"/>
    </w:rPr>
  </w:style>
  <w:style w:type="character" w:customStyle="1" w:styleId="InstructionBlue">
    <w:name w:val="Instruction Blue"/>
    <w:semiHidden/>
    <w:rsid w:val="00D9783F"/>
    <w:rPr>
      <w:rFonts w:ascii="Verdana" w:eastAsia="Times" w:hAnsi="Verdana"/>
      <w:b/>
      <w:color w:val="333399"/>
      <w:sz w:val="18"/>
    </w:rPr>
  </w:style>
  <w:style w:type="paragraph" w:customStyle="1" w:styleId="Level1-Heading">
    <w:name w:val="Level 1 - Heading"/>
    <w:next w:val="LegalBodyText"/>
    <w:semiHidden/>
    <w:rsid w:val="00D9783F"/>
    <w:pPr>
      <w:keepNext/>
      <w:numPr>
        <w:numId w:val="32"/>
      </w:numPr>
      <w:spacing w:before="120" w:after="120"/>
      <w:outlineLvl w:val="0"/>
    </w:pPr>
    <w:rPr>
      <w:rFonts w:ascii="Verdana" w:hAnsi="Verdana"/>
      <w:b/>
      <w:caps/>
      <w:color w:val="52006B"/>
      <w:sz w:val="24"/>
      <w:szCs w:val="21"/>
      <w:lang w:eastAsia="en-US"/>
    </w:rPr>
  </w:style>
  <w:style w:type="paragraph" w:customStyle="1" w:styleId="Level2-Heading">
    <w:name w:val="Level 2 - Heading"/>
    <w:next w:val="LegalBodyText"/>
    <w:semiHidden/>
    <w:rsid w:val="00D9783F"/>
    <w:pPr>
      <w:keepNext/>
      <w:numPr>
        <w:ilvl w:val="1"/>
        <w:numId w:val="32"/>
      </w:numPr>
      <w:spacing w:before="120" w:after="120"/>
      <w:outlineLvl w:val="1"/>
    </w:pPr>
    <w:rPr>
      <w:rFonts w:ascii="Verdana" w:hAnsi="Verdana"/>
      <w:b/>
      <w:color w:val="52006B"/>
      <w:sz w:val="24"/>
      <w:szCs w:val="24"/>
      <w:lang w:eastAsia="en-US"/>
    </w:rPr>
  </w:style>
  <w:style w:type="paragraph" w:customStyle="1" w:styleId="Level3-Heading">
    <w:name w:val="Level 3 - Heading"/>
    <w:next w:val="LegalBodyText"/>
    <w:semiHidden/>
    <w:rsid w:val="00D9783F"/>
    <w:pPr>
      <w:keepNext/>
      <w:numPr>
        <w:ilvl w:val="2"/>
        <w:numId w:val="32"/>
      </w:numPr>
      <w:spacing w:before="120" w:after="120"/>
      <w:outlineLvl w:val="2"/>
    </w:pPr>
    <w:rPr>
      <w:rFonts w:ascii="Verdana" w:hAnsi="Verdana"/>
      <w:color w:val="52006B"/>
      <w:sz w:val="24"/>
      <w:szCs w:val="24"/>
      <w:lang w:eastAsia="en-US"/>
    </w:rPr>
  </w:style>
  <w:style w:type="paragraph" w:customStyle="1" w:styleId="Level4-Heading">
    <w:name w:val="Level 4 - Heading"/>
    <w:next w:val="LegalBodyText"/>
    <w:semiHidden/>
    <w:rsid w:val="00D9783F"/>
    <w:pPr>
      <w:keepNext/>
      <w:numPr>
        <w:ilvl w:val="3"/>
        <w:numId w:val="32"/>
      </w:numPr>
      <w:tabs>
        <w:tab w:val="left" w:pos="1134"/>
        <w:tab w:val="left" w:pos="1418"/>
      </w:tabs>
      <w:spacing w:before="120" w:after="120"/>
      <w:outlineLvl w:val="3"/>
    </w:pPr>
    <w:rPr>
      <w:rFonts w:ascii="Verdana" w:hAnsi="Verdana"/>
      <w:color w:val="52006B"/>
      <w:sz w:val="24"/>
      <w:szCs w:val="24"/>
      <w:lang w:eastAsia="en-US"/>
    </w:rPr>
  </w:style>
  <w:style w:type="paragraph" w:customStyle="1" w:styleId="LevelBody1-a">
    <w:name w:val="Level Body 1 - (a)"/>
    <w:semiHidden/>
    <w:rsid w:val="00D9783F"/>
    <w:pPr>
      <w:numPr>
        <w:ilvl w:val="4"/>
        <w:numId w:val="32"/>
      </w:numPr>
      <w:spacing w:before="120" w:after="120"/>
    </w:pPr>
    <w:rPr>
      <w:rFonts w:ascii="Verdana" w:hAnsi="Verdana"/>
      <w:sz w:val="24"/>
      <w:szCs w:val="24"/>
      <w:lang w:eastAsia="en-US"/>
    </w:rPr>
  </w:style>
  <w:style w:type="paragraph" w:customStyle="1" w:styleId="LevelBody1-atext">
    <w:name w:val="Level Body 1 - (a) text"/>
    <w:link w:val="LevelBody1-atextChar"/>
    <w:semiHidden/>
    <w:rsid w:val="00D9783F"/>
    <w:pPr>
      <w:spacing w:before="120" w:after="120"/>
      <w:ind w:left="1418"/>
    </w:pPr>
    <w:rPr>
      <w:rFonts w:ascii="Verdana" w:hAnsi="Verdana"/>
      <w:sz w:val="24"/>
      <w:szCs w:val="24"/>
      <w:lang w:eastAsia="en-US"/>
    </w:rPr>
  </w:style>
  <w:style w:type="paragraph" w:customStyle="1" w:styleId="LevelBody2-i">
    <w:name w:val="Level Body 2 - (i)"/>
    <w:semiHidden/>
    <w:rsid w:val="00D9783F"/>
    <w:pPr>
      <w:numPr>
        <w:ilvl w:val="5"/>
        <w:numId w:val="32"/>
      </w:numPr>
      <w:spacing w:before="120" w:after="120"/>
    </w:pPr>
    <w:rPr>
      <w:rFonts w:ascii="Verdana" w:hAnsi="Verdana"/>
      <w:sz w:val="24"/>
      <w:szCs w:val="24"/>
      <w:lang w:eastAsia="en-US"/>
    </w:rPr>
  </w:style>
  <w:style w:type="paragraph" w:customStyle="1" w:styleId="LevelBody2-itext">
    <w:name w:val="Level Body 2 - (i) text"/>
    <w:link w:val="LevelBody2-itextChar"/>
    <w:semiHidden/>
    <w:rsid w:val="00D9783F"/>
    <w:pPr>
      <w:spacing w:before="120" w:after="120"/>
      <w:ind w:left="1985"/>
    </w:pPr>
    <w:rPr>
      <w:rFonts w:ascii="Verdana" w:hAnsi="Verdana"/>
      <w:sz w:val="24"/>
      <w:szCs w:val="24"/>
      <w:lang w:eastAsia="en-US"/>
    </w:rPr>
  </w:style>
  <w:style w:type="paragraph" w:customStyle="1" w:styleId="LevelBody3-A">
    <w:name w:val="Level Body 3 - (A)"/>
    <w:semiHidden/>
    <w:rsid w:val="00D9783F"/>
    <w:pPr>
      <w:numPr>
        <w:ilvl w:val="6"/>
        <w:numId w:val="32"/>
      </w:numPr>
      <w:spacing w:before="120" w:after="120"/>
    </w:pPr>
    <w:rPr>
      <w:rFonts w:ascii="Verdana" w:hAnsi="Verdana"/>
      <w:sz w:val="24"/>
      <w:szCs w:val="24"/>
      <w:lang w:eastAsia="en-US"/>
    </w:rPr>
  </w:style>
  <w:style w:type="paragraph" w:customStyle="1" w:styleId="LevelBody3-Atext">
    <w:name w:val="Level Body 3 - (A) text"/>
    <w:semiHidden/>
    <w:rsid w:val="00D9783F"/>
    <w:pPr>
      <w:spacing w:before="120" w:after="120"/>
      <w:ind w:left="2552"/>
    </w:pPr>
    <w:rPr>
      <w:rFonts w:ascii="Verdana" w:hAnsi="Verdana"/>
      <w:sz w:val="24"/>
      <w:szCs w:val="24"/>
      <w:lang w:eastAsia="en-US"/>
    </w:rPr>
  </w:style>
  <w:style w:type="paragraph" w:customStyle="1" w:styleId="LevelBody4-I">
    <w:name w:val="Level Body 4 - (I)"/>
    <w:semiHidden/>
    <w:rsid w:val="00D9783F"/>
    <w:pPr>
      <w:numPr>
        <w:ilvl w:val="7"/>
        <w:numId w:val="32"/>
      </w:numPr>
      <w:spacing w:before="120" w:after="120"/>
    </w:pPr>
    <w:rPr>
      <w:rFonts w:ascii="Verdana" w:hAnsi="Verdana"/>
      <w:sz w:val="24"/>
      <w:szCs w:val="24"/>
      <w:lang w:eastAsia="en-US"/>
    </w:rPr>
  </w:style>
  <w:style w:type="paragraph" w:customStyle="1" w:styleId="LevelBody4-Itext">
    <w:name w:val="Level Body 4 - (I) text"/>
    <w:link w:val="LevelBody4-ItextChar"/>
    <w:semiHidden/>
    <w:rsid w:val="00D9783F"/>
    <w:pPr>
      <w:spacing w:before="120" w:after="120"/>
      <w:ind w:left="3119"/>
    </w:pPr>
    <w:rPr>
      <w:rFonts w:ascii="Verdana" w:hAnsi="Verdana"/>
      <w:sz w:val="24"/>
      <w:szCs w:val="24"/>
      <w:lang w:eastAsia="en-US"/>
    </w:rPr>
  </w:style>
  <w:style w:type="paragraph" w:customStyle="1" w:styleId="Table-Number">
    <w:name w:val="Table - Number"/>
    <w:semiHidden/>
    <w:rsid w:val="00D9783F"/>
    <w:pPr>
      <w:numPr>
        <w:numId w:val="35"/>
      </w:numPr>
      <w:spacing w:before="60" w:after="60"/>
    </w:pPr>
    <w:rPr>
      <w:rFonts w:ascii="Verdana" w:hAnsi="Verdana"/>
      <w:sz w:val="18"/>
      <w:szCs w:val="18"/>
      <w:lang w:eastAsia="en-US"/>
    </w:rPr>
  </w:style>
  <w:style w:type="paragraph" w:customStyle="1" w:styleId="TableText-List-Level1">
    <w:name w:val="Table Text - List - Level 1"/>
    <w:semiHidden/>
    <w:rsid w:val="00D9783F"/>
    <w:pPr>
      <w:numPr>
        <w:ilvl w:val="1"/>
        <w:numId w:val="35"/>
      </w:numPr>
      <w:spacing w:before="60" w:after="60"/>
    </w:pPr>
    <w:rPr>
      <w:rFonts w:ascii="Verdana" w:hAnsi="Verdana"/>
      <w:sz w:val="18"/>
      <w:szCs w:val="18"/>
      <w:lang w:eastAsia="en-US"/>
    </w:rPr>
  </w:style>
  <w:style w:type="paragraph" w:customStyle="1" w:styleId="TableText-List-Level2">
    <w:name w:val="Table Text - List - Level 2"/>
    <w:semiHidden/>
    <w:rsid w:val="00D9783F"/>
    <w:pPr>
      <w:numPr>
        <w:ilvl w:val="2"/>
        <w:numId w:val="35"/>
      </w:numPr>
      <w:spacing w:before="60" w:after="60"/>
    </w:pPr>
    <w:rPr>
      <w:rFonts w:ascii="Verdana" w:hAnsi="Verdana"/>
      <w:sz w:val="18"/>
      <w:szCs w:val="18"/>
      <w:lang w:eastAsia="en-US"/>
    </w:rPr>
  </w:style>
  <w:style w:type="paragraph" w:customStyle="1" w:styleId="LegalBodyText">
    <w:name w:val="Legal Body Text"/>
    <w:basedOn w:val="BodyText"/>
    <w:semiHidden/>
    <w:rsid w:val="00D9783F"/>
    <w:pPr>
      <w:spacing w:before="120"/>
      <w:ind w:left="851"/>
    </w:pPr>
    <w:rPr>
      <w:rFonts w:ascii="Verdana" w:hAnsi="Verdana"/>
      <w:sz w:val="20"/>
      <w:lang w:eastAsia="en-US"/>
    </w:rPr>
  </w:style>
  <w:style w:type="paragraph" w:customStyle="1" w:styleId="BodyText-FarLeft">
    <w:name w:val="Body Text - Far Left"/>
    <w:basedOn w:val="BodyText"/>
    <w:semiHidden/>
    <w:rsid w:val="00D9783F"/>
    <w:pPr>
      <w:spacing w:before="120"/>
    </w:pPr>
    <w:rPr>
      <w:rFonts w:ascii="Verdana" w:hAnsi="Verdana"/>
      <w:sz w:val="20"/>
      <w:lang w:eastAsia="en-US"/>
    </w:rPr>
  </w:style>
  <w:style w:type="paragraph" w:customStyle="1" w:styleId="FigureText-BoldColour">
    <w:name w:val="Figure Text - Bold Colour"/>
    <w:basedOn w:val="TableText-BoldColour"/>
    <w:semiHidden/>
    <w:rsid w:val="00D9783F"/>
  </w:style>
  <w:style w:type="character" w:customStyle="1" w:styleId="LevelBody1-atextChar">
    <w:name w:val="Level Body 1 - (a) text Char"/>
    <w:link w:val="LevelBody1-atext"/>
    <w:rsid w:val="00D9783F"/>
    <w:rPr>
      <w:rFonts w:ascii="Verdana" w:hAnsi="Verdana"/>
      <w:lang w:val="en-AU" w:eastAsia="en-US" w:bidi="ar-SA"/>
    </w:rPr>
  </w:style>
  <w:style w:type="character" w:customStyle="1" w:styleId="LevelBody2-itextChar">
    <w:name w:val="Level Body 2 - (i) text Char"/>
    <w:link w:val="LevelBody2-itext"/>
    <w:rsid w:val="00D9783F"/>
    <w:rPr>
      <w:rFonts w:ascii="Verdana" w:hAnsi="Verdana"/>
      <w:lang w:val="en-AU" w:eastAsia="en-US" w:bidi="ar-SA"/>
    </w:rPr>
  </w:style>
  <w:style w:type="character" w:customStyle="1" w:styleId="LevelBody4-ItextChar">
    <w:name w:val="Level Body 4 - (I) text Char"/>
    <w:link w:val="LevelBody4-Itext"/>
    <w:rsid w:val="00D9783F"/>
    <w:rPr>
      <w:rFonts w:ascii="Verdana" w:hAnsi="Verdana"/>
      <w:lang w:val="en-AU" w:eastAsia="en-US" w:bidi="ar-SA"/>
    </w:rPr>
  </w:style>
  <w:style w:type="paragraph" w:customStyle="1" w:styleId="TableText-Colour">
    <w:name w:val="Table Text - Colour"/>
    <w:basedOn w:val="Normal"/>
    <w:semiHidden/>
    <w:rsid w:val="00D9783F"/>
    <w:pPr>
      <w:spacing w:before="60" w:after="60"/>
    </w:pPr>
    <w:rPr>
      <w:rFonts w:ascii="Verdana" w:hAnsi="Verdana"/>
      <w:color w:val="52006B"/>
      <w:sz w:val="18"/>
      <w:szCs w:val="20"/>
      <w:lang w:eastAsia="en-US"/>
    </w:rPr>
  </w:style>
  <w:style w:type="paragraph" w:customStyle="1" w:styleId="FigureText-Colour">
    <w:name w:val="Figure Text - Colour"/>
    <w:basedOn w:val="TableText-Colour"/>
    <w:semiHidden/>
    <w:rsid w:val="00D9783F"/>
  </w:style>
  <w:style w:type="paragraph" w:customStyle="1" w:styleId="GuidanceText-List">
    <w:name w:val="Guidance Text - List"/>
    <w:semiHidden/>
    <w:rsid w:val="00D9783F"/>
    <w:pPr>
      <w:numPr>
        <w:numId w:val="34"/>
      </w:numPr>
      <w:spacing w:after="40"/>
    </w:pPr>
    <w:rPr>
      <w:rFonts w:ascii="Verdana" w:hAnsi="Verdana"/>
      <w:i/>
      <w:color w:val="0000FF"/>
      <w:sz w:val="24"/>
      <w:szCs w:val="24"/>
      <w:lang w:eastAsia="en-US"/>
    </w:rPr>
  </w:style>
  <w:style w:type="paragraph" w:customStyle="1" w:styleId="TableGuidanceText-List">
    <w:name w:val="Table Guidance Text - List"/>
    <w:basedOn w:val="TableText-List"/>
    <w:semiHidden/>
    <w:rsid w:val="00D9783F"/>
    <w:rPr>
      <w:i/>
      <w:color w:val="0000FF"/>
    </w:rPr>
  </w:style>
  <w:style w:type="paragraph" w:customStyle="1" w:styleId="Table-Number1">
    <w:name w:val="Table - Number1"/>
    <w:next w:val="Table-Number"/>
    <w:semiHidden/>
    <w:rsid w:val="00D9783F"/>
    <w:pPr>
      <w:tabs>
        <w:tab w:val="num" w:pos="397"/>
      </w:tabs>
      <w:spacing w:before="60" w:after="60"/>
      <w:ind w:left="397" w:hanging="283"/>
    </w:pPr>
    <w:rPr>
      <w:rFonts w:ascii="Verdana" w:hAnsi="Verdana"/>
      <w:sz w:val="18"/>
      <w:szCs w:val="18"/>
      <w:lang w:eastAsia="en-US"/>
    </w:rPr>
  </w:style>
  <w:style w:type="paragraph" w:customStyle="1" w:styleId="Room">
    <w:name w:val="Room"/>
    <w:basedOn w:val="TableText"/>
    <w:semiHidden/>
    <w:rsid w:val="00D9783F"/>
  </w:style>
  <w:style w:type="paragraph" w:customStyle="1" w:styleId="TableText-List3">
    <w:name w:val="Table Text - List 3"/>
    <w:semiHidden/>
    <w:rsid w:val="00D9783F"/>
    <w:pPr>
      <w:numPr>
        <w:numId w:val="36"/>
      </w:numPr>
      <w:spacing w:before="60" w:after="60"/>
    </w:pPr>
    <w:rPr>
      <w:rFonts w:ascii="Verdana" w:eastAsia="Times" w:hAnsi="Verdana"/>
      <w:sz w:val="18"/>
      <w:szCs w:val="18"/>
      <w:lang w:eastAsia="en-US"/>
    </w:rPr>
  </w:style>
  <w:style w:type="paragraph" w:customStyle="1" w:styleId="BodyText-NumberedList10">
    <w:name w:val="Body Text - Numbered List (1)"/>
    <w:semiHidden/>
    <w:rsid w:val="00D9783F"/>
    <w:pPr>
      <w:numPr>
        <w:ilvl w:val="3"/>
        <w:numId w:val="37"/>
      </w:numPr>
    </w:pPr>
    <w:rPr>
      <w:rFonts w:ascii="Verdana" w:eastAsia="Times" w:hAnsi="Verdana"/>
      <w:sz w:val="24"/>
      <w:szCs w:val="24"/>
      <w:lang w:val="en-US" w:eastAsia="en-US"/>
    </w:rPr>
  </w:style>
  <w:style w:type="paragraph" w:customStyle="1" w:styleId="Room-Minutes">
    <w:name w:val="Room-Minutes"/>
    <w:basedOn w:val="Room"/>
    <w:semiHidden/>
    <w:rsid w:val="00D9783F"/>
  </w:style>
  <w:style w:type="paragraph" w:customStyle="1" w:styleId="CommonContentBookmark">
    <w:name w:val="Common Content Bookmark"/>
    <w:semiHidden/>
    <w:rsid w:val="00D9783F"/>
    <w:pPr>
      <w:pageBreakBefore/>
    </w:pPr>
    <w:rPr>
      <w:rFonts w:ascii="Verdana" w:eastAsia="Times" w:hAnsi="Verdana"/>
      <w:sz w:val="22"/>
      <w:szCs w:val="30"/>
    </w:rPr>
  </w:style>
  <w:style w:type="paragraph" w:customStyle="1" w:styleId="CommonContentDescription">
    <w:name w:val="Common Content Description"/>
    <w:basedOn w:val="Normal"/>
    <w:semiHidden/>
    <w:rsid w:val="00D9783F"/>
    <w:pPr>
      <w:pageBreakBefore/>
    </w:pPr>
    <w:rPr>
      <w:rFonts w:ascii="Verdana" w:hAnsi="Verdana"/>
      <w:sz w:val="22"/>
      <w:szCs w:val="18"/>
      <w:lang w:eastAsia="en-US"/>
    </w:rPr>
  </w:style>
  <w:style w:type="paragraph" w:customStyle="1" w:styleId="CommonContentHelpText">
    <w:name w:val="Common Content Help Text"/>
    <w:basedOn w:val="Normal"/>
    <w:semiHidden/>
    <w:rsid w:val="00D9783F"/>
    <w:pPr>
      <w:spacing w:before="60" w:after="60"/>
    </w:pPr>
    <w:rPr>
      <w:rFonts w:ascii="Verdana" w:hAnsi="Verdana"/>
      <w:color w:val="0000FF"/>
      <w:sz w:val="22"/>
      <w:szCs w:val="18"/>
      <w:lang w:eastAsia="en-US"/>
    </w:rPr>
  </w:style>
  <w:style w:type="paragraph" w:customStyle="1" w:styleId="CommonContentPageBreak">
    <w:name w:val="Common Content Page Break"/>
    <w:semiHidden/>
    <w:rsid w:val="00D9783F"/>
    <w:pPr>
      <w:pageBreakBefore/>
    </w:pPr>
    <w:rPr>
      <w:rFonts w:ascii="Verdana" w:hAnsi="Verdana"/>
      <w:b/>
      <w:sz w:val="22"/>
      <w:szCs w:val="18"/>
      <w:lang w:eastAsia="en-US"/>
    </w:rPr>
  </w:style>
  <w:style w:type="paragraph" w:customStyle="1" w:styleId="GuidanceText-List-Indent">
    <w:name w:val="Guidance Text - List - Indent"/>
    <w:basedOn w:val="BodyText-List-Indent"/>
    <w:semiHidden/>
    <w:rsid w:val="00D9783F"/>
    <w:rPr>
      <w:i/>
      <w:color w:val="0000FF"/>
    </w:rPr>
  </w:style>
  <w:style w:type="paragraph" w:customStyle="1" w:styleId="GuidanceText-Bold">
    <w:name w:val="Guidance Text - Bold"/>
    <w:basedOn w:val="BodyText-Bold"/>
    <w:semiHidden/>
    <w:rsid w:val="00D9783F"/>
    <w:rPr>
      <w:rFonts w:eastAsia="Times"/>
      <w:color w:val="0000FF"/>
    </w:rPr>
  </w:style>
  <w:style w:type="paragraph" w:customStyle="1" w:styleId="CommonContentHeading">
    <w:name w:val="Common Content Heading"/>
    <w:basedOn w:val="NoStyle"/>
    <w:semiHidden/>
    <w:rsid w:val="00D9783F"/>
    <w:pPr>
      <w:ind w:left="0"/>
    </w:pPr>
    <w:rPr>
      <w:b/>
      <w:sz w:val="22"/>
      <w:lang w:val="en-US"/>
    </w:rPr>
  </w:style>
  <w:style w:type="character" w:customStyle="1" w:styleId="Heading-inTOCChar">
    <w:name w:val="Heading - in TOC Char"/>
    <w:link w:val="Heading-inTOC"/>
    <w:rsid w:val="00D9783F"/>
    <w:rPr>
      <w:rFonts w:ascii="Verdana" w:hAnsi="Verdana"/>
      <w:color w:val="52006B"/>
      <w:sz w:val="28"/>
      <w:szCs w:val="28"/>
      <w:lang w:val="en-AU" w:eastAsia="en-US" w:bidi="ar-SA"/>
    </w:rPr>
  </w:style>
  <w:style w:type="character" w:customStyle="1" w:styleId="BodyText-BoldChar">
    <w:name w:val="Body Text - Bold Char"/>
    <w:link w:val="BodyText-Bold"/>
    <w:rsid w:val="00D9783F"/>
    <w:rPr>
      <w:rFonts w:ascii="Verdana" w:hAnsi="Verdana"/>
      <w:b/>
      <w:szCs w:val="24"/>
      <w:lang w:val="en-AU" w:eastAsia="en-US" w:bidi="ar-SA"/>
    </w:rPr>
  </w:style>
  <w:style w:type="character" w:customStyle="1" w:styleId="TableTextChar">
    <w:name w:val="Table Text Char"/>
    <w:link w:val="TableText"/>
    <w:rsid w:val="00D9783F"/>
    <w:rPr>
      <w:rFonts w:ascii="Verdana" w:hAnsi="Verdana"/>
      <w:sz w:val="18"/>
      <w:szCs w:val="18"/>
      <w:lang w:val="en-AU" w:eastAsia="en-US" w:bidi="ar-SA"/>
    </w:rPr>
  </w:style>
  <w:style w:type="paragraph" w:customStyle="1" w:styleId="TitleLarge">
    <w:name w:val="Title Large"/>
    <w:semiHidden/>
    <w:rsid w:val="00D9783F"/>
    <w:pPr>
      <w:spacing w:before="240" w:after="480"/>
      <w:contextualSpacing/>
    </w:pPr>
    <w:rPr>
      <w:rFonts w:ascii="Times" w:hAnsi="Times"/>
      <w:color w:val="FFFFFF"/>
      <w:sz w:val="80"/>
      <w:szCs w:val="24"/>
      <w:lang w:eastAsia="en-US"/>
    </w:rPr>
  </w:style>
  <w:style w:type="character" w:customStyle="1" w:styleId="VEOHRCHeading3Char">
    <w:name w:val="VEOHRC Heading 3 Char"/>
    <w:link w:val="VEOHRCHeading3"/>
    <w:uiPriority w:val="99"/>
    <w:rsid w:val="00A76969"/>
    <w:rPr>
      <w:rFonts w:ascii="Arial" w:hAnsi="Arial" w:cs="Arial"/>
      <w:b/>
      <w:bCs/>
      <w:sz w:val="24"/>
      <w:szCs w:val="26"/>
      <w:lang w:val="en-GB" w:eastAsia="en-AU" w:bidi="ar-SA"/>
    </w:rPr>
  </w:style>
  <w:style w:type="character" w:customStyle="1" w:styleId="VEOHRCHeading1Char">
    <w:name w:val="VEOHRC Heading 1 Char"/>
    <w:link w:val="VEOHRCHeading1"/>
    <w:uiPriority w:val="99"/>
    <w:rsid w:val="00DB7D79"/>
    <w:rPr>
      <w:b/>
      <w:bCs/>
      <w:kern w:val="32"/>
      <w:sz w:val="36"/>
      <w:szCs w:val="32"/>
      <w:lang w:val="en-GB"/>
    </w:rPr>
  </w:style>
  <w:style w:type="paragraph" w:customStyle="1" w:styleId="aVEOHRCletterlist">
    <w:name w:val="a. VEOHRC letter list"/>
    <w:basedOn w:val="VEOHRCNumberedlist"/>
    <w:autoRedefine/>
    <w:rsid w:val="00800CEB"/>
    <w:pPr>
      <w:numPr>
        <w:numId w:val="0"/>
      </w:numPr>
      <w:autoSpaceDE w:val="0"/>
      <w:autoSpaceDN w:val="0"/>
      <w:adjustRightInd w:val="0"/>
    </w:pPr>
    <w:rPr>
      <w:rFonts w:cs="Arial"/>
      <w:color w:val="000000"/>
    </w:rPr>
  </w:style>
  <w:style w:type="paragraph" w:customStyle="1" w:styleId="VEOHRCRomannumberlist">
    <w:name w:val="VEOHRC Roman number list"/>
    <w:basedOn w:val="aVEOHRCletterlist"/>
    <w:autoRedefine/>
    <w:rsid w:val="003832C6"/>
    <w:pPr>
      <w:numPr>
        <w:ilvl w:val="1"/>
        <w:numId w:val="38"/>
      </w:numPr>
    </w:pPr>
  </w:style>
  <w:style w:type="paragraph" w:customStyle="1" w:styleId="VEOHRCletterlist">
    <w:name w:val="VEOHRC letter list"/>
    <w:basedOn w:val="VEOHRCNumberedlist"/>
    <w:autoRedefine/>
    <w:rsid w:val="00800CEB"/>
    <w:pPr>
      <w:numPr>
        <w:ilvl w:val="1"/>
        <w:numId w:val="39"/>
      </w:numPr>
      <w:autoSpaceDE w:val="0"/>
      <w:autoSpaceDN w:val="0"/>
      <w:adjustRightInd w:val="0"/>
    </w:pPr>
    <w:rPr>
      <w:rFonts w:cs="Arial"/>
      <w:color w:val="000000"/>
    </w:rPr>
  </w:style>
  <w:style w:type="character" w:customStyle="1" w:styleId="CommentTextChar">
    <w:name w:val="Comment Text Char"/>
    <w:basedOn w:val="DefaultParagraphFont"/>
    <w:link w:val="CommentText"/>
    <w:uiPriority w:val="99"/>
    <w:semiHidden/>
    <w:rsid w:val="0061103B"/>
    <w:rPr>
      <w:rFonts w:ascii="Times New Roman" w:hAnsi="Times New Roman"/>
      <w:lang w:eastAsia="en-US"/>
    </w:rPr>
  </w:style>
  <w:style w:type="character" w:customStyle="1" w:styleId="VEOHRCURLChar">
    <w:name w:val="VEOHRC URL Char"/>
    <w:uiPriority w:val="99"/>
    <w:rsid w:val="0083468C"/>
    <w:rPr>
      <w:rFonts w:ascii="Arial" w:hAnsi="Arial" w:cs="ArialMT"/>
      <w:color w:val="0000FF"/>
      <w:w w:val="100"/>
      <w:sz w:val="24"/>
      <w:szCs w:val="19"/>
      <w:lang w:val="en-AU"/>
    </w:rPr>
  </w:style>
  <w:style w:type="paragraph" w:styleId="ListParagraph">
    <w:name w:val="List Paragraph"/>
    <w:uiPriority w:val="34"/>
    <w:qFormat/>
    <w:rsid w:val="00D83706"/>
    <w:pPr>
      <w:ind w:left="720"/>
    </w:pPr>
    <w:rPr>
      <w:rFonts w:eastAsia="Calibri" w:cs="Arial"/>
      <w:sz w:val="22"/>
      <w:szCs w:val="22"/>
    </w:rPr>
  </w:style>
  <w:style w:type="table" w:customStyle="1" w:styleId="GridTable4-Accent61">
    <w:name w:val="Grid Table 4 - Accent 61"/>
    <w:uiPriority w:val="49"/>
    <w:rsid w:val="0079708A"/>
    <w:rPr>
      <w:rFonts w:eastAsia="Calibri"/>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table" w:customStyle="1" w:styleId="GridTable5Dark-Accent31">
    <w:name w:val="Grid Table 5 Dark - Accent 31"/>
    <w:uiPriority w:val="50"/>
    <w:rsid w:val="0079708A"/>
    <w:rPr>
      <w:rFonts w:eastAsia="Calibr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EDEDED"/>
    </w:tcPr>
  </w:style>
  <w:style w:type="paragraph" w:styleId="Revision">
    <w:name w:val="Revision"/>
    <w:hidden/>
    <w:uiPriority w:val="99"/>
    <w:semiHidden/>
    <w:rsid w:val="001B4046"/>
    <w:rPr>
      <w:sz w:val="24"/>
      <w:szCs w:val="24"/>
    </w:rPr>
  </w:style>
  <w:style w:type="character" w:customStyle="1" w:styleId="Heading2Char">
    <w:name w:val="Heading 2 Char"/>
    <w:aliases w:val="Heading 1.1 Char"/>
    <w:basedOn w:val="DefaultParagraphFont"/>
    <w:link w:val="Heading2"/>
    <w:uiPriority w:val="9"/>
    <w:rsid w:val="00D05564"/>
    <w:rPr>
      <w:rFonts w:ascii="Frutiger 55 Roman" w:hAnsi="Frutiger 55 Roman" w:cs="Arial"/>
      <w:b/>
      <w:bCs/>
      <w:iCs/>
      <w:sz w:val="28"/>
      <w:szCs w:val="28"/>
    </w:rPr>
  </w:style>
  <w:style w:type="character" w:customStyle="1" w:styleId="FooterChar">
    <w:name w:val="Footer Char"/>
    <w:basedOn w:val="DefaultParagraphFont"/>
    <w:link w:val="Footer"/>
    <w:uiPriority w:val="99"/>
    <w:rsid w:val="002704AC"/>
    <w:rPr>
      <w:sz w:val="24"/>
      <w:szCs w:val="24"/>
    </w:rPr>
  </w:style>
  <w:style w:type="numbering" w:customStyle="1" w:styleId="Headings">
    <w:name w:val="Headings"/>
    <w:uiPriority w:val="99"/>
    <w:rsid w:val="00AB5C35"/>
    <w:pPr>
      <w:numPr>
        <w:numId w:val="40"/>
      </w:numPr>
    </w:pPr>
  </w:style>
  <w:style w:type="character" w:customStyle="1" w:styleId="Heading3Char">
    <w:name w:val="Heading 3 Char"/>
    <w:basedOn w:val="DefaultParagraphFont"/>
    <w:link w:val="Heading3"/>
    <w:rsid w:val="00E94717"/>
    <w:rPr>
      <w:rFonts w:ascii="Frutiger 55 Roman" w:hAnsi="Frutiger 55 Roman" w:cs="Arial"/>
      <w:bCs/>
      <w:sz w:val="24"/>
      <w:szCs w:val="26"/>
    </w:rPr>
  </w:style>
  <w:style w:type="paragraph" w:customStyle="1" w:styleId="Bullet1Tightlessspacing">
    <w:name w:val="Bullet 1 Tight (less spacing)"/>
    <w:basedOn w:val="Normal"/>
    <w:link w:val="Bullet1TightlessspacingChar"/>
    <w:uiPriority w:val="1"/>
    <w:qFormat/>
    <w:rsid w:val="00BA4AA0"/>
    <w:pPr>
      <w:numPr>
        <w:numId w:val="41"/>
      </w:numPr>
      <w:spacing w:before="60" w:line="264" w:lineRule="auto"/>
    </w:pPr>
    <w:rPr>
      <w:rFonts w:ascii="Franklin Gothic Book" w:hAnsi="Franklin Gothic Book"/>
      <w:sz w:val="22"/>
      <w:szCs w:val="22"/>
    </w:rPr>
  </w:style>
  <w:style w:type="character" w:customStyle="1" w:styleId="Bullet1TightlessspacingChar">
    <w:name w:val="Bullet 1 Tight (less spacing) Char"/>
    <w:link w:val="Bullet1Tightlessspacing"/>
    <w:uiPriority w:val="1"/>
    <w:rsid w:val="00BA4AA0"/>
    <w:rPr>
      <w:rFonts w:ascii="Franklin Gothic Book" w:hAnsi="Franklin Gothic Book"/>
      <w:sz w:val="22"/>
      <w:szCs w:val="22"/>
    </w:rPr>
  </w:style>
  <w:style w:type="paragraph" w:customStyle="1" w:styleId="xl64">
    <w:name w:val="xl64"/>
    <w:basedOn w:val="Normal"/>
    <w:rsid w:val="009157F1"/>
    <w:pPr>
      <w:pBdr>
        <w:top w:val="single" w:sz="4" w:space="0" w:color="ACB9CA"/>
        <w:left w:val="single" w:sz="4" w:space="0" w:color="ACB9CA"/>
        <w:bottom w:val="single" w:sz="4" w:space="0" w:color="ACB9CA"/>
      </w:pBdr>
      <w:shd w:val="clear" w:color="000000" w:fill="333F4F"/>
      <w:spacing w:before="100" w:beforeAutospacing="1" w:after="100" w:afterAutospacing="1"/>
    </w:pPr>
    <w:rPr>
      <w:rFonts w:ascii="Times New Roman" w:hAnsi="Times New Roman"/>
      <w:b/>
      <w:bCs/>
      <w:color w:val="FFFFFF"/>
    </w:rPr>
  </w:style>
  <w:style w:type="paragraph" w:customStyle="1" w:styleId="xl65">
    <w:name w:val="xl65"/>
    <w:basedOn w:val="Normal"/>
    <w:rsid w:val="009157F1"/>
    <w:pPr>
      <w:pBdr>
        <w:top w:val="single" w:sz="4" w:space="0" w:color="ACB9CA"/>
        <w:left w:val="single" w:sz="4" w:space="0" w:color="ACB9CA"/>
      </w:pBdr>
      <w:shd w:val="clear" w:color="000000" w:fill="BDD7EE"/>
      <w:spacing w:before="100" w:beforeAutospacing="1" w:after="100" w:afterAutospacing="1"/>
    </w:pPr>
    <w:rPr>
      <w:rFonts w:ascii="Times New Roman" w:hAnsi="Times New Roman"/>
    </w:rPr>
  </w:style>
  <w:style w:type="paragraph" w:customStyle="1" w:styleId="xl66">
    <w:name w:val="xl66"/>
    <w:basedOn w:val="Normal"/>
    <w:rsid w:val="009157F1"/>
    <w:pPr>
      <w:pBdr>
        <w:top w:val="single" w:sz="4" w:space="0" w:color="ACB9CA"/>
        <w:bottom w:val="single" w:sz="4" w:space="0" w:color="ACB9CA"/>
      </w:pBdr>
      <w:shd w:val="clear" w:color="000000" w:fill="BDD7EE"/>
      <w:spacing w:before="100" w:beforeAutospacing="1" w:after="100" w:afterAutospacing="1"/>
    </w:pPr>
    <w:rPr>
      <w:rFonts w:ascii="Times New Roman" w:hAnsi="Times New Roman"/>
    </w:rPr>
  </w:style>
  <w:style w:type="paragraph" w:customStyle="1" w:styleId="xl67">
    <w:name w:val="xl67"/>
    <w:basedOn w:val="Normal"/>
    <w:rsid w:val="009157F1"/>
    <w:pPr>
      <w:pBdr>
        <w:top w:val="single" w:sz="4" w:space="0" w:color="ACB9CA"/>
        <w:bottom w:val="single" w:sz="4" w:space="0" w:color="ACB9CA"/>
        <w:right w:val="single" w:sz="4" w:space="0" w:color="ACB9CA"/>
      </w:pBdr>
      <w:shd w:val="clear" w:color="000000" w:fill="BDD7EE"/>
      <w:spacing w:before="100" w:beforeAutospacing="1" w:after="100" w:afterAutospacing="1"/>
    </w:pPr>
    <w:rPr>
      <w:rFonts w:ascii="Times New Roman" w:hAnsi="Times New Roman"/>
    </w:rPr>
  </w:style>
  <w:style w:type="paragraph" w:customStyle="1" w:styleId="xl68">
    <w:name w:val="xl68"/>
    <w:basedOn w:val="Normal"/>
    <w:rsid w:val="009157F1"/>
    <w:pPr>
      <w:pBdr>
        <w:top w:val="single" w:sz="4" w:space="0" w:color="8497B0"/>
        <w:bottom w:val="single" w:sz="4" w:space="0" w:color="8497B0"/>
      </w:pBdr>
      <w:spacing w:before="100" w:beforeAutospacing="1" w:after="100" w:afterAutospacing="1"/>
    </w:pPr>
    <w:rPr>
      <w:rFonts w:ascii="Times New Roman" w:hAnsi="Times New Roman"/>
    </w:rPr>
  </w:style>
  <w:style w:type="paragraph" w:customStyle="1" w:styleId="xl69">
    <w:name w:val="xl69"/>
    <w:basedOn w:val="Normal"/>
    <w:rsid w:val="009157F1"/>
    <w:pPr>
      <w:pBdr>
        <w:top w:val="single" w:sz="4" w:space="0" w:color="ACB9CA"/>
        <w:bottom w:val="single" w:sz="4" w:space="0" w:color="ACB9CA"/>
      </w:pBdr>
      <w:spacing w:before="100" w:beforeAutospacing="1" w:after="100" w:afterAutospacing="1"/>
    </w:pPr>
    <w:rPr>
      <w:rFonts w:ascii="Times New Roman" w:hAnsi="Times New Roman"/>
    </w:rPr>
  </w:style>
  <w:style w:type="paragraph" w:customStyle="1" w:styleId="xl70">
    <w:name w:val="xl70"/>
    <w:basedOn w:val="Normal"/>
    <w:rsid w:val="009157F1"/>
    <w:pPr>
      <w:pBdr>
        <w:top w:val="single" w:sz="4" w:space="0" w:color="ACB9CA"/>
        <w:bottom w:val="single" w:sz="4" w:space="0" w:color="ACB9CA"/>
        <w:right w:val="single" w:sz="4" w:space="0" w:color="ACB9CA"/>
      </w:pBdr>
      <w:spacing w:before="100" w:beforeAutospacing="1" w:after="100" w:afterAutospacing="1"/>
    </w:pPr>
    <w:rPr>
      <w:rFonts w:ascii="Times New Roman" w:hAnsi="Times New Roman"/>
    </w:rPr>
  </w:style>
  <w:style w:type="paragraph" w:customStyle="1" w:styleId="xl71">
    <w:name w:val="xl71"/>
    <w:basedOn w:val="Normal"/>
    <w:rsid w:val="009157F1"/>
    <w:pPr>
      <w:pBdr>
        <w:top w:val="single" w:sz="4" w:space="0" w:color="ACB9CA"/>
        <w:left w:val="single" w:sz="4" w:space="0" w:color="ACB9CA"/>
        <w:bottom w:val="single" w:sz="4" w:space="0" w:color="ACB9CA"/>
      </w:pBdr>
      <w:spacing w:before="100" w:beforeAutospacing="1" w:after="100" w:afterAutospacing="1"/>
    </w:pPr>
    <w:rPr>
      <w:rFonts w:ascii="Times New Roman" w:hAnsi="Times New Roman"/>
    </w:rPr>
  </w:style>
  <w:style w:type="paragraph" w:customStyle="1" w:styleId="xl72">
    <w:name w:val="xl72"/>
    <w:basedOn w:val="Normal"/>
    <w:rsid w:val="009157F1"/>
    <w:pPr>
      <w:pBdr>
        <w:top w:val="single" w:sz="4" w:space="0" w:color="8497B0"/>
        <w:bottom w:val="single" w:sz="4" w:space="0" w:color="8497B0"/>
      </w:pBdr>
      <w:shd w:val="clear" w:color="000000" w:fill="333F4F"/>
      <w:spacing w:before="100" w:beforeAutospacing="1" w:after="100" w:afterAutospacing="1"/>
    </w:pPr>
    <w:rPr>
      <w:rFonts w:ascii="Times New Roman" w:hAnsi="Times New Roman"/>
      <w:b/>
      <w:bCs/>
      <w:color w:val="FFFFFF"/>
    </w:rPr>
  </w:style>
  <w:style w:type="paragraph" w:customStyle="1" w:styleId="xl73">
    <w:name w:val="xl73"/>
    <w:basedOn w:val="Normal"/>
    <w:rsid w:val="009157F1"/>
    <w:pPr>
      <w:pBdr>
        <w:top w:val="single" w:sz="4" w:space="0" w:color="ACB9CA"/>
        <w:bottom w:val="single" w:sz="4" w:space="0" w:color="8497B0"/>
      </w:pBdr>
      <w:shd w:val="clear" w:color="000000" w:fill="333F4F"/>
      <w:spacing w:before="100" w:beforeAutospacing="1" w:after="100" w:afterAutospacing="1"/>
    </w:pPr>
    <w:rPr>
      <w:rFonts w:ascii="Times New Roman" w:hAnsi="Times New Roman"/>
      <w:b/>
      <w:bCs/>
      <w:color w:val="FFFFFF"/>
    </w:rPr>
  </w:style>
  <w:style w:type="paragraph" w:customStyle="1" w:styleId="xl74">
    <w:name w:val="xl74"/>
    <w:basedOn w:val="Normal"/>
    <w:rsid w:val="009157F1"/>
    <w:pPr>
      <w:pBdr>
        <w:top w:val="single" w:sz="4" w:space="0" w:color="ACB9CA"/>
        <w:bottom w:val="single" w:sz="4" w:space="0" w:color="8497B0"/>
        <w:right w:val="single" w:sz="4" w:space="0" w:color="ACB9CA"/>
      </w:pBdr>
      <w:shd w:val="clear" w:color="000000" w:fill="333F4F"/>
      <w:spacing w:before="100" w:beforeAutospacing="1" w:after="100" w:afterAutospacing="1"/>
    </w:pPr>
    <w:rPr>
      <w:rFonts w:ascii="Times New Roman" w:hAnsi="Times New Roman"/>
      <w:b/>
      <w:bCs/>
      <w:color w:val="FFFFFF"/>
    </w:rPr>
  </w:style>
  <w:style w:type="paragraph" w:customStyle="1" w:styleId="xl75">
    <w:name w:val="xl75"/>
    <w:basedOn w:val="Normal"/>
    <w:rsid w:val="009157F1"/>
    <w:pPr>
      <w:pBdr>
        <w:top w:val="single" w:sz="4" w:space="0" w:color="ACB9CA"/>
        <w:left w:val="single" w:sz="4" w:space="0" w:color="ACB9CA"/>
        <w:bottom w:val="single" w:sz="4" w:space="0" w:color="8497B0"/>
      </w:pBdr>
      <w:shd w:val="clear" w:color="000000" w:fill="333F4F"/>
      <w:spacing w:before="100" w:beforeAutospacing="1" w:after="100" w:afterAutospacing="1"/>
    </w:pPr>
    <w:rPr>
      <w:rFonts w:ascii="Times New Roman" w:hAnsi="Times New Roman"/>
      <w:b/>
      <w:bCs/>
      <w:color w:val="FFFFFF"/>
    </w:rPr>
  </w:style>
  <w:style w:type="paragraph" w:customStyle="1" w:styleId="xl76">
    <w:name w:val="xl76"/>
    <w:basedOn w:val="Normal"/>
    <w:rsid w:val="009157F1"/>
    <w:pPr>
      <w:pBdr>
        <w:top w:val="single" w:sz="4" w:space="0" w:color="ACB9CA"/>
        <w:bottom w:val="single" w:sz="4" w:space="0" w:color="ACB9CA"/>
      </w:pBdr>
      <w:spacing w:before="100" w:beforeAutospacing="1" w:after="100" w:afterAutospacing="1"/>
      <w:jc w:val="center"/>
    </w:pPr>
    <w:rPr>
      <w:rFonts w:ascii="Times New Roman" w:hAnsi="Times New Roman"/>
    </w:rPr>
  </w:style>
  <w:style w:type="paragraph" w:customStyle="1" w:styleId="xl77">
    <w:name w:val="xl77"/>
    <w:basedOn w:val="Normal"/>
    <w:rsid w:val="009157F1"/>
    <w:pPr>
      <w:pBdr>
        <w:top w:val="single" w:sz="4" w:space="0" w:color="ACB9CA"/>
        <w:left w:val="single" w:sz="4" w:space="0" w:color="ACB9CA"/>
        <w:bottom w:val="single" w:sz="4" w:space="0" w:color="ACB9CA"/>
      </w:pBdr>
      <w:shd w:val="clear" w:color="000000" w:fill="BDD7EE"/>
      <w:spacing w:before="100" w:beforeAutospacing="1" w:after="100" w:afterAutospacing="1"/>
    </w:pPr>
    <w:rPr>
      <w:rFonts w:ascii="Times New Roman" w:hAnsi="Times New Roman"/>
    </w:rPr>
  </w:style>
  <w:style w:type="paragraph" w:customStyle="1" w:styleId="xl78">
    <w:name w:val="xl78"/>
    <w:basedOn w:val="Normal"/>
    <w:rsid w:val="009157F1"/>
    <w:pPr>
      <w:spacing w:before="100" w:beforeAutospacing="1" w:after="100" w:afterAutospacing="1"/>
    </w:pPr>
    <w:rPr>
      <w:rFonts w:ascii="Times New Roman" w:hAnsi="Times New Roman"/>
      <w:b/>
      <w:bCs/>
      <w:sz w:val="28"/>
      <w:szCs w:val="28"/>
    </w:rPr>
  </w:style>
  <w:style w:type="paragraph" w:customStyle="1" w:styleId="xl79">
    <w:name w:val="xl79"/>
    <w:basedOn w:val="Normal"/>
    <w:rsid w:val="009157F1"/>
    <w:pPr>
      <w:pBdr>
        <w:top w:val="single" w:sz="4" w:space="0" w:color="ACB9CA"/>
        <w:bottom w:val="single" w:sz="4" w:space="0" w:color="ACB9CA"/>
      </w:pBdr>
      <w:spacing w:before="100" w:beforeAutospacing="1" w:after="100" w:afterAutospacing="1"/>
      <w:textAlignment w:val="center"/>
    </w:pPr>
    <w:rPr>
      <w:rFonts w:ascii="Times New Roman" w:hAnsi="Times New Roman"/>
    </w:rPr>
  </w:style>
  <w:style w:type="paragraph" w:customStyle="1" w:styleId="xl80">
    <w:name w:val="xl80"/>
    <w:basedOn w:val="Normal"/>
    <w:rsid w:val="009157F1"/>
    <w:pPr>
      <w:pBdr>
        <w:top w:val="single" w:sz="4" w:space="0" w:color="ACB9CA"/>
        <w:left w:val="single" w:sz="4" w:space="0" w:color="ACB9CA"/>
        <w:bottom w:val="single" w:sz="4" w:space="0" w:color="ACB9CA"/>
      </w:pBdr>
      <w:shd w:val="clear" w:color="000000" w:fill="333F4F"/>
      <w:spacing w:before="100" w:beforeAutospacing="1" w:after="100" w:afterAutospacing="1"/>
      <w:jc w:val="center"/>
    </w:pPr>
    <w:rPr>
      <w:rFonts w:ascii="Times New Roman" w:hAnsi="Times New Roman"/>
      <w:b/>
      <w:bCs/>
      <w:color w:val="FFFFFF"/>
    </w:rPr>
  </w:style>
  <w:style w:type="paragraph" w:customStyle="1" w:styleId="xl81">
    <w:name w:val="xl81"/>
    <w:basedOn w:val="Normal"/>
    <w:rsid w:val="009157F1"/>
    <w:pPr>
      <w:pBdr>
        <w:top w:val="single" w:sz="4" w:space="0" w:color="ACB9CA"/>
        <w:bottom w:val="single" w:sz="4" w:space="0" w:color="ACB9CA"/>
      </w:pBdr>
      <w:shd w:val="clear" w:color="000000" w:fill="333F4F"/>
      <w:spacing w:before="100" w:beforeAutospacing="1" w:after="100" w:afterAutospacing="1"/>
    </w:pPr>
    <w:rPr>
      <w:rFonts w:ascii="Times New Roman" w:hAnsi="Times New Roman"/>
      <w:color w:val="FFFFFF"/>
    </w:rPr>
  </w:style>
  <w:style w:type="paragraph" w:customStyle="1" w:styleId="xl82">
    <w:name w:val="xl82"/>
    <w:basedOn w:val="Normal"/>
    <w:rsid w:val="009157F1"/>
    <w:pPr>
      <w:pBdr>
        <w:top w:val="single" w:sz="4" w:space="0" w:color="ACB9CA"/>
        <w:bottom w:val="single" w:sz="4" w:space="0" w:color="ACB9CA"/>
        <w:right w:val="single" w:sz="4" w:space="0" w:color="ACB9CA"/>
      </w:pBdr>
      <w:shd w:val="clear" w:color="000000" w:fill="333F4F"/>
      <w:spacing w:before="100" w:beforeAutospacing="1" w:after="100" w:afterAutospacing="1"/>
    </w:pPr>
    <w:rPr>
      <w:rFonts w:ascii="Times New Roman" w:hAnsi="Times New Roman"/>
      <w:color w:val="FFFFFF"/>
    </w:rPr>
  </w:style>
  <w:style w:type="paragraph" w:customStyle="1" w:styleId="xl83">
    <w:name w:val="xl83"/>
    <w:basedOn w:val="Normal"/>
    <w:rsid w:val="00BC7857"/>
    <w:pPr>
      <w:pBdr>
        <w:top w:val="single" w:sz="4" w:space="0" w:color="ACB9CA"/>
        <w:bottom w:val="single" w:sz="4" w:space="0" w:color="ACB9CA"/>
        <w:right w:val="single" w:sz="4" w:space="0" w:color="ACB9CA"/>
      </w:pBdr>
      <w:shd w:val="clear" w:color="000000" w:fill="333F4F"/>
      <w:spacing w:before="100" w:beforeAutospacing="1" w:after="100" w:afterAutospacing="1"/>
    </w:pPr>
    <w:rPr>
      <w:rFonts w:ascii="Times New Roman" w:hAnsi="Times New Roman"/>
      <w:color w:val="FFFFFF"/>
    </w:rPr>
  </w:style>
  <w:style w:type="table" w:customStyle="1" w:styleId="TableGridLight1">
    <w:name w:val="Table Grid Light1"/>
    <w:basedOn w:val="TableNormal"/>
    <w:uiPriority w:val="40"/>
    <w:rsid w:val="00A24D7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1">
    <w:name w:val="Grid Table 1 Light1"/>
    <w:basedOn w:val="TableNormal"/>
    <w:uiPriority w:val="46"/>
    <w:rsid w:val="00A24D7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1">
    <w:name w:val="Grid Table 41"/>
    <w:basedOn w:val="TableNormal"/>
    <w:uiPriority w:val="49"/>
    <w:rsid w:val="00A24D7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1">
    <w:name w:val="p1"/>
    <w:basedOn w:val="Normal"/>
    <w:rsid w:val="00230633"/>
    <w:pPr>
      <w:spacing w:after="86" w:line="188" w:lineRule="atLeast"/>
    </w:pPr>
    <w:rPr>
      <w:rFonts w:ascii="Arial MT Light" w:hAnsi="Arial MT Light"/>
      <w:sz w:val="14"/>
      <w:szCs w:val="14"/>
      <w:lang w:val="en-US" w:eastAsia="en-US"/>
    </w:rPr>
  </w:style>
  <w:style w:type="table" w:customStyle="1" w:styleId="GridTable21">
    <w:name w:val="Grid Table 21"/>
    <w:basedOn w:val="TableNormal"/>
    <w:uiPriority w:val="47"/>
    <w:rsid w:val="006A48F9"/>
    <w:rPr>
      <w:rFonts w:asciiTheme="minorHAnsi" w:eastAsiaTheme="minorHAnsi" w:hAnsiTheme="minorHAnsi" w:cstheme="minorBidi"/>
      <w:sz w:val="24"/>
      <w:szCs w:val="24"/>
      <w:lang w:val="en-US"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rsid w:val="008822C1"/>
    <w:rPr>
      <w:rFonts w:ascii="Frutiger 45 Light" w:hAnsi="Frutiger 45 Light"/>
      <w:bCs/>
      <w:i/>
      <w:sz w:val="24"/>
      <w:szCs w:val="28"/>
    </w:rPr>
  </w:style>
  <w:style w:type="character" w:customStyle="1" w:styleId="Heading5Char">
    <w:name w:val="Heading 5 Char"/>
    <w:basedOn w:val="DefaultParagraphFont"/>
    <w:link w:val="Heading5"/>
    <w:rsid w:val="008822C1"/>
    <w:rPr>
      <w:b/>
      <w:bCs/>
      <w:i/>
      <w:iCs/>
      <w:sz w:val="26"/>
      <w:szCs w:val="26"/>
    </w:rPr>
  </w:style>
  <w:style w:type="character" w:customStyle="1" w:styleId="Heading6Char">
    <w:name w:val="Heading 6 Char"/>
    <w:basedOn w:val="DefaultParagraphFont"/>
    <w:link w:val="Heading6"/>
    <w:rsid w:val="008822C1"/>
    <w:rPr>
      <w:b/>
      <w:bCs/>
      <w:sz w:val="22"/>
      <w:szCs w:val="22"/>
    </w:rPr>
  </w:style>
  <w:style w:type="character" w:customStyle="1" w:styleId="Heading7Char">
    <w:name w:val="Heading 7 Char"/>
    <w:basedOn w:val="DefaultParagraphFont"/>
    <w:link w:val="Heading7"/>
    <w:rsid w:val="008822C1"/>
    <w:rPr>
      <w:sz w:val="24"/>
      <w:szCs w:val="24"/>
    </w:rPr>
  </w:style>
  <w:style w:type="character" w:customStyle="1" w:styleId="Heading8Char">
    <w:name w:val="Heading 8 Char"/>
    <w:basedOn w:val="DefaultParagraphFont"/>
    <w:link w:val="Heading8"/>
    <w:rsid w:val="008822C1"/>
    <w:rPr>
      <w:i/>
      <w:iCs/>
      <w:sz w:val="24"/>
      <w:szCs w:val="24"/>
    </w:rPr>
  </w:style>
  <w:style w:type="character" w:customStyle="1" w:styleId="Heading9Char">
    <w:name w:val="Heading 9 Char"/>
    <w:basedOn w:val="DefaultParagraphFont"/>
    <w:link w:val="Heading9"/>
    <w:rsid w:val="008822C1"/>
    <w:rPr>
      <w:rFonts w:cs="Arial"/>
      <w:sz w:val="22"/>
      <w:szCs w:val="22"/>
    </w:rPr>
  </w:style>
  <w:style w:type="character" w:customStyle="1" w:styleId="BodyText2Char">
    <w:name w:val="Body Text 2 Char"/>
    <w:basedOn w:val="DefaultParagraphFont"/>
    <w:link w:val="BodyText2"/>
    <w:semiHidden/>
    <w:rsid w:val="008822C1"/>
    <w:rPr>
      <w:sz w:val="24"/>
      <w:szCs w:val="24"/>
    </w:rPr>
  </w:style>
  <w:style w:type="character" w:customStyle="1" w:styleId="BodyText3Char">
    <w:name w:val="Body Text 3 Char"/>
    <w:basedOn w:val="DefaultParagraphFont"/>
    <w:link w:val="BodyText3"/>
    <w:semiHidden/>
    <w:rsid w:val="008822C1"/>
    <w:rPr>
      <w:sz w:val="16"/>
      <w:szCs w:val="16"/>
    </w:rPr>
  </w:style>
  <w:style w:type="character" w:customStyle="1" w:styleId="BodyTextChar">
    <w:name w:val="Body Text Char"/>
    <w:basedOn w:val="DefaultParagraphFont"/>
    <w:link w:val="BodyText"/>
    <w:semiHidden/>
    <w:rsid w:val="008822C1"/>
    <w:rPr>
      <w:sz w:val="24"/>
      <w:szCs w:val="24"/>
    </w:rPr>
  </w:style>
  <w:style w:type="character" w:customStyle="1" w:styleId="BodyTextFirstIndentChar">
    <w:name w:val="Body Text First Indent Char"/>
    <w:basedOn w:val="BodyTextChar"/>
    <w:link w:val="BodyTextFirstIndent"/>
    <w:semiHidden/>
    <w:rsid w:val="008822C1"/>
    <w:rPr>
      <w:sz w:val="24"/>
      <w:szCs w:val="24"/>
    </w:rPr>
  </w:style>
  <w:style w:type="character" w:customStyle="1" w:styleId="BodyTextIndentChar">
    <w:name w:val="Body Text Indent Char"/>
    <w:basedOn w:val="DefaultParagraphFont"/>
    <w:link w:val="BodyTextIndent"/>
    <w:semiHidden/>
    <w:rsid w:val="008822C1"/>
    <w:rPr>
      <w:sz w:val="24"/>
      <w:szCs w:val="24"/>
    </w:rPr>
  </w:style>
  <w:style w:type="character" w:customStyle="1" w:styleId="BodyTextFirstIndent2Char">
    <w:name w:val="Body Text First Indent 2 Char"/>
    <w:basedOn w:val="BodyTextIndentChar"/>
    <w:link w:val="BodyTextFirstIndent2"/>
    <w:semiHidden/>
    <w:rsid w:val="008822C1"/>
    <w:rPr>
      <w:sz w:val="24"/>
      <w:szCs w:val="24"/>
    </w:rPr>
  </w:style>
  <w:style w:type="character" w:customStyle="1" w:styleId="BodyTextIndent2Char">
    <w:name w:val="Body Text Indent 2 Char"/>
    <w:basedOn w:val="DefaultParagraphFont"/>
    <w:link w:val="BodyTextIndent2"/>
    <w:semiHidden/>
    <w:rsid w:val="008822C1"/>
    <w:rPr>
      <w:sz w:val="24"/>
      <w:szCs w:val="24"/>
    </w:rPr>
  </w:style>
  <w:style w:type="character" w:customStyle="1" w:styleId="BodyTextIndent3Char">
    <w:name w:val="Body Text Indent 3 Char"/>
    <w:basedOn w:val="DefaultParagraphFont"/>
    <w:link w:val="BodyTextIndent3"/>
    <w:semiHidden/>
    <w:rsid w:val="008822C1"/>
    <w:rPr>
      <w:sz w:val="16"/>
      <w:szCs w:val="16"/>
    </w:rPr>
  </w:style>
  <w:style w:type="character" w:customStyle="1" w:styleId="ClosingChar">
    <w:name w:val="Closing Char"/>
    <w:basedOn w:val="DefaultParagraphFont"/>
    <w:link w:val="Closing"/>
    <w:semiHidden/>
    <w:rsid w:val="008822C1"/>
    <w:rPr>
      <w:sz w:val="24"/>
      <w:szCs w:val="24"/>
    </w:rPr>
  </w:style>
  <w:style w:type="character" w:customStyle="1" w:styleId="DateChar">
    <w:name w:val="Date Char"/>
    <w:basedOn w:val="DefaultParagraphFont"/>
    <w:link w:val="Date"/>
    <w:semiHidden/>
    <w:rsid w:val="008822C1"/>
    <w:rPr>
      <w:sz w:val="24"/>
      <w:szCs w:val="24"/>
    </w:rPr>
  </w:style>
  <w:style w:type="character" w:customStyle="1" w:styleId="E-mailSignatureChar">
    <w:name w:val="E-mail Signature Char"/>
    <w:basedOn w:val="DefaultParagraphFont"/>
    <w:link w:val="E-mailSignature"/>
    <w:semiHidden/>
    <w:rsid w:val="008822C1"/>
    <w:rPr>
      <w:sz w:val="24"/>
      <w:szCs w:val="24"/>
    </w:rPr>
  </w:style>
  <w:style w:type="character" w:styleId="Emphasis">
    <w:name w:val="Emphasis"/>
    <w:uiPriority w:val="20"/>
    <w:qFormat/>
    <w:rsid w:val="008822C1"/>
    <w:rPr>
      <w:i/>
      <w:iCs/>
    </w:rPr>
  </w:style>
  <w:style w:type="character" w:customStyle="1" w:styleId="HTMLAddressChar">
    <w:name w:val="HTML Address Char"/>
    <w:basedOn w:val="DefaultParagraphFont"/>
    <w:link w:val="HTMLAddress"/>
    <w:semiHidden/>
    <w:rsid w:val="008822C1"/>
    <w:rPr>
      <w:i/>
      <w:iCs/>
      <w:sz w:val="24"/>
      <w:szCs w:val="24"/>
    </w:rPr>
  </w:style>
  <w:style w:type="character" w:customStyle="1" w:styleId="HTMLPreformattedChar">
    <w:name w:val="HTML Preformatted Char"/>
    <w:basedOn w:val="DefaultParagraphFont"/>
    <w:link w:val="HTMLPreformatted"/>
    <w:semiHidden/>
    <w:rsid w:val="008822C1"/>
    <w:rPr>
      <w:rFonts w:ascii="Courier New" w:hAnsi="Courier New" w:cs="Courier New"/>
    </w:rPr>
  </w:style>
  <w:style w:type="character" w:customStyle="1" w:styleId="MessageHeaderChar">
    <w:name w:val="Message Header Char"/>
    <w:basedOn w:val="DefaultParagraphFont"/>
    <w:link w:val="MessageHeader"/>
    <w:semiHidden/>
    <w:rsid w:val="008822C1"/>
    <w:rPr>
      <w:rFonts w:cs="Arial"/>
      <w:sz w:val="24"/>
      <w:szCs w:val="24"/>
      <w:shd w:val="pct20" w:color="auto" w:fill="auto"/>
    </w:rPr>
  </w:style>
  <w:style w:type="character" w:customStyle="1" w:styleId="NoteHeadingChar">
    <w:name w:val="Note Heading Char"/>
    <w:basedOn w:val="DefaultParagraphFont"/>
    <w:link w:val="NoteHeading"/>
    <w:semiHidden/>
    <w:rsid w:val="008822C1"/>
    <w:rPr>
      <w:sz w:val="24"/>
      <w:szCs w:val="24"/>
    </w:rPr>
  </w:style>
  <w:style w:type="character" w:customStyle="1" w:styleId="PlainTextChar">
    <w:name w:val="Plain Text Char"/>
    <w:basedOn w:val="DefaultParagraphFont"/>
    <w:link w:val="PlainText"/>
    <w:semiHidden/>
    <w:rsid w:val="008822C1"/>
    <w:rPr>
      <w:rFonts w:ascii="Courier New" w:hAnsi="Courier New" w:cs="Courier New"/>
    </w:rPr>
  </w:style>
  <w:style w:type="character" w:customStyle="1" w:styleId="SalutationChar">
    <w:name w:val="Salutation Char"/>
    <w:basedOn w:val="DefaultParagraphFont"/>
    <w:link w:val="Salutation"/>
    <w:semiHidden/>
    <w:rsid w:val="008822C1"/>
    <w:rPr>
      <w:sz w:val="24"/>
      <w:szCs w:val="24"/>
    </w:rPr>
  </w:style>
  <w:style w:type="character" w:customStyle="1" w:styleId="SignatureChar">
    <w:name w:val="Signature Char"/>
    <w:basedOn w:val="DefaultParagraphFont"/>
    <w:link w:val="Signature"/>
    <w:semiHidden/>
    <w:rsid w:val="008822C1"/>
    <w:rPr>
      <w:sz w:val="24"/>
      <w:szCs w:val="24"/>
    </w:rPr>
  </w:style>
  <w:style w:type="character" w:customStyle="1" w:styleId="SubtitleChar">
    <w:name w:val="Subtitle Char"/>
    <w:basedOn w:val="DefaultParagraphFont"/>
    <w:link w:val="Subtitle"/>
    <w:rsid w:val="008822C1"/>
    <w:rPr>
      <w:rFonts w:cs="Arial"/>
      <w:sz w:val="24"/>
      <w:szCs w:val="24"/>
    </w:rPr>
  </w:style>
  <w:style w:type="character" w:customStyle="1" w:styleId="TitleChar">
    <w:name w:val="Title Char"/>
    <w:basedOn w:val="DefaultParagraphFont"/>
    <w:link w:val="Title"/>
    <w:rsid w:val="008822C1"/>
    <w:rPr>
      <w:rFonts w:cs="Arial"/>
      <w:b/>
      <w:bCs/>
      <w:kern w:val="28"/>
      <w:sz w:val="32"/>
      <w:szCs w:val="32"/>
    </w:rPr>
  </w:style>
  <w:style w:type="character" w:customStyle="1" w:styleId="BalloonTextChar">
    <w:name w:val="Balloon Text Char"/>
    <w:basedOn w:val="DefaultParagraphFont"/>
    <w:link w:val="BalloonText"/>
    <w:semiHidden/>
    <w:rsid w:val="008822C1"/>
    <w:rPr>
      <w:rFonts w:ascii="Tahoma" w:hAnsi="Tahoma" w:cs="Tahoma"/>
      <w:sz w:val="16"/>
      <w:szCs w:val="16"/>
      <w:lang w:eastAsia="en-US"/>
    </w:rPr>
  </w:style>
  <w:style w:type="character" w:customStyle="1" w:styleId="CommentSubjectChar">
    <w:name w:val="Comment Subject Char"/>
    <w:basedOn w:val="CommentTextChar"/>
    <w:link w:val="CommentSubject"/>
    <w:semiHidden/>
    <w:rsid w:val="008822C1"/>
    <w:rPr>
      <w:rFonts w:ascii="Times New Roman" w:hAnsi="Times New Roman"/>
      <w:b/>
      <w:bCs/>
      <w:lang w:eastAsia="en-US"/>
    </w:rPr>
  </w:style>
  <w:style w:type="character" w:customStyle="1" w:styleId="DocumentMapChar">
    <w:name w:val="Document Map Char"/>
    <w:basedOn w:val="DefaultParagraphFont"/>
    <w:link w:val="DocumentMap"/>
    <w:semiHidden/>
    <w:rsid w:val="008822C1"/>
    <w:rPr>
      <w:rFonts w:ascii="Tahoma" w:hAnsi="Tahoma" w:cs="Tahoma"/>
      <w:sz w:val="24"/>
      <w:shd w:val="clear" w:color="auto" w:fill="000080"/>
      <w:lang w:eastAsia="en-US"/>
    </w:rPr>
  </w:style>
  <w:style w:type="character" w:customStyle="1" w:styleId="EndnoteTextChar">
    <w:name w:val="Endnote Text Char"/>
    <w:basedOn w:val="DefaultParagraphFont"/>
    <w:link w:val="EndnoteText"/>
    <w:semiHidden/>
    <w:rsid w:val="008822C1"/>
    <w:rPr>
      <w:rFonts w:ascii="Script MT Bold" w:hAnsi="Script MT Bold"/>
      <w:color w:val="FF0000"/>
      <w:sz w:val="24"/>
      <w:u w:val="single"/>
      <w:lang w:eastAsia="en-US"/>
    </w:rPr>
  </w:style>
  <w:style w:type="character" w:customStyle="1" w:styleId="MacroTextChar">
    <w:name w:val="Macro Text Char"/>
    <w:basedOn w:val="DefaultParagraphFont"/>
    <w:link w:val="MacroText"/>
    <w:semiHidden/>
    <w:rsid w:val="008822C1"/>
    <w:rPr>
      <w:rFonts w:ascii="Script MT Bold" w:hAnsi="Script MT Bold" w:cs="Courier New"/>
      <w:color w:val="FF0000"/>
      <w:sz w:val="32"/>
      <w:szCs w:val="24"/>
      <w:u w:val="single"/>
      <w:lang w:eastAsia="en-US"/>
    </w:rPr>
  </w:style>
  <w:style w:type="character" w:customStyle="1" w:styleId="apple-converted-space">
    <w:name w:val="apple-converted-space"/>
    <w:basedOn w:val="DefaultParagraphFont"/>
    <w:rsid w:val="008822C1"/>
  </w:style>
  <w:style w:type="character" w:customStyle="1" w:styleId="s1">
    <w:name w:val="s1"/>
    <w:basedOn w:val="DefaultParagraphFont"/>
    <w:rsid w:val="0019294E"/>
  </w:style>
  <w:style w:type="paragraph" w:customStyle="1" w:styleId="p2">
    <w:name w:val="p2"/>
    <w:basedOn w:val="Normal"/>
    <w:rsid w:val="00082543"/>
    <w:pPr>
      <w:spacing w:after="128" w:line="195" w:lineRule="atLeast"/>
    </w:pPr>
    <w:rPr>
      <w:rFonts w:ascii="Roboto" w:hAnsi="Roboto"/>
      <w:sz w:val="17"/>
      <w:szCs w:val="17"/>
      <w:lang w:val="en-US" w:eastAsia="en-US"/>
    </w:rPr>
  </w:style>
  <w:style w:type="paragraph" w:customStyle="1" w:styleId="p3">
    <w:name w:val="p3"/>
    <w:basedOn w:val="Normal"/>
    <w:rsid w:val="00082543"/>
    <w:pPr>
      <w:spacing w:before="44" w:after="21" w:line="195" w:lineRule="atLeast"/>
      <w:ind w:left="128" w:hanging="128"/>
    </w:pPr>
    <w:rPr>
      <w:rFonts w:ascii="Roboto" w:hAnsi="Roboto"/>
      <w:sz w:val="17"/>
      <w:szCs w:val="17"/>
      <w:lang w:val="en-US" w:eastAsia="en-US"/>
    </w:rPr>
  </w:style>
  <w:style w:type="paragraph" w:customStyle="1" w:styleId="p4">
    <w:name w:val="p4"/>
    <w:basedOn w:val="Normal"/>
    <w:rsid w:val="00082543"/>
    <w:pPr>
      <w:spacing w:before="44" w:after="149" w:line="195" w:lineRule="atLeast"/>
      <w:ind w:left="128" w:hanging="128"/>
    </w:pPr>
    <w:rPr>
      <w:rFonts w:ascii="Roboto" w:hAnsi="Roboto"/>
      <w:sz w:val="17"/>
      <w:szCs w:val="17"/>
      <w:lang w:val="en-US" w:eastAsia="en-US"/>
    </w:rPr>
  </w:style>
  <w:style w:type="character" w:customStyle="1" w:styleId="s2">
    <w:name w:val="s2"/>
    <w:basedOn w:val="DefaultParagraphFont"/>
    <w:rsid w:val="00082543"/>
  </w:style>
  <w:style w:type="paragraph" w:customStyle="1" w:styleId="p5">
    <w:name w:val="p5"/>
    <w:basedOn w:val="Normal"/>
    <w:rsid w:val="00E2088A"/>
    <w:pPr>
      <w:spacing w:before="44" w:after="149" w:line="195" w:lineRule="atLeast"/>
      <w:ind w:left="128" w:hanging="128"/>
    </w:pPr>
    <w:rPr>
      <w:rFonts w:ascii="Roboto" w:hAnsi="Roboto"/>
      <w:sz w:val="17"/>
      <w:szCs w:val="17"/>
      <w:lang w:val="en-US" w:eastAsia="en-US"/>
    </w:rPr>
  </w:style>
  <w:style w:type="paragraph" w:customStyle="1" w:styleId="p6">
    <w:name w:val="p6"/>
    <w:basedOn w:val="Normal"/>
    <w:rsid w:val="00E2088A"/>
    <w:pPr>
      <w:spacing w:after="63" w:line="195" w:lineRule="atLeast"/>
    </w:pPr>
    <w:rPr>
      <w:rFonts w:ascii="Roboto" w:hAnsi="Roboto"/>
      <w:color w:val="B43DCC"/>
      <w:sz w:val="17"/>
      <w:szCs w:val="17"/>
      <w:lang w:val="en-US" w:eastAsia="en-US"/>
    </w:rPr>
  </w:style>
  <w:style w:type="paragraph" w:customStyle="1" w:styleId="p7">
    <w:name w:val="p7"/>
    <w:basedOn w:val="Normal"/>
    <w:rsid w:val="00E2088A"/>
    <w:pPr>
      <w:spacing w:after="128" w:line="195" w:lineRule="atLeast"/>
    </w:pPr>
    <w:rPr>
      <w:rFonts w:ascii="Roboto" w:hAnsi="Roboto"/>
      <w:color w:val="B43DCC"/>
      <w:sz w:val="17"/>
      <w:szCs w:val="17"/>
      <w:lang w:val="en-US" w:eastAsia="en-US"/>
    </w:rPr>
  </w:style>
  <w:style w:type="paragraph" w:customStyle="1" w:styleId="p8">
    <w:name w:val="p8"/>
    <w:basedOn w:val="Normal"/>
    <w:rsid w:val="00E2088A"/>
    <w:pPr>
      <w:spacing w:before="44" w:after="107" w:line="195" w:lineRule="atLeast"/>
    </w:pPr>
    <w:rPr>
      <w:rFonts w:ascii="Roboto" w:hAnsi="Roboto"/>
      <w:sz w:val="17"/>
      <w:szCs w:val="17"/>
      <w:lang w:val="en-US" w:eastAsia="en-US"/>
    </w:rPr>
  </w:style>
  <w:style w:type="character" w:customStyle="1" w:styleId="s3">
    <w:name w:val="s3"/>
    <w:basedOn w:val="DefaultParagraphFont"/>
    <w:rsid w:val="00E2088A"/>
    <w:rPr>
      <w:color w:val="000000"/>
    </w:rPr>
  </w:style>
  <w:style w:type="character" w:customStyle="1" w:styleId="apple-tab-span">
    <w:name w:val="apple-tab-span"/>
    <w:basedOn w:val="DefaultParagraphFont"/>
    <w:rsid w:val="00E20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00741">
      <w:bodyDiv w:val="1"/>
      <w:marLeft w:val="0"/>
      <w:marRight w:val="0"/>
      <w:marTop w:val="0"/>
      <w:marBottom w:val="0"/>
      <w:divBdr>
        <w:top w:val="none" w:sz="0" w:space="0" w:color="auto"/>
        <w:left w:val="none" w:sz="0" w:space="0" w:color="auto"/>
        <w:bottom w:val="none" w:sz="0" w:space="0" w:color="auto"/>
        <w:right w:val="none" w:sz="0" w:space="0" w:color="auto"/>
      </w:divBdr>
    </w:div>
    <w:div w:id="56713707">
      <w:bodyDiv w:val="1"/>
      <w:marLeft w:val="0"/>
      <w:marRight w:val="0"/>
      <w:marTop w:val="0"/>
      <w:marBottom w:val="0"/>
      <w:divBdr>
        <w:top w:val="none" w:sz="0" w:space="0" w:color="auto"/>
        <w:left w:val="none" w:sz="0" w:space="0" w:color="auto"/>
        <w:bottom w:val="none" w:sz="0" w:space="0" w:color="auto"/>
        <w:right w:val="none" w:sz="0" w:space="0" w:color="auto"/>
      </w:divBdr>
    </w:div>
    <w:div w:id="61148613">
      <w:bodyDiv w:val="1"/>
      <w:marLeft w:val="0"/>
      <w:marRight w:val="0"/>
      <w:marTop w:val="0"/>
      <w:marBottom w:val="0"/>
      <w:divBdr>
        <w:top w:val="none" w:sz="0" w:space="0" w:color="auto"/>
        <w:left w:val="none" w:sz="0" w:space="0" w:color="auto"/>
        <w:bottom w:val="none" w:sz="0" w:space="0" w:color="auto"/>
        <w:right w:val="none" w:sz="0" w:space="0" w:color="auto"/>
      </w:divBdr>
    </w:div>
    <w:div w:id="66266996">
      <w:bodyDiv w:val="1"/>
      <w:marLeft w:val="0"/>
      <w:marRight w:val="0"/>
      <w:marTop w:val="0"/>
      <w:marBottom w:val="0"/>
      <w:divBdr>
        <w:top w:val="none" w:sz="0" w:space="0" w:color="auto"/>
        <w:left w:val="none" w:sz="0" w:space="0" w:color="auto"/>
        <w:bottom w:val="none" w:sz="0" w:space="0" w:color="auto"/>
        <w:right w:val="none" w:sz="0" w:space="0" w:color="auto"/>
      </w:divBdr>
    </w:div>
    <w:div w:id="97138927">
      <w:bodyDiv w:val="1"/>
      <w:marLeft w:val="0"/>
      <w:marRight w:val="0"/>
      <w:marTop w:val="0"/>
      <w:marBottom w:val="0"/>
      <w:divBdr>
        <w:top w:val="none" w:sz="0" w:space="0" w:color="auto"/>
        <w:left w:val="none" w:sz="0" w:space="0" w:color="auto"/>
        <w:bottom w:val="none" w:sz="0" w:space="0" w:color="auto"/>
        <w:right w:val="none" w:sz="0" w:space="0" w:color="auto"/>
      </w:divBdr>
      <w:divsChild>
        <w:div w:id="647976785">
          <w:marLeft w:val="0"/>
          <w:marRight w:val="0"/>
          <w:marTop w:val="0"/>
          <w:marBottom w:val="0"/>
          <w:divBdr>
            <w:top w:val="none" w:sz="0" w:space="0" w:color="auto"/>
            <w:left w:val="none" w:sz="0" w:space="0" w:color="auto"/>
            <w:bottom w:val="none" w:sz="0" w:space="0" w:color="auto"/>
            <w:right w:val="none" w:sz="0" w:space="0" w:color="auto"/>
          </w:divBdr>
        </w:div>
        <w:div w:id="1156459833">
          <w:marLeft w:val="0"/>
          <w:marRight w:val="0"/>
          <w:marTop w:val="0"/>
          <w:marBottom w:val="0"/>
          <w:divBdr>
            <w:top w:val="none" w:sz="0" w:space="0" w:color="auto"/>
            <w:left w:val="none" w:sz="0" w:space="0" w:color="auto"/>
            <w:bottom w:val="none" w:sz="0" w:space="0" w:color="auto"/>
            <w:right w:val="none" w:sz="0" w:space="0" w:color="auto"/>
          </w:divBdr>
          <w:divsChild>
            <w:div w:id="180218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6590">
      <w:bodyDiv w:val="1"/>
      <w:marLeft w:val="0"/>
      <w:marRight w:val="0"/>
      <w:marTop w:val="0"/>
      <w:marBottom w:val="0"/>
      <w:divBdr>
        <w:top w:val="none" w:sz="0" w:space="0" w:color="auto"/>
        <w:left w:val="none" w:sz="0" w:space="0" w:color="auto"/>
        <w:bottom w:val="none" w:sz="0" w:space="0" w:color="auto"/>
        <w:right w:val="none" w:sz="0" w:space="0" w:color="auto"/>
      </w:divBdr>
    </w:div>
    <w:div w:id="142548719">
      <w:bodyDiv w:val="1"/>
      <w:marLeft w:val="0"/>
      <w:marRight w:val="0"/>
      <w:marTop w:val="0"/>
      <w:marBottom w:val="0"/>
      <w:divBdr>
        <w:top w:val="none" w:sz="0" w:space="0" w:color="auto"/>
        <w:left w:val="none" w:sz="0" w:space="0" w:color="auto"/>
        <w:bottom w:val="none" w:sz="0" w:space="0" w:color="auto"/>
        <w:right w:val="none" w:sz="0" w:space="0" w:color="auto"/>
      </w:divBdr>
    </w:div>
    <w:div w:id="143477530">
      <w:bodyDiv w:val="1"/>
      <w:marLeft w:val="0"/>
      <w:marRight w:val="0"/>
      <w:marTop w:val="0"/>
      <w:marBottom w:val="0"/>
      <w:divBdr>
        <w:top w:val="none" w:sz="0" w:space="0" w:color="auto"/>
        <w:left w:val="none" w:sz="0" w:space="0" w:color="auto"/>
        <w:bottom w:val="none" w:sz="0" w:space="0" w:color="auto"/>
        <w:right w:val="none" w:sz="0" w:space="0" w:color="auto"/>
      </w:divBdr>
    </w:div>
    <w:div w:id="171142390">
      <w:bodyDiv w:val="1"/>
      <w:marLeft w:val="0"/>
      <w:marRight w:val="0"/>
      <w:marTop w:val="0"/>
      <w:marBottom w:val="0"/>
      <w:divBdr>
        <w:top w:val="none" w:sz="0" w:space="0" w:color="auto"/>
        <w:left w:val="none" w:sz="0" w:space="0" w:color="auto"/>
        <w:bottom w:val="none" w:sz="0" w:space="0" w:color="auto"/>
        <w:right w:val="none" w:sz="0" w:space="0" w:color="auto"/>
      </w:divBdr>
    </w:div>
    <w:div w:id="191118879">
      <w:bodyDiv w:val="1"/>
      <w:marLeft w:val="0"/>
      <w:marRight w:val="0"/>
      <w:marTop w:val="0"/>
      <w:marBottom w:val="0"/>
      <w:divBdr>
        <w:top w:val="none" w:sz="0" w:space="0" w:color="auto"/>
        <w:left w:val="none" w:sz="0" w:space="0" w:color="auto"/>
        <w:bottom w:val="none" w:sz="0" w:space="0" w:color="auto"/>
        <w:right w:val="none" w:sz="0" w:space="0" w:color="auto"/>
      </w:divBdr>
      <w:divsChild>
        <w:div w:id="926231165">
          <w:marLeft w:val="0"/>
          <w:marRight w:val="0"/>
          <w:marTop w:val="0"/>
          <w:marBottom w:val="0"/>
          <w:divBdr>
            <w:top w:val="none" w:sz="0" w:space="0" w:color="auto"/>
            <w:left w:val="none" w:sz="0" w:space="0" w:color="auto"/>
            <w:bottom w:val="none" w:sz="0" w:space="0" w:color="auto"/>
            <w:right w:val="none" w:sz="0" w:space="0" w:color="auto"/>
          </w:divBdr>
        </w:div>
        <w:div w:id="1689604630">
          <w:marLeft w:val="0"/>
          <w:marRight w:val="0"/>
          <w:marTop w:val="0"/>
          <w:marBottom w:val="0"/>
          <w:divBdr>
            <w:top w:val="none" w:sz="0" w:space="0" w:color="auto"/>
            <w:left w:val="none" w:sz="0" w:space="0" w:color="auto"/>
            <w:bottom w:val="none" w:sz="0" w:space="0" w:color="auto"/>
            <w:right w:val="none" w:sz="0" w:space="0" w:color="auto"/>
          </w:divBdr>
        </w:div>
      </w:divsChild>
    </w:div>
    <w:div w:id="195317132">
      <w:bodyDiv w:val="1"/>
      <w:marLeft w:val="0"/>
      <w:marRight w:val="0"/>
      <w:marTop w:val="0"/>
      <w:marBottom w:val="0"/>
      <w:divBdr>
        <w:top w:val="none" w:sz="0" w:space="0" w:color="auto"/>
        <w:left w:val="none" w:sz="0" w:space="0" w:color="auto"/>
        <w:bottom w:val="none" w:sz="0" w:space="0" w:color="auto"/>
        <w:right w:val="none" w:sz="0" w:space="0" w:color="auto"/>
      </w:divBdr>
      <w:divsChild>
        <w:div w:id="589509249">
          <w:marLeft w:val="0"/>
          <w:marRight w:val="0"/>
          <w:marTop w:val="0"/>
          <w:marBottom w:val="0"/>
          <w:divBdr>
            <w:top w:val="none" w:sz="0" w:space="0" w:color="auto"/>
            <w:left w:val="none" w:sz="0" w:space="0" w:color="auto"/>
            <w:bottom w:val="none" w:sz="0" w:space="0" w:color="auto"/>
            <w:right w:val="none" w:sz="0" w:space="0" w:color="auto"/>
          </w:divBdr>
          <w:divsChild>
            <w:div w:id="62918107">
              <w:marLeft w:val="0"/>
              <w:marRight w:val="0"/>
              <w:marTop w:val="0"/>
              <w:marBottom w:val="0"/>
              <w:divBdr>
                <w:top w:val="none" w:sz="0" w:space="0" w:color="auto"/>
                <w:left w:val="none" w:sz="0" w:space="0" w:color="auto"/>
                <w:bottom w:val="none" w:sz="0" w:space="0" w:color="auto"/>
                <w:right w:val="none" w:sz="0" w:space="0" w:color="auto"/>
              </w:divBdr>
            </w:div>
            <w:div w:id="64666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853544">
      <w:bodyDiv w:val="1"/>
      <w:marLeft w:val="0"/>
      <w:marRight w:val="0"/>
      <w:marTop w:val="0"/>
      <w:marBottom w:val="0"/>
      <w:divBdr>
        <w:top w:val="none" w:sz="0" w:space="0" w:color="auto"/>
        <w:left w:val="none" w:sz="0" w:space="0" w:color="auto"/>
        <w:bottom w:val="none" w:sz="0" w:space="0" w:color="auto"/>
        <w:right w:val="none" w:sz="0" w:space="0" w:color="auto"/>
      </w:divBdr>
    </w:div>
    <w:div w:id="230622285">
      <w:bodyDiv w:val="1"/>
      <w:marLeft w:val="0"/>
      <w:marRight w:val="0"/>
      <w:marTop w:val="0"/>
      <w:marBottom w:val="0"/>
      <w:divBdr>
        <w:top w:val="none" w:sz="0" w:space="0" w:color="auto"/>
        <w:left w:val="none" w:sz="0" w:space="0" w:color="auto"/>
        <w:bottom w:val="none" w:sz="0" w:space="0" w:color="auto"/>
        <w:right w:val="none" w:sz="0" w:space="0" w:color="auto"/>
      </w:divBdr>
    </w:div>
    <w:div w:id="236593643">
      <w:bodyDiv w:val="1"/>
      <w:marLeft w:val="0"/>
      <w:marRight w:val="0"/>
      <w:marTop w:val="0"/>
      <w:marBottom w:val="0"/>
      <w:divBdr>
        <w:top w:val="none" w:sz="0" w:space="0" w:color="auto"/>
        <w:left w:val="none" w:sz="0" w:space="0" w:color="auto"/>
        <w:bottom w:val="none" w:sz="0" w:space="0" w:color="auto"/>
        <w:right w:val="none" w:sz="0" w:space="0" w:color="auto"/>
      </w:divBdr>
    </w:div>
    <w:div w:id="289701801">
      <w:bodyDiv w:val="1"/>
      <w:marLeft w:val="0"/>
      <w:marRight w:val="0"/>
      <w:marTop w:val="0"/>
      <w:marBottom w:val="0"/>
      <w:divBdr>
        <w:top w:val="none" w:sz="0" w:space="0" w:color="auto"/>
        <w:left w:val="none" w:sz="0" w:space="0" w:color="auto"/>
        <w:bottom w:val="none" w:sz="0" w:space="0" w:color="auto"/>
        <w:right w:val="none" w:sz="0" w:space="0" w:color="auto"/>
      </w:divBdr>
      <w:divsChild>
        <w:div w:id="997000560">
          <w:marLeft w:val="0"/>
          <w:marRight w:val="0"/>
          <w:marTop w:val="0"/>
          <w:marBottom w:val="0"/>
          <w:divBdr>
            <w:top w:val="none" w:sz="0" w:space="0" w:color="auto"/>
            <w:left w:val="none" w:sz="0" w:space="0" w:color="auto"/>
            <w:bottom w:val="none" w:sz="0" w:space="0" w:color="auto"/>
            <w:right w:val="none" w:sz="0" w:space="0" w:color="auto"/>
          </w:divBdr>
          <w:divsChild>
            <w:div w:id="1418361396">
              <w:marLeft w:val="0"/>
              <w:marRight w:val="0"/>
              <w:marTop w:val="0"/>
              <w:marBottom w:val="0"/>
              <w:divBdr>
                <w:top w:val="none" w:sz="0" w:space="0" w:color="auto"/>
                <w:left w:val="none" w:sz="0" w:space="0" w:color="auto"/>
                <w:bottom w:val="none" w:sz="0" w:space="0" w:color="auto"/>
                <w:right w:val="none" w:sz="0" w:space="0" w:color="auto"/>
              </w:divBdr>
            </w:div>
          </w:divsChild>
        </w:div>
        <w:div w:id="1812943056">
          <w:marLeft w:val="0"/>
          <w:marRight w:val="0"/>
          <w:marTop w:val="0"/>
          <w:marBottom w:val="0"/>
          <w:divBdr>
            <w:top w:val="none" w:sz="0" w:space="0" w:color="auto"/>
            <w:left w:val="none" w:sz="0" w:space="0" w:color="auto"/>
            <w:bottom w:val="none" w:sz="0" w:space="0" w:color="auto"/>
            <w:right w:val="none" w:sz="0" w:space="0" w:color="auto"/>
          </w:divBdr>
        </w:div>
      </w:divsChild>
    </w:div>
    <w:div w:id="315768016">
      <w:bodyDiv w:val="1"/>
      <w:marLeft w:val="0"/>
      <w:marRight w:val="0"/>
      <w:marTop w:val="0"/>
      <w:marBottom w:val="0"/>
      <w:divBdr>
        <w:top w:val="none" w:sz="0" w:space="0" w:color="auto"/>
        <w:left w:val="none" w:sz="0" w:space="0" w:color="auto"/>
        <w:bottom w:val="none" w:sz="0" w:space="0" w:color="auto"/>
        <w:right w:val="none" w:sz="0" w:space="0" w:color="auto"/>
      </w:divBdr>
    </w:div>
    <w:div w:id="342052087">
      <w:bodyDiv w:val="1"/>
      <w:marLeft w:val="0"/>
      <w:marRight w:val="0"/>
      <w:marTop w:val="0"/>
      <w:marBottom w:val="0"/>
      <w:divBdr>
        <w:top w:val="none" w:sz="0" w:space="0" w:color="auto"/>
        <w:left w:val="none" w:sz="0" w:space="0" w:color="auto"/>
        <w:bottom w:val="none" w:sz="0" w:space="0" w:color="auto"/>
        <w:right w:val="none" w:sz="0" w:space="0" w:color="auto"/>
      </w:divBdr>
    </w:div>
    <w:div w:id="363486539">
      <w:bodyDiv w:val="1"/>
      <w:marLeft w:val="0"/>
      <w:marRight w:val="0"/>
      <w:marTop w:val="0"/>
      <w:marBottom w:val="0"/>
      <w:divBdr>
        <w:top w:val="none" w:sz="0" w:space="0" w:color="auto"/>
        <w:left w:val="none" w:sz="0" w:space="0" w:color="auto"/>
        <w:bottom w:val="none" w:sz="0" w:space="0" w:color="auto"/>
        <w:right w:val="none" w:sz="0" w:space="0" w:color="auto"/>
      </w:divBdr>
      <w:divsChild>
        <w:div w:id="463040559">
          <w:marLeft w:val="0"/>
          <w:marRight w:val="0"/>
          <w:marTop w:val="0"/>
          <w:marBottom w:val="0"/>
          <w:divBdr>
            <w:top w:val="none" w:sz="0" w:space="0" w:color="auto"/>
            <w:left w:val="none" w:sz="0" w:space="0" w:color="auto"/>
            <w:bottom w:val="none" w:sz="0" w:space="0" w:color="auto"/>
            <w:right w:val="none" w:sz="0" w:space="0" w:color="auto"/>
          </w:divBdr>
        </w:div>
        <w:div w:id="1805922238">
          <w:marLeft w:val="0"/>
          <w:marRight w:val="0"/>
          <w:marTop w:val="0"/>
          <w:marBottom w:val="0"/>
          <w:divBdr>
            <w:top w:val="none" w:sz="0" w:space="0" w:color="auto"/>
            <w:left w:val="none" w:sz="0" w:space="0" w:color="auto"/>
            <w:bottom w:val="none" w:sz="0" w:space="0" w:color="auto"/>
            <w:right w:val="none" w:sz="0" w:space="0" w:color="auto"/>
          </w:divBdr>
        </w:div>
      </w:divsChild>
    </w:div>
    <w:div w:id="408385946">
      <w:bodyDiv w:val="1"/>
      <w:marLeft w:val="0"/>
      <w:marRight w:val="0"/>
      <w:marTop w:val="0"/>
      <w:marBottom w:val="0"/>
      <w:divBdr>
        <w:top w:val="none" w:sz="0" w:space="0" w:color="auto"/>
        <w:left w:val="none" w:sz="0" w:space="0" w:color="auto"/>
        <w:bottom w:val="none" w:sz="0" w:space="0" w:color="auto"/>
        <w:right w:val="none" w:sz="0" w:space="0" w:color="auto"/>
      </w:divBdr>
    </w:div>
    <w:div w:id="410927646">
      <w:bodyDiv w:val="1"/>
      <w:marLeft w:val="0"/>
      <w:marRight w:val="0"/>
      <w:marTop w:val="0"/>
      <w:marBottom w:val="0"/>
      <w:divBdr>
        <w:top w:val="none" w:sz="0" w:space="0" w:color="auto"/>
        <w:left w:val="none" w:sz="0" w:space="0" w:color="auto"/>
        <w:bottom w:val="none" w:sz="0" w:space="0" w:color="auto"/>
        <w:right w:val="none" w:sz="0" w:space="0" w:color="auto"/>
      </w:divBdr>
    </w:div>
    <w:div w:id="419984792">
      <w:bodyDiv w:val="1"/>
      <w:marLeft w:val="0"/>
      <w:marRight w:val="0"/>
      <w:marTop w:val="0"/>
      <w:marBottom w:val="0"/>
      <w:divBdr>
        <w:top w:val="none" w:sz="0" w:space="0" w:color="auto"/>
        <w:left w:val="none" w:sz="0" w:space="0" w:color="auto"/>
        <w:bottom w:val="none" w:sz="0" w:space="0" w:color="auto"/>
        <w:right w:val="none" w:sz="0" w:space="0" w:color="auto"/>
      </w:divBdr>
    </w:div>
    <w:div w:id="420178643">
      <w:bodyDiv w:val="1"/>
      <w:marLeft w:val="0"/>
      <w:marRight w:val="0"/>
      <w:marTop w:val="0"/>
      <w:marBottom w:val="0"/>
      <w:divBdr>
        <w:top w:val="none" w:sz="0" w:space="0" w:color="auto"/>
        <w:left w:val="none" w:sz="0" w:space="0" w:color="auto"/>
        <w:bottom w:val="none" w:sz="0" w:space="0" w:color="auto"/>
        <w:right w:val="none" w:sz="0" w:space="0" w:color="auto"/>
      </w:divBdr>
    </w:div>
    <w:div w:id="449129151">
      <w:bodyDiv w:val="1"/>
      <w:marLeft w:val="0"/>
      <w:marRight w:val="0"/>
      <w:marTop w:val="0"/>
      <w:marBottom w:val="0"/>
      <w:divBdr>
        <w:top w:val="none" w:sz="0" w:space="0" w:color="auto"/>
        <w:left w:val="none" w:sz="0" w:space="0" w:color="auto"/>
        <w:bottom w:val="none" w:sz="0" w:space="0" w:color="auto"/>
        <w:right w:val="none" w:sz="0" w:space="0" w:color="auto"/>
      </w:divBdr>
    </w:div>
    <w:div w:id="449209329">
      <w:bodyDiv w:val="1"/>
      <w:marLeft w:val="0"/>
      <w:marRight w:val="0"/>
      <w:marTop w:val="0"/>
      <w:marBottom w:val="0"/>
      <w:divBdr>
        <w:top w:val="none" w:sz="0" w:space="0" w:color="auto"/>
        <w:left w:val="none" w:sz="0" w:space="0" w:color="auto"/>
        <w:bottom w:val="none" w:sz="0" w:space="0" w:color="auto"/>
        <w:right w:val="none" w:sz="0" w:space="0" w:color="auto"/>
      </w:divBdr>
      <w:divsChild>
        <w:div w:id="190270817">
          <w:blockQuote w:val="1"/>
          <w:marLeft w:val="600"/>
          <w:marRight w:val="0"/>
          <w:marTop w:val="0"/>
          <w:marBottom w:val="0"/>
          <w:divBdr>
            <w:top w:val="none" w:sz="0" w:space="0" w:color="auto"/>
            <w:left w:val="none" w:sz="0" w:space="0" w:color="auto"/>
            <w:bottom w:val="none" w:sz="0" w:space="0" w:color="auto"/>
            <w:right w:val="none" w:sz="0" w:space="0" w:color="auto"/>
          </w:divBdr>
          <w:divsChild>
            <w:div w:id="7565961">
              <w:marLeft w:val="0"/>
              <w:marRight w:val="0"/>
              <w:marTop w:val="0"/>
              <w:marBottom w:val="0"/>
              <w:divBdr>
                <w:top w:val="none" w:sz="0" w:space="0" w:color="auto"/>
                <w:left w:val="none" w:sz="0" w:space="0" w:color="auto"/>
                <w:bottom w:val="none" w:sz="0" w:space="0" w:color="auto"/>
                <w:right w:val="none" w:sz="0" w:space="0" w:color="auto"/>
              </w:divBdr>
            </w:div>
            <w:div w:id="11146600">
              <w:marLeft w:val="0"/>
              <w:marRight w:val="0"/>
              <w:marTop w:val="0"/>
              <w:marBottom w:val="0"/>
              <w:divBdr>
                <w:top w:val="none" w:sz="0" w:space="0" w:color="auto"/>
                <w:left w:val="none" w:sz="0" w:space="0" w:color="auto"/>
                <w:bottom w:val="none" w:sz="0" w:space="0" w:color="auto"/>
                <w:right w:val="none" w:sz="0" w:space="0" w:color="auto"/>
              </w:divBdr>
            </w:div>
            <w:div w:id="747532265">
              <w:marLeft w:val="0"/>
              <w:marRight w:val="0"/>
              <w:marTop w:val="0"/>
              <w:marBottom w:val="0"/>
              <w:divBdr>
                <w:top w:val="none" w:sz="0" w:space="0" w:color="auto"/>
                <w:left w:val="none" w:sz="0" w:space="0" w:color="auto"/>
                <w:bottom w:val="none" w:sz="0" w:space="0" w:color="auto"/>
                <w:right w:val="none" w:sz="0" w:space="0" w:color="auto"/>
              </w:divBdr>
            </w:div>
            <w:div w:id="1094206469">
              <w:marLeft w:val="0"/>
              <w:marRight w:val="0"/>
              <w:marTop w:val="0"/>
              <w:marBottom w:val="0"/>
              <w:divBdr>
                <w:top w:val="none" w:sz="0" w:space="0" w:color="auto"/>
                <w:left w:val="none" w:sz="0" w:space="0" w:color="auto"/>
                <w:bottom w:val="none" w:sz="0" w:space="0" w:color="auto"/>
                <w:right w:val="none" w:sz="0" w:space="0" w:color="auto"/>
              </w:divBdr>
            </w:div>
            <w:div w:id="1419670386">
              <w:marLeft w:val="0"/>
              <w:marRight w:val="0"/>
              <w:marTop w:val="0"/>
              <w:marBottom w:val="0"/>
              <w:divBdr>
                <w:top w:val="none" w:sz="0" w:space="0" w:color="auto"/>
                <w:left w:val="none" w:sz="0" w:space="0" w:color="auto"/>
                <w:bottom w:val="none" w:sz="0" w:space="0" w:color="auto"/>
                <w:right w:val="none" w:sz="0" w:space="0" w:color="auto"/>
              </w:divBdr>
            </w:div>
            <w:div w:id="1661689899">
              <w:marLeft w:val="0"/>
              <w:marRight w:val="0"/>
              <w:marTop w:val="0"/>
              <w:marBottom w:val="0"/>
              <w:divBdr>
                <w:top w:val="none" w:sz="0" w:space="0" w:color="auto"/>
                <w:left w:val="none" w:sz="0" w:space="0" w:color="auto"/>
                <w:bottom w:val="none" w:sz="0" w:space="0" w:color="auto"/>
                <w:right w:val="none" w:sz="0" w:space="0" w:color="auto"/>
              </w:divBdr>
            </w:div>
            <w:div w:id="1860701407">
              <w:marLeft w:val="0"/>
              <w:marRight w:val="0"/>
              <w:marTop w:val="0"/>
              <w:marBottom w:val="0"/>
              <w:divBdr>
                <w:top w:val="none" w:sz="0" w:space="0" w:color="auto"/>
                <w:left w:val="none" w:sz="0" w:space="0" w:color="auto"/>
                <w:bottom w:val="none" w:sz="0" w:space="0" w:color="auto"/>
                <w:right w:val="none" w:sz="0" w:space="0" w:color="auto"/>
              </w:divBdr>
            </w:div>
          </w:divsChild>
        </w:div>
        <w:div w:id="217741253">
          <w:blockQuote w:val="1"/>
          <w:marLeft w:val="600"/>
          <w:marRight w:val="0"/>
          <w:marTop w:val="0"/>
          <w:marBottom w:val="0"/>
          <w:divBdr>
            <w:top w:val="none" w:sz="0" w:space="0" w:color="auto"/>
            <w:left w:val="none" w:sz="0" w:space="0" w:color="auto"/>
            <w:bottom w:val="none" w:sz="0" w:space="0" w:color="auto"/>
            <w:right w:val="none" w:sz="0" w:space="0" w:color="auto"/>
          </w:divBdr>
          <w:divsChild>
            <w:div w:id="940336028">
              <w:marLeft w:val="0"/>
              <w:marRight w:val="0"/>
              <w:marTop w:val="0"/>
              <w:marBottom w:val="0"/>
              <w:divBdr>
                <w:top w:val="none" w:sz="0" w:space="0" w:color="auto"/>
                <w:left w:val="none" w:sz="0" w:space="0" w:color="auto"/>
                <w:bottom w:val="none" w:sz="0" w:space="0" w:color="auto"/>
                <w:right w:val="none" w:sz="0" w:space="0" w:color="auto"/>
              </w:divBdr>
            </w:div>
          </w:divsChild>
        </w:div>
        <w:div w:id="639186359">
          <w:marLeft w:val="0"/>
          <w:marRight w:val="0"/>
          <w:marTop w:val="0"/>
          <w:marBottom w:val="0"/>
          <w:divBdr>
            <w:top w:val="none" w:sz="0" w:space="0" w:color="auto"/>
            <w:left w:val="none" w:sz="0" w:space="0" w:color="auto"/>
            <w:bottom w:val="none" w:sz="0" w:space="0" w:color="auto"/>
            <w:right w:val="none" w:sz="0" w:space="0" w:color="auto"/>
          </w:divBdr>
        </w:div>
      </w:divsChild>
    </w:div>
    <w:div w:id="456263761">
      <w:bodyDiv w:val="1"/>
      <w:marLeft w:val="0"/>
      <w:marRight w:val="0"/>
      <w:marTop w:val="0"/>
      <w:marBottom w:val="0"/>
      <w:divBdr>
        <w:top w:val="none" w:sz="0" w:space="0" w:color="auto"/>
        <w:left w:val="none" w:sz="0" w:space="0" w:color="auto"/>
        <w:bottom w:val="none" w:sz="0" w:space="0" w:color="auto"/>
        <w:right w:val="none" w:sz="0" w:space="0" w:color="auto"/>
      </w:divBdr>
    </w:div>
    <w:div w:id="527762217">
      <w:bodyDiv w:val="1"/>
      <w:marLeft w:val="0"/>
      <w:marRight w:val="0"/>
      <w:marTop w:val="0"/>
      <w:marBottom w:val="0"/>
      <w:divBdr>
        <w:top w:val="none" w:sz="0" w:space="0" w:color="auto"/>
        <w:left w:val="none" w:sz="0" w:space="0" w:color="auto"/>
        <w:bottom w:val="none" w:sz="0" w:space="0" w:color="auto"/>
        <w:right w:val="none" w:sz="0" w:space="0" w:color="auto"/>
      </w:divBdr>
    </w:div>
    <w:div w:id="528684297">
      <w:bodyDiv w:val="1"/>
      <w:marLeft w:val="0"/>
      <w:marRight w:val="0"/>
      <w:marTop w:val="0"/>
      <w:marBottom w:val="0"/>
      <w:divBdr>
        <w:top w:val="none" w:sz="0" w:space="0" w:color="auto"/>
        <w:left w:val="none" w:sz="0" w:space="0" w:color="auto"/>
        <w:bottom w:val="none" w:sz="0" w:space="0" w:color="auto"/>
        <w:right w:val="none" w:sz="0" w:space="0" w:color="auto"/>
      </w:divBdr>
    </w:div>
    <w:div w:id="556279992">
      <w:bodyDiv w:val="1"/>
      <w:marLeft w:val="0"/>
      <w:marRight w:val="0"/>
      <w:marTop w:val="0"/>
      <w:marBottom w:val="0"/>
      <w:divBdr>
        <w:top w:val="none" w:sz="0" w:space="0" w:color="auto"/>
        <w:left w:val="none" w:sz="0" w:space="0" w:color="auto"/>
        <w:bottom w:val="none" w:sz="0" w:space="0" w:color="auto"/>
        <w:right w:val="none" w:sz="0" w:space="0" w:color="auto"/>
      </w:divBdr>
      <w:divsChild>
        <w:div w:id="1888107461">
          <w:blockQuote w:val="1"/>
          <w:marLeft w:val="600"/>
          <w:marRight w:val="0"/>
          <w:marTop w:val="0"/>
          <w:marBottom w:val="0"/>
          <w:divBdr>
            <w:top w:val="none" w:sz="0" w:space="0" w:color="auto"/>
            <w:left w:val="none" w:sz="0" w:space="0" w:color="auto"/>
            <w:bottom w:val="none" w:sz="0" w:space="0" w:color="auto"/>
            <w:right w:val="none" w:sz="0" w:space="0" w:color="auto"/>
          </w:divBdr>
          <w:divsChild>
            <w:div w:id="256405240">
              <w:marLeft w:val="0"/>
              <w:marRight w:val="0"/>
              <w:marTop w:val="0"/>
              <w:marBottom w:val="0"/>
              <w:divBdr>
                <w:top w:val="none" w:sz="0" w:space="0" w:color="auto"/>
                <w:left w:val="none" w:sz="0" w:space="0" w:color="auto"/>
                <w:bottom w:val="none" w:sz="0" w:space="0" w:color="auto"/>
                <w:right w:val="none" w:sz="0" w:space="0" w:color="auto"/>
              </w:divBdr>
            </w:div>
            <w:div w:id="418841223">
              <w:marLeft w:val="0"/>
              <w:marRight w:val="0"/>
              <w:marTop w:val="0"/>
              <w:marBottom w:val="0"/>
              <w:divBdr>
                <w:top w:val="none" w:sz="0" w:space="0" w:color="auto"/>
                <w:left w:val="none" w:sz="0" w:space="0" w:color="auto"/>
                <w:bottom w:val="none" w:sz="0" w:space="0" w:color="auto"/>
                <w:right w:val="none" w:sz="0" w:space="0" w:color="auto"/>
              </w:divBdr>
            </w:div>
            <w:div w:id="876624172">
              <w:marLeft w:val="0"/>
              <w:marRight w:val="0"/>
              <w:marTop w:val="0"/>
              <w:marBottom w:val="0"/>
              <w:divBdr>
                <w:top w:val="none" w:sz="0" w:space="0" w:color="auto"/>
                <w:left w:val="none" w:sz="0" w:space="0" w:color="auto"/>
                <w:bottom w:val="none" w:sz="0" w:space="0" w:color="auto"/>
                <w:right w:val="none" w:sz="0" w:space="0" w:color="auto"/>
              </w:divBdr>
            </w:div>
            <w:div w:id="1246036348">
              <w:marLeft w:val="0"/>
              <w:marRight w:val="0"/>
              <w:marTop w:val="0"/>
              <w:marBottom w:val="0"/>
              <w:divBdr>
                <w:top w:val="none" w:sz="0" w:space="0" w:color="auto"/>
                <w:left w:val="none" w:sz="0" w:space="0" w:color="auto"/>
                <w:bottom w:val="none" w:sz="0" w:space="0" w:color="auto"/>
                <w:right w:val="none" w:sz="0" w:space="0" w:color="auto"/>
              </w:divBdr>
            </w:div>
            <w:div w:id="1438718964">
              <w:marLeft w:val="0"/>
              <w:marRight w:val="0"/>
              <w:marTop w:val="0"/>
              <w:marBottom w:val="0"/>
              <w:divBdr>
                <w:top w:val="none" w:sz="0" w:space="0" w:color="auto"/>
                <w:left w:val="none" w:sz="0" w:space="0" w:color="auto"/>
                <w:bottom w:val="none" w:sz="0" w:space="0" w:color="auto"/>
                <w:right w:val="none" w:sz="0" w:space="0" w:color="auto"/>
              </w:divBdr>
            </w:div>
            <w:div w:id="1896236175">
              <w:marLeft w:val="0"/>
              <w:marRight w:val="0"/>
              <w:marTop w:val="0"/>
              <w:marBottom w:val="0"/>
              <w:divBdr>
                <w:top w:val="none" w:sz="0" w:space="0" w:color="auto"/>
                <w:left w:val="none" w:sz="0" w:space="0" w:color="auto"/>
                <w:bottom w:val="none" w:sz="0" w:space="0" w:color="auto"/>
                <w:right w:val="none" w:sz="0" w:space="0" w:color="auto"/>
              </w:divBdr>
            </w:div>
            <w:div w:id="2020346945">
              <w:marLeft w:val="0"/>
              <w:marRight w:val="0"/>
              <w:marTop w:val="0"/>
              <w:marBottom w:val="0"/>
              <w:divBdr>
                <w:top w:val="none" w:sz="0" w:space="0" w:color="auto"/>
                <w:left w:val="none" w:sz="0" w:space="0" w:color="auto"/>
                <w:bottom w:val="none" w:sz="0" w:space="0" w:color="auto"/>
                <w:right w:val="none" w:sz="0" w:space="0" w:color="auto"/>
              </w:divBdr>
            </w:div>
          </w:divsChild>
        </w:div>
        <w:div w:id="2035574268">
          <w:blockQuote w:val="1"/>
          <w:marLeft w:val="600"/>
          <w:marRight w:val="0"/>
          <w:marTop w:val="0"/>
          <w:marBottom w:val="0"/>
          <w:divBdr>
            <w:top w:val="none" w:sz="0" w:space="0" w:color="auto"/>
            <w:left w:val="none" w:sz="0" w:space="0" w:color="auto"/>
            <w:bottom w:val="none" w:sz="0" w:space="0" w:color="auto"/>
            <w:right w:val="none" w:sz="0" w:space="0" w:color="auto"/>
          </w:divBdr>
          <w:divsChild>
            <w:div w:id="133656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872126">
      <w:bodyDiv w:val="1"/>
      <w:marLeft w:val="0"/>
      <w:marRight w:val="0"/>
      <w:marTop w:val="0"/>
      <w:marBottom w:val="0"/>
      <w:divBdr>
        <w:top w:val="none" w:sz="0" w:space="0" w:color="auto"/>
        <w:left w:val="none" w:sz="0" w:space="0" w:color="auto"/>
        <w:bottom w:val="none" w:sz="0" w:space="0" w:color="auto"/>
        <w:right w:val="none" w:sz="0" w:space="0" w:color="auto"/>
      </w:divBdr>
    </w:div>
    <w:div w:id="654603001">
      <w:bodyDiv w:val="1"/>
      <w:marLeft w:val="0"/>
      <w:marRight w:val="0"/>
      <w:marTop w:val="0"/>
      <w:marBottom w:val="0"/>
      <w:divBdr>
        <w:top w:val="none" w:sz="0" w:space="0" w:color="auto"/>
        <w:left w:val="none" w:sz="0" w:space="0" w:color="auto"/>
        <w:bottom w:val="none" w:sz="0" w:space="0" w:color="auto"/>
        <w:right w:val="none" w:sz="0" w:space="0" w:color="auto"/>
      </w:divBdr>
    </w:div>
    <w:div w:id="662978216">
      <w:bodyDiv w:val="1"/>
      <w:marLeft w:val="0"/>
      <w:marRight w:val="0"/>
      <w:marTop w:val="0"/>
      <w:marBottom w:val="0"/>
      <w:divBdr>
        <w:top w:val="none" w:sz="0" w:space="0" w:color="auto"/>
        <w:left w:val="none" w:sz="0" w:space="0" w:color="auto"/>
        <w:bottom w:val="none" w:sz="0" w:space="0" w:color="auto"/>
        <w:right w:val="none" w:sz="0" w:space="0" w:color="auto"/>
      </w:divBdr>
    </w:div>
    <w:div w:id="681205503">
      <w:bodyDiv w:val="1"/>
      <w:marLeft w:val="0"/>
      <w:marRight w:val="0"/>
      <w:marTop w:val="0"/>
      <w:marBottom w:val="0"/>
      <w:divBdr>
        <w:top w:val="none" w:sz="0" w:space="0" w:color="auto"/>
        <w:left w:val="none" w:sz="0" w:space="0" w:color="auto"/>
        <w:bottom w:val="none" w:sz="0" w:space="0" w:color="auto"/>
        <w:right w:val="none" w:sz="0" w:space="0" w:color="auto"/>
      </w:divBdr>
    </w:div>
    <w:div w:id="695351899">
      <w:bodyDiv w:val="1"/>
      <w:marLeft w:val="0"/>
      <w:marRight w:val="0"/>
      <w:marTop w:val="0"/>
      <w:marBottom w:val="0"/>
      <w:divBdr>
        <w:top w:val="none" w:sz="0" w:space="0" w:color="auto"/>
        <w:left w:val="none" w:sz="0" w:space="0" w:color="auto"/>
        <w:bottom w:val="none" w:sz="0" w:space="0" w:color="auto"/>
        <w:right w:val="none" w:sz="0" w:space="0" w:color="auto"/>
      </w:divBdr>
    </w:div>
    <w:div w:id="701829744">
      <w:bodyDiv w:val="1"/>
      <w:marLeft w:val="0"/>
      <w:marRight w:val="0"/>
      <w:marTop w:val="0"/>
      <w:marBottom w:val="0"/>
      <w:divBdr>
        <w:top w:val="none" w:sz="0" w:space="0" w:color="auto"/>
        <w:left w:val="none" w:sz="0" w:space="0" w:color="auto"/>
        <w:bottom w:val="none" w:sz="0" w:space="0" w:color="auto"/>
        <w:right w:val="none" w:sz="0" w:space="0" w:color="auto"/>
      </w:divBdr>
    </w:div>
    <w:div w:id="722219015">
      <w:bodyDiv w:val="1"/>
      <w:marLeft w:val="0"/>
      <w:marRight w:val="0"/>
      <w:marTop w:val="0"/>
      <w:marBottom w:val="0"/>
      <w:divBdr>
        <w:top w:val="none" w:sz="0" w:space="0" w:color="auto"/>
        <w:left w:val="none" w:sz="0" w:space="0" w:color="auto"/>
        <w:bottom w:val="none" w:sz="0" w:space="0" w:color="auto"/>
        <w:right w:val="none" w:sz="0" w:space="0" w:color="auto"/>
      </w:divBdr>
    </w:div>
    <w:div w:id="730269891">
      <w:bodyDiv w:val="1"/>
      <w:marLeft w:val="0"/>
      <w:marRight w:val="0"/>
      <w:marTop w:val="0"/>
      <w:marBottom w:val="0"/>
      <w:divBdr>
        <w:top w:val="none" w:sz="0" w:space="0" w:color="auto"/>
        <w:left w:val="none" w:sz="0" w:space="0" w:color="auto"/>
        <w:bottom w:val="none" w:sz="0" w:space="0" w:color="auto"/>
        <w:right w:val="none" w:sz="0" w:space="0" w:color="auto"/>
      </w:divBdr>
    </w:div>
    <w:div w:id="740568767">
      <w:bodyDiv w:val="1"/>
      <w:marLeft w:val="0"/>
      <w:marRight w:val="0"/>
      <w:marTop w:val="0"/>
      <w:marBottom w:val="0"/>
      <w:divBdr>
        <w:top w:val="none" w:sz="0" w:space="0" w:color="auto"/>
        <w:left w:val="none" w:sz="0" w:space="0" w:color="auto"/>
        <w:bottom w:val="none" w:sz="0" w:space="0" w:color="auto"/>
        <w:right w:val="none" w:sz="0" w:space="0" w:color="auto"/>
      </w:divBdr>
    </w:div>
    <w:div w:id="753551110">
      <w:bodyDiv w:val="1"/>
      <w:marLeft w:val="0"/>
      <w:marRight w:val="0"/>
      <w:marTop w:val="0"/>
      <w:marBottom w:val="0"/>
      <w:divBdr>
        <w:top w:val="none" w:sz="0" w:space="0" w:color="auto"/>
        <w:left w:val="none" w:sz="0" w:space="0" w:color="auto"/>
        <w:bottom w:val="none" w:sz="0" w:space="0" w:color="auto"/>
        <w:right w:val="none" w:sz="0" w:space="0" w:color="auto"/>
      </w:divBdr>
    </w:div>
    <w:div w:id="757361515">
      <w:bodyDiv w:val="1"/>
      <w:marLeft w:val="0"/>
      <w:marRight w:val="0"/>
      <w:marTop w:val="0"/>
      <w:marBottom w:val="0"/>
      <w:divBdr>
        <w:top w:val="none" w:sz="0" w:space="0" w:color="auto"/>
        <w:left w:val="none" w:sz="0" w:space="0" w:color="auto"/>
        <w:bottom w:val="none" w:sz="0" w:space="0" w:color="auto"/>
        <w:right w:val="none" w:sz="0" w:space="0" w:color="auto"/>
      </w:divBdr>
      <w:divsChild>
        <w:div w:id="1521238879">
          <w:marLeft w:val="0"/>
          <w:marRight w:val="0"/>
          <w:marTop w:val="0"/>
          <w:marBottom w:val="0"/>
          <w:divBdr>
            <w:top w:val="none" w:sz="0" w:space="0" w:color="auto"/>
            <w:left w:val="none" w:sz="0" w:space="0" w:color="auto"/>
            <w:bottom w:val="none" w:sz="0" w:space="0" w:color="auto"/>
            <w:right w:val="none" w:sz="0" w:space="0" w:color="auto"/>
          </w:divBdr>
          <w:divsChild>
            <w:div w:id="1904877072">
              <w:marLeft w:val="0"/>
              <w:marRight w:val="0"/>
              <w:marTop w:val="0"/>
              <w:marBottom w:val="0"/>
              <w:divBdr>
                <w:top w:val="none" w:sz="0" w:space="0" w:color="auto"/>
                <w:left w:val="none" w:sz="0" w:space="0" w:color="auto"/>
                <w:bottom w:val="none" w:sz="0" w:space="0" w:color="auto"/>
                <w:right w:val="none" w:sz="0" w:space="0" w:color="auto"/>
              </w:divBdr>
            </w:div>
            <w:div w:id="213956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5371">
      <w:bodyDiv w:val="1"/>
      <w:marLeft w:val="0"/>
      <w:marRight w:val="0"/>
      <w:marTop w:val="0"/>
      <w:marBottom w:val="0"/>
      <w:divBdr>
        <w:top w:val="none" w:sz="0" w:space="0" w:color="auto"/>
        <w:left w:val="none" w:sz="0" w:space="0" w:color="auto"/>
        <w:bottom w:val="none" w:sz="0" w:space="0" w:color="auto"/>
        <w:right w:val="none" w:sz="0" w:space="0" w:color="auto"/>
      </w:divBdr>
    </w:div>
    <w:div w:id="799998329">
      <w:bodyDiv w:val="1"/>
      <w:marLeft w:val="0"/>
      <w:marRight w:val="0"/>
      <w:marTop w:val="0"/>
      <w:marBottom w:val="0"/>
      <w:divBdr>
        <w:top w:val="none" w:sz="0" w:space="0" w:color="auto"/>
        <w:left w:val="none" w:sz="0" w:space="0" w:color="auto"/>
        <w:bottom w:val="none" w:sz="0" w:space="0" w:color="auto"/>
        <w:right w:val="none" w:sz="0" w:space="0" w:color="auto"/>
      </w:divBdr>
      <w:divsChild>
        <w:div w:id="646400088">
          <w:marLeft w:val="0"/>
          <w:marRight w:val="0"/>
          <w:marTop w:val="0"/>
          <w:marBottom w:val="0"/>
          <w:divBdr>
            <w:top w:val="none" w:sz="0" w:space="0" w:color="auto"/>
            <w:left w:val="none" w:sz="0" w:space="0" w:color="auto"/>
            <w:bottom w:val="none" w:sz="0" w:space="0" w:color="auto"/>
            <w:right w:val="none" w:sz="0" w:space="0" w:color="auto"/>
          </w:divBdr>
        </w:div>
        <w:div w:id="859512458">
          <w:marLeft w:val="0"/>
          <w:marRight w:val="0"/>
          <w:marTop w:val="0"/>
          <w:marBottom w:val="0"/>
          <w:divBdr>
            <w:top w:val="none" w:sz="0" w:space="0" w:color="auto"/>
            <w:left w:val="none" w:sz="0" w:space="0" w:color="auto"/>
            <w:bottom w:val="none" w:sz="0" w:space="0" w:color="auto"/>
            <w:right w:val="none" w:sz="0" w:space="0" w:color="auto"/>
          </w:divBdr>
          <w:divsChild>
            <w:div w:id="166450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54490">
      <w:bodyDiv w:val="1"/>
      <w:marLeft w:val="0"/>
      <w:marRight w:val="0"/>
      <w:marTop w:val="0"/>
      <w:marBottom w:val="0"/>
      <w:divBdr>
        <w:top w:val="none" w:sz="0" w:space="0" w:color="auto"/>
        <w:left w:val="none" w:sz="0" w:space="0" w:color="auto"/>
        <w:bottom w:val="none" w:sz="0" w:space="0" w:color="auto"/>
        <w:right w:val="none" w:sz="0" w:space="0" w:color="auto"/>
      </w:divBdr>
    </w:div>
    <w:div w:id="803037341">
      <w:bodyDiv w:val="1"/>
      <w:marLeft w:val="0"/>
      <w:marRight w:val="0"/>
      <w:marTop w:val="0"/>
      <w:marBottom w:val="0"/>
      <w:divBdr>
        <w:top w:val="none" w:sz="0" w:space="0" w:color="auto"/>
        <w:left w:val="none" w:sz="0" w:space="0" w:color="auto"/>
        <w:bottom w:val="none" w:sz="0" w:space="0" w:color="auto"/>
        <w:right w:val="none" w:sz="0" w:space="0" w:color="auto"/>
      </w:divBdr>
    </w:div>
    <w:div w:id="812722360">
      <w:bodyDiv w:val="1"/>
      <w:marLeft w:val="0"/>
      <w:marRight w:val="0"/>
      <w:marTop w:val="0"/>
      <w:marBottom w:val="0"/>
      <w:divBdr>
        <w:top w:val="none" w:sz="0" w:space="0" w:color="auto"/>
        <w:left w:val="none" w:sz="0" w:space="0" w:color="auto"/>
        <w:bottom w:val="none" w:sz="0" w:space="0" w:color="auto"/>
        <w:right w:val="none" w:sz="0" w:space="0" w:color="auto"/>
      </w:divBdr>
    </w:div>
    <w:div w:id="878008927">
      <w:bodyDiv w:val="1"/>
      <w:marLeft w:val="0"/>
      <w:marRight w:val="0"/>
      <w:marTop w:val="0"/>
      <w:marBottom w:val="0"/>
      <w:divBdr>
        <w:top w:val="none" w:sz="0" w:space="0" w:color="auto"/>
        <w:left w:val="none" w:sz="0" w:space="0" w:color="auto"/>
        <w:bottom w:val="none" w:sz="0" w:space="0" w:color="auto"/>
        <w:right w:val="none" w:sz="0" w:space="0" w:color="auto"/>
      </w:divBdr>
    </w:div>
    <w:div w:id="888341244">
      <w:bodyDiv w:val="1"/>
      <w:marLeft w:val="0"/>
      <w:marRight w:val="0"/>
      <w:marTop w:val="0"/>
      <w:marBottom w:val="0"/>
      <w:divBdr>
        <w:top w:val="none" w:sz="0" w:space="0" w:color="auto"/>
        <w:left w:val="none" w:sz="0" w:space="0" w:color="auto"/>
        <w:bottom w:val="none" w:sz="0" w:space="0" w:color="auto"/>
        <w:right w:val="none" w:sz="0" w:space="0" w:color="auto"/>
      </w:divBdr>
    </w:div>
    <w:div w:id="890847793">
      <w:bodyDiv w:val="1"/>
      <w:marLeft w:val="0"/>
      <w:marRight w:val="0"/>
      <w:marTop w:val="0"/>
      <w:marBottom w:val="0"/>
      <w:divBdr>
        <w:top w:val="none" w:sz="0" w:space="0" w:color="auto"/>
        <w:left w:val="none" w:sz="0" w:space="0" w:color="auto"/>
        <w:bottom w:val="none" w:sz="0" w:space="0" w:color="auto"/>
        <w:right w:val="none" w:sz="0" w:space="0" w:color="auto"/>
      </w:divBdr>
    </w:div>
    <w:div w:id="895047391">
      <w:bodyDiv w:val="1"/>
      <w:marLeft w:val="0"/>
      <w:marRight w:val="0"/>
      <w:marTop w:val="0"/>
      <w:marBottom w:val="0"/>
      <w:divBdr>
        <w:top w:val="none" w:sz="0" w:space="0" w:color="auto"/>
        <w:left w:val="none" w:sz="0" w:space="0" w:color="auto"/>
        <w:bottom w:val="none" w:sz="0" w:space="0" w:color="auto"/>
        <w:right w:val="none" w:sz="0" w:space="0" w:color="auto"/>
      </w:divBdr>
    </w:div>
    <w:div w:id="929847896">
      <w:bodyDiv w:val="1"/>
      <w:marLeft w:val="0"/>
      <w:marRight w:val="0"/>
      <w:marTop w:val="0"/>
      <w:marBottom w:val="0"/>
      <w:divBdr>
        <w:top w:val="none" w:sz="0" w:space="0" w:color="auto"/>
        <w:left w:val="none" w:sz="0" w:space="0" w:color="auto"/>
        <w:bottom w:val="none" w:sz="0" w:space="0" w:color="auto"/>
        <w:right w:val="none" w:sz="0" w:space="0" w:color="auto"/>
      </w:divBdr>
    </w:div>
    <w:div w:id="939335249">
      <w:bodyDiv w:val="1"/>
      <w:marLeft w:val="0"/>
      <w:marRight w:val="0"/>
      <w:marTop w:val="0"/>
      <w:marBottom w:val="0"/>
      <w:divBdr>
        <w:top w:val="none" w:sz="0" w:space="0" w:color="auto"/>
        <w:left w:val="none" w:sz="0" w:space="0" w:color="auto"/>
        <w:bottom w:val="none" w:sz="0" w:space="0" w:color="auto"/>
        <w:right w:val="none" w:sz="0" w:space="0" w:color="auto"/>
      </w:divBdr>
    </w:div>
    <w:div w:id="978612606">
      <w:bodyDiv w:val="1"/>
      <w:marLeft w:val="0"/>
      <w:marRight w:val="0"/>
      <w:marTop w:val="0"/>
      <w:marBottom w:val="0"/>
      <w:divBdr>
        <w:top w:val="none" w:sz="0" w:space="0" w:color="auto"/>
        <w:left w:val="none" w:sz="0" w:space="0" w:color="auto"/>
        <w:bottom w:val="none" w:sz="0" w:space="0" w:color="auto"/>
        <w:right w:val="none" w:sz="0" w:space="0" w:color="auto"/>
      </w:divBdr>
    </w:div>
    <w:div w:id="987321210">
      <w:bodyDiv w:val="1"/>
      <w:marLeft w:val="0"/>
      <w:marRight w:val="0"/>
      <w:marTop w:val="0"/>
      <w:marBottom w:val="0"/>
      <w:divBdr>
        <w:top w:val="none" w:sz="0" w:space="0" w:color="auto"/>
        <w:left w:val="none" w:sz="0" w:space="0" w:color="auto"/>
        <w:bottom w:val="none" w:sz="0" w:space="0" w:color="auto"/>
        <w:right w:val="none" w:sz="0" w:space="0" w:color="auto"/>
      </w:divBdr>
    </w:div>
    <w:div w:id="991133331">
      <w:bodyDiv w:val="1"/>
      <w:marLeft w:val="0"/>
      <w:marRight w:val="0"/>
      <w:marTop w:val="0"/>
      <w:marBottom w:val="0"/>
      <w:divBdr>
        <w:top w:val="none" w:sz="0" w:space="0" w:color="auto"/>
        <w:left w:val="none" w:sz="0" w:space="0" w:color="auto"/>
        <w:bottom w:val="none" w:sz="0" w:space="0" w:color="auto"/>
        <w:right w:val="none" w:sz="0" w:space="0" w:color="auto"/>
      </w:divBdr>
      <w:divsChild>
        <w:div w:id="205719330">
          <w:blockQuote w:val="1"/>
          <w:marLeft w:val="600"/>
          <w:marRight w:val="0"/>
          <w:marTop w:val="0"/>
          <w:marBottom w:val="0"/>
          <w:divBdr>
            <w:top w:val="none" w:sz="0" w:space="0" w:color="auto"/>
            <w:left w:val="none" w:sz="0" w:space="0" w:color="auto"/>
            <w:bottom w:val="none" w:sz="0" w:space="0" w:color="auto"/>
            <w:right w:val="none" w:sz="0" w:space="0" w:color="auto"/>
          </w:divBdr>
          <w:divsChild>
            <w:div w:id="625504080">
              <w:marLeft w:val="0"/>
              <w:marRight w:val="0"/>
              <w:marTop w:val="0"/>
              <w:marBottom w:val="0"/>
              <w:divBdr>
                <w:top w:val="none" w:sz="0" w:space="0" w:color="auto"/>
                <w:left w:val="none" w:sz="0" w:space="0" w:color="auto"/>
                <w:bottom w:val="none" w:sz="0" w:space="0" w:color="auto"/>
                <w:right w:val="none" w:sz="0" w:space="0" w:color="auto"/>
              </w:divBdr>
            </w:div>
          </w:divsChild>
        </w:div>
        <w:div w:id="354162811">
          <w:blockQuote w:val="1"/>
          <w:marLeft w:val="600"/>
          <w:marRight w:val="0"/>
          <w:marTop w:val="0"/>
          <w:marBottom w:val="0"/>
          <w:divBdr>
            <w:top w:val="none" w:sz="0" w:space="0" w:color="auto"/>
            <w:left w:val="none" w:sz="0" w:space="0" w:color="auto"/>
            <w:bottom w:val="none" w:sz="0" w:space="0" w:color="auto"/>
            <w:right w:val="none" w:sz="0" w:space="0" w:color="auto"/>
          </w:divBdr>
          <w:divsChild>
            <w:div w:id="201524333">
              <w:marLeft w:val="0"/>
              <w:marRight w:val="0"/>
              <w:marTop w:val="0"/>
              <w:marBottom w:val="0"/>
              <w:divBdr>
                <w:top w:val="none" w:sz="0" w:space="0" w:color="auto"/>
                <w:left w:val="none" w:sz="0" w:space="0" w:color="auto"/>
                <w:bottom w:val="none" w:sz="0" w:space="0" w:color="auto"/>
                <w:right w:val="none" w:sz="0" w:space="0" w:color="auto"/>
              </w:divBdr>
            </w:div>
            <w:div w:id="521742581">
              <w:marLeft w:val="0"/>
              <w:marRight w:val="0"/>
              <w:marTop w:val="0"/>
              <w:marBottom w:val="0"/>
              <w:divBdr>
                <w:top w:val="none" w:sz="0" w:space="0" w:color="auto"/>
                <w:left w:val="none" w:sz="0" w:space="0" w:color="auto"/>
                <w:bottom w:val="none" w:sz="0" w:space="0" w:color="auto"/>
                <w:right w:val="none" w:sz="0" w:space="0" w:color="auto"/>
              </w:divBdr>
            </w:div>
            <w:div w:id="1081147611">
              <w:marLeft w:val="0"/>
              <w:marRight w:val="0"/>
              <w:marTop w:val="0"/>
              <w:marBottom w:val="0"/>
              <w:divBdr>
                <w:top w:val="none" w:sz="0" w:space="0" w:color="auto"/>
                <w:left w:val="none" w:sz="0" w:space="0" w:color="auto"/>
                <w:bottom w:val="none" w:sz="0" w:space="0" w:color="auto"/>
                <w:right w:val="none" w:sz="0" w:space="0" w:color="auto"/>
              </w:divBdr>
            </w:div>
            <w:div w:id="1416896813">
              <w:marLeft w:val="0"/>
              <w:marRight w:val="0"/>
              <w:marTop w:val="0"/>
              <w:marBottom w:val="0"/>
              <w:divBdr>
                <w:top w:val="none" w:sz="0" w:space="0" w:color="auto"/>
                <w:left w:val="none" w:sz="0" w:space="0" w:color="auto"/>
                <w:bottom w:val="none" w:sz="0" w:space="0" w:color="auto"/>
                <w:right w:val="none" w:sz="0" w:space="0" w:color="auto"/>
              </w:divBdr>
            </w:div>
            <w:div w:id="1420372143">
              <w:marLeft w:val="0"/>
              <w:marRight w:val="0"/>
              <w:marTop w:val="0"/>
              <w:marBottom w:val="0"/>
              <w:divBdr>
                <w:top w:val="none" w:sz="0" w:space="0" w:color="auto"/>
                <w:left w:val="none" w:sz="0" w:space="0" w:color="auto"/>
                <w:bottom w:val="none" w:sz="0" w:space="0" w:color="auto"/>
                <w:right w:val="none" w:sz="0" w:space="0" w:color="auto"/>
              </w:divBdr>
            </w:div>
            <w:div w:id="1473446379">
              <w:marLeft w:val="0"/>
              <w:marRight w:val="0"/>
              <w:marTop w:val="0"/>
              <w:marBottom w:val="0"/>
              <w:divBdr>
                <w:top w:val="none" w:sz="0" w:space="0" w:color="auto"/>
                <w:left w:val="none" w:sz="0" w:space="0" w:color="auto"/>
                <w:bottom w:val="none" w:sz="0" w:space="0" w:color="auto"/>
                <w:right w:val="none" w:sz="0" w:space="0" w:color="auto"/>
              </w:divBdr>
            </w:div>
            <w:div w:id="155635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57901">
      <w:bodyDiv w:val="1"/>
      <w:marLeft w:val="0"/>
      <w:marRight w:val="0"/>
      <w:marTop w:val="0"/>
      <w:marBottom w:val="0"/>
      <w:divBdr>
        <w:top w:val="none" w:sz="0" w:space="0" w:color="auto"/>
        <w:left w:val="none" w:sz="0" w:space="0" w:color="auto"/>
        <w:bottom w:val="none" w:sz="0" w:space="0" w:color="auto"/>
        <w:right w:val="none" w:sz="0" w:space="0" w:color="auto"/>
      </w:divBdr>
    </w:div>
    <w:div w:id="999848818">
      <w:bodyDiv w:val="1"/>
      <w:marLeft w:val="0"/>
      <w:marRight w:val="0"/>
      <w:marTop w:val="0"/>
      <w:marBottom w:val="0"/>
      <w:divBdr>
        <w:top w:val="none" w:sz="0" w:space="0" w:color="auto"/>
        <w:left w:val="none" w:sz="0" w:space="0" w:color="auto"/>
        <w:bottom w:val="none" w:sz="0" w:space="0" w:color="auto"/>
        <w:right w:val="none" w:sz="0" w:space="0" w:color="auto"/>
      </w:divBdr>
    </w:div>
    <w:div w:id="1059090857">
      <w:bodyDiv w:val="1"/>
      <w:marLeft w:val="0"/>
      <w:marRight w:val="0"/>
      <w:marTop w:val="0"/>
      <w:marBottom w:val="0"/>
      <w:divBdr>
        <w:top w:val="none" w:sz="0" w:space="0" w:color="auto"/>
        <w:left w:val="none" w:sz="0" w:space="0" w:color="auto"/>
        <w:bottom w:val="none" w:sz="0" w:space="0" w:color="auto"/>
        <w:right w:val="none" w:sz="0" w:space="0" w:color="auto"/>
      </w:divBdr>
      <w:divsChild>
        <w:div w:id="142044346">
          <w:marLeft w:val="0"/>
          <w:marRight w:val="0"/>
          <w:marTop w:val="0"/>
          <w:marBottom w:val="0"/>
          <w:divBdr>
            <w:top w:val="none" w:sz="0" w:space="0" w:color="auto"/>
            <w:left w:val="none" w:sz="0" w:space="0" w:color="auto"/>
            <w:bottom w:val="none" w:sz="0" w:space="0" w:color="auto"/>
            <w:right w:val="none" w:sz="0" w:space="0" w:color="auto"/>
          </w:divBdr>
        </w:div>
        <w:div w:id="1213465005">
          <w:marLeft w:val="0"/>
          <w:marRight w:val="0"/>
          <w:marTop w:val="0"/>
          <w:marBottom w:val="0"/>
          <w:divBdr>
            <w:top w:val="none" w:sz="0" w:space="0" w:color="auto"/>
            <w:left w:val="none" w:sz="0" w:space="0" w:color="auto"/>
            <w:bottom w:val="none" w:sz="0" w:space="0" w:color="auto"/>
            <w:right w:val="none" w:sz="0" w:space="0" w:color="auto"/>
          </w:divBdr>
          <w:divsChild>
            <w:div w:id="116905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23590">
      <w:bodyDiv w:val="1"/>
      <w:marLeft w:val="0"/>
      <w:marRight w:val="0"/>
      <w:marTop w:val="0"/>
      <w:marBottom w:val="0"/>
      <w:divBdr>
        <w:top w:val="none" w:sz="0" w:space="0" w:color="auto"/>
        <w:left w:val="none" w:sz="0" w:space="0" w:color="auto"/>
        <w:bottom w:val="none" w:sz="0" w:space="0" w:color="auto"/>
        <w:right w:val="none" w:sz="0" w:space="0" w:color="auto"/>
      </w:divBdr>
    </w:div>
    <w:div w:id="1101493322">
      <w:bodyDiv w:val="1"/>
      <w:marLeft w:val="0"/>
      <w:marRight w:val="0"/>
      <w:marTop w:val="0"/>
      <w:marBottom w:val="0"/>
      <w:divBdr>
        <w:top w:val="none" w:sz="0" w:space="0" w:color="auto"/>
        <w:left w:val="none" w:sz="0" w:space="0" w:color="auto"/>
        <w:bottom w:val="none" w:sz="0" w:space="0" w:color="auto"/>
        <w:right w:val="none" w:sz="0" w:space="0" w:color="auto"/>
      </w:divBdr>
    </w:div>
    <w:div w:id="1110005276">
      <w:bodyDiv w:val="1"/>
      <w:marLeft w:val="0"/>
      <w:marRight w:val="0"/>
      <w:marTop w:val="0"/>
      <w:marBottom w:val="0"/>
      <w:divBdr>
        <w:top w:val="none" w:sz="0" w:space="0" w:color="auto"/>
        <w:left w:val="none" w:sz="0" w:space="0" w:color="auto"/>
        <w:bottom w:val="none" w:sz="0" w:space="0" w:color="auto"/>
        <w:right w:val="none" w:sz="0" w:space="0" w:color="auto"/>
      </w:divBdr>
    </w:div>
    <w:div w:id="1121919951">
      <w:bodyDiv w:val="1"/>
      <w:marLeft w:val="0"/>
      <w:marRight w:val="0"/>
      <w:marTop w:val="0"/>
      <w:marBottom w:val="0"/>
      <w:divBdr>
        <w:top w:val="none" w:sz="0" w:space="0" w:color="auto"/>
        <w:left w:val="none" w:sz="0" w:space="0" w:color="auto"/>
        <w:bottom w:val="none" w:sz="0" w:space="0" w:color="auto"/>
        <w:right w:val="none" w:sz="0" w:space="0" w:color="auto"/>
      </w:divBdr>
    </w:div>
    <w:div w:id="1135946749">
      <w:bodyDiv w:val="1"/>
      <w:marLeft w:val="0"/>
      <w:marRight w:val="0"/>
      <w:marTop w:val="0"/>
      <w:marBottom w:val="0"/>
      <w:divBdr>
        <w:top w:val="none" w:sz="0" w:space="0" w:color="auto"/>
        <w:left w:val="none" w:sz="0" w:space="0" w:color="auto"/>
        <w:bottom w:val="none" w:sz="0" w:space="0" w:color="auto"/>
        <w:right w:val="none" w:sz="0" w:space="0" w:color="auto"/>
      </w:divBdr>
    </w:div>
    <w:div w:id="1136072444">
      <w:bodyDiv w:val="1"/>
      <w:marLeft w:val="0"/>
      <w:marRight w:val="0"/>
      <w:marTop w:val="0"/>
      <w:marBottom w:val="0"/>
      <w:divBdr>
        <w:top w:val="none" w:sz="0" w:space="0" w:color="auto"/>
        <w:left w:val="none" w:sz="0" w:space="0" w:color="auto"/>
        <w:bottom w:val="none" w:sz="0" w:space="0" w:color="auto"/>
        <w:right w:val="none" w:sz="0" w:space="0" w:color="auto"/>
      </w:divBdr>
    </w:div>
    <w:div w:id="1142696806">
      <w:bodyDiv w:val="1"/>
      <w:marLeft w:val="0"/>
      <w:marRight w:val="0"/>
      <w:marTop w:val="0"/>
      <w:marBottom w:val="0"/>
      <w:divBdr>
        <w:top w:val="none" w:sz="0" w:space="0" w:color="auto"/>
        <w:left w:val="none" w:sz="0" w:space="0" w:color="auto"/>
        <w:bottom w:val="none" w:sz="0" w:space="0" w:color="auto"/>
        <w:right w:val="none" w:sz="0" w:space="0" w:color="auto"/>
      </w:divBdr>
    </w:div>
    <w:div w:id="1152134559">
      <w:bodyDiv w:val="1"/>
      <w:marLeft w:val="0"/>
      <w:marRight w:val="0"/>
      <w:marTop w:val="0"/>
      <w:marBottom w:val="0"/>
      <w:divBdr>
        <w:top w:val="none" w:sz="0" w:space="0" w:color="auto"/>
        <w:left w:val="none" w:sz="0" w:space="0" w:color="auto"/>
        <w:bottom w:val="none" w:sz="0" w:space="0" w:color="auto"/>
        <w:right w:val="none" w:sz="0" w:space="0" w:color="auto"/>
      </w:divBdr>
    </w:div>
    <w:div w:id="1161431408">
      <w:bodyDiv w:val="1"/>
      <w:marLeft w:val="0"/>
      <w:marRight w:val="0"/>
      <w:marTop w:val="0"/>
      <w:marBottom w:val="0"/>
      <w:divBdr>
        <w:top w:val="none" w:sz="0" w:space="0" w:color="auto"/>
        <w:left w:val="none" w:sz="0" w:space="0" w:color="auto"/>
        <w:bottom w:val="none" w:sz="0" w:space="0" w:color="auto"/>
        <w:right w:val="none" w:sz="0" w:space="0" w:color="auto"/>
      </w:divBdr>
    </w:div>
    <w:div w:id="1161655605">
      <w:bodyDiv w:val="1"/>
      <w:marLeft w:val="0"/>
      <w:marRight w:val="0"/>
      <w:marTop w:val="0"/>
      <w:marBottom w:val="0"/>
      <w:divBdr>
        <w:top w:val="none" w:sz="0" w:space="0" w:color="auto"/>
        <w:left w:val="none" w:sz="0" w:space="0" w:color="auto"/>
        <w:bottom w:val="none" w:sz="0" w:space="0" w:color="auto"/>
        <w:right w:val="none" w:sz="0" w:space="0" w:color="auto"/>
      </w:divBdr>
    </w:div>
    <w:div w:id="1179076382">
      <w:bodyDiv w:val="1"/>
      <w:marLeft w:val="0"/>
      <w:marRight w:val="0"/>
      <w:marTop w:val="0"/>
      <w:marBottom w:val="0"/>
      <w:divBdr>
        <w:top w:val="none" w:sz="0" w:space="0" w:color="auto"/>
        <w:left w:val="none" w:sz="0" w:space="0" w:color="auto"/>
        <w:bottom w:val="none" w:sz="0" w:space="0" w:color="auto"/>
        <w:right w:val="none" w:sz="0" w:space="0" w:color="auto"/>
      </w:divBdr>
    </w:div>
    <w:div w:id="1187252619">
      <w:bodyDiv w:val="1"/>
      <w:marLeft w:val="0"/>
      <w:marRight w:val="0"/>
      <w:marTop w:val="0"/>
      <w:marBottom w:val="0"/>
      <w:divBdr>
        <w:top w:val="none" w:sz="0" w:space="0" w:color="auto"/>
        <w:left w:val="none" w:sz="0" w:space="0" w:color="auto"/>
        <w:bottom w:val="none" w:sz="0" w:space="0" w:color="auto"/>
        <w:right w:val="none" w:sz="0" w:space="0" w:color="auto"/>
      </w:divBdr>
    </w:div>
    <w:div w:id="1206336107">
      <w:bodyDiv w:val="1"/>
      <w:marLeft w:val="0"/>
      <w:marRight w:val="0"/>
      <w:marTop w:val="0"/>
      <w:marBottom w:val="0"/>
      <w:divBdr>
        <w:top w:val="none" w:sz="0" w:space="0" w:color="auto"/>
        <w:left w:val="none" w:sz="0" w:space="0" w:color="auto"/>
        <w:bottom w:val="none" w:sz="0" w:space="0" w:color="auto"/>
        <w:right w:val="none" w:sz="0" w:space="0" w:color="auto"/>
      </w:divBdr>
    </w:div>
    <w:div w:id="1220629611">
      <w:bodyDiv w:val="1"/>
      <w:marLeft w:val="0"/>
      <w:marRight w:val="0"/>
      <w:marTop w:val="0"/>
      <w:marBottom w:val="0"/>
      <w:divBdr>
        <w:top w:val="none" w:sz="0" w:space="0" w:color="auto"/>
        <w:left w:val="none" w:sz="0" w:space="0" w:color="auto"/>
        <w:bottom w:val="none" w:sz="0" w:space="0" w:color="auto"/>
        <w:right w:val="none" w:sz="0" w:space="0" w:color="auto"/>
      </w:divBdr>
    </w:div>
    <w:div w:id="1228106425">
      <w:bodyDiv w:val="1"/>
      <w:marLeft w:val="0"/>
      <w:marRight w:val="0"/>
      <w:marTop w:val="0"/>
      <w:marBottom w:val="0"/>
      <w:divBdr>
        <w:top w:val="none" w:sz="0" w:space="0" w:color="auto"/>
        <w:left w:val="none" w:sz="0" w:space="0" w:color="auto"/>
        <w:bottom w:val="none" w:sz="0" w:space="0" w:color="auto"/>
        <w:right w:val="none" w:sz="0" w:space="0" w:color="auto"/>
      </w:divBdr>
    </w:div>
    <w:div w:id="1239562541">
      <w:bodyDiv w:val="1"/>
      <w:marLeft w:val="0"/>
      <w:marRight w:val="0"/>
      <w:marTop w:val="0"/>
      <w:marBottom w:val="0"/>
      <w:divBdr>
        <w:top w:val="none" w:sz="0" w:space="0" w:color="auto"/>
        <w:left w:val="none" w:sz="0" w:space="0" w:color="auto"/>
        <w:bottom w:val="none" w:sz="0" w:space="0" w:color="auto"/>
        <w:right w:val="none" w:sz="0" w:space="0" w:color="auto"/>
      </w:divBdr>
    </w:div>
    <w:div w:id="1278369749">
      <w:bodyDiv w:val="1"/>
      <w:marLeft w:val="0"/>
      <w:marRight w:val="0"/>
      <w:marTop w:val="0"/>
      <w:marBottom w:val="0"/>
      <w:divBdr>
        <w:top w:val="none" w:sz="0" w:space="0" w:color="auto"/>
        <w:left w:val="none" w:sz="0" w:space="0" w:color="auto"/>
        <w:bottom w:val="none" w:sz="0" w:space="0" w:color="auto"/>
        <w:right w:val="none" w:sz="0" w:space="0" w:color="auto"/>
      </w:divBdr>
    </w:div>
    <w:div w:id="1279727158">
      <w:bodyDiv w:val="1"/>
      <w:marLeft w:val="0"/>
      <w:marRight w:val="0"/>
      <w:marTop w:val="0"/>
      <w:marBottom w:val="0"/>
      <w:divBdr>
        <w:top w:val="none" w:sz="0" w:space="0" w:color="auto"/>
        <w:left w:val="none" w:sz="0" w:space="0" w:color="auto"/>
        <w:bottom w:val="none" w:sz="0" w:space="0" w:color="auto"/>
        <w:right w:val="none" w:sz="0" w:space="0" w:color="auto"/>
      </w:divBdr>
    </w:div>
    <w:div w:id="1312102902">
      <w:bodyDiv w:val="1"/>
      <w:marLeft w:val="0"/>
      <w:marRight w:val="0"/>
      <w:marTop w:val="0"/>
      <w:marBottom w:val="0"/>
      <w:divBdr>
        <w:top w:val="none" w:sz="0" w:space="0" w:color="auto"/>
        <w:left w:val="none" w:sz="0" w:space="0" w:color="auto"/>
        <w:bottom w:val="none" w:sz="0" w:space="0" w:color="auto"/>
        <w:right w:val="none" w:sz="0" w:space="0" w:color="auto"/>
      </w:divBdr>
    </w:div>
    <w:div w:id="1316371650">
      <w:bodyDiv w:val="1"/>
      <w:marLeft w:val="0"/>
      <w:marRight w:val="0"/>
      <w:marTop w:val="0"/>
      <w:marBottom w:val="0"/>
      <w:divBdr>
        <w:top w:val="none" w:sz="0" w:space="0" w:color="auto"/>
        <w:left w:val="none" w:sz="0" w:space="0" w:color="auto"/>
        <w:bottom w:val="none" w:sz="0" w:space="0" w:color="auto"/>
        <w:right w:val="none" w:sz="0" w:space="0" w:color="auto"/>
      </w:divBdr>
      <w:divsChild>
        <w:div w:id="254487074">
          <w:marLeft w:val="0"/>
          <w:marRight w:val="0"/>
          <w:marTop w:val="0"/>
          <w:marBottom w:val="0"/>
          <w:divBdr>
            <w:top w:val="none" w:sz="0" w:space="0" w:color="auto"/>
            <w:left w:val="none" w:sz="0" w:space="0" w:color="auto"/>
            <w:bottom w:val="none" w:sz="0" w:space="0" w:color="auto"/>
            <w:right w:val="none" w:sz="0" w:space="0" w:color="auto"/>
          </w:divBdr>
        </w:div>
        <w:div w:id="634725601">
          <w:marLeft w:val="0"/>
          <w:marRight w:val="0"/>
          <w:marTop w:val="0"/>
          <w:marBottom w:val="0"/>
          <w:divBdr>
            <w:top w:val="none" w:sz="0" w:space="0" w:color="auto"/>
            <w:left w:val="none" w:sz="0" w:space="0" w:color="auto"/>
            <w:bottom w:val="none" w:sz="0" w:space="0" w:color="auto"/>
            <w:right w:val="none" w:sz="0" w:space="0" w:color="auto"/>
          </w:divBdr>
          <w:divsChild>
            <w:div w:id="157339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379775">
      <w:bodyDiv w:val="1"/>
      <w:marLeft w:val="0"/>
      <w:marRight w:val="0"/>
      <w:marTop w:val="0"/>
      <w:marBottom w:val="0"/>
      <w:divBdr>
        <w:top w:val="none" w:sz="0" w:space="0" w:color="auto"/>
        <w:left w:val="none" w:sz="0" w:space="0" w:color="auto"/>
        <w:bottom w:val="none" w:sz="0" w:space="0" w:color="auto"/>
        <w:right w:val="none" w:sz="0" w:space="0" w:color="auto"/>
      </w:divBdr>
    </w:div>
    <w:div w:id="1319263191">
      <w:bodyDiv w:val="1"/>
      <w:marLeft w:val="0"/>
      <w:marRight w:val="0"/>
      <w:marTop w:val="0"/>
      <w:marBottom w:val="0"/>
      <w:divBdr>
        <w:top w:val="none" w:sz="0" w:space="0" w:color="auto"/>
        <w:left w:val="none" w:sz="0" w:space="0" w:color="auto"/>
        <w:bottom w:val="none" w:sz="0" w:space="0" w:color="auto"/>
        <w:right w:val="none" w:sz="0" w:space="0" w:color="auto"/>
      </w:divBdr>
    </w:div>
    <w:div w:id="1331061889">
      <w:bodyDiv w:val="1"/>
      <w:marLeft w:val="0"/>
      <w:marRight w:val="0"/>
      <w:marTop w:val="0"/>
      <w:marBottom w:val="0"/>
      <w:divBdr>
        <w:top w:val="none" w:sz="0" w:space="0" w:color="auto"/>
        <w:left w:val="none" w:sz="0" w:space="0" w:color="auto"/>
        <w:bottom w:val="none" w:sz="0" w:space="0" w:color="auto"/>
        <w:right w:val="none" w:sz="0" w:space="0" w:color="auto"/>
      </w:divBdr>
    </w:div>
    <w:div w:id="1334067625">
      <w:bodyDiv w:val="1"/>
      <w:marLeft w:val="0"/>
      <w:marRight w:val="0"/>
      <w:marTop w:val="0"/>
      <w:marBottom w:val="0"/>
      <w:divBdr>
        <w:top w:val="none" w:sz="0" w:space="0" w:color="auto"/>
        <w:left w:val="none" w:sz="0" w:space="0" w:color="auto"/>
        <w:bottom w:val="none" w:sz="0" w:space="0" w:color="auto"/>
        <w:right w:val="none" w:sz="0" w:space="0" w:color="auto"/>
      </w:divBdr>
      <w:divsChild>
        <w:div w:id="256645447">
          <w:blockQuote w:val="1"/>
          <w:marLeft w:val="600"/>
          <w:marRight w:val="0"/>
          <w:marTop w:val="0"/>
          <w:marBottom w:val="0"/>
          <w:divBdr>
            <w:top w:val="none" w:sz="0" w:space="0" w:color="auto"/>
            <w:left w:val="none" w:sz="0" w:space="0" w:color="auto"/>
            <w:bottom w:val="none" w:sz="0" w:space="0" w:color="auto"/>
            <w:right w:val="none" w:sz="0" w:space="0" w:color="auto"/>
          </w:divBdr>
          <w:divsChild>
            <w:div w:id="62144965">
              <w:marLeft w:val="0"/>
              <w:marRight w:val="0"/>
              <w:marTop w:val="0"/>
              <w:marBottom w:val="0"/>
              <w:divBdr>
                <w:top w:val="none" w:sz="0" w:space="0" w:color="auto"/>
                <w:left w:val="none" w:sz="0" w:space="0" w:color="auto"/>
                <w:bottom w:val="none" w:sz="0" w:space="0" w:color="auto"/>
                <w:right w:val="none" w:sz="0" w:space="0" w:color="auto"/>
              </w:divBdr>
            </w:div>
            <w:div w:id="393504945">
              <w:marLeft w:val="0"/>
              <w:marRight w:val="0"/>
              <w:marTop w:val="0"/>
              <w:marBottom w:val="0"/>
              <w:divBdr>
                <w:top w:val="none" w:sz="0" w:space="0" w:color="auto"/>
                <w:left w:val="none" w:sz="0" w:space="0" w:color="auto"/>
                <w:bottom w:val="none" w:sz="0" w:space="0" w:color="auto"/>
                <w:right w:val="none" w:sz="0" w:space="0" w:color="auto"/>
              </w:divBdr>
            </w:div>
            <w:div w:id="785269635">
              <w:marLeft w:val="0"/>
              <w:marRight w:val="0"/>
              <w:marTop w:val="0"/>
              <w:marBottom w:val="0"/>
              <w:divBdr>
                <w:top w:val="none" w:sz="0" w:space="0" w:color="auto"/>
                <w:left w:val="none" w:sz="0" w:space="0" w:color="auto"/>
                <w:bottom w:val="none" w:sz="0" w:space="0" w:color="auto"/>
                <w:right w:val="none" w:sz="0" w:space="0" w:color="auto"/>
              </w:divBdr>
            </w:div>
            <w:div w:id="1093085622">
              <w:marLeft w:val="0"/>
              <w:marRight w:val="0"/>
              <w:marTop w:val="0"/>
              <w:marBottom w:val="0"/>
              <w:divBdr>
                <w:top w:val="none" w:sz="0" w:space="0" w:color="auto"/>
                <w:left w:val="none" w:sz="0" w:space="0" w:color="auto"/>
                <w:bottom w:val="none" w:sz="0" w:space="0" w:color="auto"/>
                <w:right w:val="none" w:sz="0" w:space="0" w:color="auto"/>
              </w:divBdr>
            </w:div>
            <w:div w:id="1219130036">
              <w:marLeft w:val="0"/>
              <w:marRight w:val="0"/>
              <w:marTop w:val="0"/>
              <w:marBottom w:val="0"/>
              <w:divBdr>
                <w:top w:val="none" w:sz="0" w:space="0" w:color="auto"/>
                <w:left w:val="none" w:sz="0" w:space="0" w:color="auto"/>
                <w:bottom w:val="none" w:sz="0" w:space="0" w:color="auto"/>
                <w:right w:val="none" w:sz="0" w:space="0" w:color="auto"/>
              </w:divBdr>
            </w:div>
            <w:div w:id="1476676474">
              <w:marLeft w:val="0"/>
              <w:marRight w:val="0"/>
              <w:marTop w:val="0"/>
              <w:marBottom w:val="0"/>
              <w:divBdr>
                <w:top w:val="none" w:sz="0" w:space="0" w:color="auto"/>
                <w:left w:val="none" w:sz="0" w:space="0" w:color="auto"/>
                <w:bottom w:val="none" w:sz="0" w:space="0" w:color="auto"/>
                <w:right w:val="none" w:sz="0" w:space="0" w:color="auto"/>
              </w:divBdr>
            </w:div>
            <w:div w:id="2055808055">
              <w:marLeft w:val="0"/>
              <w:marRight w:val="0"/>
              <w:marTop w:val="0"/>
              <w:marBottom w:val="0"/>
              <w:divBdr>
                <w:top w:val="none" w:sz="0" w:space="0" w:color="auto"/>
                <w:left w:val="none" w:sz="0" w:space="0" w:color="auto"/>
                <w:bottom w:val="none" w:sz="0" w:space="0" w:color="auto"/>
                <w:right w:val="none" w:sz="0" w:space="0" w:color="auto"/>
              </w:divBdr>
            </w:div>
          </w:divsChild>
        </w:div>
        <w:div w:id="1127970534">
          <w:blockQuote w:val="1"/>
          <w:marLeft w:val="600"/>
          <w:marRight w:val="0"/>
          <w:marTop w:val="0"/>
          <w:marBottom w:val="0"/>
          <w:divBdr>
            <w:top w:val="none" w:sz="0" w:space="0" w:color="auto"/>
            <w:left w:val="none" w:sz="0" w:space="0" w:color="auto"/>
            <w:bottom w:val="none" w:sz="0" w:space="0" w:color="auto"/>
            <w:right w:val="none" w:sz="0" w:space="0" w:color="auto"/>
          </w:divBdr>
          <w:divsChild>
            <w:div w:id="1160925388">
              <w:marLeft w:val="0"/>
              <w:marRight w:val="0"/>
              <w:marTop w:val="0"/>
              <w:marBottom w:val="0"/>
              <w:divBdr>
                <w:top w:val="none" w:sz="0" w:space="0" w:color="auto"/>
                <w:left w:val="none" w:sz="0" w:space="0" w:color="auto"/>
                <w:bottom w:val="none" w:sz="0" w:space="0" w:color="auto"/>
                <w:right w:val="none" w:sz="0" w:space="0" w:color="auto"/>
              </w:divBdr>
            </w:div>
          </w:divsChild>
        </w:div>
        <w:div w:id="1736582518">
          <w:marLeft w:val="0"/>
          <w:marRight w:val="0"/>
          <w:marTop w:val="0"/>
          <w:marBottom w:val="0"/>
          <w:divBdr>
            <w:top w:val="none" w:sz="0" w:space="0" w:color="auto"/>
            <w:left w:val="none" w:sz="0" w:space="0" w:color="auto"/>
            <w:bottom w:val="none" w:sz="0" w:space="0" w:color="auto"/>
            <w:right w:val="none" w:sz="0" w:space="0" w:color="auto"/>
          </w:divBdr>
        </w:div>
      </w:divsChild>
    </w:div>
    <w:div w:id="1336420799">
      <w:bodyDiv w:val="1"/>
      <w:marLeft w:val="0"/>
      <w:marRight w:val="0"/>
      <w:marTop w:val="0"/>
      <w:marBottom w:val="0"/>
      <w:divBdr>
        <w:top w:val="none" w:sz="0" w:space="0" w:color="auto"/>
        <w:left w:val="none" w:sz="0" w:space="0" w:color="auto"/>
        <w:bottom w:val="none" w:sz="0" w:space="0" w:color="auto"/>
        <w:right w:val="none" w:sz="0" w:space="0" w:color="auto"/>
      </w:divBdr>
      <w:divsChild>
        <w:div w:id="1351640847">
          <w:blockQuote w:val="1"/>
          <w:marLeft w:val="600"/>
          <w:marRight w:val="0"/>
          <w:marTop w:val="0"/>
          <w:marBottom w:val="0"/>
          <w:divBdr>
            <w:top w:val="none" w:sz="0" w:space="0" w:color="auto"/>
            <w:left w:val="none" w:sz="0" w:space="0" w:color="auto"/>
            <w:bottom w:val="none" w:sz="0" w:space="0" w:color="auto"/>
            <w:right w:val="none" w:sz="0" w:space="0" w:color="auto"/>
          </w:divBdr>
          <w:divsChild>
            <w:div w:id="173809138">
              <w:marLeft w:val="0"/>
              <w:marRight w:val="0"/>
              <w:marTop w:val="0"/>
              <w:marBottom w:val="0"/>
              <w:divBdr>
                <w:top w:val="none" w:sz="0" w:space="0" w:color="auto"/>
                <w:left w:val="none" w:sz="0" w:space="0" w:color="auto"/>
                <w:bottom w:val="none" w:sz="0" w:space="0" w:color="auto"/>
                <w:right w:val="none" w:sz="0" w:space="0" w:color="auto"/>
              </w:divBdr>
            </w:div>
            <w:div w:id="227618682">
              <w:marLeft w:val="0"/>
              <w:marRight w:val="0"/>
              <w:marTop w:val="0"/>
              <w:marBottom w:val="0"/>
              <w:divBdr>
                <w:top w:val="none" w:sz="0" w:space="0" w:color="auto"/>
                <w:left w:val="none" w:sz="0" w:space="0" w:color="auto"/>
                <w:bottom w:val="none" w:sz="0" w:space="0" w:color="auto"/>
                <w:right w:val="none" w:sz="0" w:space="0" w:color="auto"/>
              </w:divBdr>
            </w:div>
            <w:div w:id="650524306">
              <w:marLeft w:val="0"/>
              <w:marRight w:val="0"/>
              <w:marTop w:val="0"/>
              <w:marBottom w:val="0"/>
              <w:divBdr>
                <w:top w:val="none" w:sz="0" w:space="0" w:color="auto"/>
                <w:left w:val="none" w:sz="0" w:space="0" w:color="auto"/>
                <w:bottom w:val="none" w:sz="0" w:space="0" w:color="auto"/>
                <w:right w:val="none" w:sz="0" w:space="0" w:color="auto"/>
              </w:divBdr>
            </w:div>
            <w:div w:id="932392541">
              <w:marLeft w:val="0"/>
              <w:marRight w:val="0"/>
              <w:marTop w:val="0"/>
              <w:marBottom w:val="0"/>
              <w:divBdr>
                <w:top w:val="none" w:sz="0" w:space="0" w:color="auto"/>
                <w:left w:val="none" w:sz="0" w:space="0" w:color="auto"/>
                <w:bottom w:val="none" w:sz="0" w:space="0" w:color="auto"/>
                <w:right w:val="none" w:sz="0" w:space="0" w:color="auto"/>
              </w:divBdr>
            </w:div>
            <w:div w:id="1218973404">
              <w:marLeft w:val="0"/>
              <w:marRight w:val="0"/>
              <w:marTop w:val="0"/>
              <w:marBottom w:val="0"/>
              <w:divBdr>
                <w:top w:val="none" w:sz="0" w:space="0" w:color="auto"/>
                <w:left w:val="none" w:sz="0" w:space="0" w:color="auto"/>
                <w:bottom w:val="none" w:sz="0" w:space="0" w:color="auto"/>
                <w:right w:val="none" w:sz="0" w:space="0" w:color="auto"/>
              </w:divBdr>
            </w:div>
            <w:div w:id="1657218526">
              <w:marLeft w:val="0"/>
              <w:marRight w:val="0"/>
              <w:marTop w:val="0"/>
              <w:marBottom w:val="0"/>
              <w:divBdr>
                <w:top w:val="none" w:sz="0" w:space="0" w:color="auto"/>
                <w:left w:val="none" w:sz="0" w:space="0" w:color="auto"/>
                <w:bottom w:val="none" w:sz="0" w:space="0" w:color="auto"/>
                <w:right w:val="none" w:sz="0" w:space="0" w:color="auto"/>
              </w:divBdr>
            </w:div>
            <w:div w:id="1968201165">
              <w:marLeft w:val="0"/>
              <w:marRight w:val="0"/>
              <w:marTop w:val="0"/>
              <w:marBottom w:val="0"/>
              <w:divBdr>
                <w:top w:val="none" w:sz="0" w:space="0" w:color="auto"/>
                <w:left w:val="none" w:sz="0" w:space="0" w:color="auto"/>
                <w:bottom w:val="none" w:sz="0" w:space="0" w:color="auto"/>
                <w:right w:val="none" w:sz="0" w:space="0" w:color="auto"/>
              </w:divBdr>
            </w:div>
          </w:divsChild>
        </w:div>
        <w:div w:id="1935431298">
          <w:blockQuote w:val="1"/>
          <w:marLeft w:val="600"/>
          <w:marRight w:val="0"/>
          <w:marTop w:val="0"/>
          <w:marBottom w:val="0"/>
          <w:divBdr>
            <w:top w:val="none" w:sz="0" w:space="0" w:color="auto"/>
            <w:left w:val="none" w:sz="0" w:space="0" w:color="auto"/>
            <w:bottom w:val="none" w:sz="0" w:space="0" w:color="auto"/>
            <w:right w:val="none" w:sz="0" w:space="0" w:color="auto"/>
          </w:divBdr>
          <w:divsChild>
            <w:div w:id="18548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422973">
      <w:bodyDiv w:val="1"/>
      <w:marLeft w:val="0"/>
      <w:marRight w:val="0"/>
      <w:marTop w:val="0"/>
      <w:marBottom w:val="0"/>
      <w:divBdr>
        <w:top w:val="none" w:sz="0" w:space="0" w:color="auto"/>
        <w:left w:val="none" w:sz="0" w:space="0" w:color="auto"/>
        <w:bottom w:val="none" w:sz="0" w:space="0" w:color="auto"/>
        <w:right w:val="none" w:sz="0" w:space="0" w:color="auto"/>
      </w:divBdr>
    </w:div>
    <w:div w:id="1346058762">
      <w:bodyDiv w:val="1"/>
      <w:marLeft w:val="0"/>
      <w:marRight w:val="0"/>
      <w:marTop w:val="0"/>
      <w:marBottom w:val="0"/>
      <w:divBdr>
        <w:top w:val="none" w:sz="0" w:space="0" w:color="auto"/>
        <w:left w:val="none" w:sz="0" w:space="0" w:color="auto"/>
        <w:bottom w:val="none" w:sz="0" w:space="0" w:color="auto"/>
        <w:right w:val="none" w:sz="0" w:space="0" w:color="auto"/>
      </w:divBdr>
    </w:div>
    <w:div w:id="1348211360">
      <w:bodyDiv w:val="1"/>
      <w:marLeft w:val="0"/>
      <w:marRight w:val="0"/>
      <w:marTop w:val="0"/>
      <w:marBottom w:val="0"/>
      <w:divBdr>
        <w:top w:val="none" w:sz="0" w:space="0" w:color="auto"/>
        <w:left w:val="none" w:sz="0" w:space="0" w:color="auto"/>
        <w:bottom w:val="none" w:sz="0" w:space="0" w:color="auto"/>
        <w:right w:val="none" w:sz="0" w:space="0" w:color="auto"/>
      </w:divBdr>
    </w:div>
    <w:div w:id="1356153099">
      <w:bodyDiv w:val="1"/>
      <w:marLeft w:val="0"/>
      <w:marRight w:val="0"/>
      <w:marTop w:val="0"/>
      <w:marBottom w:val="0"/>
      <w:divBdr>
        <w:top w:val="none" w:sz="0" w:space="0" w:color="auto"/>
        <w:left w:val="none" w:sz="0" w:space="0" w:color="auto"/>
        <w:bottom w:val="none" w:sz="0" w:space="0" w:color="auto"/>
        <w:right w:val="none" w:sz="0" w:space="0" w:color="auto"/>
      </w:divBdr>
    </w:div>
    <w:div w:id="1376194951">
      <w:bodyDiv w:val="1"/>
      <w:marLeft w:val="0"/>
      <w:marRight w:val="0"/>
      <w:marTop w:val="0"/>
      <w:marBottom w:val="0"/>
      <w:divBdr>
        <w:top w:val="none" w:sz="0" w:space="0" w:color="auto"/>
        <w:left w:val="none" w:sz="0" w:space="0" w:color="auto"/>
        <w:bottom w:val="none" w:sz="0" w:space="0" w:color="auto"/>
        <w:right w:val="none" w:sz="0" w:space="0" w:color="auto"/>
      </w:divBdr>
    </w:div>
    <w:div w:id="1376542276">
      <w:bodyDiv w:val="1"/>
      <w:marLeft w:val="0"/>
      <w:marRight w:val="0"/>
      <w:marTop w:val="0"/>
      <w:marBottom w:val="0"/>
      <w:divBdr>
        <w:top w:val="none" w:sz="0" w:space="0" w:color="auto"/>
        <w:left w:val="none" w:sz="0" w:space="0" w:color="auto"/>
        <w:bottom w:val="none" w:sz="0" w:space="0" w:color="auto"/>
        <w:right w:val="none" w:sz="0" w:space="0" w:color="auto"/>
      </w:divBdr>
    </w:div>
    <w:div w:id="1395277653">
      <w:bodyDiv w:val="1"/>
      <w:marLeft w:val="0"/>
      <w:marRight w:val="0"/>
      <w:marTop w:val="0"/>
      <w:marBottom w:val="0"/>
      <w:divBdr>
        <w:top w:val="none" w:sz="0" w:space="0" w:color="auto"/>
        <w:left w:val="none" w:sz="0" w:space="0" w:color="auto"/>
        <w:bottom w:val="none" w:sz="0" w:space="0" w:color="auto"/>
        <w:right w:val="none" w:sz="0" w:space="0" w:color="auto"/>
      </w:divBdr>
      <w:divsChild>
        <w:div w:id="1395349852">
          <w:marLeft w:val="0"/>
          <w:marRight w:val="0"/>
          <w:marTop w:val="0"/>
          <w:marBottom w:val="0"/>
          <w:divBdr>
            <w:top w:val="none" w:sz="0" w:space="0" w:color="auto"/>
            <w:left w:val="none" w:sz="0" w:space="0" w:color="auto"/>
            <w:bottom w:val="none" w:sz="0" w:space="0" w:color="auto"/>
            <w:right w:val="none" w:sz="0" w:space="0" w:color="auto"/>
          </w:divBdr>
        </w:div>
        <w:div w:id="1670862639">
          <w:marLeft w:val="0"/>
          <w:marRight w:val="0"/>
          <w:marTop w:val="0"/>
          <w:marBottom w:val="0"/>
          <w:divBdr>
            <w:top w:val="none" w:sz="0" w:space="0" w:color="auto"/>
            <w:left w:val="none" w:sz="0" w:space="0" w:color="auto"/>
            <w:bottom w:val="none" w:sz="0" w:space="0" w:color="auto"/>
            <w:right w:val="none" w:sz="0" w:space="0" w:color="auto"/>
          </w:divBdr>
        </w:div>
      </w:divsChild>
    </w:div>
    <w:div w:id="1438064423">
      <w:bodyDiv w:val="1"/>
      <w:marLeft w:val="0"/>
      <w:marRight w:val="0"/>
      <w:marTop w:val="0"/>
      <w:marBottom w:val="0"/>
      <w:divBdr>
        <w:top w:val="none" w:sz="0" w:space="0" w:color="auto"/>
        <w:left w:val="none" w:sz="0" w:space="0" w:color="auto"/>
        <w:bottom w:val="none" w:sz="0" w:space="0" w:color="auto"/>
        <w:right w:val="none" w:sz="0" w:space="0" w:color="auto"/>
      </w:divBdr>
    </w:div>
    <w:div w:id="1465851501">
      <w:bodyDiv w:val="1"/>
      <w:marLeft w:val="0"/>
      <w:marRight w:val="0"/>
      <w:marTop w:val="0"/>
      <w:marBottom w:val="0"/>
      <w:divBdr>
        <w:top w:val="none" w:sz="0" w:space="0" w:color="auto"/>
        <w:left w:val="none" w:sz="0" w:space="0" w:color="auto"/>
        <w:bottom w:val="none" w:sz="0" w:space="0" w:color="auto"/>
        <w:right w:val="none" w:sz="0" w:space="0" w:color="auto"/>
      </w:divBdr>
    </w:div>
    <w:div w:id="1466658949">
      <w:bodyDiv w:val="1"/>
      <w:marLeft w:val="0"/>
      <w:marRight w:val="0"/>
      <w:marTop w:val="0"/>
      <w:marBottom w:val="0"/>
      <w:divBdr>
        <w:top w:val="none" w:sz="0" w:space="0" w:color="auto"/>
        <w:left w:val="none" w:sz="0" w:space="0" w:color="auto"/>
        <w:bottom w:val="none" w:sz="0" w:space="0" w:color="auto"/>
        <w:right w:val="none" w:sz="0" w:space="0" w:color="auto"/>
      </w:divBdr>
    </w:div>
    <w:div w:id="1504584153">
      <w:bodyDiv w:val="1"/>
      <w:marLeft w:val="0"/>
      <w:marRight w:val="0"/>
      <w:marTop w:val="0"/>
      <w:marBottom w:val="0"/>
      <w:divBdr>
        <w:top w:val="none" w:sz="0" w:space="0" w:color="auto"/>
        <w:left w:val="none" w:sz="0" w:space="0" w:color="auto"/>
        <w:bottom w:val="none" w:sz="0" w:space="0" w:color="auto"/>
        <w:right w:val="none" w:sz="0" w:space="0" w:color="auto"/>
      </w:divBdr>
    </w:div>
    <w:div w:id="1507089099">
      <w:bodyDiv w:val="1"/>
      <w:marLeft w:val="0"/>
      <w:marRight w:val="0"/>
      <w:marTop w:val="0"/>
      <w:marBottom w:val="0"/>
      <w:divBdr>
        <w:top w:val="none" w:sz="0" w:space="0" w:color="auto"/>
        <w:left w:val="none" w:sz="0" w:space="0" w:color="auto"/>
        <w:bottom w:val="none" w:sz="0" w:space="0" w:color="auto"/>
        <w:right w:val="none" w:sz="0" w:space="0" w:color="auto"/>
      </w:divBdr>
      <w:divsChild>
        <w:div w:id="957293609">
          <w:blockQuote w:val="1"/>
          <w:marLeft w:val="600"/>
          <w:marRight w:val="0"/>
          <w:marTop w:val="0"/>
          <w:marBottom w:val="0"/>
          <w:divBdr>
            <w:top w:val="none" w:sz="0" w:space="0" w:color="auto"/>
            <w:left w:val="none" w:sz="0" w:space="0" w:color="auto"/>
            <w:bottom w:val="none" w:sz="0" w:space="0" w:color="auto"/>
            <w:right w:val="none" w:sz="0" w:space="0" w:color="auto"/>
          </w:divBdr>
          <w:divsChild>
            <w:div w:id="1018190876">
              <w:marLeft w:val="0"/>
              <w:marRight w:val="0"/>
              <w:marTop w:val="0"/>
              <w:marBottom w:val="0"/>
              <w:divBdr>
                <w:top w:val="none" w:sz="0" w:space="0" w:color="auto"/>
                <w:left w:val="none" w:sz="0" w:space="0" w:color="auto"/>
                <w:bottom w:val="none" w:sz="0" w:space="0" w:color="auto"/>
                <w:right w:val="none" w:sz="0" w:space="0" w:color="auto"/>
              </w:divBdr>
            </w:div>
          </w:divsChild>
        </w:div>
        <w:div w:id="1102259855">
          <w:blockQuote w:val="1"/>
          <w:marLeft w:val="600"/>
          <w:marRight w:val="0"/>
          <w:marTop w:val="0"/>
          <w:marBottom w:val="0"/>
          <w:divBdr>
            <w:top w:val="none" w:sz="0" w:space="0" w:color="auto"/>
            <w:left w:val="none" w:sz="0" w:space="0" w:color="auto"/>
            <w:bottom w:val="none" w:sz="0" w:space="0" w:color="auto"/>
            <w:right w:val="none" w:sz="0" w:space="0" w:color="auto"/>
          </w:divBdr>
          <w:divsChild>
            <w:div w:id="252131974">
              <w:marLeft w:val="0"/>
              <w:marRight w:val="0"/>
              <w:marTop w:val="0"/>
              <w:marBottom w:val="0"/>
              <w:divBdr>
                <w:top w:val="none" w:sz="0" w:space="0" w:color="auto"/>
                <w:left w:val="none" w:sz="0" w:space="0" w:color="auto"/>
                <w:bottom w:val="none" w:sz="0" w:space="0" w:color="auto"/>
                <w:right w:val="none" w:sz="0" w:space="0" w:color="auto"/>
              </w:divBdr>
            </w:div>
            <w:div w:id="841894565">
              <w:marLeft w:val="0"/>
              <w:marRight w:val="0"/>
              <w:marTop w:val="0"/>
              <w:marBottom w:val="0"/>
              <w:divBdr>
                <w:top w:val="none" w:sz="0" w:space="0" w:color="auto"/>
                <w:left w:val="none" w:sz="0" w:space="0" w:color="auto"/>
                <w:bottom w:val="none" w:sz="0" w:space="0" w:color="auto"/>
                <w:right w:val="none" w:sz="0" w:space="0" w:color="auto"/>
              </w:divBdr>
            </w:div>
            <w:div w:id="1043484312">
              <w:marLeft w:val="0"/>
              <w:marRight w:val="0"/>
              <w:marTop w:val="0"/>
              <w:marBottom w:val="0"/>
              <w:divBdr>
                <w:top w:val="none" w:sz="0" w:space="0" w:color="auto"/>
                <w:left w:val="none" w:sz="0" w:space="0" w:color="auto"/>
                <w:bottom w:val="none" w:sz="0" w:space="0" w:color="auto"/>
                <w:right w:val="none" w:sz="0" w:space="0" w:color="auto"/>
              </w:divBdr>
            </w:div>
            <w:div w:id="1184783908">
              <w:marLeft w:val="0"/>
              <w:marRight w:val="0"/>
              <w:marTop w:val="0"/>
              <w:marBottom w:val="0"/>
              <w:divBdr>
                <w:top w:val="none" w:sz="0" w:space="0" w:color="auto"/>
                <w:left w:val="none" w:sz="0" w:space="0" w:color="auto"/>
                <w:bottom w:val="none" w:sz="0" w:space="0" w:color="auto"/>
                <w:right w:val="none" w:sz="0" w:space="0" w:color="auto"/>
              </w:divBdr>
            </w:div>
            <w:div w:id="1199247010">
              <w:marLeft w:val="0"/>
              <w:marRight w:val="0"/>
              <w:marTop w:val="0"/>
              <w:marBottom w:val="0"/>
              <w:divBdr>
                <w:top w:val="none" w:sz="0" w:space="0" w:color="auto"/>
                <w:left w:val="none" w:sz="0" w:space="0" w:color="auto"/>
                <w:bottom w:val="none" w:sz="0" w:space="0" w:color="auto"/>
                <w:right w:val="none" w:sz="0" w:space="0" w:color="auto"/>
              </w:divBdr>
            </w:div>
            <w:div w:id="1340541751">
              <w:marLeft w:val="0"/>
              <w:marRight w:val="0"/>
              <w:marTop w:val="0"/>
              <w:marBottom w:val="0"/>
              <w:divBdr>
                <w:top w:val="none" w:sz="0" w:space="0" w:color="auto"/>
                <w:left w:val="none" w:sz="0" w:space="0" w:color="auto"/>
                <w:bottom w:val="none" w:sz="0" w:space="0" w:color="auto"/>
                <w:right w:val="none" w:sz="0" w:space="0" w:color="auto"/>
              </w:divBdr>
            </w:div>
            <w:div w:id="195304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028143">
      <w:bodyDiv w:val="1"/>
      <w:marLeft w:val="0"/>
      <w:marRight w:val="0"/>
      <w:marTop w:val="0"/>
      <w:marBottom w:val="0"/>
      <w:divBdr>
        <w:top w:val="none" w:sz="0" w:space="0" w:color="auto"/>
        <w:left w:val="none" w:sz="0" w:space="0" w:color="auto"/>
        <w:bottom w:val="none" w:sz="0" w:space="0" w:color="auto"/>
        <w:right w:val="none" w:sz="0" w:space="0" w:color="auto"/>
      </w:divBdr>
    </w:div>
    <w:div w:id="1535264828">
      <w:bodyDiv w:val="1"/>
      <w:marLeft w:val="0"/>
      <w:marRight w:val="0"/>
      <w:marTop w:val="0"/>
      <w:marBottom w:val="0"/>
      <w:divBdr>
        <w:top w:val="none" w:sz="0" w:space="0" w:color="auto"/>
        <w:left w:val="none" w:sz="0" w:space="0" w:color="auto"/>
        <w:bottom w:val="none" w:sz="0" w:space="0" w:color="auto"/>
        <w:right w:val="none" w:sz="0" w:space="0" w:color="auto"/>
      </w:divBdr>
    </w:div>
    <w:div w:id="1544097887">
      <w:bodyDiv w:val="1"/>
      <w:marLeft w:val="0"/>
      <w:marRight w:val="0"/>
      <w:marTop w:val="0"/>
      <w:marBottom w:val="0"/>
      <w:divBdr>
        <w:top w:val="none" w:sz="0" w:space="0" w:color="auto"/>
        <w:left w:val="none" w:sz="0" w:space="0" w:color="auto"/>
        <w:bottom w:val="none" w:sz="0" w:space="0" w:color="auto"/>
        <w:right w:val="none" w:sz="0" w:space="0" w:color="auto"/>
      </w:divBdr>
    </w:div>
    <w:div w:id="1554848361">
      <w:bodyDiv w:val="1"/>
      <w:marLeft w:val="0"/>
      <w:marRight w:val="0"/>
      <w:marTop w:val="0"/>
      <w:marBottom w:val="0"/>
      <w:divBdr>
        <w:top w:val="none" w:sz="0" w:space="0" w:color="auto"/>
        <w:left w:val="none" w:sz="0" w:space="0" w:color="auto"/>
        <w:bottom w:val="none" w:sz="0" w:space="0" w:color="auto"/>
        <w:right w:val="none" w:sz="0" w:space="0" w:color="auto"/>
      </w:divBdr>
      <w:divsChild>
        <w:div w:id="1410544589">
          <w:marLeft w:val="0"/>
          <w:marRight w:val="0"/>
          <w:marTop w:val="0"/>
          <w:marBottom w:val="0"/>
          <w:divBdr>
            <w:top w:val="none" w:sz="0" w:space="0" w:color="auto"/>
            <w:left w:val="none" w:sz="0" w:space="0" w:color="auto"/>
            <w:bottom w:val="none" w:sz="0" w:space="0" w:color="auto"/>
            <w:right w:val="none" w:sz="0" w:space="0" w:color="auto"/>
          </w:divBdr>
        </w:div>
        <w:div w:id="2108571164">
          <w:marLeft w:val="0"/>
          <w:marRight w:val="0"/>
          <w:marTop w:val="0"/>
          <w:marBottom w:val="0"/>
          <w:divBdr>
            <w:top w:val="none" w:sz="0" w:space="0" w:color="auto"/>
            <w:left w:val="none" w:sz="0" w:space="0" w:color="auto"/>
            <w:bottom w:val="none" w:sz="0" w:space="0" w:color="auto"/>
            <w:right w:val="none" w:sz="0" w:space="0" w:color="auto"/>
          </w:divBdr>
          <w:divsChild>
            <w:div w:id="152069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743647">
      <w:bodyDiv w:val="1"/>
      <w:marLeft w:val="0"/>
      <w:marRight w:val="0"/>
      <w:marTop w:val="0"/>
      <w:marBottom w:val="0"/>
      <w:divBdr>
        <w:top w:val="none" w:sz="0" w:space="0" w:color="auto"/>
        <w:left w:val="none" w:sz="0" w:space="0" w:color="auto"/>
        <w:bottom w:val="none" w:sz="0" w:space="0" w:color="auto"/>
        <w:right w:val="none" w:sz="0" w:space="0" w:color="auto"/>
      </w:divBdr>
      <w:divsChild>
        <w:div w:id="539248894">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576548175">
      <w:bodyDiv w:val="1"/>
      <w:marLeft w:val="0"/>
      <w:marRight w:val="0"/>
      <w:marTop w:val="0"/>
      <w:marBottom w:val="0"/>
      <w:divBdr>
        <w:top w:val="none" w:sz="0" w:space="0" w:color="auto"/>
        <w:left w:val="none" w:sz="0" w:space="0" w:color="auto"/>
        <w:bottom w:val="none" w:sz="0" w:space="0" w:color="auto"/>
        <w:right w:val="none" w:sz="0" w:space="0" w:color="auto"/>
      </w:divBdr>
    </w:div>
    <w:div w:id="1578132841">
      <w:bodyDiv w:val="1"/>
      <w:marLeft w:val="0"/>
      <w:marRight w:val="0"/>
      <w:marTop w:val="0"/>
      <w:marBottom w:val="0"/>
      <w:divBdr>
        <w:top w:val="none" w:sz="0" w:space="0" w:color="auto"/>
        <w:left w:val="none" w:sz="0" w:space="0" w:color="auto"/>
        <w:bottom w:val="none" w:sz="0" w:space="0" w:color="auto"/>
        <w:right w:val="none" w:sz="0" w:space="0" w:color="auto"/>
      </w:divBdr>
    </w:div>
    <w:div w:id="1590235441">
      <w:bodyDiv w:val="1"/>
      <w:marLeft w:val="0"/>
      <w:marRight w:val="0"/>
      <w:marTop w:val="0"/>
      <w:marBottom w:val="0"/>
      <w:divBdr>
        <w:top w:val="none" w:sz="0" w:space="0" w:color="auto"/>
        <w:left w:val="none" w:sz="0" w:space="0" w:color="auto"/>
        <w:bottom w:val="none" w:sz="0" w:space="0" w:color="auto"/>
        <w:right w:val="none" w:sz="0" w:space="0" w:color="auto"/>
      </w:divBdr>
    </w:div>
    <w:div w:id="1597398631">
      <w:bodyDiv w:val="1"/>
      <w:marLeft w:val="0"/>
      <w:marRight w:val="0"/>
      <w:marTop w:val="0"/>
      <w:marBottom w:val="0"/>
      <w:divBdr>
        <w:top w:val="none" w:sz="0" w:space="0" w:color="auto"/>
        <w:left w:val="none" w:sz="0" w:space="0" w:color="auto"/>
        <w:bottom w:val="none" w:sz="0" w:space="0" w:color="auto"/>
        <w:right w:val="none" w:sz="0" w:space="0" w:color="auto"/>
      </w:divBdr>
    </w:div>
    <w:div w:id="1600018391">
      <w:bodyDiv w:val="1"/>
      <w:marLeft w:val="0"/>
      <w:marRight w:val="0"/>
      <w:marTop w:val="0"/>
      <w:marBottom w:val="0"/>
      <w:divBdr>
        <w:top w:val="none" w:sz="0" w:space="0" w:color="auto"/>
        <w:left w:val="none" w:sz="0" w:space="0" w:color="auto"/>
        <w:bottom w:val="none" w:sz="0" w:space="0" w:color="auto"/>
        <w:right w:val="none" w:sz="0" w:space="0" w:color="auto"/>
      </w:divBdr>
    </w:div>
    <w:div w:id="1601721048">
      <w:bodyDiv w:val="1"/>
      <w:marLeft w:val="0"/>
      <w:marRight w:val="0"/>
      <w:marTop w:val="0"/>
      <w:marBottom w:val="0"/>
      <w:divBdr>
        <w:top w:val="none" w:sz="0" w:space="0" w:color="auto"/>
        <w:left w:val="none" w:sz="0" w:space="0" w:color="auto"/>
        <w:bottom w:val="none" w:sz="0" w:space="0" w:color="auto"/>
        <w:right w:val="none" w:sz="0" w:space="0" w:color="auto"/>
      </w:divBdr>
    </w:div>
    <w:div w:id="1611863291">
      <w:bodyDiv w:val="1"/>
      <w:marLeft w:val="0"/>
      <w:marRight w:val="0"/>
      <w:marTop w:val="0"/>
      <w:marBottom w:val="0"/>
      <w:divBdr>
        <w:top w:val="none" w:sz="0" w:space="0" w:color="auto"/>
        <w:left w:val="none" w:sz="0" w:space="0" w:color="auto"/>
        <w:bottom w:val="none" w:sz="0" w:space="0" w:color="auto"/>
        <w:right w:val="none" w:sz="0" w:space="0" w:color="auto"/>
      </w:divBdr>
      <w:divsChild>
        <w:div w:id="856696043">
          <w:blockQuote w:val="1"/>
          <w:marLeft w:val="600"/>
          <w:marRight w:val="0"/>
          <w:marTop w:val="0"/>
          <w:marBottom w:val="0"/>
          <w:divBdr>
            <w:top w:val="none" w:sz="0" w:space="0" w:color="auto"/>
            <w:left w:val="none" w:sz="0" w:space="0" w:color="auto"/>
            <w:bottom w:val="none" w:sz="0" w:space="0" w:color="auto"/>
            <w:right w:val="none" w:sz="0" w:space="0" w:color="auto"/>
          </w:divBdr>
          <w:divsChild>
            <w:div w:id="329528963">
              <w:marLeft w:val="0"/>
              <w:marRight w:val="0"/>
              <w:marTop w:val="0"/>
              <w:marBottom w:val="0"/>
              <w:divBdr>
                <w:top w:val="none" w:sz="0" w:space="0" w:color="auto"/>
                <w:left w:val="none" w:sz="0" w:space="0" w:color="auto"/>
                <w:bottom w:val="none" w:sz="0" w:space="0" w:color="auto"/>
                <w:right w:val="none" w:sz="0" w:space="0" w:color="auto"/>
              </w:divBdr>
            </w:div>
            <w:div w:id="401291290">
              <w:marLeft w:val="0"/>
              <w:marRight w:val="0"/>
              <w:marTop w:val="0"/>
              <w:marBottom w:val="0"/>
              <w:divBdr>
                <w:top w:val="none" w:sz="0" w:space="0" w:color="auto"/>
                <w:left w:val="none" w:sz="0" w:space="0" w:color="auto"/>
                <w:bottom w:val="none" w:sz="0" w:space="0" w:color="auto"/>
                <w:right w:val="none" w:sz="0" w:space="0" w:color="auto"/>
              </w:divBdr>
            </w:div>
            <w:div w:id="984626745">
              <w:marLeft w:val="0"/>
              <w:marRight w:val="0"/>
              <w:marTop w:val="0"/>
              <w:marBottom w:val="0"/>
              <w:divBdr>
                <w:top w:val="none" w:sz="0" w:space="0" w:color="auto"/>
                <w:left w:val="none" w:sz="0" w:space="0" w:color="auto"/>
                <w:bottom w:val="none" w:sz="0" w:space="0" w:color="auto"/>
                <w:right w:val="none" w:sz="0" w:space="0" w:color="auto"/>
              </w:divBdr>
            </w:div>
            <w:div w:id="1254242452">
              <w:marLeft w:val="0"/>
              <w:marRight w:val="0"/>
              <w:marTop w:val="0"/>
              <w:marBottom w:val="0"/>
              <w:divBdr>
                <w:top w:val="none" w:sz="0" w:space="0" w:color="auto"/>
                <w:left w:val="none" w:sz="0" w:space="0" w:color="auto"/>
                <w:bottom w:val="none" w:sz="0" w:space="0" w:color="auto"/>
                <w:right w:val="none" w:sz="0" w:space="0" w:color="auto"/>
              </w:divBdr>
            </w:div>
            <w:div w:id="1504080156">
              <w:marLeft w:val="0"/>
              <w:marRight w:val="0"/>
              <w:marTop w:val="0"/>
              <w:marBottom w:val="0"/>
              <w:divBdr>
                <w:top w:val="none" w:sz="0" w:space="0" w:color="auto"/>
                <w:left w:val="none" w:sz="0" w:space="0" w:color="auto"/>
                <w:bottom w:val="none" w:sz="0" w:space="0" w:color="auto"/>
                <w:right w:val="none" w:sz="0" w:space="0" w:color="auto"/>
              </w:divBdr>
            </w:div>
            <w:div w:id="1693610871">
              <w:marLeft w:val="0"/>
              <w:marRight w:val="0"/>
              <w:marTop w:val="0"/>
              <w:marBottom w:val="0"/>
              <w:divBdr>
                <w:top w:val="none" w:sz="0" w:space="0" w:color="auto"/>
                <w:left w:val="none" w:sz="0" w:space="0" w:color="auto"/>
                <w:bottom w:val="none" w:sz="0" w:space="0" w:color="auto"/>
                <w:right w:val="none" w:sz="0" w:space="0" w:color="auto"/>
              </w:divBdr>
            </w:div>
            <w:div w:id="1701585447">
              <w:marLeft w:val="0"/>
              <w:marRight w:val="0"/>
              <w:marTop w:val="0"/>
              <w:marBottom w:val="0"/>
              <w:divBdr>
                <w:top w:val="none" w:sz="0" w:space="0" w:color="auto"/>
                <w:left w:val="none" w:sz="0" w:space="0" w:color="auto"/>
                <w:bottom w:val="none" w:sz="0" w:space="0" w:color="auto"/>
                <w:right w:val="none" w:sz="0" w:space="0" w:color="auto"/>
              </w:divBdr>
            </w:div>
          </w:divsChild>
        </w:div>
        <w:div w:id="1884830841">
          <w:blockQuote w:val="1"/>
          <w:marLeft w:val="600"/>
          <w:marRight w:val="0"/>
          <w:marTop w:val="0"/>
          <w:marBottom w:val="0"/>
          <w:divBdr>
            <w:top w:val="none" w:sz="0" w:space="0" w:color="auto"/>
            <w:left w:val="none" w:sz="0" w:space="0" w:color="auto"/>
            <w:bottom w:val="none" w:sz="0" w:space="0" w:color="auto"/>
            <w:right w:val="none" w:sz="0" w:space="0" w:color="auto"/>
          </w:divBdr>
          <w:divsChild>
            <w:div w:id="94519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41440">
      <w:bodyDiv w:val="1"/>
      <w:marLeft w:val="0"/>
      <w:marRight w:val="0"/>
      <w:marTop w:val="0"/>
      <w:marBottom w:val="0"/>
      <w:divBdr>
        <w:top w:val="none" w:sz="0" w:space="0" w:color="auto"/>
        <w:left w:val="none" w:sz="0" w:space="0" w:color="auto"/>
        <w:bottom w:val="none" w:sz="0" w:space="0" w:color="auto"/>
        <w:right w:val="none" w:sz="0" w:space="0" w:color="auto"/>
      </w:divBdr>
    </w:div>
    <w:div w:id="1710954966">
      <w:bodyDiv w:val="1"/>
      <w:marLeft w:val="0"/>
      <w:marRight w:val="0"/>
      <w:marTop w:val="0"/>
      <w:marBottom w:val="0"/>
      <w:divBdr>
        <w:top w:val="none" w:sz="0" w:space="0" w:color="auto"/>
        <w:left w:val="none" w:sz="0" w:space="0" w:color="auto"/>
        <w:bottom w:val="none" w:sz="0" w:space="0" w:color="auto"/>
        <w:right w:val="none" w:sz="0" w:space="0" w:color="auto"/>
      </w:divBdr>
    </w:div>
    <w:div w:id="1712610867">
      <w:bodyDiv w:val="1"/>
      <w:marLeft w:val="0"/>
      <w:marRight w:val="0"/>
      <w:marTop w:val="0"/>
      <w:marBottom w:val="0"/>
      <w:divBdr>
        <w:top w:val="none" w:sz="0" w:space="0" w:color="auto"/>
        <w:left w:val="none" w:sz="0" w:space="0" w:color="auto"/>
        <w:bottom w:val="none" w:sz="0" w:space="0" w:color="auto"/>
        <w:right w:val="none" w:sz="0" w:space="0" w:color="auto"/>
      </w:divBdr>
    </w:div>
    <w:div w:id="1717461105">
      <w:bodyDiv w:val="1"/>
      <w:marLeft w:val="0"/>
      <w:marRight w:val="0"/>
      <w:marTop w:val="0"/>
      <w:marBottom w:val="0"/>
      <w:divBdr>
        <w:top w:val="none" w:sz="0" w:space="0" w:color="auto"/>
        <w:left w:val="none" w:sz="0" w:space="0" w:color="auto"/>
        <w:bottom w:val="none" w:sz="0" w:space="0" w:color="auto"/>
        <w:right w:val="none" w:sz="0" w:space="0" w:color="auto"/>
      </w:divBdr>
    </w:div>
    <w:div w:id="1722553797">
      <w:bodyDiv w:val="1"/>
      <w:marLeft w:val="0"/>
      <w:marRight w:val="0"/>
      <w:marTop w:val="0"/>
      <w:marBottom w:val="0"/>
      <w:divBdr>
        <w:top w:val="none" w:sz="0" w:space="0" w:color="auto"/>
        <w:left w:val="none" w:sz="0" w:space="0" w:color="auto"/>
        <w:bottom w:val="none" w:sz="0" w:space="0" w:color="auto"/>
        <w:right w:val="none" w:sz="0" w:space="0" w:color="auto"/>
      </w:divBdr>
      <w:divsChild>
        <w:div w:id="539708414">
          <w:blockQuote w:val="1"/>
          <w:marLeft w:val="600"/>
          <w:marRight w:val="0"/>
          <w:marTop w:val="0"/>
          <w:marBottom w:val="0"/>
          <w:divBdr>
            <w:top w:val="none" w:sz="0" w:space="0" w:color="auto"/>
            <w:left w:val="none" w:sz="0" w:space="0" w:color="auto"/>
            <w:bottom w:val="none" w:sz="0" w:space="0" w:color="auto"/>
            <w:right w:val="none" w:sz="0" w:space="0" w:color="auto"/>
          </w:divBdr>
          <w:divsChild>
            <w:div w:id="184170856">
              <w:marLeft w:val="0"/>
              <w:marRight w:val="0"/>
              <w:marTop w:val="0"/>
              <w:marBottom w:val="0"/>
              <w:divBdr>
                <w:top w:val="none" w:sz="0" w:space="0" w:color="auto"/>
                <w:left w:val="none" w:sz="0" w:space="0" w:color="auto"/>
                <w:bottom w:val="none" w:sz="0" w:space="0" w:color="auto"/>
                <w:right w:val="none" w:sz="0" w:space="0" w:color="auto"/>
              </w:divBdr>
            </w:div>
            <w:div w:id="896165071">
              <w:marLeft w:val="0"/>
              <w:marRight w:val="0"/>
              <w:marTop w:val="0"/>
              <w:marBottom w:val="0"/>
              <w:divBdr>
                <w:top w:val="none" w:sz="0" w:space="0" w:color="auto"/>
                <w:left w:val="none" w:sz="0" w:space="0" w:color="auto"/>
                <w:bottom w:val="none" w:sz="0" w:space="0" w:color="auto"/>
                <w:right w:val="none" w:sz="0" w:space="0" w:color="auto"/>
              </w:divBdr>
            </w:div>
            <w:div w:id="1481993246">
              <w:marLeft w:val="0"/>
              <w:marRight w:val="0"/>
              <w:marTop w:val="0"/>
              <w:marBottom w:val="0"/>
              <w:divBdr>
                <w:top w:val="none" w:sz="0" w:space="0" w:color="auto"/>
                <w:left w:val="none" w:sz="0" w:space="0" w:color="auto"/>
                <w:bottom w:val="none" w:sz="0" w:space="0" w:color="auto"/>
                <w:right w:val="none" w:sz="0" w:space="0" w:color="auto"/>
              </w:divBdr>
            </w:div>
            <w:div w:id="1608927912">
              <w:marLeft w:val="0"/>
              <w:marRight w:val="0"/>
              <w:marTop w:val="0"/>
              <w:marBottom w:val="0"/>
              <w:divBdr>
                <w:top w:val="none" w:sz="0" w:space="0" w:color="auto"/>
                <w:left w:val="none" w:sz="0" w:space="0" w:color="auto"/>
                <w:bottom w:val="none" w:sz="0" w:space="0" w:color="auto"/>
                <w:right w:val="none" w:sz="0" w:space="0" w:color="auto"/>
              </w:divBdr>
            </w:div>
            <w:div w:id="1786340966">
              <w:marLeft w:val="0"/>
              <w:marRight w:val="0"/>
              <w:marTop w:val="0"/>
              <w:marBottom w:val="0"/>
              <w:divBdr>
                <w:top w:val="none" w:sz="0" w:space="0" w:color="auto"/>
                <w:left w:val="none" w:sz="0" w:space="0" w:color="auto"/>
                <w:bottom w:val="none" w:sz="0" w:space="0" w:color="auto"/>
                <w:right w:val="none" w:sz="0" w:space="0" w:color="auto"/>
              </w:divBdr>
            </w:div>
            <w:div w:id="1893955600">
              <w:marLeft w:val="0"/>
              <w:marRight w:val="0"/>
              <w:marTop w:val="0"/>
              <w:marBottom w:val="0"/>
              <w:divBdr>
                <w:top w:val="none" w:sz="0" w:space="0" w:color="auto"/>
                <w:left w:val="none" w:sz="0" w:space="0" w:color="auto"/>
                <w:bottom w:val="none" w:sz="0" w:space="0" w:color="auto"/>
                <w:right w:val="none" w:sz="0" w:space="0" w:color="auto"/>
              </w:divBdr>
            </w:div>
            <w:div w:id="2103407156">
              <w:marLeft w:val="0"/>
              <w:marRight w:val="0"/>
              <w:marTop w:val="0"/>
              <w:marBottom w:val="0"/>
              <w:divBdr>
                <w:top w:val="none" w:sz="0" w:space="0" w:color="auto"/>
                <w:left w:val="none" w:sz="0" w:space="0" w:color="auto"/>
                <w:bottom w:val="none" w:sz="0" w:space="0" w:color="auto"/>
                <w:right w:val="none" w:sz="0" w:space="0" w:color="auto"/>
              </w:divBdr>
            </w:div>
          </w:divsChild>
        </w:div>
        <w:div w:id="1243758229">
          <w:blockQuote w:val="1"/>
          <w:marLeft w:val="600"/>
          <w:marRight w:val="0"/>
          <w:marTop w:val="0"/>
          <w:marBottom w:val="0"/>
          <w:divBdr>
            <w:top w:val="none" w:sz="0" w:space="0" w:color="auto"/>
            <w:left w:val="none" w:sz="0" w:space="0" w:color="auto"/>
            <w:bottom w:val="none" w:sz="0" w:space="0" w:color="auto"/>
            <w:right w:val="none" w:sz="0" w:space="0" w:color="auto"/>
          </w:divBdr>
          <w:divsChild>
            <w:div w:id="67654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22839">
      <w:bodyDiv w:val="1"/>
      <w:marLeft w:val="0"/>
      <w:marRight w:val="0"/>
      <w:marTop w:val="0"/>
      <w:marBottom w:val="0"/>
      <w:divBdr>
        <w:top w:val="none" w:sz="0" w:space="0" w:color="auto"/>
        <w:left w:val="none" w:sz="0" w:space="0" w:color="auto"/>
        <w:bottom w:val="none" w:sz="0" w:space="0" w:color="auto"/>
        <w:right w:val="none" w:sz="0" w:space="0" w:color="auto"/>
      </w:divBdr>
    </w:div>
    <w:div w:id="1771655908">
      <w:bodyDiv w:val="1"/>
      <w:marLeft w:val="0"/>
      <w:marRight w:val="0"/>
      <w:marTop w:val="0"/>
      <w:marBottom w:val="0"/>
      <w:divBdr>
        <w:top w:val="none" w:sz="0" w:space="0" w:color="auto"/>
        <w:left w:val="none" w:sz="0" w:space="0" w:color="auto"/>
        <w:bottom w:val="none" w:sz="0" w:space="0" w:color="auto"/>
        <w:right w:val="none" w:sz="0" w:space="0" w:color="auto"/>
      </w:divBdr>
    </w:div>
    <w:div w:id="1784692318">
      <w:bodyDiv w:val="1"/>
      <w:marLeft w:val="0"/>
      <w:marRight w:val="0"/>
      <w:marTop w:val="0"/>
      <w:marBottom w:val="0"/>
      <w:divBdr>
        <w:top w:val="none" w:sz="0" w:space="0" w:color="auto"/>
        <w:left w:val="none" w:sz="0" w:space="0" w:color="auto"/>
        <w:bottom w:val="none" w:sz="0" w:space="0" w:color="auto"/>
        <w:right w:val="none" w:sz="0" w:space="0" w:color="auto"/>
      </w:divBdr>
    </w:div>
    <w:div w:id="1787041533">
      <w:bodyDiv w:val="1"/>
      <w:marLeft w:val="0"/>
      <w:marRight w:val="0"/>
      <w:marTop w:val="0"/>
      <w:marBottom w:val="0"/>
      <w:divBdr>
        <w:top w:val="none" w:sz="0" w:space="0" w:color="auto"/>
        <w:left w:val="none" w:sz="0" w:space="0" w:color="auto"/>
        <w:bottom w:val="none" w:sz="0" w:space="0" w:color="auto"/>
        <w:right w:val="none" w:sz="0" w:space="0" w:color="auto"/>
      </w:divBdr>
    </w:div>
    <w:div w:id="1794859693">
      <w:bodyDiv w:val="1"/>
      <w:marLeft w:val="0"/>
      <w:marRight w:val="0"/>
      <w:marTop w:val="0"/>
      <w:marBottom w:val="0"/>
      <w:divBdr>
        <w:top w:val="none" w:sz="0" w:space="0" w:color="auto"/>
        <w:left w:val="none" w:sz="0" w:space="0" w:color="auto"/>
        <w:bottom w:val="none" w:sz="0" w:space="0" w:color="auto"/>
        <w:right w:val="none" w:sz="0" w:space="0" w:color="auto"/>
      </w:divBdr>
      <w:divsChild>
        <w:div w:id="1809780161">
          <w:marLeft w:val="0"/>
          <w:marRight w:val="0"/>
          <w:marTop w:val="0"/>
          <w:marBottom w:val="0"/>
          <w:divBdr>
            <w:top w:val="none" w:sz="0" w:space="0" w:color="auto"/>
            <w:left w:val="none" w:sz="0" w:space="0" w:color="auto"/>
            <w:bottom w:val="none" w:sz="0" w:space="0" w:color="auto"/>
            <w:right w:val="none" w:sz="0" w:space="0" w:color="auto"/>
          </w:divBdr>
          <w:divsChild>
            <w:div w:id="721321582">
              <w:marLeft w:val="0"/>
              <w:marRight w:val="0"/>
              <w:marTop w:val="0"/>
              <w:marBottom w:val="0"/>
              <w:divBdr>
                <w:top w:val="none" w:sz="0" w:space="0" w:color="auto"/>
                <w:left w:val="none" w:sz="0" w:space="0" w:color="auto"/>
                <w:bottom w:val="none" w:sz="0" w:space="0" w:color="auto"/>
                <w:right w:val="none" w:sz="0" w:space="0" w:color="auto"/>
              </w:divBdr>
            </w:div>
            <w:div w:id="116774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653681">
      <w:bodyDiv w:val="1"/>
      <w:marLeft w:val="0"/>
      <w:marRight w:val="0"/>
      <w:marTop w:val="0"/>
      <w:marBottom w:val="0"/>
      <w:divBdr>
        <w:top w:val="none" w:sz="0" w:space="0" w:color="auto"/>
        <w:left w:val="none" w:sz="0" w:space="0" w:color="auto"/>
        <w:bottom w:val="none" w:sz="0" w:space="0" w:color="auto"/>
        <w:right w:val="none" w:sz="0" w:space="0" w:color="auto"/>
      </w:divBdr>
    </w:div>
    <w:div w:id="1806121699">
      <w:bodyDiv w:val="1"/>
      <w:marLeft w:val="0"/>
      <w:marRight w:val="0"/>
      <w:marTop w:val="0"/>
      <w:marBottom w:val="0"/>
      <w:divBdr>
        <w:top w:val="none" w:sz="0" w:space="0" w:color="auto"/>
        <w:left w:val="none" w:sz="0" w:space="0" w:color="auto"/>
        <w:bottom w:val="none" w:sz="0" w:space="0" w:color="auto"/>
        <w:right w:val="none" w:sz="0" w:space="0" w:color="auto"/>
      </w:divBdr>
    </w:div>
    <w:div w:id="1853491304">
      <w:bodyDiv w:val="1"/>
      <w:marLeft w:val="0"/>
      <w:marRight w:val="0"/>
      <w:marTop w:val="0"/>
      <w:marBottom w:val="0"/>
      <w:divBdr>
        <w:top w:val="none" w:sz="0" w:space="0" w:color="auto"/>
        <w:left w:val="none" w:sz="0" w:space="0" w:color="auto"/>
        <w:bottom w:val="none" w:sz="0" w:space="0" w:color="auto"/>
        <w:right w:val="none" w:sz="0" w:space="0" w:color="auto"/>
      </w:divBdr>
      <w:divsChild>
        <w:div w:id="635961840">
          <w:marLeft w:val="0"/>
          <w:marRight w:val="0"/>
          <w:marTop w:val="0"/>
          <w:marBottom w:val="0"/>
          <w:divBdr>
            <w:top w:val="none" w:sz="0" w:space="0" w:color="auto"/>
            <w:left w:val="none" w:sz="0" w:space="0" w:color="auto"/>
            <w:bottom w:val="none" w:sz="0" w:space="0" w:color="auto"/>
            <w:right w:val="none" w:sz="0" w:space="0" w:color="auto"/>
          </w:divBdr>
        </w:div>
        <w:div w:id="1302731050">
          <w:marLeft w:val="0"/>
          <w:marRight w:val="0"/>
          <w:marTop w:val="0"/>
          <w:marBottom w:val="0"/>
          <w:divBdr>
            <w:top w:val="none" w:sz="0" w:space="0" w:color="auto"/>
            <w:left w:val="none" w:sz="0" w:space="0" w:color="auto"/>
            <w:bottom w:val="none" w:sz="0" w:space="0" w:color="auto"/>
            <w:right w:val="none" w:sz="0" w:space="0" w:color="auto"/>
          </w:divBdr>
        </w:div>
      </w:divsChild>
    </w:div>
    <w:div w:id="1875582679">
      <w:bodyDiv w:val="1"/>
      <w:marLeft w:val="0"/>
      <w:marRight w:val="0"/>
      <w:marTop w:val="0"/>
      <w:marBottom w:val="0"/>
      <w:divBdr>
        <w:top w:val="none" w:sz="0" w:space="0" w:color="auto"/>
        <w:left w:val="none" w:sz="0" w:space="0" w:color="auto"/>
        <w:bottom w:val="none" w:sz="0" w:space="0" w:color="auto"/>
        <w:right w:val="none" w:sz="0" w:space="0" w:color="auto"/>
      </w:divBdr>
    </w:div>
    <w:div w:id="1882159780">
      <w:bodyDiv w:val="1"/>
      <w:marLeft w:val="0"/>
      <w:marRight w:val="0"/>
      <w:marTop w:val="0"/>
      <w:marBottom w:val="0"/>
      <w:divBdr>
        <w:top w:val="none" w:sz="0" w:space="0" w:color="auto"/>
        <w:left w:val="none" w:sz="0" w:space="0" w:color="auto"/>
        <w:bottom w:val="none" w:sz="0" w:space="0" w:color="auto"/>
        <w:right w:val="none" w:sz="0" w:space="0" w:color="auto"/>
      </w:divBdr>
    </w:div>
    <w:div w:id="1886790051">
      <w:bodyDiv w:val="1"/>
      <w:marLeft w:val="0"/>
      <w:marRight w:val="0"/>
      <w:marTop w:val="0"/>
      <w:marBottom w:val="0"/>
      <w:divBdr>
        <w:top w:val="none" w:sz="0" w:space="0" w:color="auto"/>
        <w:left w:val="none" w:sz="0" w:space="0" w:color="auto"/>
        <w:bottom w:val="none" w:sz="0" w:space="0" w:color="auto"/>
        <w:right w:val="none" w:sz="0" w:space="0" w:color="auto"/>
      </w:divBdr>
    </w:div>
    <w:div w:id="1908496709">
      <w:bodyDiv w:val="1"/>
      <w:marLeft w:val="0"/>
      <w:marRight w:val="0"/>
      <w:marTop w:val="0"/>
      <w:marBottom w:val="0"/>
      <w:divBdr>
        <w:top w:val="none" w:sz="0" w:space="0" w:color="auto"/>
        <w:left w:val="none" w:sz="0" w:space="0" w:color="auto"/>
        <w:bottom w:val="none" w:sz="0" w:space="0" w:color="auto"/>
        <w:right w:val="none" w:sz="0" w:space="0" w:color="auto"/>
      </w:divBdr>
      <w:divsChild>
        <w:div w:id="102187819">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929607400">
      <w:bodyDiv w:val="1"/>
      <w:marLeft w:val="0"/>
      <w:marRight w:val="0"/>
      <w:marTop w:val="0"/>
      <w:marBottom w:val="0"/>
      <w:divBdr>
        <w:top w:val="none" w:sz="0" w:space="0" w:color="auto"/>
        <w:left w:val="none" w:sz="0" w:space="0" w:color="auto"/>
        <w:bottom w:val="none" w:sz="0" w:space="0" w:color="auto"/>
        <w:right w:val="none" w:sz="0" w:space="0" w:color="auto"/>
      </w:divBdr>
    </w:div>
    <w:div w:id="1944149293">
      <w:bodyDiv w:val="1"/>
      <w:marLeft w:val="0"/>
      <w:marRight w:val="0"/>
      <w:marTop w:val="0"/>
      <w:marBottom w:val="0"/>
      <w:divBdr>
        <w:top w:val="none" w:sz="0" w:space="0" w:color="auto"/>
        <w:left w:val="none" w:sz="0" w:space="0" w:color="auto"/>
        <w:bottom w:val="none" w:sz="0" w:space="0" w:color="auto"/>
        <w:right w:val="none" w:sz="0" w:space="0" w:color="auto"/>
      </w:divBdr>
    </w:div>
    <w:div w:id="1950504037">
      <w:bodyDiv w:val="1"/>
      <w:marLeft w:val="0"/>
      <w:marRight w:val="0"/>
      <w:marTop w:val="0"/>
      <w:marBottom w:val="0"/>
      <w:divBdr>
        <w:top w:val="none" w:sz="0" w:space="0" w:color="auto"/>
        <w:left w:val="none" w:sz="0" w:space="0" w:color="auto"/>
        <w:bottom w:val="none" w:sz="0" w:space="0" w:color="auto"/>
        <w:right w:val="none" w:sz="0" w:space="0" w:color="auto"/>
      </w:divBdr>
      <w:divsChild>
        <w:div w:id="401218342">
          <w:marLeft w:val="0"/>
          <w:marRight w:val="0"/>
          <w:marTop w:val="0"/>
          <w:marBottom w:val="0"/>
          <w:divBdr>
            <w:top w:val="none" w:sz="0" w:space="0" w:color="auto"/>
            <w:left w:val="none" w:sz="0" w:space="0" w:color="auto"/>
            <w:bottom w:val="none" w:sz="0" w:space="0" w:color="auto"/>
            <w:right w:val="none" w:sz="0" w:space="0" w:color="auto"/>
          </w:divBdr>
        </w:div>
        <w:div w:id="556401447">
          <w:marLeft w:val="0"/>
          <w:marRight w:val="0"/>
          <w:marTop w:val="0"/>
          <w:marBottom w:val="0"/>
          <w:divBdr>
            <w:top w:val="none" w:sz="0" w:space="0" w:color="auto"/>
            <w:left w:val="none" w:sz="0" w:space="0" w:color="auto"/>
            <w:bottom w:val="none" w:sz="0" w:space="0" w:color="auto"/>
            <w:right w:val="none" w:sz="0" w:space="0" w:color="auto"/>
          </w:divBdr>
        </w:div>
      </w:divsChild>
    </w:div>
    <w:div w:id="1964268228">
      <w:bodyDiv w:val="1"/>
      <w:marLeft w:val="0"/>
      <w:marRight w:val="0"/>
      <w:marTop w:val="0"/>
      <w:marBottom w:val="0"/>
      <w:divBdr>
        <w:top w:val="none" w:sz="0" w:space="0" w:color="auto"/>
        <w:left w:val="none" w:sz="0" w:space="0" w:color="auto"/>
        <w:bottom w:val="none" w:sz="0" w:space="0" w:color="auto"/>
        <w:right w:val="none" w:sz="0" w:space="0" w:color="auto"/>
      </w:divBdr>
    </w:div>
    <w:div w:id="1996840629">
      <w:bodyDiv w:val="1"/>
      <w:marLeft w:val="0"/>
      <w:marRight w:val="0"/>
      <w:marTop w:val="0"/>
      <w:marBottom w:val="0"/>
      <w:divBdr>
        <w:top w:val="none" w:sz="0" w:space="0" w:color="auto"/>
        <w:left w:val="none" w:sz="0" w:space="0" w:color="auto"/>
        <w:bottom w:val="none" w:sz="0" w:space="0" w:color="auto"/>
        <w:right w:val="none" w:sz="0" w:space="0" w:color="auto"/>
      </w:divBdr>
    </w:div>
    <w:div w:id="2020430452">
      <w:bodyDiv w:val="1"/>
      <w:marLeft w:val="0"/>
      <w:marRight w:val="0"/>
      <w:marTop w:val="0"/>
      <w:marBottom w:val="0"/>
      <w:divBdr>
        <w:top w:val="none" w:sz="0" w:space="0" w:color="auto"/>
        <w:left w:val="none" w:sz="0" w:space="0" w:color="auto"/>
        <w:bottom w:val="none" w:sz="0" w:space="0" w:color="auto"/>
        <w:right w:val="none" w:sz="0" w:space="0" w:color="auto"/>
      </w:divBdr>
    </w:div>
    <w:div w:id="2023587129">
      <w:bodyDiv w:val="1"/>
      <w:marLeft w:val="0"/>
      <w:marRight w:val="0"/>
      <w:marTop w:val="0"/>
      <w:marBottom w:val="0"/>
      <w:divBdr>
        <w:top w:val="none" w:sz="0" w:space="0" w:color="auto"/>
        <w:left w:val="none" w:sz="0" w:space="0" w:color="auto"/>
        <w:bottom w:val="none" w:sz="0" w:space="0" w:color="auto"/>
        <w:right w:val="none" w:sz="0" w:space="0" w:color="auto"/>
      </w:divBdr>
    </w:div>
    <w:div w:id="2031293713">
      <w:bodyDiv w:val="1"/>
      <w:marLeft w:val="0"/>
      <w:marRight w:val="0"/>
      <w:marTop w:val="0"/>
      <w:marBottom w:val="0"/>
      <w:divBdr>
        <w:top w:val="none" w:sz="0" w:space="0" w:color="auto"/>
        <w:left w:val="none" w:sz="0" w:space="0" w:color="auto"/>
        <w:bottom w:val="none" w:sz="0" w:space="0" w:color="auto"/>
        <w:right w:val="none" w:sz="0" w:space="0" w:color="auto"/>
      </w:divBdr>
    </w:div>
    <w:div w:id="2032948538">
      <w:bodyDiv w:val="1"/>
      <w:marLeft w:val="0"/>
      <w:marRight w:val="0"/>
      <w:marTop w:val="0"/>
      <w:marBottom w:val="0"/>
      <w:divBdr>
        <w:top w:val="none" w:sz="0" w:space="0" w:color="auto"/>
        <w:left w:val="none" w:sz="0" w:space="0" w:color="auto"/>
        <w:bottom w:val="none" w:sz="0" w:space="0" w:color="auto"/>
        <w:right w:val="none" w:sz="0" w:space="0" w:color="auto"/>
      </w:divBdr>
      <w:divsChild>
        <w:div w:id="1781608084">
          <w:marLeft w:val="0"/>
          <w:marRight w:val="0"/>
          <w:marTop w:val="0"/>
          <w:marBottom w:val="0"/>
          <w:divBdr>
            <w:top w:val="none" w:sz="0" w:space="0" w:color="auto"/>
            <w:left w:val="none" w:sz="0" w:space="0" w:color="auto"/>
            <w:bottom w:val="none" w:sz="0" w:space="0" w:color="auto"/>
            <w:right w:val="none" w:sz="0" w:space="0" w:color="auto"/>
          </w:divBdr>
        </w:div>
        <w:div w:id="2004503500">
          <w:marLeft w:val="0"/>
          <w:marRight w:val="0"/>
          <w:marTop w:val="0"/>
          <w:marBottom w:val="0"/>
          <w:divBdr>
            <w:top w:val="none" w:sz="0" w:space="0" w:color="auto"/>
            <w:left w:val="none" w:sz="0" w:space="0" w:color="auto"/>
            <w:bottom w:val="none" w:sz="0" w:space="0" w:color="auto"/>
            <w:right w:val="none" w:sz="0" w:space="0" w:color="auto"/>
          </w:divBdr>
        </w:div>
      </w:divsChild>
    </w:div>
    <w:div w:id="2039966456">
      <w:bodyDiv w:val="1"/>
      <w:marLeft w:val="0"/>
      <w:marRight w:val="0"/>
      <w:marTop w:val="0"/>
      <w:marBottom w:val="0"/>
      <w:divBdr>
        <w:top w:val="none" w:sz="0" w:space="0" w:color="auto"/>
        <w:left w:val="none" w:sz="0" w:space="0" w:color="auto"/>
        <w:bottom w:val="none" w:sz="0" w:space="0" w:color="auto"/>
        <w:right w:val="none" w:sz="0" w:space="0" w:color="auto"/>
      </w:divBdr>
      <w:divsChild>
        <w:div w:id="910391327">
          <w:marLeft w:val="0"/>
          <w:marRight w:val="0"/>
          <w:marTop w:val="0"/>
          <w:marBottom w:val="0"/>
          <w:divBdr>
            <w:top w:val="none" w:sz="0" w:space="0" w:color="auto"/>
            <w:left w:val="none" w:sz="0" w:space="0" w:color="auto"/>
            <w:bottom w:val="none" w:sz="0" w:space="0" w:color="auto"/>
            <w:right w:val="none" w:sz="0" w:space="0" w:color="auto"/>
          </w:divBdr>
          <w:divsChild>
            <w:div w:id="861167344">
              <w:marLeft w:val="0"/>
              <w:marRight w:val="0"/>
              <w:marTop w:val="0"/>
              <w:marBottom w:val="0"/>
              <w:divBdr>
                <w:top w:val="none" w:sz="0" w:space="0" w:color="auto"/>
                <w:left w:val="none" w:sz="0" w:space="0" w:color="auto"/>
                <w:bottom w:val="none" w:sz="0" w:space="0" w:color="auto"/>
                <w:right w:val="none" w:sz="0" w:space="0" w:color="auto"/>
              </w:divBdr>
            </w:div>
            <w:div w:id="118528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88097">
      <w:bodyDiv w:val="1"/>
      <w:marLeft w:val="0"/>
      <w:marRight w:val="0"/>
      <w:marTop w:val="0"/>
      <w:marBottom w:val="0"/>
      <w:divBdr>
        <w:top w:val="none" w:sz="0" w:space="0" w:color="auto"/>
        <w:left w:val="none" w:sz="0" w:space="0" w:color="auto"/>
        <w:bottom w:val="none" w:sz="0" w:space="0" w:color="auto"/>
        <w:right w:val="none" w:sz="0" w:space="0" w:color="auto"/>
      </w:divBdr>
      <w:divsChild>
        <w:div w:id="909972031">
          <w:marLeft w:val="547"/>
          <w:marRight w:val="0"/>
          <w:marTop w:val="0"/>
          <w:marBottom w:val="0"/>
          <w:divBdr>
            <w:top w:val="none" w:sz="0" w:space="0" w:color="auto"/>
            <w:left w:val="none" w:sz="0" w:space="0" w:color="auto"/>
            <w:bottom w:val="none" w:sz="0" w:space="0" w:color="auto"/>
            <w:right w:val="none" w:sz="0" w:space="0" w:color="auto"/>
          </w:divBdr>
        </w:div>
      </w:divsChild>
    </w:div>
    <w:div w:id="2047875480">
      <w:bodyDiv w:val="1"/>
      <w:marLeft w:val="0"/>
      <w:marRight w:val="0"/>
      <w:marTop w:val="0"/>
      <w:marBottom w:val="0"/>
      <w:divBdr>
        <w:top w:val="none" w:sz="0" w:space="0" w:color="auto"/>
        <w:left w:val="none" w:sz="0" w:space="0" w:color="auto"/>
        <w:bottom w:val="none" w:sz="0" w:space="0" w:color="auto"/>
        <w:right w:val="none" w:sz="0" w:space="0" w:color="auto"/>
      </w:divBdr>
    </w:div>
    <w:div w:id="2093966069">
      <w:bodyDiv w:val="1"/>
      <w:marLeft w:val="0"/>
      <w:marRight w:val="0"/>
      <w:marTop w:val="0"/>
      <w:marBottom w:val="0"/>
      <w:divBdr>
        <w:top w:val="none" w:sz="0" w:space="0" w:color="auto"/>
        <w:left w:val="none" w:sz="0" w:space="0" w:color="auto"/>
        <w:bottom w:val="none" w:sz="0" w:space="0" w:color="auto"/>
        <w:right w:val="none" w:sz="0" w:space="0" w:color="auto"/>
      </w:divBdr>
    </w:div>
    <w:div w:id="211513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umanrightscommission.vic.gov.au/resources" TargetMode="External"/><Relationship Id="rId18" Type="http://schemas.openxmlformats.org/officeDocument/2006/relationships/footer" Target="footer1.xm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information@veohrc.vic.gov.au" TargetMode="External"/><Relationship Id="rId7" Type="http://schemas.openxmlformats.org/officeDocument/2006/relationships/endnotes" Target="endnotes.xml"/><Relationship Id="rId12" Type="http://schemas.openxmlformats.org/officeDocument/2006/relationships/hyperlink" Target="mailto:communications@veohrc.vic.gov.au" TargetMode="External"/><Relationship Id="rId17" Type="http://schemas.openxmlformats.org/officeDocument/2006/relationships/header" Target="header1.xm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humanrightscommission.vic.gov.au/resourc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umanrightscommission.vic.gov.au" TargetMode="External"/><Relationship Id="rId24" Type="http://schemas.openxmlformats.org/officeDocument/2006/relationships/hyperlink" Target="http://www.facebook.com/VEOHRC"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http://www.twitter.com/VEOHRC" TargetMode="External"/><Relationship Id="rId28" Type="http://schemas.openxmlformats.org/officeDocument/2006/relationships/header" Target="header4.xml"/><Relationship Id="rId10" Type="http://schemas.openxmlformats.org/officeDocument/2006/relationships/hyperlink" Target="mailto:information@veohrc.vic.gov.a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humanrightscommission.vic.gov.au/privacy" TargetMode="External"/><Relationship Id="rId22" Type="http://schemas.openxmlformats.org/officeDocument/2006/relationships/hyperlink" Target="http://www.humanrightscommission.vic.gov.au" TargetMode="Externa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D0E80-ED81-4CFE-8E15-8E2C1996B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15914</Words>
  <Characters>90715</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KDFNL KFNASKLNFKASLFNSLK ASLFKNSFL LSKFNASFKLN</vt:lpstr>
    </vt:vector>
  </TitlesOfParts>
  <Company>Dept. of Justice Victoria</Company>
  <LinksUpToDate>false</LinksUpToDate>
  <CharactersWithSpaces>106417</CharactersWithSpaces>
  <SharedDoc>false</SharedDoc>
  <HLinks>
    <vt:vector size="72" baseType="variant">
      <vt:variant>
        <vt:i4>2293813</vt:i4>
      </vt:variant>
      <vt:variant>
        <vt:i4>45</vt:i4>
      </vt:variant>
      <vt:variant>
        <vt:i4>0</vt:i4>
      </vt:variant>
      <vt:variant>
        <vt:i4>5</vt:i4>
      </vt:variant>
      <vt:variant>
        <vt:lpwstr>http://www.facebook.com/VEOHRC</vt:lpwstr>
      </vt:variant>
      <vt:variant>
        <vt:lpwstr/>
      </vt:variant>
      <vt:variant>
        <vt:i4>5570645</vt:i4>
      </vt:variant>
      <vt:variant>
        <vt:i4>42</vt:i4>
      </vt:variant>
      <vt:variant>
        <vt:i4>0</vt:i4>
      </vt:variant>
      <vt:variant>
        <vt:i4>5</vt:i4>
      </vt:variant>
      <vt:variant>
        <vt:lpwstr>http://www.twitter.com/VEOHRC</vt:lpwstr>
      </vt:variant>
      <vt:variant>
        <vt:lpwstr/>
      </vt:variant>
      <vt:variant>
        <vt:i4>917507</vt:i4>
      </vt:variant>
      <vt:variant>
        <vt:i4>39</vt:i4>
      </vt:variant>
      <vt:variant>
        <vt:i4>0</vt:i4>
      </vt:variant>
      <vt:variant>
        <vt:i4>5</vt:i4>
      </vt:variant>
      <vt:variant>
        <vt:lpwstr>http://www.humanrightscommission.vic.gov.au/</vt:lpwstr>
      </vt:variant>
      <vt:variant>
        <vt:lpwstr/>
      </vt:variant>
      <vt:variant>
        <vt:i4>5177462</vt:i4>
      </vt:variant>
      <vt:variant>
        <vt:i4>36</vt:i4>
      </vt:variant>
      <vt:variant>
        <vt:i4>0</vt:i4>
      </vt:variant>
      <vt:variant>
        <vt:i4>5</vt:i4>
      </vt:variant>
      <vt:variant>
        <vt:lpwstr>mailto:information@veohrc.vic.gov.au</vt:lpwstr>
      </vt:variant>
      <vt:variant>
        <vt:lpwstr/>
      </vt:variant>
      <vt:variant>
        <vt:i4>1048624</vt:i4>
      </vt:variant>
      <vt:variant>
        <vt:i4>29</vt:i4>
      </vt:variant>
      <vt:variant>
        <vt:i4>0</vt:i4>
      </vt:variant>
      <vt:variant>
        <vt:i4>5</vt:i4>
      </vt:variant>
      <vt:variant>
        <vt:lpwstr/>
      </vt:variant>
      <vt:variant>
        <vt:lpwstr>_Toc337567260</vt:lpwstr>
      </vt:variant>
      <vt:variant>
        <vt:i4>1245232</vt:i4>
      </vt:variant>
      <vt:variant>
        <vt:i4>23</vt:i4>
      </vt:variant>
      <vt:variant>
        <vt:i4>0</vt:i4>
      </vt:variant>
      <vt:variant>
        <vt:i4>5</vt:i4>
      </vt:variant>
      <vt:variant>
        <vt:lpwstr/>
      </vt:variant>
      <vt:variant>
        <vt:lpwstr>_Toc337567259</vt:lpwstr>
      </vt:variant>
      <vt:variant>
        <vt:i4>1245232</vt:i4>
      </vt:variant>
      <vt:variant>
        <vt:i4>17</vt:i4>
      </vt:variant>
      <vt:variant>
        <vt:i4>0</vt:i4>
      </vt:variant>
      <vt:variant>
        <vt:i4>5</vt:i4>
      </vt:variant>
      <vt:variant>
        <vt:lpwstr/>
      </vt:variant>
      <vt:variant>
        <vt:lpwstr>_Toc337567258</vt:lpwstr>
      </vt:variant>
      <vt:variant>
        <vt:i4>6881403</vt:i4>
      </vt:variant>
      <vt:variant>
        <vt:i4>12</vt:i4>
      </vt:variant>
      <vt:variant>
        <vt:i4>0</vt:i4>
      </vt:variant>
      <vt:variant>
        <vt:i4>5</vt:i4>
      </vt:variant>
      <vt:variant>
        <vt:lpwstr>http://www.humanrightscommission.vic.gov.au/privacy</vt:lpwstr>
      </vt:variant>
      <vt:variant>
        <vt:lpwstr/>
      </vt:variant>
      <vt:variant>
        <vt:i4>1245204</vt:i4>
      </vt:variant>
      <vt:variant>
        <vt:i4>9</vt:i4>
      </vt:variant>
      <vt:variant>
        <vt:i4>0</vt:i4>
      </vt:variant>
      <vt:variant>
        <vt:i4>5</vt:i4>
      </vt:variant>
      <vt:variant>
        <vt:lpwstr>http://www.humanrightscommission.vic.gov.au/resources</vt:lpwstr>
      </vt:variant>
      <vt:variant>
        <vt:lpwstr/>
      </vt:variant>
      <vt:variant>
        <vt:i4>6094958</vt:i4>
      </vt:variant>
      <vt:variant>
        <vt:i4>6</vt:i4>
      </vt:variant>
      <vt:variant>
        <vt:i4>0</vt:i4>
      </vt:variant>
      <vt:variant>
        <vt:i4>5</vt:i4>
      </vt:variant>
      <vt:variant>
        <vt:lpwstr>mailto:communications@veohrc.vic.gov.au</vt:lpwstr>
      </vt:variant>
      <vt:variant>
        <vt:lpwstr/>
      </vt:variant>
      <vt:variant>
        <vt:i4>917507</vt:i4>
      </vt:variant>
      <vt:variant>
        <vt:i4>3</vt:i4>
      </vt:variant>
      <vt:variant>
        <vt:i4>0</vt:i4>
      </vt:variant>
      <vt:variant>
        <vt:i4>5</vt:i4>
      </vt:variant>
      <vt:variant>
        <vt:lpwstr>http://www.humanrightscommission.vic.gov.au/</vt:lpwstr>
      </vt:variant>
      <vt:variant>
        <vt:lpwstr/>
      </vt:variant>
      <vt:variant>
        <vt:i4>5177462</vt:i4>
      </vt:variant>
      <vt:variant>
        <vt:i4>0</vt:i4>
      </vt:variant>
      <vt:variant>
        <vt:i4>0</vt:i4>
      </vt:variant>
      <vt:variant>
        <vt:i4>5</vt:i4>
      </vt:variant>
      <vt:variant>
        <vt:lpwstr>mailto:information@veohrc.vic.gov.au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KDFNL KFNASKLNFKASLFNSLK ASLFKNSFL LSKFNASFKLN</dc:title>
  <dc:subject/>
  <dc:creator>Patrick OBrien@veohrc vic gov au</dc:creator>
  <cp:keywords/>
  <dc:description/>
  <cp:lastModifiedBy>Patrick OBrien@veohrc vic gov au</cp:lastModifiedBy>
  <cp:revision>5</cp:revision>
  <cp:lastPrinted>2018-06-12T23:58:00Z</cp:lastPrinted>
  <dcterms:created xsi:type="dcterms:W3CDTF">2018-10-17T00:49:00Z</dcterms:created>
  <dcterms:modified xsi:type="dcterms:W3CDTF">2019-01-02T00:54:00Z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
  </property>
  <property fmtid="{D5CDD505-2E9C-101B-9397-08002B2CF9AE}" pid="3" name="_DocHome">
    <vt:i4>-1096261096</vt:i4>
  </property>
</Properties>
</file>