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F5B1E" w14:textId="31FC8FE6" w:rsidR="00DE1791" w:rsidRDefault="00DE1791" w:rsidP="00DE1791">
      <w:pPr>
        <w:pStyle w:val="Title"/>
        <w:rPr>
          <w:rStyle w:val="TitleChar"/>
        </w:rPr>
      </w:pPr>
      <w:bookmarkStart w:id="0" w:name="_Toc15656270"/>
      <w:r w:rsidRPr="00F65FB2">
        <w:rPr>
          <w:noProof/>
          <w:lang w:val="en-GB" w:eastAsia="en-GB"/>
        </w:rPr>
        <w:drawing>
          <wp:anchor distT="0" distB="0" distL="114300" distR="114300" simplePos="0" relativeHeight="251659264" behindDoc="0" locked="0" layoutInCell="1" allowOverlap="1" wp14:anchorId="5A8966F8" wp14:editId="5606AE45">
            <wp:simplePos x="0" y="0"/>
            <wp:positionH relativeFrom="margin">
              <wp:posOffset>0</wp:posOffset>
            </wp:positionH>
            <wp:positionV relativeFrom="paragraph">
              <wp:posOffset>-572130</wp:posOffset>
            </wp:positionV>
            <wp:extent cx="3178175" cy="896620"/>
            <wp:effectExtent l="0" t="0" r="3175" b="0"/>
            <wp:wrapNone/>
            <wp:docPr id="3" name="Picture 3"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8175" cy="8966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A921BF4" w14:textId="77777777" w:rsidR="00DE1791" w:rsidRDefault="00DE1791" w:rsidP="00DE1791">
      <w:pPr>
        <w:pStyle w:val="Title"/>
        <w:rPr>
          <w:rStyle w:val="TitleChar"/>
        </w:rPr>
      </w:pPr>
    </w:p>
    <w:p w14:paraId="0F78CF96" w14:textId="534FA868" w:rsidR="00DE1791" w:rsidRPr="00DE1791" w:rsidRDefault="00DE1791" w:rsidP="00DE1791">
      <w:pPr>
        <w:pStyle w:val="Title"/>
        <w:spacing w:before="1600"/>
        <w:rPr>
          <w:rStyle w:val="TitleChar"/>
          <w:rFonts w:ascii="Arial" w:eastAsiaTheme="majorEastAsia" w:hAnsi="Arial" w:cstheme="majorBidi"/>
          <w:color w:val="FFFFFF" w:themeColor="background1"/>
          <w:spacing w:val="0"/>
          <w:sz w:val="80"/>
          <w:szCs w:val="52"/>
          <w:lang w:val="en-AU"/>
        </w:rPr>
      </w:pPr>
      <w:bookmarkStart w:id="1" w:name="_Toc15656271"/>
      <w:r w:rsidRPr="00DE1791">
        <w:rPr>
          <w:rStyle w:val="TitleChar"/>
          <w:rFonts w:ascii="Arial" w:eastAsiaTheme="majorEastAsia" w:hAnsi="Arial" w:cstheme="majorBidi"/>
          <w:color w:val="FFFFFF" w:themeColor="background1"/>
          <w:spacing w:val="0"/>
          <w:sz w:val="80"/>
          <w:szCs w:val="52"/>
          <w:lang w:val="en-AU"/>
        </w:rPr>
        <w:t>2018 report on the operation of the Charter of Human Rights and Responsibilities</w:t>
      </w:r>
      <w:bookmarkEnd w:id="1"/>
    </w:p>
    <w:p w14:paraId="28C05787" w14:textId="77777777" w:rsidR="00DE1791" w:rsidRPr="00BC1B34" w:rsidRDefault="00DE1791" w:rsidP="00DE1791">
      <w:pPr>
        <w:pStyle w:val="Subtitle"/>
        <w:sectPr w:rsidR="00DE1791" w:rsidRPr="00BC1B34" w:rsidSect="00F65FB2">
          <w:footerReference w:type="default" r:id="rId9"/>
          <w:headerReference w:type="first" r:id="rId10"/>
          <w:footerReference w:type="first" r:id="rId11"/>
          <w:endnotePr>
            <w:numFmt w:val="decimal"/>
          </w:endnotePr>
          <w:pgSz w:w="11907" w:h="16839" w:code="9"/>
          <w:pgMar w:top="1440" w:right="873" w:bottom="1440" w:left="873" w:header="720" w:footer="720" w:gutter="0"/>
          <w:pgNumType w:start="0"/>
          <w:cols w:space="720"/>
          <w:titlePg/>
          <w:docGrid w:linePitch="360"/>
        </w:sectPr>
      </w:pPr>
      <w:r>
        <w:t xml:space="preserve"> </w:t>
      </w:r>
    </w:p>
    <w:p w14:paraId="75EAAC0F" w14:textId="77777777" w:rsidR="00DE1791" w:rsidRDefault="00DE1791" w:rsidP="00DE1791">
      <w:pPr>
        <w:pStyle w:val="BodyText"/>
      </w:pPr>
      <w:r>
        <w:rPr>
          <w:noProof/>
          <w:lang w:val="en-GB" w:eastAsia="en-GB"/>
        </w:rPr>
        <w:lastRenderedPageBreak/>
        <w:drawing>
          <wp:inline distT="0" distB="0" distL="0" distR="0" wp14:anchorId="0B2D5648" wp14:editId="6553BD34">
            <wp:extent cx="2156460" cy="586740"/>
            <wp:effectExtent l="0" t="0" r="0" b="3810"/>
            <wp:docPr id="11" name="Picture 11"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460" cy="586740"/>
                    </a:xfrm>
                    <a:prstGeom prst="rect">
                      <a:avLst/>
                    </a:prstGeom>
                    <a:noFill/>
                    <a:ln>
                      <a:noFill/>
                    </a:ln>
                  </pic:spPr>
                </pic:pic>
              </a:graphicData>
            </a:graphic>
          </wp:inline>
        </w:drawing>
      </w:r>
    </w:p>
    <w:p w14:paraId="2027C883" w14:textId="0000A54E" w:rsidR="008E0945" w:rsidRPr="003015FD" w:rsidRDefault="003015FD" w:rsidP="005B74F5">
      <w:bookmarkStart w:id="2" w:name="_Hlk12798640"/>
      <w:r w:rsidRPr="003015FD">
        <w:t xml:space="preserve"> </w:t>
      </w:r>
    </w:p>
    <w:p w14:paraId="1B1646E8" w14:textId="2116921A" w:rsidR="008E0945" w:rsidRPr="005B74F5" w:rsidRDefault="008E0945" w:rsidP="005B74F5">
      <w:r w:rsidRPr="005B74F5">
        <w:t>Published</w:t>
      </w:r>
      <w:r w:rsidR="00975895" w:rsidRPr="005B74F5">
        <w:t xml:space="preserve"> </w:t>
      </w:r>
      <w:r w:rsidRPr="005B74F5">
        <w:t>by</w:t>
      </w:r>
      <w:r w:rsidR="007F0D63">
        <w:t xml:space="preserve"> the Victorian Equal Opportunity and Human Rights Commission</w:t>
      </w:r>
      <w:r w:rsidRPr="005B74F5">
        <w:t>,</w:t>
      </w:r>
      <w:r w:rsidR="00975895" w:rsidRPr="005B74F5">
        <w:t xml:space="preserve"> </w:t>
      </w:r>
      <w:r w:rsidRPr="005B74F5">
        <w:t>Level</w:t>
      </w:r>
      <w:r w:rsidR="00975895" w:rsidRPr="005B74F5">
        <w:t xml:space="preserve"> </w:t>
      </w:r>
      <w:r w:rsidRPr="005B74F5">
        <w:t>3,</w:t>
      </w:r>
      <w:r w:rsidR="00975895" w:rsidRPr="005B74F5">
        <w:t xml:space="preserve"> </w:t>
      </w:r>
      <w:r w:rsidRPr="005B74F5">
        <w:t>204</w:t>
      </w:r>
      <w:r w:rsidR="00975895" w:rsidRPr="005B74F5">
        <w:t xml:space="preserve"> </w:t>
      </w:r>
      <w:proofErr w:type="spellStart"/>
      <w:r w:rsidRPr="005B74F5">
        <w:t>Lygon</w:t>
      </w:r>
      <w:proofErr w:type="spellEnd"/>
      <w:r w:rsidR="00975895" w:rsidRPr="005B74F5">
        <w:t xml:space="preserve"> </w:t>
      </w:r>
      <w:r w:rsidRPr="005B74F5">
        <w:t>Street,</w:t>
      </w:r>
      <w:r w:rsidR="00975895" w:rsidRPr="005B74F5">
        <w:t xml:space="preserve"> </w:t>
      </w:r>
      <w:r w:rsidRPr="005B74F5">
        <w:t>Carlton,</w:t>
      </w:r>
      <w:r w:rsidR="00975895" w:rsidRPr="005B74F5">
        <w:t xml:space="preserve"> </w:t>
      </w:r>
      <w:r w:rsidRPr="005B74F5">
        <w:t>Victoria</w:t>
      </w:r>
      <w:r w:rsidR="00975895" w:rsidRPr="005B74F5">
        <w:t xml:space="preserve"> </w:t>
      </w:r>
      <w:r w:rsidRPr="005B74F5">
        <w:t>3053.</w:t>
      </w:r>
      <w:r w:rsidR="00975895" w:rsidRPr="005B74F5">
        <w:t xml:space="preserve"> </w:t>
      </w:r>
      <w:r w:rsidR="00C855B8">
        <w:t>October</w:t>
      </w:r>
      <w:r w:rsidR="00C855B8" w:rsidRPr="005B74F5">
        <w:t xml:space="preserve"> </w:t>
      </w:r>
      <w:r w:rsidRPr="005B74F5">
        <w:t>2019.</w:t>
      </w:r>
    </w:p>
    <w:p w14:paraId="5B778CB8" w14:textId="0CAAC552" w:rsidR="008E0945" w:rsidRPr="003015FD" w:rsidRDefault="008E0945" w:rsidP="000B065E">
      <w:pPr>
        <w:pStyle w:val="Heading4"/>
      </w:pPr>
      <w:bookmarkStart w:id="3" w:name="_Toc15045088"/>
      <w:r w:rsidRPr="003015FD">
        <w:t>Contact</w:t>
      </w:r>
      <w:r w:rsidR="00975895" w:rsidRPr="003015FD">
        <w:t xml:space="preserve"> </w:t>
      </w:r>
      <w:r w:rsidRPr="003015FD">
        <w:t>us</w:t>
      </w:r>
      <w:bookmarkEnd w:id="3"/>
    </w:p>
    <w:p w14:paraId="145E47C9" w14:textId="793AABC3" w:rsidR="008E0945" w:rsidRPr="003015FD" w:rsidRDefault="008E0945" w:rsidP="005B74F5">
      <w:r w:rsidRPr="003015FD">
        <w:t>Enquiry</w:t>
      </w:r>
      <w:r w:rsidR="00975895" w:rsidRPr="003015FD">
        <w:t xml:space="preserve"> </w:t>
      </w:r>
      <w:r w:rsidRPr="003015FD">
        <w:t>Line</w:t>
      </w:r>
      <w:r w:rsidR="00975895" w:rsidRPr="003015FD">
        <w:t xml:space="preserve"> </w:t>
      </w:r>
      <w:r w:rsidRPr="003015FD">
        <w:tab/>
      </w:r>
      <w:r w:rsidRPr="003015FD">
        <w:tab/>
      </w:r>
      <w:r w:rsidRPr="003015FD">
        <w:tab/>
        <w:t>1300</w:t>
      </w:r>
      <w:r w:rsidR="00975895" w:rsidRPr="003015FD">
        <w:t xml:space="preserve"> </w:t>
      </w:r>
      <w:r w:rsidRPr="003015FD">
        <w:t>292</w:t>
      </w:r>
      <w:r w:rsidR="00975895" w:rsidRPr="003015FD">
        <w:t xml:space="preserve"> </w:t>
      </w:r>
      <w:r w:rsidRPr="003015FD">
        <w:t>153</w:t>
      </w:r>
      <w:r w:rsidR="00975895" w:rsidRPr="003015FD">
        <w:t xml:space="preserve"> </w:t>
      </w:r>
      <w:r w:rsidRPr="003015FD">
        <w:t>or</w:t>
      </w:r>
      <w:r w:rsidR="00975895" w:rsidRPr="003015FD">
        <w:t xml:space="preserve"> </w:t>
      </w:r>
      <w:r w:rsidRPr="003015FD">
        <w:t>(03)</w:t>
      </w:r>
      <w:r w:rsidR="00975895" w:rsidRPr="003015FD">
        <w:t xml:space="preserve"> </w:t>
      </w:r>
      <w:r w:rsidRPr="003015FD">
        <w:t>9032</w:t>
      </w:r>
      <w:r w:rsidR="00975895" w:rsidRPr="003015FD">
        <w:t xml:space="preserve"> </w:t>
      </w:r>
      <w:r w:rsidRPr="003015FD">
        <w:t>3583</w:t>
      </w:r>
      <w:r w:rsidRPr="003015FD">
        <w:br/>
        <w:t>Fax</w:t>
      </w:r>
      <w:r w:rsidRPr="003015FD">
        <w:tab/>
      </w:r>
      <w:r w:rsidRPr="003015FD">
        <w:tab/>
      </w:r>
      <w:r w:rsidRPr="003015FD">
        <w:tab/>
      </w:r>
      <w:r w:rsidRPr="003015FD">
        <w:tab/>
        <w:t>1300</w:t>
      </w:r>
      <w:r w:rsidR="00975895" w:rsidRPr="003015FD">
        <w:t xml:space="preserve"> </w:t>
      </w:r>
      <w:r w:rsidRPr="003015FD">
        <w:t>891</w:t>
      </w:r>
      <w:r w:rsidR="00975895" w:rsidRPr="003015FD">
        <w:t xml:space="preserve"> </w:t>
      </w:r>
      <w:r w:rsidRPr="003015FD">
        <w:t>858</w:t>
      </w:r>
      <w:r w:rsidRPr="003015FD">
        <w:br/>
        <w:t>Hearing</w:t>
      </w:r>
      <w:r w:rsidR="00975895" w:rsidRPr="003015FD">
        <w:t xml:space="preserve"> </w:t>
      </w:r>
      <w:r w:rsidRPr="003015FD">
        <w:t>impaired</w:t>
      </w:r>
      <w:r w:rsidR="00975895" w:rsidRPr="003015FD">
        <w:t xml:space="preserve"> </w:t>
      </w:r>
      <w:r w:rsidRPr="003015FD">
        <w:t>(TTY)</w:t>
      </w:r>
      <w:r w:rsidRPr="003015FD">
        <w:tab/>
        <w:t>1300</w:t>
      </w:r>
      <w:r w:rsidR="00975895" w:rsidRPr="003015FD">
        <w:t xml:space="preserve"> </w:t>
      </w:r>
      <w:r w:rsidRPr="003015FD">
        <w:t>289</w:t>
      </w:r>
      <w:r w:rsidR="00975895" w:rsidRPr="003015FD">
        <w:t xml:space="preserve"> </w:t>
      </w:r>
      <w:r w:rsidRPr="003015FD">
        <w:t>621</w:t>
      </w:r>
      <w:r w:rsidRPr="003015FD">
        <w:br/>
        <w:t>Interpreters</w:t>
      </w:r>
      <w:r w:rsidRPr="003015FD">
        <w:tab/>
      </w:r>
      <w:r w:rsidRPr="003015FD">
        <w:tab/>
      </w:r>
      <w:r w:rsidRPr="003015FD">
        <w:tab/>
        <w:t>1300</w:t>
      </w:r>
      <w:r w:rsidR="00975895" w:rsidRPr="003015FD">
        <w:t xml:space="preserve"> </w:t>
      </w:r>
      <w:r w:rsidRPr="003015FD">
        <w:t>152</w:t>
      </w:r>
      <w:r w:rsidR="00975895" w:rsidRPr="003015FD">
        <w:t xml:space="preserve"> </w:t>
      </w:r>
      <w:r w:rsidRPr="003015FD">
        <w:t>494</w:t>
      </w:r>
      <w:r w:rsidRPr="003015FD">
        <w:br/>
        <w:t>Email</w:t>
      </w:r>
      <w:r w:rsidRPr="003015FD">
        <w:tab/>
      </w:r>
      <w:r w:rsidRPr="003015FD">
        <w:tab/>
      </w:r>
      <w:r w:rsidRPr="003015FD">
        <w:tab/>
      </w:r>
      <w:r w:rsidRPr="003015FD">
        <w:tab/>
      </w:r>
      <w:hyperlink r:id="rId13" w:history="1">
        <w:r w:rsidRPr="003015FD">
          <w:rPr>
            <w:rStyle w:val="Hyperlink"/>
          </w:rPr>
          <w:t>enquiries@veohrc.vic.gov.au</w:t>
        </w:r>
      </w:hyperlink>
      <w:r w:rsidRPr="003015FD">
        <w:br/>
        <w:t>Website</w:t>
      </w:r>
      <w:r w:rsidRPr="003015FD">
        <w:tab/>
      </w:r>
      <w:r w:rsidRPr="003015FD">
        <w:tab/>
      </w:r>
      <w:r w:rsidRPr="003015FD">
        <w:tab/>
      </w:r>
      <w:hyperlink r:id="rId14" w:history="1">
        <w:r w:rsidRPr="003015FD">
          <w:rPr>
            <w:rStyle w:val="Hyperlink"/>
          </w:rPr>
          <w:t>humanrightscommission.vic.gov.au</w:t>
        </w:r>
      </w:hyperlink>
    </w:p>
    <w:p w14:paraId="724684D7" w14:textId="14086492" w:rsidR="00B33033" w:rsidRPr="003015FD" w:rsidRDefault="007F0D63" w:rsidP="005B74F5">
      <w:pPr>
        <w:rPr>
          <w:noProof/>
        </w:rPr>
      </w:pPr>
      <w:r>
        <w:rPr>
          <w:noProof/>
        </w:rPr>
        <w:t>The Victorian Equal Opportunity and Human Rights Commission</w:t>
      </w:r>
      <w:r w:rsidR="00D250FD">
        <w:rPr>
          <w:noProof/>
        </w:rPr>
        <w:t xml:space="preserve"> </w:t>
      </w:r>
      <w:r w:rsidR="00B33033" w:rsidRPr="003015FD">
        <w:rPr>
          <w:noProof/>
        </w:rPr>
        <w:t>acknowledges</w:t>
      </w:r>
      <w:r w:rsidR="00975895" w:rsidRPr="003015FD">
        <w:rPr>
          <w:noProof/>
        </w:rPr>
        <w:t xml:space="preserve"> </w:t>
      </w:r>
      <w:r w:rsidR="00B33033" w:rsidRPr="003015FD">
        <w:rPr>
          <w:noProof/>
        </w:rPr>
        <w:t>and</w:t>
      </w:r>
      <w:r w:rsidR="00975895" w:rsidRPr="003015FD">
        <w:rPr>
          <w:noProof/>
        </w:rPr>
        <w:t xml:space="preserve"> </w:t>
      </w:r>
      <w:r w:rsidR="00B33033" w:rsidRPr="003015FD">
        <w:rPr>
          <w:noProof/>
        </w:rPr>
        <w:t>celebrates</w:t>
      </w:r>
      <w:r w:rsidR="00975895" w:rsidRPr="003015FD">
        <w:rPr>
          <w:noProof/>
        </w:rPr>
        <w:t xml:space="preserve"> </w:t>
      </w:r>
      <w:r w:rsidR="00B33033" w:rsidRPr="003015FD">
        <w:rPr>
          <w:noProof/>
        </w:rPr>
        <w:t>the</w:t>
      </w:r>
      <w:r w:rsidR="00975895" w:rsidRPr="003015FD">
        <w:rPr>
          <w:noProof/>
        </w:rPr>
        <w:t xml:space="preserve"> </w:t>
      </w:r>
      <w:r w:rsidR="00B33033" w:rsidRPr="003015FD">
        <w:rPr>
          <w:noProof/>
        </w:rPr>
        <w:t>Traditional</w:t>
      </w:r>
      <w:r w:rsidR="00975895" w:rsidRPr="003015FD">
        <w:rPr>
          <w:noProof/>
        </w:rPr>
        <w:t xml:space="preserve"> </w:t>
      </w:r>
      <w:r w:rsidR="00B33033" w:rsidRPr="003015FD">
        <w:rPr>
          <w:noProof/>
        </w:rPr>
        <w:t>Owners</w:t>
      </w:r>
      <w:r w:rsidR="00975895" w:rsidRPr="003015FD">
        <w:rPr>
          <w:noProof/>
        </w:rPr>
        <w:t xml:space="preserve"> </w:t>
      </w:r>
      <w:r w:rsidR="00B33033" w:rsidRPr="003015FD">
        <w:rPr>
          <w:noProof/>
        </w:rPr>
        <w:t>of</w:t>
      </w:r>
      <w:r w:rsidR="00975895" w:rsidRPr="003015FD">
        <w:rPr>
          <w:noProof/>
        </w:rPr>
        <w:t xml:space="preserve"> </w:t>
      </w:r>
      <w:r w:rsidR="00B33033" w:rsidRPr="003015FD">
        <w:rPr>
          <w:noProof/>
        </w:rPr>
        <w:t>the</w:t>
      </w:r>
      <w:r w:rsidR="00975895" w:rsidRPr="003015FD">
        <w:rPr>
          <w:noProof/>
        </w:rPr>
        <w:t xml:space="preserve"> </w:t>
      </w:r>
      <w:r w:rsidR="00B33033" w:rsidRPr="003015FD">
        <w:rPr>
          <w:noProof/>
        </w:rPr>
        <w:t>lands</w:t>
      </w:r>
      <w:r w:rsidR="00975895" w:rsidRPr="003015FD">
        <w:rPr>
          <w:noProof/>
        </w:rPr>
        <w:t xml:space="preserve"> </w:t>
      </w:r>
      <w:r w:rsidR="00B33033" w:rsidRPr="003015FD">
        <w:rPr>
          <w:noProof/>
        </w:rPr>
        <w:t>throughout</w:t>
      </w:r>
      <w:r w:rsidR="00975895" w:rsidRPr="003015FD">
        <w:rPr>
          <w:noProof/>
        </w:rPr>
        <w:t xml:space="preserve"> </w:t>
      </w:r>
      <w:r w:rsidR="00B33033" w:rsidRPr="003015FD">
        <w:rPr>
          <w:noProof/>
        </w:rPr>
        <w:t>Victoria</w:t>
      </w:r>
      <w:r w:rsidR="00975895" w:rsidRPr="003015FD">
        <w:rPr>
          <w:noProof/>
        </w:rPr>
        <w:t xml:space="preserve"> </w:t>
      </w:r>
      <w:r w:rsidR="00B33033" w:rsidRPr="003015FD">
        <w:rPr>
          <w:noProof/>
        </w:rPr>
        <w:t>and</w:t>
      </w:r>
      <w:r w:rsidR="00975895" w:rsidRPr="003015FD">
        <w:rPr>
          <w:noProof/>
        </w:rPr>
        <w:t xml:space="preserve"> </w:t>
      </w:r>
      <w:r w:rsidR="00B33033" w:rsidRPr="003015FD">
        <w:rPr>
          <w:noProof/>
        </w:rPr>
        <w:t>we</w:t>
      </w:r>
      <w:r w:rsidR="00975895" w:rsidRPr="003015FD">
        <w:rPr>
          <w:noProof/>
        </w:rPr>
        <w:t xml:space="preserve"> </w:t>
      </w:r>
      <w:r w:rsidR="00B33033" w:rsidRPr="003015FD">
        <w:rPr>
          <w:noProof/>
        </w:rPr>
        <w:t>pay</w:t>
      </w:r>
      <w:r w:rsidR="00975895" w:rsidRPr="003015FD">
        <w:rPr>
          <w:noProof/>
        </w:rPr>
        <w:t xml:space="preserve"> </w:t>
      </w:r>
      <w:r w:rsidR="00B33033" w:rsidRPr="003015FD">
        <w:rPr>
          <w:noProof/>
        </w:rPr>
        <w:t>our</w:t>
      </w:r>
      <w:r w:rsidR="00975895" w:rsidRPr="003015FD">
        <w:rPr>
          <w:noProof/>
        </w:rPr>
        <w:t xml:space="preserve"> </w:t>
      </w:r>
      <w:r w:rsidR="00B33033" w:rsidRPr="003015FD">
        <w:rPr>
          <w:noProof/>
        </w:rPr>
        <w:t>respects</w:t>
      </w:r>
      <w:r w:rsidR="00975895" w:rsidRPr="003015FD">
        <w:rPr>
          <w:noProof/>
        </w:rPr>
        <w:t xml:space="preserve"> </w:t>
      </w:r>
      <w:r w:rsidR="00B33033" w:rsidRPr="003015FD">
        <w:rPr>
          <w:noProof/>
        </w:rPr>
        <w:t>to</w:t>
      </w:r>
      <w:r w:rsidR="00975895" w:rsidRPr="003015FD">
        <w:rPr>
          <w:noProof/>
        </w:rPr>
        <w:t xml:space="preserve"> </w:t>
      </w:r>
      <w:r w:rsidR="00B33033" w:rsidRPr="003015FD">
        <w:rPr>
          <w:noProof/>
        </w:rPr>
        <w:t>their</w:t>
      </w:r>
      <w:r w:rsidR="00975895" w:rsidRPr="003015FD">
        <w:rPr>
          <w:noProof/>
        </w:rPr>
        <w:t xml:space="preserve"> </w:t>
      </w:r>
      <w:r w:rsidR="00B33033" w:rsidRPr="003015FD">
        <w:rPr>
          <w:noProof/>
        </w:rPr>
        <w:t>Elders,</w:t>
      </w:r>
      <w:r w:rsidR="00975895" w:rsidRPr="003015FD">
        <w:rPr>
          <w:noProof/>
        </w:rPr>
        <w:t xml:space="preserve"> </w:t>
      </w:r>
      <w:r w:rsidR="00B33033" w:rsidRPr="003015FD">
        <w:rPr>
          <w:noProof/>
        </w:rPr>
        <w:t>past</w:t>
      </w:r>
      <w:r w:rsidR="00975895" w:rsidRPr="003015FD">
        <w:rPr>
          <w:noProof/>
        </w:rPr>
        <w:t xml:space="preserve"> </w:t>
      </w:r>
      <w:r w:rsidR="00B33033" w:rsidRPr="003015FD">
        <w:rPr>
          <w:noProof/>
        </w:rPr>
        <w:t>and</w:t>
      </w:r>
      <w:r w:rsidR="00975895" w:rsidRPr="003015FD">
        <w:rPr>
          <w:noProof/>
        </w:rPr>
        <w:t xml:space="preserve"> </w:t>
      </w:r>
      <w:r w:rsidR="00B33033" w:rsidRPr="003015FD">
        <w:rPr>
          <w:noProof/>
        </w:rPr>
        <w:t>present.</w:t>
      </w:r>
    </w:p>
    <w:p w14:paraId="16632F28" w14:textId="7C9A0EC1" w:rsidR="00B33033" w:rsidRPr="003015FD" w:rsidRDefault="00B33033" w:rsidP="005B74F5">
      <w:pPr>
        <w:rPr>
          <w:noProof/>
        </w:rPr>
      </w:pPr>
      <w:r w:rsidRPr="003015FD">
        <w:rPr>
          <w:noProof/>
        </w:rPr>
        <w:t>This</w:t>
      </w:r>
      <w:r w:rsidR="00975895" w:rsidRPr="003015FD">
        <w:rPr>
          <w:noProof/>
        </w:rPr>
        <w:t xml:space="preserve"> </w:t>
      </w:r>
      <w:r w:rsidRPr="003015FD">
        <w:rPr>
          <w:noProof/>
        </w:rPr>
        <w:t>work,</w:t>
      </w:r>
      <w:r w:rsidR="00975895" w:rsidRPr="003015FD">
        <w:rPr>
          <w:noProof/>
        </w:rPr>
        <w:t xml:space="preserve"> </w:t>
      </w:r>
      <w:r w:rsidRPr="003015FD">
        <w:rPr>
          <w:i/>
          <w:noProof/>
        </w:rPr>
        <w:t>2018</w:t>
      </w:r>
      <w:r w:rsidR="00975895" w:rsidRPr="003015FD">
        <w:rPr>
          <w:i/>
          <w:noProof/>
        </w:rPr>
        <w:t xml:space="preserve"> </w:t>
      </w:r>
      <w:r w:rsidRPr="003015FD">
        <w:rPr>
          <w:i/>
          <w:noProof/>
        </w:rPr>
        <w:t>report</w:t>
      </w:r>
      <w:r w:rsidR="00975895" w:rsidRPr="003015FD">
        <w:rPr>
          <w:i/>
          <w:noProof/>
        </w:rPr>
        <w:t xml:space="preserve"> </w:t>
      </w:r>
      <w:r w:rsidRPr="003015FD">
        <w:rPr>
          <w:i/>
          <w:noProof/>
        </w:rPr>
        <w:t>on</w:t>
      </w:r>
      <w:r w:rsidR="00975895" w:rsidRPr="003015FD">
        <w:rPr>
          <w:i/>
          <w:noProof/>
        </w:rPr>
        <w:t xml:space="preserve"> </w:t>
      </w:r>
      <w:r w:rsidRPr="003015FD">
        <w:rPr>
          <w:i/>
          <w:noProof/>
        </w:rPr>
        <w:t>the</w:t>
      </w:r>
      <w:r w:rsidR="00975895" w:rsidRPr="003015FD">
        <w:rPr>
          <w:i/>
          <w:noProof/>
        </w:rPr>
        <w:t xml:space="preserve"> </w:t>
      </w:r>
      <w:r w:rsidRPr="003015FD">
        <w:rPr>
          <w:i/>
          <w:noProof/>
        </w:rPr>
        <w:t>operation</w:t>
      </w:r>
      <w:r w:rsidR="00975895" w:rsidRPr="003015FD">
        <w:rPr>
          <w:i/>
          <w:noProof/>
        </w:rPr>
        <w:t xml:space="preserve"> </w:t>
      </w:r>
      <w:r w:rsidRPr="003015FD">
        <w:rPr>
          <w:i/>
          <w:noProof/>
        </w:rPr>
        <w:t>of</w:t>
      </w:r>
      <w:r w:rsidR="00975895" w:rsidRPr="003015FD">
        <w:rPr>
          <w:i/>
          <w:noProof/>
        </w:rPr>
        <w:t xml:space="preserve"> </w:t>
      </w:r>
      <w:r w:rsidRPr="003015FD">
        <w:rPr>
          <w:i/>
          <w:noProof/>
        </w:rPr>
        <w:t>the</w:t>
      </w:r>
      <w:r w:rsidR="00975895" w:rsidRPr="003015FD">
        <w:rPr>
          <w:i/>
          <w:noProof/>
        </w:rPr>
        <w:t xml:space="preserve"> </w:t>
      </w:r>
      <w:r w:rsidRPr="003015FD">
        <w:rPr>
          <w:i/>
          <w:noProof/>
        </w:rPr>
        <w:t>Charter</w:t>
      </w:r>
      <w:r w:rsidR="00975895" w:rsidRPr="003015FD">
        <w:rPr>
          <w:i/>
          <w:noProof/>
        </w:rPr>
        <w:t xml:space="preserve"> </w:t>
      </w:r>
      <w:r w:rsidRPr="003015FD">
        <w:rPr>
          <w:i/>
          <w:noProof/>
        </w:rPr>
        <w:t>of</w:t>
      </w:r>
      <w:r w:rsidR="00975895" w:rsidRPr="003015FD">
        <w:rPr>
          <w:i/>
          <w:noProof/>
        </w:rPr>
        <w:t xml:space="preserve"> </w:t>
      </w:r>
      <w:r w:rsidRPr="003015FD">
        <w:rPr>
          <w:i/>
          <w:noProof/>
        </w:rPr>
        <w:t>Human</w:t>
      </w:r>
      <w:r w:rsidR="00975895" w:rsidRPr="003015FD">
        <w:rPr>
          <w:i/>
          <w:noProof/>
        </w:rPr>
        <w:t xml:space="preserve"> </w:t>
      </w:r>
      <w:r w:rsidRPr="003015FD">
        <w:rPr>
          <w:i/>
          <w:noProof/>
        </w:rPr>
        <w:t>Rights</w:t>
      </w:r>
      <w:r w:rsidR="00975895" w:rsidRPr="003015FD">
        <w:rPr>
          <w:i/>
          <w:noProof/>
        </w:rPr>
        <w:t xml:space="preserve"> </w:t>
      </w:r>
      <w:r w:rsidRPr="003015FD">
        <w:rPr>
          <w:i/>
          <w:noProof/>
        </w:rPr>
        <w:t>and</w:t>
      </w:r>
      <w:r w:rsidR="00975895" w:rsidRPr="003015FD">
        <w:rPr>
          <w:i/>
          <w:noProof/>
        </w:rPr>
        <w:t xml:space="preserve"> </w:t>
      </w:r>
      <w:r w:rsidRPr="003015FD">
        <w:rPr>
          <w:i/>
          <w:noProof/>
        </w:rPr>
        <w:t>Responsibilities</w:t>
      </w:r>
      <w:r w:rsidRPr="003015FD">
        <w:rPr>
          <w:noProof/>
        </w:rPr>
        <w:t>,</w:t>
      </w:r>
      <w:r w:rsidR="00975895" w:rsidRPr="003015FD">
        <w:rPr>
          <w:noProof/>
        </w:rPr>
        <w:t xml:space="preserve"> </w:t>
      </w:r>
      <w:r w:rsidRPr="003015FD">
        <w:rPr>
          <w:noProof/>
        </w:rPr>
        <w:t>is</w:t>
      </w:r>
      <w:r w:rsidR="00975895" w:rsidRPr="003015FD">
        <w:rPr>
          <w:noProof/>
        </w:rPr>
        <w:t xml:space="preserve"> </w:t>
      </w:r>
      <w:r w:rsidRPr="003015FD">
        <w:rPr>
          <w:noProof/>
        </w:rPr>
        <w:t>licensed</w:t>
      </w:r>
      <w:r w:rsidR="00975895" w:rsidRPr="003015FD">
        <w:rPr>
          <w:noProof/>
        </w:rPr>
        <w:t xml:space="preserve"> </w:t>
      </w:r>
      <w:r w:rsidRPr="003015FD">
        <w:rPr>
          <w:noProof/>
        </w:rPr>
        <w:t>under</w:t>
      </w:r>
      <w:r w:rsidR="00975895" w:rsidRPr="003015FD">
        <w:rPr>
          <w:noProof/>
        </w:rPr>
        <w:t xml:space="preserve"> </w:t>
      </w:r>
      <w:r w:rsidRPr="003015FD">
        <w:rPr>
          <w:noProof/>
        </w:rPr>
        <w:t>a</w:t>
      </w:r>
      <w:r w:rsidR="00975895" w:rsidRPr="003015FD">
        <w:rPr>
          <w:noProof/>
        </w:rPr>
        <w:t xml:space="preserve"> </w:t>
      </w:r>
      <w:r w:rsidRPr="003015FD">
        <w:rPr>
          <w:noProof/>
        </w:rPr>
        <w:t>Creative</w:t>
      </w:r>
      <w:r w:rsidR="00975895" w:rsidRPr="003015FD">
        <w:rPr>
          <w:noProof/>
        </w:rPr>
        <w:t xml:space="preserve"> </w:t>
      </w:r>
      <w:r w:rsidRPr="003015FD">
        <w:rPr>
          <w:noProof/>
        </w:rPr>
        <w:t>Commons</w:t>
      </w:r>
      <w:r w:rsidR="00975895" w:rsidRPr="003015FD">
        <w:rPr>
          <w:noProof/>
        </w:rPr>
        <w:t xml:space="preserve"> </w:t>
      </w:r>
      <w:r w:rsidRPr="003015FD">
        <w:rPr>
          <w:noProof/>
        </w:rPr>
        <w:t>Attribution</w:t>
      </w:r>
      <w:r w:rsidR="00975895" w:rsidRPr="003015FD">
        <w:rPr>
          <w:noProof/>
        </w:rPr>
        <w:t xml:space="preserve"> </w:t>
      </w:r>
      <w:r w:rsidRPr="003015FD">
        <w:rPr>
          <w:noProof/>
        </w:rPr>
        <w:t>4.0</w:t>
      </w:r>
      <w:r w:rsidR="00975895" w:rsidRPr="003015FD">
        <w:rPr>
          <w:noProof/>
        </w:rPr>
        <w:t xml:space="preserve"> </w:t>
      </w:r>
      <w:r w:rsidRPr="003015FD">
        <w:rPr>
          <w:noProof/>
        </w:rPr>
        <w:t>licence.</w:t>
      </w:r>
      <w:r w:rsidR="00975895" w:rsidRPr="003015FD">
        <w:rPr>
          <w:noProof/>
        </w:rPr>
        <w:t xml:space="preserve"> </w:t>
      </w:r>
      <w:r w:rsidRPr="003015FD">
        <w:rPr>
          <w:noProof/>
        </w:rPr>
        <w:t>You</w:t>
      </w:r>
      <w:r w:rsidR="00975895" w:rsidRPr="003015FD">
        <w:rPr>
          <w:noProof/>
        </w:rPr>
        <w:t xml:space="preserve"> </w:t>
      </w:r>
      <w:r w:rsidRPr="003015FD">
        <w:rPr>
          <w:noProof/>
        </w:rPr>
        <w:t>are</w:t>
      </w:r>
      <w:r w:rsidR="00975895" w:rsidRPr="003015FD">
        <w:rPr>
          <w:noProof/>
        </w:rPr>
        <w:t xml:space="preserve"> </w:t>
      </w:r>
      <w:r w:rsidRPr="003015FD">
        <w:rPr>
          <w:noProof/>
        </w:rPr>
        <w:t>free</w:t>
      </w:r>
      <w:r w:rsidR="00975895" w:rsidRPr="003015FD">
        <w:rPr>
          <w:noProof/>
        </w:rPr>
        <w:t xml:space="preserve"> </w:t>
      </w:r>
      <w:r w:rsidRPr="003015FD">
        <w:rPr>
          <w:noProof/>
        </w:rPr>
        <w:t>to</w:t>
      </w:r>
      <w:r w:rsidR="00975895" w:rsidRPr="003015FD">
        <w:rPr>
          <w:noProof/>
        </w:rPr>
        <w:t xml:space="preserve"> </w:t>
      </w:r>
      <w:r w:rsidRPr="003015FD">
        <w:rPr>
          <w:noProof/>
        </w:rPr>
        <w:t>re-use</w:t>
      </w:r>
      <w:r w:rsidR="00975895" w:rsidRPr="003015FD">
        <w:rPr>
          <w:noProof/>
        </w:rPr>
        <w:t xml:space="preserve"> </w:t>
      </w:r>
      <w:r w:rsidRPr="003015FD">
        <w:rPr>
          <w:noProof/>
        </w:rPr>
        <w:t>the</w:t>
      </w:r>
      <w:r w:rsidR="00975895" w:rsidRPr="003015FD">
        <w:rPr>
          <w:noProof/>
        </w:rPr>
        <w:t xml:space="preserve"> </w:t>
      </w:r>
      <w:r w:rsidRPr="003015FD">
        <w:rPr>
          <w:noProof/>
        </w:rPr>
        <w:t>work</w:t>
      </w:r>
      <w:r w:rsidR="00975895" w:rsidRPr="003015FD">
        <w:rPr>
          <w:noProof/>
        </w:rPr>
        <w:t xml:space="preserve"> </w:t>
      </w:r>
      <w:r w:rsidRPr="003015FD">
        <w:rPr>
          <w:noProof/>
        </w:rPr>
        <w:t>under</w:t>
      </w:r>
      <w:r w:rsidR="00975895" w:rsidRPr="003015FD">
        <w:rPr>
          <w:noProof/>
        </w:rPr>
        <w:t xml:space="preserve"> </w:t>
      </w:r>
      <w:r w:rsidRPr="003015FD">
        <w:rPr>
          <w:noProof/>
        </w:rPr>
        <w:t>that</w:t>
      </w:r>
      <w:r w:rsidR="00975895" w:rsidRPr="003015FD">
        <w:rPr>
          <w:noProof/>
        </w:rPr>
        <w:t xml:space="preserve"> </w:t>
      </w:r>
      <w:r w:rsidRPr="003015FD">
        <w:rPr>
          <w:noProof/>
        </w:rPr>
        <w:t>licence,</w:t>
      </w:r>
      <w:r w:rsidR="00975895" w:rsidRPr="003015FD">
        <w:rPr>
          <w:noProof/>
        </w:rPr>
        <w:t xml:space="preserve"> </w:t>
      </w:r>
      <w:r w:rsidRPr="003015FD">
        <w:rPr>
          <w:noProof/>
        </w:rPr>
        <w:t>on</w:t>
      </w:r>
      <w:r w:rsidR="00975895" w:rsidRPr="003015FD">
        <w:rPr>
          <w:noProof/>
        </w:rPr>
        <w:t xml:space="preserve"> </w:t>
      </w:r>
      <w:r w:rsidRPr="003015FD">
        <w:rPr>
          <w:noProof/>
        </w:rPr>
        <w:t>the</w:t>
      </w:r>
      <w:r w:rsidR="00975895" w:rsidRPr="003015FD">
        <w:rPr>
          <w:noProof/>
        </w:rPr>
        <w:t xml:space="preserve"> </w:t>
      </w:r>
      <w:r w:rsidRPr="003015FD">
        <w:rPr>
          <w:noProof/>
        </w:rPr>
        <w:t>condition</w:t>
      </w:r>
      <w:r w:rsidR="00975895" w:rsidRPr="003015FD">
        <w:rPr>
          <w:noProof/>
        </w:rPr>
        <w:t xml:space="preserve"> </w:t>
      </w:r>
      <w:r w:rsidRPr="003015FD">
        <w:rPr>
          <w:noProof/>
        </w:rPr>
        <w:t>you</w:t>
      </w:r>
      <w:r w:rsidR="00975895" w:rsidRPr="003015FD">
        <w:rPr>
          <w:noProof/>
        </w:rPr>
        <w:t xml:space="preserve"> </w:t>
      </w:r>
      <w:r w:rsidRPr="003015FD">
        <w:rPr>
          <w:noProof/>
        </w:rPr>
        <w:t>credit</w:t>
      </w:r>
      <w:r w:rsidR="00975895" w:rsidRPr="003015FD">
        <w:rPr>
          <w:noProof/>
        </w:rPr>
        <w:t xml:space="preserve"> </w:t>
      </w:r>
      <w:r w:rsidR="007E6BF3">
        <w:rPr>
          <w:noProof/>
        </w:rPr>
        <w:t>the Victorian Equal Opportunity and Human Rights Commission</w:t>
      </w:r>
      <w:r w:rsidR="00975895" w:rsidRPr="003015FD">
        <w:rPr>
          <w:noProof/>
        </w:rPr>
        <w:t xml:space="preserve"> </w:t>
      </w:r>
      <w:r w:rsidRPr="003015FD">
        <w:rPr>
          <w:noProof/>
        </w:rPr>
        <w:t>as</w:t>
      </w:r>
      <w:r w:rsidR="00975895" w:rsidRPr="003015FD">
        <w:rPr>
          <w:noProof/>
        </w:rPr>
        <w:t xml:space="preserve"> </w:t>
      </w:r>
      <w:r w:rsidRPr="003015FD">
        <w:rPr>
          <w:noProof/>
        </w:rPr>
        <w:t>author,</w:t>
      </w:r>
      <w:r w:rsidR="00975895" w:rsidRPr="003015FD">
        <w:rPr>
          <w:noProof/>
        </w:rPr>
        <w:t xml:space="preserve"> </w:t>
      </w:r>
      <w:r w:rsidRPr="003015FD">
        <w:rPr>
          <w:noProof/>
        </w:rPr>
        <w:t>indicate</w:t>
      </w:r>
      <w:r w:rsidR="00975895" w:rsidRPr="003015FD">
        <w:rPr>
          <w:noProof/>
        </w:rPr>
        <w:t xml:space="preserve"> </w:t>
      </w:r>
      <w:r w:rsidRPr="003015FD">
        <w:rPr>
          <w:noProof/>
        </w:rPr>
        <w:t>if</w:t>
      </w:r>
      <w:r w:rsidR="00975895" w:rsidRPr="003015FD">
        <w:rPr>
          <w:noProof/>
        </w:rPr>
        <w:t xml:space="preserve"> </w:t>
      </w:r>
      <w:r w:rsidRPr="003015FD">
        <w:rPr>
          <w:noProof/>
        </w:rPr>
        <w:t>changes</w:t>
      </w:r>
      <w:r w:rsidR="00975895" w:rsidRPr="003015FD">
        <w:rPr>
          <w:noProof/>
        </w:rPr>
        <w:t xml:space="preserve"> </w:t>
      </w:r>
      <w:r w:rsidRPr="003015FD">
        <w:rPr>
          <w:noProof/>
        </w:rPr>
        <w:t>were</w:t>
      </w:r>
      <w:r w:rsidR="00975895" w:rsidRPr="003015FD">
        <w:rPr>
          <w:noProof/>
        </w:rPr>
        <w:t xml:space="preserve"> </w:t>
      </w:r>
      <w:r w:rsidRPr="003015FD">
        <w:rPr>
          <w:noProof/>
        </w:rPr>
        <w:t>made</w:t>
      </w:r>
      <w:r w:rsidR="00975895" w:rsidRPr="003015FD">
        <w:rPr>
          <w:noProof/>
        </w:rPr>
        <w:t xml:space="preserve"> </w:t>
      </w:r>
      <w:r w:rsidRPr="003015FD">
        <w:rPr>
          <w:noProof/>
        </w:rPr>
        <w:t>and</w:t>
      </w:r>
      <w:r w:rsidR="00975895" w:rsidRPr="003015FD">
        <w:rPr>
          <w:noProof/>
        </w:rPr>
        <w:t xml:space="preserve"> </w:t>
      </w:r>
      <w:r w:rsidRPr="003015FD">
        <w:rPr>
          <w:noProof/>
        </w:rPr>
        <w:t>comply</w:t>
      </w:r>
      <w:r w:rsidR="00975895" w:rsidRPr="003015FD">
        <w:rPr>
          <w:noProof/>
        </w:rPr>
        <w:t xml:space="preserve"> </w:t>
      </w:r>
      <w:r w:rsidRPr="003015FD">
        <w:rPr>
          <w:noProof/>
        </w:rPr>
        <w:t>with</w:t>
      </w:r>
      <w:r w:rsidR="00975895" w:rsidRPr="003015FD">
        <w:rPr>
          <w:noProof/>
        </w:rPr>
        <w:t xml:space="preserve"> </w:t>
      </w:r>
      <w:r w:rsidRPr="003015FD">
        <w:rPr>
          <w:noProof/>
        </w:rPr>
        <w:t>the</w:t>
      </w:r>
      <w:r w:rsidR="00975895" w:rsidRPr="003015FD">
        <w:rPr>
          <w:noProof/>
        </w:rPr>
        <w:t xml:space="preserve"> </w:t>
      </w:r>
      <w:r w:rsidRPr="003015FD">
        <w:rPr>
          <w:noProof/>
        </w:rPr>
        <w:t>other</w:t>
      </w:r>
      <w:r w:rsidR="00975895" w:rsidRPr="003015FD">
        <w:rPr>
          <w:noProof/>
        </w:rPr>
        <w:t xml:space="preserve"> </w:t>
      </w:r>
      <w:r w:rsidRPr="003015FD">
        <w:rPr>
          <w:noProof/>
        </w:rPr>
        <w:t>licence</w:t>
      </w:r>
      <w:r w:rsidR="00975895" w:rsidRPr="003015FD">
        <w:rPr>
          <w:noProof/>
        </w:rPr>
        <w:t xml:space="preserve"> </w:t>
      </w:r>
      <w:r w:rsidRPr="003015FD">
        <w:rPr>
          <w:noProof/>
        </w:rPr>
        <w:t>terms.</w:t>
      </w:r>
      <w:r w:rsidR="00975895" w:rsidRPr="003015FD">
        <w:rPr>
          <w:noProof/>
        </w:rPr>
        <w:t xml:space="preserve"> </w:t>
      </w:r>
      <w:r w:rsidRPr="003015FD">
        <w:rPr>
          <w:noProof/>
        </w:rPr>
        <w:t>The</w:t>
      </w:r>
      <w:r w:rsidR="00975895" w:rsidRPr="003015FD">
        <w:rPr>
          <w:noProof/>
        </w:rPr>
        <w:t xml:space="preserve"> </w:t>
      </w:r>
      <w:r w:rsidRPr="003015FD">
        <w:rPr>
          <w:noProof/>
        </w:rPr>
        <w:t>licence</w:t>
      </w:r>
      <w:r w:rsidR="00975895" w:rsidRPr="003015FD">
        <w:rPr>
          <w:noProof/>
        </w:rPr>
        <w:t xml:space="preserve"> </w:t>
      </w:r>
      <w:r w:rsidRPr="003015FD">
        <w:rPr>
          <w:noProof/>
        </w:rPr>
        <w:t>does</w:t>
      </w:r>
      <w:r w:rsidR="00975895" w:rsidRPr="003015FD">
        <w:rPr>
          <w:noProof/>
        </w:rPr>
        <w:t xml:space="preserve"> </w:t>
      </w:r>
      <w:r w:rsidRPr="003015FD">
        <w:rPr>
          <w:noProof/>
        </w:rPr>
        <w:t>not</w:t>
      </w:r>
      <w:r w:rsidR="00975895" w:rsidRPr="003015FD">
        <w:rPr>
          <w:noProof/>
        </w:rPr>
        <w:t xml:space="preserve"> </w:t>
      </w:r>
      <w:r w:rsidRPr="003015FD">
        <w:rPr>
          <w:noProof/>
        </w:rPr>
        <w:t>apply</w:t>
      </w:r>
      <w:r w:rsidR="00975895" w:rsidRPr="003015FD">
        <w:rPr>
          <w:noProof/>
        </w:rPr>
        <w:t xml:space="preserve"> </w:t>
      </w:r>
      <w:r w:rsidRPr="003015FD">
        <w:rPr>
          <w:noProof/>
        </w:rPr>
        <w:t>to</w:t>
      </w:r>
      <w:r w:rsidR="00975895" w:rsidRPr="003015FD">
        <w:rPr>
          <w:noProof/>
        </w:rPr>
        <w:t xml:space="preserve"> </w:t>
      </w:r>
      <w:r w:rsidRPr="003015FD">
        <w:rPr>
          <w:noProof/>
        </w:rPr>
        <w:t>any</w:t>
      </w:r>
      <w:r w:rsidR="00975895" w:rsidRPr="003015FD">
        <w:rPr>
          <w:noProof/>
        </w:rPr>
        <w:t xml:space="preserve"> </w:t>
      </w:r>
      <w:r w:rsidRPr="003015FD">
        <w:rPr>
          <w:noProof/>
        </w:rPr>
        <w:t>branding,</w:t>
      </w:r>
      <w:r w:rsidR="00975895" w:rsidRPr="003015FD">
        <w:rPr>
          <w:noProof/>
        </w:rPr>
        <w:t xml:space="preserve"> </w:t>
      </w:r>
      <w:r w:rsidRPr="003015FD">
        <w:rPr>
          <w:noProof/>
        </w:rPr>
        <w:t>including</w:t>
      </w:r>
      <w:r w:rsidR="00975895" w:rsidRPr="003015FD">
        <w:rPr>
          <w:noProof/>
        </w:rPr>
        <w:t xml:space="preserve"> </w:t>
      </w:r>
      <w:r w:rsidRPr="003015FD">
        <w:rPr>
          <w:noProof/>
        </w:rPr>
        <w:t>the</w:t>
      </w:r>
      <w:r w:rsidR="00975895" w:rsidRPr="003015FD">
        <w:rPr>
          <w:noProof/>
        </w:rPr>
        <w:t xml:space="preserve"> </w:t>
      </w:r>
      <w:r w:rsidR="007E6BF3">
        <w:rPr>
          <w:noProof/>
        </w:rPr>
        <w:t>Victorian Equal Opportunity and Human Rights Commission</w:t>
      </w:r>
      <w:r w:rsidR="007E6BF3" w:rsidRPr="003015FD">
        <w:rPr>
          <w:noProof/>
        </w:rPr>
        <w:t xml:space="preserve"> </w:t>
      </w:r>
      <w:r w:rsidRPr="003015FD">
        <w:rPr>
          <w:noProof/>
        </w:rPr>
        <w:t>logo.</w:t>
      </w:r>
    </w:p>
    <w:p w14:paraId="59769CA9" w14:textId="77777777" w:rsidR="008E0945" w:rsidRPr="003015FD" w:rsidRDefault="008E0945" w:rsidP="005B74F5">
      <w:pPr>
        <w:rPr>
          <w:noProof/>
        </w:rPr>
      </w:pPr>
      <w:r w:rsidRPr="003015FD">
        <w:rPr>
          <w:noProof/>
          <w:lang w:val="en-GB" w:eastAsia="en-GB"/>
        </w:rPr>
        <w:drawing>
          <wp:inline distT="0" distB="0" distL="0" distR="0" wp14:anchorId="24A2D05D" wp14:editId="1520452C">
            <wp:extent cx="894080" cy="321310"/>
            <wp:effectExtent l="0" t="0" r="127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4080" cy="321310"/>
                    </a:xfrm>
                    <a:prstGeom prst="rect">
                      <a:avLst/>
                    </a:prstGeom>
                    <a:noFill/>
                    <a:ln>
                      <a:noFill/>
                    </a:ln>
                  </pic:spPr>
                </pic:pic>
              </a:graphicData>
            </a:graphic>
          </wp:inline>
        </w:drawing>
      </w:r>
    </w:p>
    <w:p w14:paraId="58439A6E" w14:textId="319F1C57" w:rsidR="00B33033" w:rsidRPr="003015FD" w:rsidRDefault="00B33033" w:rsidP="005B74F5">
      <w:pPr>
        <w:rPr>
          <w:noProof/>
        </w:rPr>
      </w:pPr>
      <w:r w:rsidRPr="003015FD">
        <w:rPr>
          <w:noProof/>
        </w:rPr>
        <w:t>Please</w:t>
      </w:r>
      <w:r w:rsidR="00975895" w:rsidRPr="003015FD">
        <w:rPr>
          <w:noProof/>
        </w:rPr>
        <w:t xml:space="preserve"> </w:t>
      </w:r>
      <w:r w:rsidRPr="003015FD">
        <w:rPr>
          <w:noProof/>
        </w:rPr>
        <w:t>give</w:t>
      </w:r>
      <w:r w:rsidR="00975895" w:rsidRPr="003015FD">
        <w:rPr>
          <w:noProof/>
        </w:rPr>
        <w:t xml:space="preserve"> </w:t>
      </w:r>
      <w:r w:rsidRPr="003015FD">
        <w:rPr>
          <w:noProof/>
        </w:rPr>
        <w:t>attribution</w:t>
      </w:r>
      <w:r w:rsidR="00975895" w:rsidRPr="003015FD">
        <w:rPr>
          <w:noProof/>
        </w:rPr>
        <w:t xml:space="preserve"> </w:t>
      </w:r>
      <w:r w:rsidRPr="003015FD">
        <w:rPr>
          <w:noProof/>
        </w:rPr>
        <w:t>to:</w:t>
      </w:r>
      <w:r w:rsidR="00975895" w:rsidRPr="003015FD">
        <w:rPr>
          <w:noProof/>
        </w:rPr>
        <w:t xml:space="preserve"> </w:t>
      </w:r>
      <w:r w:rsidRPr="003015FD">
        <w:rPr>
          <w:noProof/>
        </w:rPr>
        <w:t>©</w:t>
      </w:r>
      <w:r w:rsidR="00975895" w:rsidRPr="003015FD">
        <w:rPr>
          <w:noProof/>
        </w:rPr>
        <w:t xml:space="preserve"> </w:t>
      </w:r>
      <w:r w:rsidRPr="003015FD">
        <w:rPr>
          <w:noProof/>
        </w:rPr>
        <w:t>State</w:t>
      </w:r>
      <w:r w:rsidR="00975895" w:rsidRPr="003015FD">
        <w:rPr>
          <w:noProof/>
        </w:rPr>
        <w:t xml:space="preserve"> </w:t>
      </w:r>
      <w:r w:rsidRPr="003015FD">
        <w:rPr>
          <w:noProof/>
        </w:rPr>
        <w:t>of</w:t>
      </w:r>
      <w:r w:rsidR="00975895" w:rsidRPr="003015FD">
        <w:rPr>
          <w:noProof/>
        </w:rPr>
        <w:t xml:space="preserve"> </w:t>
      </w:r>
      <w:r w:rsidRPr="003015FD">
        <w:rPr>
          <w:noProof/>
        </w:rPr>
        <w:t>Victoria</w:t>
      </w:r>
      <w:r w:rsidR="00975895" w:rsidRPr="003015FD">
        <w:rPr>
          <w:noProof/>
        </w:rPr>
        <w:t xml:space="preserve"> </w:t>
      </w:r>
      <w:r w:rsidRPr="003015FD">
        <w:rPr>
          <w:noProof/>
        </w:rPr>
        <w:t>(</w:t>
      </w:r>
      <w:r w:rsidR="007E6BF3">
        <w:rPr>
          <w:noProof/>
        </w:rPr>
        <w:t>Victorian Equal Opportunity and Human Rights Commission</w:t>
      </w:r>
      <w:r w:rsidRPr="003015FD">
        <w:rPr>
          <w:noProof/>
        </w:rPr>
        <w:t>)</w:t>
      </w:r>
      <w:r w:rsidR="00975895" w:rsidRPr="003015FD">
        <w:rPr>
          <w:noProof/>
        </w:rPr>
        <w:t xml:space="preserve"> </w:t>
      </w:r>
      <w:r w:rsidRPr="003015FD">
        <w:rPr>
          <w:noProof/>
        </w:rPr>
        <w:t>2019</w:t>
      </w:r>
    </w:p>
    <w:p w14:paraId="39549FAF" w14:textId="7134D594" w:rsidR="008E0945" w:rsidRPr="003015FD" w:rsidRDefault="008E0945" w:rsidP="000B065E">
      <w:pPr>
        <w:pStyle w:val="Heading4"/>
      </w:pPr>
      <w:bookmarkStart w:id="4" w:name="_Toc15045089"/>
      <w:r w:rsidRPr="003015FD">
        <w:t>Accessible</w:t>
      </w:r>
      <w:r w:rsidR="00975895" w:rsidRPr="003015FD">
        <w:t xml:space="preserve"> </w:t>
      </w:r>
      <w:r w:rsidRPr="003015FD">
        <w:t>formats</w:t>
      </w:r>
      <w:bookmarkEnd w:id="4"/>
      <w:r w:rsidR="00975895" w:rsidRPr="003015FD">
        <w:t xml:space="preserve"> </w:t>
      </w:r>
    </w:p>
    <w:p w14:paraId="7E7EE10D" w14:textId="5F879D68" w:rsidR="008E0945" w:rsidRPr="003015FD" w:rsidRDefault="008E0945" w:rsidP="005B74F5">
      <w:r w:rsidRPr="003015FD">
        <w:t>This</w:t>
      </w:r>
      <w:r w:rsidR="00975895" w:rsidRPr="003015FD">
        <w:t xml:space="preserve"> </w:t>
      </w:r>
      <w:r w:rsidRPr="003015FD">
        <w:t>document</w:t>
      </w:r>
      <w:r w:rsidR="00975895" w:rsidRPr="003015FD">
        <w:t xml:space="preserve"> </w:t>
      </w:r>
      <w:r w:rsidRPr="003015FD">
        <w:t>is</w:t>
      </w:r>
      <w:r w:rsidR="00975895" w:rsidRPr="003015FD">
        <w:t xml:space="preserve"> </w:t>
      </w:r>
      <w:r w:rsidRPr="003015FD">
        <w:t>available</w:t>
      </w:r>
      <w:r w:rsidR="00975895" w:rsidRPr="003015FD">
        <w:t xml:space="preserve"> </w:t>
      </w:r>
      <w:r w:rsidRPr="003015FD">
        <w:t>at</w:t>
      </w:r>
      <w:r w:rsidR="00975895" w:rsidRPr="003015FD">
        <w:t xml:space="preserve"> </w:t>
      </w:r>
      <w:hyperlink r:id="rId16" w:history="1">
        <w:r w:rsidRPr="003015FD">
          <w:rPr>
            <w:rStyle w:val="Hyperlink"/>
          </w:rPr>
          <w:t>humanrightscommission.vic.gov.au/resources</w:t>
        </w:r>
      </w:hyperlink>
      <w:r w:rsidR="00975895" w:rsidRPr="003015FD">
        <w:t xml:space="preserve"> </w:t>
      </w:r>
      <w:r w:rsidRPr="003015FD">
        <w:t>in</w:t>
      </w:r>
      <w:r w:rsidR="00975895" w:rsidRPr="003015FD">
        <w:t xml:space="preserve"> </w:t>
      </w:r>
      <w:r w:rsidRPr="003015FD">
        <w:t>PDF</w:t>
      </w:r>
      <w:r w:rsidR="00975895" w:rsidRPr="003015FD">
        <w:t xml:space="preserve"> </w:t>
      </w:r>
      <w:r w:rsidRPr="003015FD">
        <w:t>and</w:t>
      </w:r>
      <w:r w:rsidR="00975895" w:rsidRPr="003015FD">
        <w:t xml:space="preserve"> </w:t>
      </w:r>
      <w:r w:rsidRPr="003015FD">
        <w:t>RTF.</w:t>
      </w:r>
      <w:r w:rsidR="00975895" w:rsidRPr="003015FD">
        <w:t xml:space="preserve"> </w:t>
      </w:r>
      <w:r w:rsidRPr="003015FD">
        <w:t>Please</w:t>
      </w:r>
      <w:r w:rsidR="00975895" w:rsidRPr="003015FD">
        <w:t xml:space="preserve"> </w:t>
      </w:r>
      <w:r w:rsidRPr="003015FD">
        <w:t>contact</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if</w:t>
      </w:r>
      <w:r w:rsidR="00975895" w:rsidRPr="003015FD">
        <w:t xml:space="preserve"> </w:t>
      </w:r>
      <w:r w:rsidRPr="003015FD">
        <w:t>you</w:t>
      </w:r>
      <w:r w:rsidR="00975895" w:rsidRPr="003015FD">
        <w:t xml:space="preserve"> </w:t>
      </w:r>
      <w:r w:rsidRPr="003015FD">
        <w:t>require</w:t>
      </w:r>
      <w:r w:rsidR="00975895" w:rsidRPr="003015FD">
        <w:t xml:space="preserve"> </w:t>
      </w:r>
      <w:r w:rsidRPr="003015FD">
        <w:t>other</w:t>
      </w:r>
      <w:r w:rsidR="00975895" w:rsidRPr="003015FD">
        <w:t xml:space="preserve"> </w:t>
      </w:r>
      <w:r w:rsidRPr="003015FD">
        <w:t>accessible</w:t>
      </w:r>
      <w:r w:rsidR="00975895" w:rsidRPr="003015FD">
        <w:t xml:space="preserve"> </w:t>
      </w:r>
      <w:r w:rsidRPr="003015FD">
        <w:t>formats.</w:t>
      </w:r>
    </w:p>
    <w:p w14:paraId="6BDCB876" w14:textId="04988503" w:rsidR="008E0945" w:rsidRPr="003015FD" w:rsidRDefault="008E0945" w:rsidP="000B065E">
      <w:pPr>
        <w:pStyle w:val="Heading4"/>
      </w:pPr>
      <w:bookmarkStart w:id="5" w:name="_Toc15045091"/>
      <w:r w:rsidRPr="003015FD">
        <w:t>Disclaimer</w:t>
      </w:r>
      <w:bookmarkEnd w:id="5"/>
      <w:r w:rsidR="00975895" w:rsidRPr="003015FD">
        <w:t xml:space="preserve"> </w:t>
      </w:r>
    </w:p>
    <w:p w14:paraId="0D9D77A4" w14:textId="464E4C8D" w:rsidR="008E0945" w:rsidRPr="003015FD" w:rsidRDefault="008E0945" w:rsidP="005B74F5">
      <w:r w:rsidRPr="003015FD">
        <w:t>This</w:t>
      </w:r>
      <w:r w:rsidR="00975895" w:rsidRPr="003015FD">
        <w:t xml:space="preserve"> </w:t>
      </w:r>
      <w:r w:rsidRPr="003015FD">
        <w:t>information</w:t>
      </w:r>
      <w:r w:rsidR="00975895" w:rsidRPr="003015FD">
        <w:t xml:space="preserve"> </w:t>
      </w:r>
      <w:r w:rsidRPr="003015FD">
        <w:t>is</w:t>
      </w:r>
      <w:r w:rsidR="00975895" w:rsidRPr="003015FD">
        <w:t xml:space="preserve"> </w:t>
      </w:r>
      <w:r w:rsidRPr="003015FD">
        <w:t>intended</w:t>
      </w:r>
      <w:r w:rsidR="00975895" w:rsidRPr="003015FD">
        <w:t xml:space="preserve"> </w:t>
      </w:r>
      <w:r w:rsidRPr="003015FD">
        <w:t>as</w:t>
      </w:r>
      <w:r w:rsidR="00975895" w:rsidRPr="003015FD">
        <w:t xml:space="preserve"> </w:t>
      </w:r>
      <w:r w:rsidRPr="003015FD">
        <w:t>a</w:t>
      </w:r>
      <w:r w:rsidR="00975895" w:rsidRPr="003015FD">
        <w:t xml:space="preserve"> </w:t>
      </w:r>
      <w:r w:rsidRPr="003015FD">
        <w:t>guide</w:t>
      </w:r>
      <w:r w:rsidR="00975895" w:rsidRPr="003015FD">
        <w:t xml:space="preserve"> </w:t>
      </w:r>
      <w:r w:rsidRPr="003015FD">
        <w:t>only.</w:t>
      </w:r>
      <w:r w:rsidR="00975895" w:rsidRPr="003015FD">
        <w:t xml:space="preserve"> </w:t>
      </w:r>
      <w:r w:rsidRPr="003015FD">
        <w:t>It</w:t>
      </w:r>
      <w:r w:rsidR="00975895" w:rsidRPr="003015FD">
        <w:t xml:space="preserve"> </w:t>
      </w:r>
      <w:r w:rsidRPr="003015FD">
        <w:t>is</w:t>
      </w:r>
      <w:r w:rsidR="00975895" w:rsidRPr="003015FD">
        <w:t xml:space="preserve"> </w:t>
      </w:r>
      <w:r w:rsidRPr="003015FD">
        <w:t>not</w:t>
      </w:r>
      <w:r w:rsidR="00975895" w:rsidRPr="003015FD">
        <w:t xml:space="preserve"> </w:t>
      </w:r>
      <w:r w:rsidRPr="003015FD">
        <w:t>a</w:t>
      </w:r>
      <w:r w:rsidR="00975895" w:rsidRPr="003015FD">
        <w:t xml:space="preserve"> </w:t>
      </w:r>
      <w:r w:rsidRPr="003015FD">
        <w:t>substitute</w:t>
      </w:r>
      <w:r w:rsidR="00975895" w:rsidRPr="003015FD">
        <w:t xml:space="preserve"> </w:t>
      </w:r>
      <w:r w:rsidRPr="003015FD">
        <w:t>for</w:t>
      </w:r>
      <w:r w:rsidR="00975895" w:rsidRPr="003015FD">
        <w:t xml:space="preserve"> </w:t>
      </w:r>
      <w:r w:rsidRPr="003015FD">
        <w:t>legal</w:t>
      </w:r>
      <w:r w:rsidR="00975895" w:rsidRPr="003015FD">
        <w:t xml:space="preserve"> </w:t>
      </w:r>
      <w:r w:rsidRPr="003015FD">
        <w:t>advice.</w:t>
      </w:r>
      <w:r w:rsidR="00975895" w:rsidRPr="003015FD">
        <w:t xml:space="preserve"> All information was correct at time of production.</w:t>
      </w:r>
    </w:p>
    <w:p w14:paraId="3D904773" w14:textId="77777777" w:rsidR="00054270" w:rsidRDefault="00054270" w:rsidP="00054270">
      <w:pPr>
        <w:pStyle w:val="VEOHRCBodytext"/>
      </w:pPr>
    </w:p>
    <w:p w14:paraId="44332604" w14:textId="0969DEAD" w:rsidR="00054270" w:rsidRDefault="00054270" w:rsidP="00054270">
      <w:pPr>
        <w:pStyle w:val="VEOHRCBodytext"/>
      </w:pPr>
      <w:r>
        <w:t>Ordered to be published.</w:t>
      </w:r>
    </w:p>
    <w:p w14:paraId="794639B9" w14:textId="7EF28808" w:rsidR="00054270" w:rsidRDefault="00054270" w:rsidP="00054270">
      <w:pPr>
        <w:pStyle w:val="VEOHRCBodytext"/>
      </w:pPr>
      <w:r w:rsidRPr="0075194E">
        <w:t xml:space="preserve">PP </w:t>
      </w:r>
      <w:r w:rsidR="0075194E" w:rsidRPr="0075194E">
        <w:t>89</w:t>
      </w:r>
      <w:r w:rsidRPr="0075194E">
        <w:t xml:space="preserve">, Session </w:t>
      </w:r>
      <w:r w:rsidR="0075194E" w:rsidRPr="0075194E">
        <w:t>2018-19</w:t>
      </w:r>
    </w:p>
    <w:p w14:paraId="6D0380DA" w14:textId="4D5EF752" w:rsidR="008E0945" w:rsidRPr="003015FD" w:rsidRDefault="008E0945" w:rsidP="005B74F5">
      <w:pPr>
        <w:pStyle w:val="BodyText"/>
      </w:pPr>
      <w:r w:rsidRPr="003015FD">
        <w:t>Printed</w:t>
      </w:r>
      <w:r w:rsidR="00975895" w:rsidRPr="003015FD">
        <w:t xml:space="preserve"> </w:t>
      </w:r>
      <w:r w:rsidRPr="003015FD">
        <w:t>on</w:t>
      </w:r>
      <w:r w:rsidR="00975895" w:rsidRPr="003015FD">
        <w:t xml:space="preserve"> </w:t>
      </w:r>
      <w:proofErr w:type="spellStart"/>
      <w:r w:rsidR="00D10722" w:rsidRPr="003015FD">
        <w:t>Ecostar</w:t>
      </w:r>
      <w:proofErr w:type="spellEnd"/>
    </w:p>
    <w:p w14:paraId="6EA561C3" w14:textId="068F6401" w:rsidR="008E0945" w:rsidRPr="003015FD" w:rsidRDefault="008E0945" w:rsidP="00DE1791">
      <w:pPr>
        <w:pStyle w:val="BodyText"/>
      </w:pPr>
      <w:r w:rsidRPr="003015FD">
        <w:t>ISBN</w:t>
      </w:r>
      <w:r w:rsidR="00975895" w:rsidRPr="003015FD">
        <w:t xml:space="preserve"> </w:t>
      </w:r>
      <w:r w:rsidR="00054270" w:rsidRPr="00054270">
        <w:t>978-0-6480881-4-1</w:t>
      </w:r>
      <w:r w:rsidR="00975895" w:rsidRPr="003015FD">
        <w:t xml:space="preserve"> </w:t>
      </w:r>
      <w:bookmarkEnd w:id="2"/>
      <w:r w:rsidRPr="003015FD">
        <w:br w:type="page"/>
      </w:r>
    </w:p>
    <w:p w14:paraId="59A4725F" w14:textId="062E4329" w:rsidR="008E0945" w:rsidRPr="00A83970" w:rsidRDefault="008E0945" w:rsidP="0002642E">
      <w:pPr>
        <w:pStyle w:val="Heading4"/>
      </w:pPr>
      <w:bookmarkStart w:id="6" w:name="_Toc522697015"/>
      <w:r w:rsidRPr="00A83970">
        <w:lastRenderedPageBreak/>
        <w:t>Letter</w:t>
      </w:r>
      <w:r w:rsidR="00975895" w:rsidRPr="00A83970">
        <w:t xml:space="preserve"> </w:t>
      </w:r>
      <w:r w:rsidRPr="00A83970">
        <w:t>to</w:t>
      </w:r>
      <w:r w:rsidR="00975895" w:rsidRPr="00A83970">
        <w:t xml:space="preserve"> </w:t>
      </w:r>
      <w:r w:rsidRPr="00A83970">
        <w:t>the</w:t>
      </w:r>
      <w:r w:rsidR="00975895" w:rsidRPr="00A83970">
        <w:t xml:space="preserve"> </w:t>
      </w:r>
      <w:r w:rsidRPr="00A83970">
        <w:t>Attorney-General</w:t>
      </w:r>
      <w:bookmarkEnd w:id="6"/>
    </w:p>
    <w:p w14:paraId="14C47C28" w14:textId="12E181CD" w:rsidR="008E0945" w:rsidRPr="003015FD" w:rsidRDefault="003B428A" w:rsidP="0002642E">
      <w:r>
        <w:t>28</w:t>
      </w:r>
      <w:r w:rsidR="003340A9" w:rsidRPr="003C0ADE">
        <w:t xml:space="preserve"> October</w:t>
      </w:r>
      <w:r w:rsidR="00975895" w:rsidRPr="003015FD">
        <w:t xml:space="preserve"> </w:t>
      </w:r>
      <w:r w:rsidR="008E0945" w:rsidRPr="003015FD">
        <w:t>2019</w:t>
      </w:r>
    </w:p>
    <w:p w14:paraId="50DBD59C" w14:textId="7A452A21" w:rsidR="008E0945" w:rsidRPr="003015FD" w:rsidRDefault="008E0945" w:rsidP="0002642E">
      <w:r w:rsidRPr="003015FD">
        <w:t>Dear</w:t>
      </w:r>
      <w:r w:rsidR="00975895" w:rsidRPr="003015FD">
        <w:t xml:space="preserve"> </w:t>
      </w:r>
      <w:r w:rsidRPr="003015FD">
        <w:t>Attorney-General</w:t>
      </w:r>
    </w:p>
    <w:p w14:paraId="1C9E9BAA" w14:textId="4D41875C" w:rsidR="008E0945" w:rsidRPr="003015FD" w:rsidRDefault="008E0945" w:rsidP="0002642E">
      <w:r w:rsidRPr="003015FD">
        <w:t>On</w:t>
      </w:r>
      <w:r w:rsidR="00975895" w:rsidRPr="003015FD">
        <w:t xml:space="preserve"> </w:t>
      </w:r>
      <w:r w:rsidRPr="003015FD">
        <w:t>behalf</w:t>
      </w:r>
      <w:r w:rsidR="00975895" w:rsidRPr="003015FD">
        <w:t xml:space="preserve"> </w:t>
      </w:r>
      <w:r w:rsidRPr="003015FD">
        <w:t>of</w:t>
      </w:r>
      <w:r w:rsidR="00975895" w:rsidRPr="003015FD">
        <w:t xml:space="preserve"> </w:t>
      </w:r>
      <w:r w:rsidRPr="003015FD">
        <w:t>the</w:t>
      </w:r>
      <w:r w:rsidR="00975895" w:rsidRPr="003015FD">
        <w:t xml:space="preserve"> </w:t>
      </w:r>
      <w:r w:rsidRPr="003015FD">
        <w:t>Victorian</w:t>
      </w:r>
      <w:r w:rsidR="00975895" w:rsidRPr="003015FD">
        <w:t xml:space="preserve"> </w:t>
      </w:r>
      <w:r w:rsidRPr="003015FD">
        <w:t>Equal</w:t>
      </w:r>
      <w:r w:rsidR="00975895" w:rsidRPr="003015FD">
        <w:t xml:space="preserve"> </w:t>
      </w:r>
      <w:r w:rsidRPr="003015FD">
        <w:t>Opportunity</w:t>
      </w:r>
      <w:r w:rsidR="00975895" w:rsidRPr="003015FD">
        <w:t xml:space="preserve"> </w:t>
      </w:r>
      <w:r w:rsidRPr="003015FD">
        <w:t>and</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Commission,</w:t>
      </w:r>
      <w:r w:rsidR="00975895" w:rsidRPr="003015FD">
        <w:t xml:space="preserve"> </w:t>
      </w:r>
      <w:r w:rsidRPr="003015FD">
        <w:t>it</w:t>
      </w:r>
      <w:r w:rsidR="00975895" w:rsidRPr="003015FD">
        <w:t xml:space="preserve"> </w:t>
      </w:r>
      <w:r w:rsidRPr="003015FD">
        <w:t>is</w:t>
      </w:r>
      <w:r w:rsidR="00975895" w:rsidRPr="003015FD">
        <w:t xml:space="preserve"> </w:t>
      </w:r>
      <w:r w:rsidRPr="003015FD">
        <w:t>with</w:t>
      </w:r>
      <w:r w:rsidR="00975895" w:rsidRPr="003015FD">
        <w:t xml:space="preserve"> </w:t>
      </w:r>
      <w:r w:rsidRPr="003015FD">
        <w:t>pleasure</w:t>
      </w:r>
      <w:r w:rsidR="00975895" w:rsidRPr="003015FD">
        <w:t xml:space="preserve"> </w:t>
      </w:r>
      <w:r w:rsidRPr="003015FD">
        <w:t>that</w:t>
      </w:r>
      <w:r w:rsidR="00975895" w:rsidRPr="003015FD">
        <w:t xml:space="preserve"> </w:t>
      </w:r>
      <w:r w:rsidRPr="003015FD">
        <w:t>I</w:t>
      </w:r>
      <w:r w:rsidR="00975895" w:rsidRPr="003015FD">
        <w:t xml:space="preserve"> </w:t>
      </w:r>
      <w:r w:rsidRPr="003015FD">
        <w:t>present</w:t>
      </w:r>
      <w:r w:rsidR="00975895" w:rsidRPr="003015FD">
        <w:t xml:space="preserve"> </w:t>
      </w:r>
      <w:r w:rsidRPr="003015FD">
        <w:t>to</w:t>
      </w:r>
      <w:r w:rsidR="00975895" w:rsidRPr="003015FD">
        <w:t xml:space="preserve"> </w:t>
      </w:r>
      <w:r w:rsidRPr="003015FD">
        <w:t>you</w:t>
      </w:r>
      <w:r w:rsidR="00975895" w:rsidRPr="003015FD">
        <w:t xml:space="preserve"> </w:t>
      </w:r>
      <w:r w:rsidRPr="003015FD">
        <w:t>our</w:t>
      </w:r>
      <w:r w:rsidR="00975895" w:rsidRPr="003015FD">
        <w:t xml:space="preserve"> </w:t>
      </w:r>
      <w:r w:rsidR="003B428A">
        <w:t>twelfth</w:t>
      </w:r>
      <w:r w:rsidR="00975895" w:rsidRPr="003015FD">
        <w:t xml:space="preserve"> </w:t>
      </w:r>
      <w:r w:rsidRPr="003015FD">
        <w:t>annual</w:t>
      </w:r>
      <w:r w:rsidR="00975895" w:rsidRPr="003015FD">
        <w:t xml:space="preserve"> </w:t>
      </w:r>
      <w:r w:rsidRPr="003015FD">
        <w:t>report</w:t>
      </w:r>
      <w:r w:rsidR="00975895" w:rsidRPr="003015FD">
        <w:t xml:space="preserve"> </w:t>
      </w:r>
      <w:r w:rsidRPr="003015FD">
        <w:t>on</w:t>
      </w:r>
      <w:r w:rsidR="00975895" w:rsidRPr="003015FD">
        <w:t xml:space="preserve"> </w:t>
      </w:r>
      <w:r w:rsidRPr="003015FD">
        <w:t>the</w:t>
      </w:r>
      <w:r w:rsidR="00975895" w:rsidRPr="003015FD">
        <w:t xml:space="preserve"> </w:t>
      </w:r>
      <w:r w:rsidRPr="003015FD">
        <w:t>operation</w:t>
      </w:r>
      <w:r w:rsidR="00975895" w:rsidRPr="003015FD">
        <w:t xml:space="preserve"> </w:t>
      </w:r>
      <w:r w:rsidRPr="003015FD">
        <w:t>of</w:t>
      </w:r>
      <w:r w:rsidR="00975895" w:rsidRPr="003015FD">
        <w:t xml:space="preserve"> </w:t>
      </w:r>
      <w:r w:rsidRPr="003015FD">
        <w:t>the</w:t>
      </w:r>
      <w:r w:rsidR="00975895" w:rsidRPr="003015FD">
        <w:t xml:space="preserve"> </w:t>
      </w:r>
      <w:r w:rsidRPr="0002642E">
        <w:t>Charter</w:t>
      </w:r>
      <w:r w:rsidR="00975895" w:rsidRPr="0002642E">
        <w:t xml:space="preserve"> </w:t>
      </w:r>
      <w:r w:rsidRPr="0002642E">
        <w:t>of</w:t>
      </w:r>
      <w:r w:rsidR="00975895" w:rsidRPr="0002642E">
        <w:t xml:space="preserve"> </w:t>
      </w:r>
      <w:r w:rsidRPr="0002642E">
        <w:t>Human</w:t>
      </w:r>
      <w:r w:rsidR="00975895" w:rsidRPr="0002642E">
        <w:t xml:space="preserve"> </w:t>
      </w:r>
      <w:r w:rsidRPr="0002642E">
        <w:t>Rights</w:t>
      </w:r>
      <w:r w:rsidR="00975895" w:rsidRPr="0002642E">
        <w:t xml:space="preserve"> </w:t>
      </w:r>
      <w:r w:rsidRPr="0002642E">
        <w:t>and</w:t>
      </w:r>
      <w:r w:rsidR="00975895" w:rsidRPr="0002642E">
        <w:t xml:space="preserve"> </w:t>
      </w:r>
      <w:r w:rsidRPr="0002642E">
        <w:t>Responsibilities</w:t>
      </w:r>
      <w:r w:rsidR="00975895" w:rsidRPr="0002642E">
        <w:t xml:space="preserve"> </w:t>
      </w:r>
      <w:r w:rsidRPr="0002642E">
        <w:t>Act</w:t>
      </w:r>
      <w:r w:rsidR="00975895" w:rsidRPr="0002642E">
        <w:t xml:space="preserve"> </w:t>
      </w:r>
      <w:r w:rsidRPr="0002642E">
        <w:t>2006</w:t>
      </w:r>
      <w:r w:rsidR="00975895" w:rsidRPr="0002642E">
        <w:rPr>
          <w:rStyle w:val="VEOHRCItalics"/>
          <w:i w:val="0"/>
        </w:rPr>
        <w:t xml:space="preserve"> </w:t>
      </w:r>
      <w:r w:rsidRPr="003015FD">
        <w:t>(Vic)</w:t>
      </w:r>
      <w:r w:rsidR="00975895" w:rsidRPr="003015FD">
        <w:t xml:space="preserve"> </w:t>
      </w:r>
      <w:r w:rsidRPr="003015FD">
        <w:t>(the</w:t>
      </w:r>
      <w:r w:rsidR="00975895" w:rsidRPr="003015FD">
        <w:t xml:space="preserve"> </w:t>
      </w:r>
      <w:r w:rsidRPr="003015FD">
        <w:t>Charter)</w:t>
      </w:r>
      <w:r w:rsidR="00975895" w:rsidRPr="003015FD">
        <w:t xml:space="preserve"> </w:t>
      </w:r>
      <w:r w:rsidRPr="003015FD">
        <w:t>covering</w:t>
      </w:r>
      <w:r w:rsidR="00975895" w:rsidRPr="003015FD">
        <w:t xml:space="preserve"> </w:t>
      </w:r>
      <w:r w:rsidRPr="003015FD">
        <w:t>the</w:t>
      </w:r>
      <w:r w:rsidR="00975895" w:rsidRPr="003015FD">
        <w:t xml:space="preserve"> </w:t>
      </w:r>
      <w:r w:rsidRPr="003015FD">
        <w:t>2018</w:t>
      </w:r>
      <w:r w:rsidR="00975895" w:rsidRPr="003015FD">
        <w:t xml:space="preserve"> </w:t>
      </w:r>
      <w:r w:rsidRPr="003015FD">
        <w:t>calendar</w:t>
      </w:r>
      <w:r w:rsidR="00975895" w:rsidRPr="003015FD">
        <w:t xml:space="preserve"> </w:t>
      </w:r>
      <w:r w:rsidRPr="003015FD">
        <w:t>year.</w:t>
      </w:r>
    </w:p>
    <w:p w14:paraId="0BC68202" w14:textId="47D078D4" w:rsidR="008E0945" w:rsidRPr="003015FD" w:rsidRDefault="008E0945" w:rsidP="0002642E">
      <w:r w:rsidRPr="003015FD">
        <w:t>In</w:t>
      </w:r>
      <w:r w:rsidR="00975895" w:rsidRPr="003015FD">
        <w:t xml:space="preserve"> </w:t>
      </w:r>
      <w:r w:rsidRPr="003015FD">
        <w:t>accordance</w:t>
      </w:r>
      <w:r w:rsidR="00975895" w:rsidRPr="003015FD">
        <w:t xml:space="preserve"> </w:t>
      </w:r>
      <w:r w:rsidRPr="003015FD">
        <w:t>with</w:t>
      </w:r>
      <w:r w:rsidR="00975895" w:rsidRPr="003015FD">
        <w:t xml:space="preserve"> </w:t>
      </w:r>
      <w:r w:rsidRPr="003015FD">
        <w:t>section</w:t>
      </w:r>
      <w:r w:rsidR="00975895" w:rsidRPr="003015FD">
        <w:t xml:space="preserve"> </w:t>
      </w:r>
      <w:r w:rsidRPr="003015FD">
        <w:t>41(a)(</w:t>
      </w:r>
      <w:proofErr w:type="spellStart"/>
      <w:r w:rsidRPr="003015FD">
        <w:t>i</w:t>
      </w:r>
      <w:proofErr w:type="spellEnd"/>
      <w:r w:rsidRPr="003015FD">
        <w:t>)</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this</w:t>
      </w:r>
      <w:r w:rsidR="00975895" w:rsidRPr="003015FD">
        <w:t xml:space="preserve"> </w:t>
      </w:r>
      <w:r w:rsidRPr="003015FD">
        <w:t>report</w:t>
      </w:r>
      <w:r w:rsidR="00975895" w:rsidRPr="003015FD">
        <w:t xml:space="preserve"> </w:t>
      </w:r>
      <w:r w:rsidRPr="003015FD">
        <w:t>examines</w:t>
      </w:r>
      <w:r w:rsidR="00975895" w:rsidRPr="003015FD">
        <w:t xml:space="preserve"> </w:t>
      </w:r>
      <w:r w:rsidRPr="003015FD">
        <w:t>the</w:t>
      </w:r>
      <w:r w:rsidR="00975895" w:rsidRPr="003015FD">
        <w:t xml:space="preserve"> </w:t>
      </w:r>
      <w:r w:rsidRPr="003015FD">
        <w:t>operation</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including</w:t>
      </w:r>
      <w:r w:rsidR="00975895" w:rsidRPr="003015FD">
        <w:t xml:space="preserve"> </w:t>
      </w:r>
      <w:r w:rsidRPr="003015FD">
        <w:t>its</w:t>
      </w:r>
      <w:r w:rsidR="00975895" w:rsidRPr="003015FD">
        <w:t xml:space="preserve"> </w:t>
      </w:r>
      <w:r w:rsidRPr="003015FD">
        <w:t>interaction</w:t>
      </w:r>
      <w:r w:rsidR="00975895" w:rsidRPr="003015FD">
        <w:t xml:space="preserve"> </w:t>
      </w:r>
      <w:r w:rsidRPr="003015FD">
        <w:t>with</w:t>
      </w:r>
      <w:r w:rsidR="00975895" w:rsidRPr="003015FD">
        <w:t xml:space="preserve"> </w:t>
      </w:r>
      <w:r w:rsidRPr="003015FD">
        <w:t>other</w:t>
      </w:r>
      <w:r w:rsidR="00975895" w:rsidRPr="003015FD">
        <w:t xml:space="preserve"> </w:t>
      </w:r>
      <w:r w:rsidRPr="003015FD">
        <w:t>statutes</w:t>
      </w:r>
      <w:r w:rsidR="00975895" w:rsidRPr="003015FD">
        <w:t xml:space="preserve"> </w:t>
      </w:r>
      <w:r w:rsidRPr="003015FD">
        <w:t>and</w:t>
      </w:r>
      <w:r w:rsidR="00975895" w:rsidRPr="003015FD">
        <w:t xml:space="preserve"> </w:t>
      </w:r>
      <w:r w:rsidRPr="003015FD">
        <w:t>the</w:t>
      </w:r>
      <w:r w:rsidR="00975895" w:rsidRPr="003015FD">
        <w:t xml:space="preserve"> </w:t>
      </w:r>
      <w:r w:rsidRPr="003015FD">
        <w:t>common</w:t>
      </w:r>
      <w:r w:rsidR="00975895" w:rsidRPr="003015FD">
        <w:t xml:space="preserve"> </w:t>
      </w:r>
      <w:r w:rsidRPr="003015FD">
        <w:t>law.</w:t>
      </w:r>
    </w:p>
    <w:p w14:paraId="59763182" w14:textId="68A4E015" w:rsidR="008E0945" w:rsidRPr="003015FD" w:rsidRDefault="008E0945" w:rsidP="0002642E">
      <w:r w:rsidRPr="003015FD">
        <w:t>During</w:t>
      </w:r>
      <w:r w:rsidR="00975895" w:rsidRPr="003015FD">
        <w:t xml:space="preserve"> </w:t>
      </w:r>
      <w:proofErr w:type="gramStart"/>
      <w:r w:rsidRPr="003015FD">
        <w:t>2018</w:t>
      </w:r>
      <w:proofErr w:type="gramEnd"/>
      <w:r w:rsidR="00975895" w:rsidRPr="003015FD">
        <w:t xml:space="preserve"> </w:t>
      </w:r>
      <w:r w:rsidRPr="003015FD">
        <w:t>there</w:t>
      </w:r>
      <w:r w:rsidR="00975895" w:rsidRPr="003015FD">
        <w:t xml:space="preserve"> </w:t>
      </w:r>
      <w:r w:rsidRPr="003015FD">
        <w:t>were</w:t>
      </w:r>
      <w:r w:rsidR="00975895" w:rsidRPr="003015FD">
        <w:t xml:space="preserve"> </w:t>
      </w:r>
      <w:r w:rsidRPr="003015FD">
        <w:t>no</w:t>
      </w:r>
      <w:r w:rsidR="00975895" w:rsidRPr="003015FD">
        <w:t xml:space="preserve"> </w:t>
      </w:r>
      <w:r w:rsidRPr="003015FD">
        <w:t>declarations</w:t>
      </w:r>
      <w:r w:rsidR="00975895" w:rsidRPr="003015FD">
        <w:t xml:space="preserve"> </w:t>
      </w:r>
      <w:r w:rsidRPr="003015FD">
        <w:t>of</w:t>
      </w:r>
      <w:r w:rsidR="00975895" w:rsidRPr="003015FD">
        <w:t xml:space="preserve"> </w:t>
      </w:r>
      <w:r w:rsidRPr="003015FD">
        <w:t>inconsistent</w:t>
      </w:r>
      <w:r w:rsidR="00975895" w:rsidRPr="003015FD">
        <w:t xml:space="preserve"> </w:t>
      </w:r>
      <w:r w:rsidRPr="003015FD">
        <w:t>interpretation</w:t>
      </w:r>
      <w:r w:rsidR="00975895" w:rsidRPr="003015FD">
        <w:t xml:space="preserve"> </w:t>
      </w:r>
      <w:r w:rsidRPr="003015FD">
        <w:t>made</w:t>
      </w:r>
      <w:r w:rsidR="00975895" w:rsidRPr="003015FD">
        <w:t xml:space="preserve"> </w:t>
      </w:r>
      <w:r w:rsidRPr="003015FD">
        <w:t>by</w:t>
      </w:r>
      <w:r w:rsidR="00975895" w:rsidRPr="003015FD">
        <w:t xml:space="preserve"> </w:t>
      </w:r>
      <w:r w:rsidRPr="003015FD">
        <w:t>the</w:t>
      </w:r>
      <w:r w:rsidR="00975895" w:rsidRPr="003015FD">
        <w:t xml:space="preserve"> </w:t>
      </w:r>
      <w:r w:rsidRPr="003015FD">
        <w:t>Supreme</w:t>
      </w:r>
      <w:r w:rsidR="00975895" w:rsidRPr="003015FD">
        <w:t xml:space="preserve"> </w:t>
      </w:r>
      <w:r w:rsidRPr="003015FD">
        <w:t>Court</w:t>
      </w:r>
      <w:r w:rsidR="00975895" w:rsidRPr="003015FD">
        <w:t xml:space="preserve"> </w:t>
      </w:r>
      <w:r w:rsidRPr="003015FD">
        <w:t>of</w:t>
      </w:r>
      <w:r w:rsidR="00975895" w:rsidRPr="003015FD">
        <w:t xml:space="preserve"> </w:t>
      </w:r>
      <w:r w:rsidRPr="003015FD">
        <w:t>Victoria.</w:t>
      </w:r>
      <w:r w:rsidR="00975895" w:rsidRPr="003015FD">
        <w:t xml:space="preserve"> </w:t>
      </w:r>
      <w:r w:rsidRPr="003015FD">
        <w:t>Accordingly,</w:t>
      </w:r>
      <w:r w:rsidR="00975895" w:rsidRPr="003015FD">
        <w:t xml:space="preserve"> </w:t>
      </w:r>
      <w:r w:rsidRPr="003015FD">
        <w:t>it</w:t>
      </w:r>
      <w:r w:rsidR="00975895" w:rsidRPr="003015FD">
        <w:t xml:space="preserve"> </w:t>
      </w:r>
      <w:r w:rsidRPr="003015FD">
        <w:t>has</w:t>
      </w:r>
      <w:r w:rsidR="00975895" w:rsidRPr="003015FD">
        <w:t xml:space="preserve"> </w:t>
      </w:r>
      <w:r w:rsidRPr="003015FD">
        <w:t>not</w:t>
      </w:r>
      <w:r w:rsidR="00975895" w:rsidRPr="003015FD">
        <w:t xml:space="preserve"> </w:t>
      </w:r>
      <w:r w:rsidRPr="003015FD">
        <w:t>been</w:t>
      </w:r>
      <w:r w:rsidR="00975895" w:rsidRPr="003015FD">
        <w:t xml:space="preserve"> </w:t>
      </w:r>
      <w:r w:rsidRPr="003015FD">
        <w:t>necessary</w:t>
      </w:r>
      <w:r w:rsidR="00975895" w:rsidRPr="003015FD">
        <w:t xml:space="preserve"> </w:t>
      </w:r>
      <w:r w:rsidRPr="003015FD">
        <w:t>for</w:t>
      </w:r>
      <w:r w:rsidR="00975895" w:rsidRPr="003015FD">
        <w:t xml:space="preserve"> </w:t>
      </w:r>
      <w:r w:rsidRPr="003015FD">
        <w:t>this</w:t>
      </w:r>
      <w:r w:rsidR="00975895" w:rsidRPr="003015FD">
        <w:t xml:space="preserve"> </w:t>
      </w:r>
      <w:r w:rsidRPr="003015FD">
        <w:t>report</w:t>
      </w:r>
      <w:r w:rsidR="00975895" w:rsidRPr="003015FD">
        <w:t xml:space="preserve"> </w:t>
      </w:r>
      <w:r w:rsidRPr="003015FD">
        <w:t>to</w:t>
      </w:r>
      <w:r w:rsidR="00975895" w:rsidRPr="003015FD">
        <w:t xml:space="preserve"> </w:t>
      </w:r>
      <w:r w:rsidRPr="003015FD">
        <w:t>examine</w:t>
      </w:r>
      <w:r w:rsidR="00975895" w:rsidRPr="003015FD">
        <w:t xml:space="preserve"> </w:t>
      </w:r>
      <w:r w:rsidRPr="003015FD">
        <w:t>matters</w:t>
      </w:r>
      <w:r w:rsidR="00975895" w:rsidRPr="003015FD">
        <w:t xml:space="preserve"> </w:t>
      </w:r>
      <w:r w:rsidRPr="003015FD">
        <w:t>under</w:t>
      </w:r>
      <w:r w:rsidR="00975895" w:rsidRPr="003015FD">
        <w:t xml:space="preserve"> </w:t>
      </w:r>
      <w:r w:rsidRPr="003015FD">
        <w:t>section</w:t>
      </w:r>
      <w:r w:rsidR="00975895" w:rsidRPr="003015FD">
        <w:t xml:space="preserve"> </w:t>
      </w:r>
      <w:r w:rsidRPr="003015FD">
        <w:t>41(a)(ii)</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There</w:t>
      </w:r>
      <w:r w:rsidR="00975895" w:rsidRPr="003015FD">
        <w:t xml:space="preserve"> </w:t>
      </w:r>
      <w:r w:rsidRPr="003015FD">
        <w:t>was</w:t>
      </w:r>
      <w:r w:rsidR="00975895" w:rsidRPr="003015FD">
        <w:t xml:space="preserve"> </w:t>
      </w:r>
      <w:r w:rsidRPr="003015FD">
        <w:t>one</w:t>
      </w:r>
      <w:r w:rsidR="00975895" w:rsidRPr="003015FD">
        <w:t xml:space="preserve"> </w:t>
      </w:r>
      <w:r w:rsidRPr="003015FD">
        <w:t>override</w:t>
      </w:r>
      <w:r w:rsidR="00975895" w:rsidRPr="003015FD">
        <w:t xml:space="preserve"> </w:t>
      </w:r>
      <w:r w:rsidRPr="003015FD">
        <w:t>declaration</w:t>
      </w:r>
      <w:r w:rsidR="00975895" w:rsidRPr="003015FD">
        <w:t xml:space="preserve"> </w:t>
      </w:r>
      <w:r w:rsidRPr="003015FD">
        <w:t>passed</w:t>
      </w:r>
      <w:r w:rsidR="00975895" w:rsidRPr="003015FD">
        <w:t xml:space="preserve"> </w:t>
      </w:r>
      <w:r w:rsidRPr="003015FD">
        <w:t>by</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Parliament,</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the</w:t>
      </w:r>
      <w:r w:rsidR="00975895" w:rsidRPr="0002642E">
        <w:t xml:space="preserve"> </w:t>
      </w:r>
      <w:r w:rsidRPr="0002642E">
        <w:t>Corrections</w:t>
      </w:r>
      <w:r w:rsidR="00975895" w:rsidRPr="0002642E">
        <w:t xml:space="preserve"> </w:t>
      </w:r>
      <w:r w:rsidRPr="0002642E">
        <w:t>Amendment</w:t>
      </w:r>
      <w:r w:rsidR="00975895" w:rsidRPr="0002642E">
        <w:t xml:space="preserve"> </w:t>
      </w:r>
      <w:r w:rsidRPr="0002642E">
        <w:t>(Parole)</w:t>
      </w:r>
      <w:r w:rsidR="00975895" w:rsidRPr="0002642E">
        <w:t xml:space="preserve"> </w:t>
      </w:r>
      <w:r w:rsidRPr="0002642E">
        <w:t>Act</w:t>
      </w:r>
      <w:r w:rsidR="00975895" w:rsidRPr="0002642E">
        <w:t xml:space="preserve"> </w:t>
      </w:r>
      <w:r w:rsidRPr="0002642E">
        <w:t>2018</w:t>
      </w:r>
      <w:r w:rsidR="00975895" w:rsidRPr="003015FD">
        <w:t xml:space="preserve"> </w:t>
      </w:r>
      <w:r w:rsidRPr="003015FD">
        <w:t>(Vic).</w:t>
      </w:r>
    </w:p>
    <w:p w14:paraId="26563D91" w14:textId="567643E8" w:rsidR="008E0945" w:rsidRPr="003015FD" w:rsidRDefault="008E0945" w:rsidP="0002642E">
      <w:r w:rsidRPr="003015FD">
        <w:t>Yours</w:t>
      </w:r>
      <w:r w:rsidR="00975895" w:rsidRPr="003015FD">
        <w:t xml:space="preserve"> </w:t>
      </w:r>
      <w:r w:rsidRPr="003015FD">
        <w:t>sincerely</w:t>
      </w:r>
    </w:p>
    <w:p w14:paraId="5D3CA718" w14:textId="6CB6270D" w:rsidR="008E0945" w:rsidRPr="003015FD" w:rsidRDefault="00D80035" w:rsidP="0002642E">
      <w:r>
        <w:rPr>
          <w:noProof/>
          <w:lang w:val="en-GB" w:eastAsia="en-GB"/>
        </w:rPr>
        <w:drawing>
          <wp:inline distT="0" distB="0" distL="0" distR="0" wp14:anchorId="229D6B0E" wp14:editId="0C20AD4A">
            <wp:extent cx="2412365" cy="724535"/>
            <wp:effectExtent l="0" t="0" r="635" b="1206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2365" cy="724535"/>
                    </a:xfrm>
                    <a:prstGeom prst="rect">
                      <a:avLst/>
                    </a:prstGeom>
                    <a:noFill/>
                    <a:ln>
                      <a:noFill/>
                    </a:ln>
                  </pic:spPr>
                </pic:pic>
              </a:graphicData>
            </a:graphic>
          </wp:inline>
        </w:drawing>
      </w:r>
      <w:bookmarkStart w:id="7" w:name="_Toc522635133"/>
      <w:r w:rsidR="008E0945" w:rsidRPr="003015FD">
        <w:t>Kristen</w:t>
      </w:r>
      <w:r w:rsidR="00975895" w:rsidRPr="003015FD">
        <w:t xml:space="preserve"> </w:t>
      </w:r>
      <w:r w:rsidR="008E0945" w:rsidRPr="003015FD">
        <w:t>Hilton</w:t>
      </w:r>
      <w:r w:rsidR="00D10722" w:rsidRPr="003015FD">
        <w:br/>
      </w:r>
      <w:r w:rsidR="008E0945" w:rsidRPr="003015FD">
        <w:t>Victorian</w:t>
      </w:r>
      <w:r w:rsidR="00975895" w:rsidRPr="003015FD">
        <w:t xml:space="preserve"> </w:t>
      </w:r>
      <w:r w:rsidR="008E0945" w:rsidRPr="003015FD">
        <w:t>Equal</w:t>
      </w:r>
      <w:r w:rsidR="00975895" w:rsidRPr="003015FD">
        <w:t xml:space="preserve"> </w:t>
      </w:r>
      <w:r w:rsidR="008E0945" w:rsidRPr="003015FD">
        <w:t>Opportunity</w:t>
      </w:r>
      <w:r w:rsidR="00975895" w:rsidRPr="003015FD">
        <w:t xml:space="preserve"> </w:t>
      </w:r>
      <w:r w:rsidR="008E0945" w:rsidRPr="003015FD">
        <w:t>and</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Commissioner</w:t>
      </w:r>
      <w:bookmarkEnd w:id="7"/>
    </w:p>
    <w:p w14:paraId="7AE32858" w14:textId="2230FD86" w:rsidR="008E0945" w:rsidRPr="003015FD" w:rsidRDefault="008E0945" w:rsidP="00CF778C">
      <w:pPr>
        <w:pStyle w:val="Heading4"/>
        <w:rPr>
          <w:rStyle w:val="VEOHRCBodytextChar"/>
          <w:sz w:val="21"/>
          <w:lang w:val="en-GB"/>
        </w:rPr>
      </w:pPr>
      <w:r w:rsidRPr="003015FD">
        <w:br w:type="page"/>
      </w:r>
    </w:p>
    <w:p w14:paraId="6E4E0EB2" w14:textId="77777777" w:rsidR="000B065E" w:rsidRDefault="008E0945" w:rsidP="000B065E">
      <w:pPr>
        <w:pStyle w:val="BodyText"/>
        <w:rPr>
          <w:sz w:val="48"/>
          <w:szCs w:val="48"/>
        </w:rPr>
      </w:pPr>
      <w:r w:rsidRPr="000B065E">
        <w:rPr>
          <w:sz w:val="48"/>
          <w:szCs w:val="48"/>
        </w:rPr>
        <w:lastRenderedPageBreak/>
        <w:t>Contents</w:t>
      </w:r>
    </w:p>
    <w:p w14:paraId="6414747E" w14:textId="4C7DE20D" w:rsidR="009D4E64" w:rsidRDefault="000B065E">
      <w:pPr>
        <w:pStyle w:val="TOC1"/>
        <w:rPr>
          <w:rFonts w:asciiTheme="minorHAnsi" w:eastAsiaTheme="minorEastAsia" w:hAnsiTheme="minorHAnsi"/>
          <w:b w:val="0"/>
          <w:noProof/>
          <w:sz w:val="22"/>
          <w:szCs w:val="22"/>
          <w:lang w:eastAsia="en-AU"/>
        </w:rPr>
      </w:pPr>
      <w:r>
        <w:fldChar w:fldCharType="begin"/>
      </w:r>
      <w:r>
        <w:instrText xml:space="preserve"> TOC \h \z \t "Heading 1,1,Heading 2,2,Heading 1 (non-numbered),1" </w:instrText>
      </w:r>
      <w:r>
        <w:fldChar w:fldCharType="separate"/>
      </w:r>
      <w:hyperlink w:anchor="_Toc22011523" w:history="1">
        <w:r w:rsidR="009D4E64" w:rsidRPr="00734DE8">
          <w:rPr>
            <w:rStyle w:val="Hyperlink"/>
            <w:noProof/>
          </w:rPr>
          <w:t>Foreword from the Commissioner</w:t>
        </w:r>
        <w:r w:rsidR="009D4E64">
          <w:rPr>
            <w:noProof/>
            <w:webHidden/>
          </w:rPr>
          <w:tab/>
        </w:r>
        <w:r w:rsidR="009D4E64">
          <w:rPr>
            <w:noProof/>
            <w:webHidden/>
          </w:rPr>
          <w:fldChar w:fldCharType="begin"/>
        </w:r>
        <w:r w:rsidR="009D4E64">
          <w:rPr>
            <w:noProof/>
            <w:webHidden/>
          </w:rPr>
          <w:instrText xml:space="preserve"> PAGEREF _Toc22011523 \h </w:instrText>
        </w:r>
        <w:r w:rsidR="009D4E64">
          <w:rPr>
            <w:noProof/>
            <w:webHidden/>
          </w:rPr>
        </w:r>
        <w:r w:rsidR="009D4E64">
          <w:rPr>
            <w:noProof/>
            <w:webHidden/>
          </w:rPr>
          <w:fldChar w:fldCharType="separate"/>
        </w:r>
        <w:r w:rsidR="0075194E">
          <w:rPr>
            <w:noProof/>
            <w:webHidden/>
          </w:rPr>
          <w:t>4</w:t>
        </w:r>
        <w:r w:rsidR="009D4E64">
          <w:rPr>
            <w:noProof/>
            <w:webHidden/>
          </w:rPr>
          <w:fldChar w:fldCharType="end"/>
        </w:r>
      </w:hyperlink>
    </w:p>
    <w:p w14:paraId="7FC5FABC" w14:textId="068C1C4B" w:rsidR="009D4E64" w:rsidRDefault="00D65BFD">
      <w:pPr>
        <w:pStyle w:val="TOC1"/>
        <w:rPr>
          <w:rFonts w:asciiTheme="minorHAnsi" w:eastAsiaTheme="minorEastAsia" w:hAnsiTheme="minorHAnsi"/>
          <w:b w:val="0"/>
          <w:noProof/>
          <w:sz w:val="22"/>
          <w:szCs w:val="22"/>
          <w:lang w:eastAsia="en-AU"/>
        </w:rPr>
      </w:pPr>
      <w:hyperlink w:anchor="_Toc22011524" w:history="1">
        <w:r w:rsidR="009D4E64" w:rsidRPr="00734DE8">
          <w:rPr>
            <w:rStyle w:val="Hyperlink"/>
            <w:noProof/>
          </w:rPr>
          <w:t>1.</w:t>
        </w:r>
        <w:r w:rsidR="009D4E64">
          <w:rPr>
            <w:rFonts w:asciiTheme="minorHAnsi" w:eastAsiaTheme="minorEastAsia" w:hAnsiTheme="minorHAnsi"/>
            <w:b w:val="0"/>
            <w:noProof/>
            <w:sz w:val="22"/>
            <w:szCs w:val="22"/>
            <w:lang w:eastAsia="en-AU"/>
          </w:rPr>
          <w:tab/>
        </w:r>
        <w:r w:rsidR="009D4E64" w:rsidRPr="00734DE8">
          <w:rPr>
            <w:rStyle w:val="Hyperlink"/>
            <w:noProof/>
          </w:rPr>
          <w:t>Victoria's human rights system</w:t>
        </w:r>
        <w:r w:rsidR="009D4E64">
          <w:rPr>
            <w:noProof/>
            <w:webHidden/>
          </w:rPr>
          <w:tab/>
        </w:r>
        <w:r w:rsidR="009D4E64">
          <w:rPr>
            <w:noProof/>
            <w:webHidden/>
          </w:rPr>
          <w:fldChar w:fldCharType="begin"/>
        </w:r>
        <w:r w:rsidR="009D4E64">
          <w:rPr>
            <w:noProof/>
            <w:webHidden/>
          </w:rPr>
          <w:instrText xml:space="preserve"> PAGEREF _Toc22011524 \h </w:instrText>
        </w:r>
        <w:r w:rsidR="009D4E64">
          <w:rPr>
            <w:noProof/>
            <w:webHidden/>
          </w:rPr>
        </w:r>
        <w:r w:rsidR="009D4E64">
          <w:rPr>
            <w:noProof/>
            <w:webHidden/>
          </w:rPr>
          <w:fldChar w:fldCharType="separate"/>
        </w:r>
        <w:r w:rsidR="0075194E">
          <w:rPr>
            <w:noProof/>
            <w:webHidden/>
          </w:rPr>
          <w:t>6</w:t>
        </w:r>
        <w:r w:rsidR="009D4E64">
          <w:rPr>
            <w:noProof/>
            <w:webHidden/>
          </w:rPr>
          <w:fldChar w:fldCharType="end"/>
        </w:r>
      </w:hyperlink>
    </w:p>
    <w:p w14:paraId="6930ECE4" w14:textId="522B4A6D" w:rsidR="009D4E64" w:rsidRDefault="00D65BFD">
      <w:pPr>
        <w:pStyle w:val="TOC1"/>
        <w:rPr>
          <w:rFonts w:asciiTheme="minorHAnsi" w:eastAsiaTheme="minorEastAsia" w:hAnsiTheme="minorHAnsi"/>
          <w:b w:val="0"/>
          <w:noProof/>
          <w:sz w:val="22"/>
          <w:szCs w:val="22"/>
          <w:lang w:eastAsia="en-AU"/>
        </w:rPr>
      </w:pPr>
      <w:hyperlink w:anchor="_Toc22011525" w:history="1">
        <w:r w:rsidR="009D4E64" w:rsidRPr="00734DE8">
          <w:rPr>
            <w:rStyle w:val="Hyperlink"/>
            <w:noProof/>
          </w:rPr>
          <w:t>2.</w:t>
        </w:r>
        <w:r w:rsidR="009D4E64">
          <w:rPr>
            <w:rFonts w:asciiTheme="minorHAnsi" w:eastAsiaTheme="minorEastAsia" w:hAnsiTheme="minorHAnsi"/>
            <w:b w:val="0"/>
            <w:noProof/>
            <w:sz w:val="22"/>
            <w:szCs w:val="22"/>
            <w:lang w:eastAsia="en-AU"/>
          </w:rPr>
          <w:tab/>
        </w:r>
        <w:r w:rsidR="009D4E64" w:rsidRPr="00734DE8">
          <w:rPr>
            <w:rStyle w:val="Hyperlink"/>
            <w:noProof/>
          </w:rPr>
          <w:t>Human rights culture</w:t>
        </w:r>
        <w:r w:rsidR="009D4E64">
          <w:rPr>
            <w:noProof/>
            <w:webHidden/>
          </w:rPr>
          <w:tab/>
        </w:r>
        <w:r w:rsidR="009D4E64">
          <w:rPr>
            <w:noProof/>
            <w:webHidden/>
          </w:rPr>
          <w:fldChar w:fldCharType="begin"/>
        </w:r>
        <w:r w:rsidR="009D4E64">
          <w:rPr>
            <w:noProof/>
            <w:webHidden/>
          </w:rPr>
          <w:instrText xml:space="preserve"> PAGEREF _Toc22011525 \h </w:instrText>
        </w:r>
        <w:r w:rsidR="009D4E64">
          <w:rPr>
            <w:noProof/>
            <w:webHidden/>
          </w:rPr>
        </w:r>
        <w:r w:rsidR="009D4E64">
          <w:rPr>
            <w:noProof/>
            <w:webHidden/>
          </w:rPr>
          <w:fldChar w:fldCharType="separate"/>
        </w:r>
        <w:r w:rsidR="0075194E">
          <w:rPr>
            <w:noProof/>
            <w:webHidden/>
          </w:rPr>
          <w:t>10</w:t>
        </w:r>
        <w:r w:rsidR="009D4E64">
          <w:rPr>
            <w:noProof/>
            <w:webHidden/>
          </w:rPr>
          <w:fldChar w:fldCharType="end"/>
        </w:r>
      </w:hyperlink>
    </w:p>
    <w:p w14:paraId="14FCC491" w14:textId="602C9AEB" w:rsidR="009D4E64" w:rsidRDefault="00D65BFD">
      <w:pPr>
        <w:pStyle w:val="TOC2"/>
        <w:rPr>
          <w:rFonts w:asciiTheme="minorHAnsi" w:eastAsiaTheme="minorEastAsia" w:hAnsiTheme="minorHAnsi"/>
          <w:noProof/>
          <w:sz w:val="22"/>
          <w:szCs w:val="22"/>
          <w:lang w:eastAsia="en-AU"/>
        </w:rPr>
      </w:pPr>
      <w:hyperlink w:anchor="_Toc22011526" w:history="1">
        <w:r w:rsidR="009D4E64" w:rsidRPr="00734DE8">
          <w:rPr>
            <w:rStyle w:val="Hyperlink"/>
            <w:noProof/>
          </w:rPr>
          <w:t>2.1</w:t>
        </w:r>
        <w:r w:rsidR="009D4E64">
          <w:rPr>
            <w:rFonts w:asciiTheme="minorHAnsi" w:eastAsiaTheme="minorEastAsia" w:hAnsiTheme="minorHAnsi"/>
            <w:noProof/>
            <w:sz w:val="22"/>
            <w:szCs w:val="22"/>
            <w:lang w:eastAsia="en-AU"/>
          </w:rPr>
          <w:tab/>
        </w:r>
        <w:r w:rsidR="009D4E64" w:rsidRPr="00734DE8">
          <w:rPr>
            <w:rStyle w:val="Hyperlink"/>
            <w:noProof/>
          </w:rPr>
          <w:t>Summary</w:t>
        </w:r>
        <w:r w:rsidR="009D4E64">
          <w:rPr>
            <w:noProof/>
            <w:webHidden/>
          </w:rPr>
          <w:tab/>
        </w:r>
        <w:r w:rsidR="009D4E64">
          <w:rPr>
            <w:noProof/>
            <w:webHidden/>
          </w:rPr>
          <w:fldChar w:fldCharType="begin"/>
        </w:r>
        <w:r w:rsidR="009D4E64">
          <w:rPr>
            <w:noProof/>
            <w:webHidden/>
          </w:rPr>
          <w:instrText xml:space="preserve"> PAGEREF _Toc22011526 \h </w:instrText>
        </w:r>
        <w:r w:rsidR="009D4E64">
          <w:rPr>
            <w:noProof/>
            <w:webHidden/>
          </w:rPr>
        </w:r>
        <w:r w:rsidR="009D4E64">
          <w:rPr>
            <w:noProof/>
            <w:webHidden/>
          </w:rPr>
          <w:fldChar w:fldCharType="separate"/>
        </w:r>
        <w:r w:rsidR="0075194E">
          <w:rPr>
            <w:noProof/>
            <w:webHidden/>
          </w:rPr>
          <w:t>10</w:t>
        </w:r>
        <w:r w:rsidR="009D4E64">
          <w:rPr>
            <w:noProof/>
            <w:webHidden/>
          </w:rPr>
          <w:fldChar w:fldCharType="end"/>
        </w:r>
      </w:hyperlink>
    </w:p>
    <w:p w14:paraId="400DAB11" w14:textId="38EE9020" w:rsidR="009D4E64" w:rsidRDefault="00D65BFD">
      <w:pPr>
        <w:pStyle w:val="TOC2"/>
        <w:rPr>
          <w:rFonts w:asciiTheme="minorHAnsi" w:eastAsiaTheme="minorEastAsia" w:hAnsiTheme="minorHAnsi"/>
          <w:noProof/>
          <w:sz w:val="22"/>
          <w:szCs w:val="22"/>
          <w:lang w:eastAsia="en-AU"/>
        </w:rPr>
      </w:pPr>
      <w:hyperlink w:anchor="_Toc22011527" w:history="1">
        <w:r w:rsidR="009D4E64" w:rsidRPr="00734DE8">
          <w:rPr>
            <w:rStyle w:val="Hyperlink"/>
            <w:noProof/>
          </w:rPr>
          <w:t>2.2</w:t>
        </w:r>
        <w:r w:rsidR="009D4E64">
          <w:rPr>
            <w:rFonts w:asciiTheme="minorHAnsi" w:eastAsiaTheme="minorEastAsia" w:hAnsiTheme="minorHAnsi"/>
            <w:noProof/>
            <w:sz w:val="22"/>
            <w:szCs w:val="22"/>
            <w:lang w:eastAsia="en-AU"/>
          </w:rPr>
          <w:tab/>
        </w:r>
        <w:r w:rsidR="009D4E64" w:rsidRPr="00734DE8">
          <w:rPr>
            <w:rStyle w:val="Hyperlink"/>
            <w:noProof/>
          </w:rPr>
          <w:t>Why is a human rights culture important?</w:t>
        </w:r>
        <w:r w:rsidR="009D4E64">
          <w:rPr>
            <w:noProof/>
            <w:webHidden/>
          </w:rPr>
          <w:tab/>
        </w:r>
        <w:r w:rsidR="009D4E64">
          <w:rPr>
            <w:noProof/>
            <w:webHidden/>
          </w:rPr>
          <w:fldChar w:fldCharType="begin"/>
        </w:r>
        <w:r w:rsidR="009D4E64">
          <w:rPr>
            <w:noProof/>
            <w:webHidden/>
          </w:rPr>
          <w:instrText xml:space="preserve"> PAGEREF _Toc22011527 \h </w:instrText>
        </w:r>
        <w:r w:rsidR="009D4E64">
          <w:rPr>
            <w:noProof/>
            <w:webHidden/>
          </w:rPr>
        </w:r>
        <w:r w:rsidR="009D4E64">
          <w:rPr>
            <w:noProof/>
            <w:webHidden/>
          </w:rPr>
          <w:fldChar w:fldCharType="separate"/>
        </w:r>
        <w:r w:rsidR="0075194E">
          <w:rPr>
            <w:noProof/>
            <w:webHidden/>
          </w:rPr>
          <w:t>11</w:t>
        </w:r>
        <w:r w:rsidR="009D4E64">
          <w:rPr>
            <w:noProof/>
            <w:webHidden/>
          </w:rPr>
          <w:fldChar w:fldCharType="end"/>
        </w:r>
      </w:hyperlink>
    </w:p>
    <w:p w14:paraId="67689473" w14:textId="31BD0009" w:rsidR="009D4E64" w:rsidRDefault="00D65BFD">
      <w:pPr>
        <w:pStyle w:val="TOC2"/>
        <w:rPr>
          <w:rFonts w:asciiTheme="minorHAnsi" w:eastAsiaTheme="minorEastAsia" w:hAnsiTheme="minorHAnsi"/>
          <w:noProof/>
          <w:sz w:val="22"/>
          <w:szCs w:val="22"/>
          <w:lang w:eastAsia="en-AU"/>
        </w:rPr>
      </w:pPr>
      <w:hyperlink w:anchor="_Toc22011528" w:history="1">
        <w:r w:rsidR="009D4E64" w:rsidRPr="00734DE8">
          <w:rPr>
            <w:rStyle w:val="Hyperlink"/>
            <w:noProof/>
          </w:rPr>
          <w:t>2.3</w:t>
        </w:r>
        <w:r w:rsidR="009D4E64">
          <w:rPr>
            <w:rFonts w:asciiTheme="minorHAnsi" w:eastAsiaTheme="minorEastAsia" w:hAnsiTheme="minorHAnsi"/>
            <w:noProof/>
            <w:sz w:val="22"/>
            <w:szCs w:val="22"/>
            <w:lang w:eastAsia="en-AU"/>
          </w:rPr>
          <w:tab/>
        </w:r>
        <w:r w:rsidR="009D4E64" w:rsidRPr="00734DE8">
          <w:rPr>
            <w:rStyle w:val="Hyperlink"/>
            <w:noProof/>
          </w:rPr>
          <w:t>What makes a positive human rights culture?</w:t>
        </w:r>
        <w:r w:rsidR="009D4E64">
          <w:rPr>
            <w:noProof/>
            <w:webHidden/>
          </w:rPr>
          <w:tab/>
        </w:r>
        <w:r w:rsidR="009D4E64">
          <w:rPr>
            <w:noProof/>
            <w:webHidden/>
          </w:rPr>
          <w:fldChar w:fldCharType="begin"/>
        </w:r>
        <w:r w:rsidR="009D4E64">
          <w:rPr>
            <w:noProof/>
            <w:webHidden/>
          </w:rPr>
          <w:instrText xml:space="preserve"> PAGEREF _Toc22011528 \h </w:instrText>
        </w:r>
        <w:r w:rsidR="009D4E64">
          <w:rPr>
            <w:noProof/>
            <w:webHidden/>
          </w:rPr>
        </w:r>
        <w:r w:rsidR="009D4E64">
          <w:rPr>
            <w:noProof/>
            <w:webHidden/>
          </w:rPr>
          <w:fldChar w:fldCharType="separate"/>
        </w:r>
        <w:r w:rsidR="0075194E">
          <w:rPr>
            <w:noProof/>
            <w:webHidden/>
          </w:rPr>
          <w:t>13</w:t>
        </w:r>
        <w:r w:rsidR="009D4E64">
          <w:rPr>
            <w:noProof/>
            <w:webHidden/>
          </w:rPr>
          <w:fldChar w:fldCharType="end"/>
        </w:r>
      </w:hyperlink>
    </w:p>
    <w:p w14:paraId="3213E17C" w14:textId="6DA5786F" w:rsidR="009D4E64" w:rsidRDefault="00D65BFD">
      <w:pPr>
        <w:pStyle w:val="TOC2"/>
        <w:rPr>
          <w:rFonts w:asciiTheme="minorHAnsi" w:eastAsiaTheme="minorEastAsia" w:hAnsiTheme="minorHAnsi"/>
          <w:noProof/>
          <w:sz w:val="22"/>
          <w:szCs w:val="22"/>
          <w:lang w:eastAsia="en-AU"/>
        </w:rPr>
      </w:pPr>
      <w:hyperlink w:anchor="_Toc22011529" w:history="1">
        <w:r w:rsidR="009D4E64" w:rsidRPr="00734DE8">
          <w:rPr>
            <w:rStyle w:val="Hyperlink"/>
            <w:noProof/>
          </w:rPr>
          <w:t>2.4</w:t>
        </w:r>
        <w:r w:rsidR="009D4E64">
          <w:rPr>
            <w:rFonts w:asciiTheme="minorHAnsi" w:eastAsiaTheme="minorEastAsia" w:hAnsiTheme="minorHAnsi"/>
            <w:noProof/>
            <w:sz w:val="22"/>
            <w:szCs w:val="22"/>
            <w:lang w:eastAsia="en-AU"/>
          </w:rPr>
          <w:tab/>
        </w:r>
        <w:r w:rsidR="009D4E64" w:rsidRPr="00734DE8">
          <w:rPr>
            <w:rStyle w:val="Hyperlink"/>
            <w:noProof/>
          </w:rPr>
          <w:t>How do we measure this?</w:t>
        </w:r>
        <w:r w:rsidR="009D4E64">
          <w:rPr>
            <w:noProof/>
            <w:webHidden/>
          </w:rPr>
          <w:tab/>
        </w:r>
        <w:r w:rsidR="009D4E64">
          <w:rPr>
            <w:noProof/>
            <w:webHidden/>
          </w:rPr>
          <w:fldChar w:fldCharType="begin"/>
        </w:r>
        <w:r w:rsidR="009D4E64">
          <w:rPr>
            <w:noProof/>
            <w:webHidden/>
          </w:rPr>
          <w:instrText xml:space="preserve"> PAGEREF _Toc22011529 \h </w:instrText>
        </w:r>
        <w:r w:rsidR="009D4E64">
          <w:rPr>
            <w:noProof/>
            <w:webHidden/>
          </w:rPr>
        </w:r>
        <w:r w:rsidR="009D4E64">
          <w:rPr>
            <w:noProof/>
            <w:webHidden/>
          </w:rPr>
          <w:fldChar w:fldCharType="separate"/>
        </w:r>
        <w:r w:rsidR="0075194E">
          <w:rPr>
            <w:noProof/>
            <w:webHidden/>
          </w:rPr>
          <w:t>13</w:t>
        </w:r>
        <w:r w:rsidR="009D4E64">
          <w:rPr>
            <w:noProof/>
            <w:webHidden/>
          </w:rPr>
          <w:fldChar w:fldCharType="end"/>
        </w:r>
      </w:hyperlink>
    </w:p>
    <w:p w14:paraId="3FBE267E" w14:textId="220472BB" w:rsidR="009D4E64" w:rsidRDefault="00D65BFD">
      <w:pPr>
        <w:pStyle w:val="TOC2"/>
        <w:rPr>
          <w:rFonts w:asciiTheme="minorHAnsi" w:eastAsiaTheme="minorEastAsia" w:hAnsiTheme="minorHAnsi"/>
          <w:noProof/>
          <w:sz w:val="22"/>
          <w:szCs w:val="22"/>
          <w:lang w:eastAsia="en-AU"/>
        </w:rPr>
      </w:pPr>
      <w:hyperlink w:anchor="_Toc22011530" w:history="1">
        <w:r w:rsidR="009D4E64" w:rsidRPr="00734DE8">
          <w:rPr>
            <w:rStyle w:val="Hyperlink"/>
            <w:noProof/>
          </w:rPr>
          <w:t>2.6</w:t>
        </w:r>
        <w:r w:rsidR="009D4E64">
          <w:rPr>
            <w:rFonts w:asciiTheme="minorHAnsi" w:eastAsiaTheme="minorEastAsia" w:hAnsiTheme="minorHAnsi"/>
            <w:noProof/>
            <w:sz w:val="22"/>
            <w:szCs w:val="22"/>
            <w:lang w:eastAsia="en-AU"/>
          </w:rPr>
          <w:tab/>
        </w:r>
        <w:r w:rsidR="009D4E64" w:rsidRPr="00734DE8">
          <w:rPr>
            <w:rStyle w:val="Hyperlink"/>
            <w:noProof/>
          </w:rPr>
          <w:t>Reporting against the framework</w:t>
        </w:r>
        <w:r w:rsidR="009D4E64">
          <w:rPr>
            <w:noProof/>
            <w:webHidden/>
          </w:rPr>
          <w:tab/>
        </w:r>
        <w:r w:rsidR="009D4E64">
          <w:rPr>
            <w:noProof/>
            <w:webHidden/>
          </w:rPr>
          <w:fldChar w:fldCharType="begin"/>
        </w:r>
        <w:r w:rsidR="009D4E64">
          <w:rPr>
            <w:noProof/>
            <w:webHidden/>
          </w:rPr>
          <w:instrText xml:space="preserve"> PAGEREF _Toc22011530 \h </w:instrText>
        </w:r>
        <w:r w:rsidR="009D4E64">
          <w:rPr>
            <w:noProof/>
            <w:webHidden/>
          </w:rPr>
        </w:r>
        <w:r w:rsidR="009D4E64">
          <w:rPr>
            <w:noProof/>
            <w:webHidden/>
          </w:rPr>
          <w:fldChar w:fldCharType="separate"/>
        </w:r>
        <w:r w:rsidR="0075194E">
          <w:rPr>
            <w:noProof/>
            <w:webHidden/>
          </w:rPr>
          <w:t>17</w:t>
        </w:r>
        <w:r w:rsidR="009D4E64">
          <w:rPr>
            <w:noProof/>
            <w:webHidden/>
          </w:rPr>
          <w:fldChar w:fldCharType="end"/>
        </w:r>
      </w:hyperlink>
    </w:p>
    <w:p w14:paraId="7CD77E72" w14:textId="0F10B3BE" w:rsidR="009D4E64" w:rsidRDefault="00D65BFD">
      <w:pPr>
        <w:pStyle w:val="TOC2"/>
        <w:rPr>
          <w:rFonts w:asciiTheme="minorHAnsi" w:eastAsiaTheme="minorEastAsia" w:hAnsiTheme="minorHAnsi"/>
          <w:noProof/>
          <w:sz w:val="22"/>
          <w:szCs w:val="22"/>
          <w:lang w:eastAsia="en-AU"/>
        </w:rPr>
      </w:pPr>
      <w:hyperlink w:anchor="_Toc22011531" w:history="1">
        <w:r w:rsidR="009D4E64" w:rsidRPr="00734DE8">
          <w:rPr>
            <w:rStyle w:val="Hyperlink"/>
            <w:noProof/>
          </w:rPr>
          <w:t>2.7</w:t>
        </w:r>
        <w:r w:rsidR="009D4E64">
          <w:rPr>
            <w:rFonts w:asciiTheme="minorHAnsi" w:eastAsiaTheme="minorEastAsia" w:hAnsiTheme="minorHAnsi"/>
            <w:noProof/>
            <w:sz w:val="22"/>
            <w:szCs w:val="22"/>
            <w:lang w:eastAsia="en-AU"/>
          </w:rPr>
          <w:tab/>
        </w:r>
        <w:r w:rsidR="009D4E64" w:rsidRPr="00734DE8">
          <w:rPr>
            <w:rStyle w:val="Hyperlink"/>
            <w:noProof/>
          </w:rPr>
          <w:t>Full analysis and findings</w:t>
        </w:r>
        <w:r w:rsidR="009D4E64">
          <w:rPr>
            <w:noProof/>
            <w:webHidden/>
          </w:rPr>
          <w:tab/>
        </w:r>
        <w:r w:rsidR="009D4E64">
          <w:rPr>
            <w:noProof/>
            <w:webHidden/>
          </w:rPr>
          <w:fldChar w:fldCharType="begin"/>
        </w:r>
        <w:r w:rsidR="009D4E64">
          <w:rPr>
            <w:noProof/>
            <w:webHidden/>
          </w:rPr>
          <w:instrText xml:space="preserve"> PAGEREF _Toc22011531 \h </w:instrText>
        </w:r>
        <w:r w:rsidR="009D4E64">
          <w:rPr>
            <w:noProof/>
            <w:webHidden/>
          </w:rPr>
        </w:r>
        <w:r w:rsidR="009D4E64">
          <w:rPr>
            <w:noProof/>
            <w:webHidden/>
          </w:rPr>
          <w:fldChar w:fldCharType="separate"/>
        </w:r>
        <w:r w:rsidR="0075194E">
          <w:rPr>
            <w:noProof/>
            <w:webHidden/>
          </w:rPr>
          <w:t>18</w:t>
        </w:r>
        <w:r w:rsidR="009D4E64">
          <w:rPr>
            <w:noProof/>
            <w:webHidden/>
          </w:rPr>
          <w:fldChar w:fldCharType="end"/>
        </w:r>
      </w:hyperlink>
    </w:p>
    <w:p w14:paraId="721AD0F9" w14:textId="693C3F28" w:rsidR="009D4E64" w:rsidRDefault="00D65BFD">
      <w:pPr>
        <w:pStyle w:val="TOC2"/>
        <w:rPr>
          <w:rFonts w:asciiTheme="minorHAnsi" w:eastAsiaTheme="minorEastAsia" w:hAnsiTheme="minorHAnsi"/>
          <w:noProof/>
          <w:sz w:val="22"/>
          <w:szCs w:val="22"/>
          <w:lang w:eastAsia="en-AU"/>
        </w:rPr>
      </w:pPr>
      <w:hyperlink w:anchor="_Toc22011532" w:history="1">
        <w:r w:rsidR="009D4E64" w:rsidRPr="00734DE8">
          <w:rPr>
            <w:rStyle w:val="Hyperlink"/>
            <w:noProof/>
          </w:rPr>
          <w:t>2.8</w:t>
        </w:r>
        <w:r w:rsidR="009D4E64">
          <w:rPr>
            <w:rFonts w:asciiTheme="minorHAnsi" w:eastAsiaTheme="minorEastAsia" w:hAnsiTheme="minorHAnsi"/>
            <w:noProof/>
            <w:sz w:val="22"/>
            <w:szCs w:val="22"/>
            <w:lang w:eastAsia="en-AU"/>
          </w:rPr>
          <w:tab/>
        </w:r>
        <w:r w:rsidR="009D4E64" w:rsidRPr="00734DE8">
          <w:rPr>
            <w:rStyle w:val="Hyperlink"/>
            <w:noProof/>
          </w:rPr>
          <w:t>Growing a human rights culture in practice – case studies</w:t>
        </w:r>
        <w:r w:rsidR="009D4E64">
          <w:rPr>
            <w:noProof/>
            <w:webHidden/>
          </w:rPr>
          <w:tab/>
        </w:r>
        <w:r w:rsidR="009D4E64">
          <w:rPr>
            <w:noProof/>
            <w:webHidden/>
          </w:rPr>
          <w:fldChar w:fldCharType="begin"/>
        </w:r>
        <w:r w:rsidR="009D4E64">
          <w:rPr>
            <w:noProof/>
            <w:webHidden/>
          </w:rPr>
          <w:instrText xml:space="preserve"> PAGEREF _Toc22011532 \h </w:instrText>
        </w:r>
        <w:r w:rsidR="009D4E64">
          <w:rPr>
            <w:noProof/>
            <w:webHidden/>
          </w:rPr>
        </w:r>
        <w:r w:rsidR="009D4E64">
          <w:rPr>
            <w:noProof/>
            <w:webHidden/>
          </w:rPr>
          <w:fldChar w:fldCharType="separate"/>
        </w:r>
        <w:r w:rsidR="0075194E">
          <w:rPr>
            <w:noProof/>
            <w:webHidden/>
          </w:rPr>
          <w:t>43</w:t>
        </w:r>
        <w:r w:rsidR="009D4E64">
          <w:rPr>
            <w:noProof/>
            <w:webHidden/>
          </w:rPr>
          <w:fldChar w:fldCharType="end"/>
        </w:r>
      </w:hyperlink>
    </w:p>
    <w:p w14:paraId="09CFE083" w14:textId="1387AE30" w:rsidR="009D4E64" w:rsidRDefault="00D65BFD">
      <w:pPr>
        <w:pStyle w:val="TOC1"/>
        <w:rPr>
          <w:rFonts w:asciiTheme="minorHAnsi" w:eastAsiaTheme="minorEastAsia" w:hAnsiTheme="minorHAnsi"/>
          <w:b w:val="0"/>
          <w:noProof/>
          <w:sz w:val="22"/>
          <w:szCs w:val="22"/>
          <w:lang w:eastAsia="en-AU"/>
        </w:rPr>
      </w:pPr>
      <w:hyperlink w:anchor="_Toc22011533" w:history="1">
        <w:r w:rsidR="009D4E64" w:rsidRPr="00734DE8">
          <w:rPr>
            <w:rStyle w:val="Hyperlink"/>
            <w:noProof/>
          </w:rPr>
          <w:t>3.</w:t>
        </w:r>
        <w:r w:rsidR="009D4E64">
          <w:rPr>
            <w:rFonts w:asciiTheme="minorHAnsi" w:eastAsiaTheme="minorEastAsia" w:hAnsiTheme="minorHAnsi"/>
            <w:b w:val="0"/>
            <w:noProof/>
            <w:sz w:val="22"/>
            <w:szCs w:val="22"/>
            <w:lang w:eastAsia="en-AU"/>
          </w:rPr>
          <w:tab/>
        </w:r>
        <w:r w:rsidR="009D4E64" w:rsidRPr="00734DE8">
          <w:rPr>
            <w:rStyle w:val="Hyperlink"/>
            <w:noProof/>
          </w:rPr>
          <w:t>Human rights in law-making</w:t>
        </w:r>
        <w:r w:rsidR="009D4E64">
          <w:rPr>
            <w:noProof/>
            <w:webHidden/>
          </w:rPr>
          <w:tab/>
        </w:r>
        <w:r w:rsidR="009D4E64">
          <w:rPr>
            <w:noProof/>
            <w:webHidden/>
          </w:rPr>
          <w:fldChar w:fldCharType="begin"/>
        </w:r>
        <w:r w:rsidR="009D4E64">
          <w:rPr>
            <w:noProof/>
            <w:webHidden/>
          </w:rPr>
          <w:instrText xml:space="preserve"> PAGEREF _Toc22011533 \h </w:instrText>
        </w:r>
        <w:r w:rsidR="009D4E64">
          <w:rPr>
            <w:noProof/>
            <w:webHidden/>
          </w:rPr>
        </w:r>
        <w:r w:rsidR="009D4E64">
          <w:rPr>
            <w:noProof/>
            <w:webHidden/>
          </w:rPr>
          <w:fldChar w:fldCharType="separate"/>
        </w:r>
        <w:r w:rsidR="0075194E">
          <w:rPr>
            <w:noProof/>
            <w:webHidden/>
          </w:rPr>
          <w:t>48</w:t>
        </w:r>
        <w:r w:rsidR="009D4E64">
          <w:rPr>
            <w:noProof/>
            <w:webHidden/>
          </w:rPr>
          <w:fldChar w:fldCharType="end"/>
        </w:r>
      </w:hyperlink>
    </w:p>
    <w:p w14:paraId="06E4C567" w14:textId="2D511D37" w:rsidR="009D4E64" w:rsidRDefault="00D65BFD">
      <w:pPr>
        <w:pStyle w:val="TOC2"/>
        <w:rPr>
          <w:rFonts w:asciiTheme="minorHAnsi" w:eastAsiaTheme="minorEastAsia" w:hAnsiTheme="minorHAnsi"/>
          <w:noProof/>
          <w:sz w:val="22"/>
          <w:szCs w:val="22"/>
          <w:lang w:eastAsia="en-AU"/>
        </w:rPr>
      </w:pPr>
      <w:hyperlink w:anchor="_Toc22011534" w:history="1">
        <w:r w:rsidR="009D4E64" w:rsidRPr="00734DE8">
          <w:rPr>
            <w:rStyle w:val="Hyperlink"/>
            <w:noProof/>
          </w:rPr>
          <w:t>3.1</w:t>
        </w:r>
        <w:r w:rsidR="009D4E64">
          <w:rPr>
            <w:rFonts w:asciiTheme="minorHAnsi" w:eastAsiaTheme="minorEastAsia" w:hAnsiTheme="minorHAnsi"/>
            <w:noProof/>
            <w:sz w:val="22"/>
            <w:szCs w:val="22"/>
            <w:lang w:eastAsia="en-AU"/>
          </w:rPr>
          <w:tab/>
        </w:r>
        <w:r w:rsidR="009D4E64" w:rsidRPr="00734DE8">
          <w:rPr>
            <w:rStyle w:val="Hyperlink"/>
            <w:noProof/>
          </w:rPr>
          <w:t>The role of the Charter in law-making</w:t>
        </w:r>
        <w:r w:rsidR="009D4E64">
          <w:rPr>
            <w:noProof/>
            <w:webHidden/>
          </w:rPr>
          <w:tab/>
        </w:r>
        <w:r w:rsidR="009D4E64">
          <w:rPr>
            <w:noProof/>
            <w:webHidden/>
          </w:rPr>
          <w:fldChar w:fldCharType="begin"/>
        </w:r>
        <w:r w:rsidR="009D4E64">
          <w:rPr>
            <w:noProof/>
            <w:webHidden/>
          </w:rPr>
          <w:instrText xml:space="preserve"> PAGEREF _Toc22011534 \h </w:instrText>
        </w:r>
        <w:r w:rsidR="009D4E64">
          <w:rPr>
            <w:noProof/>
            <w:webHidden/>
          </w:rPr>
        </w:r>
        <w:r w:rsidR="009D4E64">
          <w:rPr>
            <w:noProof/>
            <w:webHidden/>
          </w:rPr>
          <w:fldChar w:fldCharType="separate"/>
        </w:r>
        <w:r w:rsidR="0075194E">
          <w:rPr>
            <w:noProof/>
            <w:webHidden/>
          </w:rPr>
          <w:t>48</w:t>
        </w:r>
        <w:r w:rsidR="009D4E64">
          <w:rPr>
            <w:noProof/>
            <w:webHidden/>
          </w:rPr>
          <w:fldChar w:fldCharType="end"/>
        </w:r>
      </w:hyperlink>
    </w:p>
    <w:p w14:paraId="1175C2A8" w14:textId="341BF7BD" w:rsidR="009D4E64" w:rsidRDefault="00D65BFD">
      <w:pPr>
        <w:pStyle w:val="TOC2"/>
        <w:rPr>
          <w:rFonts w:asciiTheme="minorHAnsi" w:eastAsiaTheme="minorEastAsia" w:hAnsiTheme="minorHAnsi"/>
          <w:noProof/>
          <w:sz w:val="22"/>
          <w:szCs w:val="22"/>
          <w:lang w:eastAsia="en-AU"/>
        </w:rPr>
      </w:pPr>
      <w:hyperlink w:anchor="_Toc22011535" w:history="1">
        <w:r w:rsidR="009D4E64" w:rsidRPr="00734DE8">
          <w:rPr>
            <w:rStyle w:val="Hyperlink"/>
            <w:noProof/>
          </w:rPr>
          <w:t>3.2</w:t>
        </w:r>
        <w:r w:rsidR="009D4E64">
          <w:rPr>
            <w:rFonts w:asciiTheme="minorHAnsi" w:eastAsiaTheme="minorEastAsia" w:hAnsiTheme="minorHAnsi"/>
            <w:noProof/>
            <w:sz w:val="22"/>
            <w:szCs w:val="22"/>
            <w:lang w:eastAsia="en-AU"/>
          </w:rPr>
          <w:tab/>
        </w:r>
        <w:r w:rsidR="009D4E64" w:rsidRPr="00734DE8">
          <w:rPr>
            <w:rStyle w:val="Hyperlink"/>
            <w:noProof/>
          </w:rPr>
          <w:t>Statements of compatibility</w:t>
        </w:r>
        <w:r w:rsidR="009D4E64">
          <w:rPr>
            <w:noProof/>
            <w:webHidden/>
          </w:rPr>
          <w:tab/>
        </w:r>
        <w:r w:rsidR="009D4E64">
          <w:rPr>
            <w:noProof/>
            <w:webHidden/>
          </w:rPr>
          <w:fldChar w:fldCharType="begin"/>
        </w:r>
        <w:r w:rsidR="009D4E64">
          <w:rPr>
            <w:noProof/>
            <w:webHidden/>
          </w:rPr>
          <w:instrText xml:space="preserve"> PAGEREF _Toc22011535 \h </w:instrText>
        </w:r>
        <w:r w:rsidR="009D4E64">
          <w:rPr>
            <w:noProof/>
            <w:webHidden/>
          </w:rPr>
        </w:r>
        <w:r w:rsidR="009D4E64">
          <w:rPr>
            <w:noProof/>
            <w:webHidden/>
          </w:rPr>
          <w:fldChar w:fldCharType="separate"/>
        </w:r>
        <w:r w:rsidR="0075194E">
          <w:rPr>
            <w:noProof/>
            <w:webHidden/>
          </w:rPr>
          <w:t>48</w:t>
        </w:r>
        <w:r w:rsidR="009D4E64">
          <w:rPr>
            <w:noProof/>
            <w:webHidden/>
          </w:rPr>
          <w:fldChar w:fldCharType="end"/>
        </w:r>
      </w:hyperlink>
    </w:p>
    <w:p w14:paraId="6DB97062" w14:textId="043A0F52" w:rsidR="009D4E64" w:rsidRDefault="00D65BFD">
      <w:pPr>
        <w:pStyle w:val="TOC2"/>
        <w:rPr>
          <w:rFonts w:asciiTheme="minorHAnsi" w:eastAsiaTheme="minorEastAsia" w:hAnsiTheme="minorHAnsi"/>
          <w:noProof/>
          <w:sz w:val="22"/>
          <w:szCs w:val="22"/>
          <w:lang w:eastAsia="en-AU"/>
        </w:rPr>
      </w:pPr>
      <w:hyperlink w:anchor="_Toc22011536" w:history="1">
        <w:r w:rsidR="009D4E64" w:rsidRPr="00734DE8">
          <w:rPr>
            <w:rStyle w:val="Hyperlink"/>
            <w:noProof/>
          </w:rPr>
          <w:t>3.3</w:t>
        </w:r>
        <w:r w:rsidR="009D4E64">
          <w:rPr>
            <w:rFonts w:asciiTheme="minorHAnsi" w:eastAsiaTheme="minorEastAsia" w:hAnsiTheme="minorHAnsi"/>
            <w:noProof/>
            <w:sz w:val="22"/>
            <w:szCs w:val="22"/>
            <w:lang w:eastAsia="en-AU"/>
          </w:rPr>
          <w:tab/>
        </w:r>
        <w:r w:rsidR="009D4E64" w:rsidRPr="00734DE8">
          <w:rPr>
            <w:rStyle w:val="Hyperlink"/>
            <w:noProof/>
          </w:rPr>
          <w:t>Override declarations</w:t>
        </w:r>
        <w:r w:rsidR="009D4E64">
          <w:rPr>
            <w:noProof/>
            <w:webHidden/>
          </w:rPr>
          <w:tab/>
        </w:r>
        <w:r w:rsidR="009D4E64">
          <w:rPr>
            <w:noProof/>
            <w:webHidden/>
          </w:rPr>
          <w:fldChar w:fldCharType="begin"/>
        </w:r>
        <w:r w:rsidR="009D4E64">
          <w:rPr>
            <w:noProof/>
            <w:webHidden/>
          </w:rPr>
          <w:instrText xml:space="preserve"> PAGEREF _Toc22011536 \h </w:instrText>
        </w:r>
        <w:r w:rsidR="009D4E64">
          <w:rPr>
            <w:noProof/>
            <w:webHidden/>
          </w:rPr>
        </w:r>
        <w:r w:rsidR="009D4E64">
          <w:rPr>
            <w:noProof/>
            <w:webHidden/>
          </w:rPr>
          <w:fldChar w:fldCharType="separate"/>
        </w:r>
        <w:r w:rsidR="0075194E">
          <w:rPr>
            <w:noProof/>
            <w:webHidden/>
          </w:rPr>
          <w:t>50</w:t>
        </w:r>
        <w:r w:rsidR="009D4E64">
          <w:rPr>
            <w:noProof/>
            <w:webHidden/>
          </w:rPr>
          <w:fldChar w:fldCharType="end"/>
        </w:r>
      </w:hyperlink>
    </w:p>
    <w:p w14:paraId="7E195922" w14:textId="51D97B17" w:rsidR="009D4E64" w:rsidRDefault="00D65BFD">
      <w:pPr>
        <w:pStyle w:val="TOC2"/>
        <w:rPr>
          <w:rFonts w:asciiTheme="minorHAnsi" w:eastAsiaTheme="minorEastAsia" w:hAnsiTheme="minorHAnsi"/>
          <w:noProof/>
          <w:sz w:val="22"/>
          <w:szCs w:val="22"/>
          <w:lang w:eastAsia="en-AU"/>
        </w:rPr>
      </w:pPr>
      <w:hyperlink w:anchor="_Toc22011537" w:history="1">
        <w:r w:rsidR="009D4E64" w:rsidRPr="00734DE8">
          <w:rPr>
            <w:rStyle w:val="Hyperlink"/>
            <w:noProof/>
          </w:rPr>
          <w:t>3.4</w:t>
        </w:r>
        <w:r w:rsidR="009D4E64">
          <w:rPr>
            <w:rFonts w:asciiTheme="minorHAnsi" w:eastAsiaTheme="minorEastAsia" w:hAnsiTheme="minorHAnsi"/>
            <w:noProof/>
            <w:sz w:val="22"/>
            <w:szCs w:val="22"/>
            <w:lang w:eastAsia="en-AU"/>
          </w:rPr>
          <w:tab/>
        </w:r>
        <w:r w:rsidR="009D4E64" w:rsidRPr="00734DE8">
          <w:rPr>
            <w:rStyle w:val="Hyperlink"/>
            <w:noProof/>
          </w:rPr>
          <w:t>The Scrutiny of Acts and Regulations Committee</w:t>
        </w:r>
        <w:r w:rsidR="009D4E64">
          <w:rPr>
            <w:noProof/>
            <w:webHidden/>
          </w:rPr>
          <w:tab/>
        </w:r>
        <w:r w:rsidR="009D4E64">
          <w:rPr>
            <w:noProof/>
            <w:webHidden/>
          </w:rPr>
          <w:fldChar w:fldCharType="begin"/>
        </w:r>
        <w:r w:rsidR="009D4E64">
          <w:rPr>
            <w:noProof/>
            <w:webHidden/>
          </w:rPr>
          <w:instrText xml:space="preserve"> PAGEREF _Toc22011537 \h </w:instrText>
        </w:r>
        <w:r w:rsidR="009D4E64">
          <w:rPr>
            <w:noProof/>
            <w:webHidden/>
          </w:rPr>
        </w:r>
        <w:r w:rsidR="009D4E64">
          <w:rPr>
            <w:noProof/>
            <w:webHidden/>
          </w:rPr>
          <w:fldChar w:fldCharType="separate"/>
        </w:r>
        <w:r w:rsidR="0075194E">
          <w:rPr>
            <w:noProof/>
            <w:webHidden/>
          </w:rPr>
          <w:t>54</w:t>
        </w:r>
        <w:r w:rsidR="009D4E64">
          <w:rPr>
            <w:noProof/>
            <w:webHidden/>
          </w:rPr>
          <w:fldChar w:fldCharType="end"/>
        </w:r>
      </w:hyperlink>
    </w:p>
    <w:p w14:paraId="2D7D5F2B" w14:textId="27ECCB19" w:rsidR="009D4E64" w:rsidRDefault="00D65BFD">
      <w:pPr>
        <w:pStyle w:val="TOC1"/>
        <w:rPr>
          <w:rFonts w:asciiTheme="minorHAnsi" w:eastAsiaTheme="minorEastAsia" w:hAnsiTheme="minorHAnsi"/>
          <w:b w:val="0"/>
          <w:noProof/>
          <w:sz w:val="22"/>
          <w:szCs w:val="22"/>
          <w:lang w:eastAsia="en-AU"/>
        </w:rPr>
      </w:pPr>
      <w:hyperlink w:anchor="_Toc22011538" w:history="1">
        <w:r w:rsidR="009D4E64" w:rsidRPr="00734DE8">
          <w:rPr>
            <w:rStyle w:val="Hyperlink"/>
            <w:noProof/>
          </w:rPr>
          <w:t>4.</w:t>
        </w:r>
        <w:r w:rsidR="009D4E64">
          <w:rPr>
            <w:rFonts w:asciiTheme="minorHAnsi" w:eastAsiaTheme="minorEastAsia" w:hAnsiTheme="minorHAnsi"/>
            <w:b w:val="0"/>
            <w:noProof/>
            <w:sz w:val="22"/>
            <w:szCs w:val="22"/>
            <w:lang w:eastAsia="en-AU"/>
          </w:rPr>
          <w:tab/>
        </w:r>
        <w:r w:rsidR="009D4E64" w:rsidRPr="00734DE8">
          <w:rPr>
            <w:rStyle w:val="Hyperlink"/>
            <w:noProof/>
          </w:rPr>
          <w:t>Human rights in courts and tribunals</w:t>
        </w:r>
        <w:r w:rsidR="009D4E64">
          <w:rPr>
            <w:noProof/>
            <w:webHidden/>
          </w:rPr>
          <w:tab/>
        </w:r>
        <w:r w:rsidR="009D4E64">
          <w:rPr>
            <w:noProof/>
            <w:webHidden/>
          </w:rPr>
          <w:fldChar w:fldCharType="begin"/>
        </w:r>
        <w:r w:rsidR="009D4E64">
          <w:rPr>
            <w:noProof/>
            <w:webHidden/>
          </w:rPr>
          <w:instrText xml:space="preserve"> PAGEREF _Toc22011538 \h </w:instrText>
        </w:r>
        <w:r w:rsidR="009D4E64">
          <w:rPr>
            <w:noProof/>
            <w:webHidden/>
          </w:rPr>
        </w:r>
        <w:r w:rsidR="009D4E64">
          <w:rPr>
            <w:noProof/>
            <w:webHidden/>
          </w:rPr>
          <w:fldChar w:fldCharType="separate"/>
        </w:r>
        <w:r w:rsidR="0075194E">
          <w:rPr>
            <w:noProof/>
            <w:webHidden/>
          </w:rPr>
          <w:t>60</w:t>
        </w:r>
        <w:r w:rsidR="009D4E64">
          <w:rPr>
            <w:noProof/>
            <w:webHidden/>
          </w:rPr>
          <w:fldChar w:fldCharType="end"/>
        </w:r>
      </w:hyperlink>
    </w:p>
    <w:p w14:paraId="3DB8CB2A" w14:textId="5B9E5AA5" w:rsidR="009D4E64" w:rsidRDefault="00D65BFD">
      <w:pPr>
        <w:pStyle w:val="TOC2"/>
        <w:rPr>
          <w:rFonts w:asciiTheme="minorHAnsi" w:eastAsiaTheme="minorEastAsia" w:hAnsiTheme="minorHAnsi"/>
          <w:noProof/>
          <w:sz w:val="22"/>
          <w:szCs w:val="22"/>
          <w:lang w:eastAsia="en-AU"/>
        </w:rPr>
      </w:pPr>
      <w:hyperlink w:anchor="_Toc22011539" w:history="1">
        <w:r w:rsidR="009D4E64" w:rsidRPr="00734DE8">
          <w:rPr>
            <w:rStyle w:val="Hyperlink"/>
            <w:noProof/>
          </w:rPr>
          <w:t>4.1</w:t>
        </w:r>
        <w:r w:rsidR="009D4E64">
          <w:rPr>
            <w:rFonts w:asciiTheme="minorHAnsi" w:eastAsiaTheme="minorEastAsia" w:hAnsiTheme="minorHAnsi"/>
            <w:noProof/>
            <w:sz w:val="22"/>
            <w:szCs w:val="22"/>
            <w:lang w:eastAsia="en-AU"/>
          </w:rPr>
          <w:tab/>
        </w:r>
        <w:r w:rsidR="009D4E64" w:rsidRPr="00734DE8">
          <w:rPr>
            <w:rStyle w:val="Hyperlink"/>
            <w:noProof/>
          </w:rPr>
          <w:t>The Charter as an effective litigation tool</w:t>
        </w:r>
        <w:r w:rsidR="009D4E64">
          <w:rPr>
            <w:noProof/>
            <w:webHidden/>
          </w:rPr>
          <w:tab/>
        </w:r>
        <w:r w:rsidR="009D4E64">
          <w:rPr>
            <w:noProof/>
            <w:webHidden/>
          </w:rPr>
          <w:fldChar w:fldCharType="begin"/>
        </w:r>
        <w:r w:rsidR="009D4E64">
          <w:rPr>
            <w:noProof/>
            <w:webHidden/>
          </w:rPr>
          <w:instrText xml:space="preserve"> PAGEREF _Toc22011539 \h </w:instrText>
        </w:r>
        <w:r w:rsidR="009D4E64">
          <w:rPr>
            <w:noProof/>
            <w:webHidden/>
          </w:rPr>
        </w:r>
        <w:r w:rsidR="009D4E64">
          <w:rPr>
            <w:noProof/>
            <w:webHidden/>
          </w:rPr>
          <w:fldChar w:fldCharType="separate"/>
        </w:r>
        <w:r w:rsidR="0075194E">
          <w:rPr>
            <w:noProof/>
            <w:webHidden/>
          </w:rPr>
          <w:t>60</w:t>
        </w:r>
        <w:r w:rsidR="009D4E64">
          <w:rPr>
            <w:noProof/>
            <w:webHidden/>
          </w:rPr>
          <w:fldChar w:fldCharType="end"/>
        </w:r>
      </w:hyperlink>
    </w:p>
    <w:p w14:paraId="7556DC3A" w14:textId="27E4823C" w:rsidR="009D4E64" w:rsidRDefault="00D65BFD">
      <w:pPr>
        <w:pStyle w:val="TOC2"/>
        <w:rPr>
          <w:rFonts w:asciiTheme="minorHAnsi" w:eastAsiaTheme="minorEastAsia" w:hAnsiTheme="minorHAnsi"/>
          <w:noProof/>
          <w:sz w:val="22"/>
          <w:szCs w:val="22"/>
          <w:lang w:eastAsia="en-AU"/>
        </w:rPr>
      </w:pPr>
      <w:hyperlink w:anchor="_Toc22011540" w:history="1">
        <w:r w:rsidR="009D4E64" w:rsidRPr="00734DE8">
          <w:rPr>
            <w:rStyle w:val="Hyperlink"/>
            <w:noProof/>
          </w:rPr>
          <w:t>4.2</w:t>
        </w:r>
        <w:r w:rsidR="009D4E64">
          <w:rPr>
            <w:rFonts w:asciiTheme="minorHAnsi" w:eastAsiaTheme="minorEastAsia" w:hAnsiTheme="minorHAnsi"/>
            <w:noProof/>
            <w:sz w:val="22"/>
            <w:szCs w:val="22"/>
            <w:lang w:eastAsia="en-AU"/>
          </w:rPr>
          <w:tab/>
        </w:r>
        <w:r w:rsidR="009D4E64" w:rsidRPr="00734DE8">
          <w:rPr>
            <w:rStyle w:val="Hyperlink"/>
            <w:noProof/>
          </w:rPr>
          <w:t>The right to a fair hearing and natural justice</w:t>
        </w:r>
        <w:r w:rsidR="009D4E64">
          <w:rPr>
            <w:noProof/>
            <w:webHidden/>
          </w:rPr>
          <w:tab/>
        </w:r>
        <w:r w:rsidR="009D4E64">
          <w:rPr>
            <w:noProof/>
            <w:webHidden/>
          </w:rPr>
          <w:fldChar w:fldCharType="begin"/>
        </w:r>
        <w:r w:rsidR="009D4E64">
          <w:rPr>
            <w:noProof/>
            <w:webHidden/>
          </w:rPr>
          <w:instrText xml:space="preserve"> PAGEREF _Toc22011540 \h </w:instrText>
        </w:r>
        <w:r w:rsidR="009D4E64">
          <w:rPr>
            <w:noProof/>
            <w:webHidden/>
          </w:rPr>
        </w:r>
        <w:r w:rsidR="009D4E64">
          <w:rPr>
            <w:noProof/>
            <w:webHidden/>
          </w:rPr>
          <w:fldChar w:fldCharType="separate"/>
        </w:r>
        <w:r w:rsidR="0075194E">
          <w:rPr>
            <w:noProof/>
            <w:webHidden/>
          </w:rPr>
          <w:t>61</w:t>
        </w:r>
        <w:r w:rsidR="009D4E64">
          <w:rPr>
            <w:noProof/>
            <w:webHidden/>
          </w:rPr>
          <w:fldChar w:fldCharType="end"/>
        </w:r>
      </w:hyperlink>
    </w:p>
    <w:p w14:paraId="204B9256" w14:textId="31EAC5EE" w:rsidR="009D4E64" w:rsidRDefault="00D65BFD">
      <w:pPr>
        <w:pStyle w:val="TOC2"/>
        <w:rPr>
          <w:rFonts w:asciiTheme="minorHAnsi" w:eastAsiaTheme="minorEastAsia" w:hAnsiTheme="minorHAnsi"/>
          <w:noProof/>
          <w:sz w:val="22"/>
          <w:szCs w:val="22"/>
          <w:lang w:eastAsia="en-AU"/>
        </w:rPr>
      </w:pPr>
      <w:hyperlink w:anchor="_Toc22011541" w:history="1">
        <w:r w:rsidR="009D4E64" w:rsidRPr="00734DE8">
          <w:rPr>
            <w:rStyle w:val="Hyperlink"/>
            <w:noProof/>
          </w:rPr>
          <w:t>4.3</w:t>
        </w:r>
        <w:r w:rsidR="009D4E64">
          <w:rPr>
            <w:rFonts w:asciiTheme="minorHAnsi" w:eastAsiaTheme="minorEastAsia" w:hAnsiTheme="minorHAnsi"/>
            <w:noProof/>
            <w:sz w:val="22"/>
            <w:szCs w:val="22"/>
            <w:lang w:eastAsia="en-AU"/>
          </w:rPr>
          <w:tab/>
        </w:r>
        <w:r w:rsidR="009D4E64" w:rsidRPr="00734DE8">
          <w:rPr>
            <w:rStyle w:val="Hyperlink"/>
            <w:noProof/>
          </w:rPr>
          <w:t>The right to equality and non-discrimination</w:t>
        </w:r>
        <w:r w:rsidR="009D4E64">
          <w:rPr>
            <w:noProof/>
            <w:webHidden/>
          </w:rPr>
          <w:tab/>
        </w:r>
        <w:r w:rsidR="009D4E64">
          <w:rPr>
            <w:noProof/>
            <w:webHidden/>
          </w:rPr>
          <w:fldChar w:fldCharType="begin"/>
        </w:r>
        <w:r w:rsidR="009D4E64">
          <w:rPr>
            <w:noProof/>
            <w:webHidden/>
          </w:rPr>
          <w:instrText xml:space="preserve"> PAGEREF _Toc22011541 \h </w:instrText>
        </w:r>
        <w:r w:rsidR="009D4E64">
          <w:rPr>
            <w:noProof/>
            <w:webHidden/>
          </w:rPr>
        </w:r>
        <w:r w:rsidR="009D4E64">
          <w:rPr>
            <w:noProof/>
            <w:webHidden/>
          </w:rPr>
          <w:fldChar w:fldCharType="separate"/>
        </w:r>
        <w:r w:rsidR="0075194E">
          <w:rPr>
            <w:noProof/>
            <w:webHidden/>
          </w:rPr>
          <w:t>62</w:t>
        </w:r>
        <w:r w:rsidR="009D4E64">
          <w:rPr>
            <w:noProof/>
            <w:webHidden/>
          </w:rPr>
          <w:fldChar w:fldCharType="end"/>
        </w:r>
      </w:hyperlink>
    </w:p>
    <w:p w14:paraId="0E39AB10" w14:textId="42AAE927" w:rsidR="009D4E64" w:rsidRDefault="00D65BFD">
      <w:pPr>
        <w:pStyle w:val="TOC2"/>
        <w:rPr>
          <w:rFonts w:asciiTheme="minorHAnsi" w:eastAsiaTheme="minorEastAsia" w:hAnsiTheme="minorHAnsi"/>
          <w:noProof/>
          <w:sz w:val="22"/>
          <w:szCs w:val="22"/>
          <w:lang w:eastAsia="en-AU"/>
        </w:rPr>
      </w:pPr>
      <w:hyperlink w:anchor="_Toc22011542" w:history="1">
        <w:r w:rsidR="009D4E64" w:rsidRPr="00734DE8">
          <w:rPr>
            <w:rStyle w:val="Hyperlink"/>
            <w:noProof/>
          </w:rPr>
          <w:t>4.4</w:t>
        </w:r>
        <w:r w:rsidR="009D4E64">
          <w:rPr>
            <w:rFonts w:asciiTheme="minorHAnsi" w:eastAsiaTheme="minorEastAsia" w:hAnsiTheme="minorHAnsi"/>
            <w:noProof/>
            <w:sz w:val="22"/>
            <w:szCs w:val="22"/>
            <w:lang w:eastAsia="en-AU"/>
          </w:rPr>
          <w:tab/>
        </w:r>
        <w:r w:rsidR="009D4E64" w:rsidRPr="00734DE8">
          <w:rPr>
            <w:rStyle w:val="Hyperlink"/>
            <w:noProof/>
          </w:rPr>
          <w:t>Cultural rights</w:t>
        </w:r>
        <w:r w:rsidR="009D4E64">
          <w:rPr>
            <w:noProof/>
            <w:webHidden/>
          </w:rPr>
          <w:tab/>
        </w:r>
        <w:r w:rsidR="009D4E64">
          <w:rPr>
            <w:noProof/>
            <w:webHidden/>
          </w:rPr>
          <w:fldChar w:fldCharType="begin"/>
        </w:r>
        <w:r w:rsidR="009D4E64">
          <w:rPr>
            <w:noProof/>
            <w:webHidden/>
          </w:rPr>
          <w:instrText xml:space="preserve"> PAGEREF _Toc22011542 \h </w:instrText>
        </w:r>
        <w:r w:rsidR="009D4E64">
          <w:rPr>
            <w:noProof/>
            <w:webHidden/>
          </w:rPr>
        </w:r>
        <w:r w:rsidR="009D4E64">
          <w:rPr>
            <w:noProof/>
            <w:webHidden/>
          </w:rPr>
          <w:fldChar w:fldCharType="separate"/>
        </w:r>
        <w:r w:rsidR="0075194E">
          <w:rPr>
            <w:noProof/>
            <w:webHidden/>
          </w:rPr>
          <w:t>64</w:t>
        </w:r>
        <w:r w:rsidR="009D4E64">
          <w:rPr>
            <w:noProof/>
            <w:webHidden/>
          </w:rPr>
          <w:fldChar w:fldCharType="end"/>
        </w:r>
      </w:hyperlink>
    </w:p>
    <w:p w14:paraId="556432AB" w14:textId="5CEB7DE7" w:rsidR="009D4E64" w:rsidRDefault="00D65BFD">
      <w:pPr>
        <w:pStyle w:val="TOC1"/>
        <w:rPr>
          <w:rFonts w:asciiTheme="minorHAnsi" w:eastAsiaTheme="minorEastAsia" w:hAnsiTheme="minorHAnsi"/>
          <w:b w:val="0"/>
          <w:noProof/>
          <w:sz w:val="22"/>
          <w:szCs w:val="22"/>
          <w:lang w:eastAsia="en-AU"/>
        </w:rPr>
      </w:pPr>
      <w:hyperlink w:anchor="_Toc22011543" w:history="1">
        <w:r w:rsidR="009D4E64" w:rsidRPr="00734DE8">
          <w:rPr>
            <w:rStyle w:val="Hyperlink"/>
            <w:noProof/>
          </w:rPr>
          <w:t>5.</w:t>
        </w:r>
        <w:r w:rsidR="009D4E64">
          <w:rPr>
            <w:rFonts w:asciiTheme="minorHAnsi" w:eastAsiaTheme="minorEastAsia" w:hAnsiTheme="minorHAnsi"/>
            <w:b w:val="0"/>
            <w:noProof/>
            <w:sz w:val="22"/>
            <w:szCs w:val="22"/>
            <w:lang w:eastAsia="en-AU"/>
          </w:rPr>
          <w:tab/>
        </w:r>
        <w:r w:rsidR="009D4E64" w:rsidRPr="00734DE8">
          <w:rPr>
            <w:rStyle w:val="Hyperlink"/>
            <w:noProof/>
          </w:rPr>
          <w:t>2015 Review recommendations – implementation progress</w:t>
        </w:r>
        <w:r w:rsidR="009D4E64">
          <w:rPr>
            <w:noProof/>
            <w:webHidden/>
          </w:rPr>
          <w:tab/>
        </w:r>
        <w:r w:rsidR="009D4E64">
          <w:rPr>
            <w:noProof/>
            <w:webHidden/>
          </w:rPr>
          <w:fldChar w:fldCharType="begin"/>
        </w:r>
        <w:r w:rsidR="009D4E64">
          <w:rPr>
            <w:noProof/>
            <w:webHidden/>
          </w:rPr>
          <w:instrText xml:space="preserve"> PAGEREF _Toc22011543 \h </w:instrText>
        </w:r>
        <w:r w:rsidR="009D4E64">
          <w:rPr>
            <w:noProof/>
            <w:webHidden/>
          </w:rPr>
        </w:r>
        <w:r w:rsidR="009D4E64">
          <w:rPr>
            <w:noProof/>
            <w:webHidden/>
          </w:rPr>
          <w:fldChar w:fldCharType="separate"/>
        </w:r>
        <w:r w:rsidR="0075194E">
          <w:rPr>
            <w:noProof/>
            <w:webHidden/>
          </w:rPr>
          <w:t>67</w:t>
        </w:r>
        <w:r w:rsidR="009D4E64">
          <w:rPr>
            <w:noProof/>
            <w:webHidden/>
          </w:rPr>
          <w:fldChar w:fldCharType="end"/>
        </w:r>
      </w:hyperlink>
    </w:p>
    <w:p w14:paraId="7FF8AA40" w14:textId="39935AB1" w:rsidR="009D4E64" w:rsidRDefault="00D65BFD">
      <w:pPr>
        <w:pStyle w:val="TOC2"/>
        <w:rPr>
          <w:rFonts w:asciiTheme="minorHAnsi" w:eastAsiaTheme="minorEastAsia" w:hAnsiTheme="minorHAnsi"/>
          <w:noProof/>
          <w:sz w:val="22"/>
          <w:szCs w:val="22"/>
          <w:lang w:eastAsia="en-AU"/>
        </w:rPr>
      </w:pPr>
      <w:hyperlink w:anchor="_Toc22011544" w:history="1">
        <w:r w:rsidR="009D4E64" w:rsidRPr="00734DE8">
          <w:rPr>
            <w:rStyle w:val="Hyperlink"/>
            <w:noProof/>
          </w:rPr>
          <w:t>5.1</w:t>
        </w:r>
        <w:r w:rsidR="009D4E64">
          <w:rPr>
            <w:rFonts w:asciiTheme="minorHAnsi" w:eastAsiaTheme="minorEastAsia" w:hAnsiTheme="minorHAnsi"/>
            <w:noProof/>
            <w:sz w:val="22"/>
            <w:szCs w:val="22"/>
            <w:lang w:eastAsia="en-AU"/>
          </w:rPr>
          <w:tab/>
        </w:r>
        <w:r w:rsidR="009D4E64" w:rsidRPr="00734DE8">
          <w:rPr>
            <w:rStyle w:val="Hyperlink"/>
            <w:noProof/>
          </w:rPr>
          <w:t>2015 Review</w:t>
        </w:r>
        <w:r w:rsidR="009D4E64">
          <w:rPr>
            <w:noProof/>
            <w:webHidden/>
          </w:rPr>
          <w:tab/>
        </w:r>
        <w:r w:rsidR="009D4E64">
          <w:rPr>
            <w:noProof/>
            <w:webHidden/>
          </w:rPr>
          <w:fldChar w:fldCharType="begin"/>
        </w:r>
        <w:r w:rsidR="009D4E64">
          <w:rPr>
            <w:noProof/>
            <w:webHidden/>
          </w:rPr>
          <w:instrText xml:space="preserve"> PAGEREF _Toc22011544 \h </w:instrText>
        </w:r>
        <w:r w:rsidR="009D4E64">
          <w:rPr>
            <w:noProof/>
            <w:webHidden/>
          </w:rPr>
        </w:r>
        <w:r w:rsidR="009D4E64">
          <w:rPr>
            <w:noProof/>
            <w:webHidden/>
          </w:rPr>
          <w:fldChar w:fldCharType="separate"/>
        </w:r>
        <w:r w:rsidR="0075194E">
          <w:rPr>
            <w:noProof/>
            <w:webHidden/>
          </w:rPr>
          <w:t>67</w:t>
        </w:r>
        <w:r w:rsidR="009D4E64">
          <w:rPr>
            <w:noProof/>
            <w:webHidden/>
          </w:rPr>
          <w:fldChar w:fldCharType="end"/>
        </w:r>
      </w:hyperlink>
    </w:p>
    <w:p w14:paraId="01A85B2E" w14:textId="593CCE78" w:rsidR="009D4E64" w:rsidRDefault="00D65BFD">
      <w:pPr>
        <w:pStyle w:val="TOC2"/>
        <w:rPr>
          <w:rFonts w:asciiTheme="minorHAnsi" w:eastAsiaTheme="minorEastAsia" w:hAnsiTheme="minorHAnsi"/>
          <w:noProof/>
          <w:sz w:val="22"/>
          <w:szCs w:val="22"/>
          <w:lang w:eastAsia="en-AU"/>
        </w:rPr>
      </w:pPr>
      <w:hyperlink w:anchor="_Toc22011545" w:history="1">
        <w:r w:rsidR="009D4E64" w:rsidRPr="00734DE8">
          <w:rPr>
            <w:rStyle w:val="Hyperlink"/>
            <w:noProof/>
          </w:rPr>
          <w:t>5.2</w:t>
        </w:r>
        <w:r w:rsidR="009D4E64">
          <w:rPr>
            <w:rFonts w:asciiTheme="minorHAnsi" w:eastAsiaTheme="minorEastAsia" w:hAnsiTheme="minorHAnsi"/>
            <w:noProof/>
            <w:sz w:val="22"/>
            <w:szCs w:val="22"/>
            <w:lang w:eastAsia="en-AU"/>
          </w:rPr>
          <w:tab/>
        </w:r>
        <w:r w:rsidR="009D4E64" w:rsidRPr="00734DE8">
          <w:rPr>
            <w:rStyle w:val="Hyperlink"/>
            <w:noProof/>
          </w:rPr>
          <w:t>Implementation progress – an overview</w:t>
        </w:r>
        <w:r w:rsidR="009D4E64">
          <w:rPr>
            <w:noProof/>
            <w:webHidden/>
          </w:rPr>
          <w:tab/>
        </w:r>
        <w:r w:rsidR="009D4E64">
          <w:rPr>
            <w:noProof/>
            <w:webHidden/>
          </w:rPr>
          <w:fldChar w:fldCharType="begin"/>
        </w:r>
        <w:r w:rsidR="009D4E64">
          <w:rPr>
            <w:noProof/>
            <w:webHidden/>
          </w:rPr>
          <w:instrText xml:space="preserve"> PAGEREF _Toc22011545 \h </w:instrText>
        </w:r>
        <w:r w:rsidR="009D4E64">
          <w:rPr>
            <w:noProof/>
            <w:webHidden/>
          </w:rPr>
        </w:r>
        <w:r w:rsidR="009D4E64">
          <w:rPr>
            <w:noProof/>
            <w:webHidden/>
          </w:rPr>
          <w:fldChar w:fldCharType="separate"/>
        </w:r>
        <w:r w:rsidR="0075194E">
          <w:rPr>
            <w:noProof/>
            <w:webHidden/>
          </w:rPr>
          <w:t>69</w:t>
        </w:r>
        <w:r w:rsidR="009D4E64">
          <w:rPr>
            <w:noProof/>
            <w:webHidden/>
          </w:rPr>
          <w:fldChar w:fldCharType="end"/>
        </w:r>
      </w:hyperlink>
    </w:p>
    <w:p w14:paraId="32BEA5FD" w14:textId="0E9E9493" w:rsidR="009D4E64" w:rsidRDefault="00D65BFD">
      <w:pPr>
        <w:pStyle w:val="TOC2"/>
        <w:rPr>
          <w:rFonts w:asciiTheme="minorHAnsi" w:eastAsiaTheme="minorEastAsia" w:hAnsiTheme="minorHAnsi"/>
          <w:noProof/>
          <w:sz w:val="22"/>
          <w:szCs w:val="22"/>
          <w:lang w:eastAsia="en-AU"/>
        </w:rPr>
      </w:pPr>
      <w:hyperlink w:anchor="_Toc22011546" w:history="1">
        <w:r w:rsidR="009D4E64" w:rsidRPr="00734DE8">
          <w:rPr>
            <w:rStyle w:val="Hyperlink"/>
            <w:noProof/>
          </w:rPr>
          <w:t>5.3</w:t>
        </w:r>
        <w:r w:rsidR="009D4E64">
          <w:rPr>
            <w:rFonts w:asciiTheme="minorHAnsi" w:eastAsiaTheme="minorEastAsia" w:hAnsiTheme="minorHAnsi"/>
            <w:noProof/>
            <w:sz w:val="22"/>
            <w:szCs w:val="22"/>
            <w:lang w:eastAsia="en-AU"/>
          </w:rPr>
          <w:tab/>
        </w:r>
        <w:r w:rsidR="009D4E64" w:rsidRPr="00734DE8">
          <w:rPr>
            <w:rStyle w:val="Hyperlink"/>
            <w:noProof/>
          </w:rPr>
          <w:t>Commission reflection on implementation</w:t>
        </w:r>
        <w:r w:rsidR="009D4E64">
          <w:rPr>
            <w:noProof/>
            <w:webHidden/>
          </w:rPr>
          <w:tab/>
        </w:r>
        <w:r w:rsidR="009D4E64">
          <w:rPr>
            <w:noProof/>
            <w:webHidden/>
          </w:rPr>
          <w:fldChar w:fldCharType="begin"/>
        </w:r>
        <w:r w:rsidR="009D4E64">
          <w:rPr>
            <w:noProof/>
            <w:webHidden/>
          </w:rPr>
          <w:instrText xml:space="preserve"> PAGEREF _Toc22011546 \h </w:instrText>
        </w:r>
        <w:r w:rsidR="009D4E64">
          <w:rPr>
            <w:noProof/>
            <w:webHidden/>
          </w:rPr>
        </w:r>
        <w:r w:rsidR="009D4E64">
          <w:rPr>
            <w:noProof/>
            <w:webHidden/>
          </w:rPr>
          <w:fldChar w:fldCharType="separate"/>
        </w:r>
        <w:r w:rsidR="0075194E">
          <w:rPr>
            <w:noProof/>
            <w:webHidden/>
          </w:rPr>
          <w:t>69</w:t>
        </w:r>
        <w:r w:rsidR="009D4E64">
          <w:rPr>
            <w:noProof/>
            <w:webHidden/>
          </w:rPr>
          <w:fldChar w:fldCharType="end"/>
        </w:r>
      </w:hyperlink>
    </w:p>
    <w:p w14:paraId="56F2B02E" w14:textId="0132F2B0" w:rsidR="009D4E64" w:rsidRDefault="00D65BFD">
      <w:pPr>
        <w:pStyle w:val="TOC2"/>
        <w:rPr>
          <w:rFonts w:asciiTheme="minorHAnsi" w:eastAsiaTheme="minorEastAsia" w:hAnsiTheme="minorHAnsi"/>
          <w:noProof/>
          <w:sz w:val="22"/>
          <w:szCs w:val="22"/>
          <w:lang w:eastAsia="en-AU"/>
        </w:rPr>
      </w:pPr>
      <w:hyperlink w:anchor="_Toc22011547" w:history="1">
        <w:r w:rsidR="009D4E64" w:rsidRPr="00734DE8">
          <w:rPr>
            <w:rStyle w:val="Hyperlink"/>
            <w:noProof/>
          </w:rPr>
          <w:t>Chapter 1 – Building our human rights culture</w:t>
        </w:r>
        <w:r w:rsidR="009D4E64">
          <w:rPr>
            <w:noProof/>
            <w:webHidden/>
          </w:rPr>
          <w:tab/>
        </w:r>
        <w:r w:rsidR="009D4E64">
          <w:rPr>
            <w:noProof/>
            <w:webHidden/>
          </w:rPr>
          <w:fldChar w:fldCharType="begin"/>
        </w:r>
        <w:r w:rsidR="009D4E64">
          <w:rPr>
            <w:noProof/>
            <w:webHidden/>
          </w:rPr>
          <w:instrText xml:space="preserve"> PAGEREF _Toc22011547 \h </w:instrText>
        </w:r>
        <w:r w:rsidR="009D4E64">
          <w:rPr>
            <w:noProof/>
            <w:webHidden/>
          </w:rPr>
        </w:r>
        <w:r w:rsidR="009D4E64">
          <w:rPr>
            <w:noProof/>
            <w:webHidden/>
          </w:rPr>
          <w:fldChar w:fldCharType="separate"/>
        </w:r>
        <w:r w:rsidR="0075194E">
          <w:rPr>
            <w:noProof/>
            <w:webHidden/>
          </w:rPr>
          <w:t>69</w:t>
        </w:r>
        <w:r w:rsidR="009D4E64">
          <w:rPr>
            <w:noProof/>
            <w:webHidden/>
          </w:rPr>
          <w:fldChar w:fldCharType="end"/>
        </w:r>
      </w:hyperlink>
    </w:p>
    <w:p w14:paraId="375DAED0" w14:textId="7E400375" w:rsidR="009D4E64" w:rsidRDefault="00D65BFD">
      <w:pPr>
        <w:pStyle w:val="TOC2"/>
        <w:rPr>
          <w:rFonts w:asciiTheme="minorHAnsi" w:eastAsiaTheme="minorEastAsia" w:hAnsiTheme="minorHAnsi"/>
          <w:noProof/>
          <w:sz w:val="22"/>
          <w:szCs w:val="22"/>
          <w:lang w:eastAsia="en-AU"/>
        </w:rPr>
      </w:pPr>
      <w:hyperlink w:anchor="_Toc22011548" w:history="1">
        <w:r w:rsidR="009D4E64" w:rsidRPr="00734DE8">
          <w:rPr>
            <w:rStyle w:val="Hyperlink"/>
            <w:noProof/>
            <w:lang w:val="en-GB"/>
          </w:rPr>
          <w:t>Chapter 2 – Clarifying responsibilities for human rights</w:t>
        </w:r>
        <w:r w:rsidR="009D4E64">
          <w:rPr>
            <w:noProof/>
            <w:webHidden/>
          </w:rPr>
          <w:tab/>
        </w:r>
        <w:r w:rsidR="009D4E64">
          <w:rPr>
            <w:noProof/>
            <w:webHidden/>
          </w:rPr>
          <w:fldChar w:fldCharType="begin"/>
        </w:r>
        <w:r w:rsidR="009D4E64">
          <w:rPr>
            <w:noProof/>
            <w:webHidden/>
          </w:rPr>
          <w:instrText xml:space="preserve"> PAGEREF _Toc22011548 \h </w:instrText>
        </w:r>
        <w:r w:rsidR="009D4E64">
          <w:rPr>
            <w:noProof/>
            <w:webHidden/>
          </w:rPr>
        </w:r>
        <w:r w:rsidR="009D4E64">
          <w:rPr>
            <w:noProof/>
            <w:webHidden/>
          </w:rPr>
          <w:fldChar w:fldCharType="separate"/>
        </w:r>
        <w:r w:rsidR="0075194E">
          <w:rPr>
            <w:noProof/>
            <w:webHidden/>
          </w:rPr>
          <w:t>76</w:t>
        </w:r>
        <w:r w:rsidR="009D4E64">
          <w:rPr>
            <w:noProof/>
            <w:webHidden/>
          </w:rPr>
          <w:fldChar w:fldCharType="end"/>
        </w:r>
      </w:hyperlink>
    </w:p>
    <w:p w14:paraId="2008387B" w14:textId="57C918EE" w:rsidR="009D4E64" w:rsidRDefault="00D65BFD">
      <w:pPr>
        <w:pStyle w:val="TOC2"/>
        <w:rPr>
          <w:rFonts w:asciiTheme="minorHAnsi" w:eastAsiaTheme="minorEastAsia" w:hAnsiTheme="minorHAnsi"/>
          <w:noProof/>
          <w:sz w:val="22"/>
          <w:szCs w:val="22"/>
          <w:lang w:eastAsia="en-AU"/>
        </w:rPr>
      </w:pPr>
      <w:hyperlink w:anchor="_Toc22011549" w:history="1">
        <w:r w:rsidR="009D4E64" w:rsidRPr="00734DE8">
          <w:rPr>
            <w:rStyle w:val="Hyperlink"/>
            <w:noProof/>
            <w:lang w:val="en-GB"/>
          </w:rPr>
          <w:t>Chapter 3 – Good practice and dispute resolution – the role of statutory authorities</w:t>
        </w:r>
        <w:r w:rsidR="009D4E64">
          <w:rPr>
            <w:noProof/>
            <w:webHidden/>
          </w:rPr>
          <w:tab/>
        </w:r>
        <w:r w:rsidR="009D4E64">
          <w:rPr>
            <w:noProof/>
            <w:webHidden/>
          </w:rPr>
          <w:fldChar w:fldCharType="begin"/>
        </w:r>
        <w:r w:rsidR="009D4E64">
          <w:rPr>
            <w:noProof/>
            <w:webHidden/>
          </w:rPr>
          <w:instrText xml:space="preserve"> PAGEREF _Toc22011549 \h </w:instrText>
        </w:r>
        <w:r w:rsidR="009D4E64">
          <w:rPr>
            <w:noProof/>
            <w:webHidden/>
          </w:rPr>
        </w:r>
        <w:r w:rsidR="009D4E64">
          <w:rPr>
            <w:noProof/>
            <w:webHidden/>
          </w:rPr>
          <w:fldChar w:fldCharType="separate"/>
        </w:r>
        <w:r w:rsidR="0075194E">
          <w:rPr>
            <w:noProof/>
            <w:webHidden/>
          </w:rPr>
          <w:t>80</w:t>
        </w:r>
        <w:r w:rsidR="009D4E64">
          <w:rPr>
            <w:noProof/>
            <w:webHidden/>
          </w:rPr>
          <w:fldChar w:fldCharType="end"/>
        </w:r>
      </w:hyperlink>
    </w:p>
    <w:p w14:paraId="766B9521" w14:textId="266EB26B" w:rsidR="009D4E64" w:rsidRDefault="00D65BFD">
      <w:pPr>
        <w:pStyle w:val="TOC2"/>
        <w:rPr>
          <w:rFonts w:asciiTheme="minorHAnsi" w:eastAsiaTheme="minorEastAsia" w:hAnsiTheme="minorHAnsi"/>
          <w:noProof/>
          <w:sz w:val="22"/>
          <w:szCs w:val="22"/>
          <w:lang w:eastAsia="en-AU"/>
        </w:rPr>
      </w:pPr>
      <w:hyperlink w:anchor="_Toc22011550" w:history="1">
        <w:r w:rsidR="009D4E64" w:rsidRPr="00734DE8">
          <w:rPr>
            <w:rStyle w:val="Hyperlink"/>
            <w:noProof/>
            <w:lang w:val="en-GB"/>
          </w:rPr>
          <w:t>Chapter 4 – Remedies and oversight – the role of the courts</w:t>
        </w:r>
        <w:r w:rsidR="009D4E64">
          <w:rPr>
            <w:noProof/>
            <w:webHidden/>
          </w:rPr>
          <w:tab/>
        </w:r>
        <w:r w:rsidR="009D4E64">
          <w:rPr>
            <w:noProof/>
            <w:webHidden/>
          </w:rPr>
          <w:fldChar w:fldCharType="begin"/>
        </w:r>
        <w:r w:rsidR="009D4E64">
          <w:rPr>
            <w:noProof/>
            <w:webHidden/>
          </w:rPr>
          <w:instrText xml:space="preserve"> PAGEREF _Toc22011550 \h </w:instrText>
        </w:r>
        <w:r w:rsidR="009D4E64">
          <w:rPr>
            <w:noProof/>
            <w:webHidden/>
          </w:rPr>
        </w:r>
        <w:r w:rsidR="009D4E64">
          <w:rPr>
            <w:noProof/>
            <w:webHidden/>
          </w:rPr>
          <w:fldChar w:fldCharType="separate"/>
        </w:r>
        <w:r w:rsidR="0075194E">
          <w:rPr>
            <w:noProof/>
            <w:webHidden/>
          </w:rPr>
          <w:t>82</w:t>
        </w:r>
        <w:r w:rsidR="009D4E64">
          <w:rPr>
            <w:noProof/>
            <w:webHidden/>
          </w:rPr>
          <w:fldChar w:fldCharType="end"/>
        </w:r>
      </w:hyperlink>
    </w:p>
    <w:p w14:paraId="18451A03" w14:textId="46F9FE64" w:rsidR="009D4E64" w:rsidRDefault="00D65BFD">
      <w:pPr>
        <w:pStyle w:val="TOC2"/>
        <w:rPr>
          <w:rFonts w:asciiTheme="minorHAnsi" w:eastAsiaTheme="minorEastAsia" w:hAnsiTheme="minorHAnsi"/>
          <w:noProof/>
          <w:sz w:val="22"/>
          <w:szCs w:val="22"/>
          <w:lang w:eastAsia="en-AU"/>
        </w:rPr>
      </w:pPr>
      <w:hyperlink w:anchor="_Toc22011551" w:history="1">
        <w:r w:rsidR="009D4E64" w:rsidRPr="00734DE8">
          <w:rPr>
            <w:rStyle w:val="Hyperlink"/>
            <w:noProof/>
            <w:lang w:val="en-GB"/>
          </w:rPr>
          <w:t>Chapter 5 – Interpreting and applying the law</w:t>
        </w:r>
        <w:r w:rsidR="009D4E64">
          <w:rPr>
            <w:noProof/>
            <w:webHidden/>
          </w:rPr>
          <w:tab/>
        </w:r>
        <w:r w:rsidR="009D4E64">
          <w:rPr>
            <w:noProof/>
            <w:webHidden/>
          </w:rPr>
          <w:fldChar w:fldCharType="begin"/>
        </w:r>
        <w:r w:rsidR="009D4E64">
          <w:rPr>
            <w:noProof/>
            <w:webHidden/>
          </w:rPr>
          <w:instrText xml:space="preserve"> PAGEREF _Toc22011551 \h </w:instrText>
        </w:r>
        <w:r w:rsidR="009D4E64">
          <w:rPr>
            <w:noProof/>
            <w:webHidden/>
          </w:rPr>
        </w:r>
        <w:r w:rsidR="009D4E64">
          <w:rPr>
            <w:noProof/>
            <w:webHidden/>
          </w:rPr>
          <w:fldChar w:fldCharType="separate"/>
        </w:r>
        <w:r w:rsidR="0075194E">
          <w:rPr>
            <w:noProof/>
            <w:webHidden/>
          </w:rPr>
          <w:t>83</w:t>
        </w:r>
        <w:r w:rsidR="009D4E64">
          <w:rPr>
            <w:noProof/>
            <w:webHidden/>
          </w:rPr>
          <w:fldChar w:fldCharType="end"/>
        </w:r>
      </w:hyperlink>
    </w:p>
    <w:p w14:paraId="2E03A4DB" w14:textId="62242CE0" w:rsidR="009D4E64" w:rsidRDefault="00D65BFD">
      <w:pPr>
        <w:pStyle w:val="TOC2"/>
        <w:rPr>
          <w:rFonts w:asciiTheme="minorHAnsi" w:eastAsiaTheme="minorEastAsia" w:hAnsiTheme="minorHAnsi"/>
          <w:noProof/>
          <w:sz w:val="22"/>
          <w:szCs w:val="22"/>
          <w:lang w:eastAsia="en-AU"/>
        </w:rPr>
      </w:pPr>
      <w:hyperlink w:anchor="_Toc22011552" w:history="1">
        <w:r w:rsidR="009D4E64" w:rsidRPr="00734DE8">
          <w:rPr>
            <w:rStyle w:val="Hyperlink"/>
            <w:noProof/>
            <w:lang w:val="en-GB"/>
          </w:rPr>
          <w:t>Chapter 6 – Firming the foundations – more effective parliamentary scrutiny</w:t>
        </w:r>
        <w:r w:rsidR="009D4E64">
          <w:rPr>
            <w:noProof/>
            <w:webHidden/>
          </w:rPr>
          <w:tab/>
        </w:r>
        <w:r w:rsidR="009D4E64">
          <w:rPr>
            <w:noProof/>
            <w:webHidden/>
          </w:rPr>
          <w:fldChar w:fldCharType="begin"/>
        </w:r>
        <w:r w:rsidR="009D4E64">
          <w:rPr>
            <w:noProof/>
            <w:webHidden/>
          </w:rPr>
          <w:instrText xml:space="preserve"> PAGEREF _Toc22011552 \h </w:instrText>
        </w:r>
        <w:r w:rsidR="009D4E64">
          <w:rPr>
            <w:noProof/>
            <w:webHidden/>
          </w:rPr>
        </w:r>
        <w:r w:rsidR="009D4E64">
          <w:rPr>
            <w:noProof/>
            <w:webHidden/>
          </w:rPr>
          <w:fldChar w:fldCharType="separate"/>
        </w:r>
        <w:r w:rsidR="0075194E">
          <w:rPr>
            <w:noProof/>
            <w:webHidden/>
          </w:rPr>
          <w:t>86</w:t>
        </w:r>
        <w:r w:rsidR="009D4E64">
          <w:rPr>
            <w:noProof/>
            <w:webHidden/>
          </w:rPr>
          <w:fldChar w:fldCharType="end"/>
        </w:r>
      </w:hyperlink>
    </w:p>
    <w:p w14:paraId="5CD82F23" w14:textId="01443BBF" w:rsidR="009D4E64" w:rsidRDefault="00D65BFD">
      <w:pPr>
        <w:pStyle w:val="TOC2"/>
        <w:rPr>
          <w:rFonts w:asciiTheme="minorHAnsi" w:eastAsiaTheme="minorEastAsia" w:hAnsiTheme="minorHAnsi"/>
          <w:noProof/>
          <w:sz w:val="22"/>
          <w:szCs w:val="22"/>
          <w:lang w:eastAsia="en-AU"/>
        </w:rPr>
      </w:pPr>
      <w:hyperlink w:anchor="_Toc22011553" w:history="1">
        <w:r w:rsidR="009D4E64" w:rsidRPr="00734DE8">
          <w:rPr>
            <w:rStyle w:val="Hyperlink"/>
            <w:noProof/>
            <w:lang w:val="en-GB"/>
          </w:rPr>
          <w:t>Chapter 7 – Emerging issues</w:t>
        </w:r>
        <w:r w:rsidR="009D4E64">
          <w:rPr>
            <w:noProof/>
            <w:webHidden/>
          </w:rPr>
          <w:tab/>
        </w:r>
        <w:r w:rsidR="009D4E64">
          <w:rPr>
            <w:noProof/>
            <w:webHidden/>
          </w:rPr>
          <w:fldChar w:fldCharType="begin"/>
        </w:r>
        <w:r w:rsidR="009D4E64">
          <w:rPr>
            <w:noProof/>
            <w:webHidden/>
          </w:rPr>
          <w:instrText xml:space="preserve"> PAGEREF _Toc22011553 \h </w:instrText>
        </w:r>
        <w:r w:rsidR="009D4E64">
          <w:rPr>
            <w:noProof/>
            <w:webHidden/>
          </w:rPr>
        </w:r>
        <w:r w:rsidR="009D4E64">
          <w:rPr>
            <w:noProof/>
            <w:webHidden/>
          </w:rPr>
          <w:fldChar w:fldCharType="separate"/>
        </w:r>
        <w:r w:rsidR="0075194E">
          <w:rPr>
            <w:noProof/>
            <w:webHidden/>
          </w:rPr>
          <w:t>91</w:t>
        </w:r>
        <w:r w:rsidR="009D4E64">
          <w:rPr>
            <w:noProof/>
            <w:webHidden/>
          </w:rPr>
          <w:fldChar w:fldCharType="end"/>
        </w:r>
      </w:hyperlink>
    </w:p>
    <w:p w14:paraId="6C9539CA" w14:textId="35CA2803" w:rsidR="009D4E64" w:rsidRDefault="00D65BFD">
      <w:pPr>
        <w:pStyle w:val="TOC2"/>
        <w:rPr>
          <w:rFonts w:asciiTheme="minorHAnsi" w:eastAsiaTheme="minorEastAsia" w:hAnsiTheme="minorHAnsi"/>
          <w:noProof/>
          <w:sz w:val="22"/>
          <w:szCs w:val="22"/>
          <w:lang w:eastAsia="en-AU"/>
        </w:rPr>
      </w:pPr>
      <w:hyperlink w:anchor="_Toc22011554" w:history="1">
        <w:r w:rsidR="009D4E64" w:rsidRPr="00734DE8">
          <w:rPr>
            <w:rStyle w:val="Hyperlink"/>
            <w:noProof/>
            <w:lang w:val="en-GB"/>
          </w:rPr>
          <w:t>Chapter 8 – The need for a further review</w:t>
        </w:r>
        <w:r w:rsidR="009D4E64">
          <w:rPr>
            <w:noProof/>
            <w:webHidden/>
          </w:rPr>
          <w:tab/>
        </w:r>
        <w:r w:rsidR="009D4E64">
          <w:rPr>
            <w:noProof/>
            <w:webHidden/>
          </w:rPr>
          <w:fldChar w:fldCharType="begin"/>
        </w:r>
        <w:r w:rsidR="009D4E64">
          <w:rPr>
            <w:noProof/>
            <w:webHidden/>
          </w:rPr>
          <w:instrText xml:space="preserve"> PAGEREF _Toc22011554 \h </w:instrText>
        </w:r>
        <w:r w:rsidR="009D4E64">
          <w:rPr>
            <w:noProof/>
            <w:webHidden/>
          </w:rPr>
        </w:r>
        <w:r w:rsidR="009D4E64">
          <w:rPr>
            <w:noProof/>
            <w:webHidden/>
          </w:rPr>
          <w:fldChar w:fldCharType="separate"/>
        </w:r>
        <w:r w:rsidR="0075194E">
          <w:rPr>
            <w:noProof/>
            <w:webHidden/>
          </w:rPr>
          <w:t>93</w:t>
        </w:r>
        <w:r w:rsidR="009D4E64">
          <w:rPr>
            <w:noProof/>
            <w:webHidden/>
          </w:rPr>
          <w:fldChar w:fldCharType="end"/>
        </w:r>
      </w:hyperlink>
    </w:p>
    <w:p w14:paraId="4D21B6D6" w14:textId="42864AEB" w:rsidR="0075194E" w:rsidRPr="003015FD" w:rsidRDefault="000B065E" w:rsidP="0075194E">
      <w:pPr>
        <w:pStyle w:val="Heading1"/>
      </w:pPr>
      <w:r>
        <w:lastRenderedPageBreak/>
        <w:fldChar w:fldCharType="end"/>
      </w:r>
      <w:bookmarkStart w:id="8" w:name="_Toc519497287"/>
      <w:bookmarkStart w:id="9" w:name="_Toc522635137"/>
      <w:bookmarkStart w:id="10" w:name="_Toc522697019"/>
      <w:bookmarkStart w:id="11" w:name="_Toc15656272"/>
      <w:bookmarkStart w:id="12" w:name="_Toc22011523"/>
      <w:r w:rsidR="0075194E" w:rsidRPr="0075194E">
        <w:t xml:space="preserve"> </w:t>
      </w:r>
      <w:r w:rsidR="0075194E" w:rsidRPr="005B74F5">
        <w:t>Foreword</w:t>
      </w:r>
      <w:r w:rsidR="0075194E" w:rsidRPr="003015FD">
        <w:t xml:space="preserve"> from the Commissioner</w:t>
      </w:r>
      <w:bookmarkEnd w:id="8"/>
      <w:bookmarkEnd w:id="9"/>
      <w:bookmarkEnd w:id="10"/>
      <w:bookmarkEnd w:id="11"/>
      <w:bookmarkEnd w:id="12"/>
    </w:p>
    <w:p w14:paraId="21702130" w14:textId="77777777" w:rsidR="0075194E" w:rsidRPr="003015FD" w:rsidRDefault="0075194E" w:rsidP="0075194E">
      <w:bookmarkStart w:id="13" w:name="_Hlk14345361"/>
      <w:bookmarkStart w:id="14" w:name="_Hlk14360741"/>
      <w:r w:rsidRPr="003015FD">
        <w:t>I am pleased to present the Victorian Equal Opportunity and Human Rights Commission</w:t>
      </w:r>
      <w:r>
        <w:t>'</w:t>
      </w:r>
      <w:r w:rsidRPr="003015FD">
        <w:t xml:space="preserve">s </w:t>
      </w:r>
      <w:r w:rsidRPr="0002642E">
        <w:t>2018 report on the operation of the Charter of Human Rights and Responsibilities</w:t>
      </w:r>
      <w:r w:rsidRPr="003015FD">
        <w:t>. Th</w:t>
      </w:r>
      <w:r>
        <w:t>is yearly</w:t>
      </w:r>
      <w:r w:rsidRPr="003015FD">
        <w:t xml:space="preserve"> report allows us to take stock of efforts to embed </w:t>
      </w:r>
      <w:r>
        <w:t>human rights</w:t>
      </w:r>
      <w:r w:rsidRPr="003015FD">
        <w:t xml:space="preserve"> in Victoria</w:t>
      </w:r>
      <w:r>
        <w:t xml:space="preserve"> and </w:t>
      </w:r>
      <w:r w:rsidRPr="003015FD">
        <w:t>monitor how decision makers use the Charter</w:t>
      </w:r>
      <w:r>
        <w:t xml:space="preserve">. We can then assess </w:t>
      </w:r>
      <w:r w:rsidRPr="003015FD">
        <w:t>whether these efforts translate to meaningful protections for Victoria</w:t>
      </w:r>
      <w:r>
        <w:t>ns</w:t>
      </w:r>
      <w:r w:rsidRPr="003015FD">
        <w:t>.</w:t>
      </w:r>
    </w:p>
    <w:p w14:paraId="65B5E210" w14:textId="77777777" w:rsidR="0075194E" w:rsidRPr="003015FD" w:rsidRDefault="0075194E" w:rsidP="0075194E">
      <w:r w:rsidRPr="003015FD">
        <w:t>It is now 10 years since a key part of the Charter came into opera</w:t>
      </w:r>
      <w:bookmarkStart w:id="15" w:name="_GoBack"/>
      <w:bookmarkEnd w:id="15"/>
      <w:r w:rsidRPr="003015FD">
        <w:t>tion</w:t>
      </w:r>
      <w:r>
        <w:t>:</w:t>
      </w:r>
      <w:r w:rsidRPr="003015FD">
        <w:t xml:space="preserve"> the duty of public authorities to respect </w:t>
      </w:r>
      <w:r>
        <w:t xml:space="preserve">human rights and take them </w:t>
      </w:r>
      <w:r w:rsidRPr="003015FD">
        <w:t>into account in their day</w:t>
      </w:r>
      <w:r>
        <w:t>-</w:t>
      </w:r>
      <w:r w:rsidRPr="003015FD">
        <w:t>to</w:t>
      </w:r>
      <w:r>
        <w:t>-</w:t>
      </w:r>
      <w:r w:rsidRPr="003015FD">
        <w:t>day work. It is</w:t>
      </w:r>
      <w:r>
        <w:t xml:space="preserve"> in</w:t>
      </w:r>
      <w:r w:rsidRPr="003015FD">
        <w:t xml:space="preserve"> this everyday commitment to human rights </w:t>
      </w:r>
      <w:r>
        <w:t>that</w:t>
      </w:r>
      <w:r w:rsidRPr="003015FD">
        <w:t xml:space="preserve"> the Charter does its real work. When public sector workers, departments, local government, </w:t>
      </w:r>
      <w:r>
        <w:t>m</w:t>
      </w:r>
      <w:r w:rsidRPr="003015FD">
        <w:t>inisters and police know their human rights obligations</w:t>
      </w:r>
      <w:r>
        <w:t>,</w:t>
      </w:r>
      <w:r w:rsidRPr="003015FD">
        <w:t xml:space="preserve"> and place </w:t>
      </w:r>
      <w:r>
        <w:t xml:space="preserve">people’s </w:t>
      </w:r>
      <w:r>
        <w:br/>
      </w:r>
      <w:r w:rsidRPr="003015FD">
        <w:t>rights at the centre of decision</w:t>
      </w:r>
      <w:r>
        <w:t>-</w:t>
      </w:r>
      <w:r w:rsidRPr="003015FD">
        <w:t>making</w:t>
      </w:r>
      <w:r>
        <w:t>,</w:t>
      </w:r>
      <w:r w:rsidRPr="003015FD">
        <w:t xml:space="preserve"> the Charter will have its greatest impact. </w:t>
      </w:r>
      <w:r>
        <w:br/>
      </w:r>
      <w:r w:rsidRPr="003015FD">
        <w:t xml:space="preserve">It promises to build a more democratic and inclusive Victoria where our shared values of respect, equality, dignity and freedom are realised. </w:t>
      </w:r>
    </w:p>
    <w:p w14:paraId="0DAE5F6D" w14:textId="77777777" w:rsidR="0075194E" w:rsidRDefault="0075194E" w:rsidP="0075194E">
      <w:r>
        <w:t xml:space="preserve">Victoria’s journey </w:t>
      </w:r>
      <w:r w:rsidRPr="003015FD">
        <w:t>– from establishing the Charter as law</w:t>
      </w:r>
      <w:r>
        <w:t>,</w:t>
      </w:r>
      <w:r w:rsidRPr="003015FD">
        <w:t xml:space="preserve"> to a state where rights are translated into the everyday business of government – requires vision and commitment over the long term. </w:t>
      </w:r>
    </w:p>
    <w:p w14:paraId="758F8361" w14:textId="77777777" w:rsidR="0075194E" w:rsidRDefault="0075194E" w:rsidP="0075194E">
      <w:r w:rsidRPr="003015FD">
        <w:t xml:space="preserve">In </w:t>
      </w:r>
      <w:proofErr w:type="gramStart"/>
      <w:r w:rsidRPr="003015FD">
        <w:t>2015</w:t>
      </w:r>
      <w:proofErr w:type="gramEnd"/>
      <w:r w:rsidRPr="003015FD">
        <w:t xml:space="preserve"> an independent review of the Charter</w:t>
      </w:r>
      <w:r w:rsidRPr="004862C5">
        <w:rPr>
          <w:rStyle w:val="FootnoteReference"/>
        </w:rPr>
        <w:footnoteReference w:id="2"/>
      </w:r>
      <w:r>
        <w:t xml:space="preserve"> made 52 legislative and policy recommendations to </w:t>
      </w:r>
      <w:r w:rsidRPr="003015FD">
        <w:t>improve the operation of the Charter and the protection it offers all Victorians</w:t>
      </w:r>
      <w:r>
        <w:t>. The Commission is concerned that m</w:t>
      </w:r>
      <w:r w:rsidRPr="003015FD">
        <w:t xml:space="preserve">ost recommendations supported by the Victorian Government are yet to </w:t>
      </w:r>
      <w:r>
        <w:t>progress</w:t>
      </w:r>
      <w:r w:rsidRPr="00934162">
        <w:t xml:space="preserve"> </w:t>
      </w:r>
      <w:r>
        <w:t xml:space="preserve">and </w:t>
      </w:r>
      <w:r w:rsidRPr="003015FD">
        <w:t xml:space="preserve">urges the </w:t>
      </w:r>
      <w:r>
        <w:t>g</w:t>
      </w:r>
      <w:r w:rsidRPr="003015FD">
        <w:t>overnment to progress the necessary changes</w:t>
      </w:r>
      <w:r>
        <w:t>. T</w:t>
      </w:r>
      <w:r w:rsidRPr="003015FD">
        <w:t>he Commission reported</w:t>
      </w:r>
      <w:r>
        <w:t xml:space="preserve"> on</w:t>
      </w:r>
      <w:r w:rsidRPr="003015FD">
        <w:t xml:space="preserve"> </w:t>
      </w:r>
      <w:r>
        <w:t xml:space="preserve">the lack of progress </w:t>
      </w:r>
      <w:r w:rsidRPr="003015FD">
        <w:t xml:space="preserve">as part of the 2017 </w:t>
      </w:r>
      <w:r>
        <w:t xml:space="preserve">report on the operation of the Charter and little has changed since. </w:t>
      </w:r>
    </w:p>
    <w:p w14:paraId="1DB01594" w14:textId="77777777" w:rsidR="0075194E" w:rsidRPr="003015FD" w:rsidRDefault="0075194E" w:rsidP="0075194E">
      <w:r>
        <w:t xml:space="preserve">One exception has been the recognition in the review that </w:t>
      </w:r>
      <w:r w:rsidRPr="003015FD">
        <w:t>building a culture of human rights</w:t>
      </w:r>
      <w:r>
        <w:t xml:space="preserve"> is </w:t>
      </w:r>
      <w:r w:rsidRPr="003015FD">
        <w:t>the most significant contributor to effective</w:t>
      </w:r>
      <w:r>
        <w:t xml:space="preserve">ly promoting </w:t>
      </w:r>
      <w:r w:rsidRPr="003015FD">
        <w:t>human rights</w:t>
      </w:r>
      <w:r>
        <w:t xml:space="preserve">. </w:t>
      </w:r>
      <w:r w:rsidRPr="003015FD">
        <w:t xml:space="preserve">The </w:t>
      </w:r>
      <w:r>
        <w:t xml:space="preserve">Victorian </w:t>
      </w:r>
      <w:r w:rsidRPr="003015FD">
        <w:t xml:space="preserve">Government supported recommendations </w:t>
      </w:r>
      <w:r>
        <w:t xml:space="preserve">to </w:t>
      </w:r>
      <w:r w:rsidRPr="003015FD">
        <w:t xml:space="preserve">strengthen </w:t>
      </w:r>
      <w:r>
        <w:t xml:space="preserve">Victoria’s </w:t>
      </w:r>
      <w:r w:rsidRPr="003015FD">
        <w:t>culture of human rights and has work</w:t>
      </w:r>
      <w:r>
        <w:t>ed</w:t>
      </w:r>
      <w:r w:rsidRPr="003015FD">
        <w:t xml:space="preserve"> with the Commission to </w:t>
      </w:r>
      <w:r>
        <w:t xml:space="preserve">help </w:t>
      </w:r>
      <w:r w:rsidRPr="003015FD">
        <w:t>make this happen.</w:t>
      </w:r>
    </w:p>
    <w:p w14:paraId="073893A1" w14:textId="77777777" w:rsidR="0075194E" w:rsidRPr="003015FD" w:rsidRDefault="0075194E" w:rsidP="0075194E">
      <w:r>
        <w:t>T</w:t>
      </w:r>
      <w:r w:rsidRPr="003015FD">
        <w:t xml:space="preserve">here are strong signs that the commitment to embedding a culture of human rights in Victoria </w:t>
      </w:r>
      <w:r>
        <w:t>is</w:t>
      </w:r>
      <w:r w:rsidRPr="003015FD">
        <w:t xml:space="preserve"> having a positive influence on </w:t>
      </w:r>
      <w:r>
        <w:t>decision-making</w:t>
      </w:r>
      <w:r w:rsidRPr="003015FD">
        <w:t>. In th</w:t>
      </w:r>
      <w:r>
        <w:t>is</w:t>
      </w:r>
      <w:r w:rsidRPr="003015FD">
        <w:t xml:space="preserve"> report </w:t>
      </w:r>
      <w:r>
        <w:br/>
        <w:t xml:space="preserve">the Commission has noted </w:t>
      </w:r>
      <w:r w:rsidRPr="003015FD">
        <w:t>progress across public authorities, courts and tribunals.</w:t>
      </w:r>
    </w:p>
    <w:p w14:paraId="20843832" w14:textId="77777777" w:rsidR="0075194E" w:rsidRPr="003015FD" w:rsidRDefault="0075194E" w:rsidP="0075194E">
      <w:r>
        <w:t>T</w:t>
      </w:r>
      <w:r w:rsidRPr="003015FD">
        <w:t xml:space="preserve">he annual survey of the Victorian public sector, the People Matter Survey, showed a 15 per cent increase in the number of staff </w:t>
      </w:r>
      <w:r>
        <w:t xml:space="preserve">members </w:t>
      </w:r>
      <w:r w:rsidRPr="003015FD">
        <w:t xml:space="preserve">who agree or strongly agree that they understand how the Charter applies in their work. </w:t>
      </w:r>
    </w:p>
    <w:p w14:paraId="0B6C8C31" w14:textId="77777777" w:rsidR="0075194E" w:rsidRDefault="0075194E" w:rsidP="0075194E">
      <w:r w:rsidRPr="003015FD">
        <w:t>As efforts to strengthen our culture of human rights gain momentum, the Commission has been called upon to support public authorities in their efforts. Responding to these requests, between 2017 and 2018 the Commission worked collaboratively with a range of public, community and private organisations</w:t>
      </w:r>
      <w:r>
        <w:t>.</w:t>
      </w:r>
    </w:p>
    <w:p w14:paraId="5E4AE5DA" w14:textId="77777777" w:rsidR="0075194E" w:rsidRPr="003015FD" w:rsidRDefault="0075194E" w:rsidP="0075194E">
      <w:r>
        <w:t xml:space="preserve">In </w:t>
      </w:r>
      <w:proofErr w:type="gramStart"/>
      <w:r>
        <w:t>2018</w:t>
      </w:r>
      <w:proofErr w:type="gramEnd"/>
      <w:r>
        <w:t xml:space="preserve"> the Commission </w:t>
      </w:r>
      <w:r w:rsidRPr="003015FD">
        <w:t>develop</w:t>
      </w:r>
      <w:r>
        <w:t>ed</w:t>
      </w:r>
      <w:r w:rsidRPr="003015FD">
        <w:t xml:space="preserve"> a practical framework for identifying actions, indic</w:t>
      </w:r>
      <w:r>
        <w:t>a</w:t>
      </w:r>
      <w:r w:rsidRPr="003015FD">
        <w:t xml:space="preserve">tors and measures to track improvements in human rights culture within public authorities. The starting point was to develop a common understanding of a human rights culture. In this report, the Commission is excited to present </w:t>
      </w:r>
      <w:r>
        <w:t>the h</w:t>
      </w:r>
      <w:r w:rsidRPr="003015FD">
        <w:t xml:space="preserve">uman </w:t>
      </w:r>
      <w:r>
        <w:t>r</w:t>
      </w:r>
      <w:r w:rsidRPr="003015FD">
        <w:t xml:space="preserve">ights </w:t>
      </w:r>
      <w:r>
        <w:t>c</w:t>
      </w:r>
      <w:r w:rsidRPr="003015FD">
        <w:t xml:space="preserve">ulture </w:t>
      </w:r>
      <w:r>
        <w:t>i</w:t>
      </w:r>
      <w:r w:rsidRPr="003015FD">
        <w:t>ndic</w:t>
      </w:r>
      <w:r>
        <w:t>a</w:t>
      </w:r>
      <w:r w:rsidRPr="003015FD">
        <w:t xml:space="preserve">tor </w:t>
      </w:r>
      <w:r>
        <w:t>f</w:t>
      </w:r>
      <w:r w:rsidRPr="003015FD">
        <w:t xml:space="preserve">ramework for the first time. It provides a roadmap for public </w:t>
      </w:r>
      <w:r w:rsidRPr="003015FD">
        <w:lastRenderedPageBreak/>
        <w:t xml:space="preserve">authorities to embed human rights and a transparent framework for the Commission to monitor the growth of human rights culture within organisations. </w:t>
      </w:r>
    </w:p>
    <w:p w14:paraId="7A60C2EB" w14:textId="77777777" w:rsidR="0075194E" w:rsidRPr="003015FD" w:rsidRDefault="0075194E" w:rsidP="0075194E">
      <w:r w:rsidRPr="003015FD">
        <w:t xml:space="preserve">This year 35 public authorities participated in a pilot survey responding to questions against the </w:t>
      </w:r>
      <w:r>
        <w:t>f</w:t>
      </w:r>
      <w:r w:rsidRPr="003015FD">
        <w:t xml:space="preserve">ramework. The results are outlined in this report. We found encouraging indications that many </w:t>
      </w:r>
      <w:proofErr w:type="gramStart"/>
      <w:r w:rsidRPr="003015FD">
        <w:t>public sector</w:t>
      </w:r>
      <w:proofErr w:type="gramEnd"/>
      <w:r w:rsidRPr="003015FD">
        <w:t xml:space="preserve"> staff know about and value human rights. There were strong signs the public sector is engaging community organisations in decisions </w:t>
      </w:r>
      <w:r>
        <w:t xml:space="preserve">that impact </w:t>
      </w:r>
      <w:r w:rsidRPr="003015FD">
        <w:t xml:space="preserve">their rights. </w:t>
      </w:r>
    </w:p>
    <w:p w14:paraId="6D22B2B2" w14:textId="77777777" w:rsidR="0075194E" w:rsidRDefault="0075194E" w:rsidP="0075194E">
      <w:r>
        <w:t>W</w:t>
      </w:r>
      <w:r w:rsidRPr="003015FD">
        <w:t xml:space="preserve">e </w:t>
      </w:r>
      <w:r>
        <w:t xml:space="preserve">found potential areas for improvement. </w:t>
      </w:r>
      <w:r w:rsidRPr="003015FD">
        <w:t xml:space="preserve">The results suggested </w:t>
      </w:r>
      <w:r>
        <w:t xml:space="preserve">opportunities for leaders to further </w:t>
      </w:r>
      <w:r w:rsidRPr="003015FD">
        <w:t xml:space="preserve">model and promote human rights. We </w:t>
      </w:r>
      <w:r>
        <w:t xml:space="preserve">found scope to better support staff to </w:t>
      </w:r>
      <w:r w:rsidRPr="003015FD">
        <w:t xml:space="preserve">embed human rights. </w:t>
      </w:r>
      <w:r>
        <w:t xml:space="preserve">The results also highlighted ways to better use tools like </w:t>
      </w:r>
      <w:r w:rsidRPr="003015FD">
        <w:t xml:space="preserve">complaints policies to identify and implement improvements to human rights protection. </w:t>
      </w:r>
    </w:p>
    <w:p w14:paraId="672E4448" w14:textId="77777777" w:rsidR="0075194E" w:rsidRPr="003015FD" w:rsidRDefault="0075194E" w:rsidP="0075194E">
      <w:r>
        <w:t xml:space="preserve">The Commission has used the framework to make some practical suggestions in this report on how authorities can improve human rights culture. The Commission will continue to build on the framework in the future to give authorities the tools they need to make this a strong part of their culture. </w:t>
      </w:r>
    </w:p>
    <w:p w14:paraId="74FE7477" w14:textId="77777777" w:rsidR="0075194E" w:rsidRPr="003015FD" w:rsidRDefault="0075194E" w:rsidP="0075194E">
      <w:r w:rsidRPr="003015FD">
        <w:t xml:space="preserve">The real measure of these efforts will be how </w:t>
      </w:r>
      <w:r>
        <w:t xml:space="preserve">people’s </w:t>
      </w:r>
      <w:r w:rsidRPr="003015FD">
        <w:t>lives are improved by a strengthened culture of human rights. In this report, we heard from community organisations who reported positive experiences in dealing with public authorities. They reported</w:t>
      </w:r>
      <w:r>
        <w:t xml:space="preserve"> </w:t>
      </w:r>
      <w:r w:rsidRPr="003015FD">
        <w:t xml:space="preserve">many </w:t>
      </w:r>
      <w:proofErr w:type="gramStart"/>
      <w:r w:rsidRPr="003015FD">
        <w:t>public sector</w:t>
      </w:r>
      <w:proofErr w:type="gramEnd"/>
      <w:r w:rsidRPr="003015FD">
        <w:t xml:space="preserve"> staff were respectful and demonstrated understanding of human rights. Many community organisations </w:t>
      </w:r>
      <w:r>
        <w:t>suggested,</w:t>
      </w:r>
      <w:r w:rsidRPr="003015FD">
        <w:t xml:space="preserve"> however</w:t>
      </w:r>
      <w:r>
        <w:t>,</w:t>
      </w:r>
      <w:r w:rsidRPr="003015FD">
        <w:t xml:space="preserve"> that </w:t>
      </w:r>
      <w:r>
        <w:t xml:space="preserve">work is still needed, </w:t>
      </w:r>
      <w:r w:rsidRPr="003015FD">
        <w:t>particular</w:t>
      </w:r>
      <w:r>
        <w:t>ly</w:t>
      </w:r>
      <w:r w:rsidRPr="003015FD">
        <w:t xml:space="preserve"> with rights holders having a meaningful impact on the outcomes of public sector </w:t>
      </w:r>
      <w:r>
        <w:t>decision-making</w:t>
      </w:r>
      <w:r w:rsidRPr="003015FD">
        <w:t xml:space="preserve">. </w:t>
      </w:r>
      <w:r>
        <w:t xml:space="preserve">I thank the public authorities and community organisations who engaged with the Commission to produce this report. </w:t>
      </w:r>
    </w:p>
    <w:p w14:paraId="60C6F22A" w14:textId="77777777" w:rsidR="0075194E" w:rsidRPr="003015FD" w:rsidRDefault="0075194E" w:rsidP="0075194E">
      <w:pPr>
        <w:rPr>
          <w:lang w:eastAsia="en-AU"/>
        </w:rPr>
      </w:pPr>
      <w:r w:rsidRPr="003015FD">
        <w:t xml:space="preserve">Within courts and tribunals, we observed the </w:t>
      </w:r>
      <w:r>
        <w:t>Charter’s</w:t>
      </w:r>
      <w:r w:rsidRPr="003015FD">
        <w:t xml:space="preserve"> meaningful outcomes for individuals in the justice system. During 2018, the right of a person with a mental illness to give informed consent to electroconvulsive medical treatment was upheld</w:t>
      </w:r>
      <w:r>
        <w:t>.</w:t>
      </w:r>
      <w:r w:rsidRPr="004862C5">
        <w:rPr>
          <w:rStyle w:val="FootnoteReference"/>
        </w:rPr>
        <w:footnoteReference w:id="3"/>
      </w:r>
      <w:r w:rsidRPr="003015FD">
        <w:t xml:space="preserve"> In the matter of </w:t>
      </w:r>
      <w:proofErr w:type="spellStart"/>
      <w:r w:rsidRPr="0002642E">
        <w:rPr>
          <w:rStyle w:val="Characterbold"/>
          <w:b w:val="0"/>
          <w:lang w:val="en-GB"/>
        </w:rPr>
        <w:t>Cemino</w:t>
      </w:r>
      <w:proofErr w:type="spellEnd"/>
      <w:r w:rsidRPr="0002642E">
        <w:rPr>
          <w:rStyle w:val="Characterbold"/>
          <w:b w:val="0"/>
          <w:lang w:val="en-GB"/>
        </w:rPr>
        <w:t xml:space="preserve"> v </w:t>
      </w:r>
      <w:proofErr w:type="spellStart"/>
      <w:r w:rsidRPr="0002642E">
        <w:rPr>
          <w:rStyle w:val="Characterbold"/>
          <w:b w:val="0"/>
          <w:lang w:val="en-GB"/>
        </w:rPr>
        <w:t>Cannan</w:t>
      </w:r>
      <w:proofErr w:type="spellEnd"/>
      <w:r w:rsidRPr="0002642E">
        <w:rPr>
          <w:rStyle w:val="Characterbold"/>
          <w:b w:val="0"/>
          <w:lang w:val="en-GB"/>
        </w:rPr>
        <w:t>,</w:t>
      </w:r>
      <w:r w:rsidRPr="004862C5">
        <w:rPr>
          <w:rStyle w:val="FootnoteReference"/>
        </w:rPr>
        <w:footnoteReference w:id="4"/>
      </w:r>
      <w:r w:rsidRPr="003015FD">
        <w:t xml:space="preserve"> the Supreme Court determined the cultural rights of an Aboriginal young person </w:t>
      </w:r>
      <w:r>
        <w:t>must</w:t>
      </w:r>
      <w:r w:rsidRPr="003015FD">
        <w:t xml:space="preserve"> be considered when deciding whether his matter should be heard before Aboriginal elders in the Koori Court. The courts </w:t>
      </w:r>
      <w:r>
        <w:t xml:space="preserve">closely considered the </w:t>
      </w:r>
      <w:r w:rsidRPr="003015FD">
        <w:t xml:space="preserve">right to a fair hearing for unrepresented litigants in the matter of </w:t>
      </w:r>
      <w:r w:rsidRPr="0002642E">
        <w:t>Harkness v Roberts.</w:t>
      </w:r>
      <w:r w:rsidRPr="004862C5">
        <w:rPr>
          <w:rStyle w:val="FootnoteReference"/>
        </w:rPr>
        <w:footnoteReference w:id="5"/>
      </w:r>
      <w:r w:rsidRPr="003015FD">
        <w:t xml:space="preserve"> Without the Charter, these outcomes would not have been realised. </w:t>
      </w:r>
    </w:p>
    <w:p w14:paraId="4B4515B1" w14:textId="77777777" w:rsidR="0075194E" w:rsidRPr="0002642E" w:rsidRDefault="0075194E" w:rsidP="0075194E">
      <w:r w:rsidRPr="003015FD">
        <w:rPr>
          <w:lang w:eastAsia="en-GB"/>
        </w:rPr>
        <w:t xml:space="preserve">Everyone has a role to play in making Victoria a fair, safe and inclusive place where everyone is respected and treated with dignity – and the Charter makes sure this is a part of our everyday business. </w:t>
      </w:r>
    </w:p>
    <w:bookmarkEnd w:id="13"/>
    <w:bookmarkEnd w:id="14"/>
    <w:p w14:paraId="5F560B29" w14:textId="38BA7482" w:rsidR="000B065E" w:rsidRPr="000B065E" w:rsidRDefault="000B065E" w:rsidP="000B065E">
      <w:pPr>
        <w:pStyle w:val="BodyText"/>
      </w:pPr>
    </w:p>
    <w:p w14:paraId="29F281EF" w14:textId="77777777" w:rsidR="000B065E" w:rsidRDefault="000B065E" w:rsidP="000B065E">
      <w:pPr>
        <w:pStyle w:val="BodyText"/>
      </w:pPr>
    </w:p>
    <w:p w14:paraId="6D39DA4D" w14:textId="21392FFB" w:rsidR="000B065E" w:rsidRPr="000B065E" w:rsidRDefault="000B065E" w:rsidP="000B065E">
      <w:pPr>
        <w:pStyle w:val="BodyText"/>
        <w:sectPr w:rsidR="000B065E" w:rsidRPr="000B065E" w:rsidSect="00086633">
          <w:footerReference w:type="first" r:id="rId18"/>
          <w:endnotePr>
            <w:numFmt w:val="decimal"/>
          </w:endnotePr>
          <w:pgSz w:w="11907" w:h="16839" w:code="9"/>
          <w:pgMar w:top="1134" w:right="1418" w:bottom="1134" w:left="1418" w:header="720" w:footer="720" w:gutter="0"/>
          <w:cols w:space="720"/>
          <w:docGrid w:linePitch="360"/>
        </w:sectPr>
      </w:pPr>
    </w:p>
    <w:p w14:paraId="7EC797A2" w14:textId="250A7028" w:rsidR="008E0945" w:rsidRPr="003015FD" w:rsidRDefault="008E0945" w:rsidP="0002642E">
      <w:pPr>
        <w:pStyle w:val="Heading1"/>
        <w:numPr>
          <w:ilvl w:val="0"/>
          <w:numId w:val="53"/>
        </w:numPr>
      </w:pPr>
      <w:bookmarkStart w:id="16" w:name="_Toc15656273"/>
      <w:bookmarkStart w:id="17" w:name="_Toc22011524"/>
      <w:r w:rsidRPr="003015FD">
        <w:lastRenderedPageBreak/>
        <w:t>Victoria</w:t>
      </w:r>
      <w:r w:rsidR="000C5726">
        <w:t>'</w:t>
      </w:r>
      <w:r w:rsidRPr="003015FD">
        <w:t>s</w:t>
      </w:r>
      <w:r w:rsidR="00975895" w:rsidRPr="003015FD">
        <w:t xml:space="preserve"> </w:t>
      </w:r>
      <w:r w:rsidRPr="003015FD">
        <w:t>human</w:t>
      </w:r>
      <w:r w:rsidR="00975895" w:rsidRPr="003015FD">
        <w:t xml:space="preserve"> </w:t>
      </w:r>
      <w:r w:rsidRPr="003015FD">
        <w:t>rights</w:t>
      </w:r>
      <w:r w:rsidR="00975895" w:rsidRPr="003015FD">
        <w:t xml:space="preserve"> </w:t>
      </w:r>
      <w:bookmarkEnd w:id="16"/>
      <w:r w:rsidR="009D4E64">
        <w:t>system</w:t>
      </w:r>
      <w:bookmarkEnd w:id="17"/>
    </w:p>
    <w:p w14:paraId="4A112700" w14:textId="4BAC3815" w:rsidR="008E0945" w:rsidRPr="003015FD" w:rsidRDefault="008E0945" w:rsidP="0002642E">
      <w:r w:rsidRPr="003015FD">
        <w:t>When</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Parliament</w:t>
      </w:r>
      <w:r w:rsidR="00975895" w:rsidRPr="003015FD">
        <w:t xml:space="preserve"> </w:t>
      </w:r>
      <w:r w:rsidRPr="003015FD">
        <w:t>passed</w:t>
      </w:r>
      <w:r w:rsidR="00975895" w:rsidRPr="003015FD">
        <w:t xml:space="preserve"> </w:t>
      </w:r>
      <w:r w:rsidRPr="003015FD">
        <w:t>the</w:t>
      </w:r>
      <w:r w:rsidR="00975895" w:rsidRPr="003015FD">
        <w:t xml:space="preserve"> </w:t>
      </w:r>
      <w:r w:rsidRPr="0002642E">
        <w:t>Charter</w:t>
      </w:r>
      <w:r w:rsidR="00975895" w:rsidRPr="0002642E">
        <w:t xml:space="preserve"> </w:t>
      </w:r>
      <w:r w:rsidRPr="0002642E">
        <w:t>of</w:t>
      </w:r>
      <w:r w:rsidR="00975895" w:rsidRPr="0002642E">
        <w:t xml:space="preserve"> </w:t>
      </w:r>
      <w:r w:rsidRPr="0002642E">
        <w:t>Human</w:t>
      </w:r>
      <w:r w:rsidR="00975895" w:rsidRPr="0002642E">
        <w:t xml:space="preserve"> </w:t>
      </w:r>
      <w:r w:rsidRPr="0002642E">
        <w:t>Rights</w:t>
      </w:r>
      <w:r w:rsidR="00975895" w:rsidRPr="0002642E">
        <w:t xml:space="preserve"> </w:t>
      </w:r>
      <w:r w:rsidRPr="0002642E">
        <w:t>and</w:t>
      </w:r>
      <w:r w:rsidR="00975895" w:rsidRPr="0002642E">
        <w:t xml:space="preserve"> </w:t>
      </w:r>
      <w:r w:rsidRPr="0002642E">
        <w:t>Responsibilities</w:t>
      </w:r>
      <w:r w:rsidR="00975895" w:rsidRPr="0002642E">
        <w:t xml:space="preserve"> </w:t>
      </w:r>
      <w:r w:rsidRPr="0002642E">
        <w:t>Act</w:t>
      </w:r>
      <w:r w:rsidR="00975895" w:rsidRPr="0002642E">
        <w:t xml:space="preserve"> </w:t>
      </w:r>
      <w:r w:rsidRPr="0002642E">
        <w:t>2006</w:t>
      </w:r>
      <w:r w:rsidR="003A273A" w:rsidRPr="0002642E">
        <w:t>,</w:t>
      </w:r>
      <w:r w:rsidR="00975895" w:rsidRPr="003015FD">
        <w:t xml:space="preserve"> </w:t>
      </w:r>
      <w:r w:rsidRPr="003015FD">
        <w:t>it</w:t>
      </w:r>
      <w:r w:rsidR="00975895" w:rsidRPr="003015FD">
        <w:t xml:space="preserve"> </w:t>
      </w:r>
      <w:r w:rsidRPr="003015FD">
        <w:t>affirmed</w:t>
      </w:r>
      <w:r w:rsidR="00975895" w:rsidRPr="003015FD">
        <w:t xml:space="preserve"> </w:t>
      </w:r>
      <w:r w:rsidRPr="003015FD">
        <w:t>the</w:t>
      </w:r>
      <w:r w:rsidR="00975895" w:rsidRPr="003015FD">
        <w:t xml:space="preserve"> </w:t>
      </w:r>
      <w:r w:rsidRPr="003015FD">
        <w:t>importance</w:t>
      </w:r>
      <w:r w:rsidR="00975895" w:rsidRPr="003015FD">
        <w:t xml:space="preserve"> </w:t>
      </w:r>
      <w:r w:rsidRPr="003015FD">
        <w:t>of</w:t>
      </w:r>
      <w:r w:rsidR="00975895" w:rsidRPr="003015FD">
        <w:t xml:space="preserve"> </w:t>
      </w:r>
      <w:r w:rsidRPr="003015FD">
        <w:t>building</w:t>
      </w:r>
      <w:r w:rsidR="00975895" w:rsidRPr="003015FD">
        <w:t xml:space="preserve"> </w:t>
      </w:r>
      <w:r w:rsidRPr="003015FD">
        <w:t>understanding</w:t>
      </w:r>
      <w:r w:rsidR="00975895" w:rsidRPr="003015FD">
        <w:t xml:space="preserve"> </w:t>
      </w:r>
      <w:r w:rsidRPr="003015FD">
        <w:t>and</w:t>
      </w:r>
      <w:r w:rsidR="00975895" w:rsidRPr="003015FD">
        <w:t xml:space="preserve"> </w:t>
      </w:r>
      <w:r w:rsidRPr="003015FD">
        <w:t>respect</w:t>
      </w:r>
      <w:r w:rsidR="00975895" w:rsidRPr="003015FD">
        <w:t xml:space="preserve"> </w:t>
      </w:r>
      <w:r w:rsidRPr="003015FD">
        <w:t>for</w:t>
      </w:r>
      <w:r w:rsidR="00975895" w:rsidRPr="003015FD">
        <w:t xml:space="preserve"> </w:t>
      </w:r>
      <w:r w:rsidRPr="003015FD">
        <w:t>human</w:t>
      </w:r>
      <w:r w:rsidR="00975895" w:rsidRPr="003015FD">
        <w:t xml:space="preserve"> </w:t>
      </w:r>
      <w:r w:rsidRPr="003015FD">
        <w:t>rights</w:t>
      </w:r>
      <w:r w:rsidR="00975895" w:rsidRPr="003015FD">
        <w:t xml:space="preserve"> </w:t>
      </w:r>
      <w:r w:rsidRPr="003015FD">
        <w:t>across</w:t>
      </w:r>
      <w:r w:rsidR="00975895" w:rsidRPr="003015FD">
        <w:t xml:space="preserve"> </w:t>
      </w:r>
      <w:r w:rsidRPr="003015FD">
        <w:t>the</w:t>
      </w:r>
      <w:r w:rsidR="00975895" w:rsidRPr="003015FD">
        <w:t xml:space="preserve"> </w:t>
      </w:r>
      <w:r w:rsidRPr="003015FD">
        <w:t>Victorian</w:t>
      </w:r>
      <w:r w:rsidR="00975895" w:rsidRPr="003015FD">
        <w:t xml:space="preserve"> </w:t>
      </w:r>
      <w:r w:rsidRPr="003015FD">
        <w:t>community.</w:t>
      </w:r>
      <w:r w:rsidR="00975895" w:rsidRPr="003015FD">
        <w:t xml:space="preserve"> </w:t>
      </w:r>
    </w:p>
    <w:p w14:paraId="0F11FC4D" w14:textId="362BE720" w:rsidR="008E0945" w:rsidRPr="003015FD" w:rsidRDefault="008E0945" w:rsidP="0002642E">
      <w:r w:rsidRPr="003015FD">
        <w:t>Human</w:t>
      </w:r>
      <w:r w:rsidR="00975895" w:rsidRPr="003015FD">
        <w:t xml:space="preserve"> </w:t>
      </w:r>
      <w:r w:rsidRPr="003015FD">
        <w:t>rights</w:t>
      </w:r>
      <w:r w:rsidR="00975895" w:rsidRPr="003015FD">
        <w:t xml:space="preserve"> </w:t>
      </w:r>
      <w:r w:rsidRPr="003015FD">
        <w:t>are</w:t>
      </w:r>
      <w:r w:rsidR="00975895" w:rsidRPr="003015FD">
        <w:t xml:space="preserve"> </w:t>
      </w:r>
      <w:r w:rsidRPr="003015FD">
        <w:t>a</w:t>
      </w:r>
      <w:r w:rsidR="00975895" w:rsidRPr="003015FD">
        <w:t xml:space="preserve"> </w:t>
      </w:r>
      <w:r w:rsidRPr="003015FD">
        <w:t>basic</w:t>
      </w:r>
      <w:r w:rsidR="00975895" w:rsidRPr="003015FD">
        <w:t xml:space="preserve"> </w:t>
      </w:r>
      <w:r w:rsidRPr="003015FD">
        <w:t>entitlement</w:t>
      </w:r>
      <w:r w:rsidR="00975895" w:rsidRPr="003015FD">
        <w:t xml:space="preserve"> </w:t>
      </w:r>
      <w:r w:rsidR="003B428A">
        <w:t>for</w:t>
      </w:r>
      <w:r w:rsidR="00975895" w:rsidRPr="003015FD">
        <w:t xml:space="preserve"> </w:t>
      </w:r>
      <w:r w:rsidRPr="003015FD">
        <w:t>every</w:t>
      </w:r>
      <w:r w:rsidR="00975895" w:rsidRPr="003015FD">
        <w:t xml:space="preserve"> </w:t>
      </w:r>
      <w:r w:rsidRPr="003015FD">
        <w:t>one</w:t>
      </w:r>
      <w:r w:rsidR="00975895" w:rsidRPr="003015FD">
        <w:t xml:space="preserve"> </w:t>
      </w:r>
      <w:r w:rsidRPr="003015FD">
        <w:t>of</w:t>
      </w:r>
      <w:r w:rsidR="00975895" w:rsidRPr="003015FD">
        <w:t xml:space="preserve"> </w:t>
      </w:r>
      <w:r w:rsidRPr="003015FD">
        <w:t>us,</w:t>
      </w:r>
      <w:r w:rsidR="00975895" w:rsidRPr="003015FD">
        <w:t xml:space="preserve"> </w:t>
      </w:r>
      <w:r w:rsidRPr="003015FD">
        <w:t>regardless</w:t>
      </w:r>
      <w:r w:rsidR="00975895" w:rsidRPr="003015FD">
        <w:t xml:space="preserve"> </w:t>
      </w:r>
      <w:r w:rsidRPr="003015FD">
        <w:t>of</w:t>
      </w:r>
      <w:r w:rsidR="00975895" w:rsidRPr="003015FD">
        <w:t xml:space="preserve"> </w:t>
      </w:r>
      <w:r w:rsidRPr="003015FD">
        <w:t>our</w:t>
      </w:r>
      <w:r w:rsidR="00975895" w:rsidRPr="003015FD">
        <w:t xml:space="preserve"> </w:t>
      </w:r>
      <w:r w:rsidRPr="003015FD">
        <w:t>background,</w:t>
      </w:r>
      <w:r w:rsidR="00975895" w:rsidRPr="003015FD">
        <w:t xml:space="preserve"> </w:t>
      </w:r>
      <w:r w:rsidRPr="003015FD">
        <w:t>culture,</w:t>
      </w:r>
      <w:r w:rsidR="00975895" w:rsidRPr="003015FD">
        <w:t xml:space="preserve"> </w:t>
      </w:r>
      <w:r w:rsidRPr="003015FD">
        <w:t>gender,</w:t>
      </w:r>
      <w:r w:rsidR="00975895" w:rsidRPr="003015FD">
        <w:t xml:space="preserve"> </w:t>
      </w:r>
      <w:r w:rsidRPr="003015FD">
        <w:t>age</w:t>
      </w:r>
      <w:r w:rsidR="00975895" w:rsidRPr="003015FD">
        <w:t xml:space="preserve"> </w:t>
      </w:r>
      <w:r w:rsidRPr="003015FD">
        <w:t>or</w:t>
      </w:r>
      <w:r w:rsidR="00975895" w:rsidRPr="003015FD">
        <w:t xml:space="preserve"> </w:t>
      </w:r>
      <w:r w:rsidRPr="003015FD">
        <w:t>what</w:t>
      </w:r>
      <w:r w:rsidR="00975895" w:rsidRPr="003015FD">
        <w:t xml:space="preserve"> </w:t>
      </w:r>
      <w:r w:rsidRPr="003015FD">
        <w:t>we</w:t>
      </w:r>
      <w:r w:rsidR="00975895" w:rsidRPr="003015FD">
        <w:t xml:space="preserve"> </w:t>
      </w:r>
      <w:r w:rsidRPr="003015FD">
        <w:t>believe.</w:t>
      </w:r>
      <w:r w:rsidR="00975895" w:rsidRPr="003015FD">
        <w:t xml:space="preserve"> </w:t>
      </w:r>
      <w:r w:rsidRPr="003015FD">
        <w:t>The</w:t>
      </w:r>
      <w:r w:rsidR="00975895" w:rsidRPr="003015FD">
        <w:t xml:space="preserve"> </w:t>
      </w:r>
      <w:r w:rsidRPr="003015FD">
        <w:t>Charter</w:t>
      </w:r>
      <w:r w:rsidR="00975895" w:rsidRPr="003015FD">
        <w:t xml:space="preserve"> </w:t>
      </w:r>
      <w:r w:rsidRPr="003015FD">
        <w:t>enshrines</w:t>
      </w:r>
      <w:r w:rsidR="00975895" w:rsidRPr="003015FD">
        <w:t xml:space="preserve"> </w:t>
      </w:r>
      <w:r w:rsidRPr="003015FD">
        <w:t>civil,</w:t>
      </w:r>
      <w:r w:rsidR="00975895" w:rsidRPr="003015FD">
        <w:t xml:space="preserve"> </w:t>
      </w:r>
      <w:r w:rsidRPr="003015FD">
        <w:t>political</w:t>
      </w:r>
      <w:r w:rsidR="00975895" w:rsidRPr="003015FD">
        <w:t xml:space="preserve"> </w:t>
      </w:r>
      <w:r w:rsidRPr="003015FD">
        <w:t>and</w:t>
      </w:r>
      <w:r w:rsidR="00975895" w:rsidRPr="003015FD">
        <w:t xml:space="preserve"> </w:t>
      </w:r>
      <w:r w:rsidRPr="003015FD">
        <w:t>cultural</w:t>
      </w:r>
      <w:r w:rsidR="00975895" w:rsidRPr="003015FD">
        <w:t xml:space="preserve"> </w:t>
      </w:r>
      <w:r w:rsidRPr="003015FD">
        <w:t>rights</w:t>
      </w:r>
      <w:r w:rsidR="00975895" w:rsidRPr="003015FD">
        <w:t xml:space="preserve"> </w:t>
      </w:r>
      <w:r w:rsidRPr="003015FD">
        <w:t>into</w:t>
      </w:r>
      <w:r w:rsidR="00975895" w:rsidRPr="003015FD">
        <w:t xml:space="preserve"> </w:t>
      </w:r>
      <w:r w:rsidRPr="003015FD">
        <w:t>Victorian</w:t>
      </w:r>
      <w:r w:rsidR="00975895" w:rsidRPr="003015FD">
        <w:t xml:space="preserve"> </w:t>
      </w:r>
      <w:r w:rsidRPr="003015FD">
        <w:t>law.</w:t>
      </w:r>
      <w:r w:rsidR="00975895" w:rsidRPr="003015FD">
        <w:t xml:space="preserve"> </w:t>
      </w:r>
      <w:r w:rsidRPr="003015FD">
        <w:t>Any</w:t>
      </w:r>
      <w:r w:rsidR="00975895" w:rsidRPr="003015FD">
        <w:t xml:space="preserve"> </w:t>
      </w:r>
      <w:r w:rsidRPr="003015FD">
        <w:t>limitation</w:t>
      </w:r>
      <w:r w:rsidR="00975895" w:rsidRPr="003015FD">
        <w:t xml:space="preserve"> </w:t>
      </w:r>
      <w:r w:rsidRPr="003015FD">
        <w:t>on</w:t>
      </w:r>
      <w:r w:rsidR="00975895" w:rsidRPr="003015FD">
        <w:t xml:space="preserve"> </w:t>
      </w:r>
      <w:r w:rsidRPr="003015FD">
        <w:t>these</w:t>
      </w:r>
      <w:r w:rsidR="00975895" w:rsidRPr="003015FD">
        <w:t xml:space="preserve"> </w:t>
      </w:r>
      <w:r w:rsidRPr="003015FD">
        <w:t>rights</w:t>
      </w:r>
      <w:r w:rsidR="00975895" w:rsidRPr="003015FD">
        <w:t xml:space="preserve"> </w:t>
      </w:r>
      <w:r w:rsidRPr="003015FD">
        <w:t>must</w:t>
      </w:r>
      <w:r w:rsidR="00975895" w:rsidRPr="003015FD">
        <w:t xml:space="preserve"> </w:t>
      </w:r>
      <w:r w:rsidRPr="003015FD">
        <w:t>be</w:t>
      </w:r>
      <w:r w:rsidR="00975895" w:rsidRPr="003015FD">
        <w:t xml:space="preserve"> </w:t>
      </w:r>
      <w:r w:rsidRPr="003015FD">
        <w:t>reasonable,</w:t>
      </w:r>
      <w:r w:rsidR="00975895" w:rsidRPr="003015FD">
        <w:t xml:space="preserve"> </w:t>
      </w:r>
      <w:r w:rsidRPr="003015FD">
        <w:t>necessary,</w:t>
      </w:r>
      <w:r w:rsidR="00975895" w:rsidRPr="003015FD">
        <w:t xml:space="preserve"> </w:t>
      </w:r>
      <w:r w:rsidRPr="003015FD">
        <w:t>justified</w:t>
      </w:r>
      <w:r w:rsidR="00975895" w:rsidRPr="003015FD">
        <w:t xml:space="preserve"> </w:t>
      </w:r>
      <w:r w:rsidRPr="003015FD">
        <w:t>and</w:t>
      </w:r>
      <w:r w:rsidR="00975895" w:rsidRPr="003015FD">
        <w:t xml:space="preserve"> </w:t>
      </w:r>
      <w:r w:rsidRPr="003015FD">
        <w:t>proportionate.</w:t>
      </w:r>
    </w:p>
    <w:p w14:paraId="4008CC85" w14:textId="1F79AC02" w:rsidR="008E0945" w:rsidRPr="003015FD" w:rsidRDefault="008E0945" w:rsidP="0002642E">
      <w:r w:rsidRPr="003015FD">
        <w:t>The</w:t>
      </w:r>
      <w:r w:rsidR="00975895" w:rsidRPr="003015FD">
        <w:t xml:space="preserve"> </w:t>
      </w:r>
      <w:r w:rsidRPr="003015FD">
        <w:t>rights</w:t>
      </w:r>
      <w:r w:rsidR="00975895" w:rsidRPr="003015FD">
        <w:t xml:space="preserve"> </w:t>
      </w:r>
      <w:r w:rsidRPr="003015FD">
        <w:t>protected</w:t>
      </w:r>
      <w:r w:rsidR="00975895" w:rsidRPr="003015FD">
        <w:t xml:space="preserve"> </w:t>
      </w:r>
      <w:r w:rsidRPr="003015FD">
        <w:t>under,</w:t>
      </w:r>
      <w:r w:rsidR="00975895" w:rsidRPr="003015FD">
        <w:t xml:space="preserve"> </w:t>
      </w:r>
      <w:r w:rsidRPr="003015FD">
        <w:t>and</w:t>
      </w:r>
      <w:r w:rsidR="00975895" w:rsidRPr="003015FD">
        <w:t xml:space="preserve"> </w:t>
      </w:r>
      <w:r w:rsidRPr="003015FD">
        <w:t>promoted</w:t>
      </w:r>
      <w:r w:rsidR="00975895" w:rsidRPr="003015FD">
        <w:t xml:space="preserve"> </w:t>
      </w:r>
      <w:r w:rsidRPr="003015FD">
        <w:t>by,</w:t>
      </w:r>
      <w:r w:rsidR="00975895" w:rsidRPr="003015FD">
        <w:t xml:space="preserve"> </w:t>
      </w:r>
      <w:r w:rsidRPr="003015FD">
        <w:t>the</w:t>
      </w:r>
      <w:r w:rsidR="00975895" w:rsidRPr="003015FD">
        <w:t xml:space="preserve"> </w:t>
      </w:r>
      <w:r w:rsidRPr="003015FD">
        <w:t>Charter</w:t>
      </w:r>
      <w:r w:rsidR="00975895" w:rsidRPr="003015FD">
        <w:t xml:space="preserve"> </w:t>
      </w:r>
      <w:r w:rsidRPr="003015FD">
        <w:t>reflect</w:t>
      </w:r>
      <w:r w:rsidR="00975895" w:rsidRPr="003015FD">
        <w:t xml:space="preserve"> </w:t>
      </w:r>
      <w:r w:rsidRPr="003015FD">
        <w:t>the</w:t>
      </w:r>
      <w:r w:rsidR="00975895" w:rsidRPr="003015FD">
        <w:t xml:space="preserve"> </w:t>
      </w:r>
      <w:r w:rsidRPr="003015FD">
        <w:t>fundamental</w:t>
      </w:r>
      <w:r w:rsidR="00975895" w:rsidRPr="003015FD">
        <w:t xml:space="preserve"> </w:t>
      </w:r>
      <w:r w:rsidRPr="003015FD">
        <w:t>values</w:t>
      </w:r>
      <w:r w:rsidR="00975895" w:rsidRPr="003015FD">
        <w:t xml:space="preserve"> </w:t>
      </w:r>
      <w:r w:rsidRPr="003015FD">
        <w:t>of</w:t>
      </w:r>
      <w:r w:rsidR="00975895" w:rsidRPr="003015FD">
        <w:t xml:space="preserve"> </w:t>
      </w:r>
      <w:r w:rsidRPr="003015FD">
        <w:t>freedom,</w:t>
      </w:r>
      <w:r w:rsidR="00975895" w:rsidRPr="003015FD">
        <w:t xml:space="preserve"> </w:t>
      </w:r>
      <w:r w:rsidRPr="003015FD">
        <w:t>equality,</w:t>
      </w:r>
      <w:r w:rsidR="00975895" w:rsidRPr="003015FD">
        <w:t xml:space="preserve"> </w:t>
      </w:r>
      <w:r w:rsidRPr="003015FD">
        <w:t>respect</w:t>
      </w:r>
      <w:r w:rsidR="00975895" w:rsidRPr="003015FD">
        <w:t xml:space="preserve"> </w:t>
      </w:r>
      <w:r w:rsidRPr="003015FD">
        <w:t>and</w:t>
      </w:r>
      <w:r w:rsidR="00975895" w:rsidRPr="003015FD">
        <w:t xml:space="preserve"> </w:t>
      </w:r>
      <w:r w:rsidRPr="003015FD">
        <w:t>dignity.</w:t>
      </w:r>
      <w:r w:rsidR="00975895" w:rsidRPr="003015FD">
        <w:t xml:space="preserve"> </w:t>
      </w:r>
      <w:r w:rsidRPr="003015FD">
        <w:t>These</w:t>
      </w:r>
      <w:r w:rsidR="00975895" w:rsidRPr="003015FD">
        <w:t xml:space="preserve"> </w:t>
      </w:r>
      <w:r w:rsidRPr="003015FD">
        <w:t>values</w:t>
      </w:r>
      <w:r w:rsidR="00975895" w:rsidRPr="003015FD">
        <w:t xml:space="preserve"> </w:t>
      </w:r>
      <w:r w:rsidRPr="003015FD">
        <w:t>are</w:t>
      </w:r>
      <w:r w:rsidR="00975895" w:rsidRPr="003015FD">
        <w:t xml:space="preserve"> </w:t>
      </w:r>
      <w:r w:rsidRPr="003015FD">
        <w:t>important</w:t>
      </w:r>
      <w:r w:rsidR="00975895" w:rsidRPr="003015FD">
        <w:t xml:space="preserve"> </w:t>
      </w:r>
      <w:r w:rsidRPr="003015FD">
        <w:t>for</w:t>
      </w:r>
      <w:r w:rsidR="00975895" w:rsidRPr="003015FD">
        <w:t xml:space="preserve"> </w:t>
      </w:r>
      <w:r w:rsidRPr="003015FD">
        <w:t>our</w:t>
      </w:r>
      <w:r w:rsidR="00975895" w:rsidRPr="003015FD">
        <w:t xml:space="preserve"> </w:t>
      </w:r>
      <w:r w:rsidRPr="003015FD">
        <w:t>wellbeing</w:t>
      </w:r>
      <w:r w:rsidR="00975895" w:rsidRPr="003015FD">
        <w:t xml:space="preserve"> </w:t>
      </w:r>
      <w:r w:rsidRPr="003015FD">
        <w:t>and</w:t>
      </w:r>
      <w:r w:rsidR="00975895" w:rsidRPr="003015FD">
        <w:t xml:space="preserve"> </w:t>
      </w:r>
      <w:r w:rsidRPr="003015FD">
        <w:t>our</w:t>
      </w:r>
      <w:r w:rsidR="00975895" w:rsidRPr="003015FD">
        <w:t xml:space="preserve"> </w:t>
      </w:r>
      <w:r w:rsidRPr="003015FD">
        <w:t>ability</w:t>
      </w:r>
      <w:r w:rsidR="00975895" w:rsidRPr="003015FD">
        <w:t xml:space="preserve"> </w:t>
      </w:r>
      <w:r w:rsidRPr="003015FD">
        <w:t>to</w:t>
      </w:r>
      <w:r w:rsidR="00975895" w:rsidRPr="003015FD">
        <w:t xml:space="preserve"> </w:t>
      </w:r>
      <w:r w:rsidRPr="003015FD">
        <w:t>live</w:t>
      </w:r>
      <w:r w:rsidR="00975895" w:rsidRPr="003015FD">
        <w:t xml:space="preserve"> </w:t>
      </w:r>
      <w:r w:rsidRPr="003015FD">
        <w:t>a</w:t>
      </w:r>
      <w:r w:rsidR="00975895" w:rsidRPr="003015FD">
        <w:t xml:space="preserve"> </w:t>
      </w:r>
      <w:r w:rsidRPr="003015FD">
        <w:t>dignified</w:t>
      </w:r>
      <w:r w:rsidR="00975895" w:rsidRPr="003015FD">
        <w:t xml:space="preserve"> </w:t>
      </w:r>
      <w:r w:rsidRPr="003015FD">
        <w:t>life</w:t>
      </w:r>
      <w:r w:rsidR="00975895" w:rsidRPr="003015FD">
        <w:t xml:space="preserve"> </w:t>
      </w:r>
      <w:r w:rsidRPr="003015FD">
        <w:t>where</w:t>
      </w:r>
      <w:r w:rsidR="00975895" w:rsidRPr="003015FD">
        <w:t xml:space="preserve"> </w:t>
      </w:r>
      <w:r w:rsidRPr="003015FD">
        <w:t>we</w:t>
      </w:r>
      <w:r w:rsidR="00975895" w:rsidRPr="003015FD">
        <w:t xml:space="preserve"> </w:t>
      </w:r>
      <w:r w:rsidRPr="003015FD">
        <w:t>are</w:t>
      </w:r>
      <w:r w:rsidR="00975895" w:rsidRPr="003015FD">
        <w:t xml:space="preserve"> </w:t>
      </w:r>
      <w:r w:rsidRPr="003015FD">
        <w:t>treated</w:t>
      </w:r>
      <w:r w:rsidR="00975895" w:rsidRPr="003015FD">
        <w:t xml:space="preserve"> </w:t>
      </w:r>
      <w:r w:rsidRPr="003015FD">
        <w:t>fairly</w:t>
      </w:r>
      <w:r w:rsidR="00975895" w:rsidRPr="003015FD">
        <w:t xml:space="preserve"> </w:t>
      </w:r>
      <w:r w:rsidRPr="003015FD">
        <w:t>and</w:t>
      </w:r>
      <w:r w:rsidR="00975895" w:rsidRPr="003015FD">
        <w:t xml:space="preserve"> </w:t>
      </w:r>
      <w:r w:rsidRPr="003015FD">
        <w:t>can</w:t>
      </w:r>
      <w:r w:rsidR="00975895" w:rsidRPr="003015FD">
        <w:t xml:space="preserve"> </w:t>
      </w:r>
      <w:r w:rsidRPr="003015FD">
        <w:t>make</w:t>
      </w:r>
      <w:r w:rsidR="00975895" w:rsidRPr="003015FD">
        <w:t xml:space="preserve"> </w:t>
      </w:r>
      <w:r w:rsidRPr="003015FD">
        <w:t>genuine</w:t>
      </w:r>
      <w:r w:rsidR="00975895" w:rsidRPr="003015FD">
        <w:t xml:space="preserve"> </w:t>
      </w:r>
      <w:r w:rsidRPr="003015FD">
        <w:t>choices</w:t>
      </w:r>
      <w:r w:rsidR="00975895" w:rsidRPr="003015FD">
        <w:t xml:space="preserve"> </w:t>
      </w:r>
      <w:r w:rsidRPr="003015FD">
        <w:t>in</w:t>
      </w:r>
      <w:r w:rsidR="00975895" w:rsidRPr="003015FD">
        <w:t xml:space="preserve"> </w:t>
      </w:r>
      <w:r w:rsidRPr="003015FD">
        <w:t>our</w:t>
      </w:r>
      <w:r w:rsidR="00975895" w:rsidRPr="003015FD">
        <w:t xml:space="preserve"> </w:t>
      </w:r>
      <w:r w:rsidRPr="003015FD">
        <w:t>daily</w:t>
      </w:r>
      <w:r w:rsidR="00975895" w:rsidRPr="003015FD">
        <w:t xml:space="preserve"> </w:t>
      </w:r>
      <w:r w:rsidRPr="003015FD">
        <w:t>lives.</w:t>
      </w:r>
      <w:r w:rsidR="00975895" w:rsidRPr="003015FD">
        <w:t xml:space="preserve"> </w:t>
      </w:r>
    </w:p>
    <w:p w14:paraId="2C9AED26" w14:textId="59E86E12" w:rsidR="008E0945" w:rsidRPr="003015FD" w:rsidRDefault="008E0945" w:rsidP="0002642E">
      <w:r w:rsidRPr="003015FD">
        <w:t>The</w:t>
      </w:r>
      <w:r w:rsidR="00975895" w:rsidRPr="003015FD">
        <w:t xml:space="preserve"> </w:t>
      </w:r>
      <w:r w:rsidRPr="003015FD">
        <w:t>Charter</w:t>
      </w:r>
      <w:r w:rsidR="00975895" w:rsidRPr="003015FD">
        <w:t xml:space="preserve"> </w:t>
      </w:r>
      <w:r w:rsidRPr="003015FD">
        <w:t>underpins</w:t>
      </w:r>
      <w:r w:rsidR="00975895" w:rsidRPr="003015FD">
        <w:t xml:space="preserve"> </w:t>
      </w:r>
      <w:r w:rsidRPr="003015FD">
        <w:t>the</w:t>
      </w:r>
      <w:r w:rsidR="00975895" w:rsidRPr="003015FD">
        <w:t xml:space="preserve"> </w:t>
      </w:r>
      <w:r w:rsidRPr="003015FD">
        <w:t>relationship</w:t>
      </w:r>
      <w:r w:rsidR="00975895" w:rsidRPr="003015FD">
        <w:t xml:space="preserve"> </w:t>
      </w:r>
      <w:r w:rsidRPr="003015FD">
        <w:t>between</w:t>
      </w:r>
      <w:r w:rsidR="00975895" w:rsidRPr="003015FD">
        <w:t xml:space="preserve"> </w:t>
      </w:r>
      <w:r w:rsidRPr="003015FD">
        <w:t>the</w:t>
      </w:r>
      <w:r w:rsidR="00975895" w:rsidRPr="003015FD">
        <w:t xml:space="preserve"> </w:t>
      </w:r>
      <w:r w:rsidRPr="003015FD">
        <w:t>Victorian</w:t>
      </w:r>
      <w:r w:rsidR="00975895" w:rsidRPr="003015FD">
        <w:t xml:space="preserve"> </w:t>
      </w:r>
      <w:r w:rsidRPr="003015FD">
        <w:t>Government</w:t>
      </w:r>
      <w:r w:rsidR="00975895" w:rsidRPr="003015FD">
        <w:t xml:space="preserve"> </w:t>
      </w:r>
      <w:r w:rsidRPr="003015FD">
        <w:t>and</w:t>
      </w:r>
      <w:r w:rsidR="00975895" w:rsidRPr="003015FD">
        <w:t xml:space="preserve"> </w:t>
      </w:r>
      <w:r w:rsidRPr="003015FD">
        <w:t>the</w:t>
      </w:r>
      <w:r w:rsidR="00975895" w:rsidRPr="003015FD">
        <w:t xml:space="preserve"> </w:t>
      </w:r>
      <w:r w:rsidRPr="003015FD">
        <w:t>Victorian</w:t>
      </w:r>
      <w:r w:rsidR="00975895" w:rsidRPr="003015FD">
        <w:t xml:space="preserve"> </w:t>
      </w:r>
      <w:r w:rsidRPr="003015FD">
        <w:t>community.</w:t>
      </w:r>
      <w:r w:rsidR="00975895" w:rsidRPr="003015FD">
        <w:t xml:space="preserve"> </w:t>
      </w:r>
      <w:r w:rsidRPr="003015FD">
        <w:t>Human</w:t>
      </w:r>
      <w:r w:rsidR="00975895" w:rsidRPr="003015FD">
        <w:t xml:space="preserve"> </w:t>
      </w:r>
      <w:r w:rsidRPr="003015FD">
        <w:t>rights</w:t>
      </w:r>
      <w:r w:rsidR="00975895" w:rsidRPr="003015FD">
        <w:t xml:space="preserve"> </w:t>
      </w:r>
      <w:r w:rsidRPr="003015FD">
        <w:t>are</w:t>
      </w:r>
      <w:r w:rsidR="00975895" w:rsidRPr="003015FD">
        <w:t xml:space="preserve"> </w:t>
      </w:r>
      <w:r w:rsidRPr="003015FD">
        <w:t>also</w:t>
      </w:r>
      <w:r w:rsidR="00975895" w:rsidRPr="003015FD">
        <w:t xml:space="preserve"> </w:t>
      </w:r>
      <w:r w:rsidRPr="003015FD">
        <w:t>expressly</w:t>
      </w:r>
      <w:r w:rsidR="00975895" w:rsidRPr="003015FD">
        <w:t xml:space="preserve"> </w:t>
      </w:r>
      <w:r w:rsidRPr="003015FD">
        <w:t>included</w:t>
      </w:r>
      <w:r w:rsidR="00975895" w:rsidRPr="003015FD">
        <w:t xml:space="preserve"> </w:t>
      </w:r>
      <w:r w:rsidRPr="003015FD">
        <w:t>as</w:t>
      </w:r>
      <w:r w:rsidR="00975895" w:rsidRPr="003015FD">
        <w:t xml:space="preserve"> </w:t>
      </w:r>
      <w:r w:rsidRPr="003015FD">
        <w:t>a</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value,</w:t>
      </w:r>
      <w:r w:rsidRPr="004862C5">
        <w:rPr>
          <w:rStyle w:val="FootnoteReference"/>
        </w:rPr>
        <w:footnoteReference w:id="6"/>
      </w:r>
      <w:r w:rsidR="00975895" w:rsidRPr="003015FD">
        <w:t xml:space="preserve"> </w:t>
      </w:r>
      <w:r w:rsidRPr="003015FD">
        <w:t>and</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employment</w:t>
      </w:r>
      <w:r w:rsidR="00975895" w:rsidRPr="003015FD">
        <w:t xml:space="preserve"> </w:t>
      </w:r>
      <w:r w:rsidRPr="003015FD">
        <w:t>principle.</w:t>
      </w:r>
      <w:r w:rsidRPr="004862C5">
        <w:rPr>
          <w:rStyle w:val="FootnoteReference"/>
        </w:rPr>
        <w:footnoteReference w:id="7"/>
      </w:r>
      <w:r w:rsidR="00975895" w:rsidRPr="003015FD">
        <w:t xml:space="preserve"> </w:t>
      </w:r>
    </w:p>
    <w:p w14:paraId="4E8894AF" w14:textId="744C533C" w:rsidR="008E0945" w:rsidRPr="003015FD" w:rsidRDefault="008E0945" w:rsidP="00CF778C">
      <w:pPr>
        <w:pStyle w:val="Heading4"/>
      </w:pPr>
      <w:bookmarkStart w:id="18" w:name="_Toc519497290"/>
      <w:bookmarkStart w:id="19" w:name="_Toc522635144"/>
      <w:bookmarkStart w:id="20" w:name="_Toc522697021"/>
      <w:bookmarkStart w:id="21" w:name="_Toc15045092"/>
      <w:r w:rsidRPr="003015FD">
        <w:t>Human</w:t>
      </w:r>
      <w:r w:rsidR="00975895" w:rsidRPr="003015FD">
        <w:t xml:space="preserve"> </w:t>
      </w:r>
      <w:r w:rsidRPr="003015FD">
        <w:t>rights</w:t>
      </w:r>
      <w:r w:rsidR="00975895" w:rsidRPr="003015FD">
        <w:t xml:space="preserve"> </w:t>
      </w:r>
      <w:r w:rsidRPr="003015FD">
        <w:t>protected</w:t>
      </w:r>
      <w:r w:rsidR="00975895" w:rsidRPr="003015FD">
        <w:t xml:space="preserve"> </w:t>
      </w:r>
      <w:r w:rsidRPr="003015FD">
        <w:t>by</w:t>
      </w:r>
      <w:r w:rsidR="00975895" w:rsidRPr="003015FD">
        <w:t xml:space="preserve"> </w:t>
      </w:r>
      <w:r w:rsidRPr="003015FD">
        <w:t>the</w:t>
      </w:r>
      <w:r w:rsidR="00975895" w:rsidRPr="003015FD">
        <w:t xml:space="preserve"> </w:t>
      </w:r>
      <w:r w:rsidRPr="003015FD">
        <w:t>Charter</w:t>
      </w:r>
      <w:bookmarkEnd w:id="18"/>
      <w:bookmarkEnd w:id="19"/>
      <w:bookmarkEnd w:id="20"/>
      <w:bookmarkEnd w:id="21"/>
    </w:p>
    <w:tbl>
      <w:tblPr>
        <w:tblStyle w:val="CustomTableblue"/>
        <w:tblW w:w="0" w:type="auto"/>
        <w:tblLayout w:type="fixed"/>
        <w:tblLook w:val="0420" w:firstRow="1" w:lastRow="0" w:firstColumn="0" w:lastColumn="0" w:noHBand="0" w:noVBand="1"/>
      </w:tblPr>
      <w:tblGrid>
        <w:gridCol w:w="1555"/>
        <w:gridCol w:w="7506"/>
      </w:tblGrid>
      <w:tr w:rsidR="008E0945" w:rsidRPr="003015FD" w14:paraId="303088B7" w14:textId="77777777" w:rsidTr="0002642E">
        <w:trPr>
          <w:cnfStyle w:val="100000000000" w:firstRow="1" w:lastRow="0" w:firstColumn="0" w:lastColumn="0" w:oddVBand="0" w:evenVBand="0" w:oddHBand="0" w:evenHBand="0" w:firstRowFirstColumn="0" w:firstRowLastColumn="0" w:lastRowFirstColumn="0" w:lastRowLastColumn="0"/>
        </w:trPr>
        <w:tc>
          <w:tcPr>
            <w:tcW w:w="9061" w:type="dxa"/>
            <w:gridSpan w:val="2"/>
          </w:tcPr>
          <w:p w14:paraId="68BCDB28" w14:textId="2F22109F" w:rsidR="008E0945" w:rsidRPr="003015FD" w:rsidRDefault="008E0945" w:rsidP="00A96204">
            <w:pPr>
              <w:pStyle w:val="TableBodyText"/>
            </w:pPr>
            <w:r w:rsidRPr="0002642E">
              <w:rPr>
                <w:color w:val="auto"/>
              </w:rPr>
              <w:t>The</w:t>
            </w:r>
            <w:r w:rsidR="00975895" w:rsidRPr="0002642E">
              <w:rPr>
                <w:color w:val="auto"/>
              </w:rPr>
              <w:t xml:space="preserve"> </w:t>
            </w:r>
            <w:r w:rsidRPr="0002642E">
              <w:rPr>
                <w:color w:val="auto"/>
              </w:rPr>
              <w:t>Charter</w:t>
            </w:r>
            <w:r w:rsidR="00975895" w:rsidRPr="0002642E">
              <w:rPr>
                <w:color w:val="auto"/>
              </w:rPr>
              <w:t xml:space="preserve"> </w:t>
            </w:r>
            <w:r w:rsidRPr="0002642E">
              <w:rPr>
                <w:color w:val="auto"/>
              </w:rPr>
              <w:t>protects</w:t>
            </w:r>
            <w:r w:rsidR="00975895" w:rsidRPr="0002642E">
              <w:rPr>
                <w:color w:val="auto"/>
              </w:rPr>
              <w:t xml:space="preserve"> </w:t>
            </w:r>
            <w:r w:rsidRPr="0002642E">
              <w:rPr>
                <w:color w:val="auto"/>
              </w:rPr>
              <w:t>20</w:t>
            </w:r>
            <w:r w:rsidR="00975895" w:rsidRPr="0002642E">
              <w:rPr>
                <w:color w:val="auto"/>
              </w:rPr>
              <w:t xml:space="preserve"> </w:t>
            </w:r>
            <w:r w:rsidRPr="0002642E">
              <w:rPr>
                <w:color w:val="auto"/>
              </w:rPr>
              <w:t>basic</w:t>
            </w:r>
            <w:r w:rsidR="00975895" w:rsidRPr="0002642E">
              <w:rPr>
                <w:color w:val="auto"/>
              </w:rPr>
              <w:t xml:space="preserve"> </w:t>
            </w:r>
            <w:r w:rsidRPr="0002642E">
              <w:rPr>
                <w:color w:val="auto"/>
              </w:rPr>
              <w:t>rights</w:t>
            </w:r>
            <w:r w:rsidR="00975895" w:rsidRPr="0002642E">
              <w:rPr>
                <w:color w:val="auto"/>
              </w:rPr>
              <w:t xml:space="preserve"> </w:t>
            </w:r>
            <w:r w:rsidRPr="0002642E">
              <w:rPr>
                <w:color w:val="auto"/>
              </w:rPr>
              <w:t>and</w:t>
            </w:r>
            <w:r w:rsidR="00975895" w:rsidRPr="0002642E">
              <w:rPr>
                <w:color w:val="auto"/>
              </w:rPr>
              <w:t xml:space="preserve"> </w:t>
            </w:r>
            <w:r w:rsidRPr="0002642E">
              <w:rPr>
                <w:color w:val="auto"/>
              </w:rPr>
              <w:t>freedoms</w:t>
            </w:r>
            <w:r w:rsidR="00975895" w:rsidRPr="0002642E">
              <w:rPr>
                <w:color w:val="auto"/>
              </w:rPr>
              <w:t xml:space="preserve"> </w:t>
            </w:r>
            <w:r w:rsidRPr="0002642E">
              <w:rPr>
                <w:color w:val="auto"/>
              </w:rPr>
              <w:t>in</w:t>
            </w:r>
            <w:r w:rsidR="00975895" w:rsidRPr="0002642E">
              <w:rPr>
                <w:color w:val="auto"/>
              </w:rPr>
              <w:t xml:space="preserve"> </w:t>
            </w:r>
            <w:r w:rsidRPr="0002642E">
              <w:rPr>
                <w:color w:val="auto"/>
              </w:rPr>
              <w:t>Victoria</w:t>
            </w:r>
          </w:p>
        </w:tc>
      </w:tr>
      <w:tr w:rsidR="008E0945" w:rsidRPr="003015FD" w14:paraId="7AD5E2AF" w14:textId="77777777" w:rsidTr="0002642E">
        <w:trPr>
          <w:cnfStyle w:val="000000100000" w:firstRow="0" w:lastRow="0" w:firstColumn="0" w:lastColumn="0" w:oddVBand="0" w:evenVBand="0" w:oddHBand="1" w:evenHBand="0" w:firstRowFirstColumn="0" w:firstRowLastColumn="0" w:lastRowFirstColumn="0" w:lastRowLastColumn="0"/>
        </w:trPr>
        <w:tc>
          <w:tcPr>
            <w:tcW w:w="1555" w:type="dxa"/>
          </w:tcPr>
          <w:p w14:paraId="50F99FA2" w14:textId="69A6AE8D" w:rsidR="008E0945" w:rsidRPr="003015FD" w:rsidRDefault="008E0945" w:rsidP="0002642E">
            <w:pPr>
              <w:pStyle w:val="TableBodyText"/>
            </w:pPr>
            <w:r w:rsidRPr="0002642E">
              <w:t>Section</w:t>
            </w:r>
            <w:r w:rsidR="00975895" w:rsidRPr="0002642E">
              <w:rPr>
                <w:rStyle w:val="VEOHRCBold"/>
                <w:rFonts w:ascii="Arial" w:hAnsi="Arial"/>
              </w:rPr>
              <w:t xml:space="preserve"> </w:t>
            </w:r>
            <w:r w:rsidRPr="0002642E">
              <w:rPr>
                <w:rStyle w:val="VEOHRCBold"/>
                <w:rFonts w:ascii="Arial" w:hAnsi="Arial"/>
              </w:rPr>
              <w:t>8</w:t>
            </w:r>
          </w:p>
        </w:tc>
        <w:tc>
          <w:tcPr>
            <w:tcW w:w="7506" w:type="dxa"/>
          </w:tcPr>
          <w:p w14:paraId="136DEAD0" w14:textId="79B4FF9D" w:rsidR="008E0945" w:rsidRPr="003015FD" w:rsidRDefault="008E0945" w:rsidP="0002642E">
            <w:pPr>
              <w:pStyle w:val="TableBodyText"/>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recognition</w:t>
            </w:r>
            <w:r w:rsidR="00975895" w:rsidRPr="003015FD">
              <w:t xml:space="preserve"> </w:t>
            </w:r>
            <w:r w:rsidRPr="003015FD">
              <w:t>and</w:t>
            </w:r>
            <w:r w:rsidR="00975895" w:rsidRPr="003015FD">
              <w:t xml:space="preserve"> </w:t>
            </w:r>
            <w:r w:rsidRPr="003015FD">
              <w:t>equality</w:t>
            </w:r>
            <w:r w:rsidR="00975895" w:rsidRPr="003015FD">
              <w:t xml:space="preserve"> </w:t>
            </w:r>
            <w:r w:rsidRPr="003015FD">
              <w:t>before</w:t>
            </w:r>
            <w:r w:rsidR="00975895" w:rsidRPr="003015FD">
              <w:t xml:space="preserve"> </w:t>
            </w:r>
            <w:r w:rsidRPr="003015FD">
              <w:t>the</w:t>
            </w:r>
            <w:r w:rsidR="00975895" w:rsidRPr="003015FD">
              <w:t xml:space="preserve"> </w:t>
            </w:r>
            <w:r w:rsidRPr="003015FD">
              <w:t>law</w:t>
            </w:r>
          </w:p>
        </w:tc>
      </w:tr>
      <w:tr w:rsidR="008E0945" w:rsidRPr="003015FD" w14:paraId="0FF75556" w14:textId="77777777" w:rsidTr="0002642E">
        <w:trPr>
          <w:cnfStyle w:val="000000010000" w:firstRow="0" w:lastRow="0" w:firstColumn="0" w:lastColumn="0" w:oddVBand="0" w:evenVBand="0" w:oddHBand="0" w:evenHBand="1" w:firstRowFirstColumn="0" w:firstRowLastColumn="0" w:lastRowFirstColumn="0" w:lastRowLastColumn="0"/>
        </w:trPr>
        <w:tc>
          <w:tcPr>
            <w:tcW w:w="1555" w:type="dxa"/>
          </w:tcPr>
          <w:p w14:paraId="7A664B75" w14:textId="53F515A2" w:rsidR="008E0945" w:rsidRPr="003015FD" w:rsidRDefault="008E0945" w:rsidP="0002642E">
            <w:pPr>
              <w:pStyle w:val="TableBodyText"/>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9</w:t>
            </w:r>
          </w:p>
        </w:tc>
        <w:tc>
          <w:tcPr>
            <w:tcW w:w="7506" w:type="dxa"/>
          </w:tcPr>
          <w:p w14:paraId="4169B952" w14:textId="28F0BBC1" w:rsidR="008E0945" w:rsidRPr="003015FD" w:rsidRDefault="008E0945" w:rsidP="0002642E">
            <w:pPr>
              <w:pStyle w:val="TableBodyText"/>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life</w:t>
            </w:r>
          </w:p>
        </w:tc>
      </w:tr>
      <w:tr w:rsidR="008E0945" w:rsidRPr="003015FD" w14:paraId="6AD4F5D2" w14:textId="77777777" w:rsidTr="0002642E">
        <w:trPr>
          <w:cnfStyle w:val="000000100000" w:firstRow="0" w:lastRow="0" w:firstColumn="0" w:lastColumn="0" w:oddVBand="0" w:evenVBand="0" w:oddHBand="1" w:evenHBand="0" w:firstRowFirstColumn="0" w:firstRowLastColumn="0" w:lastRowFirstColumn="0" w:lastRowLastColumn="0"/>
        </w:trPr>
        <w:tc>
          <w:tcPr>
            <w:tcW w:w="1555" w:type="dxa"/>
          </w:tcPr>
          <w:p w14:paraId="1E916FDA" w14:textId="0DF9057C" w:rsidR="008E0945" w:rsidRPr="003015FD" w:rsidRDefault="008E0945" w:rsidP="0002642E">
            <w:pPr>
              <w:pStyle w:val="TableBodyText"/>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10</w:t>
            </w:r>
          </w:p>
        </w:tc>
        <w:tc>
          <w:tcPr>
            <w:tcW w:w="7506" w:type="dxa"/>
          </w:tcPr>
          <w:p w14:paraId="4C7CCD18" w14:textId="3FF5D7D2" w:rsidR="008E0945" w:rsidRPr="003015FD" w:rsidRDefault="008E0945" w:rsidP="0002642E">
            <w:pPr>
              <w:pStyle w:val="TableBodyText"/>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protection</w:t>
            </w:r>
            <w:r w:rsidR="00975895" w:rsidRPr="003015FD">
              <w:t xml:space="preserve"> </w:t>
            </w:r>
            <w:r w:rsidRPr="003015FD">
              <w:t>from</w:t>
            </w:r>
            <w:r w:rsidR="00975895" w:rsidRPr="003015FD">
              <w:t xml:space="preserve"> </w:t>
            </w:r>
            <w:r w:rsidRPr="003015FD">
              <w:t>torture</w:t>
            </w:r>
            <w:r w:rsidR="00975895" w:rsidRPr="003015FD">
              <w:t xml:space="preserve"> </w:t>
            </w:r>
            <w:r w:rsidRPr="003015FD">
              <w:t>and</w:t>
            </w:r>
            <w:r w:rsidR="00975895" w:rsidRPr="003015FD">
              <w:t xml:space="preserve"> </w:t>
            </w:r>
            <w:r w:rsidRPr="003015FD">
              <w:t>cruel,</w:t>
            </w:r>
            <w:r w:rsidR="00975895" w:rsidRPr="003015FD">
              <w:t xml:space="preserve"> </w:t>
            </w:r>
            <w:r w:rsidRPr="003015FD">
              <w:t>inhuman</w:t>
            </w:r>
            <w:r w:rsidR="00975895" w:rsidRPr="003015FD">
              <w:t xml:space="preserve"> </w:t>
            </w:r>
            <w:r w:rsidRPr="003015FD">
              <w:t>or</w:t>
            </w:r>
            <w:r w:rsidR="00975895" w:rsidRPr="003015FD">
              <w:t xml:space="preserve"> </w:t>
            </w:r>
            <w:r w:rsidRPr="003015FD">
              <w:t>degrading</w:t>
            </w:r>
            <w:r w:rsidR="00975895" w:rsidRPr="003015FD">
              <w:t xml:space="preserve"> </w:t>
            </w:r>
            <w:r w:rsidRPr="003015FD">
              <w:t>treatment</w:t>
            </w:r>
          </w:p>
        </w:tc>
      </w:tr>
      <w:tr w:rsidR="008E0945" w:rsidRPr="003015FD" w14:paraId="6314590A" w14:textId="77777777" w:rsidTr="0002642E">
        <w:trPr>
          <w:cnfStyle w:val="000000010000" w:firstRow="0" w:lastRow="0" w:firstColumn="0" w:lastColumn="0" w:oddVBand="0" w:evenVBand="0" w:oddHBand="0" w:evenHBand="1" w:firstRowFirstColumn="0" w:firstRowLastColumn="0" w:lastRowFirstColumn="0" w:lastRowLastColumn="0"/>
        </w:trPr>
        <w:tc>
          <w:tcPr>
            <w:tcW w:w="1555" w:type="dxa"/>
          </w:tcPr>
          <w:p w14:paraId="06E76CE8" w14:textId="2F015DB2" w:rsidR="008E0945" w:rsidRPr="0002642E" w:rsidRDefault="008E0945" w:rsidP="0002642E">
            <w:pPr>
              <w:pStyle w:val="TableBodyText"/>
              <w:rPr>
                <w:rStyle w:val="VEOHRCBold"/>
                <w:rFonts w:ascii="Arial" w:hAnsi="Arial"/>
              </w:rPr>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11</w:t>
            </w:r>
          </w:p>
        </w:tc>
        <w:tc>
          <w:tcPr>
            <w:tcW w:w="7506" w:type="dxa"/>
          </w:tcPr>
          <w:p w14:paraId="7749BE3E" w14:textId="79688D3F" w:rsidR="008E0945" w:rsidRPr="0002642E" w:rsidRDefault="008E0945" w:rsidP="0002642E">
            <w:pPr>
              <w:pStyle w:val="TableBodyText"/>
              <w:rPr>
                <w:rStyle w:val="VEOHRCBold"/>
                <w:rFonts w:ascii="Arial" w:hAnsi="Arial"/>
              </w:rPr>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from</w:t>
            </w:r>
            <w:r w:rsidR="00975895" w:rsidRPr="003015FD">
              <w:t xml:space="preserve"> </w:t>
            </w:r>
            <w:r w:rsidRPr="003015FD">
              <w:t>forced</w:t>
            </w:r>
            <w:r w:rsidR="00975895" w:rsidRPr="003015FD">
              <w:t xml:space="preserve"> </w:t>
            </w:r>
            <w:r w:rsidRPr="003015FD">
              <w:t>work</w:t>
            </w:r>
          </w:p>
        </w:tc>
      </w:tr>
      <w:tr w:rsidR="008E0945" w:rsidRPr="003015FD" w14:paraId="3095B986" w14:textId="77777777" w:rsidTr="0002642E">
        <w:trPr>
          <w:cnfStyle w:val="000000100000" w:firstRow="0" w:lastRow="0" w:firstColumn="0" w:lastColumn="0" w:oddVBand="0" w:evenVBand="0" w:oddHBand="1" w:evenHBand="0" w:firstRowFirstColumn="0" w:firstRowLastColumn="0" w:lastRowFirstColumn="0" w:lastRowLastColumn="0"/>
        </w:trPr>
        <w:tc>
          <w:tcPr>
            <w:tcW w:w="1555" w:type="dxa"/>
          </w:tcPr>
          <w:p w14:paraId="1EA8D30A" w14:textId="7AA36354" w:rsidR="008E0945" w:rsidRPr="0002642E" w:rsidRDefault="008E0945" w:rsidP="0002642E">
            <w:pPr>
              <w:pStyle w:val="TableBodyText"/>
              <w:rPr>
                <w:rStyle w:val="VEOHRCBold"/>
                <w:rFonts w:ascii="Arial" w:hAnsi="Arial"/>
              </w:rPr>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12</w:t>
            </w:r>
          </w:p>
        </w:tc>
        <w:tc>
          <w:tcPr>
            <w:tcW w:w="7506" w:type="dxa"/>
          </w:tcPr>
          <w:p w14:paraId="4DB4EA84" w14:textId="2255CCED" w:rsidR="008E0945" w:rsidRPr="0002642E" w:rsidRDefault="008E0945" w:rsidP="0002642E">
            <w:pPr>
              <w:pStyle w:val="TableBodyText"/>
              <w:rPr>
                <w:rStyle w:val="VEOHRCBold"/>
                <w:rFonts w:ascii="Arial" w:hAnsi="Arial"/>
              </w:rPr>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movement</w:t>
            </w:r>
          </w:p>
        </w:tc>
      </w:tr>
      <w:tr w:rsidR="008E0945" w:rsidRPr="003015FD" w14:paraId="71D3E171" w14:textId="77777777" w:rsidTr="0002642E">
        <w:trPr>
          <w:cnfStyle w:val="000000010000" w:firstRow="0" w:lastRow="0" w:firstColumn="0" w:lastColumn="0" w:oddVBand="0" w:evenVBand="0" w:oddHBand="0" w:evenHBand="1" w:firstRowFirstColumn="0" w:firstRowLastColumn="0" w:lastRowFirstColumn="0" w:lastRowLastColumn="0"/>
        </w:trPr>
        <w:tc>
          <w:tcPr>
            <w:tcW w:w="1555" w:type="dxa"/>
          </w:tcPr>
          <w:p w14:paraId="7AFB0EE9" w14:textId="25B5B579" w:rsidR="008E0945" w:rsidRPr="003015FD" w:rsidRDefault="008E0945" w:rsidP="0002642E">
            <w:pPr>
              <w:pStyle w:val="TableBodyText"/>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13</w:t>
            </w:r>
          </w:p>
        </w:tc>
        <w:tc>
          <w:tcPr>
            <w:tcW w:w="7506" w:type="dxa"/>
          </w:tcPr>
          <w:p w14:paraId="0C77FA8E" w14:textId="7E3F2C9C" w:rsidR="008E0945" w:rsidRPr="003015FD" w:rsidRDefault="008E0945" w:rsidP="0002642E">
            <w:pPr>
              <w:pStyle w:val="TableBodyText"/>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privacy</w:t>
            </w:r>
            <w:r w:rsidR="00975895" w:rsidRPr="003015FD">
              <w:t xml:space="preserve"> </w:t>
            </w:r>
            <w:r w:rsidRPr="003015FD">
              <w:t>and</w:t>
            </w:r>
            <w:r w:rsidR="00975895" w:rsidRPr="003015FD">
              <w:t xml:space="preserve"> </w:t>
            </w:r>
            <w:r w:rsidRPr="003015FD">
              <w:t>reputation</w:t>
            </w:r>
          </w:p>
        </w:tc>
      </w:tr>
      <w:tr w:rsidR="008E0945" w:rsidRPr="003015FD" w14:paraId="4CCFB3CE" w14:textId="77777777" w:rsidTr="0002642E">
        <w:trPr>
          <w:cnfStyle w:val="000000100000" w:firstRow="0" w:lastRow="0" w:firstColumn="0" w:lastColumn="0" w:oddVBand="0" w:evenVBand="0" w:oddHBand="1" w:evenHBand="0" w:firstRowFirstColumn="0" w:firstRowLastColumn="0" w:lastRowFirstColumn="0" w:lastRowLastColumn="0"/>
        </w:trPr>
        <w:tc>
          <w:tcPr>
            <w:tcW w:w="1555" w:type="dxa"/>
          </w:tcPr>
          <w:p w14:paraId="687C8D4E" w14:textId="73FD17A8" w:rsidR="008E0945" w:rsidRPr="0002642E" w:rsidRDefault="008E0945" w:rsidP="0002642E">
            <w:pPr>
              <w:pStyle w:val="TableBodyText"/>
              <w:rPr>
                <w:rStyle w:val="VEOHRCBold"/>
                <w:rFonts w:ascii="Arial" w:hAnsi="Arial"/>
              </w:rPr>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14</w:t>
            </w:r>
          </w:p>
        </w:tc>
        <w:tc>
          <w:tcPr>
            <w:tcW w:w="7506" w:type="dxa"/>
          </w:tcPr>
          <w:p w14:paraId="0D45E0DA" w14:textId="5602F577" w:rsidR="008E0945" w:rsidRPr="0002642E" w:rsidRDefault="008E0945" w:rsidP="0002642E">
            <w:pPr>
              <w:pStyle w:val="TableBodyText"/>
              <w:rPr>
                <w:rStyle w:val="VEOHRCBold"/>
                <w:rFonts w:ascii="Arial" w:hAnsi="Arial"/>
              </w:rPr>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thought,</w:t>
            </w:r>
            <w:r w:rsidR="00975895" w:rsidRPr="003015FD">
              <w:t xml:space="preserve"> </w:t>
            </w:r>
            <w:r w:rsidRPr="003015FD">
              <w:t>conscience,</w:t>
            </w:r>
            <w:r w:rsidR="00975895" w:rsidRPr="003015FD">
              <w:t xml:space="preserve"> </w:t>
            </w:r>
            <w:r w:rsidRPr="003015FD">
              <w:t>religion</w:t>
            </w:r>
            <w:r w:rsidR="00975895" w:rsidRPr="003015FD">
              <w:t xml:space="preserve"> </w:t>
            </w:r>
            <w:r w:rsidRPr="003015FD">
              <w:t>and</w:t>
            </w:r>
            <w:r w:rsidR="00975895" w:rsidRPr="003015FD">
              <w:t xml:space="preserve"> </w:t>
            </w:r>
            <w:r w:rsidRPr="003015FD">
              <w:t>belief</w:t>
            </w:r>
          </w:p>
        </w:tc>
      </w:tr>
      <w:tr w:rsidR="008E0945" w:rsidRPr="003015FD" w14:paraId="7CBCE78E" w14:textId="77777777" w:rsidTr="0002642E">
        <w:trPr>
          <w:cnfStyle w:val="000000010000" w:firstRow="0" w:lastRow="0" w:firstColumn="0" w:lastColumn="0" w:oddVBand="0" w:evenVBand="0" w:oddHBand="0" w:evenHBand="1" w:firstRowFirstColumn="0" w:firstRowLastColumn="0" w:lastRowFirstColumn="0" w:lastRowLastColumn="0"/>
        </w:trPr>
        <w:tc>
          <w:tcPr>
            <w:tcW w:w="1555" w:type="dxa"/>
          </w:tcPr>
          <w:p w14:paraId="5731D0E8" w14:textId="04823E4D" w:rsidR="008E0945" w:rsidRPr="0002642E" w:rsidRDefault="008E0945" w:rsidP="0002642E">
            <w:pPr>
              <w:pStyle w:val="TableBodyText"/>
              <w:rPr>
                <w:rStyle w:val="VEOHRCBold"/>
                <w:rFonts w:ascii="Arial" w:hAnsi="Arial"/>
              </w:rPr>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15</w:t>
            </w:r>
          </w:p>
        </w:tc>
        <w:tc>
          <w:tcPr>
            <w:tcW w:w="7506" w:type="dxa"/>
          </w:tcPr>
          <w:p w14:paraId="2D2843C7" w14:textId="03DDF8FD" w:rsidR="008E0945" w:rsidRPr="0002642E" w:rsidRDefault="008E0945" w:rsidP="0002642E">
            <w:pPr>
              <w:pStyle w:val="TableBodyText"/>
              <w:rPr>
                <w:rStyle w:val="VEOHRCBold"/>
                <w:rFonts w:ascii="Arial" w:hAnsi="Arial"/>
              </w:rPr>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expression</w:t>
            </w:r>
          </w:p>
        </w:tc>
      </w:tr>
      <w:tr w:rsidR="008E0945" w:rsidRPr="003015FD" w14:paraId="5FA95076" w14:textId="77777777" w:rsidTr="0002642E">
        <w:trPr>
          <w:cnfStyle w:val="000000100000" w:firstRow="0" w:lastRow="0" w:firstColumn="0" w:lastColumn="0" w:oddVBand="0" w:evenVBand="0" w:oddHBand="1" w:evenHBand="0" w:firstRowFirstColumn="0" w:firstRowLastColumn="0" w:lastRowFirstColumn="0" w:lastRowLastColumn="0"/>
        </w:trPr>
        <w:tc>
          <w:tcPr>
            <w:tcW w:w="1555" w:type="dxa"/>
          </w:tcPr>
          <w:p w14:paraId="760C309D" w14:textId="73379119" w:rsidR="008E0945" w:rsidRPr="0002642E" w:rsidRDefault="008E0945" w:rsidP="0002642E">
            <w:pPr>
              <w:pStyle w:val="TableBodyText"/>
              <w:rPr>
                <w:rStyle w:val="VEOHRCBold"/>
                <w:rFonts w:ascii="Arial" w:hAnsi="Arial"/>
              </w:rPr>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16</w:t>
            </w:r>
          </w:p>
        </w:tc>
        <w:tc>
          <w:tcPr>
            <w:tcW w:w="7506" w:type="dxa"/>
          </w:tcPr>
          <w:p w14:paraId="4CB1E4F4" w14:textId="174E2561" w:rsidR="008E0945" w:rsidRPr="0002642E" w:rsidRDefault="008E0945" w:rsidP="0002642E">
            <w:pPr>
              <w:pStyle w:val="TableBodyText"/>
              <w:rPr>
                <w:rStyle w:val="VEOHRCBold"/>
                <w:rFonts w:ascii="Arial" w:hAnsi="Arial"/>
              </w:rPr>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peaceful</w:t>
            </w:r>
            <w:r w:rsidR="00975895" w:rsidRPr="003015FD">
              <w:t xml:space="preserve"> </w:t>
            </w:r>
            <w:r w:rsidRPr="003015FD">
              <w:t>assembly</w:t>
            </w:r>
            <w:r w:rsidR="00975895" w:rsidRPr="003015FD">
              <w:t xml:space="preserve"> </w:t>
            </w:r>
            <w:r w:rsidRPr="003015FD">
              <w:t>and</w:t>
            </w:r>
            <w:r w:rsidR="00975895" w:rsidRPr="003015FD">
              <w:t xml:space="preserve"> </w:t>
            </w:r>
            <w:r w:rsidRPr="003015FD">
              <w:t>freedom</w:t>
            </w:r>
            <w:r w:rsidR="00975895" w:rsidRPr="003015FD">
              <w:t xml:space="preserve"> </w:t>
            </w:r>
            <w:r w:rsidRPr="003015FD">
              <w:t>of</w:t>
            </w:r>
            <w:r w:rsidR="00975895" w:rsidRPr="003015FD">
              <w:t xml:space="preserve"> </w:t>
            </w:r>
            <w:r w:rsidRPr="003015FD">
              <w:t>association</w:t>
            </w:r>
          </w:p>
        </w:tc>
      </w:tr>
      <w:tr w:rsidR="008E0945" w:rsidRPr="003015FD" w14:paraId="4837BCBE" w14:textId="77777777" w:rsidTr="0002642E">
        <w:trPr>
          <w:cnfStyle w:val="000000010000" w:firstRow="0" w:lastRow="0" w:firstColumn="0" w:lastColumn="0" w:oddVBand="0" w:evenVBand="0" w:oddHBand="0" w:evenHBand="1" w:firstRowFirstColumn="0" w:firstRowLastColumn="0" w:lastRowFirstColumn="0" w:lastRowLastColumn="0"/>
        </w:trPr>
        <w:tc>
          <w:tcPr>
            <w:tcW w:w="1555" w:type="dxa"/>
          </w:tcPr>
          <w:p w14:paraId="7D80A750" w14:textId="1A197AB4" w:rsidR="008E0945" w:rsidRPr="0002642E" w:rsidRDefault="008E0945" w:rsidP="0002642E">
            <w:pPr>
              <w:pStyle w:val="TableBodyText"/>
              <w:rPr>
                <w:rStyle w:val="VEOHRCBold"/>
                <w:rFonts w:ascii="Arial" w:hAnsi="Arial"/>
              </w:rPr>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17</w:t>
            </w:r>
          </w:p>
        </w:tc>
        <w:tc>
          <w:tcPr>
            <w:tcW w:w="7506" w:type="dxa"/>
          </w:tcPr>
          <w:p w14:paraId="4B9FB035" w14:textId="5D9FFF24" w:rsidR="008E0945" w:rsidRPr="0002642E" w:rsidRDefault="008E0945" w:rsidP="0002642E">
            <w:pPr>
              <w:pStyle w:val="TableBodyText"/>
              <w:rPr>
                <w:rStyle w:val="VEOHRCBold"/>
                <w:rFonts w:ascii="Arial" w:hAnsi="Arial"/>
              </w:rPr>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protection</w:t>
            </w:r>
            <w:r w:rsidR="00975895" w:rsidRPr="003015FD">
              <w:t xml:space="preserve"> </w:t>
            </w:r>
            <w:r w:rsidRPr="003015FD">
              <w:t>of</w:t>
            </w:r>
            <w:r w:rsidR="00975895" w:rsidRPr="003015FD">
              <w:t xml:space="preserve"> </w:t>
            </w:r>
            <w:r w:rsidRPr="003015FD">
              <w:t>families</w:t>
            </w:r>
            <w:r w:rsidR="00975895" w:rsidRPr="003015FD">
              <w:t xml:space="preserve"> </w:t>
            </w:r>
            <w:r w:rsidRPr="003015FD">
              <w:t>and</w:t>
            </w:r>
            <w:r w:rsidR="00975895" w:rsidRPr="003015FD">
              <w:t xml:space="preserve"> </w:t>
            </w:r>
            <w:r w:rsidRPr="003015FD">
              <w:t>children</w:t>
            </w:r>
          </w:p>
        </w:tc>
      </w:tr>
      <w:tr w:rsidR="008E0945" w:rsidRPr="003015FD" w14:paraId="66C58787" w14:textId="77777777" w:rsidTr="0002642E">
        <w:trPr>
          <w:cnfStyle w:val="000000100000" w:firstRow="0" w:lastRow="0" w:firstColumn="0" w:lastColumn="0" w:oddVBand="0" w:evenVBand="0" w:oddHBand="1" w:evenHBand="0" w:firstRowFirstColumn="0" w:firstRowLastColumn="0" w:lastRowFirstColumn="0" w:lastRowLastColumn="0"/>
        </w:trPr>
        <w:tc>
          <w:tcPr>
            <w:tcW w:w="1555" w:type="dxa"/>
          </w:tcPr>
          <w:p w14:paraId="1D50968C" w14:textId="0CC6796E" w:rsidR="008E0945" w:rsidRPr="003015FD" w:rsidRDefault="008E0945" w:rsidP="0002642E">
            <w:pPr>
              <w:pStyle w:val="TableBodyText"/>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18</w:t>
            </w:r>
          </w:p>
        </w:tc>
        <w:tc>
          <w:tcPr>
            <w:tcW w:w="7506" w:type="dxa"/>
          </w:tcPr>
          <w:p w14:paraId="37AC4450" w14:textId="68392FD6" w:rsidR="008E0945" w:rsidRPr="003015FD" w:rsidRDefault="008E0945" w:rsidP="0002642E">
            <w:pPr>
              <w:pStyle w:val="TableBodyText"/>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take</w:t>
            </w:r>
            <w:r w:rsidR="00975895" w:rsidRPr="003015FD">
              <w:t xml:space="preserve"> </w:t>
            </w:r>
            <w:r w:rsidRPr="003015FD">
              <w:t>part</w:t>
            </w:r>
            <w:r w:rsidR="00975895" w:rsidRPr="003015FD">
              <w:t xml:space="preserve"> </w:t>
            </w:r>
            <w:r w:rsidRPr="003015FD">
              <w:t>in</w:t>
            </w:r>
            <w:r w:rsidR="00975895" w:rsidRPr="003015FD">
              <w:t xml:space="preserve"> </w:t>
            </w:r>
            <w:r w:rsidRPr="003015FD">
              <w:t>public</w:t>
            </w:r>
            <w:r w:rsidR="00975895" w:rsidRPr="003015FD">
              <w:t xml:space="preserve"> </w:t>
            </w:r>
            <w:r w:rsidRPr="003015FD">
              <w:t>life</w:t>
            </w:r>
          </w:p>
        </w:tc>
      </w:tr>
      <w:tr w:rsidR="008E0945" w:rsidRPr="003015FD" w14:paraId="688850FC" w14:textId="77777777" w:rsidTr="0002642E">
        <w:trPr>
          <w:cnfStyle w:val="000000010000" w:firstRow="0" w:lastRow="0" w:firstColumn="0" w:lastColumn="0" w:oddVBand="0" w:evenVBand="0" w:oddHBand="0" w:evenHBand="1" w:firstRowFirstColumn="0" w:firstRowLastColumn="0" w:lastRowFirstColumn="0" w:lastRowLastColumn="0"/>
        </w:trPr>
        <w:tc>
          <w:tcPr>
            <w:tcW w:w="1555" w:type="dxa"/>
          </w:tcPr>
          <w:p w14:paraId="42ED3769" w14:textId="44343D30" w:rsidR="008E0945" w:rsidRPr="003015FD" w:rsidRDefault="008E0945" w:rsidP="0002642E">
            <w:pPr>
              <w:pStyle w:val="TableBodyText"/>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19</w:t>
            </w:r>
          </w:p>
        </w:tc>
        <w:tc>
          <w:tcPr>
            <w:tcW w:w="7506" w:type="dxa"/>
          </w:tcPr>
          <w:p w14:paraId="21738A2B" w14:textId="3059077A" w:rsidR="008E0945" w:rsidRPr="003015FD" w:rsidRDefault="008E0945" w:rsidP="0002642E">
            <w:pPr>
              <w:pStyle w:val="TableBodyText"/>
            </w:pPr>
            <w:r w:rsidRPr="003015FD">
              <w:t>Cultural</w:t>
            </w:r>
            <w:r w:rsidR="00975895" w:rsidRPr="003015FD">
              <w:t xml:space="preserve"> </w:t>
            </w:r>
            <w:r w:rsidRPr="003015FD">
              <w:t>rights,</w:t>
            </w:r>
            <w:r w:rsidR="00975895" w:rsidRPr="003015FD">
              <w:t xml:space="preserve"> </w:t>
            </w:r>
            <w:r w:rsidRPr="003015FD">
              <w:t>including</w:t>
            </w:r>
            <w:r w:rsidR="00975895" w:rsidRPr="003015FD">
              <w:t xml:space="preserve"> </w:t>
            </w:r>
            <w:r w:rsidRPr="003015FD">
              <w:t>Aboriginal</w:t>
            </w:r>
            <w:r w:rsidR="00975895" w:rsidRPr="003015FD">
              <w:t xml:space="preserve"> </w:t>
            </w:r>
            <w:r w:rsidRPr="003015FD">
              <w:t>cultural</w:t>
            </w:r>
            <w:r w:rsidR="00975895" w:rsidRPr="003015FD">
              <w:t xml:space="preserve"> </w:t>
            </w:r>
            <w:r w:rsidRPr="003015FD">
              <w:t>rights</w:t>
            </w:r>
          </w:p>
        </w:tc>
      </w:tr>
      <w:tr w:rsidR="008E0945" w:rsidRPr="003015FD" w14:paraId="515681DA" w14:textId="77777777" w:rsidTr="0002642E">
        <w:trPr>
          <w:cnfStyle w:val="000000100000" w:firstRow="0" w:lastRow="0" w:firstColumn="0" w:lastColumn="0" w:oddVBand="0" w:evenVBand="0" w:oddHBand="1" w:evenHBand="0" w:firstRowFirstColumn="0" w:firstRowLastColumn="0" w:lastRowFirstColumn="0" w:lastRowLastColumn="0"/>
        </w:trPr>
        <w:tc>
          <w:tcPr>
            <w:tcW w:w="1555" w:type="dxa"/>
          </w:tcPr>
          <w:p w14:paraId="5097CAAF" w14:textId="791BE221" w:rsidR="008E0945" w:rsidRPr="003015FD" w:rsidRDefault="008E0945" w:rsidP="0002642E">
            <w:pPr>
              <w:pStyle w:val="TableBodyText"/>
            </w:pPr>
            <w:r w:rsidRPr="0002642E">
              <w:rPr>
                <w:rStyle w:val="VEOHRCBold"/>
                <w:rFonts w:ascii="Arial" w:hAnsi="Arial"/>
              </w:rPr>
              <w:lastRenderedPageBreak/>
              <w:t>Section</w:t>
            </w:r>
            <w:r w:rsidR="00975895" w:rsidRPr="0002642E">
              <w:rPr>
                <w:rStyle w:val="VEOHRCBold"/>
                <w:rFonts w:ascii="Arial" w:hAnsi="Arial"/>
              </w:rPr>
              <w:t xml:space="preserve"> </w:t>
            </w:r>
            <w:r w:rsidRPr="0002642E">
              <w:rPr>
                <w:rStyle w:val="VEOHRCBold"/>
                <w:rFonts w:ascii="Arial" w:hAnsi="Arial"/>
              </w:rPr>
              <w:t>20</w:t>
            </w:r>
          </w:p>
        </w:tc>
        <w:tc>
          <w:tcPr>
            <w:tcW w:w="7506" w:type="dxa"/>
          </w:tcPr>
          <w:p w14:paraId="6A476E11" w14:textId="65352644" w:rsidR="008E0945" w:rsidRPr="003015FD" w:rsidRDefault="008E0945" w:rsidP="0002642E">
            <w:pPr>
              <w:pStyle w:val="TableBodyText"/>
            </w:pPr>
            <w:r w:rsidRPr="003015FD">
              <w:t>Property</w:t>
            </w:r>
            <w:r w:rsidR="00975895" w:rsidRPr="003015FD">
              <w:t xml:space="preserve"> </w:t>
            </w:r>
            <w:r w:rsidRPr="003015FD">
              <w:t>rights</w:t>
            </w:r>
          </w:p>
        </w:tc>
      </w:tr>
      <w:tr w:rsidR="008E0945" w:rsidRPr="003015FD" w14:paraId="6D965E39" w14:textId="77777777" w:rsidTr="0002642E">
        <w:trPr>
          <w:cnfStyle w:val="000000010000" w:firstRow="0" w:lastRow="0" w:firstColumn="0" w:lastColumn="0" w:oddVBand="0" w:evenVBand="0" w:oddHBand="0" w:evenHBand="1" w:firstRowFirstColumn="0" w:firstRowLastColumn="0" w:lastRowFirstColumn="0" w:lastRowLastColumn="0"/>
        </w:trPr>
        <w:tc>
          <w:tcPr>
            <w:tcW w:w="1555" w:type="dxa"/>
          </w:tcPr>
          <w:p w14:paraId="7EC075D0" w14:textId="70E10352" w:rsidR="008E0945" w:rsidRPr="0002642E" w:rsidRDefault="008E0945" w:rsidP="0002642E">
            <w:pPr>
              <w:pStyle w:val="TableBodyText"/>
              <w:rPr>
                <w:rStyle w:val="VEOHRCBold"/>
                <w:rFonts w:ascii="Arial" w:hAnsi="Arial"/>
              </w:rPr>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21</w:t>
            </w:r>
          </w:p>
        </w:tc>
        <w:tc>
          <w:tcPr>
            <w:tcW w:w="7506" w:type="dxa"/>
          </w:tcPr>
          <w:p w14:paraId="3874A2CD" w14:textId="26B6A74F" w:rsidR="008E0945" w:rsidRPr="0002642E" w:rsidRDefault="008E0945" w:rsidP="0002642E">
            <w:pPr>
              <w:pStyle w:val="TableBodyText"/>
              <w:rPr>
                <w:rStyle w:val="VEOHRCBold"/>
                <w:rFonts w:ascii="Arial" w:hAnsi="Arial"/>
              </w:rPr>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liberty</w:t>
            </w:r>
            <w:r w:rsidR="00975895" w:rsidRPr="003015FD">
              <w:t xml:space="preserve"> </w:t>
            </w:r>
            <w:r w:rsidRPr="003015FD">
              <w:t>and</w:t>
            </w:r>
            <w:r w:rsidR="00975895" w:rsidRPr="003015FD">
              <w:t xml:space="preserve"> </w:t>
            </w:r>
            <w:r w:rsidRPr="003015FD">
              <w:t>security</w:t>
            </w:r>
            <w:r w:rsidR="00975895" w:rsidRPr="003015FD">
              <w:t xml:space="preserve"> </w:t>
            </w:r>
            <w:r w:rsidRPr="003015FD">
              <w:t>of</w:t>
            </w:r>
            <w:r w:rsidR="00975895" w:rsidRPr="003015FD">
              <w:t xml:space="preserve"> </w:t>
            </w:r>
            <w:r w:rsidRPr="003015FD">
              <w:t>person</w:t>
            </w:r>
          </w:p>
        </w:tc>
      </w:tr>
      <w:tr w:rsidR="008E0945" w:rsidRPr="003015FD" w14:paraId="18A6B2C9" w14:textId="77777777" w:rsidTr="0002642E">
        <w:trPr>
          <w:cnfStyle w:val="000000100000" w:firstRow="0" w:lastRow="0" w:firstColumn="0" w:lastColumn="0" w:oddVBand="0" w:evenVBand="0" w:oddHBand="1" w:evenHBand="0" w:firstRowFirstColumn="0" w:firstRowLastColumn="0" w:lastRowFirstColumn="0" w:lastRowLastColumn="0"/>
        </w:trPr>
        <w:tc>
          <w:tcPr>
            <w:tcW w:w="1555" w:type="dxa"/>
          </w:tcPr>
          <w:p w14:paraId="3CA9A30C" w14:textId="708101C2" w:rsidR="008E0945" w:rsidRPr="0002642E" w:rsidRDefault="008E0945" w:rsidP="0002642E">
            <w:pPr>
              <w:pStyle w:val="TableBodyText"/>
              <w:rPr>
                <w:rStyle w:val="VEOHRCBold"/>
                <w:rFonts w:ascii="Arial" w:hAnsi="Arial"/>
              </w:rPr>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22</w:t>
            </w:r>
          </w:p>
        </w:tc>
        <w:tc>
          <w:tcPr>
            <w:tcW w:w="7506" w:type="dxa"/>
          </w:tcPr>
          <w:p w14:paraId="52E0E464" w14:textId="5F1AB178" w:rsidR="008E0945" w:rsidRPr="0002642E" w:rsidRDefault="008E0945" w:rsidP="0002642E">
            <w:pPr>
              <w:pStyle w:val="TableBodyText"/>
              <w:rPr>
                <w:rStyle w:val="VEOHRCBold"/>
                <w:rFonts w:ascii="Arial" w:hAnsi="Arial"/>
              </w:rPr>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humane</w:t>
            </w:r>
            <w:r w:rsidR="00975895" w:rsidRPr="003015FD">
              <w:t xml:space="preserve"> </w:t>
            </w:r>
            <w:r w:rsidRPr="003015FD">
              <w:t>treatment</w:t>
            </w:r>
            <w:r w:rsidR="00975895" w:rsidRPr="003015FD">
              <w:t xml:space="preserve"> </w:t>
            </w:r>
            <w:r w:rsidRPr="003015FD">
              <w:t>when</w:t>
            </w:r>
            <w:r w:rsidR="00975895" w:rsidRPr="003015FD">
              <w:t xml:space="preserve"> </w:t>
            </w:r>
            <w:r w:rsidRPr="003015FD">
              <w:t>deprived</w:t>
            </w:r>
            <w:r w:rsidR="00975895" w:rsidRPr="003015FD">
              <w:t xml:space="preserve"> </w:t>
            </w:r>
            <w:r w:rsidRPr="003015FD">
              <w:t>of</w:t>
            </w:r>
            <w:r w:rsidR="00975895" w:rsidRPr="003015FD">
              <w:t xml:space="preserve"> </w:t>
            </w:r>
            <w:r w:rsidRPr="003015FD">
              <w:t>liberty</w:t>
            </w:r>
          </w:p>
        </w:tc>
      </w:tr>
      <w:tr w:rsidR="008E0945" w:rsidRPr="003015FD" w14:paraId="47192DC2" w14:textId="77777777" w:rsidTr="0002642E">
        <w:trPr>
          <w:cnfStyle w:val="000000010000" w:firstRow="0" w:lastRow="0" w:firstColumn="0" w:lastColumn="0" w:oddVBand="0" w:evenVBand="0" w:oddHBand="0" w:evenHBand="1" w:firstRowFirstColumn="0" w:firstRowLastColumn="0" w:lastRowFirstColumn="0" w:lastRowLastColumn="0"/>
        </w:trPr>
        <w:tc>
          <w:tcPr>
            <w:tcW w:w="1555" w:type="dxa"/>
          </w:tcPr>
          <w:p w14:paraId="4E25966B" w14:textId="7BBE4965" w:rsidR="008E0945" w:rsidRPr="0002642E" w:rsidRDefault="008E0945" w:rsidP="0002642E">
            <w:pPr>
              <w:pStyle w:val="TableBodyText"/>
              <w:rPr>
                <w:rStyle w:val="VEOHRCBold"/>
                <w:rFonts w:ascii="Arial" w:hAnsi="Arial"/>
              </w:rPr>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23</w:t>
            </w:r>
          </w:p>
        </w:tc>
        <w:tc>
          <w:tcPr>
            <w:tcW w:w="7506" w:type="dxa"/>
          </w:tcPr>
          <w:p w14:paraId="13087911" w14:textId="7E01AF3D" w:rsidR="008E0945" w:rsidRPr="0002642E" w:rsidRDefault="008E0945" w:rsidP="0002642E">
            <w:pPr>
              <w:pStyle w:val="TableBodyText"/>
              <w:rPr>
                <w:rStyle w:val="VEOHRCBold"/>
                <w:rFonts w:ascii="Arial" w:hAnsi="Arial"/>
              </w:rPr>
            </w:pPr>
            <w:r w:rsidRPr="003015FD">
              <w:t>Rights</w:t>
            </w:r>
            <w:r w:rsidR="00975895" w:rsidRPr="003015FD">
              <w:t xml:space="preserve"> </w:t>
            </w:r>
            <w:r w:rsidRPr="003015FD">
              <w:t>of</w:t>
            </w:r>
            <w:r w:rsidR="00975895" w:rsidRPr="003015FD">
              <w:t xml:space="preserve"> </w:t>
            </w:r>
            <w:r w:rsidRPr="003015FD">
              <w:t>children</w:t>
            </w:r>
            <w:r w:rsidR="00975895" w:rsidRPr="003015FD">
              <w:t xml:space="preserve"> </w:t>
            </w:r>
            <w:r w:rsidRPr="003015FD">
              <w:t>in</w:t>
            </w:r>
            <w:r w:rsidR="00975895" w:rsidRPr="003015FD">
              <w:t xml:space="preserve"> </w:t>
            </w:r>
            <w:r w:rsidRPr="003015FD">
              <w:t>the</w:t>
            </w:r>
            <w:r w:rsidR="00975895" w:rsidRPr="003015FD">
              <w:t xml:space="preserve"> </w:t>
            </w:r>
            <w:r w:rsidRPr="003015FD">
              <w:t>criminal</w:t>
            </w:r>
            <w:r w:rsidR="00975895" w:rsidRPr="003015FD">
              <w:t xml:space="preserve"> </w:t>
            </w:r>
            <w:r w:rsidRPr="003015FD">
              <w:t>process</w:t>
            </w:r>
          </w:p>
        </w:tc>
      </w:tr>
      <w:tr w:rsidR="008E0945" w:rsidRPr="003015FD" w14:paraId="7505E834" w14:textId="77777777" w:rsidTr="0002642E">
        <w:trPr>
          <w:cnfStyle w:val="000000100000" w:firstRow="0" w:lastRow="0" w:firstColumn="0" w:lastColumn="0" w:oddVBand="0" w:evenVBand="0" w:oddHBand="1" w:evenHBand="0" w:firstRowFirstColumn="0" w:firstRowLastColumn="0" w:lastRowFirstColumn="0" w:lastRowLastColumn="0"/>
        </w:trPr>
        <w:tc>
          <w:tcPr>
            <w:tcW w:w="1555" w:type="dxa"/>
          </w:tcPr>
          <w:p w14:paraId="2BFD483D" w14:textId="7AC3D3F0" w:rsidR="008E0945" w:rsidRPr="0002642E" w:rsidRDefault="008E0945" w:rsidP="0002642E">
            <w:pPr>
              <w:pStyle w:val="TableBodyText"/>
              <w:rPr>
                <w:rStyle w:val="VEOHRCBold"/>
                <w:rFonts w:ascii="Arial" w:hAnsi="Arial"/>
              </w:rPr>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24</w:t>
            </w:r>
          </w:p>
        </w:tc>
        <w:tc>
          <w:tcPr>
            <w:tcW w:w="7506" w:type="dxa"/>
          </w:tcPr>
          <w:p w14:paraId="2EC9210E" w14:textId="40AB40DC" w:rsidR="008E0945" w:rsidRPr="0002642E" w:rsidRDefault="008E0945" w:rsidP="0002642E">
            <w:pPr>
              <w:pStyle w:val="TableBodyText"/>
              <w:rPr>
                <w:rStyle w:val="VEOHRCBold"/>
                <w:rFonts w:ascii="Arial" w:hAnsi="Arial"/>
              </w:rPr>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a</w:t>
            </w:r>
            <w:r w:rsidR="00975895" w:rsidRPr="003015FD">
              <w:t xml:space="preserve"> </w:t>
            </w:r>
            <w:r w:rsidRPr="003015FD">
              <w:t>fair</w:t>
            </w:r>
            <w:r w:rsidR="00975895" w:rsidRPr="003015FD">
              <w:t xml:space="preserve"> </w:t>
            </w:r>
            <w:r w:rsidRPr="003015FD">
              <w:t>hearing</w:t>
            </w:r>
          </w:p>
        </w:tc>
      </w:tr>
      <w:tr w:rsidR="008E0945" w:rsidRPr="003015FD" w14:paraId="4B61AE4A" w14:textId="77777777" w:rsidTr="0002642E">
        <w:trPr>
          <w:cnfStyle w:val="000000010000" w:firstRow="0" w:lastRow="0" w:firstColumn="0" w:lastColumn="0" w:oddVBand="0" w:evenVBand="0" w:oddHBand="0" w:evenHBand="1" w:firstRowFirstColumn="0" w:firstRowLastColumn="0" w:lastRowFirstColumn="0" w:lastRowLastColumn="0"/>
        </w:trPr>
        <w:tc>
          <w:tcPr>
            <w:tcW w:w="1555" w:type="dxa"/>
          </w:tcPr>
          <w:p w14:paraId="7EAA1616" w14:textId="3D1FB0CA" w:rsidR="008E0945" w:rsidRPr="003015FD" w:rsidRDefault="008E0945" w:rsidP="0002642E">
            <w:pPr>
              <w:pStyle w:val="TableBodyText"/>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25</w:t>
            </w:r>
          </w:p>
        </w:tc>
        <w:tc>
          <w:tcPr>
            <w:tcW w:w="7506" w:type="dxa"/>
          </w:tcPr>
          <w:p w14:paraId="5E1E4C4A" w14:textId="7DCFEF66" w:rsidR="008E0945" w:rsidRPr="003015FD" w:rsidRDefault="008E0945" w:rsidP="0002642E">
            <w:pPr>
              <w:pStyle w:val="TableBodyText"/>
            </w:pPr>
            <w:r w:rsidRPr="003015FD">
              <w:t>Rights</w:t>
            </w:r>
            <w:r w:rsidR="00975895" w:rsidRPr="003015FD">
              <w:t xml:space="preserve"> </w:t>
            </w:r>
            <w:r w:rsidRPr="003015FD">
              <w:t>in</w:t>
            </w:r>
            <w:r w:rsidR="00975895" w:rsidRPr="003015FD">
              <w:t xml:space="preserve"> </w:t>
            </w:r>
            <w:r w:rsidRPr="003015FD">
              <w:t>criminal</w:t>
            </w:r>
            <w:r w:rsidR="00975895" w:rsidRPr="003015FD">
              <w:t xml:space="preserve"> </w:t>
            </w:r>
            <w:r w:rsidRPr="003015FD">
              <w:t>proceedings</w:t>
            </w:r>
          </w:p>
        </w:tc>
      </w:tr>
      <w:tr w:rsidR="008E0945" w:rsidRPr="003015FD" w14:paraId="730CDE20" w14:textId="77777777" w:rsidTr="0002642E">
        <w:trPr>
          <w:cnfStyle w:val="000000100000" w:firstRow="0" w:lastRow="0" w:firstColumn="0" w:lastColumn="0" w:oddVBand="0" w:evenVBand="0" w:oddHBand="1" w:evenHBand="0" w:firstRowFirstColumn="0" w:firstRowLastColumn="0" w:lastRowFirstColumn="0" w:lastRowLastColumn="0"/>
        </w:trPr>
        <w:tc>
          <w:tcPr>
            <w:tcW w:w="1555" w:type="dxa"/>
          </w:tcPr>
          <w:p w14:paraId="7D682CF0" w14:textId="454D51B0" w:rsidR="008E0945" w:rsidRPr="003015FD" w:rsidRDefault="008E0945" w:rsidP="0002642E">
            <w:pPr>
              <w:pStyle w:val="TableBodyText"/>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26</w:t>
            </w:r>
          </w:p>
        </w:tc>
        <w:tc>
          <w:tcPr>
            <w:tcW w:w="7506" w:type="dxa"/>
          </w:tcPr>
          <w:p w14:paraId="2090EE26" w14:textId="588DF6C1" w:rsidR="008E0945" w:rsidRPr="003015FD" w:rsidRDefault="008E0945" w:rsidP="0002642E">
            <w:pPr>
              <w:pStyle w:val="TableBodyText"/>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not</w:t>
            </w:r>
            <w:r w:rsidR="00975895" w:rsidRPr="003015FD">
              <w:t xml:space="preserve"> </w:t>
            </w:r>
            <w:r w:rsidRPr="003015FD">
              <w:t>be</w:t>
            </w:r>
            <w:r w:rsidR="00975895" w:rsidRPr="003015FD">
              <w:t xml:space="preserve"> </w:t>
            </w:r>
            <w:r w:rsidRPr="003015FD">
              <w:t>tried</w:t>
            </w:r>
            <w:r w:rsidR="00975895" w:rsidRPr="003015FD">
              <w:t xml:space="preserve"> </w:t>
            </w:r>
            <w:r w:rsidRPr="003015FD">
              <w:t>or</w:t>
            </w:r>
            <w:r w:rsidR="00975895" w:rsidRPr="003015FD">
              <w:t xml:space="preserve"> </w:t>
            </w:r>
            <w:r w:rsidRPr="003015FD">
              <w:t>punished</w:t>
            </w:r>
            <w:r w:rsidR="00975895" w:rsidRPr="003015FD">
              <w:t xml:space="preserve"> </w:t>
            </w:r>
            <w:r w:rsidRPr="003015FD">
              <w:t>more</w:t>
            </w:r>
            <w:r w:rsidR="00975895" w:rsidRPr="003015FD">
              <w:t xml:space="preserve"> </w:t>
            </w:r>
            <w:r w:rsidRPr="003015FD">
              <w:t>than</w:t>
            </w:r>
            <w:r w:rsidR="00975895" w:rsidRPr="003015FD">
              <w:t xml:space="preserve"> </w:t>
            </w:r>
            <w:r w:rsidRPr="003015FD">
              <w:t>once</w:t>
            </w:r>
          </w:p>
        </w:tc>
      </w:tr>
      <w:tr w:rsidR="008E0945" w:rsidRPr="003015FD" w14:paraId="3A69ABB6" w14:textId="77777777" w:rsidTr="0002642E">
        <w:trPr>
          <w:cnfStyle w:val="000000010000" w:firstRow="0" w:lastRow="0" w:firstColumn="0" w:lastColumn="0" w:oddVBand="0" w:evenVBand="0" w:oddHBand="0" w:evenHBand="1" w:firstRowFirstColumn="0" w:firstRowLastColumn="0" w:lastRowFirstColumn="0" w:lastRowLastColumn="0"/>
        </w:trPr>
        <w:tc>
          <w:tcPr>
            <w:tcW w:w="1555" w:type="dxa"/>
          </w:tcPr>
          <w:p w14:paraId="4FB265EA" w14:textId="1002F309" w:rsidR="008E0945" w:rsidRPr="003015FD" w:rsidRDefault="008E0945" w:rsidP="0002642E">
            <w:pPr>
              <w:pStyle w:val="TableBodyText"/>
            </w:pPr>
            <w:r w:rsidRPr="0002642E">
              <w:rPr>
                <w:rStyle w:val="VEOHRCBold"/>
                <w:rFonts w:ascii="Arial" w:hAnsi="Arial"/>
              </w:rPr>
              <w:t>Section</w:t>
            </w:r>
            <w:r w:rsidR="00975895" w:rsidRPr="0002642E">
              <w:rPr>
                <w:rStyle w:val="VEOHRCBold"/>
                <w:rFonts w:ascii="Arial" w:hAnsi="Arial"/>
              </w:rPr>
              <w:t xml:space="preserve"> </w:t>
            </w:r>
            <w:r w:rsidRPr="0002642E">
              <w:rPr>
                <w:rStyle w:val="VEOHRCBold"/>
                <w:rFonts w:ascii="Arial" w:hAnsi="Arial"/>
              </w:rPr>
              <w:t>27</w:t>
            </w:r>
          </w:p>
        </w:tc>
        <w:tc>
          <w:tcPr>
            <w:tcW w:w="7506" w:type="dxa"/>
          </w:tcPr>
          <w:p w14:paraId="09FC9841" w14:textId="430A158F" w:rsidR="008E0945" w:rsidRPr="0002642E" w:rsidRDefault="008E0945" w:rsidP="0002642E">
            <w:pPr>
              <w:pStyle w:val="TableBodyText"/>
              <w:rPr>
                <w:rStyle w:val="VEOHRCBold"/>
                <w:rFonts w:ascii="Arial" w:hAnsi="Arial"/>
              </w:rPr>
            </w:pP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protection</w:t>
            </w:r>
            <w:r w:rsidR="00975895" w:rsidRPr="003015FD">
              <w:t xml:space="preserve"> </w:t>
            </w:r>
            <w:r w:rsidRPr="003015FD">
              <w:t>from</w:t>
            </w:r>
            <w:r w:rsidR="00975895" w:rsidRPr="003015FD">
              <w:t xml:space="preserve"> </w:t>
            </w:r>
            <w:r w:rsidRPr="003015FD">
              <w:t>retrospective</w:t>
            </w:r>
            <w:r w:rsidR="00975895" w:rsidRPr="003015FD">
              <w:t xml:space="preserve"> </w:t>
            </w:r>
            <w:r w:rsidRPr="003015FD">
              <w:t>criminal</w:t>
            </w:r>
            <w:r w:rsidR="00975895" w:rsidRPr="003015FD">
              <w:t xml:space="preserve"> </w:t>
            </w:r>
            <w:r w:rsidRPr="003015FD">
              <w:t>laws</w:t>
            </w:r>
          </w:p>
        </w:tc>
      </w:tr>
    </w:tbl>
    <w:p w14:paraId="02ED4481" w14:textId="2B3E08BB" w:rsidR="008E0945" w:rsidRPr="003015FD" w:rsidRDefault="008E0945" w:rsidP="0002642E">
      <w:pPr>
        <w:pStyle w:val="Heading4"/>
      </w:pPr>
      <w:bookmarkStart w:id="22" w:name="_Toc519497291"/>
      <w:bookmarkStart w:id="23" w:name="_Toc522635145"/>
      <w:bookmarkStart w:id="24" w:name="_Toc522697022"/>
      <w:bookmarkStart w:id="25" w:name="_Toc15045093"/>
      <w:r w:rsidRPr="003015FD">
        <w:t>How</w:t>
      </w:r>
      <w:r w:rsidR="00975895" w:rsidRPr="003015FD">
        <w:t xml:space="preserve"> </w:t>
      </w:r>
      <w:r w:rsidRPr="003015FD">
        <w:t>the</w:t>
      </w:r>
      <w:r w:rsidR="00975895" w:rsidRPr="003015FD">
        <w:t xml:space="preserve"> </w:t>
      </w:r>
      <w:r w:rsidRPr="003015FD">
        <w:t>Charter</w:t>
      </w:r>
      <w:r w:rsidR="00975895" w:rsidRPr="003015FD">
        <w:t xml:space="preserve"> </w:t>
      </w:r>
      <w:r w:rsidRPr="003015FD">
        <w:t>works</w:t>
      </w:r>
      <w:bookmarkEnd w:id="22"/>
      <w:bookmarkEnd w:id="23"/>
      <w:bookmarkEnd w:id="24"/>
      <w:bookmarkEnd w:id="25"/>
      <w:r w:rsidR="00975895" w:rsidRPr="003015FD">
        <w:t xml:space="preserve"> </w:t>
      </w:r>
    </w:p>
    <w:p w14:paraId="6369C51B" w14:textId="29B297A8" w:rsidR="008E0945" w:rsidRPr="003015FD" w:rsidRDefault="008E0945" w:rsidP="0002642E">
      <w:r w:rsidRPr="003015FD">
        <w:t>The</w:t>
      </w:r>
      <w:r w:rsidR="00975895" w:rsidRPr="003015FD">
        <w:t xml:space="preserve"> </w:t>
      </w:r>
      <w:r w:rsidRPr="003015FD">
        <w:t>Charter</w:t>
      </w:r>
      <w:r w:rsidR="00975895" w:rsidRPr="003015FD">
        <w:t xml:space="preserve"> </w:t>
      </w:r>
      <w:r w:rsidRPr="003015FD">
        <w:t>operates</w:t>
      </w:r>
      <w:r w:rsidR="00975895" w:rsidRPr="003015FD">
        <w:t xml:space="preserve"> </w:t>
      </w:r>
      <w:r w:rsidRPr="003015FD">
        <w:t>by</w:t>
      </w:r>
      <w:r w:rsidR="00975895" w:rsidRPr="003015FD">
        <w:t xml:space="preserve"> </w:t>
      </w:r>
      <w:r w:rsidRPr="003015FD">
        <w:t>placing</w:t>
      </w:r>
      <w:r w:rsidR="00975895" w:rsidRPr="003015FD">
        <w:t xml:space="preserve"> </w:t>
      </w:r>
      <w:r w:rsidRPr="003015FD">
        <w:t>obligations</w:t>
      </w:r>
      <w:r w:rsidR="00975895" w:rsidRPr="003015FD">
        <w:t xml:space="preserve"> </w:t>
      </w:r>
      <w:r w:rsidRPr="003015FD">
        <w:t>on</w:t>
      </w:r>
      <w:r w:rsidR="00975895" w:rsidRPr="003015FD">
        <w:t xml:space="preserve"> </w:t>
      </w:r>
      <w:r w:rsidRPr="003015FD">
        <w:t>the</w:t>
      </w:r>
      <w:r w:rsidR="00975895" w:rsidRPr="003015FD">
        <w:t xml:space="preserve"> </w:t>
      </w:r>
      <w:r w:rsidRPr="003015FD">
        <w:t>three</w:t>
      </w:r>
      <w:r w:rsidR="00975895" w:rsidRPr="003015FD">
        <w:t xml:space="preserve"> </w:t>
      </w:r>
      <w:r w:rsidRPr="003015FD">
        <w:t>arms</w:t>
      </w:r>
      <w:r w:rsidR="00975895" w:rsidRPr="003015FD">
        <w:t xml:space="preserve"> </w:t>
      </w:r>
      <w:r w:rsidRPr="003015FD">
        <w:t>of</w:t>
      </w:r>
      <w:r w:rsidR="00975895" w:rsidRPr="003015FD">
        <w:t xml:space="preserve"> </w:t>
      </w:r>
      <w:r w:rsidRPr="003015FD">
        <w:t>government:</w:t>
      </w:r>
      <w:r w:rsidR="00975895" w:rsidRPr="003015FD">
        <w:t xml:space="preserve"> </w:t>
      </w:r>
      <w:r w:rsidRPr="003015FD">
        <w:t>the</w:t>
      </w:r>
      <w:r w:rsidR="00975895" w:rsidRPr="003015FD">
        <w:t xml:space="preserve"> </w:t>
      </w:r>
      <w:r w:rsidRPr="003015FD">
        <w:t>legislature</w:t>
      </w:r>
      <w:r w:rsidR="00975895" w:rsidRPr="003015FD">
        <w:t xml:space="preserve"> </w:t>
      </w:r>
      <w:r w:rsidRPr="003015FD">
        <w:t>(Victorian</w:t>
      </w:r>
      <w:r w:rsidR="00975895" w:rsidRPr="003015FD">
        <w:t xml:space="preserve"> </w:t>
      </w:r>
      <w:r w:rsidRPr="003015FD">
        <w:t>Parliament),</w:t>
      </w:r>
      <w:r w:rsidR="00975895" w:rsidRPr="003015FD">
        <w:t xml:space="preserve"> </w:t>
      </w:r>
      <w:r w:rsidRPr="003015FD">
        <w:t>the</w:t>
      </w:r>
      <w:r w:rsidR="00975895" w:rsidRPr="003015FD">
        <w:t xml:space="preserve"> </w:t>
      </w:r>
      <w:r w:rsidRPr="003015FD">
        <w:t>judiciary</w:t>
      </w:r>
      <w:r w:rsidR="00975895" w:rsidRPr="003015FD">
        <w:t xml:space="preserve"> </w:t>
      </w:r>
      <w:r w:rsidRPr="003015FD">
        <w:t>(courts</w:t>
      </w:r>
      <w:r w:rsidR="00975895" w:rsidRPr="003015FD">
        <w:t xml:space="preserve"> </w:t>
      </w:r>
      <w:r w:rsidRPr="003015FD">
        <w:t>and</w:t>
      </w:r>
      <w:r w:rsidR="00975895" w:rsidRPr="003015FD">
        <w:t xml:space="preserve"> </w:t>
      </w:r>
      <w:r w:rsidRPr="003015FD">
        <w:t>tribunals),</w:t>
      </w:r>
      <w:r w:rsidR="00975895" w:rsidRPr="003015FD">
        <w:t xml:space="preserve"> </w:t>
      </w:r>
      <w:r w:rsidRPr="003015FD">
        <w:t>and</w:t>
      </w:r>
      <w:r w:rsidR="00975895" w:rsidRPr="003015FD">
        <w:t xml:space="preserve"> </w:t>
      </w:r>
      <w:r w:rsidRPr="003015FD">
        <w:t>the</w:t>
      </w:r>
      <w:r w:rsidR="00975895" w:rsidRPr="003015FD">
        <w:t xml:space="preserve"> </w:t>
      </w:r>
      <w:r w:rsidRPr="003015FD">
        <w:t>executive</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including</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local</w:t>
      </w:r>
      <w:r w:rsidR="00975895" w:rsidRPr="003015FD">
        <w:t xml:space="preserve"> </w:t>
      </w:r>
      <w:r w:rsidRPr="003015FD">
        <w:t>councils</w:t>
      </w:r>
      <w:r w:rsidR="00975895" w:rsidRPr="003015FD">
        <w:t xml:space="preserve"> </w:t>
      </w:r>
      <w:r w:rsidRPr="003015FD">
        <w:t>and</w:t>
      </w:r>
      <w:r w:rsidR="00975895" w:rsidRPr="003015FD">
        <w:t xml:space="preserve"> </w:t>
      </w:r>
      <w:r w:rsidRPr="003015FD">
        <w:t>bodies</w:t>
      </w:r>
      <w:r w:rsidR="00975895" w:rsidRPr="003015FD">
        <w:t xml:space="preserve"> </w:t>
      </w:r>
      <w:r w:rsidRPr="003015FD">
        <w:t>that</w:t>
      </w:r>
      <w:r w:rsidR="00975895" w:rsidRPr="003015FD">
        <w:t xml:space="preserve"> </w:t>
      </w:r>
      <w:r w:rsidRPr="003015FD">
        <w:t>execute</w:t>
      </w:r>
      <w:r w:rsidR="00975895" w:rsidRPr="003015FD">
        <w:t xml:space="preserve"> </w:t>
      </w:r>
      <w:r w:rsidRPr="003015FD">
        <w:t>a</w:t>
      </w:r>
      <w:r w:rsidR="00975895" w:rsidRPr="003015FD">
        <w:t xml:space="preserve"> </w:t>
      </w:r>
      <w:r w:rsidRPr="003015FD">
        <w:t>public</w:t>
      </w:r>
      <w:r w:rsidR="00975895" w:rsidRPr="003015FD">
        <w:t xml:space="preserve"> </w:t>
      </w:r>
      <w:r w:rsidRPr="003015FD">
        <w:t>function).</w:t>
      </w:r>
    </w:p>
    <w:p w14:paraId="6BBB7825" w14:textId="78A07461" w:rsidR="008E0945" w:rsidRPr="003015FD" w:rsidRDefault="008E0945" w:rsidP="0002642E">
      <w:r w:rsidRPr="003015FD">
        <w:t>Public</w:t>
      </w:r>
      <w:r w:rsidR="00975895" w:rsidRPr="003015FD">
        <w:t xml:space="preserve"> </w:t>
      </w:r>
      <w:r w:rsidRPr="003015FD">
        <w:t>authorities</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00975895" w:rsidRPr="003015FD">
        <w:t xml:space="preserve"> </w:t>
      </w:r>
      <w:r w:rsidRPr="003015FD">
        <w:t>include:</w:t>
      </w:r>
    </w:p>
    <w:p w14:paraId="11FD2465" w14:textId="3F2DFB2A" w:rsidR="008E0945" w:rsidRPr="003015FD" w:rsidRDefault="008E0945" w:rsidP="0002642E">
      <w:pPr>
        <w:pStyle w:val="ListBullet"/>
      </w:pPr>
      <w:r w:rsidRPr="003015FD">
        <w:t>public</w:t>
      </w:r>
      <w:r w:rsidR="00975895" w:rsidRPr="003015FD">
        <w:t xml:space="preserve"> </w:t>
      </w:r>
      <w:r w:rsidRPr="003015FD">
        <w:t>officials</w:t>
      </w:r>
    </w:p>
    <w:p w14:paraId="376A0165" w14:textId="0B0D54AC" w:rsidR="008E0945" w:rsidRPr="003015FD" w:rsidRDefault="00215DC5" w:rsidP="0002642E">
      <w:pPr>
        <w:pStyle w:val="ListBullet"/>
      </w:pPr>
      <w:r>
        <w:t>m</w:t>
      </w:r>
      <w:r w:rsidR="008E0945" w:rsidRPr="003015FD">
        <w:t>inisters</w:t>
      </w:r>
      <w:r w:rsidR="00975895" w:rsidRPr="003015FD">
        <w:t xml:space="preserve"> </w:t>
      </w:r>
      <w:r w:rsidR="008E0945" w:rsidRPr="003015FD">
        <w:t>of</w:t>
      </w:r>
      <w:r w:rsidR="00975895" w:rsidRPr="003015FD">
        <w:t xml:space="preserve"> </w:t>
      </w:r>
      <w:r w:rsidR="008E0945" w:rsidRPr="003015FD">
        <w:t>Parliament</w:t>
      </w:r>
    </w:p>
    <w:p w14:paraId="78C45D33" w14:textId="267C7F7C" w:rsidR="008E0945" w:rsidRPr="003015FD" w:rsidRDefault="008E0945" w:rsidP="0002642E">
      <w:pPr>
        <w:pStyle w:val="ListBullet"/>
      </w:pPr>
      <w:r w:rsidRPr="003015FD">
        <w:t>local</w:t>
      </w:r>
      <w:r w:rsidR="00975895" w:rsidRPr="003015FD">
        <w:t xml:space="preserve"> </w:t>
      </w:r>
      <w:r w:rsidRPr="003015FD">
        <w:t>councils</w:t>
      </w:r>
      <w:r w:rsidR="00975895" w:rsidRPr="003015FD">
        <w:t xml:space="preserve"> </w:t>
      </w:r>
      <w:r w:rsidRPr="003015FD">
        <w:t>(including</w:t>
      </w:r>
      <w:r w:rsidR="00975895" w:rsidRPr="003015FD">
        <w:t xml:space="preserve"> </w:t>
      </w:r>
      <w:r w:rsidRPr="003015FD">
        <w:t>councillors</w:t>
      </w:r>
      <w:r w:rsidR="00975895" w:rsidRPr="003015FD">
        <w:t xml:space="preserve"> </w:t>
      </w:r>
      <w:r w:rsidRPr="003015FD">
        <w:t>and</w:t>
      </w:r>
      <w:r w:rsidR="00975895" w:rsidRPr="003015FD">
        <w:t xml:space="preserve"> </w:t>
      </w:r>
      <w:r w:rsidRPr="003015FD">
        <w:t>council</w:t>
      </w:r>
      <w:r w:rsidR="00975895" w:rsidRPr="003015FD">
        <w:t xml:space="preserve"> </w:t>
      </w:r>
      <w:r w:rsidRPr="003015FD">
        <w:t>staff)</w:t>
      </w:r>
    </w:p>
    <w:p w14:paraId="203861BE" w14:textId="7E5D1214" w:rsidR="008E0945" w:rsidRPr="003015FD" w:rsidRDefault="008E0945" w:rsidP="0002642E">
      <w:pPr>
        <w:pStyle w:val="ListBullet"/>
      </w:pPr>
      <w:r w:rsidRPr="003015FD">
        <w:t>Victoria</w:t>
      </w:r>
      <w:r w:rsidR="00975895" w:rsidRPr="003015FD">
        <w:t xml:space="preserve"> </w:t>
      </w:r>
      <w:r w:rsidRPr="003015FD">
        <w:t>Police</w:t>
      </w:r>
    </w:p>
    <w:p w14:paraId="2E0A8560" w14:textId="6BE7F99A" w:rsidR="008E0945" w:rsidRPr="003015FD" w:rsidRDefault="008E0945" w:rsidP="0002642E">
      <w:pPr>
        <w:pStyle w:val="ListBullet"/>
      </w:pPr>
      <w:r w:rsidRPr="003015FD">
        <w:t>statutory</w:t>
      </w:r>
      <w:r w:rsidR="00975895" w:rsidRPr="003015FD">
        <w:t xml:space="preserve"> </w:t>
      </w:r>
      <w:r w:rsidRPr="003015FD">
        <w:t>entities</w:t>
      </w:r>
      <w:r w:rsidR="00975895" w:rsidRPr="003015FD">
        <w:t xml:space="preserve"> </w:t>
      </w:r>
      <w:r w:rsidRPr="003015FD">
        <w:t>that</w:t>
      </w:r>
      <w:r w:rsidR="00975895" w:rsidRPr="003015FD">
        <w:t xml:space="preserve"> </w:t>
      </w:r>
      <w:r w:rsidRPr="003015FD">
        <w:t>have</w:t>
      </w:r>
      <w:r w:rsidR="00975895" w:rsidRPr="003015FD">
        <w:t xml:space="preserve"> </w:t>
      </w:r>
      <w:r w:rsidRPr="003015FD">
        <w:t>functions</w:t>
      </w:r>
      <w:r w:rsidR="00975895" w:rsidRPr="003015FD">
        <w:t xml:space="preserve"> </w:t>
      </w:r>
      <w:r w:rsidRPr="003015FD">
        <w:t>of</w:t>
      </w:r>
      <w:r w:rsidR="00975895" w:rsidRPr="003015FD">
        <w:t xml:space="preserve"> </w:t>
      </w:r>
      <w:r w:rsidRPr="003015FD">
        <w:t>a</w:t>
      </w:r>
      <w:r w:rsidR="00975895" w:rsidRPr="003015FD">
        <w:t xml:space="preserve"> </w:t>
      </w:r>
      <w:r w:rsidRPr="003015FD">
        <w:t>public</w:t>
      </w:r>
      <w:r w:rsidR="00975895" w:rsidRPr="003015FD">
        <w:t xml:space="preserve"> </w:t>
      </w:r>
      <w:r w:rsidRPr="003015FD">
        <w:t>nature</w:t>
      </w:r>
    </w:p>
    <w:p w14:paraId="64AB7510" w14:textId="48E465EC" w:rsidR="008E0945" w:rsidRPr="003015FD" w:rsidRDefault="008E0945" w:rsidP="0002642E">
      <w:pPr>
        <w:pStyle w:val="ListBullet"/>
      </w:pPr>
      <w:r w:rsidRPr="003015FD">
        <w:t>entities</w:t>
      </w:r>
      <w:r w:rsidR="00975895" w:rsidRPr="003015FD">
        <w:t xml:space="preserve"> </w:t>
      </w:r>
      <w:r w:rsidRPr="003015FD">
        <w:t>that</w:t>
      </w:r>
      <w:r w:rsidR="00975895" w:rsidRPr="003015FD">
        <w:t xml:space="preserve"> </w:t>
      </w:r>
      <w:r w:rsidRPr="003015FD">
        <w:t>carry</w:t>
      </w:r>
      <w:r w:rsidR="00975895" w:rsidRPr="003015FD">
        <w:t xml:space="preserve"> </w:t>
      </w:r>
      <w:r w:rsidRPr="003015FD">
        <w:t>out</w:t>
      </w:r>
      <w:r w:rsidR="00975895" w:rsidRPr="003015FD">
        <w:t xml:space="preserve"> </w:t>
      </w:r>
      <w:r w:rsidRPr="003015FD">
        <w:t>functions</w:t>
      </w:r>
      <w:r w:rsidR="00975895" w:rsidRPr="003015FD">
        <w:t xml:space="preserve"> </w:t>
      </w:r>
      <w:r w:rsidRPr="003015FD">
        <w:t>of</w:t>
      </w:r>
      <w:r w:rsidR="00975895" w:rsidRPr="003015FD">
        <w:t xml:space="preserve"> </w:t>
      </w:r>
      <w:r w:rsidRPr="003015FD">
        <w:t>a</w:t>
      </w:r>
      <w:r w:rsidR="00975895" w:rsidRPr="003015FD">
        <w:t xml:space="preserve"> </w:t>
      </w:r>
      <w:r w:rsidRPr="003015FD">
        <w:t>public</w:t>
      </w:r>
      <w:r w:rsidR="00975895" w:rsidRPr="003015FD">
        <w:t xml:space="preserve"> </w:t>
      </w:r>
      <w:r w:rsidRPr="003015FD">
        <w:t>nature</w:t>
      </w:r>
      <w:r w:rsidR="00975895" w:rsidRPr="003015FD">
        <w:t xml:space="preserve"> </w:t>
      </w:r>
      <w:r w:rsidRPr="003015FD">
        <w:t>on</w:t>
      </w:r>
      <w:r w:rsidR="00975895" w:rsidRPr="003015FD">
        <w:t xml:space="preserve"> </w:t>
      </w:r>
      <w:r w:rsidRPr="003015FD">
        <w:t>behalf</w:t>
      </w:r>
      <w:r w:rsidR="00975895" w:rsidRPr="003015FD">
        <w:t xml:space="preserve"> </w:t>
      </w:r>
      <w:r w:rsidRPr="003015FD">
        <w:t>of</w:t>
      </w:r>
      <w:r w:rsidR="00975895" w:rsidRPr="003015FD">
        <w:t xml:space="preserve"> </w:t>
      </w:r>
      <w:r w:rsidRPr="003015FD">
        <w:t>a</w:t>
      </w:r>
      <w:r w:rsidR="00975895" w:rsidRPr="003015FD">
        <w:t xml:space="preserve"> </w:t>
      </w:r>
      <w:r w:rsidRPr="003015FD">
        <w:t>public</w:t>
      </w:r>
      <w:r w:rsidR="00975895" w:rsidRPr="003015FD">
        <w:t xml:space="preserve"> </w:t>
      </w:r>
      <w:r w:rsidRPr="003015FD">
        <w:t>authority</w:t>
      </w:r>
    </w:p>
    <w:p w14:paraId="20B6C1B4" w14:textId="7D26F77B" w:rsidR="008E0945" w:rsidRPr="003015FD" w:rsidRDefault="008E0945" w:rsidP="0002642E">
      <w:pPr>
        <w:pStyle w:val="ListBullet"/>
      </w:pPr>
      <w:r w:rsidRPr="003015FD">
        <w:t>courts</w:t>
      </w:r>
      <w:r w:rsidR="00975895" w:rsidRPr="003015FD">
        <w:t xml:space="preserve"> </w:t>
      </w:r>
      <w:r w:rsidRPr="003015FD">
        <w:t>and</w:t>
      </w:r>
      <w:r w:rsidR="00975895" w:rsidRPr="003015FD">
        <w:t xml:space="preserve"> </w:t>
      </w:r>
      <w:r w:rsidRPr="003015FD">
        <w:t>tribunals</w:t>
      </w:r>
      <w:r w:rsidR="00975895" w:rsidRPr="003015FD">
        <w:t xml:space="preserve"> </w:t>
      </w:r>
      <w:r w:rsidRPr="003015FD">
        <w:t>when</w:t>
      </w:r>
      <w:r w:rsidR="00975895" w:rsidRPr="003015FD">
        <w:t xml:space="preserve"> </w:t>
      </w:r>
      <w:r w:rsidRPr="003015FD">
        <w:t>they</w:t>
      </w:r>
      <w:r w:rsidR="00975895" w:rsidRPr="003015FD">
        <w:t xml:space="preserve"> </w:t>
      </w:r>
      <w:r w:rsidRPr="003015FD">
        <w:t>are</w:t>
      </w:r>
      <w:r w:rsidR="00975895" w:rsidRPr="003015FD">
        <w:t xml:space="preserve"> </w:t>
      </w:r>
      <w:r w:rsidRPr="003015FD">
        <w:t>acting</w:t>
      </w:r>
      <w:r w:rsidR="00975895" w:rsidRPr="003015FD">
        <w:t xml:space="preserve"> </w:t>
      </w:r>
      <w:r w:rsidRPr="003015FD">
        <w:t>in</w:t>
      </w:r>
      <w:r w:rsidR="00975895" w:rsidRPr="003015FD">
        <w:t xml:space="preserve"> </w:t>
      </w:r>
      <w:r w:rsidRPr="003015FD">
        <w:t>an</w:t>
      </w:r>
      <w:r w:rsidR="00975895" w:rsidRPr="003015FD">
        <w:t xml:space="preserve"> </w:t>
      </w:r>
      <w:r w:rsidRPr="003015FD">
        <w:t>administrative</w:t>
      </w:r>
      <w:r w:rsidR="00975895" w:rsidRPr="003015FD">
        <w:t xml:space="preserve"> </w:t>
      </w:r>
      <w:r w:rsidRPr="003015FD">
        <w:t>capacity.</w:t>
      </w:r>
    </w:p>
    <w:p w14:paraId="1E31D688" w14:textId="5AF12756" w:rsidR="008E0945" w:rsidRPr="003015FD" w:rsidRDefault="008E0945" w:rsidP="0002642E">
      <w:r w:rsidRPr="003015FD">
        <w:t>The</w:t>
      </w:r>
      <w:r w:rsidR="00975895" w:rsidRPr="003015FD">
        <w:t xml:space="preserve"> </w:t>
      </w:r>
      <w:r w:rsidRPr="003015FD">
        <w:t>Charter</w:t>
      </w:r>
      <w:r w:rsidR="00975895" w:rsidRPr="003015FD">
        <w:t xml:space="preserve"> </w:t>
      </w:r>
      <w:r w:rsidRPr="003015FD">
        <w:t>creates</w:t>
      </w:r>
      <w:r w:rsidR="00975895" w:rsidRPr="003015FD">
        <w:t xml:space="preserve"> </w:t>
      </w:r>
      <w:r w:rsidRPr="003015FD">
        <w:t>a</w:t>
      </w:r>
      <w:r w:rsidR="00975895" w:rsidRPr="003015FD">
        <w:t xml:space="preserve"> </w:t>
      </w:r>
      <w:r w:rsidR="000C5726">
        <w:t>'</w:t>
      </w:r>
      <w:r w:rsidRPr="003015FD">
        <w:t>dialogue</w:t>
      </w:r>
      <w:r w:rsidR="00975895" w:rsidRPr="003015FD">
        <w:t xml:space="preserve"> </w:t>
      </w:r>
      <w:r w:rsidRPr="003015FD">
        <w:t>model</w:t>
      </w:r>
      <w:r w:rsidR="000C5726">
        <w:t>'</w:t>
      </w:r>
      <w:r w:rsidR="00975895" w:rsidRPr="003015FD">
        <w:t xml:space="preserve"> </w:t>
      </w:r>
      <w:r w:rsidRPr="003015FD">
        <w:t>of</w:t>
      </w:r>
      <w:r w:rsidR="00975895" w:rsidRPr="003015FD">
        <w:t xml:space="preserve"> </w:t>
      </w:r>
      <w:r w:rsidRPr="003015FD">
        <w:t>rights</w:t>
      </w:r>
      <w:r w:rsidR="00975895" w:rsidRPr="003015FD">
        <w:t xml:space="preserve"> </w:t>
      </w:r>
      <w:r w:rsidRPr="003015FD">
        <w:t>–</w:t>
      </w:r>
      <w:r w:rsidR="00975895" w:rsidRPr="003015FD">
        <w:t xml:space="preserve"> </w:t>
      </w:r>
      <w:r w:rsidRPr="003015FD">
        <w:t>a</w:t>
      </w:r>
      <w:r w:rsidR="00975895" w:rsidRPr="003015FD">
        <w:t xml:space="preserve"> </w:t>
      </w:r>
      <w:r w:rsidRPr="003015FD">
        <w:t>constructive</w:t>
      </w:r>
      <w:r w:rsidR="00975895" w:rsidRPr="003015FD">
        <w:t xml:space="preserve"> </w:t>
      </w:r>
      <w:r w:rsidRPr="003015FD">
        <w:t>and</w:t>
      </w:r>
      <w:r w:rsidR="00975895" w:rsidRPr="003015FD">
        <w:t xml:space="preserve"> </w:t>
      </w:r>
      <w:r w:rsidRPr="003015FD">
        <w:t>continuous</w:t>
      </w:r>
      <w:r w:rsidR="00975895" w:rsidRPr="003015FD">
        <w:t xml:space="preserve"> </w:t>
      </w:r>
      <w:r w:rsidRPr="003015FD">
        <w:t>conversation</w:t>
      </w:r>
      <w:r w:rsidR="00975895" w:rsidRPr="003015FD">
        <w:t xml:space="preserve"> </w:t>
      </w:r>
      <w:r w:rsidRPr="003015FD">
        <w:t>about</w:t>
      </w:r>
      <w:r w:rsidR="00975895" w:rsidRPr="003015FD">
        <w:t xml:space="preserve"> </w:t>
      </w:r>
      <w:r w:rsidRPr="003015FD">
        <w:t>human</w:t>
      </w:r>
      <w:r w:rsidR="00975895" w:rsidRPr="003015FD">
        <w:t xml:space="preserve"> </w:t>
      </w:r>
      <w:r w:rsidRPr="003015FD">
        <w:t>rights</w:t>
      </w:r>
      <w:r w:rsidR="00975895" w:rsidRPr="003015FD">
        <w:t xml:space="preserve"> </w:t>
      </w:r>
      <w:r w:rsidRPr="003015FD">
        <w:t>–</w:t>
      </w:r>
      <w:r w:rsidR="00975895" w:rsidRPr="003015FD">
        <w:t xml:space="preserve"> </w:t>
      </w:r>
      <w:r w:rsidRPr="003015FD">
        <w:t>between</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Parliament,</w:t>
      </w:r>
      <w:r w:rsidR="00975895" w:rsidRPr="003015FD">
        <w:t xml:space="preserve"> </w:t>
      </w:r>
      <w:r w:rsidRPr="003015FD">
        <w:t>the</w:t>
      </w:r>
      <w:r w:rsidR="00975895" w:rsidRPr="003015FD">
        <w:t xml:space="preserve"> </w:t>
      </w:r>
      <w:r w:rsidRPr="003015FD">
        <w:t>courts</w:t>
      </w:r>
      <w:r w:rsidR="00975895" w:rsidRPr="003015FD">
        <w:t xml:space="preserve"> </w:t>
      </w:r>
      <w:r w:rsidRPr="003015FD">
        <w:t>and</w:t>
      </w:r>
      <w:r w:rsidR="00975895" w:rsidRPr="003015FD">
        <w:t xml:space="preserve"> </w:t>
      </w:r>
      <w:r w:rsidRPr="003015FD">
        <w:t>the</w:t>
      </w:r>
      <w:r w:rsidR="00975895" w:rsidRPr="003015FD">
        <w:t xml:space="preserve"> </w:t>
      </w:r>
      <w:r w:rsidRPr="003015FD">
        <w:t>Victorian</w:t>
      </w:r>
      <w:r w:rsidR="00975895" w:rsidRPr="003015FD">
        <w:t xml:space="preserve"> </w:t>
      </w:r>
      <w:r w:rsidRPr="003015FD">
        <w:t>community.</w:t>
      </w:r>
      <w:r w:rsidR="00975895" w:rsidRPr="003015FD">
        <w:t xml:space="preserve"> </w:t>
      </w:r>
      <w:r w:rsidRPr="003015FD">
        <w:t>The</w:t>
      </w:r>
      <w:r w:rsidR="00975895" w:rsidRPr="003015FD">
        <w:t xml:space="preserve"> </w:t>
      </w:r>
      <w:r w:rsidRPr="003015FD">
        <w:t>model</w:t>
      </w:r>
      <w:r w:rsidR="00975895" w:rsidRPr="003015FD">
        <w:t xml:space="preserve"> </w:t>
      </w:r>
      <w:r w:rsidRPr="003015FD">
        <w:t>is</w:t>
      </w:r>
      <w:r w:rsidR="00975895" w:rsidRPr="003015FD">
        <w:t xml:space="preserve"> </w:t>
      </w:r>
      <w:r w:rsidRPr="003015FD">
        <w:t>designed</w:t>
      </w:r>
      <w:r w:rsidR="00975895" w:rsidRPr="003015FD">
        <w:t xml:space="preserve"> </w:t>
      </w:r>
      <w:r w:rsidRPr="003015FD">
        <w:t>to</w:t>
      </w:r>
      <w:r w:rsidR="00975895" w:rsidRPr="003015FD">
        <w:t xml:space="preserve"> </w:t>
      </w:r>
      <w:r w:rsidRPr="003015FD">
        <w:t>ensure</w:t>
      </w:r>
      <w:r w:rsidR="00975895" w:rsidRPr="003015FD">
        <w:t xml:space="preserve"> </w:t>
      </w:r>
      <w:r w:rsidRPr="003015FD">
        <w:t>human</w:t>
      </w:r>
      <w:r w:rsidR="00975895" w:rsidRPr="003015FD">
        <w:t xml:space="preserve"> </w:t>
      </w:r>
      <w:r w:rsidRPr="003015FD">
        <w:t>rights</w:t>
      </w:r>
      <w:r w:rsidR="00975895" w:rsidRPr="003015FD">
        <w:t xml:space="preserve"> </w:t>
      </w:r>
      <w:r w:rsidRPr="003015FD">
        <w:t>are</w:t>
      </w:r>
      <w:r w:rsidR="00975895" w:rsidRPr="003015FD">
        <w:t xml:space="preserve"> </w:t>
      </w:r>
      <w:r w:rsidRPr="003015FD">
        <w:t>considered</w:t>
      </w:r>
      <w:r w:rsidR="00975895" w:rsidRPr="003015FD">
        <w:t xml:space="preserve"> </w:t>
      </w:r>
      <w:r w:rsidRPr="003015FD">
        <w:t>in</w:t>
      </w:r>
      <w:r w:rsidR="00975895" w:rsidRPr="003015FD">
        <w:t xml:space="preserve"> </w:t>
      </w:r>
      <w:r w:rsidRPr="003015FD">
        <w:t>the</w:t>
      </w:r>
      <w:r w:rsidR="00975895" w:rsidRPr="003015FD">
        <w:t xml:space="preserve"> </w:t>
      </w:r>
      <w:r w:rsidRPr="003015FD">
        <w:t>development</w:t>
      </w:r>
      <w:r w:rsidR="00975895" w:rsidRPr="003015FD">
        <w:t xml:space="preserve"> </w:t>
      </w:r>
      <w:r w:rsidRPr="003015FD">
        <w:t>of</w:t>
      </w:r>
      <w:r w:rsidR="00975895" w:rsidRPr="003015FD">
        <w:t xml:space="preserve"> </w:t>
      </w:r>
      <w:r w:rsidRPr="003015FD">
        <w:t>laws</w:t>
      </w:r>
      <w:r w:rsidR="00975895" w:rsidRPr="003015FD">
        <w:t xml:space="preserve"> </w:t>
      </w:r>
      <w:r w:rsidRPr="003015FD">
        <w:t>and</w:t>
      </w:r>
      <w:r w:rsidR="00975895" w:rsidRPr="003015FD">
        <w:t xml:space="preserve"> </w:t>
      </w:r>
      <w:r w:rsidRPr="003015FD">
        <w:t>policies,</w:t>
      </w:r>
      <w:r w:rsidR="00975895" w:rsidRPr="003015FD">
        <w:t xml:space="preserve"> </w:t>
      </w:r>
      <w:r w:rsidRPr="003015FD">
        <w:t>in</w:t>
      </w:r>
      <w:r w:rsidR="00975895" w:rsidRPr="003015FD">
        <w:t xml:space="preserve"> </w:t>
      </w:r>
      <w:r w:rsidRPr="003015FD">
        <w:t>the</w:t>
      </w:r>
      <w:r w:rsidR="00975895" w:rsidRPr="003015FD">
        <w:t xml:space="preserve"> </w:t>
      </w:r>
      <w:r w:rsidRPr="003015FD">
        <w:t>delivery</w:t>
      </w:r>
      <w:r w:rsidR="00975895" w:rsidRPr="003015FD">
        <w:t xml:space="preserve"> </w:t>
      </w:r>
      <w:r w:rsidRPr="003015FD">
        <w:t>of</w:t>
      </w:r>
      <w:r w:rsidR="00975895" w:rsidRPr="003015FD">
        <w:t xml:space="preserve"> </w:t>
      </w:r>
      <w:r w:rsidRPr="003015FD">
        <w:t>public</w:t>
      </w:r>
      <w:r w:rsidR="00975895" w:rsidRPr="003015FD">
        <w:t xml:space="preserve"> </w:t>
      </w:r>
      <w:r w:rsidRPr="003015FD">
        <w:t>services,</w:t>
      </w:r>
      <w:r w:rsidR="00975895" w:rsidRPr="003015FD">
        <w:t xml:space="preserve"> </w:t>
      </w:r>
      <w:r w:rsidRPr="003015FD">
        <w:t>and</w:t>
      </w:r>
      <w:r w:rsidR="00975895" w:rsidRPr="003015FD">
        <w:t xml:space="preserve"> </w:t>
      </w:r>
      <w:r w:rsidRPr="003015FD">
        <w:t>in</w:t>
      </w:r>
      <w:r w:rsidR="00975895" w:rsidRPr="003015FD">
        <w:t xml:space="preserve"> </w:t>
      </w:r>
      <w:r w:rsidRPr="003015FD">
        <w:t>government</w:t>
      </w:r>
      <w:r w:rsidR="00975895" w:rsidRPr="003015FD">
        <w:t xml:space="preserve"> </w:t>
      </w:r>
      <w:r w:rsidRPr="003015FD">
        <w:t>decision-making.</w:t>
      </w:r>
      <w:r w:rsidR="00975895" w:rsidRPr="003015FD">
        <w:t xml:space="preserve"> </w:t>
      </w:r>
      <w:r w:rsidRPr="003015FD">
        <w:t>It</w:t>
      </w:r>
      <w:r w:rsidR="00975895" w:rsidRPr="003015FD">
        <w:t xml:space="preserve"> </w:t>
      </w:r>
      <w:r w:rsidRPr="003015FD">
        <w:t>encourages</w:t>
      </w:r>
      <w:r w:rsidR="00975895" w:rsidRPr="003015FD">
        <w:t xml:space="preserve"> </w:t>
      </w:r>
      <w:r w:rsidRPr="003015FD">
        <w:t>each</w:t>
      </w:r>
      <w:r w:rsidR="00975895" w:rsidRPr="003015FD">
        <w:t xml:space="preserve"> </w:t>
      </w:r>
      <w:r w:rsidRPr="003015FD">
        <w:t>part</w:t>
      </w:r>
      <w:r w:rsidR="00975895" w:rsidRPr="003015FD">
        <w:t xml:space="preserve"> </w:t>
      </w:r>
      <w:r w:rsidRPr="003015FD">
        <w:t>of</w:t>
      </w:r>
      <w:r w:rsidR="00975895" w:rsidRPr="003015FD">
        <w:t xml:space="preserve"> </w:t>
      </w:r>
      <w:r w:rsidRPr="003015FD">
        <w:t>our</w:t>
      </w:r>
      <w:r w:rsidR="00975895" w:rsidRPr="003015FD">
        <w:t xml:space="preserve"> </w:t>
      </w:r>
      <w:r w:rsidRPr="003015FD">
        <w:t>democratic</w:t>
      </w:r>
      <w:r w:rsidR="00975895" w:rsidRPr="003015FD">
        <w:t xml:space="preserve"> </w:t>
      </w:r>
      <w:r w:rsidRPr="003015FD">
        <w:t>system</w:t>
      </w:r>
      <w:r w:rsidR="00975895" w:rsidRPr="003015FD">
        <w:t xml:space="preserve"> </w:t>
      </w:r>
      <w:r w:rsidRPr="003015FD">
        <w:t>to</w:t>
      </w:r>
      <w:r w:rsidR="00975895" w:rsidRPr="003015FD">
        <w:t xml:space="preserve"> </w:t>
      </w:r>
      <w:r w:rsidRPr="003015FD">
        <w:t>play</w:t>
      </w:r>
      <w:r w:rsidR="00975895" w:rsidRPr="003015FD">
        <w:t xml:space="preserve"> </w:t>
      </w:r>
      <w:r w:rsidRPr="003015FD">
        <w:t>a</w:t>
      </w:r>
      <w:r w:rsidR="00975895" w:rsidRPr="003015FD">
        <w:t xml:space="preserve"> </w:t>
      </w:r>
      <w:r w:rsidRPr="003015FD">
        <w:t>role</w:t>
      </w:r>
      <w:r w:rsidR="00975895" w:rsidRPr="003015FD">
        <w:t xml:space="preserve"> </w:t>
      </w:r>
      <w:r w:rsidRPr="003015FD">
        <w:t>in</w:t>
      </w:r>
      <w:r w:rsidR="00975895" w:rsidRPr="003015FD">
        <w:t xml:space="preserve"> </w:t>
      </w:r>
      <w:r w:rsidRPr="003015FD">
        <w:t>protecting</w:t>
      </w:r>
      <w:r w:rsidR="00975895" w:rsidRPr="003015FD">
        <w:t xml:space="preserve"> </w:t>
      </w:r>
      <w:r w:rsidRPr="003015FD">
        <w:t>and</w:t>
      </w:r>
      <w:r w:rsidR="00975895" w:rsidRPr="003015FD">
        <w:t xml:space="preserve"> </w:t>
      </w:r>
      <w:r w:rsidRPr="003015FD">
        <w:t>promoting</w:t>
      </w:r>
      <w:r w:rsidR="00975895" w:rsidRPr="003015FD">
        <w:t xml:space="preserve"> </w:t>
      </w:r>
      <w:r w:rsidRPr="003015FD">
        <w:t>human</w:t>
      </w:r>
      <w:r w:rsidR="00975895" w:rsidRPr="003015FD">
        <w:t xml:space="preserve"> </w:t>
      </w:r>
      <w:r w:rsidRPr="003015FD">
        <w:t>rights.</w:t>
      </w:r>
    </w:p>
    <w:p w14:paraId="78FFE576" w14:textId="707EFF9B" w:rsidR="008E0945" w:rsidRPr="003015FD" w:rsidRDefault="008E0945" w:rsidP="0002642E">
      <w:pPr>
        <w:pStyle w:val="Caption"/>
      </w:pPr>
      <w:bookmarkStart w:id="26" w:name="_Toc15045094"/>
      <w:bookmarkStart w:id="27" w:name="_Toc519186335"/>
      <w:bookmarkStart w:id="28" w:name="_Toc519187201"/>
      <w:r w:rsidRPr="003015FD">
        <w:t>Figure</w:t>
      </w:r>
      <w:r w:rsidR="00975895" w:rsidRPr="003015FD">
        <w:t xml:space="preserve"> </w:t>
      </w:r>
      <w:r w:rsidRPr="003015FD">
        <w:t>1:</w:t>
      </w:r>
      <w:r w:rsidR="00975895" w:rsidRPr="003015FD">
        <w:t xml:space="preserve"> </w:t>
      </w:r>
      <w:r w:rsidRPr="003015FD">
        <w:t>The</w:t>
      </w:r>
      <w:r w:rsidR="00975895" w:rsidRPr="003015FD">
        <w:t xml:space="preserve"> </w:t>
      </w:r>
      <w:r w:rsidRPr="003015FD">
        <w:t>Charter</w:t>
      </w:r>
      <w:r w:rsidR="000C5726">
        <w:t>'</w:t>
      </w:r>
      <w:r w:rsidRPr="003015FD">
        <w:t>s</w:t>
      </w:r>
      <w:r w:rsidR="00975895" w:rsidRPr="003015FD">
        <w:t xml:space="preserve"> </w:t>
      </w:r>
      <w:r w:rsidRPr="003015FD">
        <w:t>dialogue</w:t>
      </w:r>
      <w:r w:rsidR="00975895" w:rsidRPr="003015FD">
        <w:t xml:space="preserve"> </w:t>
      </w:r>
      <w:r w:rsidRPr="003015FD">
        <w:t>of</w:t>
      </w:r>
      <w:r w:rsidR="00975895" w:rsidRPr="003015FD">
        <w:t xml:space="preserve"> </w:t>
      </w:r>
      <w:r w:rsidRPr="003015FD">
        <w:t>rights</w:t>
      </w:r>
      <w:bookmarkEnd w:id="26"/>
      <w:r w:rsidR="00975895" w:rsidRPr="003015FD">
        <w:t xml:space="preserve"> </w:t>
      </w:r>
      <w:bookmarkEnd w:id="27"/>
      <w:bookmarkEnd w:id="28"/>
    </w:p>
    <w:p w14:paraId="0C12D9B4" w14:textId="77777777" w:rsidR="008E0945" w:rsidRPr="003015FD" w:rsidRDefault="008E0945" w:rsidP="008E0945">
      <w:pPr>
        <w:pStyle w:val="VEOHRCBodytext"/>
        <w:rPr>
          <w:lang w:val="en-GB"/>
        </w:rPr>
      </w:pPr>
      <w:r w:rsidRPr="003015FD">
        <w:rPr>
          <w:noProof/>
          <w:lang w:val="en-GB" w:eastAsia="en-GB"/>
        </w:rPr>
        <w:lastRenderedPageBreak/>
        <w:drawing>
          <wp:inline distT="0" distB="0" distL="0" distR="0" wp14:anchorId="6052745E" wp14:editId="7CFCD866">
            <wp:extent cx="4060996" cy="3028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12564" cy="3067413"/>
                    </a:xfrm>
                    <a:prstGeom prst="rect">
                      <a:avLst/>
                    </a:prstGeom>
                    <a:noFill/>
                    <a:ln>
                      <a:noFill/>
                    </a:ln>
                  </pic:spPr>
                </pic:pic>
              </a:graphicData>
            </a:graphic>
          </wp:inline>
        </w:drawing>
      </w:r>
    </w:p>
    <w:p w14:paraId="4A368F5A" w14:textId="64F7C4A9" w:rsidR="008E0945" w:rsidRPr="003015FD" w:rsidRDefault="008E0945" w:rsidP="0002642E">
      <w:r w:rsidRPr="003015FD">
        <w:t>The</w:t>
      </w:r>
      <w:r w:rsidR="00975895" w:rsidRPr="003015FD">
        <w:t xml:space="preserve"> </w:t>
      </w:r>
      <w:r w:rsidRPr="003015FD">
        <w:t>Charter</w:t>
      </w:r>
      <w:r w:rsidR="00975895" w:rsidRPr="003015FD">
        <w:t xml:space="preserve"> </w:t>
      </w:r>
      <w:r w:rsidRPr="003015FD">
        <w:t>protects</w:t>
      </w:r>
      <w:r w:rsidR="00975895" w:rsidRPr="003015FD">
        <w:t xml:space="preserve"> </w:t>
      </w:r>
      <w:r w:rsidRPr="003015FD">
        <w:t>human</w:t>
      </w:r>
      <w:r w:rsidR="00975895" w:rsidRPr="003015FD">
        <w:t xml:space="preserve"> </w:t>
      </w:r>
      <w:r w:rsidRPr="003015FD">
        <w:t>rights</w:t>
      </w:r>
      <w:r w:rsidR="00975895" w:rsidRPr="003015FD">
        <w:t xml:space="preserve"> </w:t>
      </w:r>
      <w:r w:rsidRPr="003015FD">
        <w:t>in</w:t>
      </w:r>
      <w:r w:rsidR="00975895" w:rsidRPr="003015FD">
        <w:t xml:space="preserve"> </w:t>
      </w:r>
      <w:r w:rsidRPr="003015FD">
        <w:t>three</w:t>
      </w:r>
      <w:r w:rsidR="00975895" w:rsidRPr="003015FD">
        <w:t xml:space="preserve"> </w:t>
      </w:r>
      <w:r w:rsidRPr="003015FD">
        <w:t>key</w:t>
      </w:r>
      <w:r w:rsidR="00975895" w:rsidRPr="003015FD">
        <w:t xml:space="preserve"> </w:t>
      </w:r>
      <w:r w:rsidRPr="003015FD">
        <w:t>ways</w:t>
      </w:r>
      <w:r w:rsidR="00975895" w:rsidRPr="003015FD">
        <w:t xml:space="preserve"> </w:t>
      </w:r>
      <w:r w:rsidRPr="003015FD">
        <w:t>by:</w:t>
      </w:r>
    </w:p>
    <w:p w14:paraId="2A265C0B" w14:textId="15FC4D25" w:rsidR="008E0945" w:rsidRPr="003015FD" w:rsidRDefault="008E0945" w:rsidP="0002642E">
      <w:pPr>
        <w:pStyle w:val="ListBullet"/>
      </w:pPr>
      <w:r w:rsidRPr="003015FD">
        <w:t>acting</w:t>
      </w:r>
      <w:r w:rsidR="00975895" w:rsidRPr="003015FD">
        <w:t xml:space="preserve"> </w:t>
      </w:r>
      <w:r w:rsidRPr="003015FD">
        <w:t>as</w:t>
      </w:r>
      <w:r w:rsidR="00975895" w:rsidRPr="003015FD">
        <w:t xml:space="preserve"> </w:t>
      </w:r>
      <w:r w:rsidRPr="003015FD">
        <w:t>a</w:t>
      </w:r>
      <w:r w:rsidR="00975895" w:rsidRPr="003015FD">
        <w:t xml:space="preserve"> </w:t>
      </w:r>
      <w:r w:rsidR="000C5726">
        <w:t>'</w:t>
      </w:r>
      <w:r w:rsidRPr="003015FD">
        <w:t>filter</w:t>
      </w:r>
      <w:r w:rsidR="000C5726">
        <w:t>'</w:t>
      </w:r>
      <w:r w:rsidR="00975895" w:rsidRPr="003015FD">
        <w:t xml:space="preserve"> </w:t>
      </w:r>
      <w:r w:rsidRPr="003015FD">
        <w:t>for</w:t>
      </w:r>
      <w:r w:rsidR="00975895" w:rsidRPr="003015FD">
        <w:t xml:space="preserve"> </w:t>
      </w:r>
      <w:r w:rsidRPr="003015FD">
        <w:t>new</w:t>
      </w:r>
      <w:r w:rsidR="00975895" w:rsidRPr="003015FD">
        <w:t xml:space="preserve"> </w:t>
      </w:r>
      <w:r w:rsidRPr="003015FD">
        <w:t>legislation</w:t>
      </w:r>
      <w:r w:rsidR="009D4E64">
        <w:t>. A</w:t>
      </w:r>
      <w:r w:rsidRPr="003015FD">
        <w:t>ll</w:t>
      </w:r>
      <w:r w:rsidR="00975895" w:rsidRPr="003015FD">
        <w:t xml:space="preserve"> </w:t>
      </w:r>
      <w:r w:rsidRPr="003015FD">
        <w:t>new</w:t>
      </w:r>
      <w:r w:rsidR="00975895" w:rsidRPr="003015FD">
        <w:t xml:space="preserve"> </w:t>
      </w:r>
      <w:r w:rsidRPr="003015FD">
        <w:t>laws</w:t>
      </w:r>
      <w:r w:rsidR="00975895" w:rsidRPr="003015FD">
        <w:t xml:space="preserve"> </w:t>
      </w:r>
      <w:r w:rsidRPr="003015FD">
        <w:t>to</w:t>
      </w:r>
      <w:r w:rsidR="00975895" w:rsidRPr="003015FD">
        <w:t xml:space="preserve"> </w:t>
      </w:r>
      <w:r w:rsidRPr="003015FD">
        <w:t>be</w:t>
      </w:r>
      <w:r w:rsidR="00975895" w:rsidRPr="003015FD">
        <w:t xml:space="preserve"> </w:t>
      </w:r>
      <w:r w:rsidRPr="003015FD">
        <w:t>considered</w:t>
      </w:r>
      <w:r w:rsidR="00975895" w:rsidRPr="003015FD">
        <w:t xml:space="preserve"> </w:t>
      </w:r>
      <w:r w:rsidRPr="003015FD">
        <w:t>by</w:t>
      </w:r>
      <w:r w:rsidR="00975895" w:rsidRPr="003015FD">
        <w:t xml:space="preserve"> </w:t>
      </w:r>
      <w:r w:rsidRPr="003015FD">
        <w:t>Parliament</w:t>
      </w:r>
      <w:r w:rsidR="00975895" w:rsidRPr="003015FD">
        <w:t xml:space="preserve"> </w:t>
      </w:r>
      <w:r w:rsidRPr="003015FD">
        <w:t>require</w:t>
      </w:r>
      <w:r w:rsidR="00975895" w:rsidRPr="003015FD">
        <w:t xml:space="preserve"> </w:t>
      </w:r>
      <w:r w:rsidRPr="003015FD">
        <w:t>a</w:t>
      </w:r>
      <w:r w:rsidR="00975895" w:rsidRPr="003015FD">
        <w:t xml:space="preserve"> </w:t>
      </w:r>
      <w:r w:rsidRPr="003015FD">
        <w:t>statement</w:t>
      </w:r>
      <w:r w:rsidR="00975895" w:rsidRPr="003015FD">
        <w:t xml:space="preserve"> </w:t>
      </w:r>
      <w:r w:rsidRPr="003015FD">
        <w:t>of</w:t>
      </w:r>
      <w:r w:rsidR="00975895" w:rsidRPr="003015FD">
        <w:t xml:space="preserve"> </w:t>
      </w:r>
      <w:r w:rsidRPr="003015FD">
        <w:t>Charter</w:t>
      </w:r>
      <w:r w:rsidR="00975895" w:rsidRPr="003015FD">
        <w:t xml:space="preserve"> </w:t>
      </w:r>
      <w:r w:rsidRPr="003015FD">
        <w:t>compatibility.</w:t>
      </w:r>
      <w:r w:rsidR="00975895" w:rsidRPr="003015FD">
        <w:t xml:space="preserve"> </w:t>
      </w:r>
      <w:r w:rsidRPr="003015FD">
        <w:t>This</w:t>
      </w:r>
      <w:r w:rsidR="00975895" w:rsidRPr="003015FD">
        <w:t xml:space="preserve"> </w:t>
      </w:r>
      <w:r w:rsidRPr="003015FD">
        <w:t>statement</w:t>
      </w:r>
      <w:r w:rsidR="00975895" w:rsidRPr="003015FD">
        <w:t xml:space="preserve"> </w:t>
      </w:r>
      <w:r w:rsidRPr="003015FD">
        <w:t>scrutinises</w:t>
      </w:r>
      <w:r w:rsidR="00975895" w:rsidRPr="003015FD">
        <w:t xml:space="preserve"> </w:t>
      </w:r>
      <w:r w:rsidRPr="003015FD">
        <w:t>how</w:t>
      </w:r>
      <w:r w:rsidR="00975895" w:rsidRPr="003015FD">
        <w:t xml:space="preserve"> </w:t>
      </w:r>
      <w:r w:rsidRPr="003015FD">
        <w:t>the</w:t>
      </w:r>
      <w:r w:rsidR="00975895" w:rsidRPr="003015FD">
        <w:t xml:space="preserve"> </w:t>
      </w:r>
      <w:r w:rsidRPr="003015FD">
        <w:t>new</w:t>
      </w:r>
      <w:r w:rsidR="00975895" w:rsidRPr="003015FD">
        <w:t xml:space="preserve"> </w:t>
      </w:r>
      <w:r w:rsidRPr="003015FD">
        <w:t>law</w:t>
      </w:r>
      <w:r w:rsidR="00975895" w:rsidRPr="003015FD">
        <w:t xml:space="preserve"> </w:t>
      </w:r>
      <w:r w:rsidRPr="003015FD">
        <w:t>compares</w:t>
      </w:r>
      <w:r w:rsidR="00975895" w:rsidRPr="003015FD">
        <w:t xml:space="preserve"> </w:t>
      </w:r>
      <w:r w:rsidRPr="003015FD">
        <w:t>with</w:t>
      </w:r>
      <w:r w:rsidR="00975895" w:rsidRPr="003015FD">
        <w:t xml:space="preserve"> </w:t>
      </w:r>
      <w:r w:rsidRPr="003015FD">
        <w:t>rights</w:t>
      </w:r>
      <w:r w:rsidR="00975895" w:rsidRPr="003015FD">
        <w:t xml:space="preserve"> </w:t>
      </w:r>
      <w:r w:rsidRPr="003015FD">
        <w:t>established</w:t>
      </w:r>
      <w:r w:rsidR="00975895" w:rsidRPr="003015FD">
        <w:t xml:space="preserve"> </w:t>
      </w:r>
      <w:r w:rsidRPr="003015FD">
        <w:t>in</w:t>
      </w:r>
      <w:r w:rsidR="00975895" w:rsidRPr="003015FD">
        <w:t xml:space="preserve"> </w:t>
      </w:r>
      <w:r w:rsidRPr="003015FD">
        <w:t>the</w:t>
      </w:r>
      <w:r w:rsidR="00975895" w:rsidRPr="003015FD">
        <w:t xml:space="preserve"> </w:t>
      </w:r>
      <w:r w:rsidRPr="003015FD">
        <w:t>Charter</w:t>
      </w:r>
      <w:r w:rsidR="00975895" w:rsidRPr="003015FD">
        <w:t xml:space="preserve"> </w:t>
      </w:r>
      <w:r w:rsidRPr="003015FD">
        <w:t>and</w:t>
      </w:r>
      <w:r w:rsidR="00975895" w:rsidRPr="003015FD">
        <w:t xml:space="preserve"> </w:t>
      </w:r>
      <w:r w:rsidRPr="003015FD">
        <w:t>offers</w:t>
      </w:r>
      <w:r w:rsidR="00975895" w:rsidRPr="003015FD">
        <w:t xml:space="preserve"> </w:t>
      </w:r>
      <w:r w:rsidRPr="003015FD">
        <w:t>a</w:t>
      </w:r>
      <w:r w:rsidR="00975895" w:rsidRPr="003015FD">
        <w:t xml:space="preserve"> </w:t>
      </w:r>
      <w:r w:rsidRPr="003015FD">
        <w:t>justification</w:t>
      </w:r>
      <w:r w:rsidR="00975895" w:rsidRPr="003015FD">
        <w:t xml:space="preserve"> </w:t>
      </w:r>
      <w:r w:rsidRPr="003015FD">
        <w:t>for</w:t>
      </w:r>
      <w:r w:rsidR="00975895" w:rsidRPr="003015FD">
        <w:t xml:space="preserve"> </w:t>
      </w:r>
      <w:r w:rsidRPr="003015FD">
        <w:t>any</w:t>
      </w:r>
      <w:r w:rsidR="00975895" w:rsidRPr="003015FD">
        <w:t xml:space="preserve"> </w:t>
      </w:r>
      <w:r w:rsidRPr="003015FD">
        <w:t>limits</w:t>
      </w:r>
      <w:r w:rsidR="00975895" w:rsidRPr="003015FD">
        <w:t xml:space="preserve"> </w:t>
      </w:r>
      <w:r w:rsidRPr="003015FD">
        <w:t>on</w:t>
      </w:r>
      <w:r w:rsidR="00975895" w:rsidRPr="003015FD">
        <w:t xml:space="preserve"> </w:t>
      </w:r>
      <w:r w:rsidRPr="003015FD">
        <w:t>rights.</w:t>
      </w:r>
      <w:r w:rsidRPr="004862C5">
        <w:rPr>
          <w:rStyle w:val="FootnoteReference"/>
        </w:rPr>
        <w:footnoteReference w:id="8"/>
      </w:r>
    </w:p>
    <w:p w14:paraId="1CA5DE80" w14:textId="0B2852AC" w:rsidR="008E0945" w:rsidRPr="003015FD" w:rsidRDefault="008E0945" w:rsidP="0002642E">
      <w:pPr>
        <w:pStyle w:val="ListBullet"/>
      </w:pPr>
      <w:r w:rsidRPr="003015FD">
        <w:t>placing</w:t>
      </w:r>
      <w:r w:rsidR="00975895" w:rsidRPr="003015FD">
        <w:t xml:space="preserve"> </w:t>
      </w:r>
      <w:r w:rsidRPr="003015FD">
        <w:t>an</w:t>
      </w:r>
      <w:r w:rsidR="00975895" w:rsidRPr="003015FD">
        <w:t xml:space="preserve"> </w:t>
      </w:r>
      <w:r w:rsidRPr="003015FD">
        <w:t>obligation</w:t>
      </w:r>
      <w:r w:rsidR="00975895" w:rsidRPr="003015FD">
        <w:t xml:space="preserve"> </w:t>
      </w:r>
      <w:r w:rsidRPr="003015FD">
        <w:t>on</w:t>
      </w:r>
      <w:r w:rsidR="00975895" w:rsidRPr="003015FD">
        <w:t xml:space="preserve"> </w:t>
      </w:r>
      <w:r w:rsidRPr="003015FD">
        <w:t>courts</w:t>
      </w:r>
      <w:r w:rsidR="00975895" w:rsidRPr="003015FD">
        <w:t xml:space="preserve"> </w:t>
      </w:r>
      <w:r w:rsidRPr="003015FD">
        <w:t>and</w:t>
      </w:r>
      <w:r w:rsidR="00975895" w:rsidRPr="003015FD">
        <w:t xml:space="preserve"> </w:t>
      </w:r>
      <w:r w:rsidRPr="003015FD">
        <w:t>tribunals</w:t>
      </w:r>
      <w:r w:rsidR="00975895" w:rsidRPr="003015FD">
        <w:t xml:space="preserve"> </w:t>
      </w:r>
      <w:r w:rsidRPr="003015FD">
        <w:t>to</w:t>
      </w:r>
      <w:r w:rsidR="00975895" w:rsidRPr="003015FD">
        <w:t xml:space="preserve"> </w:t>
      </w:r>
      <w:r w:rsidRPr="003015FD">
        <w:t>interpret</w:t>
      </w:r>
      <w:r w:rsidR="00975895" w:rsidRPr="003015FD">
        <w:t xml:space="preserve"> </w:t>
      </w:r>
      <w:r w:rsidRPr="003015FD">
        <w:t>all</w:t>
      </w:r>
      <w:r w:rsidR="00975895" w:rsidRPr="003015FD">
        <w:t xml:space="preserve"> </w:t>
      </w:r>
      <w:r w:rsidRPr="003015FD">
        <w:t>Victorian</w:t>
      </w:r>
      <w:r w:rsidR="00975895" w:rsidRPr="003015FD">
        <w:t xml:space="preserve"> </w:t>
      </w:r>
      <w:r w:rsidRPr="003015FD">
        <w:t>laws,</w:t>
      </w:r>
      <w:r w:rsidR="00975895" w:rsidRPr="003015FD">
        <w:t xml:space="preserve"> </w:t>
      </w:r>
      <w:r w:rsidRPr="003015FD">
        <w:t>as</w:t>
      </w:r>
      <w:r w:rsidR="00975895" w:rsidRPr="003015FD">
        <w:t xml:space="preserve"> </w:t>
      </w:r>
      <w:r w:rsidRPr="003015FD">
        <w:t>far</w:t>
      </w:r>
      <w:r w:rsidR="00975895" w:rsidRPr="003015FD">
        <w:t xml:space="preserve"> </w:t>
      </w:r>
      <w:r w:rsidRPr="003015FD">
        <w:t>as</w:t>
      </w:r>
      <w:r w:rsidR="00975895" w:rsidRPr="003015FD">
        <w:t xml:space="preserve"> </w:t>
      </w:r>
      <w:r w:rsidRPr="003015FD">
        <w:t>is</w:t>
      </w:r>
      <w:r w:rsidR="00975895" w:rsidRPr="003015FD">
        <w:t xml:space="preserve"> </w:t>
      </w:r>
      <w:r w:rsidRPr="003015FD">
        <w:t>possible</w:t>
      </w:r>
      <w:r w:rsidR="00975895" w:rsidRPr="003015FD">
        <w:t xml:space="preserve"> </w:t>
      </w:r>
      <w:r w:rsidRPr="003015FD">
        <w:t>to</w:t>
      </w:r>
      <w:r w:rsidR="00975895" w:rsidRPr="003015FD">
        <w:t xml:space="preserve"> </w:t>
      </w:r>
      <w:r w:rsidRPr="003015FD">
        <w:t>do</w:t>
      </w:r>
      <w:r w:rsidR="00975895" w:rsidRPr="003015FD">
        <w:t xml:space="preserve"> </w:t>
      </w:r>
      <w:r w:rsidRPr="003015FD">
        <w:t>so</w:t>
      </w:r>
      <w:r w:rsidR="00975895" w:rsidRPr="003015FD">
        <w:t xml:space="preserve"> </w:t>
      </w:r>
      <w:r w:rsidRPr="003015FD">
        <w:t>consistently</w:t>
      </w:r>
      <w:r w:rsidR="00975895" w:rsidRPr="003015FD">
        <w:t xml:space="preserve"> </w:t>
      </w:r>
      <w:r w:rsidRPr="003015FD">
        <w:t>with</w:t>
      </w:r>
      <w:r w:rsidR="00975895" w:rsidRPr="003015FD">
        <w:t xml:space="preserve"> </w:t>
      </w:r>
      <w:r w:rsidRPr="003015FD">
        <w:t>their</w:t>
      </w:r>
      <w:r w:rsidR="00975895" w:rsidRPr="003015FD">
        <w:t xml:space="preserve"> </w:t>
      </w:r>
      <w:r w:rsidRPr="003015FD">
        <w:t>purpose,</w:t>
      </w:r>
      <w:r w:rsidR="00975895" w:rsidRPr="003015FD">
        <w:t xml:space="preserve"> </w:t>
      </w:r>
      <w:r w:rsidRPr="003015FD">
        <w:t>in</w:t>
      </w:r>
      <w:r w:rsidR="00975895" w:rsidRPr="003015FD">
        <w:t xml:space="preserve"> </w:t>
      </w:r>
      <w:r w:rsidRPr="003015FD">
        <w:t>a</w:t>
      </w:r>
      <w:r w:rsidR="00975895" w:rsidRPr="003015FD">
        <w:t xml:space="preserve"> </w:t>
      </w:r>
      <w:r w:rsidRPr="003015FD">
        <w:t>way</w:t>
      </w:r>
      <w:r w:rsidR="00975895" w:rsidRPr="003015FD">
        <w:t xml:space="preserve"> </w:t>
      </w:r>
      <w:r w:rsidRPr="003015FD">
        <w:t>that</w:t>
      </w:r>
      <w:r w:rsidR="00975895" w:rsidRPr="003015FD">
        <w:t xml:space="preserve"> </w:t>
      </w:r>
      <w:r w:rsidRPr="003015FD">
        <w:t>is</w:t>
      </w:r>
      <w:r w:rsidR="00975895" w:rsidRPr="003015FD">
        <w:t xml:space="preserve"> </w:t>
      </w:r>
      <w:r w:rsidRPr="003015FD">
        <w:t>compatible</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Pr="004862C5">
        <w:rPr>
          <w:rStyle w:val="FootnoteReference"/>
        </w:rPr>
        <w:footnoteReference w:id="9"/>
      </w:r>
      <w:r w:rsidR="00975895" w:rsidRPr="003015FD">
        <w:t xml:space="preserve"> </w:t>
      </w:r>
    </w:p>
    <w:p w14:paraId="22559970" w14:textId="24F835E0" w:rsidR="008E0945" w:rsidRPr="003015FD" w:rsidRDefault="008E0945" w:rsidP="0002642E">
      <w:pPr>
        <w:pStyle w:val="ListBullet"/>
      </w:pPr>
      <w:r w:rsidRPr="003015FD">
        <w:t>making</w:t>
      </w:r>
      <w:r w:rsidR="00975895" w:rsidRPr="003015FD">
        <w:t xml:space="preserve"> </w:t>
      </w:r>
      <w:r w:rsidRPr="003015FD">
        <w:t>it</w:t>
      </w:r>
      <w:r w:rsidR="00975895" w:rsidRPr="003015FD">
        <w:t xml:space="preserve"> </w:t>
      </w:r>
      <w:r w:rsidRPr="003015FD">
        <w:t>unlawful</w:t>
      </w:r>
      <w:r w:rsidR="00975895" w:rsidRPr="003015FD">
        <w:t xml:space="preserve"> </w:t>
      </w:r>
      <w:r w:rsidRPr="003015FD">
        <w:t>for</w:t>
      </w:r>
      <w:r w:rsidR="00975895" w:rsidRPr="003015FD">
        <w:t xml:space="preserve"> </w:t>
      </w:r>
      <w:r w:rsidRPr="003015FD">
        <w:t>a</w:t>
      </w:r>
      <w:r w:rsidR="00975895" w:rsidRPr="003015FD">
        <w:t xml:space="preserve"> </w:t>
      </w:r>
      <w:r w:rsidRPr="003015FD">
        <w:t>public</w:t>
      </w:r>
      <w:r w:rsidR="00975895" w:rsidRPr="003015FD">
        <w:t xml:space="preserve"> </w:t>
      </w:r>
      <w:r w:rsidRPr="003015FD">
        <w:t>authority</w:t>
      </w:r>
      <w:r w:rsidR="00975895" w:rsidRPr="003015FD">
        <w:t xml:space="preserve"> </w:t>
      </w:r>
      <w:r w:rsidRPr="003015FD">
        <w:t>to</w:t>
      </w:r>
      <w:r w:rsidR="00975895" w:rsidRPr="003015FD">
        <w:t xml:space="preserve"> </w:t>
      </w:r>
      <w:r w:rsidRPr="003015FD">
        <w:t>act</w:t>
      </w:r>
      <w:r w:rsidR="00975895" w:rsidRPr="003015FD">
        <w:t xml:space="preserve"> </w:t>
      </w:r>
      <w:r w:rsidRPr="003015FD">
        <w:t>in</w:t>
      </w:r>
      <w:r w:rsidR="00975895" w:rsidRPr="003015FD">
        <w:t xml:space="preserve"> </w:t>
      </w:r>
      <w:r w:rsidRPr="003015FD">
        <w:t>a</w:t>
      </w:r>
      <w:r w:rsidR="00975895" w:rsidRPr="003015FD">
        <w:t xml:space="preserve"> </w:t>
      </w:r>
      <w:r w:rsidRPr="003015FD">
        <w:t>way</w:t>
      </w:r>
      <w:r w:rsidR="00975895" w:rsidRPr="003015FD">
        <w:t xml:space="preserve"> </w:t>
      </w:r>
      <w:r w:rsidRPr="003015FD">
        <w:t>that</w:t>
      </w:r>
      <w:r w:rsidR="00975895" w:rsidRPr="003015FD">
        <w:t xml:space="preserve"> </w:t>
      </w:r>
      <w:r w:rsidRPr="003015FD">
        <w:t>is</w:t>
      </w:r>
      <w:r w:rsidR="00975895" w:rsidRPr="003015FD">
        <w:t xml:space="preserve"> </w:t>
      </w:r>
      <w:r w:rsidRPr="003015FD">
        <w:t>incompatible</w:t>
      </w:r>
      <w:r w:rsidR="00975895" w:rsidRPr="003015FD">
        <w:t xml:space="preserve"> </w:t>
      </w:r>
      <w:r w:rsidRPr="003015FD">
        <w:t>with</w:t>
      </w:r>
      <w:r w:rsidR="00975895" w:rsidRPr="003015FD">
        <w:t xml:space="preserve"> </w:t>
      </w:r>
      <w:r w:rsidRPr="003015FD">
        <w:t>a</w:t>
      </w:r>
      <w:r w:rsidR="00975895" w:rsidRPr="003015FD">
        <w:t xml:space="preserve"> </w:t>
      </w:r>
      <w:r w:rsidRPr="003015FD">
        <w:t>human</w:t>
      </w:r>
      <w:r w:rsidR="00975895" w:rsidRPr="003015FD">
        <w:t xml:space="preserve"> </w:t>
      </w:r>
      <w:r w:rsidRPr="003015FD">
        <w:t>right</w:t>
      </w:r>
      <w:r w:rsidR="00975895" w:rsidRPr="003015FD">
        <w:t xml:space="preserve"> </w:t>
      </w:r>
      <w:r w:rsidRPr="003015FD">
        <w:t>or,</w:t>
      </w:r>
      <w:r w:rsidR="00975895" w:rsidRPr="003015FD">
        <w:t xml:space="preserve"> </w:t>
      </w:r>
      <w:r w:rsidRPr="003015FD">
        <w:t>when</w:t>
      </w:r>
      <w:r w:rsidR="00975895" w:rsidRPr="003015FD">
        <w:t xml:space="preserve"> </w:t>
      </w:r>
      <w:r w:rsidRPr="003015FD">
        <w:t>making</w:t>
      </w:r>
      <w:r w:rsidR="00975895" w:rsidRPr="003015FD">
        <w:t xml:space="preserve"> </w:t>
      </w:r>
      <w:r w:rsidRPr="003015FD">
        <w:t>a</w:t>
      </w:r>
      <w:r w:rsidR="00975895" w:rsidRPr="003015FD">
        <w:t xml:space="preserve"> </w:t>
      </w:r>
      <w:r w:rsidRPr="003015FD">
        <w:t>decision,</w:t>
      </w:r>
      <w:r w:rsidR="00975895" w:rsidRPr="003015FD">
        <w:t xml:space="preserve"> </w:t>
      </w:r>
      <w:r w:rsidRPr="003015FD">
        <w:t>to</w:t>
      </w:r>
      <w:r w:rsidR="00975895" w:rsidRPr="003015FD">
        <w:t xml:space="preserve"> </w:t>
      </w:r>
      <w:r w:rsidRPr="003015FD">
        <w:t>fail</w:t>
      </w:r>
      <w:r w:rsidR="00975895" w:rsidRPr="003015FD">
        <w:t xml:space="preserve"> </w:t>
      </w:r>
      <w:r w:rsidRPr="003015FD">
        <w:t>to</w:t>
      </w:r>
      <w:r w:rsidR="00975895" w:rsidRPr="003015FD">
        <w:t xml:space="preserve"> </w:t>
      </w:r>
      <w:r w:rsidRPr="003015FD">
        <w:t>give</w:t>
      </w:r>
      <w:r w:rsidR="00975895" w:rsidRPr="003015FD">
        <w:t xml:space="preserve"> </w:t>
      </w:r>
      <w:r w:rsidRPr="003015FD">
        <w:t>proper</w:t>
      </w:r>
      <w:r w:rsidR="00975895" w:rsidRPr="003015FD">
        <w:t xml:space="preserve"> </w:t>
      </w:r>
      <w:r w:rsidRPr="003015FD">
        <w:t>consideration</w:t>
      </w:r>
      <w:r w:rsidR="00975895" w:rsidRPr="003015FD">
        <w:t xml:space="preserve"> </w:t>
      </w:r>
      <w:r w:rsidRPr="003015FD">
        <w:t>to</w:t>
      </w:r>
      <w:r w:rsidR="00975895" w:rsidRPr="003015FD">
        <w:t xml:space="preserve"> </w:t>
      </w:r>
      <w:r w:rsidRPr="003015FD">
        <w:t>a</w:t>
      </w:r>
      <w:r w:rsidR="00975895" w:rsidRPr="003015FD">
        <w:t xml:space="preserve"> </w:t>
      </w:r>
      <w:r w:rsidRPr="003015FD">
        <w:t>relevant</w:t>
      </w:r>
      <w:r w:rsidR="00975895" w:rsidRPr="003015FD">
        <w:t xml:space="preserve"> </w:t>
      </w:r>
      <w:r w:rsidRPr="003015FD">
        <w:t>human</w:t>
      </w:r>
      <w:r w:rsidR="00975895" w:rsidRPr="003015FD">
        <w:t xml:space="preserve"> </w:t>
      </w:r>
      <w:r w:rsidRPr="003015FD">
        <w:t>right.</w:t>
      </w:r>
      <w:r w:rsidRPr="004862C5">
        <w:rPr>
          <w:rStyle w:val="FootnoteReference"/>
        </w:rPr>
        <w:footnoteReference w:id="10"/>
      </w:r>
      <w:r w:rsidR="00975895" w:rsidRPr="003015FD">
        <w:t xml:space="preserve"> </w:t>
      </w:r>
      <w:r w:rsidRPr="003015FD">
        <w:t>If</w:t>
      </w:r>
      <w:r w:rsidR="00975895" w:rsidRPr="003015FD">
        <w:t xml:space="preserve"> </w:t>
      </w:r>
      <w:r w:rsidRPr="003015FD">
        <w:t>a</w:t>
      </w:r>
      <w:r w:rsidR="00975895" w:rsidRPr="003015FD">
        <w:t xml:space="preserve"> </w:t>
      </w:r>
      <w:r w:rsidRPr="003015FD">
        <w:t>public</w:t>
      </w:r>
      <w:r w:rsidR="00975895" w:rsidRPr="003015FD">
        <w:t xml:space="preserve"> </w:t>
      </w:r>
      <w:r w:rsidRPr="003015FD">
        <w:t>authority</w:t>
      </w:r>
      <w:r w:rsidR="00975895" w:rsidRPr="003015FD">
        <w:t xml:space="preserve"> </w:t>
      </w:r>
      <w:r w:rsidRPr="003015FD">
        <w:t>acts</w:t>
      </w:r>
      <w:r w:rsidR="00975895" w:rsidRPr="003015FD">
        <w:t xml:space="preserve"> </w:t>
      </w:r>
      <w:r w:rsidRPr="003015FD">
        <w:t>incompatibly</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or</w:t>
      </w:r>
      <w:r w:rsidR="00975895" w:rsidRPr="003015FD">
        <w:t xml:space="preserve"> </w:t>
      </w:r>
      <w:r w:rsidRPr="003015FD">
        <w:t>doesn</w:t>
      </w:r>
      <w:r w:rsidR="000C5726">
        <w:t>'</w:t>
      </w:r>
      <w:r w:rsidRPr="003015FD">
        <w:t>t</w:t>
      </w:r>
      <w:r w:rsidR="00975895" w:rsidRPr="003015FD">
        <w:t xml:space="preserve"> </w:t>
      </w:r>
      <w:r w:rsidRPr="003015FD">
        <w:t>consider</w:t>
      </w:r>
      <w:r w:rsidR="00975895" w:rsidRPr="003015FD">
        <w:t xml:space="preserve"> </w:t>
      </w:r>
      <w:r w:rsidRPr="003015FD">
        <w:t>human</w:t>
      </w:r>
      <w:r w:rsidR="00975895" w:rsidRPr="003015FD">
        <w:t xml:space="preserve"> </w:t>
      </w:r>
      <w:r w:rsidRPr="003015FD">
        <w:t>rights</w:t>
      </w:r>
      <w:r w:rsidR="00975895" w:rsidRPr="003015FD">
        <w:t xml:space="preserve"> </w:t>
      </w:r>
      <w:r w:rsidRPr="003015FD">
        <w:t>when</w:t>
      </w:r>
      <w:r w:rsidR="00975895" w:rsidRPr="003015FD">
        <w:t xml:space="preserve"> </w:t>
      </w:r>
      <w:r w:rsidRPr="003015FD">
        <w:t>making</w:t>
      </w:r>
      <w:r w:rsidR="00975895" w:rsidRPr="003015FD">
        <w:t xml:space="preserve"> </w:t>
      </w:r>
      <w:r w:rsidRPr="003015FD">
        <w:t>a</w:t>
      </w:r>
      <w:r w:rsidR="00975895" w:rsidRPr="003015FD">
        <w:t xml:space="preserve"> </w:t>
      </w:r>
      <w:r w:rsidRPr="003015FD">
        <w:t>decision</w:t>
      </w:r>
      <w:r w:rsidR="003A273A">
        <w:t>,</w:t>
      </w:r>
      <w:r w:rsidR="00975895" w:rsidRPr="003015FD">
        <w:t xml:space="preserve"> </w:t>
      </w:r>
      <w:r w:rsidRPr="003015FD">
        <w:t>people</w:t>
      </w:r>
      <w:r w:rsidR="00975895" w:rsidRPr="003015FD">
        <w:t xml:space="preserve"> </w:t>
      </w:r>
      <w:r w:rsidRPr="003015FD">
        <w:t>can:</w:t>
      </w:r>
    </w:p>
    <w:p w14:paraId="48EC155C" w14:textId="7E435F76" w:rsidR="008E0945" w:rsidRPr="003015FD" w:rsidRDefault="008E0945" w:rsidP="0002642E">
      <w:pPr>
        <w:pStyle w:val="ListBullet3"/>
      </w:pPr>
      <w:r w:rsidRPr="003015FD">
        <w:t>make</w:t>
      </w:r>
      <w:r w:rsidR="00975895" w:rsidRPr="003015FD">
        <w:t xml:space="preserve"> </w:t>
      </w:r>
      <w:r w:rsidRPr="003015FD">
        <w:t>a</w:t>
      </w:r>
      <w:r w:rsidR="00975895" w:rsidRPr="003015FD">
        <w:t xml:space="preserve"> </w:t>
      </w:r>
      <w:r w:rsidRPr="003015FD">
        <w:t>complaint</w:t>
      </w:r>
      <w:r w:rsidR="00975895" w:rsidRPr="003015FD">
        <w:t xml:space="preserve"> </w:t>
      </w:r>
      <w:r w:rsidRPr="003015FD">
        <w:t>to</w:t>
      </w:r>
      <w:r w:rsidR="00975895" w:rsidRPr="003015FD">
        <w:t xml:space="preserve"> </w:t>
      </w:r>
      <w:r w:rsidRPr="003015FD">
        <w:t>the</w:t>
      </w:r>
      <w:r w:rsidR="00975895" w:rsidRPr="003015FD">
        <w:t xml:space="preserve"> </w:t>
      </w:r>
      <w:r w:rsidRPr="003015FD">
        <w:t>Victorian</w:t>
      </w:r>
      <w:r w:rsidR="00975895" w:rsidRPr="003015FD">
        <w:t xml:space="preserve"> </w:t>
      </w:r>
      <w:r w:rsidRPr="003015FD">
        <w:t>Ombudsman,</w:t>
      </w:r>
      <w:r w:rsidR="00975895" w:rsidRPr="003015FD">
        <w:t xml:space="preserve"> </w:t>
      </w:r>
      <w:r w:rsidRPr="003015FD">
        <w:t>who</w:t>
      </w:r>
      <w:r w:rsidR="00975895" w:rsidRPr="003015FD">
        <w:t xml:space="preserve"> </w:t>
      </w:r>
      <w:r w:rsidRPr="003015FD">
        <w:t>can</w:t>
      </w:r>
      <w:r w:rsidR="00975895" w:rsidRPr="003015FD">
        <w:t xml:space="preserve"> </w:t>
      </w:r>
      <w:r w:rsidRPr="003015FD">
        <w:t>investigate</w:t>
      </w:r>
      <w:r w:rsidR="00975895" w:rsidRPr="003015FD">
        <w:t xml:space="preserve"> </w:t>
      </w:r>
      <w:r w:rsidRPr="003015FD">
        <w:t>certain</w:t>
      </w:r>
      <w:r w:rsidR="00975895" w:rsidRPr="003015FD">
        <w:t xml:space="preserve"> </w:t>
      </w:r>
      <w:r w:rsidRPr="003015FD">
        <w:t>public</w:t>
      </w:r>
      <w:r w:rsidR="00975895" w:rsidRPr="003015FD">
        <w:t xml:space="preserve"> </w:t>
      </w:r>
      <w:r w:rsidRPr="003015FD">
        <w:t>authorities</w:t>
      </w:r>
      <w:r w:rsidR="00975895" w:rsidRPr="003015FD">
        <w:t xml:space="preserve"> </w:t>
      </w:r>
    </w:p>
    <w:p w14:paraId="4B37BECA" w14:textId="2DC2C394" w:rsidR="00AE5A53" w:rsidRPr="003015FD" w:rsidRDefault="008E0945" w:rsidP="0002642E">
      <w:pPr>
        <w:pStyle w:val="ListBullet3"/>
      </w:pPr>
      <w:r w:rsidRPr="003015FD">
        <w:t>bring</w:t>
      </w:r>
      <w:r w:rsidR="00975895" w:rsidRPr="003015FD">
        <w:t xml:space="preserve"> </w:t>
      </w:r>
      <w:r w:rsidRPr="003015FD">
        <w:t>legal</w:t>
      </w:r>
      <w:r w:rsidR="00975895" w:rsidRPr="003015FD">
        <w:t xml:space="preserve"> </w:t>
      </w:r>
      <w:r w:rsidRPr="003015FD">
        <w:t>proceedings</w:t>
      </w:r>
      <w:r w:rsidR="00975895" w:rsidRPr="003015FD">
        <w:t xml:space="preserve"> </w:t>
      </w:r>
      <w:r w:rsidRPr="003015FD">
        <w:t>against</w:t>
      </w:r>
      <w:r w:rsidR="00975895" w:rsidRPr="003015FD">
        <w:t xml:space="preserve"> </w:t>
      </w:r>
      <w:r w:rsidRPr="003015FD">
        <w:t>the</w:t>
      </w:r>
      <w:r w:rsidR="00975895" w:rsidRPr="003015FD">
        <w:t xml:space="preserve"> </w:t>
      </w:r>
      <w:r w:rsidRPr="003015FD">
        <w:t>public</w:t>
      </w:r>
      <w:r w:rsidR="00975895" w:rsidRPr="003015FD">
        <w:t xml:space="preserve"> </w:t>
      </w:r>
      <w:r w:rsidRPr="003015FD">
        <w:t>authority.</w:t>
      </w:r>
      <w:r w:rsidR="00975895" w:rsidRPr="003015FD">
        <w:t xml:space="preserve"> </w:t>
      </w:r>
      <w:r w:rsidR="0034121A" w:rsidRPr="003015FD">
        <w:t>There</w:t>
      </w:r>
      <w:r w:rsidR="00975895" w:rsidRPr="003015FD">
        <w:t xml:space="preserve"> </w:t>
      </w:r>
      <w:r w:rsidR="0034121A" w:rsidRPr="003015FD">
        <w:t>is</w:t>
      </w:r>
      <w:r w:rsidR="00975895" w:rsidRPr="003015FD">
        <w:t xml:space="preserve"> </w:t>
      </w:r>
      <w:r w:rsidR="0034121A" w:rsidRPr="003015FD">
        <w:t>no</w:t>
      </w:r>
      <w:r w:rsidR="00975895" w:rsidRPr="003015FD">
        <w:t xml:space="preserve"> </w:t>
      </w:r>
      <w:r w:rsidR="0034121A" w:rsidRPr="003015FD">
        <w:t>direct</w:t>
      </w:r>
      <w:r w:rsidR="00975895" w:rsidRPr="003015FD">
        <w:t xml:space="preserve"> </w:t>
      </w:r>
      <w:r w:rsidR="0034121A" w:rsidRPr="003015FD">
        <w:t>cause</w:t>
      </w:r>
      <w:r w:rsidR="00975895" w:rsidRPr="003015FD">
        <w:t xml:space="preserve"> </w:t>
      </w:r>
      <w:r w:rsidR="0034121A" w:rsidRPr="003015FD">
        <w:t>of</w:t>
      </w:r>
      <w:r w:rsidR="00975895" w:rsidRPr="003015FD">
        <w:t xml:space="preserve"> </w:t>
      </w:r>
      <w:r w:rsidR="0034121A" w:rsidRPr="003015FD">
        <w:t>action</w:t>
      </w:r>
      <w:r w:rsidR="00975895" w:rsidRPr="003015FD">
        <w:t xml:space="preserve"> </w:t>
      </w:r>
      <w:r w:rsidR="0034121A" w:rsidRPr="003015FD">
        <w:t>under</w:t>
      </w:r>
      <w:r w:rsidR="00975895" w:rsidRPr="003015FD">
        <w:t xml:space="preserve"> </w:t>
      </w:r>
      <w:r w:rsidR="0034121A" w:rsidRPr="003015FD">
        <w:t>the</w:t>
      </w:r>
      <w:r w:rsidR="00975895" w:rsidRPr="003015FD">
        <w:t xml:space="preserve"> </w:t>
      </w:r>
      <w:r w:rsidR="0034121A" w:rsidRPr="003015FD">
        <w:t>Charter.</w:t>
      </w:r>
      <w:r w:rsidR="00975895" w:rsidRPr="003015FD">
        <w:t xml:space="preserve"> </w:t>
      </w:r>
      <w:r w:rsidR="0034121A" w:rsidRPr="003015FD">
        <w:t>This</w:t>
      </w:r>
      <w:r w:rsidR="00975895" w:rsidRPr="003015FD">
        <w:t xml:space="preserve"> </w:t>
      </w:r>
      <w:r w:rsidR="0034121A" w:rsidRPr="003015FD">
        <w:t>means</w:t>
      </w:r>
      <w:r w:rsidR="00975895" w:rsidRPr="003015FD">
        <w:t xml:space="preserve"> </w:t>
      </w:r>
      <w:r w:rsidR="0034121A" w:rsidRPr="003015FD">
        <w:t>that</w:t>
      </w:r>
      <w:r w:rsidR="00975895" w:rsidRPr="003015FD">
        <w:t xml:space="preserve"> </w:t>
      </w:r>
      <w:r w:rsidR="0034121A" w:rsidRPr="003015FD">
        <w:t>people</w:t>
      </w:r>
      <w:r w:rsidR="00975895" w:rsidRPr="003015FD">
        <w:t xml:space="preserve"> </w:t>
      </w:r>
      <w:r w:rsidR="0034121A" w:rsidRPr="003015FD">
        <w:t>cannot</w:t>
      </w:r>
      <w:r w:rsidR="00975895" w:rsidRPr="003015FD">
        <w:t xml:space="preserve"> </w:t>
      </w:r>
      <w:r w:rsidR="0034121A" w:rsidRPr="003015FD">
        <w:t>make</w:t>
      </w:r>
      <w:r w:rsidR="00975895" w:rsidRPr="003015FD">
        <w:t xml:space="preserve"> </w:t>
      </w:r>
      <w:r w:rsidR="0034121A" w:rsidRPr="003015FD">
        <w:t>complaints</w:t>
      </w:r>
      <w:r w:rsidR="00975895" w:rsidRPr="003015FD">
        <w:t xml:space="preserve"> </w:t>
      </w:r>
      <w:r w:rsidR="0034121A" w:rsidRPr="003015FD">
        <w:t>directly</w:t>
      </w:r>
      <w:r w:rsidR="00975895" w:rsidRPr="003015FD">
        <w:t xml:space="preserve"> </w:t>
      </w:r>
      <w:r w:rsidR="0034121A" w:rsidRPr="003015FD">
        <w:t>to</w:t>
      </w:r>
      <w:r w:rsidR="00975895" w:rsidRPr="003015FD">
        <w:t xml:space="preserve"> </w:t>
      </w:r>
      <w:r w:rsidR="0034121A" w:rsidRPr="003015FD">
        <w:t>courts</w:t>
      </w:r>
      <w:r w:rsidR="00975895" w:rsidRPr="003015FD">
        <w:t xml:space="preserve"> </w:t>
      </w:r>
      <w:r w:rsidR="0034121A" w:rsidRPr="003015FD">
        <w:t>and</w:t>
      </w:r>
      <w:r w:rsidR="00975895" w:rsidRPr="003015FD">
        <w:t xml:space="preserve"> </w:t>
      </w:r>
      <w:r w:rsidR="0034121A" w:rsidRPr="003015FD">
        <w:t>tribunals</w:t>
      </w:r>
      <w:r w:rsidR="00975895" w:rsidRPr="003015FD">
        <w:t xml:space="preserve"> </w:t>
      </w:r>
      <w:r w:rsidR="0034121A" w:rsidRPr="003015FD">
        <w:t>for</w:t>
      </w:r>
      <w:r w:rsidR="00975895" w:rsidRPr="003015FD">
        <w:t xml:space="preserve"> </w:t>
      </w:r>
      <w:r w:rsidR="0034121A" w:rsidRPr="003015FD">
        <w:t>breaches</w:t>
      </w:r>
      <w:r w:rsidR="00975895" w:rsidRPr="003015FD">
        <w:t xml:space="preserve"> </w:t>
      </w:r>
      <w:r w:rsidR="0034121A" w:rsidRPr="003015FD">
        <w:t>of</w:t>
      </w:r>
      <w:r w:rsidR="00975895" w:rsidRPr="003015FD">
        <w:t xml:space="preserve"> </w:t>
      </w:r>
      <w:r w:rsidR="0034121A" w:rsidRPr="003015FD">
        <w:t>the</w:t>
      </w:r>
      <w:r w:rsidR="00975895" w:rsidRPr="003015FD">
        <w:t xml:space="preserve"> </w:t>
      </w:r>
      <w:r w:rsidR="0034121A" w:rsidRPr="003015FD">
        <w:t>Charter</w:t>
      </w:r>
      <w:r w:rsidR="00975895" w:rsidRPr="003015FD">
        <w:t xml:space="preserve"> </w:t>
      </w:r>
      <w:r w:rsidR="0034121A" w:rsidRPr="003015FD">
        <w:t>alone.</w:t>
      </w:r>
      <w:r w:rsidR="00975895" w:rsidRPr="003015FD">
        <w:t xml:space="preserve"> </w:t>
      </w:r>
      <w:r w:rsidR="0034121A" w:rsidRPr="003015FD">
        <w:t>The</w:t>
      </w:r>
      <w:r w:rsidR="00975895" w:rsidRPr="003015FD">
        <w:t xml:space="preserve"> </w:t>
      </w:r>
      <w:r w:rsidR="0034121A" w:rsidRPr="003015FD">
        <w:t>Charter</w:t>
      </w:r>
      <w:r w:rsidR="00975895" w:rsidRPr="003015FD">
        <w:t xml:space="preserve"> </w:t>
      </w:r>
      <w:r w:rsidR="0034121A" w:rsidRPr="003015FD">
        <w:t>only</w:t>
      </w:r>
      <w:r w:rsidR="00975895" w:rsidRPr="003015FD">
        <w:t xml:space="preserve"> </w:t>
      </w:r>
      <w:r w:rsidR="0034121A" w:rsidRPr="003015FD">
        <w:t>allows</w:t>
      </w:r>
      <w:r w:rsidR="00975895" w:rsidRPr="003015FD">
        <w:t xml:space="preserve"> </w:t>
      </w:r>
      <w:r w:rsidR="0034121A" w:rsidRPr="003015FD">
        <w:t>a</w:t>
      </w:r>
      <w:r w:rsidR="00975895" w:rsidRPr="003015FD">
        <w:t xml:space="preserve"> </w:t>
      </w:r>
      <w:r w:rsidR="0034121A" w:rsidRPr="003015FD">
        <w:t>person</w:t>
      </w:r>
      <w:r w:rsidR="00975895" w:rsidRPr="003015FD">
        <w:t xml:space="preserve"> </w:t>
      </w:r>
      <w:r w:rsidR="0034121A" w:rsidRPr="003015FD">
        <w:t>to</w:t>
      </w:r>
      <w:r w:rsidR="00975895" w:rsidRPr="003015FD">
        <w:t xml:space="preserve"> </w:t>
      </w:r>
      <w:r w:rsidR="0034121A" w:rsidRPr="003015FD">
        <w:t>raise</w:t>
      </w:r>
      <w:r w:rsidR="00975895" w:rsidRPr="003015FD">
        <w:t xml:space="preserve"> </w:t>
      </w:r>
      <w:r w:rsidR="0034121A" w:rsidRPr="003015FD">
        <w:t>human</w:t>
      </w:r>
      <w:r w:rsidR="00975895" w:rsidRPr="003015FD">
        <w:t xml:space="preserve"> </w:t>
      </w:r>
      <w:r w:rsidR="0034121A" w:rsidRPr="003015FD">
        <w:t>rights</w:t>
      </w:r>
      <w:r w:rsidR="00975895" w:rsidRPr="003015FD">
        <w:t xml:space="preserve"> </w:t>
      </w:r>
      <w:r w:rsidR="0034121A" w:rsidRPr="003015FD">
        <w:t>if</w:t>
      </w:r>
      <w:r w:rsidR="00975895" w:rsidRPr="003015FD">
        <w:t xml:space="preserve"> </w:t>
      </w:r>
      <w:r w:rsidR="0034121A" w:rsidRPr="003015FD">
        <w:t>they</w:t>
      </w:r>
      <w:r w:rsidR="00975895" w:rsidRPr="003015FD">
        <w:t xml:space="preserve"> </w:t>
      </w:r>
      <w:r w:rsidR="0034121A" w:rsidRPr="003015FD">
        <w:t>already</w:t>
      </w:r>
      <w:r w:rsidR="00975895" w:rsidRPr="003015FD">
        <w:t xml:space="preserve"> </w:t>
      </w:r>
      <w:r w:rsidR="0034121A" w:rsidRPr="003015FD">
        <w:t>have</w:t>
      </w:r>
      <w:r w:rsidR="00975895" w:rsidRPr="003015FD">
        <w:t xml:space="preserve"> </w:t>
      </w:r>
      <w:r w:rsidR="0034121A" w:rsidRPr="003015FD">
        <w:t>an</w:t>
      </w:r>
      <w:r w:rsidR="00975895" w:rsidRPr="003015FD">
        <w:t xml:space="preserve"> </w:t>
      </w:r>
      <w:r w:rsidR="0034121A" w:rsidRPr="003015FD">
        <w:t>existing</w:t>
      </w:r>
      <w:r w:rsidR="00975895" w:rsidRPr="003015FD">
        <w:t xml:space="preserve"> </w:t>
      </w:r>
      <w:r w:rsidR="0034121A" w:rsidRPr="003015FD">
        <w:t>ground</w:t>
      </w:r>
      <w:r w:rsidR="00975895" w:rsidRPr="003015FD">
        <w:t xml:space="preserve"> </w:t>
      </w:r>
      <w:r w:rsidR="0034121A" w:rsidRPr="003015FD">
        <w:t>under</w:t>
      </w:r>
      <w:r w:rsidR="00975895" w:rsidRPr="003015FD">
        <w:t xml:space="preserve"> </w:t>
      </w:r>
      <w:r w:rsidR="0034121A" w:rsidRPr="003015FD">
        <w:t>another</w:t>
      </w:r>
      <w:r w:rsidR="00975895" w:rsidRPr="003015FD">
        <w:t xml:space="preserve"> </w:t>
      </w:r>
      <w:r w:rsidR="0034121A" w:rsidRPr="003015FD">
        <w:t>law</w:t>
      </w:r>
      <w:r w:rsidR="00975895" w:rsidRPr="003015FD">
        <w:t xml:space="preserve"> </w:t>
      </w:r>
      <w:r w:rsidR="0034121A" w:rsidRPr="003015FD">
        <w:t>based</w:t>
      </w:r>
      <w:r w:rsidR="00975895" w:rsidRPr="003015FD">
        <w:t xml:space="preserve"> </w:t>
      </w:r>
      <w:r w:rsidR="0034121A" w:rsidRPr="003015FD">
        <w:t>on</w:t>
      </w:r>
      <w:r w:rsidR="00975895" w:rsidRPr="003015FD">
        <w:t xml:space="preserve"> </w:t>
      </w:r>
      <w:r w:rsidR="0034121A" w:rsidRPr="003015FD">
        <w:t>the</w:t>
      </w:r>
      <w:r w:rsidR="00975895" w:rsidRPr="003015FD">
        <w:t xml:space="preserve"> </w:t>
      </w:r>
      <w:r w:rsidR="0034121A" w:rsidRPr="003015FD">
        <w:t>same</w:t>
      </w:r>
      <w:r w:rsidR="00975895" w:rsidRPr="003015FD">
        <w:t xml:space="preserve"> </w:t>
      </w:r>
      <w:r w:rsidR="0034121A" w:rsidRPr="003015FD">
        <w:t>act</w:t>
      </w:r>
      <w:r w:rsidR="00975895" w:rsidRPr="003015FD">
        <w:t xml:space="preserve"> </w:t>
      </w:r>
      <w:r w:rsidR="0034121A" w:rsidRPr="003015FD">
        <w:t>or</w:t>
      </w:r>
      <w:r w:rsidR="00975895" w:rsidRPr="003015FD">
        <w:t xml:space="preserve"> </w:t>
      </w:r>
      <w:r w:rsidR="0034121A" w:rsidRPr="003015FD">
        <w:t>decision</w:t>
      </w:r>
      <w:r w:rsidR="00975895" w:rsidRPr="003015FD">
        <w:t xml:space="preserve"> </w:t>
      </w:r>
      <w:r w:rsidR="0034121A" w:rsidRPr="003015FD">
        <w:t>(such</w:t>
      </w:r>
      <w:r w:rsidR="00975895" w:rsidRPr="003015FD">
        <w:t xml:space="preserve"> </w:t>
      </w:r>
      <w:r w:rsidR="0034121A" w:rsidRPr="003015FD">
        <w:t>as</w:t>
      </w:r>
      <w:r w:rsidR="00975895" w:rsidRPr="003015FD">
        <w:t xml:space="preserve"> </w:t>
      </w:r>
      <w:r w:rsidR="0034121A" w:rsidRPr="003015FD">
        <w:t>an</w:t>
      </w:r>
      <w:r w:rsidR="00975895" w:rsidRPr="003015FD">
        <w:t xml:space="preserve"> </w:t>
      </w:r>
      <w:r w:rsidR="0034121A" w:rsidRPr="003015FD">
        <w:t>administrative</w:t>
      </w:r>
      <w:r w:rsidR="00975895" w:rsidRPr="003015FD">
        <w:t xml:space="preserve"> </w:t>
      </w:r>
      <w:r w:rsidR="0034121A" w:rsidRPr="003015FD">
        <w:t>law</w:t>
      </w:r>
      <w:r w:rsidR="00975895" w:rsidRPr="003015FD">
        <w:t xml:space="preserve"> </w:t>
      </w:r>
      <w:r w:rsidR="0034121A" w:rsidRPr="003015FD">
        <w:t>or</w:t>
      </w:r>
      <w:r w:rsidR="00975895" w:rsidRPr="003015FD">
        <w:t xml:space="preserve"> </w:t>
      </w:r>
      <w:r w:rsidR="0034121A" w:rsidRPr="003015FD">
        <w:t>common</w:t>
      </w:r>
      <w:r w:rsidR="00975895" w:rsidRPr="003015FD">
        <w:t xml:space="preserve"> </w:t>
      </w:r>
      <w:r w:rsidR="0034121A" w:rsidRPr="003015FD">
        <w:t>law</w:t>
      </w:r>
      <w:r w:rsidR="00975895" w:rsidRPr="003015FD">
        <w:t xml:space="preserve"> </w:t>
      </w:r>
      <w:r w:rsidR="0034121A" w:rsidRPr="003015FD">
        <w:t>ground</w:t>
      </w:r>
      <w:r w:rsidR="00215DC5">
        <w:t>)</w:t>
      </w:r>
      <w:r w:rsidR="0034121A" w:rsidRPr="003015FD">
        <w:t>.</w:t>
      </w:r>
      <w:r w:rsidR="00975895" w:rsidRPr="003015FD">
        <w:t xml:space="preserve"> </w:t>
      </w:r>
    </w:p>
    <w:p w14:paraId="23FC42B0" w14:textId="5DFD9B29" w:rsidR="008E0945" w:rsidRPr="003015FD" w:rsidRDefault="008E0945" w:rsidP="005B74F5">
      <w:r w:rsidRPr="003015FD">
        <w:t>The</w:t>
      </w:r>
      <w:r w:rsidR="00975895" w:rsidRPr="003015FD">
        <w:t xml:space="preserve"> </w:t>
      </w:r>
      <w:r w:rsidRPr="003015FD">
        <w:t>Charter</w:t>
      </w:r>
      <w:r w:rsidR="00975895" w:rsidRPr="003015FD">
        <w:t xml:space="preserve"> </w:t>
      </w:r>
      <w:r w:rsidRPr="003015FD">
        <w:t>gives</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a</w:t>
      </w:r>
      <w:r w:rsidR="00975895" w:rsidRPr="003015FD">
        <w:t xml:space="preserve"> </w:t>
      </w:r>
      <w:r w:rsidRPr="003015FD">
        <w:t>statutory</w:t>
      </w:r>
      <w:r w:rsidR="00975895" w:rsidRPr="003015FD">
        <w:t xml:space="preserve"> </w:t>
      </w:r>
      <w:r w:rsidRPr="003015FD">
        <w:t>right</w:t>
      </w:r>
      <w:r w:rsidR="00975895" w:rsidRPr="003015FD">
        <w:t xml:space="preserve"> </w:t>
      </w:r>
      <w:r w:rsidRPr="003015FD">
        <w:t>to</w:t>
      </w:r>
      <w:r w:rsidR="00975895" w:rsidRPr="003015FD">
        <w:t xml:space="preserve"> </w:t>
      </w:r>
      <w:r w:rsidRPr="003015FD">
        <w:t>intervene</w:t>
      </w:r>
      <w:r w:rsidR="00975895" w:rsidRPr="003015FD">
        <w:t xml:space="preserve"> </w:t>
      </w:r>
      <w:r w:rsidRPr="003015FD">
        <w:t>in</w:t>
      </w:r>
      <w:r w:rsidR="00975895" w:rsidRPr="003015FD">
        <w:t xml:space="preserve"> </w:t>
      </w:r>
      <w:r w:rsidRPr="003015FD">
        <w:t>legal</w:t>
      </w:r>
      <w:r w:rsidR="00975895" w:rsidRPr="003015FD">
        <w:t xml:space="preserve"> </w:t>
      </w:r>
      <w:r w:rsidRPr="003015FD">
        <w:t>proceedings</w:t>
      </w:r>
      <w:r w:rsidR="00975895" w:rsidRPr="003015FD">
        <w:t xml:space="preserve"> </w:t>
      </w:r>
      <w:r w:rsidRPr="003015FD">
        <w:t>where</w:t>
      </w:r>
      <w:r w:rsidR="00975895" w:rsidRPr="003015FD">
        <w:t xml:space="preserve"> </w:t>
      </w:r>
      <w:r w:rsidRPr="003015FD">
        <w:t>a</w:t>
      </w:r>
      <w:r w:rsidR="00975895" w:rsidRPr="003015FD">
        <w:t xml:space="preserve"> </w:t>
      </w:r>
      <w:r w:rsidRPr="003015FD">
        <w:t>question</w:t>
      </w:r>
      <w:r w:rsidR="00975895" w:rsidRPr="003015FD">
        <w:t xml:space="preserve"> </w:t>
      </w:r>
      <w:r w:rsidRPr="003015FD">
        <w:t>of</w:t>
      </w:r>
      <w:r w:rsidR="00975895" w:rsidRPr="003015FD">
        <w:t xml:space="preserve"> </w:t>
      </w:r>
      <w:r w:rsidRPr="003015FD">
        <w:t>law</w:t>
      </w:r>
      <w:r w:rsidR="00975895" w:rsidRPr="003015FD">
        <w:t xml:space="preserve"> </w:t>
      </w:r>
      <w:r w:rsidRPr="003015FD">
        <w:t>arises</w:t>
      </w:r>
      <w:r w:rsidR="00975895" w:rsidRPr="003015FD">
        <w:t xml:space="preserve"> </w:t>
      </w:r>
      <w:r w:rsidRPr="003015FD">
        <w:t>about</w:t>
      </w:r>
      <w:r w:rsidR="00975895" w:rsidRPr="003015FD">
        <w:t xml:space="preserve"> </w:t>
      </w:r>
      <w:r w:rsidRPr="003015FD">
        <w:t>the</w:t>
      </w:r>
      <w:r w:rsidR="00975895" w:rsidRPr="003015FD">
        <w:t xml:space="preserve"> </w:t>
      </w:r>
      <w:r w:rsidRPr="003015FD">
        <w:t>application</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or</w:t>
      </w:r>
      <w:r w:rsidR="00975895" w:rsidRPr="003015FD">
        <w:t xml:space="preserve"> </w:t>
      </w:r>
      <w:r w:rsidRPr="003015FD">
        <w:t>the</w:t>
      </w:r>
      <w:r w:rsidR="00975895" w:rsidRPr="003015FD">
        <w:t xml:space="preserve"> </w:t>
      </w:r>
      <w:r w:rsidRPr="003015FD">
        <w:t>interpretation</w:t>
      </w:r>
      <w:r w:rsidR="00975895" w:rsidRPr="003015FD">
        <w:t xml:space="preserve"> </w:t>
      </w:r>
      <w:r w:rsidRPr="003015FD">
        <w:t>of</w:t>
      </w:r>
      <w:r w:rsidR="00975895" w:rsidRPr="003015FD">
        <w:t xml:space="preserve"> </w:t>
      </w:r>
      <w:r w:rsidRPr="003015FD">
        <w:t>another</w:t>
      </w:r>
      <w:r w:rsidR="00975895" w:rsidRPr="003015FD">
        <w:t xml:space="preserve"> </w:t>
      </w:r>
      <w:r w:rsidRPr="003015FD">
        <w:t>law</w:t>
      </w:r>
      <w:r w:rsidR="00975895" w:rsidRPr="003015FD">
        <w:t xml:space="preserve"> </w:t>
      </w:r>
      <w:r w:rsidRPr="003015FD">
        <w:t>in</w:t>
      </w:r>
      <w:r w:rsidR="00975895" w:rsidRPr="003015FD">
        <w:t xml:space="preserve"> </w:t>
      </w:r>
      <w:r w:rsidRPr="003015FD">
        <w:t>light</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Pr="004862C5">
        <w:rPr>
          <w:rStyle w:val="FootnoteReference"/>
        </w:rPr>
        <w:footnoteReference w:id="11"/>
      </w:r>
    </w:p>
    <w:p w14:paraId="1F9732BB" w14:textId="19B973DE" w:rsidR="008E0945" w:rsidRPr="003015FD" w:rsidRDefault="008E0945" w:rsidP="005B74F5">
      <w:r w:rsidRPr="003015FD">
        <w:t>While</w:t>
      </w:r>
      <w:r w:rsidR="00975895" w:rsidRPr="003015FD">
        <w:t xml:space="preserve"> </w:t>
      </w:r>
      <w:r w:rsidRPr="003015FD">
        <w:t>each</w:t>
      </w:r>
      <w:r w:rsidR="00975895" w:rsidRPr="003015FD">
        <w:t xml:space="preserve"> </w:t>
      </w:r>
      <w:r w:rsidRPr="003015FD">
        <w:t>arm</w:t>
      </w:r>
      <w:r w:rsidR="00975895" w:rsidRPr="003015FD">
        <w:t xml:space="preserve"> </w:t>
      </w:r>
      <w:r w:rsidRPr="003015FD">
        <w:t>of</w:t>
      </w:r>
      <w:r w:rsidR="00975895" w:rsidRPr="003015FD">
        <w:t xml:space="preserve"> </w:t>
      </w:r>
      <w:r w:rsidRPr="003015FD">
        <w:t>government</w:t>
      </w:r>
      <w:r w:rsidR="00975895" w:rsidRPr="003015FD">
        <w:t xml:space="preserve"> </w:t>
      </w:r>
      <w:r w:rsidRPr="003015FD">
        <w:t>is</w:t>
      </w:r>
      <w:r w:rsidR="00975895" w:rsidRPr="003015FD">
        <w:t xml:space="preserve"> </w:t>
      </w:r>
      <w:r w:rsidRPr="003015FD">
        <w:t>subject</w:t>
      </w:r>
      <w:r w:rsidR="00975895" w:rsidRPr="003015FD">
        <w:t xml:space="preserve"> </w:t>
      </w:r>
      <w:r w:rsidRPr="003015FD">
        <w:t>to</w:t>
      </w:r>
      <w:r w:rsidR="00975895" w:rsidRPr="003015FD">
        <w:t xml:space="preserve"> </w:t>
      </w:r>
      <w:r w:rsidRPr="003015FD">
        <w:t>checks</w:t>
      </w:r>
      <w:r w:rsidR="00975895" w:rsidRPr="003015FD">
        <w:t xml:space="preserve"> </w:t>
      </w:r>
      <w:r w:rsidRPr="003015FD">
        <w:t>and</w:t>
      </w:r>
      <w:r w:rsidR="00975895" w:rsidRPr="003015FD">
        <w:t xml:space="preserve"> </w:t>
      </w:r>
      <w:r w:rsidRPr="003015FD">
        <w:t>balances,</w:t>
      </w:r>
      <w:r w:rsidR="00975895" w:rsidRPr="003015FD">
        <w:t xml:space="preserve"> </w:t>
      </w:r>
      <w:r w:rsidRPr="003015FD">
        <w:t>ultimate</w:t>
      </w:r>
      <w:r w:rsidR="00975895" w:rsidRPr="003015FD">
        <w:t xml:space="preserve"> </w:t>
      </w:r>
      <w:r w:rsidRPr="003015FD">
        <w:t>sovereignty</w:t>
      </w:r>
      <w:r w:rsidR="00975895" w:rsidRPr="003015FD">
        <w:t xml:space="preserve"> </w:t>
      </w:r>
      <w:r w:rsidRPr="003015FD">
        <w:t>rests</w:t>
      </w:r>
      <w:r w:rsidR="00975895" w:rsidRPr="003015FD">
        <w:t xml:space="preserve"> </w:t>
      </w:r>
      <w:r w:rsidRPr="003015FD">
        <w:t>with</w:t>
      </w:r>
      <w:r w:rsidR="00975895" w:rsidRPr="003015FD">
        <w:t xml:space="preserve"> </w:t>
      </w:r>
      <w:r w:rsidR="008B75E8">
        <w:t xml:space="preserve">the Victorian </w:t>
      </w:r>
      <w:r w:rsidRPr="003015FD">
        <w:t>Parliament.</w:t>
      </w:r>
      <w:r w:rsidR="00975895" w:rsidRPr="003015FD">
        <w:t xml:space="preserve"> </w:t>
      </w:r>
      <w:r w:rsidRPr="003015FD">
        <w:t>Parliament</w:t>
      </w:r>
      <w:r w:rsidR="00975895" w:rsidRPr="003015FD">
        <w:t xml:space="preserve"> </w:t>
      </w:r>
      <w:r w:rsidRPr="003015FD">
        <w:t>can</w:t>
      </w:r>
      <w:r w:rsidR="00975895" w:rsidRPr="003015FD">
        <w:t xml:space="preserve"> </w:t>
      </w:r>
      <w:r w:rsidRPr="003015FD">
        <w:t>pass</w:t>
      </w:r>
      <w:r w:rsidR="00975895" w:rsidRPr="003015FD">
        <w:t xml:space="preserve"> </w:t>
      </w:r>
      <w:r w:rsidR="00AE5A53" w:rsidRPr="003015FD">
        <w:t>laws</w:t>
      </w:r>
      <w:r w:rsidR="00975895" w:rsidRPr="003015FD">
        <w:t xml:space="preserve"> </w:t>
      </w:r>
      <w:r w:rsidR="00AE5A53" w:rsidRPr="003015FD">
        <w:t>that</w:t>
      </w:r>
      <w:r w:rsidR="00975895" w:rsidRPr="003015FD">
        <w:t xml:space="preserve"> </w:t>
      </w:r>
      <w:r w:rsidR="00AE5A53" w:rsidRPr="003015FD">
        <w:t>are</w:t>
      </w:r>
      <w:r w:rsidR="00975895" w:rsidRPr="003015FD">
        <w:t xml:space="preserve"> </w:t>
      </w:r>
      <w:r w:rsidR="004E684B" w:rsidRPr="003015FD">
        <w:t>not</w:t>
      </w:r>
      <w:r w:rsidR="00975895" w:rsidRPr="003015FD">
        <w:t xml:space="preserve"> </w:t>
      </w:r>
      <w:r w:rsidRPr="003015FD">
        <w:lastRenderedPageBreak/>
        <w:t>compatible</w:t>
      </w:r>
      <w:r w:rsidR="00975895" w:rsidRPr="003015FD">
        <w:t xml:space="preserve"> </w:t>
      </w:r>
      <w:r w:rsidR="00AE5A53" w:rsidRPr="003015FD">
        <w:t>with</w:t>
      </w:r>
      <w:r w:rsidR="00975895" w:rsidRPr="003015FD">
        <w:t xml:space="preserve"> </w:t>
      </w:r>
      <w:r w:rsidR="00AE5A53" w:rsidRPr="003015FD">
        <w:t>human</w:t>
      </w:r>
      <w:r w:rsidR="00975895" w:rsidRPr="003015FD">
        <w:t xml:space="preserve"> </w:t>
      </w:r>
      <w:r w:rsidR="00AE5A53" w:rsidRPr="003015FD">
        <w:t>rights</w:t>
      </w:r>
      <w:r w:rsidRPr="003015FD">
        <w:t>.</w:t>
      </w:r>
      <w:r w:rsidR="00975895" w:rsidRPr="003015FD">
        <w:t xml:space="preserve"> </w:t>
      </w:r>
      <w:r w:rsidRPr="003015FD">
        <w:t>If</w:t>
      </w:r>
      <w:r w:rsidR="00975895" w:rsidRPr="003015FD">
        <w:t xml:space="preserve"> </w:t>
      </w:r>
      <w:r w:rsidRPr="003015FD">
        <w:t>there</w:t>
      </w:r>
      <w:r w:rsidR="00975895" w:rsidRPr="003015FD">
        <w:t xml:space="preserve"> </w:t>
      </w:r>
      <w:r w:rsidRPr="003015FD">
        <w:t>is</w:t>
      </w:r>
      <w:r w:rsidR="00975895" w:rsidRPr="003015FD">
        <w:t xml:space="preserve"> </w:t>
      </w:r>
      <w:r w:rsidRPr="003015FD">
        <w:t>an</w:t>
      </w:r>
      <w:r w:rsidR="00975895" w:rsidRPr="003015FD">
        <w:t xml:space="preserve"> </w:t>
      </w:r>
      <w:r w:rsidRPr="003015FD">
        <w:t>inconsistency</w:t>
      </w:r>
      <w:r w:rsidR="00975895" w:rsidRPr="003015FD">
        <w:t xml:space="preserve"> </w:t>
      </w:r>
      <w:r w:rsidRPr="003015FD">
        <w:t>between</w:t>
      </w:r>
      <w:r w:rsidR="00975895" w:rsidRPr="003015FD">
        <w:t xml:space="preserve"> </w:t>
      </w:r>
      <w:r w:rsidRPr="003015FD">
        <w:t>a</w:t>
      </w:r>
      <w:r w:rsidR="00975895" w:rsidRPr="003015FD">
        <w:t xml:space="preserve"> </w:t>
      </w:r>
      <w:r w:rsidRPr="003015FD">
        <w:t>proposed</w:t>
      </w:r>
      <w:r w:rsidR="00975895" w:rsidRPr="003015FD">
        <w:t xml:space="preserve"> </w:t>
      </w:r>
      <w:r w:rsidRPr="003015FD">
        <w:t>law</w:t>
      </w:r>
      <w:r w:rsidR="00975895" w:rsidRPr="003015FD">
        <w:t xml:space="preserve"> </w:t>
      </w:r>
      <w:r w:rsidRPr="003015FD">
        <w:t>and</w:t>
      </w:r>
      <w:r w:rsidR="00975895" w:rsidRPr="003015FD">
        <w:t xml:space="preserve"> </w:t>
      </w:r>
      <w:r w:rsidRPr="003015FD">
        <w:t>a</w:t>
      </w:r>
      <w:r w:rsidR="00975895" w:rsidRPr="003015FD">
        <w:t xml:space="preserve"> </w:t>
      </w:r>
      <w:r w:rsidRPr="003015FD">
        <w:t>Charter</w:t>
      </w:r>
      <w:r w:rsidR="00975895" w:rsidRPr="003015FD">
        <w:t xml:space="preserve"> </w:t>
      </w:r>
      <w:r w:rsidRPr="003015FD">
        <w:t>right,</w:t>
      </w:r>
      <w:r w:rsidR="00975895" w:rsidRPr="003015FD">
        <w:t xml:space="preserve"> </w:t>
      </w:r>
      <w:r w:rsidRPr="003015FD">
        <w:t>the</w:t>
      </w:r>
      <w:r w:rsidR="00975895" w:rsidRPr="003015FD">
        <w:t xml:space="preserve"> </w:t>
      </w:r>
      <w:r w:rsidRPr="003015FD">
        <w:t>statement</w:t>
      </w:r>
      <w:r w:rsidR="00975895" w:rsidRPr="003015FD">
        <w:t xml:space="preserve"> </w:t>
      </w:r>
      <w:r w:rsidRPr="003015FD">
        <w:t>made</w:t>
      </w:r>
      <w:r w:rsidR="00975895" w:rsidRPr="003015FD">
        <w:t xml:space="preserve"> </w:t>
      </w:r>
      <w:r w:rsidRPr="003015FD">
        <w:t>to</w:t>
      </w:r>
      <w:r w:rsidR="00975895" w:rsidRPr="003015FD">
        <w:t xml:space="preserve"> </w:t>
      </w:r>
      <w:r w:rsidRPr="003015FD">
        <w:t>Parliament</w:t>
      </w:r>
      <w:r w:rsidR="00975895" w:rsidRPr="003015FD">
        <w:t xml:space="preserve"> </w:t>
      </w:r>
      <w:r w:rsidRPr="003015FD">
        <w:t>must</w:t>
      </w:r>
      <w:r w:rsidR="00975895" w:rsidRPr="003015FD">
        <w:t xml:space="preserve"> </w:t>
      </w:r>
      <w:r w:rsidRPr="003015FD">
        <w:t>explain</w:t>
      </w:r>
      <w:r w:rsidR="00975895" w:rsidRPr="003015FD">
        <w:t xml:space="preserve"> </w:t>
      </w:r>
      <w:r w:rsidRPr="003015FD">
        <w:t>the</w:t>
      </w:r>
      <w:r w:rsidR="00975895" w:rsidRPr="003015FD">
        <w:t xml:space="preserve"> </w:t>
      </w:r>
      <w:r w:rsidRPr="003015FD">
        <w:t>nature</w:t>
      </w:r>
      <w:r w:rsidR="00975895" w:rsidRPr="003015FD">
        <w:t xml:space="preserve"> </w:t>
      </w:r>
      <w:r w:rsidRPr="003015FD">
        <w:t>and</w:t>
      </w:r>
      <w:r w:rsidR="00975895" w:rsidRPr="003015FD">
        <w:t xml:space="preserve"> </w:t>
      </w:r>
      <w:r w:rsidRPr="003015FD">
        <w:t>extent</w:t>
      </w:r>
      <w:r w:rsidR="00975895" w:rsidRPr="003015FD">
        <w:t xml:space="preserve"> </w:t>
      </w:r>
      <w:r w:rsidRPr="003015FD">
        <w:t>of</w:t>
      </w:r>
      <w:r w:rsidR="00975895" w:rsidRPr="003015FD">
        <w:t xml:space="preserve"> </w:t>
      </w:r>
      <w:r w:rsidRPr="003015FD">
        <w:t>the</w:t>
      </w:r>
      <w:r w:rsidR="00975895" w:rsidRPr="003015FD">
        <w:t xml:space="preserve"> </w:t>
      </w:r>
      <w:r w:rsidRPr="003015FD">
        <w:t>incompatibility.</w:t>
      </w:r>
      <w:r w:rsidR="00975895" w:rsidRPr="003015FD">
        <w:t xml:space="preserve"> </w:t>
      </w:r>
      <w:r w:rsidRPr="003015FD">
        <w:t>In</w:t>
      </w:r>
      <w:r w:rsidR="00975895" w:rsidRPr="003015FD">
        <w:t xml:space="preserve"> </w:t>
      </w:r>
      <w:r w:rsidR="00F67F38" w:rsidRPr="003015FD">
        <w:t>exceptional</w:t>
      </w:r>
      <w:r w:rsidR="00975895" w:rsidRPr="003015FD">
        <w:t xml:space="preserve"> </w:t>
      </w:r>
      <w:r w:rsidRPr="003015FD">
        <w:t>circumstances</w:t>
      </w:r>
      <w:r w:rsidR="00975895" w:rsidRPr="003015FD">
        <w:t xml:space="preserve"> </w:t>
      </w:r>
      <w:r w:rsidRPr="003015FD">
        <w:t>Parliament</w:t>
      </w:r>
      <w:r w:rsidR="00975895" w:rsidRPr="003015FD">
        <w:t xml:space="preserve"> </w:t>
      </w:r>
      <w:r w:rsidRPr="003015FD">
        <w:t>can</w:t>
      </w:r>
      <w:r w:rsidR="00975895" w:rsidRPr="003015FD">
        <w:t xml:space="preserve"> </w:t>
      </w:r>
      <w:r w:rsidRPr="003015FD">
        <w:t>enact</w:t>
      </w:r>
      <w:r w:rsidR="00975895" w:rsidRPr="003015FD">
        <w:t xml:space="preserve"> </w:t>
      </w:r>
      <w:r w:rsidRPr="003015FD">
        <w:t>legislation</w:t>
      </w:r>
      <w:r w:rsidR="00975895" w:rsidRPr="003015FD">
        <w:t xml:space="preserve"> </w:t>
      </w:r>
      <w:r w:rsidRPr="003015FD">
        <w:t>that</w:t>
      </w:r>
      <w:r w:rsidR="00975895" w:rsidRPr="003015FD">
        <w:t xml:space="preserve"> </w:t>
      </w:r>
      <w:r w:rsidRPr="003015FD">
        <w:t>overrides</w:t>
      </w:r>
      <w:r w:rsidR="00975895" w:rsidRPr="003015FD">
        <w:t xml:space="preserve"> </w:t>
      </w:r>
      <w:r w:rsidRPr="003015FD">
        <w:t>the</w:t>
      </w:r>
      <w:r w:rsidR="00975895" w:rsidRPr="003015FD">
        <w:t xml:space="preserve"> </w:t>
      </w:r>
      <w:r w:rsidRPr="003015FD">
        <w:t>Charter.</w:t>
      </w:r>
      <w:r w:rsidRPr="004862C5">
        <w:rPr>
          <w:rStyle w:val="FootnoteReference"/>
        </w:rPr>
        <w:footnoteReference w:id="12"/>
      </w:r>
    </w:p>
    <w:p w14:paraId="0681ECC7" w14:textId="77777777" w:rsidR="008E0945" w:rsidRPr="003015FD" w:rsidRDefault="008E0945" w:rsidP="005B74F5"/>
    <w:p w14:paraId="5BC13020" w14:textId="77777777" w:rsidR="00130B54" w:rsidRPr="003015FD" w:rsidRDefault="00130B54" w:rsidP="005B74F5">
      <w:pPr>
        <w:rPr>
          <w:rFonts w:ascii="Calibri Light" w:eastAsia="Times New Roman" w:hAnsi="Calibri Light" w:cs="Times New Roman"/>
          <w:spacing w:val="-10"/>
          <w:kern w:val="28"/>
          <w:sz w:val="56"/>
          <w:szCs w:val="56"/>
        </w:rPr>
      </w:pPr>
      <w:bookmarkStart w:id="29" w:name="_Toc8224935"/>
      <w:r w:rsidRPr="003015FD">
        <w:br w:type="page"/>
      </w:r>
    </w:p>
    <w:p w14:paraId="416554A7" w14:textId="65202200" w:rsidR="008E0945" w:rsidRPr="003015FD" w:rsidRDefault="008E0945" w:rsidP="0002642E">
      <w:pPr>
        <w:pStyle w:val="Heading1"/>
        <w:numPr>
          <w:ilvl w:val="0"/>
          <w:numId w:val="53"/>
        </w:numPr>
      </w:pPr>
      <w:bookmarkStart w:id="30" w:name="_Toc15656274"/>
      <w:bookmarkStart w:id="31" w:name="_Toc22011525"/>
      <w:r w:rsidRPr="00CF778C">
        <w:lastRenderedPageBreak/>
        <w:t>Human</w:t>
      </w:r>
      <w:r w:rsidR="00975895" w:rsidRPr="003015FD">
        <w:t xml:space="preserve"> </w:t>
      </w:r>
      <w:r w:rsidRPr="003015FD">
        <w:t>rights</w:t>
      </w:r>
      <w:r w:rsidR="00975895" w:rsidRPr="003015FD">
        <w:t xml:space="preserve"> </w:t>
      </w:r>
      <w:r w:rsidRPr="003015FD">
        <w:t>culture</w:t>
      </w:r>
      <w:bookmarkEnd w:id="29"/>
      <w:bookmarkEnd w:id="30"/>
      <w:bookmarkEnd w:id="31"/>
    </w:p>
    <w:p w14:paraId="676D53A5" w14:textId="7A9ED36D" w:rsidR="008E0945" w:rsidRPr="003015FD" w:rsidRDefault="00B729E8" w:rsidP="0002642E">
      <w:pPr>
        <w:pStyle w:val="Heading2"/>
      </w:pPr>
      <w:bookmarkStart w:id="32" w:name="_Toc15045095"/>
      <w:bookmarkStart w:id="33" w:name="_Toc22011526"/>
      <w:bookmarkStart w:id="34" w:name="_Toc8224936"/>
      <w:r w:rsidRPr="003015FD">
        <w:t>2.1</w:t>
      </w:r>
      <w:r w:rsidRPr="003015FD">
        <w:tab/>
      </w:r>
      <w:r w:rsidR="008E0945" w:rsidRPr="00D82FA2">
        <w:t>Summary</w:t>
      </w:r>
      <w:bookmarkEnd w:id="32"/>
      <w:bookmarkEnd w:id="33"/>
    </w:p>
    <w:p w14:paraId="73FCAFFF" w14:textId="3A21FD40" w:rsidR="008B4D96" w:rsidRDefault="00085371" w:rsidP="0002642E">
      <w:r w:rsidRPr="003015FD">
        <w:t>Victoria</w:t>
      </w:r>
      <w:r w:rsidR="00975895" w:rsidRPr="003015FD">
        <w:t xml:space="preserve"> </w:t>
      </w:r>
      <w:r w:rsidRPr="003015FD">
        <w:t>was</w:t>
      </w:r>
      <w:r w:rsidR="00975895" w:rsidRPr="003015FD">
        <w:t xml:space="preserve"> </w:t>
      </w:r>
      <w:r w:rsidRPr="003015FD">
        <w:t>bold</w:t>
      </w:r>
      <w:r w:rsidR="00975895" w:rsidRPr="003015FD">
        <w:t xml:space="preserve"> </w:t>
      </w:r>
      <w:r w:rsidRPr="003015FD">
        <w:t>and</w:t>
      </w:r>
      <w:r w:rsidR="00975895" w:rsidRPr="003015FD">
        <w:t xml:space="preserve"> </w:t>
      </w:r>
      <w:r w:rsidRPr="003015FD">
        <w:t>visionary</w:t>
      </w:r>
      <w:r w:rsidR="00975895" w:rsidRPr="003015FD">
        <w:t xml:space="preserve"> </w:t>
      </w:r>
      <w:r w:rsidRPr="003015FD">
        <w:t>to</w:t>
      </w:r>
      <w:r w:rsidR="00975895" w:rsidRPr="003015FD">
        <w:t xml:space="preserve"> </w:t>
      </w:r>
      <w:r w:rsidRPr="003015FD">
        <w:t>enact</w:t>
      </w:r>
      <w:r w:rsidR="00975895" w:rsidRPr="003015FD">
        <w:t xml:space="preserve"> </w:t>
      </w:r>
      <w:r w:rsidRPr="003015FD">
        <w:t>the</w:t>
      </w:r>
      <w:r w:rsidR="00975895" w:rsidRPr="003015FD">
        <w:t xml:space="preserve"> </w:t>
      </w:r>
      <w:r w:rsidRPr="003015FD">
        <w:t>Charter</w:t>
      </w:r>
      <w:r w:rsidR="00975895" w:rsidRPr="003015FD">
        <w:t xml:space="preserve"> </w:t>
      </w:r>
      <w:r w:rsidRPr="003015FD">
        <w:t>in</w:t>
      </w:r>
      <w:r w:rsidR="00975895" w:rsidRPr="003015FD">
        <w:t xml:space="preserve"> </w:t>
      </w:r>
      <w:r w:rsidRPr="003015FD">
        <w:t>2006</w:t>
      </w:r>
      <w:r w:rsidR="008B75E8">
        <w:t>. Australia lacked – and still lacks – a federal law protecting human rights, and only the</w:t>
      </w:r>
      <w:r w:rsidR="00BE1F98">
        <w:t xml:space="preserve"> Australian Capital Territory</w:t>
      </w:r>
      <w:r w:rsidR="008B75E8">
        <w:t xml:space="preserve"> had an existing human rights law</w:t>
      </w:r>
      <w:r w:rsidRPr="003015FD">
        <w:t>.</w:t>
      </w:r>
      <w:r w:rsidR="00975895" w:rsidRPr="003015FD">
        <w:t xml:space="preserve"> </w:t>
      </w:r>
      <w:r w:rsidRPr="003015FD">
        <w:t>Without</w:t>
      </w:r>
      <w:r w:rsidR="00975895" w:rsidRPr="003015FD">
        <w:t xml:space="preserve"> </w:t>
      </w:r>
      <w:r w:rsidRPr="003015FD">
        <w:t>a</w:t>
      </w:r>
      <w:r w:rsidR="00975895" w:rsidRPr="003015FD">
        <w:t xml:space="preserve"> </w:t>
      </w:r>
      <w:r w:rsidRPr="003015FD">
        <w:t>history</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protections,</w:t>
      </w:r>
      <w:r w:rsidR="00975895" w:rsidRPr="003015FD">
        <w:t xml:space="preserve"> </w:t>
      </w:r>
      <w:r w:rsidRPr="003015FD">
        <w:t>our</w:t>
      </w:r>
      <w:r w:rsidR="00975895" w:rsidRPr="003015FD">
        <w:t xml:space="preserve"> </w:t>
      </w:r>
      <w:r w:rsidR="00AE5A53" w:rsidRPr="003015FD">
        <w:t>values,</w:t>
      </w:r>
      <w:r w:rsidR="00975895" w:rsidRPr="003015FD">
        <w:t xml:space="preserve"> </w:t>
      </w:r>
      <w:r w:rsidRPr="003015FD">
        <w:t>education</w:t>
      </w:r>
      <w:r w:rsidR="00975895" w:rsidRPr="003015FD">
        <w:t xml:space="preserve"> </w:t>
      </w:r>
      <w:r w:rsidRPr="003015FD">
        <w:t>and</w:t>
      </w:r>
      <w:r w:rsidR="00975895" w:rsidRPr="003015FD">
        <w:t xml:space="preserve"> </w:t>
      </w:r>
      <w:r w:rsidRPr="003015FD">
        <w:t>work</w:t>
      </w:r>
      <w:r w:rsidR="00975895" w:rsidRPr="003015FD">
        <w:t xml:space="preserve"> </w:t>
      </w:r>
      <w:r w:rsidRPr="003015FD">
        <w:t>practices</w:t>
      </w:r>
      <w:r w:rsidR="00975895" w:rsidRPr="003015FD">
        <w:t xml:space="preserve"> </w:t>
      </w:r>
      <w:r w:rsidR="00AE5A53" w:rsidRPr="003015FD">
        <w:t>did</w:t>
      </w:r>
      <w:r w:rsidR="00975895" w:rsidRPr="003015FD">
        <w:t xml:space="preserve"> </w:t>
      </w:r>
      <w:r w:rsidR="00AE5A53" w:rsidRPr="003015FD">
        <w:t>not</w:t>
      </w:r>
      <w:r w:rsidR="00975895" w:rsidRPr="003015FD">
        <w:t xml:space="preserve"> </w:t>
      </w:r>
      <w:r w:rsidR="00AE5A53" w:rsidRPr="003015FD">
        <w:t>link</w:t>
      </w:r>
      <w:r w:rsidR="00975895" w:rsidRPr="003015FD">
        <w:t xml:space="preserve"> </w:t>
      </w:r>
      <w:r w:rsidR="00AE5A53" w:rsidRPr="003015FD">
        <w:t>directly</w:t>
      </w:r>
      <w:r w:rsidR="00975895" w:rsidRPr="003015FD">
        <w:t xml:space="preserve"> </w:t>
      </w:r>
      <w:r w:rsidR="00AE5A53" w:rsidRPr="003015FD">
        <w:t>to</w:t>
      </w:r>
      <w:r w:rsidR="00975895" w:rsidRPr="003015FD">
        <w:t xml:space="preserve"> </w:t>
      </w:r>
      <w:r w:rsidR="00AE5A53" w:rsidRPr="003015FD">
        <w:t>human</w:t>
      </w:r>
      <w:r w:rsidR="00975895" w:rsidRPr="003015FD">
        <w:t xml:space="preserve"> </w:t>
      </w:r>
      <w:r w:rsidR="00AE5A53" w:rsidRPr="003015FD">
        <w:t>rights.</w:t>
      </w:r>
      <w:r w:rsidR="00975895" w:rsidRPr="003015FD">
        <w:t xml:space="preserve"> </w:t>
      </w:r>
    </w:p>
    <w:p w14:paraId="682EDDFF" w14:textId="44FD5572" w:rsidR="008E0945" w:rsidRPr="003015FD" w:rsidRDefault="00AE5A53" w:rsidP="0002642E">
      <w:r w:rsidRPr="003015FD">
        <w:t>Since</w:t>
      </w:r>
      <w:r w:rsidR="00975895" w:rsidRPr="003015FD">
        <w:t xml:space="preserve"> </w:t>
      </w:r>
      <w:r w:rsidRPr="003015FD">
        <w:t>the</w:t>
      </w:r>
      <w:r w:rsidR="00975895" w:rsidRPr="003015FD">
        <w:t xml:space="preserve"> </w:t>
      </w:r>
      <w:r w:rsidRPr="003015FD">
        <w:t>Charter</w:t>
      </w:r>
      <w:r w:rsidR="00975895" w:rsidRPr="003015FD">
        <w:t xml:space="preserve"> </w:t>
      </w:r>
      <w:r w:rsidR="00F67F38" w:rsidRPr="003015FD">
        <w:t>be</w:t>
      </w:r>
      <w:r w:rsidRPr="003015FD">
        <w:t>came</w:t>
      </w:r>
      <w:r w:rsidR="00975895" w:rsidRPr="003015FD">
        <w:t xml:space="preserve"> </w:t>
      </w:r>
      <w:r w:rsidRPr="003015FD">
        <w:t>a</w:t>
      </w:r>
      <w:r w:rsidR="00975895" w:rsidRPr="003015FD">
        <w:t xml:space="preserve"> </w:t>
      </w:r>
      <w:r w:rsidRPr="003015FD">
        <w:t>Victorian</w:t>
      </w:r>
      <w:r w:rsidR="00975895" w:rsidRPr="003015FD">
        <w:t xml:space="preserve"> </w:t>
      </w:r>
      <w:r w:rsidRPr="003015FD">
        <w:t>law,</w:t>
      </w:r>
      <w:r w:rsidR="00975895" w:rsidRPr="003015FD">
        <w:t xml:space="preserve"> </w:t>
      </w:r>
      <w:r w:rsidRPr="003015FD">
        <w:t>our</w:t>
      </w:r>
      <w:r w:rsidR="00975895" w:rsidRPr="003015FD">
        <w:t xml:space="preserve"> </w:t>
      </w:r>
      <w:r w:rsidRPr="003015FD">
        <w:t>culture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w:t>
      </w:r>
      <w:r w:rsidR="008B75E8">
        <w:t>s</w:t>
      </w:r>
      <w:r w:rsidR="00975895" w:rsidRPr="003015FD">
        <w:t xml:space="preserve"> </w:t>
      </w:r>
      <w:r w:rsidR="008B75E8">
        <w:t>has strengthened</w:t>
      </w:r>
      <w:r w:rsidR="008B75E8" w:rsidRPr="003015FD">
        <w:t xml:space="preserve"> </w:t>
      </w:r>
      <w:r w:rsidRPr="003015FD">
        <w:t>significantly.</w:t>
      </w:r>
      <w:r w:rsidR="00975895" w:rsidRPr="003015FD">
        <w:t xml:space="preserve"> </w:t>
      </w:r>
      <w:r w:rsidR="00F67F38" w:rsidRPr="003015FD">
        <w:t>But</w:t>
      </w:r>
      <w:r w:rsidR="00975895" w:rsidRPr="003015FD">
        <w:t xml:space="preserve"> </w:t>
      </w:r>
      <w:r w:rsidR="00F67F38" w:rsidRPr="003015FD">
        <w:t>t</w:t>
      </w:r>
      <w:r w:rsidRPr="003015FD">
        <w:t>he</w:t>
      </w:r>
      <w:r w:rsidR="00975895" w:rsidRPr="003015FD">
        <w:t xml:space="preserve"> </w:t>
      </w:r>
      <w:r w:rsidRPr="003015FD">
        <w:t>law</w:t>
      </w:r>
      <w:r w:rsidR="00975895" w:rsidRPr="003015FD">
        <w:t xml:space="preserve"> </w:t>
      </w:r>
      <w:r w:rsidRPr="003015FD">
        <w:t>alone</w:t>
      </w:r>
      <w:r w:rsidR="00975895" w:rsidRPr="003015FD">
        <w:t xml:space="preserve"> </w:t>
      </w:r>
      <w:r w:rsidR="00F67F38" w:rsidRPr="003015FD">
        <w:t>is</w:t>
      </w:r>
      <w:r w:rsidR="00975895" w:rsidRPr="003015FD">
        <w:t xml:space="preserve"> </w:t>
      </w:r>
      <w:r w:rsidRPr="003015FD">
        <w:t>not</w:t>
      </w:r>
      <w:r w:rsidR="00975895" w:rsidRPr="003015FD">
        <w:t xml:space="preserve"> </w:t>
      </w:r>
      <w:r w:rsidRPr="003015FD">
        <w:t>enough</w:t>
      </w:r>
      <w:r w:rsidR="00975895" w:rsidRPr="003015FD">
        <w:t xml:space="preserve"> </w:t>
      </w:r>
      <w:r w:rsidRPr="003015FD">
        <w:t>to</w:t>
      </w:r>
      <w:r w:rsidR="00975895" w:rsidRPr="003015FD">
        <w:t xml:space="preserve"> </w:t>
      </w:r>
      <w:r w:rsidRPr="003015FD">
        <w:t>grow</w:t>
      </w:r>
      <w:r w:rsidR="00975895" w:rsidRPr="003015FD">
        <w:t xml:space="preserve"> </w:t>
      </w:r>
      <w:r w:rsidRPr="003015FD">
        <w:t>our</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008E0945" w:rsidRPr="003015FD">
        <w:t>If</w:t>
      </w:r>
      <w:r w:rsidR="00975895" w:rsidRPr="003015FD">
        <w:t xml:space="preserve"> </w:t>
      </w:r>
      <w:r w:rsidR="008E0945" w:rsidRPr="003015FD">
        <w:t>Victorians</w:t>
      </w:r>
      <w:r w:rsidR="00975895" w:rsidRPr="003015FD">
        <w:t xml:space="preserve"> </w:t>
      </w:r>
      <w:r w:rsidR="008E0945" w:rsidRPr="003015FD">
        <w:t>are</w:t>
      </w:r>
      <w:r w:rsidR="00975895" w:rsidRPr="003015FD">
        <w:t xml:space="preserve"> </w:t>
      </w:r>
      <w:r w:rsidR="008E0945" w:rsidRPr="003015FD">
        <w:t>to</w:t>
      </w:r>
      <w:r w:rsidR="00975895" w:rsidRPr="003015FD">
        <w:t xml:space="preserve"> </w:t>
      </w:r>
      <w:r w:rsidR="008E0945" w:rsidRPr="003015FD">
        <w:t>have</w:t>
      </w:r>
      <w:r w:rsidR="00975895" w:rsidRPr="003015FD">
        <w:t xml:space="preserve"> </w:t>
      </w:r>
      <w:r w:rsidR="008E0945" w:rsidRPr="003015FD">
        <w:t>their</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085371" w:rsidRPr="003015FD">
        <w:t>respected</w:t>
      </w:r>
      <w:r w:rsidR="008E0945" w:rsidRPr="003015FD">
        <w:t>,</w:t>
      </w:r>
      <w:r w:rsidR="00975895" w:rsidRPr="003015FD">
        <w:t xml:space="preserve"> </w:t>
      </w:r>
      <w:r w:rsidR="008E0945" w:rsidRPr="003015FD">
        <w:t>protected</w:t>
      </w:r>
      <w:r w:rsidR="00975895" w:rsidRPr="003015FD">
        <w:t xml:space="preserve"> </w:t>
      </w:r>
      <w:r w:rsidR="008E0945" w:rsidRPr="003015FD">
        <w:t>and</w:t>
      </w:r>
      <w:r w:rsidR="00975895" w:rsidRPr="003015FD">
        <w:t xml:space="preserve"> </w:t>
      </w:r>
      <w:r w:rsidR="008E0945" w:rsidRPr="003015FD">
        <w:t>upheld</w:t>
      </w:r>
      <w:r w:rsidRPr="003015FD">
        <w:t>,</w:t>
      </w:r>
      <w:r w:rsidR="00975895" w:rsidRPr="003015FD">
        <w:t xml:space="preserve"> </w:t>
      </w:r>
      <w:r w:rsidRPr="003015FD">
        <w:t>we</w:t>
      </w:r>
      <w:r w:rsidR="00975895" w:rsidRPr="003015FD">
        <w:t xml:space="preserve"> </w:t>
      </w:r>
      <w:r w:rsidRPr="003015FD">
        <w:t>must</w:t>
      </w:r>
      <w:r w:rsidR="00975895" w:rsidRPr="003015FD">
        <w:t xml:space="preserve"> </w:t>
      </w:r>
      <w:r w:rsidRPr="003015FD">
        <w:t>ensure</w:t>
      </w:r>
      <w:r w:rsidR="00975895" w:rsidRPr="003015FD">
        <w:t xml:space="preserve"> </w:t>
      </w:r>
      <w:r w:rsidRPr="003015FD">
        <w:t>the</w:t>
      </w:r>
      <w:r w:rsidR="00975895" w:rsidRPr="003015FD">
        <w:t xml:space="preserve"> </w:t>
      </w:r>
      <w:r w:rsidRPr="003015FD">
        <w:t>community,</w:t>
      </w:r>
      <w:r w:rsidR="00975895" w:rsidRPr="003015FD">
        <w:t xml:space="preserve"> </w:t>
      </w:r>
      <w:r w:rsidRPr="003015FD">
        <w:t>as</w:t>
      </w:r>
      <w:r w:rsidR="00975895" w:rsidRPr="003015FD">
        <w:t xml:space="preserve"> </w:t>
      </w:r>
      <w:r w:rsidRPr="003015FD">
        <w:t>rights</w:t>
      </w:r>
      <w:r w:rsidR="00975895" w:rsidRPr="003015FD">
        <w:t xml:space="preserve"> </w:t>
      </w:r>
      <w:r w:rsidRPr="003015FD">
        <w:t>holders,</w:t>
      </w:r>
      <w:r w:rsidR="00975895" w:rsidRPr="003015FD">
        <w:t xml:space="preserve"> </w:t>
      </w:r>
      <w:r w:rsidRPr="003015FD">
        <w:t>know</w:t>
      </w:r>
      <w:r w:rsidR="00975895" w:rsidRPr="003015FD">
        <w:t xml:space="preserve"> </w:t>
      </w:r>
      <w:r w:rsidRPr="003015FD">
        <w:t>their</w:t>
      </w:r>
      <w:r w:rsidR="00975895" w:rsidRPr="003015FD">
        <w:t xml:space="preserve"> </w:t>
      </w:r>
      <w:r w:rsidR="00BE1F98">
        <w:t xml:space="preserve">human </w:t>
      </w:r>
      <w:r w:rsidRPr="003015FD">
        <w:t>rights</w:t>
      </w:r>
      <w:r w:rsidR="00975895" w:rsidRPr="003015FD">
        <w:t xml:space="preserve"> </w:t>
      </w:r>
      <w:r w:rsidRPr="003015FD">
        <w:t>and</w:t>
      </w:r>
      <w:r w:rsidR="00975895" w:rsidRPr="003015FD">
        <w:t xml:space="preserve"> </w:t>
      </w:r>
      <w:r w:rsidRPr="003015FD">
        <w:t>how</w:t>
      </w:r>
      <w:r w:rsidR="00975895" w:rsidRPr="003015FD">
        <w:t xml:space="preserve"> </w:t>
      </w:r>
      <w:r w:rsidRPr="003015FD">
        <w:t>to</w:t>
      </w:r>
      <w:r w:rsidR="00975895" w:rsidRPr="003015FD">
        <w:t xml:space="preserve"> </w:t>
      </w:r>
      <w:r w:rsidRPr="003015FD">
        <w:t>advocate</w:t>
      </w:r>
      <w:r w:rsidR="00975895" w:rsidRPr="003015FD">
        <w:t xml:space="preserve"> </w:t>
      </w:r>
      <w:r w:rsidRPr="003015FD">
        <w:t>for</w:t>
      </w:r>
      <w:r w:rsidR="00975895" w:rsidRPr="003015FD">
        <w:t xml:space="preserve"> </w:t>
      </w:r>
      <w:r w:rsidRPr="003015FD">
        <w:t>the</w:t>
      </w:r>
      <w:r w:rsidR="00BE1F98">
        <w:t>m</w:t>
      </w:r>
      <w:r w:rsidRPr="003015FD">
        <w:t>.</w:t>
      </w:r>
      <w:r w:rsidR="00975895" w:rsidRPr="003015FD">
        <w:t xml:space="preserve"> </w:t>
      </w:r>
      <w:r w:rsidRPr="003015FD">
        <w:t>Those</w:t>
      </w:r>
      <w:r w:rsidR="00975895" w:rsidRPr="003015FD">
        <w:t xml:space="preserve"> </w:t>
      </w:r>
      <w:r w:rsidRPr="003015FD">
        <w:t>with</w:t>
      </w:r>
      <w:r w:rsidR="00975895" w:rsidRPr="003015FD">
        <w:t xml:space="preserve"> </w:t>
      </w:r>
      <w:r w:rsidRPr="003015FD">
        <w:t>responsibilities</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00975895" w:rsidRPr="003015FD">
        <w:t xml:space="preserve"> </w:t>
      </w:r>
      <w:r w:rsidRPr="003015FD">
        <w:t>the</w:t>
      </w:r>
      <w:r w:rsidR="00975895" w:rsidRPr="003015FD">
        <w:t xml:space="preserve"> </w:t>
      </w:r>
      <w:r w:rsidRPr="003015FD">
        <w:t>three</w:t>
      </w:r>
      <w:r w:rsidR="00975895" w:rsidRPr="003015FD">
        <w:t xml:space="preserve"> </w:t>
      </w:r>
      <w:r w:rsidRPr="003015FD">
        <w:t>arms</w:t>
      </w:r>
      <w:r w:rsidR="00975895" w:rsidRPr="003015FD">
        <w:t xml:space="preserve"> </w:t>
      </w:r>
      <w:r w:rsidRPr="003015FD">
        <w:t>of</w:t>
      </w:r>
      <w:r w:rsidR="00975895" w:rsidRPr="003015FD">
        <w:t xml:space="preserve"> </w:t>
      </w:r>
      <w:r w:rsidRPr="003015FD">
        <w:t>government,</w:t>
      </w:r>
      <w:r w:rsidR="00975895" w:rsidRPr="003015FD">
        <w:t xml:space="preserve"> </w:t>
      </w:r>
      <w:r w:rsidRPr="003015FD">
        <w:t>must</w:t>
      </w:r>
      <w:r w:rsidR="00975895" w:rsidRPr="003015FD">
        <w:t xml:space="preserve"> </w:t>
      </w:r>
      <w:r w:rsidRPr="003015FD">
        <w:t>know</w:t>
      </w:r>
      <w:r w:rsidR="00975895" w:rsidRPr="003015FD">
        <w:t xml:space="preserve"> </w:t>
      </w:r>
      <w:r w:rsidRPr="003015FD">
        <w:t>their</w:t>
      </w:r>
      <w:r w:rsidR="00975895" w:rsidRPr="003015FD">
        <w:t xml:space="preserve"> </w:t>
      </w:r>
      <w:r w:rsidRPr="003015FD">
        <w:t>obligations</w:t>
      </w:r>
      <w:r w:rsidR="00975895" w:rsidRPr="003015FD">
        <w:t xml:space="preserve"> </w:t>
      </w:r>
      <w:r w:rsidRPr="003015FD">
        <w:t>and</w:t>
      </w:r>
      <w:r w:rsidR="00975895" w:rsidRPr="003015FD">
        <w:t xml:space="preserve"> </w:t>
      </w:r>
      <w:r w:rsidRPr="003015FD">
        <w:t>be</w:t>
      </w:r>
      <w:r w:rsidR="00975895" w:rsidRPr="003015FD">
        <w:t xml:space="preserve"> </w:t>
      </w:r>
      <w:r w:rsidRPr="003015FD">
        <w:t>held</w:t>
      </w:r>
      <w:r w:rsidR="00975895" w:rsidRPr="003015FD">
        <w:t xml:space="preserve"> </w:t>
      </w:r>
      <w:r w:rsidRPr="003015FD">
        <w:t>accountable</w:t>
      </w:r>
      <w:r w:rsidR="00975895" w:rsidRPr="003015FD">
        <w:t xml:space="preserve"> </w:t>
      </w:r>
      <w:r w:rsidRPr="003015FD">
        <w:t>for</w:t>
      </w:r>
      <w:r w:rsidR="00975895" w:rsidRPr="003015FD">
        <w:t xml:space="preserve"> </w:t>
      </w:r>
      <w:r w:rsidRPr="003015FD">
        <w:t>them.</w:t>
      </w:r>
      <w:r w:rsidR="00975895" w:rsidRPr="003015FD">
        <w:t xml:space="preserve"> </w:t>
      </w:r>
    </w:p>
    <w:p w14:paraId="69075F8B" w14:textId="45C3BE0C" w:rsidR="008E0945" w:rsidRPr="003015FD" w:rsidRDefault="008E0945" w:rsidP="0002642E">
      <w:r w:rsidRPr="003015FD">
        <w:t>This</w:t>
      </w:r>
      <w:r w:rsidR="00975895" w:rsidRPr="003015FD">
        <w:t xml:space="preserve"> </w:t>
      </w:r>
      <w:r w:rsidRPr="003015FD">
        <w:t>is</w:t>
      </w:r>
      <w:r w:rsidR="00975895" w:rsidRPr="003015FD">
        <w:t xml:space="preserve"> </w:t>
      </w:r>
      <w:r w:rsidRPr="003015FD">
        <w:t>particularly</w:t>
      </w:r>
      <w:r w:rsidR="00975895" w:rsidRPr="003015FD">
        <w:t xml:space="preserve"> </w:t>
      </w:r>
      <w:r w:rsidRPr="003015FD">
        <w:t>important</w:t>
      </w:r>
      <w:r w:rsidR="00975895" w:rsidRPr="003015FD">
        <w:t xml:space="preserve"> </w:t>
      </w:r>
      <w:r w:rsidRPr="003015FD">
        <w:t>in</w:t>
      </w:r>
      <w:r w:rsidR="00975895" w:rsidRPr="003015FD">
        <w:t xml:space="preserve"> </w:t>
      </w:r>
      <w:r w:rsidRPr="003015FD">
        <w:t>public</w:t>
      </w:r>
      <w:r w:rsidR="00975895" w:rsidRPr="003015FD">
        <w:t xml:space="preserve"> </w:t>
      </w:r>
      <w:r w:rsidRPr="003015FD">
        <w:t>authorities.</w:t>
      </w:r>
      <w:r w:rsidR="00975895" w:rsidRPr="003015FD">
        <w:t xml:space="preserve"> </w:t>
      </w:r>
      <w:r w:rsidR="008B4D96">
        <w:t xml:space="preserve">This </w:t>
      </w:r>
      <w:r w:rsidR="004E684B" w:rsidRPr="003015FD">
        <w:t>include</w:t>
      </w:r>
      <w:r w:rsidR="008B4D96">
        <w:t>s</w:t>
      </w:r>
      <w:r w:rsidR="00975895" w:rsidRPr="003015FD">
        <w:t xml:space="preserve"> </w:t>
      </w:r>
      <w:r w:rsidR="004E684B" w:rsidRPr="003015FD">
        <w:t>the</w:t>
      </w:r>
      <w:r w:rsidR="00975895" w:rsidRPr="003015FD">
        <w:t xml:space="preserve"> </w:t>
      </w:r>
      <w:r w:rsidR="004E684B" w:rsidRPr="003015FD">
        <w:t>public</w:t>
      </w:r>
      <w:r w:rsidR="00975895" w:rsidRPr="003015FD">
        <w:t xml:space="preserve"> </w:t>
      </w:r>
      <w:r w:rsidR="004E684B" w:rsidRPr="003015FD">
        <w:t>sector,</w:t>
      </w:r>
      <w:r w:rsidR="00975895" w:rsidRPr="003015FD">
        <w:t xml:space="preserve"> </w:t>
      </w:r>
      <w:r w:rsidR="004E684B" w:rsidRPr="003015FD">
        <w:t>police,</w:t>
      </w:r>
      <w:r w:rsidR="00975895" w:rsidRPr="003015FD">
        <w:t xml:space="preserve"> </w:t>
      </w:r>
      <w:r w:rsidR="004E684B" w:rsidRPr="003015FD">
        <w:t>local</w:t>
      </w:r>
      <w:r w:rsidR="00975895" w:rsidRPr="003015FD">
        <w:t xml:space="preserve"> </w:t>
      </w:r>
      <w:r w:rsidR="004E684B" w:rsidRPr="003015FD">
        <w:t>government,</w:t>
      </w:r>
      <w:r w:rsidR="00975895" w:rsidRPr="003015FD">
        <w:t xml:space="preserve"> </w:t>
      </w:r>
      <w:r w:rsidR="008B75E8">
        <w:t>m</w:t>
      </w:r>
      <w:r w:rsidR="004E684B" w:rsidRPr="003015FD">
        <w:t>inisters,</w:t>
      </w:r>
      <w:r w:rsidR="00975895" w:rsidRPr="003015FD">
        <w:t xml:space="preserve"> </w:t>
      </w:r>
      <w:r w:rsidR="004E684B" w:rsidRPr="003015FD">
        <w:t>and</w:t>
      </w:r>
      <w:r w:rsidR="00975895" w:rsidRPr="003015FD">
        <w:t xml:space="preserve"> </w:t>
      </w:r>
      <w:r w:rsidR="004E684B" w:rsidRPr="003015FD">
        <w:t>often</w:t>
      </w:r>
      <w:r w:rsidR="00975895" w:rsidRPr="003015FD">
        <w:t xml:space="preserve"> </w:t>
      </w:r>
      <w:r w:rsidR="004E684B" w:rsidRPr="003015FD">
        <w:t>contractors</w:t>
      </w:r>
      <w:r w:rsidR="00975895" w:rsidRPr="003015FD">
        <w:t xml:space="preserve"> </w:t>
      </w:r>
      <w:r w:rsidR="004E684B" w:rsidRPr="003015FD">
        <w:t>of</w:t>
      </w:r>
      <w:r w:rsidR="00975895" w:rsidRPr="003015FD">
        <w:t xml:space="preserve"> </w:t>
      </w:r>
      <w:r w:rsidR="004E684B" w:rsidRPr="003015FD">
        <w:t>public</w:t>
      </w:r>
      <w:r w:rsidR="00975895" w:rsidRPr="003015FD">
        <w:t xml:space="preserve"> </w:t>
      </w:r>
      <w:r w:rsidR="004E684B" w:rsidRPr="003015FD">
        <w:t>authorities.</w:t>
      </w:r>
      <w:r w:rsidR="00975895" w:rsidRPr="003015FD">
        <w:t xml:space="preserve"> </w:t>
      </w:r>
      <w:r w:rsidR="004E684B" w:rsidRPr="003015FD">
        <w:t>These</w:t>
      </w:r>
      <w:r w:rsidR="00975895" w:rsidRPr="003015FD">
        <w:t xml:space="preserve"> </w:t>
      </w:r>
      <w:r w:rsidR="00BE1F98">
        <w:t>people</w:t>
      </w:r>
      <w:r w:rsidR="00BE1F98" w:rsidRPr="003015FD">
        <w:t xml:space="preserve"> </w:t>
      </w:r>
      <w:r w:rsidRPr="003015FD">
        <w:t>make</w:t>
      </w:r>
      <w:r w:rsidR="00975895" w:rsidRPr="003015FD">
        <w:t xml:space="preserve"> </w:t>
      </w:r>
      <w:r w:rsidRPr="003015FD">
        <w:t>decisions</w:t>
      </w:r>
      <w:r w:rsidR="008B75E8">
        <w:t xml:space="preserve"> daily</w:t>
      </w:r>
      <w:r w:rsidRPr="003015FD">
        <w:t>,</w:t>
      </w:r>
      <w:r w:rsidR="00975895" w:rsidRPr="003015FD">
        <w:t xml:space="preserve"> </w:t>
      </w:r>
      <w:r w:rsidRPr="003015FD">
        <w:t>big</w:t>
      </w:r>
      <w:r w:rsidR="00975895" w:rsidRPr="003015FD">
        <w:t xml:space="preserve"> </w:t>
      </w:r>
      <w:r w:rsidRPr="003015FD">
        <w:t>and</w:t>
      </w:r>
      <w:r w:rsidR="00975895" w:rsidRPr="003015FD">
        <w:t xml:space="preserve"> </w:t>
      </w:r>
      <w:r w:rsidRPr="003015FD">
        <w:t>small,</w:t>
      </w:r>
      <w:r w:rsidR="00975895" w:rsidRPr="003015FD">
        <w:t xml:space="preserve"> </w:t>
      </w:r>
      <w:r w:rsidRPr="003015FD">
        <w:t>which</w:t>
      </w:r>
      <w:r w:rsidR="00975895" w:rsidRPr="003015FD">
        <w:t xml:space="preserve"> </w:t>
      </w:r>
      <w:r w:rsidRPr="003015FD">
        <w:t>affect</w:t>
      </w:r>
      <w:r w:rsidR="00975895" w:rsidRPr="003015FD">
        <w:t xml:space="preserve"> </w:t>
      </w:r>
      <w:r w:rsidRPr="003015FD">
        <w:t>the</w:t>
      </w:r>
      <w:r w:rsidR="00975895" w:rsidRPr="003015FD">
        <w:t xml:space="preserve"> </w:t>
      </w:r>
      <w:r w:rsidRPr="003015FD">
        <w:t>lives</w:t>
      </w:r>
      <w:r w:rsidR="00975895" w:rsidRPr="003015FD">
        <w:t xml:space="preserve"> </w:t>
      </w:r>
      <w:r w:rsidRPr="003015FD">
        <w:t>of</w:t>
      </w:r>
      <w:r w:rsidR="00975895" w:rsidRPr="003015FD">
        <w:t xml:space="preserve"> </w:t>
      </w:r>
      <w:r w:rsidRPr="003015FD">
        <w:t>Victorians.</w:t>
      </w:r>
      <w:r w:rsidR="00975895" w:rsidRPr="003015FD">
        <w:t xml:space="preserve"> </w:t>
      </w:r>
      <w:r w:rsidR="008B4D96">
        <w:t xml:space="preserve">Their decisions are highly influenced by the culture of the organisation in which they work. If the organisation’s culture is </w:t>
      </w:r>
      <w:r w:rsidRPr="003015FD">
        <w:t>positive</w:t>
      </w:r>
      <w:r w:rsidR="00975895" w:rsidRPr="003015FD">
        <w:t xml:space="preserve"> </w:t>
      </w:r>
      <w:r w:rsidRPr="003015FD">
        <w:t>towards</w:t>
      </w:r>
      <w:r w:rsidR="00975895" w:rsidRPr="003015FD">
        <w:t xml:space="preserve"> </w:t>
      </w:r>
      <w:r w:rsidRPr="003015FD">
        <w:t>human</w:t>
      </w:r>
      <w:r w:rsidR="00975895" w:rsidRPr="003015FD">
        <w:t xml:space="preserve"> </w:t>
      </w:r>
      <w:r w:rsidRPr="003015FD">
        <w:t>rights,</w:t>
      </w:r>
      <w:r w:rsidR="00975895" w:rsidRPr="003015FD">
        <w:t xml:space="preserve"> </w:t>
      </w:r>
      <w:r w:rsidR="003A273A">
        <w:t>it is</w:t>
      </w:r>
      <w:r w:rsidR="00975895" w:rsidRPr="003015FD">
        <w:t xml:space="preserve"> </w:t>
      </w:r>
      <w:r w:rsidRPr="003015FD">
        <w:t>more</w:t>
      </w:r>
      <w:r w:rsidR="00975895" w:rsidRPr="003015FD">
        <w:t xml:space="preserve"> </w:t>
      </w:r>
      <w:r w:rsidRPr="003015FD">
        <w:t>likely</w:t>
      </w:r>
      <w:r w:rsidR="00975895" w:rsidRPr="003015FD">
        <w:t xml:space="preserve"> </w:t>
      </w:r>
      <w:r w:rsidRPr="003015FD">
        <w:t>Victorians</w:t>
      </w:r>
      <w:r w:rsidR="00975895" w:rsidRPr="003015FD">
        <w:t xml:space="preserve"> </w:t>
      </w:r>
      <w:r w:rsidR="00BE1F98">
        <w:t>will</w:t>
      </w:r>
      <w:r w:rsidR="00975895" w:rsidRPr="003015FD">
        <w:t xml:space="preserve"> </w:t>
      </w:r>
      <w:r w:rsidRPr="003015FD">
        <w:t>enjoy</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to</w:t>
      </w:r>
      <w:r w:rsidR="00975895" w:rsidRPr="003015FD">
        <w:t xml:space="preserve"> </w:t>
      </w:r>
      <w:r w:rsidRPr="003015FD">
        <w:t>which</w:t>
      </w:r>
      <w:r w:rsidR="00975895" w:rsidRPr="003015FD">
        <w:t xml:space="preserve"> </w:t>
      </w:r>
      <w:r w:rsidRPr="003015FD">
        <w:t>they</w:t>
      </w:r>
      <w:r w:rsidR="00975895" w:rsidRPr="003015FD">
        <w:t xml:space="preserve"> </w:t>
      </w:r>
      <w:r w:rsidRPr="003015FD">
        <w:t>are</w:t>
      </w:r>
      <w:r w:rsidR="00975895" w:rsidRPr="003015FD">
        <w:t xml:space="preserve"> </w:t>
      </w:r>
      <w:r w:rsidRPr="003015FD">
        <w:t>entitled.</w:t>
      </w:r>
      <w:r w:rsidR="00975895" w:rsidRPr="003015FD">
        <w:t xml:space="preserve"> </w:t>
      </w:r>
    </w:p>
    <w:p w14:paraId="4B874AB5" w14:textId="015E9EB7" w:rsidR="008B4D96" w:rsidRDefault="008B4D96" w:rsidP="0002642E">
      <w:r w:rsidRPr="003015FD">
        <w:t xml:space="preserve">As the Charter </w:t>
      </w:r>
      <w:r w:rsidR="003B428A">
        <w:t>is now an established law</w:t>
      </w:r>
      <w:r w:rsidRPr="003015FD">
        <w:t xml:space="preserve"> in Victoria, the challenge for public authorities is how to build and strengthen human rights culture. </w:t>
      </w:r>
    </w:p>
    <w:p w14:paraId="5AE94484" w14:textId="4AB54CFD" w:rsidR="008E0945" w:rsidRPr="003015FD" w:rsidRDefault="008E0945" w:rsidP="0002642E">
      <w:r w:rsidRPr="003015FD">
        <w:rPr>
          <w:rFonts w:cs="Arial"/>
        </w:rPr>
        <w:t>An</w:t>
      </w:r>
      <w:r w:rsidR="00975895" w:rsidRPr="003015FD">
        <w:rPr>
          <w:rFonts w:cs="Arial"/>
        </w:rPr>
        <w:t xml:space="preserve"> </w:t>
      </w:r>
      <w:r w:rsidR="008B4D96">
        <w:t xml:space="preserve">organisation </w:t>
      </w:r>
      <w:r w:rsidRPr="003015FD">
        <w:rPr>
          <w:rFonts w:cs="Arial"/>
        </w:rPr>
        <w:t>has</w:t>
      </w:r>
      <w:r w:rsidR="00975895" w:rsidRPr="003015FD">
        <w:rPr>
          <w:rFonts w:cs="Arial"/>
        </w:rPr>
        <w:t xml:space="preserve"> </w:t>
      </w:r>
      <w:r w:rsidRPr="003015FD">
        <w:rPr>
          <w:rFonts w:cs="Arial"/>
        </w:rPr>
        <w:t>a</w:t>
      </w:r>
      <w:r w:rsidR="00975895" w:rsidRPr="003015FD">
        <w:rPr>
          <w:rFonts w:cs="Arial"/>
        </w:rPr>
        <w:t xml:space="preserve"> </w:t>
      </w:r>
      <w:r w:rsidRPr="003015FD">
        <w:rPr>
          <w:rFonts w:cs="Arial"/>
        </w:rPr>
        <w:t>positive</w:t>
      </w:r>
      <w:r w:rsidR="00975895" w:rsidRPr="003015FD">
        <w:rPr>
          <w:rFonts w:cs="Arial"/>
        </w:rPr>
        <w:t xml:space="preserve"> </w:t>
      </w:r>
      <w:r w:rsidRPr="003015FD">
        <w:rPr>
          <w:rFonts w:cs="Arial"/>
        </w:rPr>
        <w:t>human</w:t>
      </w:r>
      <w:r w:rsidR="00975895" w:rsidRPr="003015FD">
        <w:rPr>
          <w:rFonts w:cs="Arial"/>
        </w:rPr>
        <w:t xml:space="preserve"> </w:t>
      </w:r>
      <w:r w:rsidRPr="003015FD">
        <w:rPr>
          <w:rFonts w:cs="Arial"/>
        </w:rPr>
        <w:t>rights</w:t>
      </w:r>
      <w:r w:rsidR="00975895" w:rsidRPr="003015FD">
        <w:rPr>
          <w:rFonts w:cs="Arial"/>
        </w:rPr>
        <w:t xml:space="preserve"> </w:t>
      </w:r>
      <w:r w:rsidRPr="003015FD">
        <w:rPr>
          <w:rFonts w:cs="Arial"/>
        </w:rPr>
        <w:t>culture</w:t>
      </w:r>
      <w:r w:rsidR="00975895" w:rsidRPr="003015FD">
        <w:rPr>
          <w:rFonts w:cs="Arial"/>
        </w:rPr>
        <w:t xml:space="preserve"> </w:t>
      </w:r>
      <w:r w:rsidRPr="003015FD">
        <w:rPr>
          <w:rFonts w:cs="Arial"/>
        </w:rPr>
        <w:t>if</w:t>
      </w:r>
      <w:r w:rsidR="00975895" w:rsidRPr="003015FD">
        <w:rPr>
          <w:rFonts w:cs="Arial"/>
        </w:rPr>
        <w:t xml:space="preserve"> </w:t>
      </w:r>
      <w:r w:rsidRPr="003015FD">
        <w:rPr>
          <w:rFonts w:cs="Arial"/>
        </w:rPr>
        <w:t>it</w:t>
      </w:r>
      <w:r w:rsidR="00975895" w:rsidRPr="003015FD">
        <w:rPr>
          <w:rFonts w:cs="Arial"/>
        </w:rPr>
        <w:t xml:space="preserve"> </w:t>
      </w:r>
      <w:r w:rsidRPr="003015FD">
        <w:rPr>
          <w:rFonts w:cs="Arial"/>
        </w:rPr>
        <w:t>has</w:t>
      </w:r>
      <w:r w:rsidR="00975895" w:rsidRPr="003015FD">
        <w:rPr>
          <w:rFonts w:cs="Arial"/>
        </w:rPr>
        <w:t xml:space="preserve"> </w:t>
      </w:r>
      <w:r w:rsidRPr="003015FD">
        <w:rPr>
          <w:rFonts w:cs="Arial"/>
        </w:rPr>
        <w:t>a</w:t>
      </w:r>
      <w:r w:rsidR="00975895" w:rsidRPr="003015FD">
        <w:rPr>
          <w:rFonts w:cs="Arial"/>
        </w:rPr>
        <w:t xml:space="preserve"> </w:t>
      </w:r>
      <w:r w:rsidRPr="003015FD">
        <w:t>pattern</w:t>
      </w:r>
      <w:r w:rsidR="00975895" w:rsidRPr="003015FD">
        <w:t xml:space="preserve"> </w:t>
      </w:r>
      <w:r w:rsidRPr="003015FD">
        <w:t>of</w:t>
      </w:r>
      <w:r w:rsidR="00975895" w:rsidRPr="003015FD">
        <w:t xml:space="preserve"> </w:t>
      </w:r>
      <w:r w:rsidRPr="003015FD">
        <w:t>shared</w:t>
      </w:r>
      <w:r w:rsidR="00975895" w:rsidRPr="003015FD">
        <w:t xml:space="preserve"> </w:t>
      </w:r>
      <w:r w:rsidRPr="003015FD">
        <w:t>attitudes,</w:t>
      </w:r>
      <w:r w:rsidR="00975895" w:rsidRPr="003015FD">
        <w:t xml:space="preserve"> </w:t>
      </w:r>
      <w:r w:rsidRPr="003015FD">
        <w:t>values</w:t>
      </w:r>
      <w:r w:rsidR="00975895" w:rsidRPr="003015FD">
        <w:t xml:space="preserve"> </w:t>
      </w:r>
      <w:r w:rsidRPr="003015FD">
        <w:t>and</w:t>
      </w:r>
      <w:r w:rsidR="00975895" w:rsidRPr="003015FD">
        <w:t xml:space="preserve"> </w:t>
      </w:r>
      <w:r w:rsidRPr="003015FD">
        <w:t>behaviours</w:t>
      </w:r>
      <w:r w:rsidR="00975895" w:rsidRPr="003015FD">
        <w:t xml:space="preserve"> </w:t>
      </w:r>
      <w:r w:rsidRPr="003015FD">
        <w:t>that</w:t>
      </w:r>
      <w:r w:rsidR="00975895" w:rsidRPr="003015FD">
        <w:t xml:space="preserve"> </w:t>
      </w:r>
      <w:r w:rsidRPr="003015FD">
        <w:t>influence</w:t>
      </w:r>
      <w:r w:rsidR="00975895" w:rsidRPr="003015FD">
        <w:t xml:space="preserve"> </w:t>
      </w:r>
      <w:r w:rsidRPr="003015FD">
        <w:t>policy</w:t>
      </w:r>
      <w:r w:rsidR="00975895" w:rsidRPr="003015FD">
        <w:t xml:space="preserve"> </w:t>
      </w:r>
      <w:r w:rsidRPr="003015FD">
        <w:t>making,</w:t>
      </w:r>
      <w:r w:rsidR="00975895" w:rsidRPr="003015FD">
        <w:t xml:space="preserve"> </w:t>
      </w:r>
      <w:r w:rsidRPr="003015FD">
        <w:t>decisions</w:t>
      </w:r>
      <w:r w:rsidR="00975895" w:rsidRPr="003015FD">
        <w:t xml:space="preserve"> </w:t>
      </w:r>
      <w:r w:rsidRPr="003015FD">
        <w:t>and</w:t>
      </w:r>
      <w:r w:rsidR="00975895" w:rsidRPr="003015FD">
        <w:t xml:space="preserve"> </w:t>
      </w:r>
      <w:r w:rsidRPr="003015FD">
        <w:t>practices</w:t>
      </w:r>
      <w:r w:rsidR="00975895" w:rsidRPr="003015FD">
        <w:t xml:space="preserve"> </w:t>
      </w:r>
      <w:r w:rsidRPr="003015FD">
        <w:t>to</w:t>
      </w:r>
      <w:r w:rsidR="00975895" w:rsidRPr="003015FD">
        <w:t xml:space="preserve"> </w:t>
      </w:r>
      <w:r w:rsidRPr="003015FD">
        <w:t>uphold</w:t>
      </w:r>
      <w:r w:rsidR="00975895" w:rsidRPr="003015FD">
        <w:t xml:space="preserve"> </w:t>
      </w:r>
      <w:r w:rsidRPr="003015FD">
        <w:t>human</w:t>
      </w:r>
      <w:r w:rsidR="00975895" w:rsidRPr="003015FD">
        <w:t xml:space="preserve"> </w:t>
      </w:r>
      <w:r w:rsidRPr="003015FD">
        <w:t>rights.</w:t>
      </w:r>
    </w:p>
    <w:p w14:paraId="41F660CF" w14:textId="25FB897B" w:rsidR="008E0945" w:rsidRPr="003015FD" w:rsidRDefault="008E0945" w:rsidP="0002642E">
      <w:r w:rsidRPr="003015FD">
        <w:t>Using</w:t>
      </w:r>
      <w:r w:rsidR="00975895" w:rsidRPr="003015FD">
        <w:t xml:space="preserve"> </w:t>
      </w:r>
      <w:r w:rsidRPr="003015FD">
        <w:t>expert</w:t>
      </w:r>
      <w:r w:rsidR="00975895" w:rsidRPr="003015FD">
        <w:t xml:space="preserve"> </w:t>
      </w:r>
      <w:r w:rsidRPr="003015FD">
        <w:t>advice</w:t>
      </w:r>
      <w:r w:rsidR="008B4D96">
        <w:t xml:space="preserve"> from PwC</w:t>
      </w:r>
      <w:r w:rsidRPr="003015FD">
        <w:t>,</w:t>
      </w:r>
      <w:r w:rsidR="00975895" w:rsidRPr="003015FD">
        <w:t xml:space="preserve"> </w:t>
      </w:r>
      <w:r w:rsidRPr="003015FD">
        <w:t>extensive</w:t>
      </w:r>
      <w:r w:rsidR="00975895" w:rsidRPr="003015FD">
        <w:t xml:space="preserve"> </w:t>
      </w:r>
      <w:r w:rsidRPr="003015FD">
        <w:t>consultation</w:t>
      </w:r>
      <w:r w:rsidR="00975895" w:rsidRPr="003015FD">
        <w:t xml:space="preserve"> </w:t>
      </w:r>
      <w:r w:rsidRPr="003015FD">
        <w:t>and</w:t>
      </w:r>
      <w:r w:rsidR="00975895" w:rsidRPr="003015FD">
        <w:t xml:space="preserve"> </w:t>
      </w:r>
      <w:r w:rsidR="004E684B" w:rsidRPr="003015FD">
        <w:t>our</w:t>
      </w:r>
      <w:r w:rsidR="00975895" w:rsidRPr="003015FD">
        <w:t xml:space="preserve"> </w:t>
      </w:r>
      <w:r w:rsidRPr="003015FD">
        <w:t>own</w:t>
      </w:r>
      <w:r w:rsidR="00975895" w:rsidRPr="003015FD">
        <w:t xml:space="preserve"> </w:t>
      </w:r>
      <w:r w:rsidRPr="003015FD">
        <w:t>experience,</w:t>
      </w:r>
      <w:r w:rsidR="00975895" w:rsidRPr="003015FD">
        <w:t xml:space="preserve"> </w:t>
      </w:r>
      <w:r w:rsidR="004E684B" w:rsidRPr="003015FD">
        <w:t>the</w:t>
      </w:r>
      <w:r w:rsidR="00975895" w:rsidRPr="003015FD">
        <w:t xml:space="preserve"> </w:t>
      </w:r>
      <w:r w:rsidR="004E684B" w:rsidRPr="003015FD">
        <w:t>Commission</w:t>
      </w:r>
      <w:r w:rsidR="00975895" w:rsidRPr="003015FD">
        <w:t xml:space="preserve"> </w:t>
      </w:r>
      <w:r w:rsidR="008B4D96">
        <w:t xml:space="preserve">has </w:t>
      </w:r>
      <w:r w:rsidRPr="003015FD">
        <w:t>determined</w:t>
      </w:r>
      <w:r w:rsidR="00975895" w:rsidRPr="003015FD">
        <w:t xml:space="preserve"> </w:t>
      </w:r>
      <w:r w:rsidR="008B4D96">
        <w:t xml:space="preserve">that </w:t>
      </w:r>
      <w:r w:rsidRPr="003015FD">
        <w:t>six</w:t>
      </w:r>
      <w:r w:rsidR="00975895" w:rsidRPr="003015FD">
        <w:t xml:space="preserve"> </w:t>
      </w:r>
      <w:r w:rsidR="004E684B" w:rsidRPr="003015FD">
        <w:t>influences</w:t>
      </w:r>
      <w:r w:rsidR="00975895" w:rsidRPr="003015FD">
        <w:t xml:space="preserve"> </w:t>
      </w:r>
      <w:r w:rsidR="004E684B" w:rsidRPr="003015FD">
        <w:t>within</w:t>
      </w:r>
      <w:r w:rsidR="00975895" w:rsidRPr="003015FD">
        <w:t xml:space="preserve"> </w:t>
      </w:r>
      <w:r w:rsidR="004E684B" w:rsidRPr="003015FD">
        <w:t>an</w:t>
      </w:r>
      <w:r w:rsidR="00975895" w:rsidRPr="003015FD">
        <w:t xml:space="preserve"> </w:t>
      </w:r>
      <w:r w:rsidR="008B4D96">
        <w:t xml:space="preserve">organisation </w:t>
      </w:r>
      <w:r w:rsidR="00BE1F98">
        <w:t xml:space="preserve">ensure a strong </w:t>
      </w:r>
      <w:r w:rsidRPr="003015FD">
        <w:t>human</w:t>
      </w:r>
      <w:r w:rsidR="00975895" w:rsidRPr="003015FD">
        <w:t xml:space="preserve"> </w:t>
      </w:r>
      <w:r w:rsidRPr="003015FD">
        <w:t>rights</w:t>
      </w:r>
      <w:r w:rsidR="00975895" w:rsidRPr="003015FD">
        <w:t xml:space="preserve"> </w:t>
      </w:r>
      <w:r w:rsidRPr="003015FD">
        <w:t>culture.</w:t>
      </w:r>
    </w:p>
    <w:p w14:paraId="23ECAB69" w14:textId="16693707" w:rsidR="008E0945" w:rsidRPr="003015FD" w:rsidRDefault="008E0945" w:rsidP="0002642E">
      <w:pPr>
        <w:pStyle w:val="ListNumber"/>
        <w:spacing w:before="0"/>
      </w:pPr>
      <w:r w:rsidRPr="0002642E">
        <w:t>Engaged</w:t>
      </w:r>
      <w:r w:rsidR="00975895" w:rsidRPr="0002642E">
        <w:t xml:space="preserve"> </w:t>
      </w:r>
      <w:r w:rsidRPr="0002642E">
        <w:t>leadership:</w:t>
      </w:r>
      <w:r w:rsidR="00975895" w:rsidRPr="0002642E">
        <w:t xml:space="preserve"> </w:t>
      </w:r>
      <w:r w:rsidR="003B428A">
        <w:t>Formal</w:t>
      </w:r>
      <w:r w:rsidR="00975895" w:rsidRPr="003015FD">
        <w:t xml:space="preserve"> </w:t>
      </w:r>
      <w:r w:rsidRPr="003015FD">
        <w:t>and</w:t>
      </w:r>
      <w:r w:rsidR="00975895" w:rsidRPr="003015FD">
        <w:t xml:space="preserve"> </w:t>
      </w:r>
      <w:r w:rsidRPr="003015FD">
        <w:t>informal</w:t>
      </w:r>
      <w:r w:rsidR="00975895" w:rsidRPr="003015FD">
        <w:t xml:space="preserve"> </w:t>
      </w:r>
      <w:r w:rsidRPr="003015FD">
        <w:t>leaders</w:t>
      </w:r>
      <w:r w:rsidR="00975895" w:rsidRPr="003015FD">
        <w:t xml:space="preserve"> </w:t>
      </w:r>
      <w:r w:rsidRPr="003015FD">
        <w:t>are</w:t>
      </w:r>
      <w:r w:rsidR="00975895" w:rsidRPr="003015FD">
        <w:t xml:space="preserve"> </w:t>
      </w:r>
      <w:r w:rsidRPr="003015FD">
        <w:t>committed</w:t>
      </w:r>
      <w:r w:rsidR="00975895" w:rsidRPr="003015FD">
        <w:t xml:space="preserve"> </w:t>
      </w:r>
      <w:r w:rsidRPr="003015FD">
        <w:t>to</w:t>
      </w:r>
      <w:r w:rsidR="00975895" w:rsidRPr="003015FD">
        <w:t xml:space="preserve"> </w:t>
      </w:r>
      <w:r w:rsidRPr="003015FD">
        <w:t>human</w:t>
      </w:r>
      <w:r w:rsidR="00975895" w:rsidRPr="003015FD">
        <w:t xml:space="preserve"> </w:t>
      </w:r>
      <w:r w:rsidRPr="003015FD">
        <w:t>rights</w:t>
      </w:r>
      <w:r w:rsidR="00975895" w:rsidRPr="003015FD">
        <w:t xml:space="preserve"> </w:t>
      </w:r>
      <w:r w:rsidRPr="003015FD">
        <w:t>and</w:t>
      </w:r>
      <w:r w:rsidR="00975895" w:rsidRPr="003015FD">
        <w:t xml:space="preserve"> </w:t>
      </w:r>
      <w:r w:rsidRPr="003015FD">
        <w:t>the</w:t>
      </w:r>
      <w:r w:rsidR="00975895" w:rsidRPr="003015FD">
        <w:t xml:space="preserve"> </w:t>
      </w:r>
      <w:r w:rsidRPr="003015FD">
        <w:t>Charter</w:t>
      </w:r>
    </w:p>
    <w:p w14:paraId="49789630" w14:textId="4D020F9A" w:rsidR="008E0945" w:rsidRPr="003015FD" w:rsidRDefault="008E0945" w:rsidP="0002642E">
      <w:pPr>
        <w:pStyle w:val="ListNumber"/>
        <w:spacing w:before="0"/>
      </w:pPr>
      <w:r w:rsidRPr="0002642E">
        <w:t>Attitudes</w:t>
      </w:r>
      <w:r w:rsidR="00975895" w:rsidRPr="0002642E">
        <w:t xml:space="preserve"> </w:t>
      </w:r>
      <w:r w:rsidRPr="0002642E">
        <w:t>and</w:t>
      </w:r>
      <w:r w:rsidR="00975895" w:rsidRPr="0002642E">
        <w:t xml:space="preserve"> </w:t>
      </w:r>
      <w:r w:rsidRPr="0002642E">
        <w:t>values</w:t>
      </w:r>
      <w:r w:rsidR="00975895" w:rsidRPr="0002642E">
        <w:t xml:space="preserve"> </w:t>
      </w:r>
      <w:r w:rsidRPr="0002642E">
        <w:t>of</w:t>
      </w:r>
      <w:r w:rsidR="00975895" w:rsidRPr="0002642E">
        <w:t xml:space="preserve"> </w:t>
      </w:r>
      <w:r w:rsidRPr="0002642E">
        <w:t>employees:</w:t>
      </w:r>
      <w:r w:rsidR="00975895" w:rsidRPr="003015FD">
        <w:t xml:space="preserve"> </w:t>
      </w:r>
      <w:r w:rsidR="003B428A">
        <w:t>Employees</w:t>
      </w:r>
      <w:r w:rsidR="00975895" w:rsidRPr="003015FD">
        <w:t xml:space="preserve"> </w:t>
      </w:r>
      <w:r w:rsidRPr="003015FD">
        <w:t>value</w:t>
      </w:r>
      <w:r w:rsidR="00975895" w:rsidRPr="003015FD">
        <w:t xml:space="preserve"> </w:t>
      </w:r>
      <w:r w:rsidRPr="003015FD">
        <w:t>human</w:t>
      </w:r>
      <w:r w:rsidR="00975895" w:rsidRPr="003015FD">
        <w:t xml:space="preserve"> </w:t>
      </w:r>
      <w:r w:rsidRPr="003015FD">
        <w:t>rights</w:t>
      </w:r>
      <w:r w:rsidR="00975895" w:rsidRPr="003015FD">
        <w:t xml:space="preserve"> </w:t>
      </w:r>
      <w:r w:rsidRPr="003015FD">
        <w:t>and</w:t>
      </w:r>
      <w:r w:rsidR="00975895" w:rsidRPr="003015FD">
        <w:t xml:space="preserve"> </w:t>
      </w:r>
      <w:r w:rsidRPr="003015FD">
        <w:t>are</w:t>
      </w:r>
      <w:r w:rsidR="00975895" w:rsidRPr="003015FD">
        <w:t xml:space="preserve"> </w:t>
      </w:r>
      <w:r w:rsidRPr="003015FD">
        <w:t>encouraged</w:t>
      </w:r>
      <w:r w:rsidR="00975895" w:rsidRPr="003015FD">
        <w:t xml:space="preserve"> </w:t>
      </w:r>
      <w:r w:rsidRPr="003015FD">
        <w:t>to</w:t>
      </w:r>
      <w:r w:rsidR="00975895" w:rsidRPr="003015FD">
        <w:t xml:space="preserve"> </w:t>
      </w:r>
      <w:r w:rsidRPr="003015FD">
        <w:t>act</w:t>
      </w:r>
      <w:r w:rsidR="00975895" w:rsidRPr="003015FD">
        <w:t xml:space="preserve"> </w:t>
      </w:r>
      <w:r w:rsidRPr="003015FD">
        <w:t>consistently</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p>
    <w:p w14:paraId="32268E5F" w14:textId="7B4A3757" w:rsidR="008E0945" w:rsidRPr="003015FD" w:rsidRDefault="008E0945" w:rsidP="0002642E">
      <w:pPr>
        <w:pStyle w:val="ListNumber"/>
        <w:spacing w:before="0"/>
      </w:pPr>
      <w:r w:rsidRPr="0002642E">
        <w:t>Transparency</w:t>
      </w:r>
      <w:r w:rsidR="00975895" w:rsidRPr="0002642E">
        <w:t xml:space="preserve"> </w:t>
      </w:r>
      <w:r w:rsidRPr="0002642E">
        <w:t>and</w:t>
      </w:r>
      <w:r w:rsidR="00975895" w:rsidRPr="0002642E">
        <w:t xml:space="preserve"> </w:t>
      </w:r>
      <w:r w:rsidRPr="0002642E">
        <w:t>accountability:</w:t>
      </w:r>
      <w:r w:rsidR="00975895" w:rsidRPr="003015FD">
        <w:t xml:space="preserve"> </w:t>
      </w:r>
      <w:r w:rsidR="003B428A">
        <w:t>Organisations</w:t>
      </w:r>
      <w:r w:rsidR="00975895" w:rsidRPr="003015FD">
        <w:t xml:space="preserve"> </w:t>
      </w:r>
      <w:r w:rsidRPr="003015FD">
        <w:t>understand</w:t>
      </w:r>
      <w:r w:rsidR="00975895" w:rsidRPr="003015FD">
        <w:t xml:space="preserve"> </w:t>
      </w:r>
      <w:r w:rsidRPr="003015FD">
        <w:t>good</w:t>
      </w:r>
      <w:r w:rsidR="00975895" w:rsidRPr="003015FD">
        <w:t xml:space="preserve"> </w:t>
      </w:r>
      <w:r w:rsidRPr="003015FD">
        <w:t>human</w:t>
      </w:r>
      <w:r w:rsidR="00975895" w:rsidRPr="003015FD">
        <w:t xml:space="preserve"> </w:t>
      </w:r>
      <w:r w:rsidRPr="003015FD">
        <w:t>rights</w:t>
      </w:r>
      <w:r w:rsidR="00975895" w:rsidRPr="003015FD">
        <w:t xml:space="preserve"> </w:t>
      </w:r>
      <w:r w:rsidRPr="003015FD">
        <w:t>practice</w:t>
      </w:r>
      <w:r w:rsidR="00975895" w:rsidRPr="003015FD">
        <w:t xml:space="preserve"> </w:t>
      </w:r>
      <w:r w:rsidRPr="003015FD">
        <w:t>and</w:t>
      </w:r>
      <w:r w:rsidR="00975895" w:rsidRPr="003015FD">
        <w:t xml:space="preserve"> </w:t>
      </w:r>
      <w:r w:rsidRPr="003015FD">
        <w:t>comply</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reporting</w:t>
      </w:r>
      <w:r w:rsidR="00975895" w:rsidRPr="003015FD">
        <w:t xml:space="preserve"> </w:t>
      </w:r>
      <w:r w:rsidRPr="003015FD">
        <w:t>mechanisms</w:t>
      </w:r>
    </w:p>
    <w:p w14:paraId="0C30B1AD" w14:textId="60D1CEA3" w:rsidR="008E0945" w:rsidRPr="003015FD" w:rsidRDefault="008E0945" w:rsidP="0002642E">
      <w:pPr>
        <w:pStyle w:val="ListNumber"/>
        <w:spacing w:before="0"/>
      </w:pPr>
      <w:r w:rsidRPr="0002642E">
        <w:t>Community</w:t>
      </w:r>
      <w:r w:rsidR="00975895" w:rsidRPr="0002642E">
        <w:t xml:space="preserve"> </w:t>
      </w:r>
      <w:r w:rsidRPr="0002642E">
        <w:t>engagement</w:t>
      </w:r>
      <w:r w:rsidR="00975895" w:rsidRPr="0002642E">
        <w:t xml:space="preserve"> </w:t>
      </w:r>
      <w:r w:rsidRPr="0002642E">
        <w:t>and</w:t>
      </w:r>
      <w:r w:rsidR="00975895" w:rsidRPr="0002642E">
        <w:t xml:space="preserve"> </w:t>
      </w:r>
      <w:r w:rsidRPr="0002642E">
        <w:t>participation:</w:t>
      </w:r>
      <w:r w:rsidR="00975895" w:rsidRPr="0002642E">
        <w:t xml:space="preserve"> </w:t>
      </w:r>
      <w:r w:rsidR="003B428A">
        <w:t>Community</w:t>
      </w:r>
      <w:r w:rsidR="00975895" w:rsidRPr="003015FD">
        <w:t xml:space="preserve"> </w:t>
      </w:r>
      <w:r w:rsidRPr="003015FD">
        <w:t>participation</w:t>
      </w:r>
      <w:r w:rsidR="00975895" w:rsidRPr="003015FD">
        <w:t xml:space="preserve"> </w:t>
      </w:r>
      <w:r w:rsidRPr="003015FD">
        <w:t>informs</w:t>
      </w:r>
      <w:r w:rsidR="00975895" w:rsidRPr="003015FD">
        <w:t xml:space="preserve"> </w:t>
      </w:r>
      <w:r w:rsidRPr="003015FD">
        <w:t>key</w:t>
      </w:r>
      <w:r w:rsidR="00975895" w:rsidRPr="003015FD">
        <w:t xml:space="preserve"> </w:t>
      </w:r>
      <w:r w:rsidRPr="003015FD">
        <w:t>work</w:t>
      </w:r>
      <w:r w:rsidR="00975895" w:rsidRPr="003015FD">
        <w:t xml:space="preserve"> </w:t>
      </w:r>
      <w:r w:rsidRPr="003015FD">
        <w:t>and</w:t>
      </w:r>
      <w:r w:rsidR="00975895" w:rsidRPr="003015FD">
        <w:t xml:space="preserve"> </w:t>
      </w:r>
      <w:r w:rsidRPr="003015FD">
        <w:t>the</w:t>
      </w:r>
      <w:r w:rsidR="00975895" w:rsidRPr="003015FD">
        <w:t xml:space="preserve"> </w:t>
      </w:r>
      <w:r w:rsidRPr="003015FD">
        <w:t>community</w:t>
      </w:r>
      <w:r w:rsidR="00975895" w:rsidRPr="003015FD">
        <w:t xml:space="preserve"> </w:t>
      </w:r>
      <w:r w:rsidRPr="003015FD">
        <w:t>can</w:t>
      </w:r>
      <w:r w:rsidR="00975895" w:rsidRPr="003015FD">
        <w:t xml:space="preserve"> </w:t>
      </w:r>
      <w:r w:rsidRPr="003015FD">
        <w:t>easily</w:t>
      </w:r>
      <w:r w:rsidR="00975895" w:rsidRPr="003015FD">
        <w:t xml:space="preserve"> </w:t>
      </w:r>
      <w:r w:rsidRPr="003015FD">
        <w:t>access</w:t>
      </w:r>
      <w:r w:rsidR="00975895" w:rsidRPr="003015FD">
        <w:t xml:space="preserve"> </w:t>
      </w:r>
      <w:r w:rsidRPr="003015FD">
        <w:t>the</w:t>
      </w:r>
      <w:r w:rsidR="00975895" w:rsidRPr="003015FD">
        <w:t xml:space="preserve"> </w:t>
      </w:r>
      <w:r w:rsidRPr="003015FD">
        <w:t>organisation</w:t>
      </w:r>
      <w:r w:rsidR="000C5726">
        <w:t>'</w:t>
      </w:r>
      <w:r w:rsidRPr="003015FD">
        <w:t>s</w:t>
      </w:r>
      <w:r w:rsidR="00975895" w:rsidRPr="003015FD">
        <w:t xml:space="preserve"> </w:t>
      </w:r>
      <w:r w:rsidRPr="003015FD">
        <w:t>services</w:t>
      </w:r>
    </w:p>
    <w:p w14:paraId="431CE12F" w14:textId="74B11C06" w:rsidR="008E0945" w:rsidRPr="003015FD" w:rsidRDefault="008E0945" w:rsidP="0002642E">
      <w:pPr>
        <w:pStyle w:val="ListNumber"/>
        <w:spacing w:before="0"/>
      </w:pPr>
      <w:r w:rsidRPr="0002642E">
        <w:t>Operational</w:t>
      </w:r>
      <w:r w:rsidR="00975895" w:rsidRPr="0002642E">
        <w:t xml:space="preserve"> </w:t>
      </w:r>
      <w:r w:rsidRPr="0002642E">
        <w:t>capability:</w:t>
      </w:r>
      <w:r w:rsidR="00975895" w:rsidRPr="0002642E">
        <w:t xml:space="preserve"> </w:t>
      </w:r>
      <w:r w:rsidR="003B428A">
        <w:t>Staff</w:t>
      </w:r>
      <w:r w:rsidR="00975895" w:rsidRPr="003015FD">
        <w:t xml:space="preserve"> </w:t>
      </w:r>
      <w:r w:rsidRPr="003015FD">
        <w:t>have</w:t>
      </w:r>
      <w:r w:rsidR="00975895" w:rsidRPr="003015FD">
        <w:t xml:space="preserve"> </w:t>
      </w:r>
      <w:r w:rsidRPr="003015FD">
        <w:t>the</w:t>
      </w:r>
      <w:r w:rsidR="00975895" w:rsidRPr="003015FD">
        <w:t xml:space="preserve"> </w:t>
      </w:r>
      <w:r w:rsidRPr="003015FD">
        <w:t>knowledge,</w:t>
      </w:r>
      <w:r w:rsidR="00975895" w:rsidRPr="003015FD">
        <w:t xml:space="preserve"> </w:t>
      </w:r>
      <w:r w:rsidRPr="003015FD">
        <w:t>skills</w:t>
      </w:r>
      <w:r w:rsidR="00975895" w:rsidRPr="003015FD">
        <w:t xml:space="preserve"> </w:t>
      </w:r>
      <w:r w:rsidRPr="003015FD">
        <w:t>and</w:t>
      </w:r>
      <w:r w:rsidR="00975895" w:rsidRPr="003015FD">
        <w:t xml:space="preserve"> </w:t>
      </w:r>
      <w:r w:rsidRPr="003015FD">
        <w:t>necessary</w:t>
      </w:r>
      <w:r w:rsidR="00975895" w:rsidRPr="003015FD">
        <w:t xml:space="preserve"> </w:t>
      </w:r>
      <w:r w:rsidRPr="003015FD">
        <w:t>resources</w:t>
      </w:r>
      <w:r w:rsidR="00975895" w:rsidRPr="003015FD">
        <w:t xml:space="preserve"> </w:t>
      </w:r>
      <w:r w:rsidRPr="003015FD">
        <w:t>to</w:t>
      </w:r>
      <w:r w:rsidR="00975895" w:rsidRPr="003015FD">
        <w:t xml:space="preserve"> </w:t>
      </w:r>
      <w:r w:rsidRPr="003015FD">
        <w:t>act</w:t>
      </w:r>
      <w:r w:rsidR="00975895" w:rsidRPr="003015FD">
        <w:t xml:space="preserve"> </w:t>
      </w:r>
      <w:r w:rsidRPr="003015FD">
        <w:t>compatibly</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and</w:t>
      </w:r>
      <w:r w:rsidR="00975895" w:rsidRPr="003015FD">
        <w:t xml:space="preserve"> </w:t>
      </w:r>
      <w:r w:rsidRPr="003015FD">
        <w:t>the</w:t>
      </w:r>
      <w:r w:rsidR="00975895" w:rsidRPr="003015FD">
        <w:t xml:space="preserve"> </w:t>
      </w:r>
      <w:r w:rsidRPr="003015FD">
        <w:t>Charter</w:t>
      </w:r>
    </w:p>
    <w:p w14:paraId="45F7AFC6" w14:textId="29C0B00F" w:rsidR="008E0945" w:rsidRPr="003015FD" w:rsidRDefault="008E0945" w:rsidP="0002642E">
      <w:pPr>
        <w:pStyle w:val="ListNumber"/>
        <w:spacing w:before="0"/>
      </w:pPr>
      <w:r w:rsidRPr="0002642E">
        <w:t>Systems</w:t>
      </w:r>
      <w:r w:rsidR="00975895" w:rsidRPr="0002642E">
        <w:t xml:space="preserve"> </w:t>
      </w:r>
      <w:r w:rsidRPr="0002642E">
        <w:t>and</w:t>
      </w:r>
      <w:r w:rsidR="00975895" w:rsidRPr="0002642E">
        <w:t xml:space="preserve"> </w:t>
      </w:r>
      <w:r w:rsidRPr="0002642E">
        <w:t>processes:</w:t>
      </w:r>
      <w:r w:rsidR="00975895" w:rsidRPr="0002642E">
        <w:t xml:space="preserve"> </w:t>
      </w:r>
      <w:r w:rsidR="003B428A">
        <w:t>Organisational</w:t>
      </w:r>
      <w:r w:rsidR="00975895" w:rsidRPr="003015FD">
        <w:t xml:space="preserve"> </w:t>
      </w:r>
      <w:r w:rsidRPr="003015FD">
        <w:t>policies,</w:t>
      </w:r>
      <w:r w:rsidR="00975895" w:rsidRPr="003015FD">
        <w:t xml:space="preserve"> </w:t>
      </w:r>
      <w:r w:rsidRPr="003015FD">
        <w:t>processes</w:t>
      </w:r>
      <w:r w:rsidR="00975895" w:rsidRPr="003015FD">
        <w:t xml:space="preserve"> </w:t>
      </w:r>
      <w:r w:rsidRPr="003015FD">
        <w:t>and</w:t>
      </w:r>
      <w:r w:rsidR="00975895" w:rsidRPr="003015FD">
        <w:t xml:space="preserve"> </w:t>
      </w:r>
      <w:r w:rsidRPr="003015FD">
        <w:t>tools</w:t>
      </w:r>
      <w:r w:rsidR="00975895" w:rsidRPr="003015FD">
        <w:t xml:space="preserve"> </w:t>
      </w:r>
      <w:r w:rsidRPr="003015FD">
        <w:t>embed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and</w:t>
      </w:r>
      <w:r w:rsidR="00975895" w:rsidRPr="003015FD">
        <w:t xml:space="preserve"> </w:t>
      </w:r>
      <w:r w:rsidRPr="003015FD">
        <w:t>the</w:t>
      </w:r>
      <w:r w:rsidR="00975895" w:rsidRPr="003015FD">
        <w:t xml:space="preserve"> </w:t>
      </w:r>
      <w:r w:rsidRPr="003015FD">
        <w:t>Charter</w:t>
      </w:r>
    </w:p>
    <w:p w14:paraId="188695F7" w14:textId="72C0E328" w:rsidR="005F1182" w:rsidRPr="003015FD" w:rsidRDefault="008E0945" w:rsidP="0002642E">
      <w:r w:rsidRPr="003015FD">
        <w:t>We</w:t>
      </w:r>
      <w:r w:rsidR="00975895" w:rsidRPr="003015FD">
        <w:t xml:space="preserve"> </w:t>
      </w:r>
      <w:r w:rsidR="004E684B" w:rsidRPr="003015FD">
        <w:t>developed</w:t>
      </w:r>
      <w:r w:rsidR="00975895" w:rsidRPr="003015FD">
        <w:t xml:space="preserve"> </w:t>
      </w:r>
      <w:r w:rsidR="004E684B" w:rsidRPr="003015FD">
        <w:t>a</w:t>
      </w:r>
      <w:r w:rsidR="00BE1F98">
        <w:t xml:space="preserve"> h</w:t>
      </w:r>
      <w:r w:rsidR="00BE1F98" w:rsidRPr="003015FD">
        <w:t xml:space="preserve">uman </w:t>
      </w:r>
      <w:r w:rsidR="00BE1F98">
        <w:t>r</w:t>
      </w:r>
      <w:r w:rsidR="00BE1F98" w:rsidRPr="003015FD">
        <w:t xml:space="preserve">ights </w:t>
      </w:r>
      <w:r w:rsidR="00BE1F98">
        <w:t>c</w:t>
      </w:r>
      <w:r w:rsidR="00BE1F98" w:rsidRPr="003015FD">
        <w:t xml:space="preserve">ulture </w:t>
      </w:r>
      <w:r w:rsidR="00BE1F98">
        <w:t>i</w:t>
      </w:r>
      <w:r w:rsidR="00BE1F98" w:rsidRPr="003015FD">
        <w:t>ndic</w:t>
      </w:r>
      <w:r w:rsidR="00BE1F98">
        <w:t>a</w:t>
      </w:r>
      <w:r w:rsidR="00BE1F98" w:rsidRPr="003015FD">
        <w:t xml:space="preserve">tor </w:t>
      </w:r>
      <w:r w:rsidR="00BE1F98">
        <w:t>f</w:t>
      </w:r>
      <w:r w:rsidR="00BE1F98" w:rsidRPr="003015FD">
        <w:t xml:space="preserve">ramework </w:t>
      </w:r>
      <w:r w:rsidR="00BE1F98">
        <w:t xml:space="preserve">to measure the existence of these influences and </w:t>
      </w:r>
      <w:r w:rsidR="004E684B" w:rsidRPr="003015FD">
        <w:t>offer</w:t>
      </w:r>
      <w:r w:rsidR="00975895" w:rsidRPr="003015FD">
        <w:t xml:space="preserve"> </w:t>
      </w:r>
      <w:r w:rsidR="004E684B" w:rsidRPr="003015FD">
        <w:t>a</w:t>
      </w:r>
      <w:r w:rsidR="00975895" w:rsidRPr="003015FD">
        <w:t xml:space="preserve"> </w:t>
      </w:r>
      <w:r w:rsidR="004E684B" w:rsidRPr="003015FD">
        <w:t>road</w:t>
      </w:r>
      <w:r w:rsidR="00975895" w:rsidRPr="003015FD">
        <w:t xml:space="preserve"> </w:t>
      </w:r>
      <w:r w:rsidR="004E684B" w:rsidRPr="003015FD">
        <w:t>map</w:t>
      </w:r>
      <w:r w:rsidR="00975895" w:rsidRPr="003015FD">
        <w:t xml:space="preserve"> </w:t>
      </w:r>
      <w:r w:rsidR="004E684B" w:rsidRPr="003015FD">
        <w:t>to</w:t>
      </w:r>
      <w:r w:rsidR="00975895" w:rsidRPr="003015FD">
        <w:t xml:space="preserve"> </w:t>
      </w:r>
      <w:r w:rsidR="004E684B" w:rsidRPr="003015FD">
        <w:t>support</w:t>
      </w:r>
      <w:r w:rsidR="00975895" w:rsidRPr="003015FD">
        <w:t xml:space="preserve"> </w:t>
      </w:r>
      <w:r w:rsidR="004E684B" w:rsidRPr="003015FD">
        <w:t>public</w:t>
      </w:r>
      <w:r w:rsidR="00975895" w:rsidRPr="003015FD">
        <w:t xml:space="preserve"> </w:t>
      </w:r>
      <w:r w:rsidR="004E684B" w:rsidRPr="003015FD">
        <w:t>authorities</w:t>
      </w:r>
      <w:r w:rsidR="00975895" w:rsidRPr="003015FD">
        <w:t xml:space="preserve"> </w:t>
      </w:r>
      <w:r w:rsidR="003B428A">
        <w:t xml:space="preserve">to </w:t>
      </w:r>
      <w:r w:rsidR="004E684B" w:rsidRPr="003015FD">
        <w:t>apply</w:t>
      </w:r>
      <w:r w:rsidR="00975895" w:rsidRPr="003015FD">
        <w:t xml:space="preserve"> </w:t>
      </w:r>
      <w:r w:rsidR="004E684B" w:rsidRPr="003015FD">
        <w:t>the</w:t>
      </w:r>
      <w:r w:rsidR="00975895" w:rsidRPr="003015FD">
        <w:t xml:space="preserve"> </w:t>
      </w:r>
      <w:r w:rsidR="004E684B" w:rsidRPr="003015FD">
        <w:t>Charter</w:t>
      </w:r>
      <w:r w:rsidR="00975895" w:rsidRPr="003015FD">
        <w:t xml:space="preserve"> </w:t>
      </w:r>
      <w:r w:rsidR="004E684B" w:rsidRPr="003015FD">
        <w:t>and</w:t>
      </w:r>
      <w:r w:rsidR="00975895" w:rsidRPr="003015FD">
        <w:t xml:space="preserve"> </w:t>
      </w:r>
      <w:r w:rsidR="004E684B" w:rsidRPr="003015FD">
        <w:t>grow</w:t>
      </w:r>
      <w:r w:rsidR="00975895" w:rsidRPr="003015FD">
        <w:t xml:space="preserve"> </w:t>
      </w:r>
      <w:r w:rsidR="004E684B" w:rsidRPr="003015FD">
        <w:t>their</w:t>
      </w:r>
      <w:r w:rsidR="00975895" w:rsidRPr="003015FD">
        <w:t xml:space="preserve"> </w:t>
      </w:r>
      <w:r w:rsidR="004E684B" w:rsidRPr="003015FD">
        <w:t>human</w:t>
      </w:r>
      <w:r w:rsidR="00975895" w:rsidRPr="003015FD">
        <w:t xml:space="preserve"> </w:t>
      </w:r>
      <w:r w:rsidR="004E684B" w:rsidRPr="003015FD">
        <w:t>rights</w:t>
      </w:r>
      <w:r w:rsidR="00975895" w:rsidRPr="003015FD">
        <w:t xml:space="preserve"> </w:t>
      </w:r>
      <w:r w:rsidR="004E684B" w:rsidRPr="003015FD">
        <w:t>culture.</w:t>
      </w:r>
      <w:r w:rsidR="00975895" w:rsidRPr="003015FD">
        <w:t xml:space="preserve"> </w:t>
      </w:r>
      <w:r w:rsidR="004E684B" w:rsidRPr="003015FD">
        <w:t>The</w:t>
      </w:r>
      <w:r w:rsidR="00975895" w:rsidRPr="003015FD">
        <w:t xml:space="preserve"> </w:t>
      </w:r>
      <w:r w:rsidR="00BE1F98">
        <w:t>f</w:t>
      </w:r>
      <w:r w:rsidR="00BE1F98" w:rsidRPr="003015FD">
        <w:t xml:space="preserve">ramework </w:t>
      </w:r>
      <w:r w:rsidR="004E684B" w:rsidRPr="003015FD">
        <w:t>offers</w:t>
      </w:r>
      <w:r w:rsidR="00975895" w:rsidRPr="003015FD">
        <w:t xml:space="preserve"> </w:t>
      </w:r>
      <w:r w:rsidR="004E684B" w:rsidRPr="003015FD">
        <w:t>guidance</w:t>
      </w:r>
      <w:r w:rsidR="00975895" w:rsidRPr="003015FD">
        <w:t xml:space="preserve"> </w:t>
      </w:r>
      <w:r w:rsidR="004E684B" w:rsidRPr="003015FD">
        <w:t>on</w:t>
      </w:r>
      <w:r w:rsidR="00975895" w:rsidRPr="003015FD">
        <w:t xml:space="preserve"> </w:t>
      </w:r>
      <w:r w:rsidR="004E684B" w:rsidRPr="003015FD">
        <w:t>actions,</w:t>
      </w:r>
      <w:r w:rsidR="00975895" w:rsidRPr="003015FD">
        <w:t xml:space="preserve"> </w:t>
      </w:r>
      <w:r w:rsidR="004E684B" w:rsidRPr="003015FD">
        <w:t>indicators</w:t>
      </w:r>
      <w:r w:rsidR="00975895" w:rsidRPr="003015FD">
        <w:t xml:space="preserve"> </w:t>
      </w:r>
      <w:r w:rsidR="004E684B" w:rsidRPr="003015FD">
        <w:t>and</w:t>
      </w:r>
      <w:r w:rsidR="00975895" w:rsidRPr="003015FD">
        <w:t xml:space="preserve"> </w:t>
      </w:r>
      <w:r w:rsidR="004E684B" w:rsidRPr="003015FD">
        <w:t>measure</w:t>
      </w:r>
      <w:r w:rsidR="005F1182" w:rsidRPr="003015FD">
        <w:t>s</w:t>
      </w:r>
      <w:r w:rsidR="00975895" w:rsidRPr="003015FD">
        <w:t xml:space="preserve"> </w:t>
      </w:r>
      <w:r w:rsidR="005F1182" w:rsidRPr="003015FD">
        <w:t>for</w:t>
      </w:r>
      <w:r w:rsidR="00975895" w:rsidRPr="003015FD">
        <w:t xml:space="preserve"> </w:t>
      </w:r>
      <w:r w:rsidR="005F1182" w:rsidRPr="003015FD">
        <w:t>a</w:t>
      </w:r>
      <w:r w:rsidR="00975895" w:rsidRPr="003015FD">
        <w:t xml:space="preserve"> </w:t>
      </w:r>
      <w:r w:rsidR="005F1182" w:rsidRPr="003015FD">
        <w:t>positive</w:t>
      </w:r>
      <w:r w:rsidR="00975895" w:rsidRPr="003015FD">
        <w:t xml:space="preserve"> </w:t>
      </w:r>
      <w:r w:rsidR="005F1182" w:rsidRPr="003015FD">
        <w:t>human</w:t>
      </w:r>
      <w:r w:rsidR="00975895" w:rsidRPr="003015FD">
        <w:t xml:space="preserve"> </w:t>
      </w:r>
      <w:r w:rsidR="005F1182" w:rsidRPr="003015FD">
        <w:t>rights</w:t>
      </w:r>
      <w:r w:rsidR="00975895" w:rsidRPr="003015FD">
        <w:t xml:space="preserve"> </w:t>
      </w:r>
      <w:r w:rsidR="005F1182" w:rsidRPr="003015FD">
        <w:t>culture.</w:t>
      </w:r>
      <w:r w:rsidR="00975895" w:rsidRPr="003015FD">
        <w:t xml:space="preserve"> </w:t>
      </w:r>
    </w:p>
    <w:p w14:paraId="2844F560" w14:textId="20484F09" w:rsidR="008E0945" w:rsidRPr="003015FD" w:rsidRDefault="005F1182" w:rsidP="0002642E">
      <w:r w:rsidRPr="003015FD">
        <w:t>For</w:t>
      </w:r>
      <w:r w:rsidR="00975895" w:rsidRPr="003015FD">
        <w:t xml:space="preserve"> </w:t>
      </w:r>
      <w:r w:rsidRPr="003015FD">
        <w:t>this</w:t>
      </w:r>
      <w:r w:rsidR="00975895" w:rsidRPr="003015FD">
        <w:t xml:space="preserve"> </w:t>
      </w:r>
      <w:r w:rsidRPr="003015FD">
        <w:t>report,</w:t>
      </w:r>
      <w:r w:rsidR="00975895" w:rsidRPr="003015FD">
        <w:t xml:space="preserve"> </w:t>
      </w:r>
      <w:r w:rsidRPr="003015FD">
        <w:t>we</w:t>
      </w:r>
      <w:r w:rsidR="00975895" w:rsidRPr="003015FD">
        <w:t xml:space="preserve"> </w:t>
      </w:r>
      <w:r w:rsidRPr="003015FD">
        <w:t>tested</w:t>
      </w:r>
      <w:r w:rsidR="00975895" w:rsidRPr="003015FD">
        <w:t xml:space="preserve"> </w:t>
      </w:r>
      <w:r w:rsidRPr="003015FD">
        <w:t>the</w:t>
      </w:r>
      <w:r w:rsidR="00975895" w:rsidRPr="003015FD">
        <w:t xml:space="preserve"> </w:t>
      </w:r>
      <w:r w:rsidR="00BE1F98">
        <w:t>f</w:t>
      </w:r>
      <w:r w:rsidR="00BE1F98" w:rsidRPr="003015FD">
        <w:t xml:space="preserve">ramework </w:t>
      </w:r>
      <w:r w:rsidRPr="003015FD">
        <w:t>with</w:t>
      </w:r>
      <w:r w:rsidR="00975895" w:rsidRPr="003015FD">
        <w:t xml:space="preserve"> </w:t>
      </w:r>
      <w:r w:rsidR="008E0945" w:rsidRPr="003015FD">
        <w:t>35</w:t>
      </w:r>
      <w:r w:rsidR="00975895" w:rsidRPr="003015FD">
        <w:t xml:space="preserve"> </w:t>
      </w:r>
      <w:r w:rsidR="008E0945" w:rsidRPr="003015FD">
        <w:t>public</w:t>
      </w:r>
      <w:r w:rsidR="00975895" w:rsidRPr="003015FD">
        <w:t xml:space="preserve"> </w:t>
      </w:r>
      <w:r w:rsidR="008E0945" w:rsidRPr="003015FD">
        <w:t>authorities.</w:t>
      </w:r>
      <w:r w:rsidR="00975895" w:rsidRPr="003015FD">
        <w:t xml:space="preserve"> </w:t>
      </w:r>
      <w:r w:rsidR="00550B23">
        <w:t xml:space="preserve">We appreciate the authorities engaging in the pilot with openness and willingness to test the application </w:t>
      </w:r>
      <w:r w:rsidR="00550B23">
        <w:lastRenderedPageBreak/>
        <w:t xml:space="preserve">of the system. </w:t>
      </w:r>
      <w:r w:rsidR="001915E5">
        <w:t xml:space="preserve">We note that the pilot necessarily involved asking questions which had not been posed in surveys before, so not all </w:t>
      </w:r>
      <w:r w:rsidR="008B4D96">
        <w:t xml:space="preserve">had </w:t>
      </w:r>
      <w:r w:rsidR="001915E5">
        <w:t>set their data collection systems to provide the information sought.</w:t>
      </w:r>
      <w:r w:rsidR="008B4D96">
        <w:t xml:space="preserve"> </w:t>
      </w:r>
      <w:r w:rsidR="001915E5">
        <w:t xml:space="preserve">With these provisos in mind, we found </w:t>
      </w:r>
      <w:r w:rsidR="008E0945" w:rsidRPr="003015FD">
        <w:t>positive</w:t>
      </w:r>
      <w:r w:rsidR="00975895" w:rsidRPr="003015FD">
        <w:t xml:space="preserve"> </w:t>
      </w:r>
      <w:r w:rsidR="008E0945" w:rsidRPr="003015FD">
        <w:t>results</w:t>
      </w:r>
      <w:r w:rsidR="00975895" w:rsidRPr="003015FD">
        <w:t xml:space="preserve"> </w:t>
      </w:r>
      <w:r w:rsidR="008E0945" w:rsidRPr="003015FD">
        <w:t>for:</w:t>
      </w:r>
    </w:p>
    <w:p w14:paraId="78862AAE" w14:textId="38081190" w:rsidR="008E0945" w:rsidRPr="003015FD" w:rsidRDefault="008E0945" w:rsidP="0002642E">
      <w:pPr>
        <w:pStyle w:val="ListBullet"/>
      </w:pPr>
      <w:r w:rsidRPr="003015FD">
        <w:t>attitudes</w:t>
      </w:r>
      <w:r w:rsidR="00975895" w:rsidRPr="003015FD">
        <w:t xml:space="preserve"> </w:t>
      </w:r>
      <w:r w:rsidRPr="003015FD">
        <w:t>and</w:t>
      </w:r>
      <w:r w:rsidR="00975895" w:rsidRPr="003015FD">
        <w:t xml:space="preserve"> </w:t>
      </w:r>
      <w:r w:rsidRPr="003015FD">
        <w:t>values</w:t>
      </w:r>
      <w:r w:rsidR="00975895" w:rsidRPr="003015FD">
        <w:t xml:space="preserve"> </w:t>
      </w:r>
      <w:r w:rsidRPr="003015FD">
        <w:t>of</w:t>
      </w:r>
      <w:r w:rsidR="00975895" w:rsidRPr="003015FD">
        <w:t xml:space="preserve"> </w:t>
      </w:r>
      <w:r w:rsidRPr="003015FD">
        <w:t>employees</w:t>
      </w:r>
    </w:p>
    <w:p w14:paraId="4E204800" w14:textId="4330F80B" w:rsidR="008E0945" w:rsidRPr="003015FD" w:rsidRDefault="008E0945" w:rsidP="0002642E">
      <w:pPr>
        <w:pStyle w:val="ListBullet"/>
      </w:pPr>
      <w:r w:rsidRPr="003015FD">
        <w:t>community</w:t>
      </w:r>
      <w:r w:rsidR="00975895" w:rsidRPr="003015FD">
        <w:t xml:space="preserve"> </w:t>
      </w:r>
      <w:r w:rsidRPr="003015FD">
        <w:t>engagement</w:t>
      </w:r>
      <w:r w:rsidR="00975895" w:rsidRPr="003015FD">
        <w:t xml:space="preserve"> </w:t>
      </w:r>
      <w:r w:rsidRPr="003015FD">
        <w:t>and</w:t>
      </w:r>
      <w:r w:rsidR="00975895" w:rsidRPr="003015FD">
        <w:t xml:space="preserve"> </w:t>
      </w:r>
      <w:r w:rsidRPr="003015FD">
        <w:t>participation</w:t>
      </w:r>
    </w:p>
    <w:p w14:paraId="47770C54" w14:textId="32D5DC41" w:rsidR="008E0945" w:rsidRPr="003015FD" w:rsidRDefault="008E0945" w:rsidP="0002642E">
      <w:pPr>
        <w:pStyle w:val="ListBullet"/>
      </w:pPr>
      <w:r w:rsidRPr="003015FD">
        <w:t>transparency</w:t>
      </w:r>
      <w:r w:rsidR="00975895" w:rsidRPr="003015FD">
        <w:t xml:space="preserve"> </w:t>
      </w:r>
      <w:r w:rsidRPr="003015FD">
        <w:t>and</w:t>
      </w:r>
      <w:r w:rsidR="00975895" w:rsidRPr="003015FD">
        <w:t xml:space="preserve"> </w:t>
      </w:r>
      <w:r w:rsidRPr="003015FD">
        <w:t>accountability</w:t>
      </w:r>
    </w:p>
    <w:p w14:paraId="3D20D4AC" w14:textId="0DAD016C" w:rsidR="008E0945" w:rsidRPr="003015FD" w:rsidRDefault="008E0945" w:rsidP="0002642E">
      <w:r w:rsidRPr="003015FD">
        <w:t>We</w:t>
      </w:r>
      <w:r w:rsidR="00975895" w:rsidRPr="003015FD">
        <w:t xml:space="preserve"> </w:t>
      </w:r>
      <w:r w:rsidR="005F1182" w:rsidRPr="003015FD">
        <w:t>found</w:t>
      </w:r>
      <w:r w:rsidR="00975895" w:rsidRPr="003015FD">
        <w:t xml:space="preserve"> </w:t>
      </w:r>
      <w:r w:rsidR="00550B23">
        <w:t xml:space="preserve">potential </w:t>
      </w:r>
      <w:r w:rsidR="008B4D96">
        <w:t xml:space="preserve">scope for </w:t>
      </w:r>
      <w:r w:rsidR="00550B23">
        <w:t xml:space="preserve">councils and </w:t>
      </w:r>
      <w:r w:rsidRPr="003015FD">
        <w:t>large</w:t>
      </w:r>
      <w:r w:rsidR="00975895" w:rsidRPr="003015FD">
        <w:t xml:space="preserve"> </w:t>
      </w:r>
      <w:r w:rsidRPr="003015FD">
        <w:t>agencies</w:t>
      </w:r>
      <w:r w:rsidR="003A273A">
        <w:t xml:space="preserve"> </w:t>
      </w:r>
      <w:r w:rsidR="008B4D96">
        <w:t>to improve</w:t>
      </w:r>
      <w:r w:rsidRPr="003015FD">
        <w:t>:</w:t>
      </w:r>
    </w:p>
    <w:p w14:paraId="2F8BA260" w14:textId="0A45EAAF" w:rsidR="008E0945" w:rsidRPr="003015FD" w:rsidRDefault="008E0945" w:rsidP="0002642E">
      <w:pPr>
        <w:pStyle w:val="ListBullet"/>
      </w:pPr>
      <w:r w:rsidRPr="003015FD">
        <w:t>engaged</w:t>
      </w:r>
      <w:r w:rsidR="00975895" w:rsidRPr="003015FD">
        <w:t xml:space="preserve"> </w:t>
      </w:r>
      <w:r w:rsidRPr="003015FD">
        <w:t>leadership</w:t>
      </w:r>
    </w:p>
    <w:p w14:paraId="1AE11930" w14:textId="02DCA4D9" w:rsidR="008E0945" w:rsidRPr="003015FD" w:rsidRDefault="008E0945" w:rsidP="0002642E">
      <w:pPr>
        <w:pStyle w:val="ListBullet"/>
      </w:pPr>
      <w:r w:rsidRPr="003015FD">
        <w:t>operational</w:t>
      </w:r>
      <w:r w:rsidR="00975895" w:rsidRPr="003015FD">
        <w:t xml:space="preserve"> </w:t>
      </w:r>
      <w:r w:rsidRPr="003015FD">
        <w:t>capability</w:t>
      </w:r>
    </w:p>
    <w:p w14:paraId="489017E2" w14:textId="7D2C1A10" w:rsidR="008E0945" w:rsidRPr="003015FD" w:rsidRDefault="008E0945" w:rsidP="0002642E">
      <w:pPr>
        <w:pStyle w:val="ListBullet"/>
      </w:pPr>
      <w:r w:rsidRPr="003015FD">
        <w:t>systems</w:t>
      </w:r>
      <w:r w:rsidR="00975895" w:rsidRPr="003015FD">
        <w:t xml:space="preserve"> </w:t>
      </w:r>
      <w:r w:rsidRPr="003015FD">
        <w:t>and</w:t>
      </w:r>
      <w:r w:rsidR="00975895" w:rsidRPr="003015FD">
        <w:t xml:space="preserve"> </w:t>
      </w:r>
      <w:r w:rsidRPr="003015FD">
        <w:t>processes</w:t>
      </w:r>
    </w:p>
    <w:p w14:paraId="520B38DA" w14:textId="77777777" w:rsidR="001915E5" w:rsidRDefault="00BE1F98" w:rsidP="0002642E">
      <w:r>
        <w:t>We</w:t>
      </w:r>
      <w:r w:rsidR="001915E5">
        <w:t xml:space="preserve"> have taken the opportunity in this report to provide some practical tips on how the framework can be applied to implement tools to make these improvements.</w:t>
      </w:r>
    </w:p>
    <w:p w14:paraId="0D1DBEBE" w14:textId="32C8812E" w:rsidR="008B4D96" w:rsidRDefault="001915E5" w:rsidP="0002642E">
      <w:r>
        <w:t>We also sought feedback from participating authorities on the survey itself. This showed us some areas to improve its operation in future years</w:t>
      </w:r>
      <w:r w:rsidR="005011A0">
        <w:t xml:space="preserve">. This included </w:t>
      </w:r>
      <w:r w:rsidR="00907911">
        <w:t>assessing</w:t>
      </w:r>
      <w:r w:rsidR="008B4D96">
        <w:t>:</w:t>
      </w:r>
    </w:p>
    <w:p w14:paraId="54306BE6" w14:textId="2D8B757B" w:rsidR="008B4D96" w:rsidRDefault="00907911" w:rsidP="0002642E">
      <w:pPr>
        <w:pStyle w:val="ListBullet"/>
      </w:pPr>
      <w:r>
        <w:t>s</w:t>
      </w:r>
      <w:r w:rsidR="008B4D96">
        <w:t>urvey length (46 questions)</w:t>
      </w:r>
    </w:p>
    <w:p w14:paraId="59C92239" w14:textId="6EE8ADD4" w:rsidR="008B4D96" w:rsidRDefault="00907911" w:rsidP="0002642E">
      <w:pPr>
        <w:pStyle w:val="ListBullet"/>
      </w:pPr>
      <w:r>
        <w:t>guidance for responding on behalf of larger organisations</w:t>
      </w:r>
    </w:p>
    <w:p w14:paraId="6F618EB5" w14:textId="222B4A16" w:rsidR="00907911" w:rsidRDefault="00907911" w:rsidP="0002642E">
      <w:pPr>
        <w:pStyle w:val="ListBullet"/>
      </w:pPr>
      <w:r>
        <w:t>guidance on potential data sources</w:t>
      </w:r>
    </w:p>
    <w:p w14:paraId="4F083736" w14:textId="511080E0" w:rsidR="005F1182" w:rsidRDefault="005F1182" w:rsidP="0002642E">
      <w:r w:rsidRPr="003015FD">
        <w:t>In</w:t>
      </w:r>
      <w:r w:rsidR="00975895" w:rsidRPr="003015FD">
        <w:rPr>
          <w:lang w:eastAsia="en-AU"/>
        </w:rPr>
        <w:t xml:space="preserve"> </w:t>
      </w:r>
      <w:r w:rsidRPr="003015FD">
        <w:rPr>
          <w:lang w:eastAsia="en-AU"/>
        </w:rPr>
        <w:t>coming</w:t>
      </w:r>
      <w:r w:rsidR="00975895" w:rsidRPr="003015FD">
        <w:rPr>
          <w:lang w:eastAsia="en-AU"/>
        </w:rPr>
        <w:t xml:space="preserve"> </w:t>
      </w:r>
      <w:r w:rsidRPr="003015FD">
        <w:rPr>
          <w:lang w:eastAsia="en-AU"/>
        </w:rPr>
        <w:t>years,</w:t>
      </w:r>
      <w:r w:rsidR="00975895" w:rsidRPr="003015FD">
        <w:rPr>
          <w:lang w:eastAsia="en-AU"/>
        </w:rPr>
        <w:t xml:space="preserve"> </w:t>
      </w:r>
      <w:r w:rsidRPr="003015FD">
        <w:rPr>
          <w:lang w:eastAsia="en-AU"/>
        </w:rPr>
        <w:t>the</w:t>
      </w:r>
      <w:r w:rsidR="00975895" w:rsidRPr="003015FD">
        <w:rPr>
          <w:lang w:eastAsia="en-AU"/>
        </w:rPr>
        <w:t xml:space="preserve"> </w:t>
      </w:r>
      <w:r w:rsidR="00D91A41">
        <w:rPr>
          <w:lang w:eastAsia="en-AU"/>
        </w:rPr>
        <w:t xml:space="preserve">Commission </w:t>
      </w:r>
      <w:r w:rsidRPr="003015FD">
        <w:rPr>
          <w:lang w:eastAsia="en-AU"/>
        </w:rPr>
        <w:t>framework</w:t>
      </w:r>
      <w:r w:rsidR="00975895" w:rsidRPr="003015FD">
        <w:rPr>
          <w:lang w:eastAsia="en-AU"/>
        </w:rPr>
        <w:t xml:space="preserve"> </w:t>
      </w:r>
      <w:r w:rsidR="003B428A">
        <w:t xml:space="preserve">will be </w:t>
      </w:r>
      <w:r w:rsidR="00550B23">
        <w:rPr>
          <w:lang w:eastAsia="en-AU"/>
        </w:rPr>
        <w:t xml:space="preserve">used to provide tools for public authorities to help put a healthy human rights culture into practice. </w:t>
      </w:r>
    </w:p>
    <w:p w14:paraId="5F292E6E" w14:textId="201DE52C" w:rsidR="00550B23" w:rsidRPr="003015FD" w:rsidRDefault="00550B23" w:rsidP="0002642E">
      <w:r>
        <w:t xml:space="preserve">We also </w:t>
      </w:r>
      <w:r w:rsidR="00907911">
        <w:t xml:space="preserve">plan to widen the </w:t>
      </w:r>
      <w:r>
        <w:t xml:space="preserve">measurement of the </w:t>
      </w:r>
      <w:r w:rsidR="00D91A41">
        <w:t>f</w:t>
      </w:r>
      <w:r>
        <w:t xml:space="preserve">ramework to a </w:t>
      </w:r>
      <w:r w:rsidR="00907911">
        <w:t xml:space="preserve">larger </w:t>
      </w:r>
      <w:r>
        <w:t xml:space="preserve">range of authorities. This will assist to provide </w:t>
      </w:r>
      <w:r w:rsidRPr="003015FD">
        <w:t>an evidence base for public authorities to make informed decisions about how to embed a culture of human rights</w:t>
      </w:r>
      <w:r w:rsidR="00D91A41">
        <w:t xml:space="preserve">, </w:t>
      </w:r>
      <w:r w:rsidRPr="003015FD">
        <w:rPr>
          <w:rFonts w:eastAsia="Calibri"/>
        </w:rPr>
        <w:t>address</w:t>
      </w:r>
      <w:r w:rsidRPr="003015FD">
        <w:t xml:space="preserve"> areas in need of improvement</w:t>
      </w:r>
      <w:r w:rsidR="00D91A41">
        <w:t xml:space="preserve"> and </w:t>
      </w:r>
      <w:r>
        <w:t xml:space="preserve">allocate resources to </w:t>
      </w:r>
      <w:r w:rsidRPr="003015FD">
        <w:t>grow a human rights culture.</w:t>
      </w:r>
    </w:p>
    <w:p w14:paraId="6FFCFBDD" w14:textId="7651B3FE" w:rsidR="008E0945" w:rsidRPr="003015FD" w:rsidRDefault="00B729E8" w:rsidP="0002642E">
      <w:pPr>
        <w:pStyle w:val="Heading2"/>
      </w:pPr>
      <w:bookmarkStart w:id="35" w:name="_Toc15045096"/>
      <w:bookmarkStart w:id="36" w:name="_Toc22011527"/>
      <w:r w:rsidRPr="003015FD">
        <w:t>2.2</w:t>
      </w:r>
      <w:r w:rsidRPr="003015FD">
        <w:tab/>
      </w:r>
      <w:r w:rsidR="008E0945" w:rsidRPr="003015FD">
        <w:t>Why</w:t>
      </w:r>
      <w:r w:rsidR="00975895" w:rsidRPr="003015FD">
        <w:t xml:space="preserve"> </w:t>
      </w:r>
      <w:r w:rsidR="008E0945" w:rsidRPr="003015FD">
        <w:t>is</w:t>
      </w:r>
      <w:r w:rsidR="00E321B8">
        <w:t xml:space="preserve"> a</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culture</w:t>
      </w:r>
      <w:bookmarkEnd w:id="34"/>
      <w:r w:rsidR="00975895" w:rsidRPr="003015FD">
        <w:t xml:space="preserve"> </w:t>
      </w:r>
      <w:r w:rsidR="008E0945" w:rsidRPr="003015FD">
        <w:t>important?</w:t>
      </w:r>
      <w:bookmarkEnd w:id="35"/>
      <w:bookmarkEnd w:id="36"/>
    </w:p>
    <w:p w14:paraId="57573E47" w14:textId="5441A1B0" w:rsidR="008E0945" w:rsidRPr="003015FD" w:rsidRDefault="008E0945" w:rsidP="0002642E">
      <w:bookmarkStart w:id="37" w:name="_Hlk10472413"/>
      <w:r w:rsidRPr="003015FD">
        <w:t>We</w:t>
      </w:r>
      <w:r w:rsidR="00975895" w:rsidRPr="003015FD">
        <w:t xml:space="preserve"> </w:t>
      </w:r>
      <w:r w:rsidRPr="003015FD">
        <w:t>know</w:t>
      </w:r>
      <w:r w:rsidR="00975895" w:rsidRPr="003015FD">
        <w:t xml:space="preserve"> </w:t>
      </w:r>
      <w:r w:rsidRPr="003015FD">
        <w:t>cultural</w:t>
      </w:r>
      <w:r w:rsidR="00975895" w:rsidRPr="003015FD">
        <w:t xml:space="preserve"> </w:t>
      </w:r>
      <w:r w:rsidRPr="003015FD">
        <w:t>change</w:t>
      </w:r>
      <w:r w:rsidR="00975895" w:rsidRPr="003015FD">
        <w:t xml:space="preserve"> </w:t>
      </w:r>
      <w:r w:rsidRPr="003015FD">
        <w:t>involves</w:t>
      </w:r>
      <w:r w:rsidR="00975895" w:rsidRPr="003015FD">
        <w:t xml:space="preserve"> </w:t>
      </w:r>
      <w:r w:rsidRPr="003015FD">
        <w:t>more</w:t>
      </w:r>
      <w:r w:rsidR="00975895" w:rsidRPr="003015FD">
        <w:t xml:space="preserve"> </w:t>
      </w:r>
      <w:r w:rsidRPr="003015FD">
        <w:t>than</w:t>
      </w:r>
      <w:r w:rsidR="00975895" w:rsidRPr="003015FD">
        <w:t xml:space="preserve"> </w:t>
      </w:r>
      <w:r w:rsidRPr="003015FD">
        <w:t>simply</w:t>
      </w:r>
      <w:r w:rsidR="00975895" w:rsidRPr="003015FD">
        <w:t xml:space="preserve"> </w:t>
      </w:r>
      <w:r w:rsidRPr="003015FD">
        <w:t>making</w:t>
      </w:r>
      <w:r w:rsidR="00975895" w:rsidRPr="003015FD">
        <w:t xml:space="preserve"> </w:t>
      </w:r>
      <w:r w:rsidRPr="003015FD">
        <w:t>practices</w:t>
      </w:r>
      <w:r w:rsidR="00975895" w:rsidRPr="003015FD">
        <w:t xml:space="preserve"> </w:t>
      </w:r>
      <w:r w:rsidRPr="003015FD">
        <w:t>more</w:t>
      </w:r>
      <w:r w:rsidR="00975895" w:rsidRPr="003015FD">
        <w:t xml:space="preserve"> </w:t>
      </w:r>
      <w:r w:rsidRPr="003015FD">
        <w:t>compliant</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standards</w:t>
      </w:r>
      <w:r w:rsidR="00975895" w:rsidRPr="003015FD">
        <w:t xml:space="preserve"> </w:t>
      </w:r>
      <w:r w:rsidRPr="003015FD">
        <w:t>and</w:t>
      </w:r>
      <w:r w:rsidR="00975895" w:rsidRPr="003015FD">
        <w:t xml:space="preserve"> </w:t>
      </w:r>
      <w:r w:rsidRPr="003015FD">
        <w:t>laws.</w:t>
      </w:r>
      <w:r w:rsidR="00975895" w:rsidRPr="003015FD">
        <w:t xml:space="preserve"> </w:t>
      </w:r>
      <w:r w:rsidRPr="003015FD">
        <w:t>It</w:t>
      </w:r>
      <w:r w:rsidR="00975895" w:rsidRPr="003015FD">
        <w:t xml:space="preserve"> </w:t>
      </w:r>
      <w:r w:rsidRPr="003015FD">
        <w:t>requires</w:t>
      </w:r>
      <w:r w:rsidR="00975895" w:rsidRPr="003015FD">
        <w:t xml:space="preserve"> </w:t>
      </w:r>
      <w:r w:rsidRPr="003015FD">
        <w:t>addressing</w:t>
      </w:r>
      <w:r w:rsidR="00975895" w:rsidRPr="003015FD">
        <w:t xml:space="preserve"> </w:t>
      </w:r>
      <w:r w:rsidRPr="003015FD">
        <w:t>underlying</w:t>
      </w:r>
      <w:r w:rsidR="00975895" w:rsidRPr="003015FD">
        <w:t xml:space="preserve"> </w:t>
      </w:r>
      <w:r w:rsidRPr="003015FD">
        <w:t>attitudes</w:t>
      </w:r>
      <w:r w:rsidR="00975895" w:rsidRPr="003015FD">
        <w:t xml:space="preserve"> </w:t>
      </w:r>
      <w:r w:rsidRPr="003015FD">
        <w:t>and</w:t>
      </w:r>
      <w:r w:rsidR="00975895" w:rsidRPr="003015FD">
        <w:t xml:space="preserve"> </w:t>
      </w:r>
      <w:r w:rsidRPr="003015FD">
        <w:t>values</w:t>
      </w:r>
      <w:r w:rsidR="00975895" w:rsidRPr="003015FD">
        <w:t xml:space="preserve"> </w:t>
      </w:r>
      <w:r w:rsidRPr="003015FD">
        <w:t>that</w:t>
      </w:r>
      <w:r w:rsidR="00975895" w:rsidRPr="003015FD">
        <w:t xml:space="preserve"> </w:t>
      </w:r>
      <w:r w:rsidRPr="003015FD">
        <w:t>influence</w:t>
      </w:r>
      <w:r w:rsidR="00975895" w:rsidRPr="003015FD">
        <w:t xml:space="preserve"> </w:t>
      </w:r>
      <w:r w:rsidRPr="003015FD">
        <w:t>behaviour</w:t>
      </w:r>
      <w:r w:rsidR="00E321B8">
        <w:t>,</w:t>
      </w:r>
      <w:r w:rsidR="00975895" w:rsidRPr="003015FD">
        <w:t xml:space="preserve"> </w:t>
      </w:r>
      <w:r w:rsidRPr="003015FD">
        <w:t>and</w:t>
      </w:r>
      <w:r w:rsidR="00975895" w:rsidRPr="003015FD">
        <w:t xml:space="preserve"> </w:t>
      </w:r>
      <w:r w:rsidRPr="003015FD">
        <w:t>moving</w:t>
      </w:r>
      <w:r w:rsidR="00975895" w:rsidRPr="003015FD">
        <w:t xml:space="preserve"> </w:t>
      </w:r>
      <w:r w:rsidRPr="003015FD">
        <w:t>to</w:t>
      </w:r>
      <w:r w:rsidR="00975895" w:rsidRPr="003015FD">
        <w:t xml:space="preserve"> </w:t>
      </w:r>
      <w:r w:rsidRPr="003015FD">
        <w:t>a</w:t>
      </w:r>
      <w:r w:rsidR="00975895" w:rsidRPr="003015FD">
        <w:t xml:space="preserve"> </w:t>
      </w:r>
      <w:r w:rsidRPr="003015FD">
        <w:t>culture</w:t>
      </w:r>
      <w:r w:rsidR="00975895" w:rsidRPr="003015FD">
        <w:t xml:space="preserve"> </w:t>
      </w:r>
      <w:r w:rsidRPr="003015FD">
        <w:t>where</w:t>
      </w:r>
      <w:r w:rsidR="00975895" w:rsidRPr="003015FD">
        <w:t xml:space="preserve"> </w:t>
      </w:r>
      <w:r w:rsidRPr="003015FD">
        <w:t>human</w:t>
      </w:r>
      <w:r w:rsidR="00975895" w:rsidRPr="003015FD">
        <w:t xml:space="preserve"> </w:t>
      </w:r>
      <w:r w:rsidRPr="003015FD">
        <w:t>rights</w:t>
      </w:r>
      <w:r w:rsidR="00975895" w:rsidRPr="003015FD">
        <w:t xml:space="preserve"> </w:t>
      </w:r>
      <w:r w:rsidRPr="003015FD">
        <w:t>are</w:t>
      </w:r>
      <w:r w:rsidR="00975895" w:rsidRPr="003015FD">
        <w:t xml:space="preserve"> </w:t>
      </w:r>
      <w:r w:rsidRPr="003015FD">
        <w:t>considered</w:t>
      </w:r>
      <w:r w:rsidR="00975895" w:rsidRPr="003015FD">
        <w:t xml:space="preserve"> </w:t>
      </w:r>
      <w:r w:rsidRPr="003015FD">
        <w:t>and</w:t>
      </w:r>
      <w:r w:rsidR="00975895" w:rsidRPr="003015FD">
        <w:t xml:space="preserve"> </w:t>
      </w:r>
      <w:r w:rsidRPr="003015FD">
        <w:t>prioritised</w:t>
      </w:r>
      <w:r w:rsidR="00975895" w:rsidRPr="003015FD">
        <w:t xml:space="preserve"> </w:t>
      </w:r>
      <w:r w:rsidRPr="003015FD">
        <w:t>in</w:t>
      </w:r>
      <w:r w:rsidR="00975895" w:rsidRPr="003015FD">
        <w:t xml:space="preserve"> </w:t>
      </w:r>
      <w:r w:rsidRPr="003015FD">
        <w:t>everyday</w:t>
      </w:r>
      <w:r w:rsidR="00975895" w:rsidRPr="003015FD">
        <w:t xml:space="preserve"> </w:t>
      </w:r>
      <w:r w:rsidRPr="003015FD">
        <w:t>business.</w:t>
      </w:r>
      <w:r w:rsidR="00975895" w:rsidRPr="003015FD">
        <w:t xml:space="preserve"> </w:t>
      </w:r>
    </w:p>
    <w:p w14:paraId="2D02B537" w14:textId="03F4711A" w:rsidR="008E0945" w:rsidRPr="003015FD" w:rsidRDefault="008E0945" w:rsidP="0002642E">
      <w:r w:rsidRPr="003015FD">
        <w:t>In</w:t>
      </w:r>
      <w:r w:rsidR="00975895" w:rsidRPr="003015FD">
        <w:t xml:space="preserve"> </w:t>
      </w:r>
      <w:r w:rsidRPr="003015FD">
        <w:t>2017,</w:t>
      </w:r>
      <w:r w:rsidR="00975895" w:rsidRPr="003015FD">
        <w:t xml:space="preserve"> </w:t>
      </w:r>
      <w:r w:rsidRPr="003015FD">
        <w:t>the</w:t>
      </w:r>
      <w:r w:rsidR="00975895" w:rsidRPr="003015FD">
        <w:t xml:space="preserve"> </w:t>
      </w:r>
      <w:r w:rsidRPr="003015FD">
        <w:t>public</w:t>
      </w:r>
      <w:r w:rsidR="00975895" w:rsidRPr="003015FD">
        <w:t xml:space="preserve"> </w:t>
      </w:r>
      <w:r w:rsidRPr="003015FD">
        <w:t>sector,</w:t>
      </w:r>
      <w:r w:rsidR="00975895" w:rsidRPr="003015FD">
        <w:t xml:space="preserve"> </w:t>
      </w:r>
      <w:r w:rsidRPr="003015FD">
        <w:t>through</w:t>
      </w:r>
      <w:r w:rsidR="00975895" w:rsidRPr="003015FD">
        <w:t xml:space="preserve"> </w:t>
      </w:r>
      <w:r w:rsidRPr="003015FD">
        <w:t>the</w:t>
      </w:r>
      <w:r w:rsidR="00975895" w:rsidRPr="003015FD">
        <w:t xml:space="preserve"> </w:t>
      </w:r>
      <w:r w:rsidRPr="003015FD">
        <w:t>Victorian</w:t>
      </w:r>
      <w:r w:rsidR="00975895" w:rsidRPr="003015FD">
        <w:t xml:space="preserve"> </w:t>
      </w:r>
      <w:r w:rsidRPr="003015FD">
        <w:t>Secretaries</w:t>
      </w:r>
      <w:r w:rsidR="000C5726">
        <w:t>'</w:t>
      </w:r>
      <w:r w:rsidR="00975895" w:rsidRPr="003015FD">
        <w:t xml:space="preserve"> </w:t>
      </w:r>
      <w:r w:rsidRPr="003015FD">
        <w:t>Boar</w:t>
      </w:r>
      <w:r w:rsidR="00907911">
        <w:t>d</w:t>
      </w:r>
      <w:r w:rsidRPr="003015FD">
        <w:t>,</w:t>
      </w:r>
      <w:r w:rsidR="00975895" w:rsidRPr="003015FD">
        <w:t xml:space="preserve"> </w:t>
      </w:r>
      <w:r w:rsidRPr="003015FD">
        <w:t>committed</w:t>
      </w:r>
      <w:r w:rsidR="00975895" w:rsidRPr="003015FD">
        <w:t xml:space="preserve"> </w:t>
      </w:r>
      <w:r w:rsidRPr="003015FD">
        <w:t>to</w:t>
      </w:r>
      <w:r w:rsidR="00975895" w:rsidRPr="003015FD">
        <w:t xml:space="preserve"> </w:t>
      </w:r>
      <w:r w:rsidRPr="003015FD">
        <w:t>strengthening</w:t>
      </w:r>
      <w:r w:rsidR="00975895" w:rsidRPr="003015FD">
        <w:t xml:space="preserve"> </w:t>
      </w:r>
      <w:r w:rsidRPr="003015FD">
        <w:t>Victoria</w:t>
      </w:r>
      <w:r w:rsidR="000C5726">
        <w:t>'</w:t>
      </w:r>
      <w:r w:rsidRPr="003015FD">
        <w:t>s</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E321B8">
        <w:t>. I</w:t>
      </w:r>
      <w:r w:rsidR="005F1182" w:rsidRPr="003015FD">
        <w:t>n</w:t>
      </w:r>
      <w:r w:rsidR="00975895" w:rsidRPr="003015FD">
        <w:t xml:space="preserve"> </w:t>
      </w:r>
      <w:proofErr w:type="gramStart"/>
      <w:r w:rsidR="005F1182" w:rsidRPr="003015FD">
        <w:t>2018</w:t>
      </w:r>
      <w:proofErr w:type="gramEnd"/>
      <w:r w:rsidR="00975895" w:rsidRPr="003015FD">
        <w:t xml:space="preserve"> </w:t>
      </w:r>
      <w:r w:rsidR="005F1182" w:rsidRPr="003015FD">
        <w:t>the</w:t>
      </w:r>
      <w:r w:rsidR="00975895" w:rsidRPr="003015FD">
        <w:t xml:space="preserve"> </w:t>
      </w:r>
      <w:r w:rsidR="00907911">
        <w:t>Board</w:t>
      </w:r>
      <w:r w:rsidR="00975895" w:rsidRPr="003015FD">
        <w:t xml:space="preserve"> </w:t>
      </w:r>
      <w:r w:rsidR="005F1182" w:rsidRPr="003015FD">
        <w:t>reaffirmed</w:t>
      </w:r>
      <w:r w:rsidR="00975895" w:rsidRPr="003015FD">
        <w:t xml:space="preserve"> </w:t>
      </w:r>
      <w:r w:rsidR="005F1182" w:rsidRPr="003015FD">
        <w:t>its</w:t>
      </w:r>
      <w:r w:rsidR="00975895" w:rsidRPr="003015FD">
        <w:t xml:space="preserve"> </w:t>
      </w:r>
      <w:r w:rsidR="005F1182" w:rsidRPr="003015FD">
        <w:t>commitment</w:t>
      </w:r>
      <w:r w:rsidR="00975895" w:rsidRPr="003015FD">
        <w:t xml:space="preserve"> </w:t>
      </w:r>
      <w:r w:rsidR="005F1182" w:rsidRPr="003015FD">
        <w:t>to</w:t>
      </w:r>
      <w:r w:rsidR="00975895" w:rsidRPr="003015FD">
        <w:t xml:space="preserve"> </w:t>
      </w:r>
      <w:r w:rsidR="005F1182" w:rsidRPr="003015FD">
        <w:t>human</w:t>
      </w:r>
      <w:r w:rsidR="00975895" w:rsidRPr="003015FD">
        <w:t xml:space="preserve"> </w:t>
      </w:r>
      <w:r w:rsidR="005F1182" w:rsidRPr="003015FD">
        <w:t>rights</w:t>
      </w:r>
      <w:r w:rsidR="00975895" w:rsidRPr="003015FD">
        <w:t xml:space="preserve"> </w:t>
      </w:r>
      <w:r w:rsidR="005F1182" w:rsidRPr="003015FD">
        <w:t>education</w:t>
      </w:r>
      <w:r w:rsidR="00975895" w:rsidRPr="003015FD">
        <w:t xml:space="preserve"> </w:t>
      </w:r>
      <w:r w:rsidR="005F1182" w:rsidRPr="003015FD">
        <w:t>across</w:t>
      </w:r>
      <w:r w:rsidR="00975895" w:rsidRPr="003015FD">
        <w:t xml:space="preserve"> </w:t>
      </w:r>
      <w:r w:rsidR="005F1182" w:rsidRPr="003015FD">
        <w:t>the</w:t>
      </w:r>
      <w:r w:rsidR="00975895" w:rsidRPr="003015FD">
        <w:t xml:space="preserve"> </w:t>
      </w:r>
      <w:r w:rsidR="005F1182" w:rsidRPr="003015FD">
        <w:t>Victorian</w:t>
      </w:r>
      <w:r w:rsidR="00975895" w:rsidRPr="003015FD">
        <w:t xml:space="preserve"> </w:t>
      </w:r>
      <w:r w:rsidR="005F1182" w:rsidRPr="003015FD">
        <w:t>public</w:t>
      </w:r>
      <w:r w:rsidR="00975895" w:rsidRPr="003015FD">
        <w:t xml:space="preserve"> </w:t>
      </w:r>
      <w:r w:rsidR="005F1182" w:rsidRPr="003015FD">
        <w:t>sector</w:t>
      </w:r>
      <w:r w:rsidRPr="003015FD">
        <w:t>.</w:t>
      </w:r>
      <w:r w:rsidR="00975895" w:rsidRPr="003015FD">
        <w:t xml:space="preserve"> </w:t>
      </w:r>
      <w:r w:rsidR="005F1182" w:rsidRPr="003015FD">
        <w:t>It</w:t>
      </w:r>
      <w:r w:rsidR="00975895" w:rsidRPr="003015FD">
        <w:t xml:space="preserve"> </w:t>
      </w:r>
      <w:r w:rsidR="005F1182" w:rsidRPr="003015FD">
        <w:t>has</w:t>
      </w:r>
      <w:r w:rsidR="00975895" w:rsidRPr="003015FD">
        <w:t xml:space="preserve"> </w:t>
      </w:r>
      <w:r w:rsidR="005F1182" w:rsidRPr="003015FD">
        <w:t>supported</w:t>
      </w:r>
      <w:r w:rsidR="00975895" w:rsidRPr="003015FD">
        <w:t xml:space="preserve"> </w:t>
      </w:r>
      <w:r w:rsidR="005F1182" w:rsidRPr="003015FD">
        <w:t>the</w:t>
      </w:r>
      <w:r w:rsidR="00975895" w:rsidRPr="003015FD">
        <w:t xml:space="preserve"> </w:t>
      </w:r>
      <w:r w:rsidRPr="003015FD">
        <w:t>Commission</w:t>
      </w:r>
      <w:r w:rsidR="00975895" w:rsidRPr="003015FD">
        <w:t xml:space="preserve"> </w:t>
      </w:r>
      <w:r w:rsidR="005F1182" w:rsidRPr="003015FD">
        <w:t>and</w:t>
      </w:r>
      <w:r w:rsidR="00975895" w:rsidRPr="003015FD">
        <w:t xml:space="preserve"> </w:t>
      </w:r>
      <w:r w:rsidR="005F1182" w:rsidRPr="003015FD">
        <w:t>Human</w:t>
      </w:r>
      <w:r w:rsidR="00975895" w:rsidRPr="003015FD">
        <w:t xml:space="preserve"> </w:t>
      </w:r>
      <w:r w:rsidR="005F1182" w:rsidRPr="003015FD">
        <w:t>Rights</w:t>
      </w:r>
      <w:r w:rsidR="00975895" w:rsidRPr="003015FD">
        <w:t xml:space="preserve"> </w:t>
      </w:r>
      <w:r w:rsidR="005F1182" w:rsidRPr="003015FD">
        <w:t>Unit</w:t>
      </w:r>
      <w:r w:rsidR="00975895" w:rsidRPr="003015FD">
        <w:t xml:space="preserve"> </w:t>
      </w:r>
      <w:r w:rsidR="005F1182" w:rsidRPr="003015FD">
        <w:t>of</w:t>
      </w:r>
      <w:r w:rsidR="00975895" w:rsidRPr="003015FD">
        <w:t xml:space="preserve"> </w:t>
      </w:r>
      <w:r w:rsidR="005F1182" w:rsidRPr="003015FD">
        <w:t>the</w:t>
      </w:r>
      <w:r w:rsidR="00975895" w:rsidRPr="003015FD">
        <w:t xml:space="preserve"> </w:t>
      </w:r>
      <w:r w:rsidR="005F1182" w:rsidRPr="003015FD">
        <w:t>Department</w:t>
      </w:r>
      <w:r w:rsidR="00975895" w:rsidRPr="003015FD">
        <w:t xml:space="preserve"> </w:t>
      </w:r>
      <w:r w:rsidR="005F1182" w:rsidRPr="003015FD">
        <w:t>of</w:t>
      </w:r>
      <w:r w:rsidR="00975895" w:rsidRPr="003015FD">
        <w:t xml:space="preserve"> </w:t>
      </w:r>
      <w:r w:rsidR="005F1182" w:rsidRPr="003015FD">
        <w:t>Justice</w:t>
      </w:r>
      <w:r w:rsidR="00975895" w:rsidRPr="003015FD">
        <w:t xml:space="preserve"> </w:t>
      </w:r>
      <w:r w:rsidR="005F1182" w:rsidRPr="003015FD">
        <w:t>and</w:t>
      </w:r>
      <w:r w:rsidR="00975895" w:rsidRPr="003015FD">
        <w:t xml:space="preserve"> </w:t>
      </w:r>
      <w:r w:rsidR="005F1182" w:rsidRPr="003015FD">
        <w:t>Community</w:t>
      </w:r>
      <w:r w:rsidR="00975895" w:rsidRPr="003015FD">
        <w:t xml:space="preserve"> </w:t>
      </w:r>
      <w:r w:rsidR="005F1182" w:rsidRPr="003015FD">
        <w:t>Safety</w:t>
      </w:r>
      <w:r w:rsidR="00975895" w:rsidRPr="003015FD">
        <w:t xml:space="preserve"> </w:t>
      </w:r>
      <w:r w:rsidR="005F1182" w:rsidRPr="003015FD">
        <w:t>to</w:t>
      </w:r>
      <w:r w:rsidR="00975895" w:rsidRPr="003015FD">
        <w:t xml:space="preserve"> </w:t>
      </w:r>
      <w:r w:rsidRPr="003015FD">
        <w:t>work</w:t>
      </w:r>
      <w:r w:rsidR="00975895" w:rsidRPr="003015FD">
        <w:t xml:space="preserve"> </w:t>
      </w:r>
      <w:r w:rsidRPr="003015FD">
        <w:t>with</w:t>
      </w:r>
      <w:r w:rsidR="00975895" w:rsidRPr="003015FD">
        <w:t xml:space="preserve"> </w:t>
      </w:r>
      <w:r w:rsidR="005F1182" w:rsidRPr="003015FD">
        <w:t>public</w:t>
      </w:r>
      <w:r w:rsidR="00975895" w:rsidRPr="003015FD">
        <w:t xml:space="preserve"> </w:t>
      </w:r>
      <w:r w:rsidR="005F1182" w:rsidRPr="003015FD">
        <w:t>authorities</w:t>
      </w:r>
      <w:r w:rsidR="00975895" w:rsidRPr="003015FD">
        <w:t xml:space="preserve"> </w:t>
      </w:r>
      <w:r w:rsidR="005F1182" w:rsidRPr="003015FD">
        <w:t>in</w:t>
      </w:r>
      <w:r w:rsidR="00975895" w:rsidRPr="003015FD">
        <w:t xml:space="preserve"> </w:t>
      </w:r>
      <w:r w:rsidR="005F1182" w:rsidRPr="003015FD">
        <w:t>building</w:t>
      </w:r>
      <w:r w:rsidR="00975895" w:rsidRPr="003015FD">
        <w:t xml:space="preserve"> </w:t>
      </w:r>
      <w:r w:rsidR="005F1182" w:rsidRPr="003015FD">
        <w:t>a</w:t>
      </w:r>
      <w:r w:rsidR="00975895" w:rsidRPr="003015FD">
        <w:t xml:space="preserve"> </w:t>
      </w:r>
      <w:r w:rsidR="005F1182" w:rsidRPr="003015FD">
        <w:t>culture</w:t>
      </w:r>
      <w:r w:rsidR="00975895" w:rsidRPr="003015FD">
        <w:t xml:space="preserve"> </w:t>
      </w:r>
      <w:r w:rsidR="005F1182" w:rsidRPr="003015FD">
        <w:t>of</w:t>
      </w:r>
      <w:r w:rsidR="00975895" w:rsidRPr="003015FD">
        <w:t xml:space="preserve"> </w:t>
      </w:r>
      <w:r w:rsidR="005F1182" w:rsidRPr="003015FD">
        <w:t>human</w:t>
      </w:r>
      <w:r w:rsidR="00975895" w:rsidRPr="003015FD">
        <w:t xml:space="preserve"> </w:t>
      </w:r>
      <w:r w:rsidR="005F1182" w:rsidRPr="003015FD">
        <w:t>rights.</w:t>
      </w:r>
      <w:r w:rsidR="00975895" w:rsidRPr="003015FD">
        <w:t xml:space="preserve"> </w:t>
      </w:r>
      <w:r w:rsidR="00D91A41">
        <w:t>This</w:t>
      </w:r>
      <w:r w:rsidR="00D91A41" w:rsidRPr="003015FD">
        <w:t xml:space="preserve"> </w:t>
      </w:r>
      <w:r w:rsidR="005F1182" w:rsidRPr="003015FD">
        <w:t>work</w:t>
      </w:r>
      <w:r w:rsidR="00975895" w:rsidRPr="003015FD">
        <w:t xml:space="preserve"> </w:t>
      </w:r>
      <w:r w:rsidR="005F1182" w:rsidRPr="003015FD">
        <w:t>has</w:t>
      </w:r>
      <w:r w:rsidR="00975895" w:rsidRPr="003015FD">
        <w:t xml:space="preserve"> </w:t>
      </w:r>
      <w:r w:rsidR="005F1182" w:rsidRPr="003015FD">
        <w:t>included</w:t>
      </w:r>
      <w:r w:rsidR="00E321B8">
        <w:t>:</w:t>
      </w:r>
    </w:p>
    <w:p w14:paraId="74EE0B2B" w14:textId="3A3296FA" w:rsidR="005D3E9E" w:rsidRPr="003015FD" w:rsidRDefault="005D3E9E" w:rsidP="0002642E">
      <w:pPr>
        <w:pStyle w:val="ListBullet"/>
      </w:pPr>
      <w:r w:rsidRPr="003015FD">
        <w:t>deliver</w:t>
      </w:r>
      <w:r w:rsidR="00E321B8">
        <w:t>ing</w:t>
      </w:r>
      <w:r w:rsidR="00975895" w:rsidRPr="003015FD">
        <w:t xml:space="preserve"> </w:t>
      </w:r>
      <w:r w:rsidRPr="003015FD">
        <w:t>Charter</w:t>
      </w:r>
      <w:r w:rsidR="00975895" w:rsidRPr="003015FD">
        <w:t xml:space="preserve"> </w:t>
      </w:r>
      <w:r w:rsidRPr="003015FD">
        <w:t>education</w:t>
      </w:r>
      <w:r w:rsidR="00975895" w:rsidRPr="003015FD">
        <w:t xml:space="preserve"> </w:t>
      </w:r>
      <w:r w:rsidRPr="003015FD">
        <w:t>and</w:t>
      </w:r>
      <w:r w:rsidR="00975895" w:rsidRPr="003015FD">
        <w:t xml:space="preserve"> </w:t>
      </w:r>
      <w:r w:rsidRPr="003015FD">
        <w:t>capacity</w:t>
      </w:r>
      <w:r w:rsidR="00975895" w:rsidRPr="003015FD">
        <w:t xml:space="preserve"> </w:t>
      </w:r>
      <w:r w:rsidRPr="003015FD">
        <w:t>building</w:t>
      </w:r>
      <w:r w:rsidR="00975895" w:rsidRPr="003015FD">
        <w:t xml:space="preserve"> </w:t>
      </w:r>
      <w:r w:rsidRPr="003015FD">
        <w:t>across</w:t>
      </w:r>
      <w:r w:rsidR="00975895" w:rsidRPr="003015FD">
        <w:t xml:space="preserve"> </w:t>
      </w:r>
      <w:r w:rsidRPr="003015FD">
        <w:t>the</w:t>
      </w:r>
      <w:r w:rsidR="00975895" w:rsidRPr="003015FD">
        <w:t xml:space="preserve"> </w:t>
      </w:r>
      <w:r w:rsidRPr="003015FD">
        <w:t>public</w:t>
      </w:r>
      <w:r w:rsidR="00975895" w:rsidRPr="003015FD">
        <w:t xml:space="preserve"> </w:t>
      </w:r>
      <w:r w:rsidRPr="003015FD">
        <w:t>sector</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00975895" w:rsidRPr="003015FD">
        <w:t xml:space="preserve"> </w:t>
      </w:r>
      <w:r w:rsidRPr="003015FD">
        <w:t>Education</w:t>
      </w:r>
      <w:r w:rsidR="00975895" w:rsidRPr="003015FD">
        <w:t xml:space="preserve"> </w:t>
      </w:r>
      <w:r w:rsidRPr="003015FD">
        <w:t>Program</w:t>
      </w:r>
    </w:p>
    <w:p w14:paraId="45D9ACD1" w14:textId="691CC6A6" w:rsidR="00D645B7" w:rsidRPr="003015FD" w:rsidRDefault="00D645B7" w:rsidP="0002642E">
      <w:pPr>
        <w:pStyle w:val="ListBullet"/>
      </w:pPr>
      <w:r w:rsidRPr="003015FD">
        <w:t>revis</w:t>
      </w:r>
      <w:r w:rsidR="00E321B8">
        <w:t>ing</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Guide</w:t>
      </w:r>
    </w:p>
    <w:p w14:paraId="513F74A7" w14:textId="68E85962" w:rsidR="00D645B7" w:rsidRPr="003015FD" w:rsidRDefault="005D3E9E" w:rsidP="0002642E">
      <w:pPr>
        <w:pStyle w:val="ListBullet"/>
      </w:pPr>
      <w:r w:rsidRPr="003015FD">
        <w:lastRenderedPageBreak/>
        <w:t>develop</w:t>
      </w:r>
      <w:r w:rsidR="00E321B8">
        <w:t>ing</w:t>
      </w:r>
      <w:r w:rsidR="00975895" w:rsidRPr="003015FD">
        <w:t xml:space="preserve"> </w:t>
      </w:r>
      <w:r w:rsidRPr="003015FD">
        <w:t>a</w:t>
      </w:r>
      <w:r w:rsidR="00975895" w:rsidRPr="003015FD">
        <w:t xml:space="preserve"> </w:t>
      </w:r>
      <w:r w:rsidRPr="003015FD">
        <w:t>range</w:t>
      </w:r>
      <w:r w:rsidR="00975895" w:rsidRPr="003015FD">
        <w:t xml:space="preserve"> </w:t>
      </w:r>
      <w:r w:rsidRPr="003015FD">
        <w:t>of</w:t>
      </w:r>
      <w:r w:rsidR="00975895" w:rsidRPr="003015FD">
        <w:t xml:space="preserve"> </w:t>
      </w:r>
      <w:r w:rsidRPr="003015FD">
        <w:t>resources</w:t>
      </w:r>
      <w:r w:rsidR="00E321B8">
        <w:t xml:space="preserve">, </w:t>
      </w:r>
      <w:r w:rsidR="00E321B8" w:rsidRPr="003015FD">
        <w:t>including a Charter Quick Guide</w:t>
      </w:r>
      <w:r w:rsidR="00E321B8">
        <w:t>,</w:t>
      </w:r>
      <w:r w:rsidR="00E321B8" w:rsidRPr="003015FD">
        <w:t xml:space="preserve"> to support education initiatives</w:t>
      </w:r>
      <w:r w:rsidRPr="004862C5">
        <w:rPr>
          <w:rStyle w:val="FootnoteReference"/>
        </w:rPr>
        <w:footnoteReference w:id="13"/>
      </w:r>
      <w:r w:rsidR="00975895" w:rsidRPr="003015FD">
        <w:t xml:space="preserve"> </w:t>
      </w:r>
    </w:p>
    <w:p w14:paraId="63CD488C" w14:textId="5CFE5F89" w:rsidR="00D645B7" w:rsidRPr="003015FD" w:rsidRDefault="00D645B7" w:rsidP="0002642E">
      <w:pPr>
        <w:pStyle w:val="ListBullet"/>
      </w:pPr>
      <w:r w:rsidRPr="003015FD">
        <w:t>develop</w:t>
      </w:r>
      <w:r w:rsidR="00E321B8">
        <w:t>ing</w:t>
      </w:r>
      <w:r w:rsidR="00975895" w:rsidRPr="003015FD">
        <w:t xml:space="preserve"> </w:t>
      </w:r>
      <w:r w:rsidRPr="003015FD">
        <w:t>a</w:t>
      </w:r>
      <w:r w:rsidR="00975895" w:rsidRPr="003015FD">
        <w:t xml:space="preserve"> </w:t>
      </w:r>
      <w:r w:rsidRPr="003015FD">
        <w:t>suite</w:t>
      </w:r>
      <w:r w:rsidR="00975895" w:rsidRPr="003015FD">
        <w:t xml:space="preserve"> </w:t>
      </w:r>
      <w:r w:rsidRPr="003015FD">
        <w:t>of</w:t>
      </w:r>
      <w:r w:rsidR="00975895" w:rsidRPr="003015FD">
        <w:t xml:space="preserve"> </w:t>
      </w:r>
      <w:r w:rsidR="00E321B8">
        <w:t>six</w:t>
      </w:r>
      <w:r w:rsidR="00975895" w:rsidRPr="003015FD">
        <w:t xml:space="preserve"> </w:t>
      </w:r>
      <w:r w:rsidR="005D3E9E" w:rsidRPr="003015FD">
        <w:t>e-learning</w:t>
      </w:r>
      <w:r w:rsidR="00975895" w:rsidRPr="003015FD">
        <w:t xml:space="preserve"> </w:t>
      </w:r>
      <w:r w:rsidR="005D3E9E" w:rsidRPr="003015FD">
        <w:t>modules,</w:t>
      </w:r>
      <w:r w:rsidR="00E321B8">
        <w:t xml:space="preserve"> </w:t>
      </w:r>
      <w:r w:rsidR="00E321B8" w:rsidRPr="003015FD">
        <w:t>made freely available through the Commission</w:t>
      </w:r>
      <w:r w:rsidR="000C5726">
        <w:t>'</w:t>
      </w:r>
      <w:r w:rsidR="00E321B8" w:rsidRPr="003015FD">
        <w:t>s website</w:t>
      </w:r>
      <w:r w:rsidR="005D3E9E" w:rsidRPr="004862C5">
        <w:rPr>
          <w:rStyle w:val="FootnoteReference"/>
        </w:rPr>
        <w:footnoteReference w:id="14"/>
      </w:r>
      <w:r w:rsidR="00975895" w:rsidRPr="003015FD">
        <w:t xml:space="preserve"> </w:t>
      </w:r>
    </w:p>
    <w:p w14:paraId="6B2F6CB3" w14:textId="1E0CC93F" w:rsidR="005D3E9E" w:rsidRPr="003015FD" w:rsidRDefault="00D645B7" w:rsidP="0002642E">
      <w:pPr>
        <w:pStyle w:val="ListBullet"/>
      </w:pPr>
      <w:r w:rsidRPr="003015FD">
        <w:t>support</w:t>
      </w:r>
      <w:r w:rsidR="00E321B8">
        <w:t>ing</w:t>
      </w:r>
      <w:r w:rsidR="00975895" w:rsidRPr="003015FD">
        <w:t xml:space="preserve"> </w:t>
      </w:r>
      <w:r w:rsidRPr="003015FD">
        <w:t>the</w:t>
      </w:r>
      <w:r w:rsidR="00975895" w:rsidRPr="003015FD">
        <w:t xml:space="preserve"> </w:t>
      </w:r>
      <w:r w:rsidRPr="003015FD">
        <w:t>Charter</w:t>
      </w:r>
      <w:r w:rsidR="00975895" w:rsidRPr="003015FD">
        <w:t xml:space="preserve"> </w:t>
      </w:r>
      <w:r w:rsidRPr="003015FD">
        <w:t>Leaders</w:t>
      </w:r>
      <w:r w:rsidR="00975895" w:rsidRPr="003015FD">
        <w:t xml:space="preserve"> </w:t>
      </w:r>
      <w:r w:rsidRPr="003015FD">
        <w:t>Group,</w:t>
      </w:r>
      <w:r w:rsidR="00975895" w:rsidRPr="003015FD">
        <w:t xml:space="preserve"> </w:t>
      </w:r>
      <w:r w:rsidRPr="003015FD">
        <w:t>consisting</w:t>
      </w:r>
      <w:r w:rsidR="00975895" w:rsidRPr="003015FD">
        <w:t xml:space="preserve"> </w:t>
      </w:r>
      <w:r w:rsidRPr="003015FD">
        <w:t>of</w:t>
      </w:r>
      <w:r w:rsidR="00975895" w:rsidRPr="003015FD">
        <w:t xml:space="preserve"> </w:t>
      </w:r>
      <w:r w:rsidRPr="003015FD">
        <w:t>Deputy</w:t>
      </w:r>
      <w:r w:rsidR="00975895" w:rsidRPr="003015FD">
        <w:t xml:space="preserve"> </w:t>
      </w:r>
      <w:r w:rsidRPr="003015FD">
        <w:t>Secretaries</w:t>
      </w:r>
      <w:r w:rsidR="00975895" w:rsidRPr="003015FD">
        <w:t xml:space="preserve"> </w:t>
      </w:r>
      <w:r w:rsidRPr="003015FD">
        <w:t>and</w:t>
      </w:r>
      <w:r w:rsidR="00975895" w:rsidRPr="003015FD">
        <w:t xml:space="preserve"> </w:t>
      </w:r>
      <w:r w:rsidRPr="003015FD">
        <w:t>Assistant</w:t>
      </w:r>
      <w:r w:rsidR="00975895" w:rsidRPr="003015FD">
        <w:t xml:space="preserve"> </w:t>
      </w:r>
      <w:r w:rsidRPr="003015FD">
        <w:t>Commissioners</w:t>
      </w:r>
      <w:r w:rsidR="00975895" w:rsidRPr="003015FD">
        <w:t xml:space="preserve"> </w:t>
      </w:r>
      <w:r w:rsidRPr="003015FD">
        <w:t>from</w:t>
      </w:r>
      <w:r w:rsidR="00975895" w:rsidRPr="003015FD">
        <w:t xml:space="preserve"> </w:t>
      </w:r>
      <w:r w:rsidRPr="003015FD">
        <w:t>all</w:t>
      </w:r>
      <w:r w:rsidR="00975895" w:rsidRPr="003015FD">
        <w:t xml:space="preserve"> </w:t>
      </w:r>
      <w:r w:rsidRPr="003015FD">
        <w:t>Victorian</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Commission</w:t>
      </w:r>
      <w:r w:rsidR="00975895" w:rsidRPr="003015FD">
        <w:t xml:space="preserve"> </w:t>
      </w:r>
      <w:r w:rsidRPr="003015FD">
        <w:t>and</w:t>
      </w:r>
      <w:r w:rsidR="00975895" w:rsidRPr="003015FD">
        <w:t xml:space="preserve"> </w:t>
      </w:r>
      <w:r w:rsidRPr="003015FD">
        <w:t>Victoria</w:t>
      </w:r>
      <w:r w:rsidR="00975895" w:rsidRPr="003015FD">
        <w:t xml:space="preserve"> </w:t>
      </w:r>
      <w:r w:rsidRPr="003015FD">
        <w:t>Police,</w:t>
      </w:r>
      <w:r w:rsidR="00975895" w:rsidRPr="003015FD">
        <w:t xml:space="preserve"> </w:t>
      </w:r>
      <w:r w:rsidRPr="003015FD">
        <w:t>to</w:t>
      </w:r>
      <w:r w:rsidR="00975895" w:rsidRPr="003015FD">
        <w:t xml:space="preserve"> </w:t>
      </w:r>
      <w:r w:rsidRPr="003015FD">
        <w:t>lead</w:t>
      </w:r>
      <w:r w:rsidR="00975895" w:rsidRPr="003015FD">
        <w:t xml:space="preserve"> </w:t>
      </w:r>
      <w:r w:rsidRPr="003015FD">
        <w:t>tailored</w:t>
      </w:r>
      <w:r w:rsidR="00975895" w:rsidRPr="003015FD">
        <w:t xml:space="preserve"> </w:t>
      </w:r>
      <w:r w:rsidRPr="003015FD">
        <w:t>initiatives</w:t>
      </w:r>
      <w:r w:rsidR="00975895" w:rsidRPr="003015FD">
        <w:t xml:space="preserve"> </w:t>
      </w:r>
      <w:r w:rsidRPr="003015FD">
        <w:t>to</w:t>
      </w:r>
      <w:r w:rsidR="00975895" w:rsidRPr="003015FD">
        <w:t xml:space="preserve"> </w:t>
      </w:r>
      <w:r w:rsidRPr="003015FD">
        <w:t>embed</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in</w:t>
      </w:r>
      <w:r w:rsidR="00975895" w:rsidRPr="003015FD">
        <w:t xml:space="preserve"> </w:t>
      </w:r>
      <w:r w:rsidRPr="003015FD">
        <w:t>their</w:t>
      </w:r>
      <w:r w:rsidR="00975895" w:rsidRPr="003015FD">
        <w:t xml:space="preserve"> </w:t>
      </w:r>
      <w:r w:rsidRPr="003015FD">
        <w:t>organisations.</w:t>
      </w:r>
    </w:p>
    <w:p w14:paraId="7D67E656" w14:textId="306701FA" w:rsidR="00D645B7" w:rsidRPr="003015FD" w:rsidRDefault="00D645B7" w:rsidP="0002642E">
      <w:pPr>
        <w:pStyle w:val="ListBullet"/>
        <w:numPr>
          <w:ilvl w:val="0"/>
          <w:numId w:val="0"/>
        </w:numPr>
      </w:pPr>
      <w:r w:rsidRPr="003015FD">
        <w:t>In</w:t>
      </w:r>
      <w:r w:rsidR="00975895" w:rsidRPr="003015FD">
        <w:t xml:space="preserve"> </w:t>
      </w:r>
      <w:r w:rsidRPr="003015FD">
        <w:t>addition,</w:t>
      </w:r>
      <w:r w:rsidR="00975895" w:rsidRPr="003015FD">
        <w:t xml:space="preserve"> </w:t>
      </w:r>
      <w:r w:rsidRPr="003015FD">
        <w:t>the</w:t>
      </w:r>
      <w:r w:rsidR="00975895" w:rsidRPr="003015FD">
        <w:t xml:space="preserve"> </w:t>
      </w:r>
      <w:r w:rsidRPr="003015FD">
        <w:t>Commission:</w:t>
      </w:r>
    </w:p>
    <w:p w14:paraId="156A0771" w14:textId="6B9148C1" w:rsidR="005D3E9E" w:rsidRPr="003015FD" w:rsidRDefault="005D3E9E" w:rsidP="0002642E">
      <w:pPr>
        <w:pStyle w:val="ListBullet"/>
      </w:pPr>
      <w:r w:rsidRPr="003015FD">
        <w:t>is</w:t>
      </w:r>
      <w:r w:rsidR="00975895" w:rsidRPr="003015FD">
        <w:t xml:space="preserve"> </w:t>
      </w:r>
      <w:r w:rsidRPr="003015FD">
        <w:t>working</w:t>
      </w:r>
      <w:r w:rsidR="00975895" w:rsidRPr="003015FD">
        <w:t xml:space="preserve"> </w:t>
      </w:r>
      <w:r w:rsidRPr="003015FD">
        <w:t>with</w:t>
      </w:r>
      <w:r w:rsidR="00975895" w:rsidRPr="003015FD">
        <w:t xml:space="preserve"> </w:t>
      </w:r>
      <w:r w:rsidRPr="003015FD">
        <w:t>the</w:t>
      </w:r>
      <w:r w:rsidR="00975895" w:rsidRPr="003015FD">
        <w:t xml:space="preserve"> </w:t>
      </w:r>
      <w:r w:rsidRPr="003015FD">
        <w:t>Department</w:t>
      </w:r>
      <w:r w:rsidR="00975895" w:rsidRPr="003015FD">
        <w:t xml:space="preserve"> </w:t>
      </w:r>
      <w:r w:rsidRPr="003015FD">
        <w:t>of</w:t>
      </w:r>
      <w:r w:rsidR="00975895" w:rsidRPr="003015FD">
        <w:t xml:space="preserve"> </w:t>
      </w:r>
      <w:r w:rsidRPr="003015FD">
        <w:t>Education</w:t>
      </w:r>
      <w:r w:rsidR="00975895" w:rsidRPr="003015FD">
        <w:t xml:space="preserve"> </w:t>
      </w:r>
      <w:r w:rsidRPr="003015FD">
        <w:t>and</w:t>
      </w:r>
      <w:r w:rsidR="00975895" w:rsidRPr="003015FD">
        <w:t xml:space="preserve"> </w:t>
      </w:r>
      <w:r w:rsidRPr="003015FD">
        <w:t>Training</w:t>
      </w:r>
      <w:r w:rsidR="00975895" w:rsidRPr="003015FD">
        <w:t xml:space="preserve"> </w:t>
      </w:r>
      <w:r w:rsidRPr="003015FD">
        <w:t>to</w:t>
      </w:r>
      <w:r w:rsidR="00975895" w:rsidRPr="003015FD">
        <w:t xml:space="preserve"> </w:t>
      </w:r>
      <w:r w:rsidRPr="003015FD">
        <w:t>promote</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approach</w:t>
      </w:r>
      <w:r w:rsidR="00975895" w:rsidRPr="003015FD">
        <w:t xml:space="preserve"> </w:t>
      </w:r>
      <w:r w:rsidRPr="003015FD">
        <w:t>to</w:t>
      </w:r>
      <w:r w:rsidR="00975895" w:rsidRPr="003015FD">
        <w:t xml:space="preserve"> </w:t>
      </w:r>
      <w:r w:rsidRPr="003015FD">
        <w:t>diversity</w:t>
      </w:r>
      <w:r w:rsidR="00975895" w:rsidRPr="003015FD">
        <w:t xml:space="preserve"> </w:t>
      </w:r>
      <w:r w:rsidRPr="003015FD">
        <w:t>and</w:t>
      </w:r>
      <w:r w:rsidR="00975895" w:rsidRPr="003015FD">
        <w:t xml:space="preserve"> </w:t>
      </w:r>
      <w:r w:rsidRPr="003015FD">
        <w:t>inclusion</w:t>
      </w:r>
      <w:r w:rsidR="00975895" w:rsidRPr="003015FD">
        <w:t xml:space="preserve"> </w:t>
      </w:r>
      <w:r w:rsidRPr="003015FD">
        <w:t>in</w:t>
      </w:r>
      <w:r w:rsidR="00975895" w:rsidRPr="003015FD">
        <w:t xml:space="preserve"> </w:t>
      </w:r>
      <w:r w:rsidRPr="003015FD">
        <w:t>Victorian</w:t>
      </w:r>
      <w:r w:rsidR="00975895" w:rsidRPr="003015FD">
        <w:t xml:space="preserve"> </w:t>
      </w:r>
      <w:r w:rsidRPr="003015FD">
        <w:t>schools</w:t>
      </w:r>
    </w:p>
    <w:p w14:paraId="21A2B7BE" w14:textId="3FA11045" w:rsidR="00907911" w:rsidRDefault="00907911" w:rsidP="0002642E">
      <w:pPr>
        <w:pStyle w:val="ListBullet"/>
      </w:pPr>
      <w:r w:rsidRPr="003015FD">
        <w:t xml:space="preserve">intervened in legal proceedings to act as an independent and expert advocate </w:t>
      </w:r>
      <w:r>
        <w:t xml:space="preserve">on </w:t>
      </w:r>
      <w:r w:rsidRPr="003015FD">
        <w:t>interpretation and application of the Charter</w:t>
      </w:r>
      <w:r>
        <w:t xml:space="preserve">, to strengthen </w:t>
      </w:r>
      <w:r w:rsidRPr="003015FD">
        <w:t>jurisprudence on the protection of human rights</w:t>
      </w:r>
    </w:p>
    <w:p w14:paraId="2AC5EC71" w14:textId="3680BCC0" w:rsidR="005D3E9E" w:rsidRPr="003015FD" w:rsidRDefault="005D3E9E" w:rsidP="0002642E">
      <w:pPr>
        <w:pStyle w:val="ListBullet"/>
      </w:pPr>
      <w:r w:rsidRPr="003015FD">
        <w:t>profiled</w:t>
      </w:r>
      <w:r w:rsidR="00975895" w:rsidRPr="003015FD">
        <w:t xml:space="preserve"> </w:t>
      </w:r>
      <w:r w:rsidRPr="003015FD">
        <w:t>the</w:t>
      </w:r>
      <w:r w:rsidR="00975895" w:rsidRPr="003015FD">
        <w:t xml:space="preserve"> </w:t>
      </w:r>
      <w:r w:rsidRPr="003015FD">
        <w:t>progress</w:t>
      </w:r>
      <w:r w:rsidR="00975895" w:rsidRPr="003015FD">
        <w:t xml:space="preserve"> </w:t>
      </w:r>
      <w:r w:rsidRPr="003015FD">
        <w:t>made</w:t>
      </w:r>
      <w:r w:rsidR="00975895" w:rsidRPr="003015FD">
        <w:t xml:space="preserve"> </w:t>
      </w:r>
      <w:r w:rsidRPr="003015FD">
        <w:t>by</w:t>
      </w:r>
      <w:r w:rsidR="00975895" w:rsidRPr="003015FD">
        <w:t xml:space="preserve"> </w:t>
      </w:r>
      <w:r w:rsidRPr="003015FD">
        <w:t>five</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in</w:t>
      </w:r>
      <w:r w:rsidR="00975895" w:rsidRPr="003015FD">
        <w:t xml:space="preserve"> </w:t>
      </w:r>
      <w:r w:rsidRPr="003015FD">
        <w:t>the</w:t>
      </w:r>
      <w:r w:rsidR="00975895" w:rsidRPr="003015FD">
        <w:t xml:space="preserve"> </w:t>
      </w:r>
      <w:r w:rsidRPr="003015FD">
        <w:t>2017</w:t>
      </w:r>
      <w:r w:rsidR="00975895" w:rsidRPr="003015FD">
        <w:t xml:space="preserve"> </w:t>
      </w:r>
      <w:r w:rsidRPr="003015FD">
        <w:t>Charter</w:t>
      </w:r>
      <w:r w:rsidR="00975895" w:rsidRPr="003015FD">
        <w:t xml:space="preserve"> </w:t>
      </w:r>
      <w:r w:rsidRPr="003015FD">
        <w:t>report,</w:t>
      </w:r>
      <w:r w:rsidR="00975895" w:rsidRPr="003015FD">
        <w:t xml:space="preserve"> </w:t>
      </w:r>
      <w:r w:rsidRPr="003015FD">
        <w:t>celebrating</w:t>
      </w:r>
      <w:r w:rsidR="00975895" w:rsidRPr="003015FD">
        <w:t xml:space="preserve"> </w:t>
      </w:r>
      <w:r w:rsidRPr="003015FD">
        <w:t>the</w:t>
      </w:r>
      <w:r w:rsidR="00975895" w:rsidRPr="003015FD">
        <w:t xml:space="preserve"> </w:t>
      </w:r>
      <w:r w:rsidRPr="003015FD">
        <w:t>work</w:t>
      </w:r>
      <w:r w:rsidR="00975895" w:rsidRPr="003015FD">
        <w:t xml:space="preserve"> </w:t>
      </w:r>
      <w:r w:rsidRPr="003015FD">
        <w:t>of</w:t>
      </w:r>
      <w:r w:rsidR="00975895" w:rsidRPr="003015FD">
        <w:t xml:space="preserve"> </w:t>
      </w:r>
      <w:r w:rsidRPr="003015FD">
        <w:t>these</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to</w:t>
      </w:r>
      <w:r w:rsidR="00975895" w:rsidRPr="003015FD">
        <w:t xml:space="preserve"> </w:t>
      </w:r>
      <w:r w:rsidRPr="003015FD">
        <w:t>grow</w:t>
      </w:r>
      <w:r w:rsidR="00975895" w:rsidRPr="003015FD">
        <w:t xml:space="preserve"> </w:t>
      </w:r>
      <w:r w:rsidRPr="003015FD">
        <w:t>their</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D645B7" w:rsidRPr="003015FD">
        <w:t>.</w:t>
      </w:r>
    </w:p>
    <w:bookmarkEnd w:id="37"/>
    <w:p w14:paraId="5BEECDE1" w14:textId="20FA0029" w:rsidR="008E0945" w:rsidRPr="003015FD" w:rsidRDefault="008E0945" w:rsidP="0002642E">
      <w:r w:rsidRPr="003015FD">
        <w:t>The</w:t>
      </w:r>
      <w:r w:rsidR="00975895" w:rsidRPr="003015FD">
        <w:t xml:space="preserve"> </w:t>
      </w:r>
      <w:r w:rsidRPr="003015FD">
        <w:t>Commission</w:t>
      </w:r>
      <w:r w:rsidR="00975895" w:rsidRPr="003015FD">
        <w:t xml:space="preserve"> </w:t>
      </w:r>
      <w:r w:rsidRPr="003015FD">
        <w:t>has</w:t>
      </w:r>
      <w:r w:rsidR="00975895" w:rsidRPr="003015FD">
        <w:t xml:space="preserve"> </w:t>
      </w:r>
      <w:r w:rsidRPr="003015FD">
        <w:t>made</w:t>
      </w:r>
      <w:r w:rsidR="00975895" w:rsidRPr="003015FD">
        <w:t xml:space="preserve"> </w:t>
      </w:r>
      <w:r w:rsidR="00394139">
        <w:t xml:space="preserve">it </w:t>
      </w:r>
      <w:r w:rsidR="00394139" w:rsidRPr="003015FD">
        <w:t xml:space="preserve">a strategic priority </w:t>
      </w:r>
      <w:r w:rsidR="00394139">
        <w:t xml:space="preserve">to </w:t>
      </w:r>
      <w:r w:rsidRPr="003015FD">
        <w:t>support</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on</w:t>
      </w:r>
      <w:r w:rsidR="00975895" w:rsidRPr="003015FD">
        <w:t xml:space="preserve"> </w:t>
      </w:r>
      <w:r w:rsidR="00394139">
        <w:t>their</w:t>
      </w:r>
      <w:r w:rsidR="00394139" w:rsidRPr="003015FD">
        <w:t xml:space="preserve"> </w:t>
      </w:r>
      <w:r w:rsidRPr="003015FD">
        <w:t>journey</w:t>
      </w:r>
      <w:r w:rsidR="00975895" w:rsidRPr="003015FD">
        <w:t xml:space="preserve"> </w:t>
      </w:r>
      <w:r w:rsidRPr="003015FD">
        <w:t>to</w:t>
      </w:r>
      <w:r w:rsidR="00975895" w:rsidRPr="003015FD">
        <w:t xml:space="preserve"> </w:t>
      </w:r>
      <w:r w:rsidRPr="003015FD">
        <w:t>embed</w:t>
      </w:r>
      <w:r w:rsidR="00975895" w:rsidRPr="003015FD">
        <w:t xml:space="preserve"> </w:t>
      </w:r>
      <w:r w:rsidRPr="003015FD">
        <w:t>a</w:t>
      </w:r>
      <w:r w:rsidR="00975895" w:rsidRPr="003015FD">
        <w:t xml:space="preserve"> </w:t>
      </w:r>
      <w:r w:rsidRPr="003015FD">
        <w:t>culture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p>
    <w:tbl>
      <w:tblPr>
        <w:tblStyle w:val="CustomTableblue"/>
        <w:tblW w:w="0" w:type="auto"/>
        <w:tblLayout w:type="fixed"/>
        <w:tblLook w:val="0420" w:firstRow="1" w:lastRow="0" w:firstColumn="0" w:lastColumn="0" w:noHBand="0" w:noVBand="1"/>
      </w:tblPr>
      <w:tblGrid>
        <w:gridCol w:w="4531"/>
        <w:gridCol w:w="4530"/>
      </w:tblGrid>
      <w:tr w:rsidR="008E0945" w:rsidRPr="003015FD" w14:paraId="66CBCA2C" w14:textId="77777777" w:rsidTr="0002642E">
        <w:trPr>
          <w:cnfStyle w:val="100000000000" w:firstRow="1" w:lastRow="0" w:firstColumn="0" w:lastColumn="0" w:oddVBand="0" w:evenVBand="0" w:oddHBand="0" w:evenHBand="0" w:firstRowFirstColumn="0" w:firstRowLastColumn="0" w:lastRowFirstColumn="0" w:lastRowLastColumn="0"/>
        </w:trPr>
        <w:tc>
          <w:tcPr>
            <w:tcW w:w="9061" w:type="dxa"/>
            <w:gridSpan w:val="2"/>
          </w:tcPr>
          <w:p w14:paraId="54F56FB8" w14:textId="39F27610" w:rsidR="008E0945" w:rsidRPr="003015FD" w:rsidRDefault="008E0945" w:rsidP="0002642E">
            <w:pPr>
              <w:pStyle w:val="TableBodyText"/>
            </w:pPr>
            <w:bookmarkStart w:id="38" w:name="_Toc519497332"/>
            <w:bookmarkStart w:id="39" w:name="_Toc522697044"/>
            <w:bookmarkStart w:id="40" w:name="_Toc497319959"/>
            <w:r w:rsidRPr="003015FD">
              <w:t>Benefits</w:t>
            </w:r>
            <w:r w:rsidR="00975895" w:rsidRPr="003015FD">
              <w:t xml:space="preserve"> </w:t>
            </w:r>
            <w:r w:rsidRPr="003015FD">
              <w:t>of</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p>
        </w:tc>
      </w:tr>
      <w:tr w:rsidR="008E0945" w:rsidRPr="00A96204" w14:paraId="2285424A" w14:textId="77777777" w:rsidTr="0002642E">
        <w:trPr>
          <w:cnfStyle w:val="000000100000" w:firstRow="0" w:lastRow="0" w:firstColumn="0" w:lastColumn="0" w:oddVBand="0" w:evenVBand="0" w:oddHBand="1" w:evenHBand="0" w:firstRowFirstColumn="0" w:firstRowLastColumn="0" w:lastRowFirstColumn="0" w:lastRowLastColumn="0"/>
        </w:trPr>
        <w:tc>
          <w:tcPr>
            <w:tcW w:w="4531" w:type="dxa"/>
          </w:tcPr>
          <w:p w14:paraId="3317DC24" w14:textId="3EF650C9" w:rsidR="008E0945" w:rsidRPr="00A96204" w:rsidRDefault="008E0945" w:rsidP="0002642E">
            <w:pPr>
              <w:pStyle w:val="TableBodyText"/>
            </w:pPr>
            <w:r w:rsidRPr="00A96204">
              <w:rPr>
                <w:szCs w:val="21"/>
              </w:rPr>
              <w:t>For</w:t>
            </w:r>
            <w:r w:rsidR="00975895" w:rsidRPr="00A96204">
              <w:rPr>
                <w:szCs w:val="21"/>
              </w:rPr>
              <w:t xml:space="preserve"> </w:t>
            </w:r>
            <w:r w:rsidRPr="00A96204">
              <w:rPr>
                <w:szCs w:val="21"/>
              </w:rPr>
              <w:t>government</w:t>
            </w:r>
          </w:p>
          <w:p w14:paraId="356528F8" w14:textId="41971073" w:rsidR="008E0945" w:rsidRPr="00B50D4E" w:rsidRDefault="008E0945" w:rsidP="0002642E">
            <w:pPr>
              <w:pStyle w:val="TableListBullet"/>
            </w:pPr>
            <w:r w:rsidRPr="0002642E">
              <w:rPr>
                <w:sz w:val="21"/>
              </w:rPr>
              <w:t>Builds</w:t>
            </w:r>
            <w:r w:rsidR="00975895" w:rsidRPr="0002642E">
              <w:rPr>
                <w:sz w:val="21"/>
              </w:rPr>
              <w:t xml:space="preserve"> </w:t>
            </w:r>
            <w:r w:rsidRPr="0002642E">
              <w:rPr>
                <w:sz w:val="21"/>
              </w:rPr>
              <w:t>relationship</w:t>
            </w:r>
            <w:r w:rsidR="00975895" w:rsidRPr="0002642E">
              <w:rPr>
                <w:sz w:val="21"/>
              </w:rPr>
              <w:t xml:space="preserve"> </w:t>
            </w:r>
            <w:r w:rsidRPr="0002642E">
              <w:rPr>
                <w:sz w:val="21"/>
              </w:rPr>
              <w:t>with</w:t>
            </w:r>
            <w:r w:rsidR="00975895" w:rsidRPr="0002642E">
              <w:rPr>
                <w:sz w:val="21"/>
              </w:rPr>
              <w:t xml:space="preserve"> </w:t>
            </w:r>
            <w:r w:rsidRPr="0002642E">
              <w:rPr>
                <w:sz w:val="21"/>
              </w:rPr>
              <w:t>the</w:t>
            </w:r>
            <w:r w:rsidR="00975895" w:rsidRPr="0002642E">
              <w:rPr>
                <w:sz w:val="21"/>
              </w:rPr>
              <w:t xml:space="preserve"> </w:t>
            </w:r>
            <w:r w:rsidRPr="0002642E">
              <w:rPr>
                <w:sz w:val="21"/>
              </w:rPr>
              <w:t>community</w:t>
            </w:r>
          </w:p>
          <w:p w14:paraId="04E18E69" w14:textId="126D798D" w:rsidR="008E0945" w:rsidRPr="00B50D4E" w:rsidRDefault="008E0945" w:rsidP="0002642E">
            <w:pPr>
              <w:pStyle w:val="TableListBullet"/>
            </w:pPr>
            <w:r w:rsidRPr="0002642E">
              <w:rPr>
                <w:sz w:val="21"/>
              </w:rPr>
              <w:t>Identifies</w:t>
            </w:r>
            <w:r w:rsidR="00975895" w:rsidRPr="0002642E">
              <w:rPr>
                <w:sz w:val="21"/>
              </w:rPr>
              <w:t xml:space="preserve"> </w:t>
            </w:r>
            <w:r w:rsidRPr="0002642E">
              <w:rPr>
                <w:sz w:val="21"/>
              </w:rPr>
              <w:t>problem</w:t>
            </w:r>
            <w:r w:rsidR="00975895" w:rsidRPr="0002642E">
              <w:rPr>
                <w:sz w:val="21"/>
              </w:rPr>
              <w:t xml:space="preserve"> </w:t>
            </w:r>
            <w:r w:rsidRPr="0002642E">
              <w:rPr>
                <w:sz w:val="21"/>
              </w:rPr>
              <w:t>areas</w:t>
            </w:r>
          </w:p>
          <w:p w14:paraId="5C20FD3A" w14:textId="4A015E1A" w:rsidR="008E0945" w:rsidRPr="00E43322" w:rsidRDefault="008E0945" w:rsidP="0002642E">
            <w:pPr>
              <w:pStyle w:val="TableListBullet"/>
            </w:pPr>
            <w:r w:rsidRPr="0002642E">
              <w:rPr>
                <w:sz w:val="21"/>
              </w:rPr>
              <w:t>Improves</w:t>
            </w:r>
            <w:r w:rsidR="00975895" w:rsidRPr="0002642E">
              <w:rPr>
                <w:sz w:val="21"/>
              </w:rPr>
              <w:t xml:space="preserve"> </w:t>
            </w:r>
            <w:r w:rsidRPr="0002642E">
              <w:rPr>
                <w:sz w:val="21"/>
              </w:rPr>
              <w:t>democratic</w:t>
            </w:r>
            <w:r w:rsidR="00975895" w:rsidRPr="0002642E">
              <w:rPr>
                <w:sz w:val="21"/>
              </w:rPr>
              <w:t xml:space="preserve"> </w:t>
            </w:r>
            <w:r w:rsidRPr="0002642E">
              <w:rPr>
                <w:sz w:val="21"/>
              </w:rPr>
              <w:t>legitimacy</w:t>
            </w:r>
            <w:r w:rsidR="00975895" w:rsidRPr="0002642E">
              <w:rPr>
                <w:sz w:val="21"/>
              </w:rPr>
              <w:t xml:space="preserve"> </w:t>
            </w:r>
            <w:r w:rsidRPr="0002642E">
              <w:rPr>
                <w:sz w:val="21"/>
              </w:rPr>
              <w:t>by</w:t>
            </w:r>
            <w:r w:rsidR="00975895" w:rsidRPr="0002642E">
              <w:rPr>
                <w:sz w:val="21"/>
              </w:rPr>
              <w:t xml:space="preserve"> </w:t>
            </w:r>
            <w:r w:rsidRPr="0002642E">
              <w:rPr>
                <w:sz w:val="21"/>
              </w:rPr>
              <w:t>demonstrating</w:t>
            </w:r>
            <w:r w:rsidR="00975895" w:rsidRPr="0002642E">
              <w:rPr>
                <w:sz w:val="21"/>
              </w:rPr>
              <w:t xml:space="preserve"> </w:t>
            </w:r>
            <w:r w:rsidRPr="0002642E">
              <w:rPr>
                <w:sz w:val="21"/>
              </w:rPr>
              <w:t>to</w:t>
            </w:r>
            <w:r w:rsidR="00975895" w:rsidRPr="0002642E">
              <w:rPr>
                <w:sz w:val="21"/>
              </w:rPr>
              <w:t xml:space="preserve"> </w:t>
            </w:r>
            <w:r w:rsidRPr="0002642E">
              <w:rPr>
                <w:sz w:val="21"/>
              </w:rPr>
              <w:t>the</w:t>
            </w:r>
            <w:r w:rsidR="00975895" w:rsidRPr="0002642E">
              <w:rPr>
                <w:sz w:val="21"/>
              </w:rPr>
              <w:t xml:space="preserve"> </w:t>
            </w:r>
            <w:r w:rsidRPr="0002642E">
              <w:rPr>
                <w:sz w:val="21"/>
              </w:rPr>
              <w:t>Victorian</w:t>
            </w:r>
            <w:r w:rsidR="00975895" w:rsidRPr="0002642E">
              <w:rPr>
                <w:sz w:val="21"/>
              </w:rPr>
              <w:t xml:space="preserve"> </w:t>
            </w:r>
            <w:r w:rsidRPr="0002642E">
              <w:rPr>
                <w:sz w:val="21"/>
              </w:rPr>
              <w:t>community</w:t>
            </w:r>
            <w:r w:rsidR="00975895" w:rsidRPr="0002642E">
              <w:rPr>
                <w:sz w:val="21"/>
              </w:rPr>
              <w:t xml:space="preserve"> </w:t>
            </w:r>
            <w:r w:rsidRPr="0002642E">
              <w:rPr>
                <w:sz w:val="21"/>
              </w:rPr>
              <w:t>a</w:t>
            </w:r>
            <w:r w:rsidR="00975895" w:rsidRPr="0002642E">
              <w:rPr>
                <w:sz w:val="21"/>
              </w:rPr>
              <w:t xml:space="preserve"> </w:t>
            </w:r>
            <w:r w:rsidRPr="0002642E">
              <w:rPr>
                <w:sz w:val="21"/>
              </w:rPr>
              <w:t>genuine</w:t>
            </w:r>
            <w:r w:rsidR="00975895" w:rsidRPr="0002642E">
              <w:rPr>
                <w:sz w:val="21"/>
              </w:rPr>
              <w:t xml:space="preserve"> </w:t>
            </w:r>
            <w:r w:rsidRPr="0002642E">
              <w:rPr>
                <w:sz w:val="21"/>
              </w:rPr>
              <w:t>commitment</w:t>
            </w:r>
            <w:r w:rsidR="00975895" w:rsidRPr="0002642E">
              <w:rPr>
                <w:sz w:val="21"/>
              </w:rPr>
              <w:t xml:space="preserve"> </w:t>
            </w:r>
            <w:r w:rsidRPr="0002642E">
              <w:rPr>
                <w:sz w:val="21"/>
              </w:rPr>
              <w:t>to</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p>
          <w:p w14:paraId="789F84EA" w14:textId="1C0F1C78" w:rsidR="008E0945" w:rsidRPr="00E43322" w:rsidRDefault="008E0945" w:rsidP="0002642E">
            <w:pPr>
              <w:pStyle w:val="TableListBullet"/>
            </w:pPr>
            <w:r w:rsidRPr="0002642E">
              <w:rPr>
                <w:sz w:val="21"/>
              </w:rPr>
              <w:t>Connects</w:t>
            </w:r>
            <w:r w:rsidR="00975895" w:rsidRPr="0002642E">
              <w:rPr>
                <w:sz w:val="21"/>
              </w:rPr>
              <w:t xml:space="preserve"> </w:t>
            </w:r>
            <w:r w:rsidRPr="0002642E">
              <w:rPr>
                <w:sz w:val="21"/>
              </w:rPr>
              <w:t>Victoria</w:t>
            </w:r>
            <w:r w:rsidR="00975895" w:rsidRPr="0002642E">
              <w:rPr>
                <w:sz w:val="21"/>
              </w:rPr>
              <w:t xml:space="preserve"> </w:t>
            </w:r>
            <w:r w:rsidRPr="0002642E">
              <w:rPr>
                <w:sz w:val="21"/>
              </w:rPr>
              <w:t>with</w:t>
            </w:r>
            <w:r w:rsidR="00975895" w:rsidRPr="0002642E">
              <w:rPr>
                <w:sz w:val="21"/>
              </w:rPr>
              <w:t xml:space="preserve"> </w:t>
            </w:r>
            <w:r w:rsidRPr="0002642E">
              <w:rPr>
                <w:sz w:val="21"/>
              </w:rPr>
              <w:t>international</w:t>
            </w:r>
            <w:r w:rsidR="00975895" w:rsidRPr="0002642E">
              <w:rPr>
                <w:sz w:val="21"/>
              </w:rPr>
              <w:t xml:space="preserve"> </w:t>
            </w:r>
            <w:r w:rsidRPr="0002642E">
              <w:rPr>
                <w:sz w:val="21"/>
              </w:rPr>
              <w:t>efforts</w:t>
            </w:r>
            <w:r w:rsidR="00975895" w:rsidRPr="0002642E">
              <w:rPr>
                <w:sz w:val="21"/>
              </w:rPr>
              <w:t xml:space="preserve"> </w:t>
            </w:r>
            <w:r w:rsidRPr="0002642E">
              <w:rPr>
                <w:sz w:val="21"/>
              </w:rPr>
              <w:t>to</w:t>
            </w:r>
            <w:r w:rsidR="00975895" w:rsidRPr="0002642E">
              <w:rPr>
                <w:sz w:val="21"/>
              </w:rPr>
              <w:t xml:space="preserve"> </w:t>
            </w:r>
            <w:r w:rsidRPr="0002642E">
              <w:rPr>
                <w:sz w:val="21"/>
              </w:rPr>
              <w:t>translate</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goals</w:t>
            </w:r>
            <w:r w:rsidR="00975895" w:rsidRPr="0002642E">
              <w:rPr>
                <w:sz w:val="21"/>
              </w:rPr>
              <w:t xml:space="preserve"> </w:t>
            </w:r>
            <w:r w:rsidRPr="0002642E">
              <w:rPr>
                <w:sz w:val="21"/>
              </w:rPr>
              <w:t>and</w:t>
            </w:r>
            <w:r w:rsidR="00975895" w:rsidRPr="0002642E">
              <w:rPr>
                <w:sz w:val="21"/>
              </w:rPr>
              <w:t xml:space="preserve"> </w:t>
            </w:r>
            <w:r w:rsidRPr="0002642E">
              <w:rPr>
                <w:sz w:val="21"/>
              </w:rPr>
              <w:t>standards</w:t>
            </w:r>
            <w:r w:rsidR="00975895" w:rsidRPr="0002642E">
              <w:rPr>
                <w:sz w:val="21"/>
              </w:rPr>
              <w:t xml:space="preserve"> </w:t>
            </w:r>
            <w:r w:rsidRPr="0002642E">
              <w:rPr>
                <w:sz w:val="21"/>
              </w:rPr>
              <w:t>into</w:t>
            </w:r>
            <w:r w:rsidR="00975895" w:rsidRPr="0002642E">
              <w:rPr>
                <w:sz w:val="21"/>
              </w:rPr>
              <w:t xml:space="preserve"> </w:t>
            </w:r>
            <w:r w:rsidRPr="0002642E">
              <w:rPr>
                <w:sz w:val="21"/>
              </w:rPr>
              <w:t>results</w:t>
            </w:r>
            <w:r w:rsidR="00975895" w:rsidRPr="0002642E">
              <w:rPr>
                <w:sz w:val="21"/>
              </w:rPr>
              <w:t xml:space="preserve"> </w:t>
            </w:r>
            <w:r w:rsidRPr="0002642E">
              <w:rPr>
                <w:sz w:val="21"/>
              </w:rPr>
              <w:t>for</w:t>
            </w:r>
            <w:r w:rsidR="00975895" w:rsidRPr="0002642E">
              <w:rPr>
                <w:sz w:val="21"/>
              </w:rPr>
              <w:t xml:space="preserve"> </w:t>
            </w:r>
            <w:r w:rsidRPr="0002642E">
              <w:rPr>
                <w:sz w:val="21"/>
              </w:rPr>
              <w:t>the</w:t>
            </w:r>
            <w:r w:rsidR="00975895" w:rsidRPr="0002642E">
              <w:rPr>
                <w:sz w:val="21"/>
              </w:rPr>
              <w:t xml:space="preserve"> </w:t>
            </w:r>
            <w:r w:rsidRPr="0002642E">
              <w:rPr>
                <w:sz w:val="21"/>
              </w:rPr>
              <w:t>people</w:t>
            </w:r>
            <w:r w:rsidR="00975895" w:rsidRPr="0002642E">
              <w:rPr>
                <w:sz w:val="21"/>
              </w:rPr>
              <w:t xml:space="preserve"> </w:t>
            </w:r>
            <w:r w:rsidRPr="0002642E">
              <w:rPr>
                <w:sz w:val="21"/>
              </w:rPr>
              <w:t>of</w:t>
            </w:r>
            <w:r w:rsidR="00975895" w:rsidRPr="0002642E">
              <w:rPr>
                <w:sz w:val="21"/>
              </w:rPr>
              <w:t xml:space="preserve"> </w:t>
            </w:r>
            <w:r w:rsidRPr="0002642E">
              <w:rPr>
                <w:sz w:val="21"/>
              </w:rPr>
              <w:t>Victoria</w:t>
            </w:r>
          </w:p>
          <w:p w14:paraId="1ABB05F6" w14:textId="72E2CE3D" w:rsidR="008E0945" w:rsidRPr="00A96204" w:rsidRDefault="008E0945" w:rsidP="005B74F5">
            <w:pPr>
              <w:pStyle w:val="TableListBullet"/>
              <w:rPr>
                <w:sz w:val="21"/>
                <w:szCs w:val="21"/>
              </w:rPr>
            </w:pPr>
            <w:r w:rsidRPr="0002642E">
              <w:rPr>
                <w:sz w:val="21"/>
              </w:rPr>
              <w:t>Reinforces</w:t>
            </w:r>
            <w:r w:rsidR="00975895" w:rsidRPr="0002642E">
              <w:rPr>
                <w:sz w:val="21"/>
              </w:rPr>
              <w:t xml:space="preserve"> </w:t>
            </w:r>
            <w:r w:rsidRPr="0002642E">
              <w:rPr>
                <w:sz w:val="21"/>
              </w:rPr>
              <w:t>other</w:t>
            </w:r>
            <w:r w:rsidR="00975895" w:rsidRPr="0002642E">
              <w:rPr>
                <w:sz w:val="21"/>
              </w:rPr>
              <w:t xml:space="preserve"> </w:t>
            </w:r>
            <w:r w:rsidRPr="0002642E">
              <w:rPr>
                <w:sz w:val="21"/>
              </w:rPr>
              <w:t>work,</w:t>
            </w:r>
            <w:r w:rsidR="00975895" w:rsidRPr="0002642E">
              <w:rPr>
                <w:sz w:val="21"/>
              </w:rPr>
              <w:t xml:space="preserve"> </w:t>
            </w:r>
            <w:r w:rsidRPr="0002642E">
              <w:rPr>
                <w:sz w:val="21"/>
              </w:rPr>
              <w:t>for</w:t>
            </w:r>
            <w:r w:rsidR="00975895" w:rsidRPr="0002642E">
              <w:rPr>
                <w:sz w:val="21"/>
              </w:rPr>
              <w:t xml:space="preserve"> </w:t>
            </w:r>
            <w:r w:rsidRPr="0002642E">
              <w:rPr>
                <w:sz w:val="21"/>
              </w:rPr>
              <w:t>example</w:t>
            </w:r>
            <w:r w:rsidR="00394139" w:rsidRPr="0002642E">
              <w:rPr>
                <w:sz w:val="21"/>
              </w:rPr>
              <w:t>,</w:t>
            </w:r>
            <w:r w:rsidR="00975895" w:rsidRPr="0002642E">
              <w:rPr>
                <w:sz w:val="21"/>
              </w:rPr>
              <w:t xml:space="preserve"> </w:t>
            </w:r>
            <w:r w:rsidRPr="0002642E">
              <w:rPr>
                <w:sz w:val="21"/>
              </w:rPr>
              <w:t>safety,</w:t>
            </w:r>
            <w:r w:rsidR="00975895" w:rsidRPr="0002642E">
              <w:rPr>
                <w:sz w:val="21"/>
              </w:rPr>
              <w:t xml:space="preserve"> </w:t>
            </w:r>
            <w:r w:rsidRPr="0002642E">
              <w:rPr>
                <w:sz w:val="21"/>
              </w:rPr>
              <w:t>equality,</w:t>
            </w:r>
            <w:r w:rsidR="00975895" w:rsidRPr="0002642E">
              <w:rPr>
                <w:sz w:val="21"/>
              </w:rPr>
              <w:t xml:space="preserve"> </w:t>
            </w:r>
            <w:r w:rsidRPr="0002642E">
              <w:rPr>
                <w:sz w:val="21"/>
              </w:rPr>
              <w:t>multiculturalism</w:t>
            </w:r>
          </w:p>
        </w:tc>
        <w:tc>
          <w:tcPr>
            <w:tcW w:w="4530" w:type="dxa"/>
          </w:tcPr>
          <w:p w14:paraId="13E07913" w14:textId="3183FA6A" w:rsidR="008E0945" w:rsidRPr="00A96204" w:rsidRDefault="008E0945" w:rsidP="0002642E">
            <w:pPr>
              <w:pStyle w:val="TableBodyText"/>
            </w:pPr>
            <w:r w:rsidRPr="00A96204">
              <w:rPr>
                <w:szCs w:val="21"/>
              </w:rPr>
              <w:t>For</w:t>
            </w:r>
            <w:r w:rsidR="00975895" w:rsidRPr="00A96204">
              <w:rPr>
                <w:szCs w:val="21"/>
              </w:rPr>
              <w:t xml:space="preserve"> </w:t>
            </w:r>
            <w:r w:rsidRPr="00A96204">
              <w:rPr>
                <w:szCs w:val="21"/>
              </w:rPr>
              <w:t>community</w:t>
            </w:r>
            <w:r w:rsidR="00975895" w:rsidRPr="00A96204">
              <w:rPr>
                <w:szCs w:val="21"/>
              </w:rPr>
              <w:t xml:space="preserve"> </w:t>
            </w:r>
            <w:r w:rsidRPr="00A96204">
              <w:rPr>
                <w:szCs w:val="21"/>
              </w:rPr>
              <w:t>members</w:t>
            </w:r>
            <w:r w:rsidR="00975895" w:rsidRPr="00A96204">
              <w:rPr>
                <w:szCs w:val="21"/>
              </w:rPr>
              <w:t xml:space="preserve"> </w:t>
            </w:r>
            <w:r w:rsidRPr="00A96204">
              <w:rPr>
                <w:szCs w:val="21"/>
              </w:rPr>
              <w:t>and</w:t>
            </w:r>
            <w:r w:rsidR="00975895" w:rsidRPr="00A96204">
              <w:rPr>
                <w:szCs w:val="21"/>
              </w:rPr>
              <w:t xml:space="preserve"> </w:t>
            </w:r>
            <w:r w:rsidRPr="00A96204">
              <w:rPr>
                <w:szCs w:val="21"/>
              </w:rPr>
              <w:t>advocates</w:t>
            </w:r>
          </w:p>
          <w:p w14:paraId="2591850D" w14:textId="2F2A8EB9" w:rsidR="008E0945" w:rsidRPr="00E43322" w:rsidRDefault="008E0945" w:rsidP="0002642E">
            <w:pPr>
              <w:pStyle w:val="TableListBullet"/>
            </w:pPr>
            <w:r w:rsidRPr="0002642E">
              <w:rPr>
                <w:sz w:val="21"/>
              </w:rPr>
              <w:t>Assists</w:t>
            </w:r>
            <w:r w:rsidR="00975895" w:rsidRPr="0002642E">
              <w:rPr>
                <w:sz w:val="21"/>
              </w:rPr>
              <w:t xml:space="preserve"> </w:t>
            </w:r>
            <w:r w:rsidRPr="0002642E">
              <w:rPr>
                <w:sz w:val="21"/>
              </w:rPr>
              <w:t>government</w:t>
            </w:r>
            <w:r w:rsidR="00975895" w:rsidRPr="0002642E">
              <w:rPr>
                <w:sz w:val="21"/>
              </w:rPr>
              <w:t xml:space="preserve"> </w:t>
            </w:r>
            <w:r w:rsidRPr="0002642E">
              <w:rPr>
                <w:sz w:val="21"/>
              </w:rPr>
              <w:t>to</w:t>
            </w:r>
            <w:r w:rsidR="00975895" w:rsidRPr="0002642E">
              <w:rPr>
                <w:sz w:val="21"/>
              </w:rPr>
              <w:t xml:space="preserve"> </w:t>
            </w:r>
            <w:r w:rsidRPr="0002642E">
              <w:rPr>
                <w:sz w:val="21"/>
              </w:rPr>
              <w:t>make</w:t>
            </w:r>
            <w:r w:rsidR="00975895" w:rsidRPr="0002642E">
              <w:rPr>
                <w:sz w:val="21"/>
              </w:rPr>
              <w:t xml:space="preserve"> </w:t>
            </w:r>
            <w:r w:rsidRPr="0002642E">
              <w:rPr>
                <w:sz w:val="21"/>
              </w:rPr>
              <w:t>decisions</w:t>
            </w:r>
            <w:r w:rsidR="00975895" w:rsidRPr="0002642E">
              <w:rPr>
                <w:sz w:val="21"/>
              </w:rPr>
              <w:t xml:space="preserve"> </w:t>
            </w:r>
            <w:r w:rsidRPr="0002642E">
              <w:rPr>
                <w:sz w:val="21"/>
              </w:rPr>
              <w:t>that</w:t>
            </w:r>
            <w:r w:rsidR="00975895" w:rsidRPr="0002642E">
              <w:rPr>
                <w:sz w:val="21"/>
              </w:rPr>
              <w:t xml:space="preserve"> </w:t>
            </w:r>
            <w:r w:rsidRPr="0002642E">
              <w:rPr>
                <w:sz w:val="21"/>
              </w:rPr>
              <w:t>consider</w:t>
            </w:r>
            <w:r w:rsidR="00975895" w:rsidRPr="0002642E">
              <w:rPr>
                <w:sz w:val="21"/>
              </w:rPr>
              <w:t xml:space="preserve"> </w:t>
            </w:r>
            <w:r w:rsidRPr="0002642E">
              <w:rPr>
                <w:sz w:val="21"/>
              </w:rPr>
              <w:t>rights</w:t>
            </w:r>
          </w:p>
          <w:p w14:paraId="5AAA1192" w14:textId="0EB21D5C" w:rsidR="008E0945" w:rsidRPr="00E43322" w:rsidRDefault="008E0945" w:rsidP="0002642E">
            <w:pPr>
              <w:pStyle w:val="TableListBullet"/>
            </w:pPr>
            <w:r w:rsidRPr="0002642E">
              <w:rPr>
                <w:sz w:val="21"/>
              </w:rPr>
              <w:t>Establishes</w:t>
            </w:r>
            <w:r w:rsidR="00975895" w:rsidRPr="0002642E">
              <w:rPr>
                <w:sz w:val="21"/>
              </w:rPr>
              <w:t xml:space="preserve"> </w:t>
            </w:r>
            <w:r w:rsidRPr="0002642E">
              <w:rPr>
                <w:sz w:val="21"/>
              </w:rPr>
              <w:t>clear</w:t>
            </w:r>
            <w:r w:rsidR="00975895" w:rsidRPr="0002642E">
              <w:rPr>
                <w:sz w:val="21"/>
              </w:rPr>
              <w:t xml:space="preserve"> </w:t>
            </w:r>
            <w:r w:rsidRPr="0002642E">
              <w:rPr>
                <w:sz w:val="21"/>
              </w:rPr>
              <w:t>non-negotiable</w:t>
            </w:r>
            <w:r w:rsidR="00975895" w:rsidRPr="0002642E">
              <w:rPr>
                <w:sz w:val="21"/>
              </w:rPr>
              <w:t xml:space="preserve"> </w:t>
            </w:r>
            <w:r w:rsidRPr="0002642E">
              <w:rPr>
                <w:sz w:val="21"/>
              </w:rPr>
              <w:t>legal</w:t>
            </w:r>
            <w:r w:rsidR="00975895" w:rsidRPr="0002642E">
              <w:rPr>
                <w:sz w:val="21"/>
              </w:rPr>
              <w:t xml:space="preserve"> </w:t>
            </w:r>
            <w:r w:rsidRPr="0002642E">
              <w:rPr>
                <w:sz w:val="21"/>
              </w:rPr>
              <w:t>standards</w:t>
            </w:r>
          </w:p>
          <w:p w14:paraId="497103AD" w14:textId="3CC36618" w:rsidR="008E0945" w:rsidRPr="00E43322" w:rsidRDefault="008E0945" w:rsidP="0002642E">
            <w:pPr>
              <w:pStyle w:val="TableListBullet"/>
            </w:pPr>
            <w:r w:rsidRPr="0002642E">
              <w:rPr>
                <w:sz w:val="21"/>
              </w:rPr>
              <w:t>Strengthens</w:t>
            </w:r>
            <w:r w:rsidR="00975895" w:rsidRPr="0002642E">
              <w:rPr>
                <w:sz w:val="21"/>
              </w:rPr>
              <w:t xml:space="preserve"> </w:t>
            </w:r>
            <w:r w:rsidRPr="0002642E">
              <w:rPr>
                <w:sz w:val="21"/>
              </w:rPr>
              <w:t>cases</w:t>
            </w:r>
            <w:r w:rsidR="00975895" w:rsidRPr="0002642E">
              <w:rPr>
                <w:sz w:val="21"/>
              </w:rPr>
              <w:t xml:space="preserve"> </w:t>
            </w:r>
            <w:r w:rsidRPr="0002642E">
              <w:rPr>
                <w:sz w:val="21"/>
              </w:rPr>
              <w:t>where</w:t>
            </w:r>
            <w:r w:rsidR="00975895" w:rsidRPr="0002642E">
              <w:rPr>
                <w:sz w:val="21"/>
              </w:rPr>
              <w:t xml:space="preserve"> </w:t>
            </w:r>
            <w:r w:rsidRPr="0002642E">
              <w:rPr>
                <w:sz w:val="21"/>
              </w:rPr>
              <w:t>change</w:t>
            </w:r>
            <w:r w:rsidR="00975895" w:rsidRPr="0002642E">
              <w:rPr>
                <w:sz w:val="21"/>
              </w:rPr>
              <w:t xml:space="preserve"> </w:t>
            </w:r>
            <w:r w:rsidRPr="0002642E">
              <w:rPr>
                <w:sz w:val="21"/>
              </w:rPr>
              <w:t>is</w:t>
            </w:r>
            <w:r w:rsidR="00975895" w:rsidRPr="0002642E">
              <w:rPr>
                <w:sz w:val="21"/>
              </w:rPr>
              <w:t xml:space="preserve"> </w:t>
            </w:r>
            <w:r w:rsidRPr="0002642E">
              <w:rPr>
                <w:sz w:val="21"/>
              </w:rPr>
              <w:t>needed</w:t>
            </w:r>
          </w:p>
          <w:p w14:paraId="0FA6E46F" w14:textId="720BA7C4" w:rsidR="008E0945" w:rsidRPr="00E43322" w:rsidRDefault="008E0945" w:rsidP="0002642E">
            <w:pPr>
              <w:pStyle w:val="TableListBullet"/>
            </w:pPr>
            <w:r w:rsidRPr="0002642E">
              <w:rPr>
                <w:sz w:val="21"/>
              </w:rPr>
              <w:t>Empowers</w:t>
            </w:r>
            <w:r w:rsidR="00975895" w:rsidRPr="0002642E">
              <w:rPr>
                <w:sz w:val="21"/>
              </w:rPr>
              <w:t xml:space="preserve"> </w:t>
            </w:r>
            <w:r w:rsidRPr="0002642E">
              <w:rPr>
                <w:sz w:val="21"/>
              </w:rPr>
              <w:t>individuals</w:t>
            </w:r>
          </w:p>
          <w:p w14:paraId="10962EF9" w14:textId="621D1734" w:rsidR="008E0945" w:rsidRPr="00E43322" w:rsidRDefault="008E0945" w:rsidP="0002642E">
            <w:pPr>
              <w:pStyle w:val="TableListBullet"/>
            </w:pPr>
            <w:r w:rsidRPr="0002642E">
              <w:rPr>
                <w:sz w:val="21"/>
              </w:rPr>
              <w:t>Contributes</w:t>
            </w:r>
            <w:r w:rsidR="00975895" w:rsidRPr="0002642E">
              <w:rPr>
                <w:sz w:val="21"/>
              </w:rPr>
              <w:t xml:space="preserve"> </w:t>
            </w:r>
            <w:r w:rsidRPr="0002642E">
              <w:rPr>
                <w:sz w:val="21"/>
              </w:rPr>
              <w:t>to</w:t>
            </w:r>
            <w:r w:rsidR="00975895" w:rsidRPr="0002642E">
              <w:rPr>
                <w:sz w:val="21"/>
              </w:rPr>
              <w:t xml:space="preserve"> </w:t>
            </w:r>
            <w:r w:rsidRPr="0002642E">
              <w:rPr>
                <w:sz w:val="21"/>
              </w:rPr>
              <w:t>a</w:t>
            </w:r>
            <w:r w:rsidR="00975895" w:rsidRPr="0002642E">
              <w:rPr>
                <w:sz w:val="21"/>
              </w:rPr>
              <w:t xml:space="preserve"> </w:t>
            </w:r>
            <w:r w:rsidRPr="0002642E">
              <w:rPr>
                <w:sz w:val="21"/>
              </w:rPr>
              <w:t>fairer</w:t>
            </w:r>
            <w:r w:rsidR="00975895" w:rsidRPr="0002642E">
              <w:rPr>
                <w:sz w:val="21"/>
              </w:rPr>
              <w:t xml:space="preserve"> </w:t>
            </w:r>
            <w:r w:rsidRPr="0002642E">
              <w:rPr>
                <w:sz w:val="21"/>
              </w:rPr>
              <w:t>and</w:t>
            </w:r>
            <w:r w:rsidR="00975895" w:rsidRPr="0002642E">
              <w:rPr>
                <w:sz w:val="21"/>
              </w:rPr>
              <w:t xml:space="preserve"> </w:t>
            </w:r>
            <w:r w:rsidRPr="0002642E">
              <w:rPr>
                <w:sz w:val="21"/>
              </w:rPr>
              <w:t>more</w:t>
            </w:r>
            <w:r w:rsidR="00975895" w:rsidRPr="0002642E">
              <w:rPr>
                <w:sz w:val="21"/>
              </w:rPr>
              <w:t xml:space="preserve"> </w:t>
            </w:r>
            <w:r w:rsidRPr="0002642E">
              <w:rPr>
                <w:sz w:val="21"/>
              </w:rPr>
              <w:t>inclusive</w:t>
            </w:r>
            <w:r w:rsidR="00975895" w:rsidRPr="0002642E">
              <w:rPr>
                <w:sz w:val="21"/>
              </w:rPr>
              <w:t xml:space="preserve"> </w:t>
            </w:r>
            <w:r w:rsidRPr="0002642E">
              <w:rPr>
                <w:sz w:val="21"/>
              </w:rPr>
              <w:t>society</w:t>
            </w:r>
          </w:p>
          <w:p w14:paraId="6C94C638" w14:textId="11101C5B" w:rsidR="008E0945" w:rsidRPr="00A96204" w:rsidRDefault="008E0945" w:rsidP="005B74F5">
            <w:pPr>
              <w:pStyle w:val="TableListBullet"/>
              <w:rPr>
                <w:sz w:val="21"/>
                <w:szCs w:val="21"/>
              </w:rPr>
            </w:pPr>
            <w:r w:rsidRPr="0002642E">
              <w:rPr>
                <w:sz w:val="21"/>
              </w:rPr>
              <w:t>Encourages</w:t>
            </w:r>
            <w:r w:rsidR="00975895" w:rsidRPr="0002642E">
              <w:rPr>
                <w:sz w:val="21"/>
              </w:rPr>
              <w:t xml:space="preserve"> </w:t>
            </w:r>
            <w:r w:rsidRPr="0002642E">
              <w:rPr>
                <w:sz w:val="21"/>
              </w:rPr>
              <w:t>community</w:t>
            </w:r>
            <w:r w:rsidR="00975895" w:rsidRPr="0002642E">
              <w:rPr>
                <w:sz w:val="21"/>
              </w:rPr>
              <w:t xml:space="preserve"> </w:t>
            </w:r>
            <w:r w:rsidRPr="0002642E">
              <w:rPr>
                <w:sz w:val="21"/>
              </w:rPr>
              <w:t>participation</w:t>
            </w:r>
            <w:r w:rsidR="00975895" w:rsidRPr="0002642E">
              <w:rPr>
                <w:sz w:val="21"/>
              </w:rPr>
              <w:t xml:space="preserve"> </w:t>
            </w:r>
            <w:r w:rsidRPr="0002642E">
              <w:rPr>
                <w:sz w:val="21"/>
              </w:rPr>
              <w:t>in</w:t>
            </w:r>
            <w:r w:rsidR="00975895" w:rsidRPr="0002642E">
              <w:rPr>
                <w:sz w:val="21"/>
              </w:rPr>
              <w:t xml:space="preserve"> </w:t>
            </w:r>
            <w:r w:rsidRPr="0002642E">
              <w:rPr>
                <w:sz w:val="21"/>
              </w:rPr>
              <w:t>decision-making</w:t>
            </w:r>
          </w:p>
        </w:tc>
      </w:tr>
      <w:tr w:rsidR="008E0945" w:rsidRPr="00A96204" w14:paraId="015FB55A" w14:textId="77777777" w:rsidTr="0002642E">
        <w:trPr>
          <w:cnfStyle w:val="000000010000" w:firstRow="0" w:lastRow="0" w:firstColumn="0" w:lastColumn="0" w:oddVBand="0" w:evenVBand="0" w:oddHBand="0" w:evenHBand="1" w:firstRowFirstColumn="0" w:firstRowLastColumn="0" w:lastRowFirstColumn="0" w:lastRowLastColumn="0"/>
        </w:trPr>
        <w:tc>
          <w:tcPr>
            <w:tcW w:w="4531" w:type="dxa"/>
          </w:tcPr>
          <w:p w14:paraId="6D4CD2BE" w14:textId="02C3824A" w:rsidR="008E0945" w:rsidRPr="00A96204" w:rsidRDefault="008E0945" w:rsidP="0002642E">
            <w:pPr>
              <w:pStyle w:val="TableBodyText"/>
            </w:pPr>
            <w:r w:rsidRPr="00A96204">
              <w:rPr>
                <w:szCs w:val="21"/>
              </w:rPr>
              <w:t>For</w:t>
            </w:r>
            <w:r w:rsidR="00975895" w:rsidRPr="00A96204">
              <w:rPr>
                <w:szCs w:val="21"/>
              </w:rPr>
              <w:t xml:space="preserve"> </w:t>
            </w:r>
            <w:r w:rsidRPr="00A96204">
              <w:rPr>
                <w:szCs w:val="21"/>
              </w:rPr>
              <w:t>public</w:t>
            </w:r>
            <w:r w:rsidR="00975895" w:rsidRPr="00A96204">
              <w:rPr>
                <w:szCs w:val="21"/>
              </w:rPr>
              <w:t xml:space="preserve"> </w:t>
            </w:r>
            <w:r w:rsidRPr="00A96204">
              <w:rPr>
                <w:szCs w:val="21"/>
              </w:rPr>
              <w:t>authorities</w:t>
            </w:r>
          </w:p>
          <w:p w14:paraId="373DB644" w14:textId="0BC867EF" w:rsidR="008E0945" w:rsidRPr="00E43322" w:rsidRDefault="008E0945" w:rsidP="0002642E">
            <w:pPr>
              <w:pStyle w:val="TableListBullet"/>
            </w:pPr>
            <w:r w:rsidRPr="0002642E">
              <w:rPr>
                <w:sz w:val="21"/>
              </w:rPr>
              <w:t>Improves</w:t>
            </w:r>
            <w:r w:rsidR="00975895" w:rsidRPr="0002642E">
              <w:rPr>
                <w:sz w:val="21"/>
              </w:rPr>
              <w:t xml:space="preserve"> </w:t>
            </w:r>
            <w:r w:rsidRPr="0002642E">
              <w:rPr>
                <w:sz w:val="21"/>
              </w:rPr>
              <w:t>quality</w:t>
            </w:r>
            <w:r w:rsidR="00975895" w:rsidRPr="0002642E">
              <w:rPr>
                <w:sz w:val="21"/>
              </w:rPr>
              <w:t xml:space="preserve"> </w:t>
            </w:r>
            <w:r w:rsidRPr="0002642E">
              <w:rPr>
                <w:sz w:val="21"/>
              </w:rPr>
              <w:t>of</w:t>
            </w:r>
            <w:r w:rsidR="00975895" w:rsidRPr="0002642E">
              <w:rPr>
                <w:sz w:val="21"/>
              </w:rPr>
              <w:t xml:space="preserve"> </w:t>
            </w:r>
            <w:r w:rsidRPr="0002642E">
              <w:rPr>
                <w:sz w:val="21"/>
              </w:rPr>
              <w:t>service</w:t>
            </w:r>
            <w:r w:rsidR="00975895" w:rsidRPr="0002642E">
              <w:rPr>
                <w:sz w:val="21"/>
              </w:rPr>
              <w:t xml:space="preserve"> </w:t>
            </w:r>
            <w:r w:rsidRPr="0002642E">
              <w:rPr>
                <w:sz w:val="21"/>
              </w:rPr>
              <w:t>design,</w:t>
            </w:r>
            <w:r w:rsidR="00975895" w:rsidRPr="0002642E">
              <w:rPr>
                <w:sz w:val="21"/>
              </w:rPr>
              <w:t xml:space="preserve"> </w:t>
            </w:r>
            <w:r w:rsidRPr="0002642E">
              <w:rPr>
                <w:sz w:val="21"/>
              </w:rPr>
              <w:t>in</w:t>
            </w:r>
            <w:r w:rsidR="00975895" w:rsidRPr="0002642E">
              <w:rPr>
                <w:sz w:val="21"/>
              </w:rPr>
              <w:t xml:space="preserve"> </w:t>
            </w:r>
            <w:r w:rsidRPr="0002642E">
              <w:rPr>
                <w:sz w:val="21"/>
              </w:rPr>
              <w:t>particular</w:t>
            </w:r>
            <w:r w:rsidR="00975895" w:rsidRPr="0002642E">
              <w:rPr>
                <w:sz w:val="21"/>
              </w:rPr>
              <w:t xml:space="preserve"> </w:t>
            </w:r>
            <w:r w:rsidRPr="0002642E">
              <w:rPr>
                <w:sz w:val="21"/>
              </w:rPr>
              <w:t>for</w:t>
            </w:r>
            <w:r w:rsidR="00975895" w:rsidRPr="0002642E">
              <w:rPr>
                <w:sz w:val="21"/>
              </w:rPr>
              <w:t xml:space="preserve"> </w:t>
            </w:r>
            <w:r w:rsidRPr="0002642E">
              <w:rPr>
                <w:sz w:val="21"/>
              </w:rPr>
              <w:t>the</w:t>
            </w:r>
            <w:r w:rsidR="00975895" w:rsidRPr="0002642E">
              <w:rPr>
                <w:sz w:val="21"/>
              </w:rPr>
              <w:t xml:space="preserve"> </w:t>
            </w:r>
            <w:r w:rsidRPr="0002642E">
              <w:rPr>
                <w:sz w:val="21"/>
              </w:rPr>
              <w:t>most</w:t>
            </w:r>
            <w:r w:rsidR="00975895" w:rsidRPr="0002642E">
              <w:rPr>
                <w:sz w:val="21"/>
              </w:rPr>
              <w:t xml:space="preserve"> </w:t>
            </w:r>
            <w:r w:rsidRPr="0002642E">
              <w:rPr>
                <w:sz w:val="21"/>
              </w:rPr>
              <w:t>marginalised,</w:t>
            </w:r>
            <w:r w:rsidR="00975895" w:rsidRPr="0002642E">
              <w:rPr>
                <w:sz w:val="21"/>
              </w:rPr>
              <w:t xml:space="preserve"> </w:t>
            </w:r>
            <w:r w:rsidRPr="0002642E">
              <w:rPr>
                <w:sz w:val="21"/>
              </w:rPr>
              <w:t>excluded</w:t>
            </w:r>
            <w:r w:rsidR="00975895" w:rsidRPr="0002642E">
              <w:rPr>
                <w:sz w:val="21"/>
              </w:rPr>
              <w:t xml:space="preserve"> </w:t>
            </w:r>
            <w:r w:rsidRPr="0002642E">
              <w:rPr>
                <w:sz w:val="21"/>
              </w:rPr>
              <w:t>and</w:t>
            </w:r>
            <w:r w:rsidR="00975895" w:rsidRPr="0002642E">
              <w:rPr>
                <w:sz w:val="21"/>
              </w:rPr>
              <w:t xml:space="preserve"> </w:t>
            </w:r>
            <w:r w:rsidRPr="0002642E">
              <w:rPr>
                <w:sz w:val="21"/>
              </w:rPr>
              <w:t>disadvantaged</w:t>
            </w:r>
            <w:r w:rsidR="00975895" w:rsidRPr="0002642E">
              <w:rPr>
                <w:sz w:val="21"/>
              </w:rPr>
              <w:t xml:space="preserve"> </w:t>
            </w:r>
            <w:r w:rsidRPr="0002642E">
              <w:rPr>
                <w:sz w:val="21"/>
              </w:rPr>
              <w:t>in</w:t>
            </w:r>
            <w:r w:rsidR="00975895" w:rsidRPr="0002642E">
              <w:rPr>
                <w:sz w:val="21"/>
              </w:rPr>
              <w:t xml:space="preserve"> </w:t>
            </w:r>
            <w:r w:rsidRPr="0002642E">
              <w:rPr>
                <w:sz w:val="21"/>
              </w:rPr>
              <w:t>our</w:t>
            </w:r>
            <w:r w:rsidR="00975895" w:rsidRPr="0002642E">
              <w:rPr>
                <w:sz w:val="21"/>
              </w:rPr>
              <w:t xml:space="preserve"> </w:t>
            </w:r>
            <w:r w:rsidRPr="0002642E">
              <w:rPr>
                <w:sz w:val="21"/>
              </w:rPr>
              <w:t>community</w:t>
            </w:r>
          </w:p>
          <w:p w14:paraId="55861044" w14:textId="2247FFB6" w:rsidR="008E0945" w:rsidRPr="00E43322" w:rsidRDefault="008E0945" w:rsidP="0002642E">
            <w:pPr>
              <w:pStyle w:val="TableListBullet"/>
            </w:pPr>
            <w:r w:rsidRPr="0002642E">
              <w:rPr>
                <w:sz w:val="21"/>
              </w:rPr>
              <w:lastRenderedPageBreak/>
              <w:t>Improves</w:t>
            </w:r>
            <w:r w:rsidR="00975895" w:rsidRPr="0002642E">
              <w:rPr>
                <w:sz w:val="21"/>
              </w:rPr>
              <w:t xml:space="preserve"> </w:t>
            </w:r>
            <w:r w:rsidRPr="0002642E">
              <w:rPr>
                <w:sz w:val="21"/>
              </w:rPr>
              <w:t>decision-making</w:t>
            </w:r>
            <w:r w:rsidR="00975895" w:rsidRPr="0002642E">
              <w:rPr>
                <w:sz w:val="21"/>
              </w:rPr>
              <w:t xml:space="preserve"> </w:t>
            </w:r>
            <w:r w:rsidRPr="0002642E">
              <w:rPr>
                <w:sz w:val="21"/>
              </w:rPr>
              <w:t>by</w:t>
            </w:r>
            <w:r w:rsidR="00975895" w:rsidRPr="0002642E">
              <w:rPr>
                <w:sz w:val="21"/>
              </w:rPr>
              <w:t xml:space="preserve"> </w:t>
            </w:r>
            <w:r w:rsidRPr="0002642E">
              <w:rPr>
                <w:sz w:val="21"/>
              </w:rPr>
              <w:t>providing</w:t>
            </w:r>
            <w:r w:rsidR="00975895" w:rsidRPr="0002642E">
              <w:rPr>
                <w:sz w:val="21"/>
              </w:rPr>
              <w:t xml:space="preserve"> </w:t>
            </w:r>
            <w:r w:rsidRPr="0002642E">
              <w:rPr>
                <w:sz w:val="21"/>
              </w:rPr>
              <w:t>a</w:t>
            </w:r>
            <w:r w:rsidR="00975895" w:rsidRPr="0002642E">
              <w:rPr>
                <w:sz w:val="21"/>
              </w:rPr>
              <w:t xml:space="preserve"> </w:t>
            </w:r>
            <w:r w:rsidRPr="0002642E">
              <w:rPr>
                <w:sz w:val="21"/>
              </w:rPr>
              <w:t>legal</w:t>
            </w:r>
            <w:r w:rsidR="00975895" w:rsidRPr="0002642E">
              <w:rPr>
                <w:sz w:val="21"/>
              </w:rPr>
              <w:t xml:space="preserve"> </w:t>
            </w:r>
            <w:r w:rsidRPr="0002642E">
              <w:rPr>
                <w:sz w:val="21"/>
              </w:rPr>
              <w:t>framework</w:t>
            </w:r>
            <w:r w:rsidR="00975895" w:rsidRPr="0002642E">
              <w:rPr>
                <w:sz w:val="21"/>
              </w:rPr>
              <w:t xml:space="preserve"> </w:t>
            </w:r>
            <w:r w:rsidRPr="0002642E">
              <w:rPr>
                <w:sz w:val="21"/>
              </w:rPr>
              <w:t>to</w:t>
            </w:r>
            <w:r w:rsidR="00975895" w:rsidRPr="0002642E">
              <w:rPr>
                <w:sz w:val="21"/>
              </w:rPr>
              <w:t xml:space="preserve"> </w:t>
            </w:r>
            <w:r w:rsidRPr="0002642E">
              <w:rPr>
                <w:sz w:val="21"/>
              </w:rPr>
              <w:t>identify,</w:t>
            </w:r>
            <w:r w:rsidR="00975895" w:rsidRPr="0002642E">
              <w:rPr>
                <w:sz w:val="21"/>
              </w:rPr>
              <w:t xml:space="preserve"> </w:t>
            </w:r>
            <w:r w:rsidRPr="0002642E">
              <w:rPr>
                <w:sz w:val="21"/>
              </w:rPr>
              <w:t>assess</w:t>
            </w:r>
            <w:r w:rsidR="00975895" w:rsidRPr="0002642E">
              <w:rPr>
                <w:sz w:val="21"/>
              </w:rPr>
              <w:t xml:space="preserve"> </w:t>
            </w:r>
            <w:r w:rsidRPr="0002642E">
              <w:rPr>
                <w:sz w:val="21"/>
              </w:rPr>
              <w:t>and</w:t>
            </w:r>
            <w:r w:rsidR="00975895" w:rsidRPr="0002642E">
              <w:rPr>
                <w:sz w:val="21"/>
              </w:rPr>
              <w:t xml:space="preserve"> </w:t>
            </w:r>
            <w:r w:rsidRPr="0002642E">
              <w:rPr>
                <w:sz w:val="21"/>
              </w:rPr>
              <w:t>balance</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against</w:t>
            </w:r>
            <w:r w:rsidR="00975895" w:rsidRPr="0002642E">
              <w:rPr>
                <w:sz w:val="21"/>
              </w:rPr>
              <w:t xml:space="preserve"> </w:t>
            </w:r>
            <w:r w:rsidRPr="0002642E">
              <w:rPr>
                <w:sz w:val="21"/>
              </w:rPr>
              <w:t>other</w:t>
            </w:r>
            <w:r w:rsidR="00975895" w:rsidRPr="0002642E">
              <w:rPr>
                <w:sz w:val="21"/>
              </w:rPr>
              <w:t xml:space="preserve"> </w:t>
            </w:r>
            <w:r w:rsidRPr="0002642E">
              <w:rPr>
                <w:sz w:val="21"/>
              </w:rPr>
              <w:t>rights</w:t>
            </w:r>
            <w:r w:rsidR="00975895" w:rsidRPr="0002642E">
              <w:rPr>
                <w:sz w:val="21"/>
              </w:rPr>
              <w:t xml:space="preserve"> </w:t>
            </w:r>
            <w:r w:rsidRPr="0002642E">
              <w:rPr>
                <w:sz w:val="21"/>
              </w:rPr>
              <w:t>and</w:t>
            </w:r>
            <w:r w:rsidR="00975895" w:rsidRPr="0002642E">
              <w:rPr>
                <w:sz w:val="21"/>
              </w:rPr>
              <w:t xml:space="preserve"> </w:t>
            </w:r>
            <w:r w:rsidRPr="0002642E">
              <w:rPr>
                <w:sz w:val="21"/>
              </w:rPr>
              <w:t>interests</w:t>
            </w:r>
          </w:p>
          <w:p w14:paraId="132AD813" w14:textId="3F29B253" w:rsidR="008E0945" w:rsidRPr="00E43322" w:rsidRDefault="008E0945" w:rsidP="0002642E">
            <w:pPr>
              <w:pStyle w:val="TableListBullet"/>
            </w:pPr>
            <w:r w:rsidRPr="0002642E">
              <w:rPr>
                <w:sz w:val="21"/>
              </w:rPr>
              <w:t>Helps</w:t>
            </w:r>
            <w:r w:rsidR="00975895" w:rsidRPr="0002642E">
              <w:rPr>
                <w:sz w:val="21"/>
              </w:rPr>
              <w:t xml:space="preserve"> </w:t>
            </w:r>
            <w:r w:rsidRPr="0002642E">
              <w:rPr>
                <w:sz w:val="21"/>
              </w:rPr>
              <w:t>manage</w:t>
            </w:r>
            <w:r w:rsidR="00975895" w:rsidRPr="0002642E">
              <w:rPr>
                <w:sz w:val="21"/>
              </w:rPr>
              <w:t xml:space="preserve"> </w:t>
            </w:r>
            <w:r w:rsidRPr="0002642E">
              <w:rPr>
                <w:sz w:val="21"/>
              </w:rPr>
              <w:t>organisational</w:t>
            </w:r>
            <w:r w:rsidR="00975895" w:rsidRPr="0002642E">
              <w:rPr>
                <w:sz w:val="21"/>
              </w:rPr>
              <w:t xml:space="preserve"> </w:t>
            </w:r>
            <w:r w:rsidRPr="0002642E">
              <w:rPr>
                <w:sz w:val="21"/>
              </w:rPr>
              <w:t>risks,</w:t>
            </w:r>
            <w:r w:rsidR="00975895" w:rsidRPr="0002642E">
              <w:rPr>
                <w:sz w:val="21"/>
              </w:rPr>
              <w:t xml:space="preserve"> </w:t>
            </w:r>
            <w:r w:rsidRPr="0002642E">
              <w:rPr>
                <w:sz w:val="21"/>
              </w:rPr>
              <w:t>such</w:t>
            </w:r>
            <w:r w:rsidR="00975895" w:rsidRPr="0002642E">
              <w:rPr>
                <w:sz w:val="21"/>
              </w:rPr>
              <w:t xml:space="preserve"> </w:t>
            </w:r>
            <w:r w:rsidRPr="0002642E">
              <w:rPr>
                <w:sz w:val="21"/>
              </w:rPr>
              <w:t>as</w:t>
            </w:r>
            <w:r w:rsidR="00975895" w:rsidRPr="0002642E">
              <w:rPr>
                <w:sz w:val="21"/>
              </w:rPr>
              <w:t xml:space="preserve"> </w:t>
            </w:r>
            <w:r w:rsidRPr="0002642E">
              <w:rPr>
                <w:sz w:val="21"/>
              </w:rPr>
              <w:t>litigation</w:t>
            </w:r>
          </w:p>
          <w:p w14:paraId="6DAFFC6F" w14:textId="62B1E6B8" w:rsidR="008E0945" w:rsidRPr="00E43322" w:rsidRDefault="008E0945" w:rsidP="0002642E">
            <w:pPr>
              <w:pStyle w:val="TableListBullet"/>
            </w:pPr>
            <w:r w:rsidRPr="0002642E">
              <w:rPr>
                <w:sz w:val="21"/>
              </w:rPr>
              <w:t>Builds</w:t>
            </w:r>
            <w:r w:rsidR="00975895" w:rsidRPr="0002642E">
              <w:rPr>
                <w:sz w:val="21"/>
              </w:rPr>
              <w:t xml:space="preserve"> </w:t>
            </w:r>
            <w:r w:rsidRPr="0002642E">
              <w:rPr>
                <w:sz w:val="21"/>
              </w:rPr>
              <w:t>reputation</w:t>
            </w:r>
            <w:r w:rsidR="00975895" w:rsidRPr="0002642E">
              <w:rPr>
                <w:sz w:val="21"/>
              </w:rPr>
              <w:t xml:space="preserve"> </w:t>
            </w:r>
            <w:r w:rsidRPr="0002642E">
              <w:rPr>
                <w:sz w:val="21"/>
              </w:rPr>
              <w:t>and</w:t>
            </w:r>
            <w:r w:rsidR="00975895" w:rsidRPr="0002642E">
              <w:rPr>
                <w:sz w:val="21"/>
              </w:rPr>
              <w:t xml:space="preserve"> </w:t>
            </w:r>
            <w:r w:rsidRPr="0002642E">
              <w:rPr>
                <w:sz w:val="21"/>
              </w:rPr>
              <w:t>credibility</w:t>
            </w:r>
          </w:p>
          <w:p w14:paraId="13741C9F" w14:textId="7576D2C7" w:rsidR="008E0945" w:rsidRPr="00A96204" w:rsidRDefault="008E0945" w:rsidP="005B74F5">
            <w:pPr>
              <w:pStyle w:val="TableListBullet"/>
              <w:rPr>
                <w:sz w:val="21"/>
                <w:szCs w:val="21"/>
              </w:rPr>
            </w:pPr>
            <w:r w:rsidRPr="0002642E">
              <w:rPr>
                <w:sz w:val="21"/>
              </w:rPr>
              <w:t>Creates</w:t>
            </w:r>
            <w:r w:rsidR="00975895" w:rsidRPr="0002642E">
              <w:rPr>
                <w:sz w:val="21"/>
              </w:rPr>
              <w:t xml:space="preserve"> </w:t>
            </w:r>
            <w:r w:rsidRPr="0002642E">
              <w:rPr>
                <w:sz w:val="21"/>
              </w:rPr>
              <w:t>a</w:t>
            </w:r>
            <w:r w:rsidR="00975895" w:rsidRPr="0002642E">
              <w:rPr>
                <w:sz w:val="21"/>
              </w:rPr>
              <w:t xml:space="preserve"> </w:t>
            </w:r>
            <w:r w:rsidRPr="0002642E">
              <w:rPr>
                <w:sz w:val="21"/>
              </w:rPr>
              <w:t>framework</w:t>
            </w:r>
            <w:r w:rsidR="00975895" w:rsidRPr="0002642E">
              <w:rPr>
                <w:sz w:val="21"/>
              </w:rPr>
              <w:t xml:space="preserve"> </w:t>
            </w:r>
            <w:r w:rsidRPr="0002642E">
              <w:rPr>
                <w:sz w:val="21"/>
              </w:rPr>
              <w:t>for</w:t>
            </w:r>
            <w:r w:rsidR="00975895" w:rsidRPr="0002642E">
              <w:rPr>
                <w:sz w:val="21"/>
              </w:rPr>
              <w:t xml:space="preserve"> </w:t>
            </w:r>
            <w:r w:rsidRPr="0002642E">
              <w:rPr>
                <w:sz w:val="21"/>
              </w:rPr>
              <w:t>solving</w:t>
            </w:r>
            <w:r w:rsidR="00975895" w:rsidRPr="0002642E">
              <w:rPr>
                <w:sz w:val="21"/>
              </w:rPr>
              <w:t xml:space="preserve"> </w:t>
            </w:r>
            <w:r w:rsidRPr="0002642E">
              <w:rPr>
                <w:sz w:val="21"/>
              </w:rPr>
              <w:t>problems</w:t>
            </w:r>
          </w:p>
        </w:tc>
        <w:tc>
          <w:tcPr>
            <w:tcW w:w="4530" w:type="dxa"/>
          </w:tcPr>
          <w:p w14:paraId="687AC19F" w14:textId="75770E28" w:rsidR="008E0945" w:rsidRPr="00A96204" w:rsidRDefault="008E0945" w:rsidP="0002642E">
            <w:pPr>
              <w:pStyle w:val="TableBodyText"/>
            </w:pPr>
            <w:r w:rsidRPr="00A96204">
              <w:rPr>
                <w:szCs w:val="21"/>
              </w:rPr>
              <w:lastRenderedPageBreak/>
              <w:t>For</w:t>
            </w:r>
            <w:r w:rsidR="00975895" w:rsidRPr="00A96204">
              <w:rPr>
                <w:szCs w:val="21"/>
              </w:rPr>
              <w:t xml:space="preserve"> </w:t>
            </w:r>
            <w:r w:rsidRPr="00A96204">
              <w:rPr>
                <w:szCs w:val="21"/>
              </w:rPr>
              <w:t>staff</w:t>
            </w:r>
          </w:p>
          <w:p w14:paraId="4862E400" w14:textId="54D55F25" w:rsidR="008E0945" w:rsidRPr="00E43322" w:rsidRDefault="008E0945" w:rsidP="0002642E">
            <w:pPr>
              <w:pStyle w:val="TableListBullet"/>
            </w:pPr>
            <w:r w:rsidRPr="0002642E">
              <w:rPr>
                <w:sz w:val="21"/>
              </w:rPr>
              <w:t>Inspires</w:t>
            </w:r>
            <w:r w:rsidR="00975895" w:rsidRPr="0002642E">
              <w:rPr>
                <w:sz w:val="21"/>
              </w:rPr>
              <w:t xml:space="preserve"> </w:t>
            </w:r>
            <w:r w:rsidRPr="0002642E">
              <w:rPr>
                <w:sz w:val="21"/>
              </w:rPr>
              <w:t>staff</w:t>
            </w:r>
          </w:p>
          <w:p w14:paraId="14D1BBC7" w14:textId="3DAADF63" w:rsidR="008E0945" w:rsidRPr="00E43322" w:rsidRDefault="008E0945" w:rsidP="0002642E">
            <w:pPr>
              <w:pStyle w:val="TableListBullet"/>
            </w:pPr>
            <w:r w:rsidRPr="0002642E">
              <w:rPr>
                <w:sz w:val="21"/>
              </w:rPr>
              <w:t>Reconnects</w:t>
            </w:r>
            <w:r w:rsidR="00975895" w:rsidRPr="0002642E">
              <w:rPr>
                <w:sz w:val="21"/>
              </w:rPr>
              <w:t xml:space="preserve"> </w:t>
            </w:r>
            <w:r w:rsidRPr="0002642E">
              <w:rPr>
                <w:sz w:val="21"/>
              </w:rPr>
              <w:t>staff</w:t>
            </w:r>
            <w:r w:rsidR="00975895" w:rsidRPr="0002642E">
              <w:rPr>
                <w:sz w:val="21"/>
              </w:rPr>
              <w:t xml:space="preserve"> </w:t>
            </w:r>
            <w:r w:rsidRPr="0002642E">
              <w:rPr>
                <w:sz w:val="21"/>
              </w:rPr>
              <w:t>with</w:t>
            </w:r>
            <w:r w:rsidR="00975895" w:rsidRPr="0002642E">
              <w:rPr>
                <w:sz w:val="21"/>
              </w:rPr>
              <w:t xml:space="preserve"> </w:t>
            </w:r>
            <w:r w:rsidRPr="0002642E">
              <w:rPr>
                <w:sz w:val="21"/>
              </w:rPr>
              <w:t>core</w:t>
            </w:r>
            <w:r w:rsidR="00975895" w:rsidRPr="0002642E">
              <w:rPr>
                <w:sz w:val="21"/>
              </w:rPr>
              <w:t xml:space="preserve"> </w:t>
            </w:r>
            <w:r w:rsidRPr="0002642E">
              <w:rPr>
                <w:sz w:val="21"/>
              </w:rPr>
              <w:t>public</w:t>
            </w:r>
            <w:r w:rsidR="00975895" w:rsidRPr="0002642E">
              <w:rPr>
                <w:sz w:val="21"/>
              </w:rPr>
              <w:t xml:space="preserve"> </w:t>
            </w:r>
            <w:r w:rsidRPr="0002642E">
              <w:rPr>
                <w:sz w:val="21"/>
              </w:rPr>
              <w:t>service</w:t>
            </w:r>
            <w:r w:rsidR="00975895" w:rsidRPr="0002642E">
              <w:rPr>
                <w:sz w:val="21"/>
              </w:rPr>
              <w:t xml:space="preserve"> </w:t>
            </w:r>
            <w:r w:rsidRPr="0002642E">
              <w:rPr>
                <w:sz w:val="21"/>
              </w:rPr>
              <w:t>values</w:t>
            </w:r>
          </w:p>
          <w:p w14:paraId="4D1D8AB9" w14:textId="020EE560" w:rsidR="008E0945" w:rsidRPr="00A96204" w:rsidRDefault="008E0945" w:rsidP="005B74F5">
            <w:pPr>
              <w:pStyle w:val="TableListBullet"/>
              <w:rPr>
                <w:sz w:val="21"/>
                <w:szCs w:val="21"/>
              </w:rPr>
            </w:pPr>
            <w:r w:rsidRPr="0002642E">
              <w:rPr>
                <w:sz w:val="21"/>
              </w:rPr>
              <w:lastRenderedPageBreak/>
              <w:t>Gives</w:t>
            </w:r>
            <w:r w:rsidR="00975895" w:rsidRPr="0002642E">
              <w:rPr>
                <w:sz w:val="21"/>
              </w:rPr>
              <w:t xml:space="preserve"> </w:t>
            </w:r>
            <w:r w:rsidRPr="0002642E">
              <w:rPr>
                <w:sz w:val="21"/>
              </w:rPr>
              <w:t>staff</w:t>
            </w:r>
            <w:r w:rsidR="00975895" w:rsidRPr="0002642E">
              <w:rPr>
                <w:sz w:val="21"/>
              </w:rPr>
              <w:t xml:space="preserve"> </w:t>
            </w:r>
            <w:r w:rsidRPr="0002642E">
              <w:rPr>
                <w:sz w:val="21"/>
              </w:rPr>
              <w:t>a</w:t>
            </w:r>
            <w:r w:rsidR="00975895" w:rsidRPr="0002642E">
              <w:rPr>
                <w:sz w:val="21"/>
              </w:rPr>
              <w:t xml:space="preserve"> </w:t>
            </w:r>
            <w:r w:rsidRPr="0002642E">
              <w:rPr>
                <w:sz w:val="21"/>
              </w:rPr>
              <w:t>framework</w:t>
            </w:r>
            <w:r w:rsidR="00975895" w:rsidRPr="0002642E">
              <w:rPr>
                <w:sz w:val="21"/>
              </w:rPr>
              <w:t xml:space="preserve"> </w:t>
            </w:r>
            <w:r w:rsidRPr="0002642E">
              <w:rPr>
                <w:sz w:val="21"/>
              </w:rPr>
              <w:t>to</w:t>
            </w:r>
            <w:r w:rsidR="00975895" w:rsidRPr="0002642E">
              <w:rPr>
                <w:sz w:val="21"/>
              </w:rPr>
              <w:t xml:space="preserve"> </w:t>
            </w:r>
            <w:r w:rsidRPr="0002642E">
              <w:rPr>
                <w:sz w:val="21"/>
              </w:rPr>
              <w:t>act</w:t>
            </w:r>
            <w:r w:rsidR="00975895" w:rsidRPr="0002642E">
              <w:rPr>
                <w:sz w:val="21"/>
              </w:rPr>
              <w:t xml:space="preserve"> </w:t>
            </w:r>
            <w:r w:rsidRPr="0002642E">
              <w:rPr>
                <w:sz w:val="21"/>
              </w:rPr>
              <w:t>lawfully</w:t>
            </w:r>
            <w:r w:rsidR="00975895" w:rsidRPr="0002642E">
              <w:rPr>
                <w:sz w:val="21"/>
              </w:rPr>
              <w:t xml:space="preserve"> </w:t>
            </w:r>
            <w:r w:rsidRPr="0002642E">
              <w:rPr>
                <w:sz w:val="21"/>
              </w:rPr>
              <w:t>and</w:t>
            </w:r>
            <w:r w:rsidR="00975895" w:rsidRPr="0002642E">
              <w:rPr>
                <w:sz w:val="21"/>
              </w:rPr>
              <w:t xml:space="preserve"> </w:t>
            </w:r>
            <w:r w:rsidRPr="0002642E">
              <w:rPr>
                <w:sz w:val="21"/>
              </w:rPr>
              <w:t>with</w:t>
            </w:r>
            <w:r w:rsidR="00975895" w:rsidRPr="0002642E">
              <w:rPr>
                <w:sz w:val="21"/>
              </w:rPr>
              <w:t xml:space="preserve"> </w:t>
            </w:r>
            <w:r w:rsidRPr="0002642E">
              <w:rPr>
                <w:sz w:val="21"/>
              </w:rPr>
              <w:t>a</w:t>
            </w:r>
            <w:r w:rsidR="00975895" w:rsidRPr="0002642E">
              <w:rPr>
                <w:sz w:val="21"/>
              </w:rPr>
              <w:t xml:space="preserve"> </w:t>
            </w:r>
            <w:r w:rsidRPr="0002642E">
              <w:rPr>
                <w:sz w:val="21"/>
              </w:rPr>
              <w:t>moral</w:t>
            </w:r>
            <w:r w:rsidR="00975895" w:rsidRPr="0002642E">
              <w:rPr>
                <w:sz w:val="21"/>
              </w:rPr>
              <w:t xml:space="preserve"> </w:t>
            </w:r>
            <w:r w:rsidRPr="0002642E">
              <w:rPr>
                <w:sz w:val="21"/>
              </w:rPr>
              <w:t>compass</w:t>
            </w:r>
            <w:r w:rsidR="00975895" w:rsidRPr="0002642E">
              <w:rPr>
                <w:sz w:val="21"/>
              </w:rPr>
              <w:t xml:space="preserve"> </w:t>
            </w:r>
            <w:r w:rsidRPr="0002642E">
              <w:rPr>
                <w:sz w:val="21"/>
              </w:rPr>
              <w:t>when</w:t>
            </w:r>
            <w:r w:rsidR="00975895" w:rsidRPr="0002642E">
              <w:rPr>
                <w:sz w:val="21"/>
              </w:rPr>
              <w:t xml:space="preserve"> </w:t>
            </w:r>
            <w:r w:rsidRPr="0002642E">
              <w:rPr>
                <w:sz w:val="21"/>
              </w:rPr>
              <w:t>dealing</w:t>
            </w:r>
            <w:r w:rsidR="00975895" w:rsidRPr="0002642E">
              <w:rPr>
                <w:sz w:val="21"/>
              </w:rPr>
              <w:t xml:space="preserve"> </w:t>
            </w:r>
            <w:r w:rsidRPr="0002642E">
              <w:rPr>
                <w:sz w:val="21"/>
              </w:rPr>
              <w:t>with</w:t>
            </w:r>
            <w:r w:rsidR="00975895" w:rsidRPr="0002642E">
              <w:rPr>
                <w:sz w:val="21"/>
              </w:rPr>
              <w:t xml:space="preserve"> </w:t>
            </w:r>
            <w:r w:rsidRPr="0002642E">
              <w:rPr>
                <w:sz w:val="21"/>
              </w:rPr>
              <w:t>people</w:t>
            </w:r>
          </w:p>
        </w:tc>
      </w:tr>
    </w:tbl>
    <w:p w14:paraId="4FBCDE83" w14:textId="71095897" w:rsidR="008E0945" w:rsidRPr="003015FD" w:rsidRDefault="00E35A1E" w:rsidP="0002642E">
      <w:pPr>
        <w:pStyle w:val="Heading2"/>
      </w:pPr>
      <w:bookmarkStart w:id="41" w:name="_Toc8224938"/>
      <w:bookmarkStart w:id="42" w:name="_Toc15045097"/>
      <w:bookmarkStart w:id="43" w:name="_Toc22011528"/>
      <w:bookmarkEnd w:id="38"/>
      <w:bookmarkEnd w:id="39"/>
      <w:bookmarkEnd w:id="40"/>
      <w:r w:rsidRPr="003015FD">
        <w:lastRenderedPageBreak/>
        <w:t>2.3</w:t>
      </w:r>
      <w:r w:rsidRPr="003015FD">
        <w:tab/>
      </w:r>
      <w:r w:rsidR="008E0945" w:rsidRPr="003015FD">
        <w:t>What</w:t>
      </w:r>
      <w:r w:rsidR="00975895" w:rsidRPr="003015FD">
        <w:t xml:space="preserve"> </w:t>
      </w:r>
      <w:r w:rsidR="008E0945" w:rsidRPr="003015FD">
        <w:t>makes</w:t>
      </w:r>
      <w:r w:rsidR="00975895" w:rsidRPr="003015FD">
        <w:t xml:space="preserve"> </w:t>
      </w:r>
      <w:r w:rsidR="008E0945" w:rsidRPr="003015FD">
        <w:t>a</w:t>
      </w:r>
      <w:r w:rsidR="00975895" w:rsidRPr="003015FD">
        <w:t xml:space="preserve"> </w:t>
      </w:r>
      <w:r w:rsidR="008E0945" w:rsidRPr="003015FD">
        <w:t>positive</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culture</w:t>
      </w:r>
      <w:bookmarkEnd w:id="41"/>
      <w:r w:rsidR="008E0945" w:rsidRPr="003015FD">
        <w:t>?</w:t>
      </w:r>
      <w:bookmarkEnd w:id="42"/>
      <w:bookmarkEnd w:id="43"/>
    </w:p>
    <w:p w14:paraId="1BB136DD" w14:textId="0896F7F8" w:rsidR="008E0945" w:rsidRDefault="008E0945" w:rsidP="0002642E">
      <w:r w:rsidRPr="003015FD">
        <w:t>The</w:t>
      </w:r>
      <w:r w:rsidR="00975895" w:rsidRPr="003015FD">
        <w:t xml:space="preserve"> </w:t>
      </w:r>
      <w:r w:rsidRPr="003015FD">
        <w:t>Commission</w:t>
      </w:r>
      <w:r w:rsidR="00975895" w:rsidRPr="003015FD">
        <w:t xml:space="preserve"> </w:t>
      </w:r>
      <w:r w:rsidRPr="003015FD">
        <w:t>defines</w:t>
      </w:r>
      <w:r w:rsidR="00975895" w:rsidRPr="003015FD">
        <w:t xml:space="preserve"> </w:t>
      </w:r>
      <w:r w:rsidRPr="003015FD">
        <w:t>positive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as:</w:t>
      </w:r>
    </w:p>
    <w:tbl>
      <w:tblPr>
        <w:tblStyle w:val="CustomTablebreakoutbox"/>
        <w:tblW w:w="0" w:type="auto"/>
        <w:tblLook w:val="04A0" w:firstRow="1" w:lastRow="0" w:firstColumn="1" w:lastColumn="0" w:noHBand="0" w:noVBand="1"/>
      </w:tblPr>
      <w:tblGrid>
        <w:gridCol w:w="9061"/>
      </w:tblGrid>
      <w:tr w:rsidR="00CF666C" w14:paraId="4B652B5B" w14:textId="77777777" w:rsidTr="00CF666C">
        <w:tc>
          <w:tcPr>
            <w:tcW w:w="9061" w:type="dxa"/>
          </w:tcPr>
          <w:p w14:paraId="1005D911" w14:textId="49C634F4" w:rsidR="00CF666C" w:rsidRDefault="00CF666C" w:rsidP="00CF666C">
            <w:pPr>
              <w:pStyle w:val="BodyText"/>
            </w:pPr>
            <w:r w:rsidRPr="003015FD">
              <w:t>A pattern of shared attitudes, values and behaviours that influence the policy making, decisions and practices of government to uphold the human rights of all people</w:t>
            </w:r>
            <w:r>
              <w:t>.</w:t>
            </w:r>
          </w:p>
        </w:tc>
      </w:tr>
    </w:tbl>
    <w:p w14:paraId="250A1B30" w14:textId="2F00AECC" w:rsidR="008E0945" w:rsidRPr="003015FD" w:rsidRDefault="00E35A1E" w:rsidP="0002642E">
      <w:pPr>
        <w:pStyle w:val="Heading2"/>
      </w:pPr>
      <w:bookmarkStart w:id="44" w:name="_Toc15045098"/>
      <w:bookmarkStart w:id="45" w:name="_Toc22011529"/>
      <w:r w:rsidRPr="003015FD">
        <w:t>2.4</w:t>
      </w:r>
      <w:r w:rsidRPr="003015FD">
        <w:tab/>
      </w:r>
      <w:r w:rsidR="008E0945" w:rsidRPr="003015FD">
        <w:t>How</w:t>
      </w:r>
      <w:r w:rsidR="00975895" w:rsidRPr="003015FD">
        <w:t xml:space="preserve"> </w:t>
      </w:r>
      <w:r w:rsidR="008E0945" w:rsidRPr="003015FD">
        <w:t>do</w:t>
      </w:r>
      <w:r w:rsidR="00975895" w:rsidRPr="003015FD">
        <w:t xml:space="preserve"> </w:t>
      </w:r>
      <w:r w:rsidR="008E0945" w:rsidRPr="003015FD">
        <w:t>we</w:t>
      </w:r>
      <w:r w:rsidR="00975895" w:rsidRPr="003015FD">
        <w:t xml:space="preserve"> </w:t>
      </w:r>
      <w:r w:rsidR="008E0945" w:rsidRPr="003015FD">
        <w:t>measure</w:t>
      </w:r>
      <w:r w:rsidR="00975895" w:rsidRPr="003015FD">
        <w:t xml:space="preserve"> </w:t>
      </w:r>
      <w:r w:rsidR="008E0945" w:rsidRPr="003015FD">
        <w:t>this?</w:t>
      </w:r>
      <w:bookmarkEnd w:id="44"/>
      <w:bookmarkEnd w:id="45"/>
    </w:p>
    <w:p w14:paraId="0FC1B604" w14:textId="483E87B9" w:rsidR="008E0945" w:rsidRPr="003015FD" w:rsidRDefault="008E0945" w:rsidP="0002642E">
      <w:r w:rsidRPr="003015FD">
        <w:t>In</w:t>
      </w:r>
      <w:r w:rsidR="00975895" w:rsidRPr="003015FD">
        <w:t xml:space="preserve"> </w:t>
      </w:r>
      <w:r w:rsidRPr="003015FD">
        <w:t>2018,</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developed</w:t>
      </w:r>
      <w:r w:rsidR="00975895" w:rsidRPr="003015FD">
        <w:t xml:space="preserve"> </w:t>
      </w:r>
      <w:r w:rsidRPr="003015FD">
        <w:t>an</w:t>
      </w:r>
      <w:r w:rsidR="00975895" w:rsidRPr="003015FD">
        <w:t xml:space="preserve"> </w:t>
      </w:r>
      <w:r w:rsidRPr="003015FD">
        <w:t>indicator</w:t>
      </w:r>
      <w:r w:rsidR="00975895" w:rsidRPr="003015FD">
        <w:t xml:space="preserve"> </w:t>
      </w:r>
      <w:r w:rsidRPr="003015FD">
        <w:t>framework</w:t>
      </w:r>
      <w:r w:rsidR="00975895" w:rsidRPr="003015FD">
        <w:t xml:space="preserve"> </w:t>
      </w:r>
      <w:r w:rsidRPr="003015FD">
        <w:t>to</w:t>
      </w:r>
      <w:r w:rsidR="00975895" w:rsidRPr="003015FD">
        <w:t xml:space="preserve"> </w:t>
      </w:r>
      <w:r w:rsidR="006E2528">
        <w:t>help measure and report on a culture of human rights</w:t>
      </w:r>
      <w:r w:rsidRPr="003015FD">
        <w:t>.</w:t>
      </w:r>
    </w:p>
    <w:p w14:paraId="1408268B" w14:textId="72452486" w:rsidR="008E0945" w:rsidRPr="003015FD" w:rsidRDefault="008E0945" w:rsidP="0002642E">
      <w:r w:rsidRPr="003015FD">
        <w:t>The</w:t>
      </w:r>
      <w:r w:rsidR="00975895" w:rsidRPr="003015FD">
        <w:t xml:space="preserve"> </w:t>
      </w:r>
      <w:r w:rsidRPr="003015FD">
        <w:t>framework</w:t>
      </w:r>
      <w:r w:rsidR="00975895" w:rsidRPr="003015FD">
        <w:t xml:space="preserve"> </w:t>
      </w:r>
      <w:r w:rsidRPr="003015FD">
        <w:t>assesses:</w:t>
      </w:r>
    </w:p>
    <w:p w14:paraId="17BB54DA" w14:textId="21E9A637" w:rsidR="008E0945" w:rsidRPr="00A96204" w:rsidRDefault="008E0945" w:rsidP="0002642E">
      <w:pPr>
        <w:pStyle w:val="ListBullet"/>
        <w:rPr>
          <w:noProof/>
        </w:rPr>
      </w:pPr>
      <w:r w:rsidRPr="0002642E">
        <w:rPr>
          <w:rStyle w:val="Characterunderline"/>
          <w:b/>
          <w:u w:val="none"/>
          <w:lang w:val="en-GB"/>
        </w:rPr>
        <w:t>influences</w:t>
      </w:r>
      <w:r w:rsidRPr="0002642E">
        <w:rPr>
          <w:rStyle w:val="Characterunderline"/>
          <w:u w:val="none"/>
          <w:lang w:val="en-GB"/>
        </w:rPr>
        <w:t>:</w:t>
      </w:r>
      <w:r w:rsidR="00975895" w:rsidRPr="0002642E">
        <w:t xml:space="preserve"> </w:t>
      </w:r>
      <w:r w:rsidRPr="00A96204">
        <w:rPr>
          <w:noProof/>
        </w:rPr>
        <w:t>factors</w:t>
      </w:r>
      <w:r w:rsidR="00975895" w:rsidRPr="00A96204">
        <w:rPr>
          <w:noProof/>
        </w:rPr>
        <w:t xml:space="preserve"> </w:t>
      </w:r>
      <w:r w:rsidRPr="00A96204">
        <w:rPr>
          <w:noProof/>
        </w:rPr>
        <w:t>that</w:t>
      </w:r>
      <w:r w:rsidR="00975895" w:rsidRPr="00A96204">
        <w:rPr>
          <w:noProof/>
        </w:rPr>
        <w:t xml:space="preserve"> </w:t>
      </w:r>
      <w:r w:rsidRPr="00A96204">
        <w:rPr>
          <w:noProof/>
        </w:rPr>
        <w:t>determine</w:t>
      </w:r>
      <w:r w:rsidR="00975895" w:rsidRPr="00A96204">
        <w:rPr>
          <w:noProof/>
        </w:rPr>
        <w:t xml:space="preserve"> </w:t>
      </w:r>
      <w:r w:rsidRPr="00A96204">
        <w:rPr>
          <w:noProof/>
        </w:rPr>
        <w:t>whether</w:t>
      </w:r>
      <w:r w:rsidR="00975895" w:rsidRPr="00A96204">
        <w:rPr>
          <w:noProof/>
        </w:rPr>
        <w:t xml:space="preserve"> </w:t>
      </w:r>
      <w:r w:rsidRPr="00A96204">
        <w:rPr>
          <w:noProof/>
        </w:rPr>
        <w:t>a</w:t>
      </w:r>
      <w:r w:rsidR="00975895" w:rsidRPr="00A96204">
        <w:rPr>
          <w:noProof/>
        </w:rPr>
        <w:t xml:space="preserve"> </w:t>
      </w:r>
      <w:r w:rsidRPr="00A96204">
        <w:rPr>
          <w:noProof/>
        </w:rPr>
        <w:t>human</w:t>
      </w:r>
      <w:r w:rsidR="00975895" w:rsidRPr="00A96204">
        <w:rPr>
          <w:noProof/>
        </w:rPr>
        <w:t xml:space="preserve"> </w:t>
      </w:r>
      <w:r w:rsidRPr="00A96204">
        <w:rPr>
          <w:noProof/>
        </w:rPr>
        <w:t>rights</w:t>
      </w:r>
      <w:r w:rsidR="00975895" w:rsidRPr="00A96204">
        <w:rPr>
          <w:noProof/>
        </w:rPr>
        <w:t xml:space="preserve"> </w:t>
      </w:r>
      <w:r w:rsidRPr="00A96204">
        <w:rPr>
          <w:noProof/>
        </w:rPr>
        <w:t>culture</w:t>
      </w:r>
      <w:r w:rsidR="00975895" w:rsidRPr="00A96204">
        <w:rPr>
          <w:noProof/>
        </w:rPr>
        <w:t xml:space="preserve"> </w:t>
      </w:r>
      <w:r w:rsidRPr="00A96204">
        <w:rPr>
          <w:noProof/>
        </w:rPr>
        <w:t>is</w:t>
      </w:r>
      <w:r w:rsidR="00975895" w:rsidRPr="00A96204">
        <w:rPr>
          <w:noProof/>
        </w:rPr>
        <w:t xml:space="preserve"> </w:t>
      </w:r>
      <w:r w:rsidRPr="00A96204">
        <w:rPr>
          <w:noProof/>
        </w:rPr>
        <w:t>embedded</w:t>
      </w:r>
    </w:p>
    <w:p w14:paraId="08B2E513" w14:textId="1B9A55F0" w:rsidR="008E0945" w:rsidRPr="00A96204" w:rsidRDefault="008E0945" w:rsidP="0002642E">
      <w:pPr>
        <w:pStyle w:val="ListBullet"/>
        <w:rPr>
          <w:noProof/>
        </w:rPr>
      </w:pPr>
      <w:r w:rsidRPr="0002642E">
        <w:rPr>
          <w:rStyle w:val="Characterunderline"/>
          <w:b/>
          <w:u w:val="none"/>
          <w:lang w:val="en-GB"/>
        </w:rPr>
        <w:t>indicators</w:t>
      </w:r>
      <w:r w:rsidRPr="0002642E">
        <w:rPr>
          <w:rStyle w:val="Characterunderline"/>
          <w:u w:val="none"/>
          <w:lang w:val="en-GB"/>
        </w:rPr>
        <w:t>:</w:t>
      </w:r>
      <w:r w:rsidR="00975895" w:rsidRPr="0002642E">
        <w:t xml:space="preserve"> </w:t>
      </w:r>
      <w:r w:rsidRPr="00A96204">
        <w:rPr>
          <w:noProof/>
        </w:rPr>
        <w:t>activities</w:t>
      </w:r>
      <w:r w:rsidR="00975895" w:rsidRPr="00A96204">
        <w:rPr>
          <w:noProof/>
        </w:rPr>
        <w:t xml:space="preserve"> </w:t>
      </w:r>
      <w:r w:rsidRPr="00A96204">
        <w:rPr>
          <w:noProof/>
        </w:rPr>
        <w:t>that</w:t>
      </w:r>
      <w:r w:rsidR="00975895" w:rsidRPr="00A96204">
        <w:rPr>
          <w:noProof/>
        </w:rPr>
        <w:t xml:space="preserve"> </w:t>
      </w:r>
      <w:r w:rsidRPr="00A96204">
        <w:rPr>
          <w:noProof/>
        </w:rPr>
        <w:t>happen</w:t>
      </w:r>
      <w:r w:rsidR="00975895" w:rsidRPr="00A96204">
        <w:rPr>
          <w:noProof/>
        </w:rPr>
        <w:t xml:space="preserve"> </w:t>
      </w:r>
      <w:r w:rsidRPr="00A96204">
        <w:rPr>
          <w:noProof/>
        </w:rPr>
        <w:t>when</w:t>
      </w:r>
      <w:r w:rsidR="00975895" w:rsidRPr="00A96204">
        <w:rPr>
          <w:noProof/>
        </w:rPr>
        <w:t xml:space="preserve"> </w:t>
      </w:r>
      <w:r w:rsidRPr="00A96204">
        <w:rPr>
          <w:noProof/>
        </w:rPr>
        <w:t>a</w:t>
      </w:r>
      <w:r w:rsidR="00975895" w:rsidRPr="00A96204">
        <w:rPr>
          <w:noProof/>
        </w:rPr>
        <w:t xml:space="preserve"> </w:t>
      </w:r>
      <w:r w:rsidRPr="00A96204">
        <w:rPr>
          <w:noProof/>
        </w:rPr>
        <w:t>positive</w:t>
      </w:r>
      <w:r w:rsidR="00975895" w:rsidRPr="00A96204">
        <w:rPr>
          <w:noProof/>
        </w:rPr>
        <w:t xml:space="preserve"> </w:t>
      </w:r>
      <w:r w:rsidRPr="00A96204">
        <w:rPr>
          <w:noProof/>
        </w:rPr>
        <w:t>human</w:t>
      </w:r>
      <w:r w:rsidR="00975895" w:rsidRPr="00A96204">
        <w:rPr>
          <w:noProof/>
        </w:rPr>
        <w:t xml:space="preserve"> </w:t>
      </w:r>
      <w:r w:rsidRPr="00A96204">
        <w:rPr>
          <w:noProof/>
        </w:rPr>
        <w:t>rights</w:t>
      </w:r>
      <w:r w:rsidR="00975895" w:rsidRPr="00A96204">
        <w:rPr>
          <w:noProof/>
        </w:rPr>
        <w:t xml:space="preserve"> </w:t>
      </w:r>
      <w:r w:rsidRPr="00A96204">
        <w:rPr>
          <w:noProof/>
        </w:rPr>
        <w:t>culture</w:t>
      </w:r>
      <w:r w:rsidR="00975895" w:rsidRPr="00A96204">
        <w:rPr>
          <w:noProof/>
        </w:rPr>
        <w:t xml:space="preserve"> </w:t>
      </w:r>
      <w:r w:rsidRPr="00A96204">
        <w:rPr>
          <w:noProof/>
        </w:rPr>
        <w:t>exists</w:t>
      </w:r>
    </w:p>
    <w:p w14:paraId="520AAE04" w14:textId="4480678B" w:rsidR="008E0945" w:rsidRPr="00A96204" w:rsidRDefault="008E0945" w:rsidP="0002642E">
      <w:pPr>
        <w:pStyle w:val="ListBullet"/>
        <w:rPr>
          <w:noProof/>
        </w:rPr>
      </w:pPr>
      <w:r w:rsidRPr="0002642E">
        <w:rPr>
          <w:rStyle w:val="Characterunderline"/>
          <w:b/>
          <w:u w:val="none"/>
          <w:lang w:val="en-GB"/>
        </w:rPr>
        <w:t>measures</w:t>
      </w:r>
      <w:r w:rsidRPr="0002642E">
        <w:rPr>
          <w:rStyle w:val="Characterunderline"/>
          <w:u w:val="none"/>
          <w:lang w:val="en-GB"/>
        </w:rPr>
        <w:t>:</w:t>
      </w:r>
      <w:r w:rsidR="00975895" w:rsidRPr="0002642E">
        <w:t xml:space="preserve"> </w:t>
      </w:r>
      <w:r w:rsidRPr="00A96204">
        <w:rPr>
          <w:noProof/>
        </w:rPr>
        <w:t>ways</w:t>
      </w:r>
      <w:r w:rsidR="00975895" w:rsidRPr="00A96204">
        <w:rPr>
          <w:noProof/>
        </w:rPr>
        <w:t xml:space="preserve"> </w:t>
      </w:r>
      <w:r w:rsidRPr="00A96204">
        <w:rPr>
          <w:noProof/>
        </w:rPr>
        <w:t>of</w:t>
      </w:r>
      <w:r w:rsidR="00975895" w:rsidRPr="00A96204">
        <w:rPr>
          <w:noProof/>
        </w:rPr>
        <w:t xml:space="preserve"> </w:t>
      </w:r>
      <w:r w:rsidRPr="00A96204">
        <w:rPr>
          <w:noProof/>
        </w:rPr>
        <w:t>tracking</w:t>
      </w:r>
      <w:r w:rsidR="00975895" w:rsidRPr="00A96204">
        <w:rPr>
          <w:noProof/>
        </w:rPr>
        <w:t xml:space="preserve"> </w:t>
      </w:r>
      <w:r w:rsidRPr="00A96204">
        <w:rPr>
          <w:noProof/>
        </w:rPr>
        <w:t>improvements</w:t>
      </w:r>
      <w:r w:rsidR="00975895" w:rsidRPr="00A96204">
        <w:rPr>
          <w:noProof/>
        </w:rPr>
        <w:t xml:space="preserve"> </w:t>
      </w:r>
      <w:r w:rsidRPr="00A96204">
        <w:rPr>
          <w:noProof/>
        </w:rPr>
        <w:t>in</w:t>
      </w:r>
      <w:r w:rsidR="00975895" w:rsidRPr="00A96204">
        <w:rPr>
          <w:noProof/>
        </w:rPr>
        <w:t xml:space="preserve"> </w:t>
      </w:r>
      <w:r w:rsidRPr="00A96204">
        <w:rPr>
          <w:noProof/>
        </w:rPr>
        <w:t>human</w:t>
      </w:r>
      <w:r w:rsidR="00975895" w:rsidRPr="00A96204">
        <w:rPr>
          <w:noProof/>
        </w:rPr>
        <w:t xml:space="preserve"> </w:t>
      </w:r>
      <w:r w:rsidRPr="00A96204">
        <w:rPr>
          <w:noProof/>
        </w:rPr>
        <w:t>rights</w:t>
      </w:r>
      <w:r w:rsidR="00975895" w:rsidRPr="00A96204">
        <w:rPr>
          <w:noProof/>
        </w:rPr>
        <w:t xml:space="preserve"> </w:t>
      </w:r>
      <w:r w:rsidRPr="00A96204">
        <w:rPr>
          <w:noProof/>
        </w:rPr>
        <w:t>culture.</w:t>
      </w:r>
    </w:p>
    <w:p w14:paraId="532D7CED" w14:textId="7914BF5E" w:rsidR="008E0945" w:rsidRPr="003015FD" w:rsidRDefault="008E0945" w:rsidP="0002642E">
      <w:pPr>
        <w:rPr>
          <w:noProof/>
        </w:rPr>
      </w:pPr>
      <w:r w:rsidRPr="0002642E">
        <w:rPr>
          <w:rStyle w:val="Characterunderline"/>
          <w:u w:val="none"/>
          <w:lang w:val="en-GB"/>
        </w:rPr>
        <w:t>For</w:t>
      </w:r>
      <w:r w:rsidR="00975895" w:rsidRPr="0002642E">
        <w:rPr>
          <w:rStyle w:val="Characterunderline"/>
          <w:u w:val="none"/>
          <w:lang w:val="en-GB"/>
        </w:rPr>
        <w:t xml:space="preserve"> </w:t>
      </w:r>
      <w:r w:rsidRPr="0002642E">
        <w:rPr>
          <w:rStyle w:val="Characterunderline"/>
          <w:u w:val="none"/>
          <w:lang w:val="en-GB"/>
        </w:rPr>
        <w:t>a</w:t>
      </w:r>
      <w:r w:rsidR="00975895" w:rsidRPr="0002642E">
        <w:rPr>
          <w:rStyle w:val="Characterunderline"/>
          <w:u w:val="none"/>
          <w:lang w:val="en-GB"/>
        </w:rPr>
        <w:t xml:space="preserve"> </w:t>
      </w:r>
      <w:r w:rsidRPr="0002642E">
        <w:rPr>
          <w:rStyle w:val="Characterunderline"/>
          <w:u w:val="none"/>
          <w:lang w:val="en-GB"/>
        </w:rPr>
        <w:t>full</w:t>
      </w:r>
      <w:r w:rsidR="00975895" w:rsidRPr="0002642E">
        <w:rPr>
          <w:rStyle w:val="Characterunderline"/>
          <w:u w:val="none"/>
          <w:lang w:val="en-GB"/>
        </w:rPr>
        <w:t xml:space="preserve"> </w:t>
      </w:r>
      <w:r w:rsidRPr="0002642E">
        <w:rPr>
          <w:rStyle w:val="Characterunderline"/>
          <w:u w:val="none"/>
          <w:lang w:val="en-GB"/>
        </w:rPr>
        <w:t>depiction</w:t>
      </w:r>
      <w:r w:rsidR="00975895" w:rsidRPr="0002642E">
        <w:rPr>
          <w:rStyle w:val="Characterunderline"/>
          <w:u w:val="none"/>
          <w:lang w:val="en-GB"/>
        </w:rPr>
        <w:t xml:space="preserve"> </w:t>
      </w:r>
      <w:r w:rsidRPr="0002642E">
        <w:rPr>
          <w:rStyle w:val="Characterunderline"/>
          <w:u w:val="none"/>
          <w:lang w:val="en-GB"/>
        </w:rPr>
        <w:t>of</w:t>
      </w:r>
      <w:r w:rsidR="00975895" w:rsidRPr="0002642E">
        <w:rPr>
          <w:rStyle w:val="Characterunderline"/>
          <w:u w:val="none"/>
          <w:lang w:val="en-GB"/>
        </w:rPr>
        <w:t xml:space="preserve"> </w:t>
      </w:r>
      <w:r w:rsidRPr="0002642E">
        <w:rPr>
          <w:rStyle w:val="Characterunderline"/>
          <w:u w:val="none"/>
          <w:lang w:val="en-GB"/>
        </w:rPr>
        <w:t>the</w:t>
      </w:r>
      <w:r w:rsidR="00975895" w:rsidRPr="0002642E">
        <w:rPr>
          <w:rStyle w:val="Characterunderline"/>
          <w:u w:val="none"/>
          <w:lang w:val="en-GB"/>
        </w:rPr>
        <w:t xml:space="preserve"> </w:t>
      </w:r>
      <w:r w:rsidRPr="0002642E">
        <w:rPr>
          <w:rStyle w:val="Characterunderline"/>
          <w:u w:val="none"/>
          <w:lang w:val="en-GB"/>
        </w:rPr>
        <w:t>indicator</w:t>
      </w:r>
      <w:r w:rsidR="00975895" w:rsidRPr="0002642E">
        <w:rPr>
          <w:rStyle w:val="Characterunderline"/>
          <w:u w:val="none"/>
          <w:lang w:val="en-GB"/>
        </w:rPr>
        <w:t xml:space="preserve"> </w:t>
      </w:r>
      <w:r w:rsidRPr="0002642E">
        <w:rPr>
          <w:rStyle w:val="Characterunderline"/>
          <w:u w:val="none"/>
          <w:lang w:val="en-GB"/>
        </w:rPr>
        <w:t>framework</w:t>
      </w:r>
      <w:r w:rsidR="00975895" w:rsidRPr="0002642E">
        <w:rPr>
          <w:rStyle w:val="Characterunderline"/>
          <w:u w:val="none"/>
          <w:lang w:val="en-GB"/>
        </w:rPr>
        <w:t xml:space="preserve"> </w:t>
      </w:r>
      <w:r w:rsidRPr="0002642E">
        <w:rPr>
          <w:rStyle w:val="Characterunderline"/>
          <w:u w:val="none"/>
          <w:lang w:val="en-GB"/>
        </w:rPr>
        <w:t>see</w:t>
      </w:r>
      <w:r w:rsidR="00975895" w:rsidRPr="0002642E">
        <w:rPr>
          <w:rStyle w:val="Characterunderline"/>
          <w:u w:val="none"/>
          <w:lang w:val="en-GB"/>
        </w:rPr>
        <w:t xml:space="preserve"> </w:t>
      </w:r>
      <w:r w:rsidRPr="0002642E">
        <w:rPr>
          <w:rStyle w:val="Characterunderline"/>
          <w:u w:val="none"/>
          <w:lang w:val="en-GB"/>
        </w:rPr>
        <w:t>Appendix</w:t>
      </w:r>
      <w:r w:rsidR="00975895" w:rsidRPr="0002642E">
        <w:rPr>
          <w:rStyle w:val="Characterunderline"/>
          <w:u w:val="none"/>
          <w:lang w:val="en-GB"/>
        </w:rPr>
        <w:t xml:space="preserve"> </w:t>
      </w:r>
      <w:r w:rsidRPr="0002642E">
        <w:rPr>
          <w:rStyle w:val="Characterunderline"/>
          <w:u w:val="none"/>
          <w:lang w:val="en-GB"/>
        </w:rPr>
        <w:t>A</w:t>
      </w:r>
      <w:r w:rsidRPr="003015FD">
        <w:rPr>
          <w:noProof/>
        </w:rPr>
        <w:t>.</w:t>
      </w:r>
    </w:p>
    <w:p w14:paraId="131E7B40" w14:textId="0ADF9662" w:rsidR="008E0945" w:rsidRPr="003015FD" w:rsidRDefault="00E35A1E" w:rsidP="0002642E">
      <w:pPr>
        <w:pStyle w:val="Heading3"/>
      </w:pPr>
      <w:bookmarkStart w:id="46" w:name="_Toc15045099"/>
      <w:r w:rsidRPr="003015FD">
        <w:t>2.4.1</w:t>
      </w:r>
      <w:r w:rsidRPr="003015FD">
        <w:tab/>
      </w:r>
      <w:r w:rsidR="008E0945" w:rsidRPr="003015FD">
        <w:t>Influences</w:t>
      </w:r>
      <w:r w:rsidR="00975895" w:rsidRPr="003015FD">
        <w:t xml:space="preserve"> </w:t>
      </w:r>
      <w:r w:rsidR="008E0945" w:rsidRPr="003015FD">
        <w:t>and</w:t>
      </w:r>
      <w:r w:rsidR="00975895" w:rsidRPr="003015FD">
        <w:t xml:space="preserve"> </w:t>
      </w:r>
      <w:r w:rsidR="008E0945" w:rsidRPr="003015FD">
        <w:t>indicators</w:t>
      </w:r>
      <w:bookmarkEnd w:id="46"/>
    </w:p>
    <w:p w14:paraId="136AEFFD" w14:textId="08A0DDB8" w:rsidR="008E0945" w:rsidRPr="003015FD" w:rsidRDefault="008E0945" w:rsidP="0002642E">
      <w:r w:rsidRPr="003015FD">
        <w:t>The</w:t>
      </w:r>
      <w:r w:rsidR="00975895" w:rsidRPr="003015FD">
        <w:t xml:space="preserve"> </w:t>
      </w:r>
      <w:r w:rsidRPr="003015FD">
        <w:t>Commission</w:t>
      </w:r>
      <w:r w:rsidR="00975895" w:rsidRPr="003015FD">
        <w:t xml:space="preserve"> </w:t>
      </w:r>
      <w:r w:rsidRPr="003015FD">
        <w:t>identified</w:t>
      </w:r>
      <w:r w:rsidR="00975895" w:rsidRPr="003015FD">
        <w:t xml:space="preserve"> </w:t>
      </w:r>
      <w:r w:rsidRPr="003015FD">
        <w:t>six</w:t>
      </w:r>
      <w:r w:rsidR="00975895" w:rsidRPr="003015FD">
        <w:t xml:space="preserve"> </w:t>
      </w:r>
      <w:r w:rsidRPr="003015FD">
        <w:t>key</w:t>
      </w:r>
      <w:r w:rsidR="00975895" w:rsidRPr="003015FD">
        <w:t xml:space="preserve"> </w:t>
      </w:r>
      <w:r w:rsidRPr="003015FD">
        <w:t>influences</w:t>
      </w:r>
      <w:r w:rsidR="00975895" w:rsidRPr="003015FD">
        <w:t xml:space="preserve"> </w:t>
      </w:r>
      <w:r w:rsidRPr="003015FD">
        <w:t>on</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and</w:t>
      </w:r>
      <w:r w:rsidR="00975895" w:rsidRPr="003015FD">
        <w:t xml:space="preserve"> </w:t>
      </w:r>
      <w:r w:rsidRPr="003015FD">
        <w:t>indicators</w:t>
      </w:r>
      <w:r w:rsidR="00975895" w:rsidRPr="003015FD">
        <w:t xml:space="preserve"> </w:t>
      </w:r>
      <w:r w:rsidR="00394139">
        <w:t xml:space="preserve">that </w:t>
      </w:r>
      <w:r w:rsidRPr="003015FD">
        <w:t>show</w:t>
      </w:r>
      <w:r w:rsidR="00975895" w:rsidRPr="003015FD">
        <w:t xml:space="preserve"> </w:t>
      </w:r>
      <w:r w:rsidRPr="003015FD">
        <w:t>whether</w:t>
      </w:r>
      <w:r w:rsidR="00975895" w:rsidRPr="003015FD">
        <w:t xml:space="preserve"> </w:t>
      </w:r>
      <w:r w:rsidRPr="003015FD">
        <w:t>they</w:t>
      </w:r>
      <w:r w:rsidR="00975895" w:rsidRPr="003015FD">
        <w:t xml:space="preserve"> </w:t>
      </w:r>
      <w:r w:rsidRPr="003015FD">
        <w:t>exist.</w:t>
      </w:r>
      <w:r w:rsidR="00975895" w:rsidRPr="003015FD">
        <w:t xml:space="preserve"> </w:t>
      </w:r>
    </w:p>
    <w:tbl>
      <w:tblPr>
        <w:tblStyle w:val="CustomTableblue"/>
        <w:tblW w:w="9493" w:type="dxa"/>
        <w:tblLayout w:type="fixed"/>
        <w:tblLook w:val="0420" w:firstRow="1" w:lastRow="0" w:firstColumn="0" w:lastColumn="0" w:noHBand="0" w:noVBand="1"/>
      </w:tblPr>
      <w:tblGrid>
        <w:gridCol w:w="2972"/>
        <w:gridCol w:w="6521"/>
      </w:tblGrid>
      <w:tr w:rsidR="008E0945" w:rsidRPr="003015FD" w14:paraId="29EAB1E0" w14:textId="77777777" w:rsidTr="0002642E">
        <w:trPr>
          <w:cnfStyle w:val="100000000000" w:firstRow="1" w:lastRow="0" w:firstColumn="0" w:lastColumn="0" w:oddVBand="0" w:evenVBand="0" w:oddHBand="0" w:evenHBand="0" w:firstRowFirstColumn="0" w:firstRowLastColumn="0" w:lastRowFirstColumn="0" w:lastRowLastColumn="0"/>
        </w:trPr>
        <w:tc>
          <w:tcPr>
            <w:tcW w:w="2972" w:type="dxa"/>
          </w:tcPr>
          <w:p w14:paraId="0885770F" w14:textId="5C479562" w:rsidR="008E0945" w:rsidRPr="003015FD" w:rsidRDefault="008E0945" w:rsidP="0002642E">
            <w:pPr>
              <w:pStyle w:val="TableBodyText"/>
            </w:pPr>
            <w:r w:rsidRPr="003015FD">
              <w:t>Influences</w:t>
            </w:r>
            <w:r w:rsidR="00975895" w:rsidRPr="003015FD">
              <w:t xml:space="preserve"> </w:t>
            </w:r>
            <w:r w:rsidRPr="003015FD">
              <w:t>on</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p>
        </w:tc>
        <w:tc>
          <w:tcPr>
            <w:tcW w:w="6521" w:type="dxa"/>
          </w:tcPr>
          <w:p w14:paraId="03352C21" w14:textId="745B842C" w:rsidR="008E0945" w:rsidRPr="003015FD" w:rsidRDefault="008E0945" w:rsidP="0002642E">
            <w:pPr>
              <w:pStyle w:val="TableBodyText"/>
            </w:pPr>
            <w:r w:rsidRPr="003015FD">
              <w:t>Indicators</w:t>
            </w:r>
            <w:r w:rsidR="00975895" w:rsidRPr="003015FD">
              <w:t xml:space="preserve"> </w:t>
            </w:r>
            <w:r w:rsidRPr="003015FD">
              <w:t>of</w:t>
            </w:r>
            <w:r w:rsidR="00975895" w:rsidRPr="003015FD">
              <w:t xml:space="preserve"> </w:t>
            </w:r>
            <w:r w:rsidRPr="003015FD">
              <w:t>a</w:t>
            </w:r>
            <w:r w:rsidR="00975895" w:rsidRPr="003015FD">
              <w:t xml:space="preserve"> </w:t>
            </w:r>
            <w:r w:rsidRPr="003015FD">
              <w:t>positive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p>
        </w:tc>
      </w:tr>
      <w:tr w:rsidR="008E0945" w:rsidRPr="00A96204" w14:paraId="54083F02" w14:textId="77777777" w:rsidTr="0002642E">
        <w:trPr>
          <w:cnfStyle w:val="000000100000" w:firstRow="0" w:lastRow="0" w:firstColumn="0" w:lastColumn="0" w:oddVBand="0" w:evenVBand="0" w:oddHBand="1" w:evenHBand="0" w:firstRowFirstColumn="0" w:firstRowLastColumn="0" w:lastRowFirstColumn="0" w:lastRowLastColumn="0"/>
        </w:trPr>
        <w:tc>
          <w:tcPr>
            <w:tcW w:w="2972" w:type="dxa"/>
          </w:tcPr>
          <w:p w14:paraId="2BB6A795" w14:textId="1E6692EB" w:rsidR="008E0945" w:rsidRPr="00A96204" w:rsidRDefault="008E0945" w:rsidP="003C410B">
            <w:pPr>
              <w:pStyle w:val="TableListNumber"/>
              <w:numPr>
                <w:ilvl w:val="0"/>
                <w:numId w:val="31"/>
              </w:numPr>
              <w:rPr>
                <w:sz w:val="21"/>
                <w:szCs w:val="21"/>
              </w:rPr>
            </w:pPr>
            <w:r w:rsidRPr="0002642E">
              <w:rPr>
                <w:rStyle w:val="Characterbold"/>
                <w:lang w:val="en-GB"/>
              </w:rPr>
              <w:t>Engaged</w:t>
            </w:r>
            <w:r w:rsidR="00975895" w:rsidRPr="0002642E">
              <w:rPr>
                <w:rStyle w:val="Characterbold"/>
                <w:lang w:val="en-GB"/>
              </w:rPr>
              <w:t xml:space="preserve"> </w:t>
            </w:r>
            <w:r w:rsidRPr="0002642E">
              <w:rPr>
                <w:rStyle w:val="Characterbold"/>
                <w:lang w:val="en-GB"/>
              </w:rPr>
              <w:t>leadership</w:t>
            </w:r>
            <w:r w:rsidRPr="00A96204">
              <w:rPr>
                <w:sz w:val="21"/>
                <w:szCs w:val="21"/>
              </w:rPr>
              <w:t>:</w:t>
            </w:r>
            <w:r w:rsidR="00975895" w:rsidRPr="00A96204">
              <w:rPr>
                <w:sz w:val="21"/>
                <w:szCs w:val="21"/>
              </w:rPr>
              <w:t xml:space="preserve"> </w:t>
            </w:r>
            <w:r w:rsidRPr="0002642E">
              <w:rPr>
                <w:sz w:val="21"/>
              </w:rPr>
              <w:t>Formal</w:t>
            </w:r>
            <w:r w:rsidR="00975895" w:rsidRPr="0002642E">
              <w:rPr>
                <w:sz w:val="21"/>
              </w:rPr>
              <w:t xml:space="preserve"> </w:t>
            </w:r>
            <w:r w:rsidRPr="0002642E">
              <w:rPr>
                <w:sz w:val="21"/>
              </w:rPr>
              <w:t>and</w:t>
            </w:r>
            <w:r w:rsidR="00975895" w:rsidRPr="0002642E">
              <w:rPr>
                <w:sz w:val="21"/>
              </w:rPr>
              <w:t xml:space="preserve"> </w:t>
            </w:r>
            <w:r w:rsidRPr="0002642E">
              <w:rPr>
                <w:sz w:val="21"/>
              </w:rPr>
              <w:t>informal</w:t>
            </w:r>
            <w:r w:rsidR="00975895" w:rsidRPr="0002642E">
              <w:rPr>
                <w:sz w:val="21"/>
              </w:rPr>
              <w:t xml:space="preserve"> </w:t>
            </w:r>
            <w:r w:rsidRPr="0002642E">
              <w:rPr>
                <w:sz w:val="21"/>
              </w:rPr>
              <w:t>leaders</w:t>
            </w:r>
            <w:r w:rsidR="00975895" w:rsidRPr="0002642E">
              <w:rPr>
                <w:sz w:val="21"/>
              </w:rPr>
              <w:t xml:space="preserve"> </w:t>
            </w:r>
            <w:r w:rsidRPr="0002642E">
              <w:rPr>
                <w:sz w:val="21"/>
              </w:rPr>
              <w:t>are</w:t>
            </w:r>
            <w:r w:rsidR="00975895" w:rsidRPr="0002642E">
              <w:rPr>
                <w:sz w:val="21"/>
              </w:rPr>
              <w:t xml:space="preserve"> </w:t>
            </w:r>
            <w:r w:rsidRPr="0002642E">
              <w:rPr>
                <w:sz w:val="21"/>
              </w:rPr>
              <w:t>committed</w:t>
            </w:r>
            <w:r w:rsidR="00975895" w:rsidRPr="0002642E">
              <w:rPr>
                <w:sz w:val="21"/>
              </w:rPr>
              <w:t xml:space="preserve"> </w:t>
            </w:r>
            <w:r w:rsidRPr="0002642E">
              <w:rPr>
                <w:sz w:val="21"/>
              </w:rPr>
              <w:t>to</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and</w:t>
            </w:r>
            <w:r w:rsidR="00975895" w:rsidRPr="0002642E">
              <w:rPr>
                <w:sz w:val="21"/>
              </w:rPr>
              <w:t xml:space="preserve"> </w:t>
            </w:r>
            <w:r w:rsidRPr="0002642E">
              <w:rPr>
                <w:sz w:val="21"/>
              </w:rPr>
              <w:t>the</w:t>
            </w:r>
            <w:r w:rsidR="00975895" w:rsidRPr="0002642E">
              <w:rPr>
                <w:sz w:val="21"/>
              </w:rPr>
              <w:t xml:space="preserve"> </w:t>
            </w:r>
            <w:r w:rsidRPr="0002642E">
              <w:rPr>
                <w:sz w:val="21"/>
              </w:rPr>
              <w:t>Charter</w:t>
            </w:r>
          </w:p>
        </w:tc>
        <w:tc>
          <w:tcPr>
            <w:tcW w:w="6521" w:type="dxa"/>
          </w:tcPr>
          <w:p w14:paraId="1947DB5E" w14:textId="218C7903" w:rsidR="008E0945" w:rsidRPr="00E43322" w:rsidRDefault="008E0945" w:rsidP="0002642E">
            <w:pPr>
              <w:pStyle w:val="TableListBullet"/>
            </w:pPr>
            <w:r w:rsidRPr="0002642E">
              <w:rPr>
                <w:sz w:val="21"/>
              </w:rPr>
              <w:t>Formal</w:t>
            </w:r>
            <w:r w:rsidR="00975895" w:rsidRPr="0002642E">
              <w:rPr>
                <w:sz w:val="21"/>
              </w:rPr>
              <w:t xml:space="preserve"> </w:t>
            </w:r>
            <w:r w:rsidRPr="0002642E">
              <w:rPr>
                <w:sz w:val="21"/>
              </w:rPr>
              <w:t>and</w:t>
            </w:r>
            <w:r w:rsidR="00975895" w:rsidRPr="0002642E">
              <w:rPr>
                <w:sz w:val="21"/>
              </w:rPr>
              <w:t xml:space="preserve"> </w:t>
            </w:r>
            <w:r w:rsidRPr="0002642E">
              <w:rPr>
                <w:sz w:val="21"/>
              </w:rPr>
              <w:t>informal</w:t>
            </w:r>
            <w:r w:rsidR="00975895" w:rsidRPr="0002642E">
              <w:rPr>
                <w:sz w:val="21"/>
              </w:rPr>
              <w:t xml:space="preserve"> </w:t>
            </w:r>
            <w:r w:rsidRPr="0002642E">
              <w:rPr>
                <w:sz w:val="21"/>
              </w:rPr>
              <w:t>leaders</w:t>
            </w:r>
            <w:r w:rsidR="00975895" w:rsidRPr="0002642E">
              <w:rPr>
                <w:sz w:val="21"/>
              </w:rPr>
              <w:t xml:space="preserve"> </w:t>
            </w:r>
            <w:r w:rsidRPr="0002642E">
              <w:rPr>
                <w:sz w:val="21"/>
              </w:rPr>
              <w:t>demonstrate</w:t>
            </w:r>
            <w:r w:rsidR="00975895" w:rsidRPr="0002642E">
              <w:rPr>
                <w:sz w:val="21"/>
              </w:rPr>
              <w:t xml:space="preserve"> </w:t>
            </w:r>
            <w:r w:rsidRPr="0002642E">
              <w:rPr>
                <w:sz w:val="21"/>
              </w:rPr>
              <w:t>their</w:t>
            </w:r>
            <w:r w:rsidR="00975895" w:rsidRPr="0002642E">
              <w:rPr>
                <w:sz w:val="21"/>
              </w:rPr>
              <w:t xml:space="preserve"> </w:t>
            </w:r>
            <w:r w:rsidRPr="0002642E">
              <w:rPr>
                <w:sz w:val="21"/>
              </w:rPr>
              <w:t>commitment</w:t>
            </w:r>
            <w:r w:rsidR="00975895" w:rsidRPr="0002642E">
              <w:rPr>
                <w:sz w:val="21"/>
              </w:rPr>
              <w:t xml:space="preserve"> </w:t>
            </w:r>
            <w:r w:rsidRPr="0002642E">
              <w:rPr>
                <w:sz w:val="21"/>
              </w:rPr>
              <w:t>to</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and</w:t>
            </w:r>
            <w:r w:rsidR="00975895" w:rsidRPr="0002642E">
              <w:rPr>
                <w:sz w:val="21"/>
              </w:rPr>
              <w:t xml:space="preserve"> </w:t>
            </w:r>
            <w:r w:rsidRPr="0002642E">
              <w:rPr>
                <w:sz w:val="21"/>
              </w:rPr>
              <w:t>the</w:t>
            </w:r>
            <w:r w:rsidR="00975895" w:rsidRPr="0002642E">
              <w:rPr>
                <w:sz w:val="21"/>
              </w:rPr>
              <w:t xml:space="preserve"> </w:t>
            </w:r>
            <w:r w:rsidRPr="0002642E">
              <w:rPr>
                <w:sz w:val="21"/>
              </w:rPr>
              <w:t>Charter,</w:t>
            </w:r>
            <w:r w:rsidR="00975895" w:rsidRPr="0002642E">
              <w:rPr>
                <w:sz w:val="21"/>
              </w:rPr>
              <w:t xml:space="preserve"> </w:t>
            </w:r>
            <w:r w:rsidRPr="0002642E">
              <w:rPr>
                <w:sz w:val="21"/>
              </w:rPr>
              <w:t>both</w:t>
            </w:r>
            <w:r w:rsidR="00975895" w:rsidRPr="0002642E">
              <w:rPr>
                <w:sz w:val="21"/>
              </w:rPr>
              <w:t xml:space="preserve"> </w:t>
            </w:r>
            <w:r w:rsidRPr="0002642E">
              <w:rPr>
                <w:sz w:val="21"/>
              </w:rPr>
              <w:t>publicly</w:t>
            </w:r>
            <w:r w:rsidR="00975895" w:rsidRPr="0002642E">
              <w:rPr>
                <w:sz w:val="21"/>
              </w:rPr>
              <w:t xml:space="preserve"> </w:t>
            </w:r>
            <w:r w:rsidRPr="0002642E">
              <w:rPr>
                <w:sz w:val="21"/>
              </w:rPr>
              <w:t>and</w:t>
            </w:r>
            <w:r w:rsidR="00975895" w:rsidRPr="0002642E">
              <w:rPr>
                <w:sz w:val="21"/>
              </w:rPr>
              <w:t xml:space="preserve"> </w:t>
            </w:r>
            <w:r w:rsidRPr="0002642E">
              <w:rPr>
                <w:sz w:val="21"/>
              </w:rPr>
              <w:t>within</w:t>
            </w:r>
            <w:r w:rsidR="00975895" w:rsidRPr="0002642E">
              <w:rPr>
                <w:sz w:val="21"/>
              </w:rPr>
              <w:t xml:space="preserve"> </w:t>
            </w:r>
            <w:r w:rsidRPr="0002642E">
              <w:rPr>
                <w:sz w:val="21"/>
              </w:rPr>
              <w:t>their</w:t>
            </w:r>
            <w:r w:rsidR="00975895" w:rsidRPr="0002642E">
              <w:rPr>
                <w:sz w:val="21"/>
              </w:rPr>
              <w:t xml:space="preserve"> </w:t>
            </w:r>
            <w:r w:rsidRPr="0002642E">
              <w:rPr>
                <w:sz w:val="21"/>
              </w:rPr>
              <w:t>respective</w:t>
            </w:r>
            <w:r w:rsidR="00975895" w:rsidRPr="0002642E">
              <w:rPr>
                <w:sz w:val="21"/>
              </w:rPr>
              <w:t xml:space="preserve"> </w:t>
            </w:r>
            <w:r w:rsidRPr="0002642E">
              <w:rPr>
                <w:sz w:val="21"/>
              </w:rPr>
              <w:t>organisations</w:t>
            </w:r>
            <w:r w:rsidR="00394139" w:rsidRPr="0002642E">
              <w:rPr>
                <w:sz w:val="21"/>
              </w:rPr>
              <w:t>.</w:t>
            </w:r>
          </w:p>
          <w:p w14:paraId="74B76FA0" w14:textId="250B21F0" w:rsidR="008E0945" w:rsidRPr="00E43322" w:rsidRDefault="008E0945" w:rsidP="0002642E">
            <w:pPr>
              <w:pStyle w:val="TableListBullet"/>
            </w:pPr>
            <w:r w:rsidRPr="0002642E">
              <w:rPr>
                <w:sz w:val="21"/>
              </w:rPr>
              <w:t>Discussions</w:t>
            </w:r>
            <w:r w:rsidR="00975895" w:rsidRPr="0002642E">
              <w:rPr>
                <w:sz w:val="21"/>
              </w:rPr>
              <w:t xml:space="preserve"> </w:t>
            </w:r>
            <w:r w:rsidRPr="0002642E">
              <w:rPr>
                <w:sz w:val="21"/>
              </w:rPr>
              <w:t>on</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are</w:t>
            </w:r>
            <w:r w:rsidR="00975895" w:rsidRPr="0002642E">
              <w:rPr>
                <w:sz w:val="21"/>
              </w:rPr>
              <w:t xml:space="preserve"> </w:t>
            </w:r>
            <w:r w:rsidRPr="0002642E">
              <w:rPr>
                <w:sz w:val="21"/>
              </w:rPr>
              <w:t>included</w:t>
            </w:r>
            <w:r w:rsidR="00975895" w:rsidRPr="0002642E">
              <w:rPr>
                <w:sz w:val="21"/>
              </w:rPr>
              <w:t xml:space="preserve"> </w:t>
            </w:r>
            <w:r w:rsidRPr="0002642E">
              <w:rPr>
                <w:sz w:val="21"/>
              </w:rPr>
              <w:t>at</w:t>
            </w:r>
            <w:r w:rsidR="00975895" w:rsidRPr="0002642E">
              <w:rPr>
                <w:sz w:val="21"/>
              </w:rPr>
              <w:t xml:space="preserve"> </w:t>
            </w:r>
            <w:r w:rsidRPr="0002642E">
              <w:rPr>
                <w:sz w:val="21"/>
              </w:rPr>
              <w:t>leadership</w:t>
            </w:r>
            <w:r w:rsidR="00975895" w:rsidRPr="0002642E">
              <w:rPr>
                <w:sz w:val="21"/>
              </w:rPr>
              <w:t xml:space="preserve"> </w:t>
            </w:r>
            <w:r w:rsidRPr="0002642E">
              <w:rPr>
                <w:sz w:val="21"/>
              </w:rPr>
              <w:t>forums</w:t>
            </w:r>
            <w:r w:rsidR="00975895" w:rsidRPr="0002642E">
              <w:rPr>
                <w:sz w:val="21"/>
              </w:rPr>
              <w:t xml:space="preserve"> </w:t>
            </w:r>
            <w:r w:rsidRPr="0002642E">
              <w:rPr>
                <w:sz w:val="21"/>
              </w:rPr>
              <w:t>(including</w:t>
            </w:r>
            <w:r w:rsidR="00975895" w:rsidRPr="0002642E">
              <w:rPr>
                <w:sz w:val="21"/>
              </w:rPr>
              <w:t xml:space="preserve"> </w:t>
            </w:r>
            <w:r w:rsidRPr="0002642E">
              <w:rPr>
                <w:sz w:val="21"/>
              </w:rPr>
              <w:t>at</w:t>
            </w:r>
            <w:r w:rsidR="00975895" w:rsidRPr="0002642E">
              <w:rPr>
                <w:sz w:val="21"/>
              </w:rPr>
              <w:t xml:space="preserve"> </w:t>
            </w:r>
            <w:r w:rsidRPr="0002642E">
              <w:rPr>
                <w:sz w:val="21"/>
              </w:rPr>
              <w:t>business</w:t>
            </w:r>
            <w:r w:rsidR="00975895" w:rsidRPr="0002642E">
              <w:rPr>
                <w:sz w:val="21"/>
              </w:rPr>
              <w:t xml:space="preserve"> </w:t>
            </w:r>
            <w:r w:rsidRPr="0002642E">
              <w:rPr>
                <w:sz w:val="21"/>
              </w:rPr>
              <w:t>and</w:t>
            </w:r>
            <w:r w:rsidR="00975895" w:rsidRPr="0002642E">
              <w:rPr>
                <w:sz w:val="21"/>
              </w:rPr>
              <w:t xml:space="preserve"> </w:t>
            </w:r>
            <w:r w:rsidRPr="0002642E">
              <w:rPr>
                <w:sz w:val="21"/>
              </w:rPr>
              <w:t>branch</w:t>
            </w:r>
            <w:r w:rsidR="00975895" w:rsidRPr="0002642E">
              <w:rPr>
                <w:sz w:val="21"/>
              </w:rPr>
              <w:t xml:space="preserve"> </w:t>
            </w:r>
            <w:r w:rsidRPr="0002642E">
              <w:rPr>
                <w:sz w:val="21"/>
              </w:rPr>
              <w:t>planning</w:t>
            </w:r>
            <w:r w:rsidR="00975895" w:rsidRPr="0002642E">
              <w:rPr>
                <w:sz w:val="21"/>
              </w:rPr>
              <w:t xml:space="preserve"> </w:t>
            </w:r>
            <w:r w:rsidRPr="0002642E">
              <w:rPr>
                <w:sz w:val="21"/>
              </w:rPr>
              <w:t>forums)</w:t>
            </w:r>
            <w:r w:rsidR="00394139" w:rsidRPr="0002642E">
              <w:rPr>
                <w:sz w:val="21"/>
              </w:rPr>
              <w:t>.</w:t>
            </w:r>
          </w:p>
          <w:p w14:paraId="3C423C18" w14:textId="3721B05B" w:rsidR="008E0945" w:rsidRPr="00A96204" w:rsidRDefault="008E0945" w:rsidP="005B74F5">
            <w:pPr>
              <w:pStyle w:val="TableListBullet"/>
              <w:rPr>
                <w:sz w:val="21"/>
                <w:szCs w:val="21"/>
              </w:rPr>
            </w:pPr>
            <w:r w:rsidRPr="0002642E">
              <w:rPr>
                <w:sz w:val="21"/>
              </w:rPr>
              <w:t>Executive</w:t>
            </w:r>
            <w:r w:rsidR="00975895" w:rsidRPr="0002642E">
              <w:rPr>
                <w:sz w:val="21"/>
              </w:rPr>
              <w:t xml:space="preserve"> </w:t>
            </w:r>
            <w:r w:rsidRPr="0002642E">
              <w:rPr>
                <w:sz w:val="21"/>
              </w:rPr>
              <w:t>performance</w:t>
            </w:r>
            <w:r w:rsidR="00975895" w:rsidRPr="0002642E">
              <w:rPr>
                <w:sz w:val="21"/>
              </w:rPr>
              <w:t xml:space="preserve"> </w:t>
            </w:r>
            <w:r w:rsidRPr="0002642E">
              <w:rPr>
                <w:sz w:val="21"/>
              </w:rPr>
              <w:t>review</w:t>
            </w:r>
            <w:r w:rsidR="00975895" w:rsidRPr="0002642E">
              <w:rPr>
                <w:sz w:val="21"/>
              </w:rPr>
              <w:t xml:space="preserve"> </w:t>
            </w:r>
            <w:r w:rsidRPr="0002642E">
              <w:rPr>
                <w:sz w:val="21"/>
              </w:rPr>
              <w:t>documents</w:t>
            </w:r>
            <w:r w:rsidR="00975895" w:rsidRPr="0002642E">
              <w:rPr>
                <w:sz w:val="21"/>
              </w:rPr>
              <w:t xml:space="preserve"> </w:t>
            </w:r>
            <w:r w:rsidRPr="0002642E">
              <w:rPr>
                <w:sz w:val="21"/>
              </w:rPr>
              <w:t>include</w:t>
            </w:r>
            <w:r w:rsidR="00975895" w:rsidRPr="0002642E">
              <w:rPr>
                <w:sz w:val="21"/>
              </w:rPr>
              <w:t xml:space="preserve"> </w:t>
            </w:r>
            <w:r w:rsidRPr="0002642E">
              <w:rPr>
                <w:sz w:val="21"/>
              </w:rPr>
              <w:t>metrics</w:t>
            </w:r>
            <w:r w:rsidR="00975895" w:rsidRPr="0002642E">
              <w:rPr>
                <w:sz w:val="21"/>
              </w:rPr>
              <w:t xml:space="preserve"> </w:t>
            </w:r>
            <w:r w:rsidRPr="0002642E">
              <w:rPr>
                <w:sz w:val="21"/>
              </w:rPr>
              <w:t>on</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p>
        </w:tc>
      </w:tr>
      <w:tr w:rsidR="008E0945" w:rsidRPr="00A96204" w14:paraId="355FF6CF" w14:textId="77777777" w:rsidTr="0002642E">
        <w:trPr>
          <w:cnfStyle w:val="000000010000" w:firstRow="0" w:lastRow="0" w:firstColumn="0" w:lastColumn="0" w:oddVBand="0" w:evenVBand="0" w:oddHBand="0" w:evenHBand="1" w:firstRowFirstColumn="0" w:firstRowLastColumn="0" w:lastRowFirstColumn="0" w:lastRowLastColumn="0"/>
        </w:trPr>
        <w:tc>
          <w:tcPr>
            <w:tcW w:w="2972" w:type="dxa"/>
          </w:tcPr>
          <w:p w14:paraId="5B6604D8" w14:textId="59C7AEAB" w:rsidR="008E0945" w:rsidRPr="00A96204" w:rsidRDefault="008E0945" w:rsidP="003C410B">
            <w:pPr>
              <w:pStyle w:val="TableListNumber"/>
              <w:numPr>
                <w:ilvl w:val="0"/>
                <w:numId w:val="31"/>
              </w:numPr>
              <w:rPr>
                <w:rStyle w:val="Characterbold"/>
                <w:rFonts w:eastAsiaTheme="minorHAnsi" w:cstheme="minorBidi"/>
                <w:bCs w:val="0"/>
                <w:sz w:val="21"/>
                <w:szCs w:val="21"/>
                <w:lang w:val="en-GB" w:eastAsia="en-US"/>
              </w:rPr>
            </w:pPr>
            <w:r w:rsidRPr="0002642E">
              <w:rPr>
                <w:rStyle w:val="Characterbold"/>
                <w:lang w:val="en-GB"/>
              </w:rPr>
              <w:t>Attitudes</w:t>
            </w:r>
            <w:r w:rsidR="00975895" w:rsidRPr="0002642E">
              <w:rPr>
                <w:rStyle w:val="Characterbold"/>
                <w:lang w:val="en-GB"/>
              </w:rPr>
              <w:t xml:space="preserve"> </w:t>
            </w:r>
            <w:r w:rsidRPr="0002642E">
              <w:rPr>
                <w:rStyle w:val="Characterbold"/>
                <w:lang w:val="en-GB"/>
              </w:rPr>
              <w:t>and</w:t>
            </w:r>
            <w:r w:rsidR="00975895" w:rsidRPr="0002642E">
              <w:rPr>
                <w:rStyle w:val="Characterbold"/>
                <w:lang w:val="en-GB"/>
              </w:rPr>
              <w:t xml:space="preserve"> </w:t>
            </w:r>
            <w:r w:rsidRPr="0002642E">
              <w:rPr>
                <w:rStyle w:val="Characterbold"/>
                <w:lang w:val="en-GB"/>
              </w:rPr>
              <w:t>values</w:t>
            </w:r>
            <w:r w:rsidR="00975895" w:rsidRPr="0002642E">
              <w:rPr>
                <w:rStyle w:val="Characterbold"/>
                <w:lang w:val="en-GB"/>
              </w:rPr>
              <w:t xml:space="preserve"> </w:t>
            </w:r>
            <w:r w:rsidRPr="0002642E">
              <w:rPr>
                <w:rStyle w:val="Characterbold"/>
                <w:lang w:val="en-GB"/>
              </w:rPr>
              <w:t>of</w:t>
            </w:r>
            <w:r w:rsidR="00975895" w:rsidRPr="0002642E">
              <w:rPr>
                <w:rStyle w:val="Characterbold"/>
                <w:lang w:val="en-GB"/>
              </w:rPr>
              <w:t xml:space="preserve"> </w:t>
            </w:r>
            <w:r w:rsidRPr="0002642E">
              <w:rPr>
                <w:rStyle w:val="Characterbold"/>
                <w:lang w:val="en-GB"/>
              </w:rPr>
              <w:t>employees</w:t>
            </w:r>
            <w:r w:rsidRPr="00A96204">
              <w:rPr>
                <w:rStyle w:val="Characterbold"/>
                <w:sz w:val="21"/>
                <w:szCs w:val="21"/>
                <w:lang w:val="en-GB"/>
              </w:rPr>
              <w:t>:</w:t>
            </w:r>
            <w:r w:rsidR="00975895" w:rsidRPr="00A96204">
              <w:rPr>
                <w:rStyle w:val="Characterbold"/>
                <w:sz w:val="21"/>
                <w:szCs w:val="21"/>
                <w:lang w:val="en-GB"/>
              </w:rPr>
              <w:t xml:space="preserve"> </w:t>
            </w:r>
            <w:r w:rsidRPr="0002642E">
              <w:rPr>
                <w:sz w:val="21"/>
              </w:rPr>
              <w:t>Employees</w:t>
            </w:r>
            <w:r w:rsidR="00975895" w:rsidRPr="0002642E">
              <w:rPr>
                <w:sz w:val="21"/>
              </w:rPr>
              <w:t xml:space="preserve"> </w:t>
            </w:r>
            <w:r w:rsidRPr="0002642E">
              <w:rPr>
                <w:sz w:val="21"/>
              </w:rPr>
              <w:t>value</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and</w:t>
            </w:r>
            <w:r w:rsidR="00975895" w:rsidRPr="0002642E">
              <w:rPr>
                <w:sz w:val="21"/>
              </w:rPr>
              <w:t xml:space="preserve"> </w:t>
            </w:r>
            <w:r w:rsidRPr="0002642E">
              <w:rPr>
                <w:sz w:val="21"/>
              </w:rPr>
              <w:t>are</w:t>
            </w:r>
            <w:r w:rsidR="00975895" w:rsidRPr="0002642E">
              <w:rPr>
                <w:sz w:val="21"/>
              </w:rPr>
              <w:t xml:space="preserve"> </w:t>
            </w:r>
            <w:r w:rsidRPr="0002642E">
              <w:rPr>
                <w:sz w:val="21"/>
              </w:rPr>
              <w:t>encouraged</w:t>
            </w:r>
            <w:r w:rsidR="00975895" w:rsidRPr="0002642E">
              <w:rPr>
                <w:sz w:val="21"/>
              </w:rPr>
              <w:t xml:space="preserve"> </w:t>
            </w:r>
            <w:r w:rsidRPr="0002642E">
              <w:rPr>
                <w:sz w:val="21"/>
              </w:rPr>
              <w:t>to</w:t>
            </w:r>
            <w:r w:rsidR="00975895" w:rsidRPr="0002642E">
              <w:rPr>
                <w:sz w:val="21"/>
              </w:rPr>
              <w:t xml:space="preserve"> </w:t>
            </w:r>
            <w:r w:rsidRPr="0002642E">
              <w:rPr>
                <w:sz w:val="21"/>
              </w:rPr>
              <w:t>act</w:t>
            </w:r>
            <w:r w:rsidR="00975895" w:rsidRPr="0002642E">
              <w:rPr>
                <w:sz w:val="21"/>
              </w:rPr>
              <w:t xml:space="preserve"> </w:t>
            </w:r>
            <w:r w:rsidRPr="0002642E">
              <w:rPr>
                <w:sz w:val="21"/>
              </w:rPr>
              <w:t>consistently</w:t>
            </w:r>
            <w:r w:rsidR="00975895" w:rsidRPr="0002642E">
              <w:rPr>
                <w:sz w:val="21"/>
              </w:rPr>
              <w:t xml:space="preserve"> </w:t>
            </w:r>
            <w:r w:rsidRPr="0002642E">
              <w:rPr>
                <w:sz w:val="21"/>
              </w:rPr>
              <w:t>with</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p>
        </w:tc>
        <w:tc>
          <w:tcPr>
            <w:tcW w:w="6521" w:type="dxa"/>
          </w:tcPr>
          <w:p w14:paraId="73D4B97E" w14:textId="34E8902E" w:rsidR="008E0945" w:rsidRPr="00E43322" w:rsidRDefault="008E0945" w:rsidP="0002642E">
            <w:pPr>
              <w:pStyle w:val="TableListBullet"/>
            </w:pPr>
            <w:r w:rsidRPr="0002642E">
              <w:rPr>
                <w:sz w:val="21"/>
              </w:rPr>
              <w:t>People</w:t>
            </w:r>
            <w:r w:rsidR="00975895" w:rsidRPr="0002642E">
              <w:rPr>
                <w:sz w:val="21"/>
              </w:rPr>
              <w:t xml:space="preserve"> </w:t>
            </w:r>
            <w:r w:rsidRPr="0002642E">
              <w:rPr>
                <w:sz w:val="21"/>
              </w:rPr>
              <w:t>feel</w:t>
            </w:r>
            <w:r w:rsidR="00975895" w:rsidRPr="0002642E">
              <w:rPr>
                <w:sz w:val="21"/>
              </w:rPr>
              <w:t xml:space="preserve"> </w:t>
            </w:r>
            <w:r w:rsidRPr="0002642E">
              <w:rPr>
                <w:sz w:val="21"/>
              </w:rPr>
              <w:t>safe</w:t>
            </w:r>
            <w:r w:rsidR="00975895" w:rsidRPr="0002642E">
              <w:rPr>
                <w:sz w:val="21"/>
              </w:rPr>
              <w:t xml:space="preserve"> </w:t>
            </w:r>
            <w:r w:rsidRPr="0002642E">
              <w:rPr>
                <w:sz w:val="21"/>
              </w:rPr>
              <w:t>to</w:t>
            </w:r>
            <w:r w:rsidR="00975895" w:rsidRPr="0002642E">
              <w:rPr>
                <w:sz w:val="21"/>
              </w:rPr>
              <w:t xml:space="preserve"> </w:t>
            </w:r>
            <w:r w:rsidRPr="0002642E">
              <w:rPr>
                <w:sz w:val="21"/>
              </w:rPr>
              <w:t>raise</w:t>
            </w:r>
            <w:r w:rsidR="00975895" w:rsidRPr="0002642E">
              <w:rPr>
                <w:sz w:val="21"/>
              </w:rPr>
              <w:t xml:space="preserve"> </w:t>
            </w:r>
            <w:r w:rsidRPr="0002642E">
              <w:rPr>
                <w:sz w:val="21"/>
              </w:rPr>
              <w:t>issues</w:t>
            </w:r>
            <w:r w:rsidR="00975895" w:rsidRPr="0002642E">
              <w:rPr>
                <w:sz w:val="21"/>
              </w:rPr>
              <w:t xml:space="preserve"> </w:t>
            </w:r>
            <w:r w:rsidRPr="0002642E">
              <w:rPr>
                <w:sz w:val="21"/>
              </w:rPr>
              <w:t>and</w:t>
            </w:r>
            <w:r w:rsidR="00975895" w:rsidRPr="0002642E">
              <w:rPr>
                <w:sz w:val="21"/>
              </w:rPr>
              <w:t xml:space="preserve"> </w:t>
            </w:r>
            <w:r w:rsidRPr="0002642E">
              <w:rPr>
                <w:sz w:val="21"/>
              </w:rPr>
              <w:t>call</w:t>
            </w:r>
            <w:r w:rsidR="00975895" w:rsidRPr="0002642E">
              <w:rPr>
                <w:sz w:val="21"/>
              </w:rPr>
              <w:t xml:space="preserve"> </w:t>
            </w:r>
            <w:r w:rsidRPr="0002642E">
              <w:rPr>
                <w:sz w:val="21"/>
              </w:rPr>
              <w:t>out</w:t>
            </w:r>
            <w:r w:rsidR="00975895" w:rsidRPr="0002642E">
              <w:rPr>
                <w:sz w:val="21"/>
              </w:rPr>
              <w:t xml:space="preserve"> </w:t>
            </w:r>
            <w:r w:rsidRPr="0002642E">
              <w:rPr>
                <w:sz w:val="21"/>
              </w:rPr>
              <w:t>problems</w:t>
            </w:r>
            <w:r w:rsidR="00566B1E" w:rsidRPr="0002642E">
              <w:rPr>
                <w:sz w:val="21"/>
              </w:rPr>
              <w:t>.</w:t>
            </w:r>
            <w:r w:rsidR="00975895" w:rsidRPr="0002642E">
              <w:rPr>
                <w:sz w:val="21"/>
              </w:rPr>
              <w:t xml:space="preserve"> </w:t>
            </w:r>
          </w:p>
          <w:p w14:paraId="42DD0D9C" w14:textId="5C84A971" w:rsidR="008E0945" w:rsidRPr="00A96204" w:rsidRDefault="008E0945" w:rsidP="005B74F5">
            <w:pPr>
              <w:pStyle w:val="TableListBullet"/>
              <w:rPr>
                <w:sz w:val="21"/>
                <w:szCs w:val="21"/>
              </w:rPr>
            </w:pPr>
            <w:r w:rsidRPr="0002642E">
              <w:rPr>
                <w:sz w:val="21"/>
              </w:rPr>
              <w:t>The</w:t>
            </w:r>
            <w:r w:rsidR="00975895" w:rsidRPr="0002642E">
              <w:rPr>
                <w:sz w:val="21"/>
              </w:rPr>
              <w:t xml:space="preserve"> </w:t>
            </w:r>
            <w:r w:rsidRPr="0002642E">
              <w:rPr>
                <w:sz w:val="21"/>
              </w:rPr>
              <w:t>organisation</w:t>
            </w:r>
            <w:r w:rsidR="00975895" w:rsidRPr="0002642E">
              <w:rPr>
                <w:sz w:val="21"/>
              </w:rPr>
              <w:t xml:space="preserve"> </w:t>
            </w:r>
            <w:r w:rsidRPr="0002642E">
              <w:rPr>
                <w:sz w:val="21"/>
              </w:rPr>
              <w:t>is</w:t>
            </w:r>
            <w:r w:rsidR="00975895" w:rsidRPr="0002642E">
              <w:rPr>
                <w:sz w:val="21"/>
              </w:rPr>
              <w:t xml:space="preserve"> </w:t>
            </w:r>
            <w:r w:rsidRPr="0002642E">
              <w:rPr>
                <w:sz w:val="21"/>
              </w:rPr>
              <w:t>genuinely</w:t>
            </w:r>
            <w:r w:rsidR="00975895" w:rsidRPr="0002642E">
              <w:rPr>
                <w:sz w:val="21"/>
              </w:rPr>
              <w:t xml:space="preserve"> </w:t>
            </w:r>
            <w:r w:rsidRPr="0002642E">
              <w:rPr>
                <w:sz w:val="21"/>
              </w:rPr>
              <w:t>diverse</w:t>
            </w:r>
            <w:r w:rsidR="00975895" w:rsidRPr="0002642E">
              <w:rPr>
                <w:sz w:val="21"/>
              </w:rPr>
              <w:t xml:space="preserve"> </w:t>
            </w:r>
            <w:r w:rsidRPr="0002642E">
              <w:rPr>
                <w:sz w:val="21"/>
              </w:rPr>
              <w:t>and</w:t>
            </w:r>
            <w:r w:rsidR="00975895" w:rsidRPr="0002642E">
              <w:rPr>
                <w:sz w:val="21"/>
              </w:rPr>
              <w:t xml:space="preserve"> </w:t>
            </w:r>
            <w:r w:rsidRPr="0002642E">
              <w:rPr>
                <w:sz w:val="21"/>
              </w:rPr>
              <w:t>inclusive</w:t>
            </w:r>
            <w:r w:rsidR="00975895" w:rsidRPr="0002642E">
              <w:rPr>
                <w:sz w:val="21"/>
              </w:rPr>
              <w:t xml:space="preserve"> </w:t>
            </w:r>
            <w:r w:rsidRPr="0002642E">
              <w:rPr>
                <w:sz w:val="21"/>
              </w:rPr>
              <w:t>and</w:t>
            </w:r>
            <w:r w:rsidR="00975895" w:rsidRPr="0002642E">
              <w:rPr>
                <w:sz w:val="21"/>
              </w:rPr>
              <w:t xml:space="preserve"> </w:t>
            </w:r>
            <w:r w:rsidRPr="0002642E">
              <w:rPr>
                <w:sz w:val="21"/>
              </w:rPr>
              <w:t>reflects</w:t>
            </w:r>
            <w:r w:rsidR="00975895" w:rsidRPr="0002642E">
              <w:rPr>
                <w:sz w:val="21"/>
              </w:rPr>
              <w:t xml:space="preserve"> </w:t>
            </w:r>
            <w:r w:rsidRPr="0002642E">
              <w:rPr>
                <w:sz w:val="21"/>
              </w:rPr>
              <w:t>the</w:t>
            </w:r>
            <w:r w:rsidR="00975895" w:rsidRPr="0002642E">
              <w:rPr>
                <w:sz w:val="21"/>
              </w:rPr>
              <w:t xml:space="preserve"> </w:t>
            </w:r>
            <w:r w:rsidRPr="0002642E">
              <w:rPr>
                <w:sz w:val="21"/>
              </w:rPr>
              <w:t>communities</w:t>
            </w:r>
            <w:r w:rsidR="00975895" w:rsidRPr="0002642E">
              <w:rPr>
                <w:sz w:val="21"/>
              </w:rPr>
              <w:t xml:space="preserve"> </w:t>
            </w:r>
            <w:r w:rsidRPr="0002642E">
              <w:rPr>
                <w:sz w:val="21"/>
              </w:rPr>
              <w:t>it</w:t>
            </w:r>
            <w:r w:rsidR="00975895" w:rsidRPr="0002642E">
              <w:rPr>
                <w:sz w:val="21"/>
              </w:rPr>
              <w:t xml:space="preserve"> </w:t>
            </w:r>
            <w:r w:rsidRPr="0002642E">
              <w:rPr>
                <w:sz w:val="21"/>
              </w:rPr>
              <w:t>serves</w:t>
            </w:r>
            <w:r w:rsidR="00394139" w:rsidRPr="0002642E">
              <w:rPr>
                <w:sz w:val="21"/>
              </w:rPr>
              <w:t>.</w:t>
            </w:r>
          </w:p>
        </w:tc>
      </w:tr>
      <w:tr w:rsidR="008E0945" w:rsidRPr="00A96204" w14:paraId="75A2192A" w14:textId="77777777" w:rsidTr="0002642E">
        <w:trPr>
          <w:cnfStyle w:val="000000100000" w:firstRow="0" w:lastRow="0" w:firstColumn="0" w:lastColumn="0" w:oddVBand="0" w:evenVBand="0" w:oddHBand="1" w:evenHBand="0" w:firstRowFirstColumn="0" w:firstRowLastColumn="0" w:lastRowFirstColumn="0" w:lastRowLastColumn="0"/>
        </w:trPr>
        <w:tc>
          <w:tcPr>
            <w:tcW w:w="2972" w:type="dxa"/>
          </w:tcPr>
          <w:p w14:paraId="3D8C3492" w14:textId="3F0F99C4" w:rsidR="008E0945" w:rsidRPr="00A96204" w:rsidRDefault="008E0945" w:rsidP="003C410B">
            <w:pPr>
              <w:pStyle w:val="TableListNumber"/>
              <w:numPr>
                <w:ilvl w:val="0"/>
                <w:numId w:val="31"/>
              </w:numPr>
              <w:rPr>
                <w:rStyle w:val="Characterbold"/>
                <w:rFonts w:eastAsiaTheme="minorHAnsi" w:cstheme="minorBidi"/>
                <w:bCs w:val="0"/>
                <w:sz w:val="21"/>
                <w:szCs w:val="21"/>
                <w:lang w:val="en-GB" w:eastAsia="en-US"/>
              </w:rPr>
            </w:pPr>
            <w:r w:rsidRPr="0002642E">
              <w:rPr>
                <w:rStyle w:val="Characterbold"/>
                <w:lang w:val="en-GB"/>
              </w:rPr>
              <w:lastRenderedPageBreak/>
              <w:t>Transparency</w:t>
            </w:r>
            <w:r w:rsidR="00975895" w:rsidRPr="0002642E">
              <w:rPr>
                <w:rStyle w:val="Characterbold"/>
                <w:lang w:val="en-GB"/>
              </w:rPr>
              <w:t xml:space="preserve"> </w:t>
            </w:r>
            <w:r w:rsidRPr="0002642E">
              <w:rPr>
                <w:rStyle w:val="Characterbold"/>
                <w:lang w:val="en-GB"/>
              </w:rPr>
              <w:t>and</w:t>
            </w:r>
            <w:r w:rsidR="00975895" w:rsidRPr="0002642E">
              <w:rPr>
                <w:rStyle w:val="Characterbold"/>
                <w:lang w:val="en-GB"/>
              </w:rPr>
              <w:t xml:space="preserve"> </w:t>
            </w:r>
            <w:r w:rsidRPr="0002642E">
              <w:rPr>
                <w:rStyle w:val="Characterbold"/>
                <w:lang w:val="en-GB"/>
              </w:rPr>
              <w:t>accountability</w:t>
            </w:r>
            <w:r w:rsidRPr="00A96204">
              <w:rPr>
                <w:rStyle w:val="Characterbold"/>
                <w:sz w:val="21"/>
                <w:szCs w:val="21"/>
                <w:lang w:val="en-GB"/>
              </w:rPr>
              <w:t>:</w:t>
            </w:r>
            <w:r w:rsidR="00975895" w:rsidRPr="00A96204">
              <w:rPr>
                <w:rStyle w:val="Characterbold"/>
                <w:sz w:val="21"/>
                <w:szCs w:val="21"/>
                <w:lang w:val="en-GB"/>
              </w:rPr>
              <w:t xml:space="preserve"> </w:t>
            </w:r>
            <w:r w:rsidR="00326076" w:rsidRPr="0002642E">
              <w:rPr>
                <w:sz w:val="21"/>
              </w:rPr>
              <w:t>O</w:t>
            </w:r>
            <w:r w:rsidRPr="0002642E">
              <w:rPr>
                <w:sz w:val="21"/>
              </w:rPr>
              <w:t>rganisation</w:t>
            </w:r>
            <w:r w:rsidR="00326076" w:rsidRPr="0002642E">
              <w:rPr>
                <w:sz w:val="21"/>
              </w:rPr>
              <w:t>s</w:t>
            </w:r>
            <w:r w:rsidR="00975895" w:rsidRPr="0002642E">
              <w:rPr>
                <w:sz w:val="21"/>
              </w:rPr>
              <w:t xml:space="preserve"> </w:t>
            </w:r>
            <w:r w:rsidRPr="0002642E">
              <w:rPr>
                <w:sz w:val="21"/>
              </w:rPr>
              <w:t>understand</w:t>
            </w:r>
            <w:r w:rsidR="00975895" w:rsidRPr="0002642E">
              <w:rPr>
                <w:sz w:val="21"/>
              </w:rPr>
              <w:t xml:space="preserve"> </w:t>
            </w:r>
            <w:r w:rsidRPr="0002642E">
              <w:rPr>
                <w:sz w:val="21"/>
              </w:rPr>
              <w:t>good</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practice</w:t>
            </w:r>
            <w:r w:rsidR="00975895" w:rsidRPr="0002642E">
              <w:rPr>
                <w:sz w:val="21"/>
              </w:rPr>
              <w:t xml:space="preserve"> </w:t>
            </w:r>
            <w:r w:rsidRPr="0002642E">
              <w:rPr>
                <w:sz w:val="21"/>
              </w:rPr>
              <w:t>and</w:t>
            </w:r>
            <w:r w:rsidR="00975895" w:rsidRPr="0002642E">
              <w:rPr>
                <w:sz w:val="21"/>
              </w:rPr>
              <w:t xml:space="preserve"> </w:t>
            </w:r>
            <w:r w:rsidRPr="0002642E">
              <w:rPr>
                <w:sz w:val="21"/>
              </w:rPr>
              <w:t>compl</w:t>
            </w:r>
            <w:r w:rsidR="00326076" w:rsidRPr="0002642E">
              <w:rPr>
                <w:sz w:val="21"/>
              </w:rPr>
              <w:t>y</w:t>
            </w:r>
            <w:r w:rsidR="00975895" w:rsidRPr="0002642E">
              <w:rPr>
                <w:sz w:val="21"/>
              </w:rPr>
              <w:t xml:space="preserve"> </w:t>
            </w:r>
            <w:r w:rsidRPr="0002642E">
              <w:rPr>
                <w:sz w:val="21"/>
              </w:rPr>
              <w:t>with</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reporting</w:t>
            </w:r>
            <w:r w:rsidR="00975895" w:rsidRPr="0002642E">
              <w:rPr>
                <w:sz w:val="21"/>
              </w:rPr>
              <w:t xml:space="preserve"> </w:t>
            </w:r>
            <w:r w:rsidRPr="0002642E">
              <w:rPr>
                <w:sz w:val="21"/>
              </w:rPr>
              <w:t>mechanisms</w:t>
            </w:r>
          </w:p>
        </w:tc>
        <w:tc>
          <w:tcPr>
            <w:tcW w:w="6521" w:type="dxa"/>
          </w:tcPr>
          <w:p w14:paraId="46C9A8EB" w14:textId="69DEC6E2" w:rsidR="008E0945" w:rsidRPr="00E43322" w:rsidRDefault="008E0945" w:rsidP="0002642E">
            <w:pPr>
              <w:pStyle w:val="TableListBullet"/>
            </w:pPr>
            <w:r w:rsidRPr="0002642E">
              <w:rPr>
                <w:sz w:val="21"/>
              </w:rPr>
              <w:t>The</w:t>
            </w:r>
            <w:r w:rsidR="00975895" w:rsidRPr="0002642E">
              <w:rPr>
                <w:sz w:val="21"/>
              </w:rPr>
              <w:t xml:space="preserve"> </w:t>
            </w:r>
            <w:r w:rsidRPr="0002642E">
              <w:rPr>
                <w:sz w:val="21"/>
              </w:rPr>
              <w:t>organisation</w:t>
            </w:r>
            <w:r w:rsidR="00975895" w:rsidRPr="0002642E">
              <w:rPr>
                <w:sz w:val="21"/>
              </w:rPr>
              <w:t xml:space="preserve"> </w:t>
            </w:r>
            <w:r w:rsidRPr="0002642E">
              <w:rPr>
                <w:sz w:val="21"/>
              </w:rPr>
              <w:t>understands</w:t>
            </w:r>
            <w:r w:rsidR="00975895" w:rsidRPr="0002642E">
              <w:rPr>
                <w:sz w:val="21"/>
              </w:rPr>
              <w:t xml:space="preserve"> </w:t>
            </w:r>
            <w:r w:rsidRPr="0002642E">
              <w:rPr>
                <w:sz w:val="21"/>
              </w:rPr>
              <w:t>what</w:t>
            </w:r>
            <w:r w:rsidR="00975895" w:rsidRPr="0002642E">
              <w:rPr>
                <w:sz w:val="21"/>
              </w:rPr>
              <w:t xml:space="preserve"> </w:t>
            </w:r>
            <w:r w:rsidRPr="0002642E">
              <w:rPr>
                <w:sz w:val="21"/>
              </w:rPr>
              <w:t>is</w:t>
            </w:r>
            <w:r w:rsidR="00975895" w:rsidRPr="0002642E">
              <w:rPr>
                <w:sz w:val="21"/>
              </w:rPr>
              <w:t xml:space="preserve"> </w:t>
            </w:r>
            <w:r w:rsidRPr="0002642E">
              <w:rPr>
                <w:sz w:val="21"/>
              </w:rPr>
              <w:t>required</w:t>
            </w:r>
            <w:r w:rsidR="00975895" w:rsidRPr="0002642E">
              <w:rPr>
                <w:sz w:val="21"/>
              </w:rPr>
              <w:t xml:space="preserve"> </w:t>
            </w:r>
            <w:r w:rsidRPr="0002642E">
              <w:rPr>
                <w:sz w:val="21"/>
              </w:rPr>
              <w:t>for</w:t>
            </w:r>
            <w:r w:rsidR="00975895" w:rsidRPr="0002642E">
              <w:rPr>
                <w:sz w:val="21"/>
              </w:rPr>
              <w:t xml:space="preserve"> </w:t>
            </w:r>
            <w:r w:rsidR="000C5726" w:rsidRPr="00A96204">
              <w:rPr>
                <w:sz w:val="21"/>
                <w:szCs w:val="21"/>
              </w:rPr>
              <w:t>"</w:t>
            </w:r>
            <w:r w:rsidRPr="0002642E">
              <w:rPr>
                <w:sz w:val="21"/>
              </w:rPr>
              <w:t>good</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practice</w:t>
            </w:r>
            <w:r w:rsidR="000C5726" w:rsidRPr="00A96204">
              <w:rPr>
                <w:sz w:val="21"/>
                <w:szCs w:val="21"/>
              </w:rPr>
              <w:t>"</w:t>
            </w:r>
            <w:r w:rsidR="00394139" w:rsidRPr="00A96204">
              <w:rPr>
                <w:sz w:val="21"/>
                <w:szCs w:val="21"/>
              </w:rPr>
              <w:t>.</w:t>
            </w:r>
          </w:p>
          <w:p w14:paraId="41621E15" w14:textId="1C470AA0" w:rsidR="008E0945" w:rsidRPr="00E43322" w:rsidRDefault="008E0945" w:rsidP="0002642E">
            <w:pPr>
              <w:pStyle w:val="TableListBullet"/>
            </w:pPr>
            <w:r w:rsidRPr="0002642E">
              <w:rPr>
                <w:sz w:val="21"/>
              </w:rPr>
              <w:t>The</w:t>
            </w:r>
            <w:r w:rsidR="00975895" w:rsidRPr="0002642E">
              <w:rPr>
                <w:sz w:val="21"/>
              </w:rPr>
              <w:t xml:space="preserve"> </w:t>
            </w:r>
            <w:r w:rsidRPr="0002642E">
              <w:rPr>
                <w:sz w:val="21"/>
              </w:rPr>
              <w:t>organisation</w:t>
            </w:r>
            <w:r w:rsidR="00975895" w:rsidRPr="0002642E">
              <w:rPr>
                <w:sz w:val="21"/>
              </w:rPr>
              <w:t xml:space="preserve"> </w:t>
            </w:r>
            <w:r w:rsidRPr="0002642E">
              <w:rPr>
                <w:sz w:val="21"/>
              </w:rPr>
              <w:t>knows</w:t>
            </w:r>
            <w:r w:rsidR="00975895" w:rsidRPr="0002642E">
              <w:rPr>
                <w:sz w:val="21"/>
              </w:rPr>
              <w:t xml:space="preserve"> </w:t>
            </w:r>
            <w:r w:rsidRPr="0002642E">
              <w:rPr>
                <w:sz w:val="21"/>
              </w:rPr>
              <w:t>what</w:t>
            </w:r>
            <w:r w:rsidR="00975895" w:rsidRPr="0002642E">
              <w:rPr>
                <w:sz w:val="21"/>
              </w:rPr>
              <w:t xml:space="preserve"> </w:t>
            </w:r>
            <w:r w:rsidRPr="0002642E">
              <w:rPr>
                <w:sz w:val="21"/>
              </w:rPr>
              <w:t>they</w:t>
            </w:r>
            <w:r w:rsidR="00975895" w:rsidRPr="0002642E">
              <w:rPr>
                <w:sz w:val="21"/>
              </w:rPr>
              <w:t xml:space="preserve"> </w:t>
            </w:r>
            <w:r w:rsidRPr="0002642E">
              <w:rPr>
                <w:sz w:val="21"/>
              </w:rPr>
              <w:t>have</w:t>
            </w:r>
            <w:r w:rsidR="00975895" w:rsidRPr="0002642E">
              <w:rPr>
                <w:sz w:val="21"/>
              </w:rPr>
              <w:t xml:space="preserve"> </w:t>
            </w:r>
            <w:r w:rsidRPr="0002642E">
              <w:rPr>
                <w:sz w:val="21"/>
              </w:rPr>
              <w:t>achieved</w:t>
            </w:r>
            <w:r w:rsidR="00975895" w:rsidRPr="0002642E">
              <w:rPr>
                <w:sz w:val="21"/>
              </w:rPr>
              <w:t xml:space="preserve"> </w:t>
            </w:r>
            <w:r w:rsidRPr="0002642E">
              <w:rPr>
                <w:sz w:val="21"/>
              </w:rPr>
              <w:t>and</w:t>
            </w:r>
            <w:r w:rsidR="00975895" w:rsidRPr="0002642E">
              <w:rPr>
                <w:sz w:val="21"/>
              </w:rPr>
              <w:t xml:space="preserve"> </w:t>
            </w:r>
            <w:r w:rsidRPr="0002642E">
              <w:rPr>
                <w:sz w:val="21"/>
              </w:rPr>
              <w:t>what</w:t>
            </w:r>
            <w:r w:rsidR="00975895" w:rsidRPr="0002642E">
              <w:rPr>
                <w:sz w:val="21"/>
              </w:rPr>
              <w:t xml:space="preserve"> </w:t>
            </w:r>
            <w:r w:rsidRPr="0002642E">
              <w:rPr>
                <w:sz w:val="21"/>
              </w:rPr>
              <w:t>still</w:t>
            </w:r>
            <w:r w:rsidR="00975895" w:rsidRPr="0002642E">
              <w:rPr>
                <w:sz w:val="21"/>
              </w:rPr>
              <w:t xml:space="preserve"> </w:t>
            </w:r>
            <w:r w:rsidRPr="0002642E">
              <w:rPr>
                <w:sz w:val="21"/>
              </w:rPr>
              <w:t>needs</w:t>
            </w:r>
            <w:r w:rsidR="00975895" w:rsidRPr="0002642E">
              <w:rPr>
                <w:sz w:val="21"/>
              </w:rPr>
              <w:t xml:space="preserve"> </w:t>
            </w:r>
            <w:r w:rsidRPr="0002642E">
              <w:rPr>
                <w:sz w:val="21"/>
              </w:rPr>
              <w:t>to</w:t>
            </w:r>
            <w:r w:rsidR="00975895" w:rsidRPr="0002642E">
              <w:rPr>
                <w:sz w:val="21"/>
              </w:rPr>
              <w:t xml:space="preserve"> </w:t>
            </w:r>
            <w:r w:rsidRPr="0002642E">
              <w:rPr>
                <w:sz w:val="21"/>
              </w:rPr>
              <w:t>be</w:t>
            </w:r>
            <w:r w:rsidR="00975895" w:rsidRPr="0002642E">
              <w:rPr>
                <w:sz w:val="21"/>
              </w:rPr>
              <w:t xml:space="preserve"> </w:t>
            </w:r>
            <w:r w:rsidRPr="0002642E">
              <w:rPr>
                <w:sz w:val="21"/>
              </w:rPr>
              <w:t>done</w:t>
            </w:r>
            <w:r w:rsidR="00975895" w:rsidRPr="0002642E">
              <w:rPr>
                <w:sz w:val="21"/>
              </w:rPr>
              <w:t xml:space="preserve"> </w:t>
            </w:r>
            <w:r w:rsidRPr="0002642E">
              <w:rPr>
                <w:sz w:val="21"/>
              </w:rPr>
              <w:t>to</w:t>
            </w:r>
            <w:r w:rsidR="00975895" w:rsidRPr="0002642E">
              <w:rPr>
                <w:sz w:val="21"/>
              </w:rPr>
              <w:t xml:space="preserve"> </w:t>
            </w:r>
            <w:r w:rsidRPr="0002642E">
              <w:rPr>
                <w:sz w:val="21"/>
              </w:rPr>
              <w:t>embed</w:t>
            </w:r>
            <w:r w:rsidR="00975895" w:rsidRPr="0002642E">
              <w:rPr>
                <w:sz w:val="21"/>
              </w:rPr>
              <w:t xml:space="preserve"> </w:t>
            </w:r>
            <w:r w:rsidRPr="0002642E">
              <w:rPr>
                <w:sz w:val="21"/>
              </w:rPr>
              <w:t>a</w:t>
            </w:r>
            <w:r w:rsidR="00975895" w:rsidRPr="0002642E">
              <w:rPr>
                <w:sz w:val="21"/>
              </w:rPr>
              <w:t xml:space="preserve"> </w:t>
            </w:r>
            <w:r w:rsidRPr="0002642E">
              <w:rPr>
                <w:sz w:val="21"/>
              </w:rPr>
              <w:t>positive</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culture</w:t>
            </w:r>
            <w:r w:rsidR="00394139" w:rsidRPr="0002642E">
              <w:rPr>
                <w:sz w:val="21"/>
              </w:rPr>
              <w:t>.</w:t>
            </w:r>
          </w:p>
          <w:p w14:paraId="6C28D5E1" w14:textId="2280C9D5" w:rsidR="008E0945" w:rsidRPr="00A96204" w:rsidRDefault="008E0945" w:rsidP="005B74F5">
            <w:pPr>
              <w:pStyle w:val="TableListBullet"/>
              <w:rPr>
                <w:sz w:val="21"/>
                <w:szCs w:val="21"/>
              </w:rPr>
            </w:pPr>
            <w:r w:rsidRPr="0002642E">
              <w:rPr>
                <w:sz w:val="21"/>
              </w:rPr>
              <w:t>The</w:t>
            </w:r>
            <w:r w:rsidR="00975895" w:rsidRPr="0002642E">
              <w:rPr>
                <w:sz w:val="21"/>
              </w:rPr>
              <w:t xml:space="preserve"> </w:t>
            </w:r>
            <w:r w:rsidRPr="0002642E">
              <w:rPr>
                <w:sz w:val="21"/>
              </w:rPr>
              <w:t>organisation</w:t>
            </w:r>
            <w:r w:rsidR="00975895" w:rsidRPr="0002642E">
              <w:rPr>
                <w:sz w:val="21"/>
              </w:rPr>
              <w:t xml:space="preserve"> </w:t>
            </w:r>
            <w:r w:rsidRPr="0002642E">
              <w:rPr>
                <w:sz w:val="21"/>
              </w:rPr>
              <w:t>understands</w:t>
            </w:r>
            <w:r w:rsidR="00975895" w:rsidRPr="0002642E">
              <w:rPr>
                <w:sz w:val="21"/>
              </w:rPr>
              <w:t xml:space="preserve"> </w:t>
            </w:r>
            <w:r w:rsidRPr="0002642E">
              <w:rPr>
                <w:sz w:val="21"/>
              </w:rPr>
              <w:t>and</w:t>
            </w:r>
            <w:r w:rsidR="00975895" w:rsidRPr="0002642E">
              <w:rPr>
                <w:sz w:val="21"/>
              </w:rPr>
              <w:t xml:space="preserve"> </w:t>
            </w:r>
            <w:r w:rsidRPr="0002642E">
              <w:rPr>
                <w:sz w:val="21"/>
              </w:rPr>
              <w:t>complies</w:t>
            </w:r>
            <w:r w:rsidR="00975895" w:rsidRPr="0002642E">
              <w:rPr>
                <w:sz w:val="21"/>
              </w:rPr>
              <w:t xml:space="preserve"> </w:t>
            </w:r>
            <w:r w:rsidRPr="0002642E">
              <w:rPr>
                <w:sz w:val="21"/>
              </w:rPr>
              <w:t>with</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reporting</w:t>
            </w:r>
            <w:r w:rsidR="00975895" w:rsidRPr="0002642E">
              <w:rPr>
                <w:sz w:val="21"/>
              </w:rPr>
              <w:t xml:space="preserve"> </w:t>
            </w:r>
            <w:r w:rsidRPr="0002642E">
              <w:rPr>
                <w:sz w:val="21"/>
              </w:rPr>
              <w:t>mechanisms</w:t>
            </w:r>
            <w:r w:rsidR="00975895" w:rsidRPr="0002642E">
              <w:rPr>
                <w:sz w:val="21"/>
              </w:rPr>
              <w:t xml:space="preserve"> </w:t>
            </w:r>
            <w:r w:rsidRPr="0002642E">
              <w:rPr>
                <w:sz w:val="21"/>
              </w:rPr>
              <w:t>(for</w:t>
            </w:r>
            <w:r w:rsidR="00975895" w:rsidRPr="0002642E">
              <w:rPr>
                <w:sz w:val="21"/>
              </w:rPr>
              <w:t xml:space="preserve"> </w:t>
            </w:r>
            <w:r w:rsidRPr="0002642E">
              <w:rPr>
                <w:sz w:val="21"/>
              </w:rPr>
              <w:t>example</w:t>
            </w:r>
            <w:r w:rsidR="00975895" w:rsidRPr="0002642E">
              <w:rPr>
                <w:sz w:val="21"/>
              </w:rPr>
              <w:t xml:space="preserve"> </w:t>
            </w:r>
            <w:r w:rsidRPr="0002642E">
              <w:rPr>
                <w:sz w:val="21"/>
              </w:rPr>
              <w:t>by</w:t>
            </w:r>
            <w:r w:rsidR="00975895" w:rsidRPr="0002642E">
              <w:rPr>
                <w:sz w:val="21"/>
              </w:rPr>
              <w:t xml:space="preserve"> </w:t>
            </w:r>
            <w:r w:rsidRPr="0002642E">
              <w:rPr>
                <w:sz w:val="21"/>
              </w:rPr>
              <w:t>electing</w:t>
            </w:r>
            <w:r w:rsidR="00975895" w:rsidRPr="0002642E">
              <w:rPr>
                <w:sz w:val="21"/>
              </w:rPr>
              <w:t xml:space="preserve"> </w:t>
            </w:r>
            <w:r w:rsidRPr="0002642E">
              <w:rPr>
                <w:sz w:val="21"/>
              </w:rPr>
              <w:t>to</w:t>
            </w:r>
            <w:r w:rsidR="00975895" w:rsidRPr="0002642E">
              <w:rPr>
                <w:sz w:val="21"/>
              </w:rPr>
              <w:t xml:space="preserve"> </w:t>
            </w:r>
            <w:r w:rsidRPr="0002642E">
              <w:rPr>
                <w:sz w:val="21"/>
              </w:rPr>
              <w:t>complete</w:t>
            </w:r>
            <w:r w:rsidR="00975895" w:rsidRPr="0002642E">
              <w:rPr>
                <w:sz w:val="21"/>
              </w:rPr>
              <w:t xml:space="preserve"> </w:t>
            </w:r>
            <w:r w:rsidRPr="0002642E">
              <w:rPr>
                <w:sz w:val="21"/>
              </w:rPr>
              <w:t>the</w:t>
            </w:r>
            <w:r w:rsidR="00975895" w:rsidRPr="0002642E">
              <w:rPr>
                <w:sz w:val="21"/>
              </w:rPr>
              <w:t xml:space="preserve"> </w:t>
            </w:r>
            <w:r w:rsidRPr="00A96204">
              <w:rPr>
                <w:sz w:val="21"/>
                <w:szCs w:val="21"/>
              </w:rPr>
              <w:t>Commission</w:t>
            </w:r>
            <w:r w:rsidR="000C5726" w:rsidRPr="00A96204">
              <w:rPr>
                <w:sz w:val="21"/>
                <w:szCs w:val="21"/>
              </w:rPr>
              <w:t>'</w:t>
            </w:r>
            <w:r w:rsidRPr="00A96204">
              <w:rPr>
                <w:sz w:val="21"/>
                <w:szCs w:val="21"/>
              </w:rPr>
              <w:t>s</w:t>
            </w:r>
            <w:r w:rsidR="00975895" w:rsidRPr="0002642E">
              <w:rPr>
                <w:sz w:val="21"/>
              </w:rPr>
              <w:t xml:space="preserve"> </w:t>
            </w:r>
            <w:r w:rsidRPr="0002642E">
              <w:rPr>
                <w:sz w:val="21"/>
              </w:rPr>
              <w:t>survey</w:t>
            </w:r>
            <w:r w:rsidR="00975895" w:rsidRPr="0002642E">
              <w:rPr>
                <w:sz w:val="21"/>
              </w:rPr>
              <w:t xml:space="preserve"> </w:t>
            </w:r>
            <w:r w:rsidRPr="0002642E">
              <w:rPr>
                <w:sz w:val="21"/>
              </w:rPr>
              <w:t>on</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culture).</w:t>
            </w:r>
          </w:p>
        </w:tc>
      </w:tr>
      <w:tr w:rsidR="008E0945" w:rsidRPr="00A96204" w14:paraId="705D461F" w14:textId="77777777" w:rsidTr="0002642E">
        <w:trPr>
          <w:cnfStyle w:val="000000010000" w:firstRow="0" w:lastRow="0" w:firstColumn="0" w:lastColumn="0" w:oddVBand="0" w:evenVBand="0" w:oddHBand="0" w:evenHBand="1" w:firstRowFirstColumn="0" w:firstRowLastColumn="0" w:lastRowFirstColumn="0" w:lastRowLastColumn="0"/>
        </w:trPr>
        <w:tc>
          <w:tcPr>
            <w:tcW w:w="2972" w:type="dxa"/>
          </w:tcPr>
          <w:p w14:paraId="66AC46FC" w14:textId="41CBC247" w:rsidR="008E0945" w:rsidRPr="00A96204" w:rsidRDefault="008E0945" w:rsidP="003C410B">
            <w:pPr>
              <w:pStyle w:val="TableListNumber"/>
              <w:numPr>
                <w:ilvl w:val="0"/>
                <w:numId w:val="31"/>
              </w:numPr>
              <w:rPr>
                <w:rStyle w:val="Characterbold"/>
                <w:rFonts w:eastAsiaTheme="minorHAnsi" w:cstheme="minorBidi"/>
                <w:bCs w:val="0"/>
                <w:sz w:val="21"/>
                <w:szCs w:val="21"/>
                <w:lang w:val="en-GB" w:eastAsia="en-US"/>
              </w:rPr>
            </w:pPr>
            <w:r w:rsidRPr="0002642E">
              <w:rPr>
                <w:rStyle w:val="Characterbold"/>
                <w:lang w:val="en-GB"/>
              </w:rPr>
              <w:t>Community</w:t>
            </w:r>
            <w:r w:rsidR="00975895" w:rsidRPr="0002642E">
              <w:rPr>
                <w:rStyle w:val="Characterbold"/>
                <w:lang w:val="en-GB"/>
              </w:rPr>
              <w:t xml:space="preserve"> </w:t>
            </w:r>
            <w:r w:rsidRPr="0002642E">
              <w:rPr>
                <w:rStyle w:val="Characterbold"/>
                <w:lang w:val="en-GB"/>
              </w:rPr>
              <w:t>engagement</w:t>
            </w:r>
            <w:r w:rsidR="00975895" w:rsidRPr="0002642E">
              <w:rPr>
                <w:rStyle w:val="Characterbold"/>
                <w:lang w:val="en-GB"/>
              </w:rPr>
              <w:t xml:space="preserve"> </w:t>
            </w:r>
            <w:r w:rsidRPr="0002642E">
              <w:rPr>
                <w:rStyle w:val="Characterbold"/>
                <w:lang w:val="en-GB"/>
              </w:rPr>
              <w:t>and</w:t>
            </w:r>
            <w:r w:rsidR="00975895" w:rsidRPr="0002642E">
              <w:rPr>
                <w:rStyle w:val="Characterbold"/>
                <w:lang w:val="en-GB"/>
              </w:rPr>
              <w:t xml:space="preserve"> </w:t>
            </w:r>
            <w:r w:rsidRPr="0002642E">
              <w:rPr>
                <w:rStyle w:val="Characterbold"/>
                <w:lang w:val="en-GB"/>
              </w:rPr>
              <w:t>participation</w:t>
            </w:r>
            <w:r w:rsidRPr="00A96204">
              <w:rPr>
                <w:rStyle w:val="Characterbold"/>
                <w:sz w:val="21"/>
                <w:szCs w:val="21"/>
                <w:lang w:val="en-GB"/>
              </w:rPr>
              <w:t>:</w:t>
            </w:r>
            <w:r w:rsidR="00975895" w:rsidRPr="00A96204">
              <w:rPr>
                <w:rStyle w:val="Characterbold"/>
                <w:sz w:val="21"/>
                <w:szCs w:val="21"/>
                <w:lang w:val="en-GB"/>
              </w:rPr>
              <w:t xml:space="preserve"> </w:t>
            </w:r>
            <w:r w:rsidRPr="0002642E">
              <w:rPr>
                <w:rStyle w:val="Characterbold"/>
                <w:b w:val="0"/>
                <w:sz w:val="21"/>
                <w:lang w:val="en-GB"/>
              </w:rPr>
              <w:t>Community</w:t>
            </w:r>
            <w:r w:rsidR="00975895" w:rsidRPr="0002642E">
              <w:rPr>
                <w:rStyle w:val="Characterbold"/>
                <w:b w:val="0"/>
                <w:sz w:val="21"/>
                <w:lang w:val="en-GB"/>
              </w:rPr>
              <w:t xml:space="preserve"> </w:t>
            </w:r>
            <w:r w:rsidRPr="0002642E">
              <w:rPr>
                <w:rStyle w:val="Characterbold"/>
                <w:b w:val="0"/>
                <w:sz w:val="21"/>
                <w:lang w:val="en-GB"/>
              </w:rPr>
              <w:t>participation</w:t>
            </w:r>
            <w:r w:rsidR="00975895" w:rsidRPr="0002642E">
              <w:rPr>
                <w:rStyle w:val="Characterbold"/>
                <w:b w:val="0"/>
                <w:sz w:val="21"/>
                <w:lang w:val="en-GB"/>
              </w:rPr>
              <w:t xml:space="preserve"> </w:t>
            </w:r>
            <w:r w:rsidRPr="0002642E">
              <w:rPr>
                <w:rStyle w:val="Characterbold"/>
                <w:b w:val="0"/>
                <w:sz w:val="21"/>
                <w:lang w:val="en-GB"/>
              </w:rPr>
              <w:t>informs</w:t>
            </w:r>
            <w:r w:rsidR="00975895" w:rsidRPr="0002642E">
              <w:rPr>
                <w:rStyle w:val="Characterbold"/>
                <w:b w:val="0"/>
                <w:sz w:val="21"/>
                <w:lang w:val="en-GB"/>
              </w:rPr>
              <w:t xml:space="preserve"> </w:t>
            </w:r>
            <w:r w:rsidRPr="0002642E">
              <w:rPr>
                <w:rStyle w:val="Characterbold"/>
                <w:b w:val="0"/>
                <w:sz w:val="21"/>
                <w:lang w:val="en-GB"/>
              </w:rPr>
              <w:t>key</w:t>
            </w:r>
            <w:r w:rsidR="00975895" w:rsidRPr="0002642E">
              <w:rPr>
                <w:rStyle w:val="Characterbold"/>
                <w:b w:val="0"/>
                <w:sz w:val="21"/>
                <w:lang w:val="en-GB"/>
              </w:rPr>
              <w:t xml:space="preserve"> </w:t>
            </w:r>
            <w:r w:rsidRPr="0002642E">
              <w:rPr>
                <w:rStyle w:val="Characterbold"/>
                <w:b w:val="0"/>
                <w:sz w:val="21"/>
                <w:lang w:val="en-GB"/>
              </w:rPr>
              <w:t>work</w:t>
            </w:r>
            <w:r w:rsidR="00975895" w:rsidRPr="0002642E">
              <w:rPr>
                <w:rStyle w:val="Characterbold"/>
                <w:b w:val="0"/>
                <w:sz w:val="21"/>
                <w:lang w:val="en-GB"/>
              </w:rPr>
              <w:t xml:space="preserve"> </w:t>
            </w:r>
            <w:r w:rsidRPr="0002642E">
              <w:rPr>
                <w:rStyle w:val="Characterbold"/>
                <w:b w:val="0"/>
                <w:sz w:val="21"/>
                <w:lang w:val="en-GB"/>
              </w:rPr>
              <w:t>and</w:t>
            </w:r>
            <w:r w:rsidR="00975895" w:rsidRPr="0002642E">
              <w:rPr>
                <w:rStyle w:val="Characterbold"/>
                <w:b w:val="0"/>
                <w:sz w:val="21"/>
                <w:lang w:val="en-GB"/>
              </w:rPr>
              <w:t xml:space="preserve"> </w:t>
            </w:r>
            <w:r w:rsidRPr="0002642E">
              <w:rPr>
                <w:rStyle w:val="Characterbold"/>
                <w:b w:val="0"/>
                <w:sz w:val="21"/>
                <w:lang w:val="en-GB"/>
              </w:rPr>
              <w:t>community</w:t>
            </w:r>
            <w:r w:rsidR="00975895" w:rsidRPr="0002642E">
              <w:rPr>
                <w:rStyle w:val="Characterbold"/>
                <w:b w:val="0"/>
                <w:sz w:val="21"/>
                <w:lang w:val="en-GB"/>
              </w:rPr>
              <w:t xml:space="preserve"> </w:t>
            </w:r>
            <w:r w:rsidRPr="0002642E">
              <w:rPr>
                <w:rStyle w:val="Characterbold"/>
                <w:b w:val="0"/>
                <w:sz w:val="21"/>
                <w:lang w:val="en-GB"/>
              </w:rPr>
              <w:t>can</w:t>
            </w:r>
            <w:r w:rsidR="00975895" w:rsidRPr="0002642E">
              <w:rPr>
                <w:rStyle w:val="Characterbold"/>
                <w:b w:val="0"/>
                <w:sz w:val="21"/>
                <w:lang w:val="en-GB"/>
              </w:rPr>
              <w:t xml:space="preserve"> </w:t>
            </w:r>
            <w:r w:rsidRPr="0002642E">
              <w:rPr>
                <w:rStyle w:val="Characterbold"/>
                <w:b w:val="0"/>
                <w:sz w:val="21"/>
                <w:lang w:val="en-GB"/>
              </w:rPr>
              <w:t>easily</w:t>
            </w:r>
            <w:r w:rsidR="00975895" w:rsidRPr="0002642E">
              <w:rPr>
                <w:rStyle w:val="Characterbold"/>
                <w:b w:val="0"/>
                <w:sz w:val="21"/>
                <w:lang w:val="en-GB"/>
              </w:rPr>
              <w:t xml:space="preserve"> </w:t>
            </w:r>
            <w:r w:rsidRPr="0002642E">
              <w:rPr>
                <w:rStyle w:val="Characterbold"/>
                <w:b w:val="0"/>
                <w:sz w:val="21"/>
                <w:lang w:val="en-GB"/>
              </w:rPr>
              <w:t>access</w:t>
            </w:r>
            <w:r w:rsidR="00975895" w:rsidRPr="0002642E">
              <w:rPr>
                <w:rStyle w:val="Characterbold"/>
                <w:b w:val="0"/>
                <w:sz w:val="21"/>
                <w:lang w:val="en-GB"/>
              </w:rPr>
              <w:t xml:space="preserve"> </w:t>
            </w:r>
            <w:r w:rsidRPr="0002642E">
              <w:rPr>
                <w:rStyle w:val="Characterbold"/>
                <w:b w:val="0"/>
                <w:sz w:val="21"/>
                <w:lang w:val="en-GB"/>
              </w:rPr>
              <w:t>public</w:t>
            </w:r>
            <w:r w:rsidR="00975895" w:rsidRPr="0002642E">
              <w:rPr>
                <w:rStyle w:val="Characterbold"/>
                <w:b w:val="0"/>
                <w:sz w:val="21"/>
                <w:lang w:val="en-GB"/>
              </w:rPr>
              <w:t xml:space="preserve"> </w:t>
            </w:r>
            <w:r w:rsidRPr="0002642E">
              <w:rPr>
                <w:rStyle w:val="Characterbold"/>
                <w:b w:val="0"/>
                <w:sz w:val="21"/>
                <w:lang w:val="en-GB"/>
              </w:rPr>
              <w:t>services</w:t>
            </w:r>
          </w:p>
        </w:tc>
        <w:tc>
          <w:tcPr>
            <w:tcW w:w="6521" w:type="dxa"/>
          </w:tcPr>
          <w:p w14:paraId="7A2C0C95" w14:textId="6C6F4C9A" w:rsidR="008E0945" w:rsidRPr="00E43322" w:rsidRDefault="008E0945" w:rsidP="0002642E">
            <w:pPr>
              <w:pStyle w:val="TableListBullet"/>
            </w:pPr>
            <w:r w:rsidRPr="0002642E">
              <w:rPr>
                <w:sz w:val="21"/>
              </w:rPr>
              <w:t>Community</w:t>
            </w:r>
            <w:r w:rsidR="00975895" w:rsidRPr="0002642E">
              <w:rPr>
                <w:sz w:val="21"/>
              </w:rPr>
              <w:t xml:space="preserve"> </w:t>
            </w:r>
            <w:r w:rsidRPr="0002642E">
              <w:rPr>
                <w:sz w:val="21"/>
              </w:rPr>
              <w:t>participation</w:t>
            </w:r>
            <w:r w:rsidR="00975895" w:rsidRPr="0002642E">
              <w:rPr>
                <w:sz w:val="21"/>
              </w:rPr>
              <w:t xml:space="preserve"> </w:t>
            </w:r>
            <w:r w:rsidRPr="0002642E">
              <w:rPr>
                <w:sz w:val="21"/>
              </w:rPr>
              <w:t>has</w:t>
            </w:r>
            <w:r w:rsidR="00975895" w:rsidRPr="0002642E">
              <w:rPr>
                <w:sz w:val="21"/>
              </w:rPr>
              <w:t xml:space="preserve"> </w:t>
            </w:r>
            <w:r w:rsidRPr="0002642E">
              <w:rPr>
                <w:sz w:val="21"/>
              </w:rPr>
              <w:t>informed</w:t>
            </w:r>
            <w:r w:rsidR="00975895" w:rsidRPr="0002642E">
              <w:rPr>
                <w:sz w:val="21"/>
              </w:rPr>
              <w:t xml:space="preserve"> </w:t>
            </w:r>
            <w:r w:rsidRPr="0002642E">
              <w:rPr>
                <w:sz w:val="21"/>
              </w:rPr>
              <w:t>key</w:t>
            </w:r>
            <w:r w:rsidR="00975895" w:rsidRPr="0002642E">
              <w:rPr>
                <w:sz w:val="21"/>
              </w:rPr>
              <w:t xml:space="preserve"> </w:t>
            </w:r>
            <w:r w:rsidRPr="0002642E">
              <w:rPr>
                <w:sz w:val="21"/>
              </w:rPr>
              <w:t>work</w:t>
            </w:r>
            <w:r w:rsidR="00975895" w:rsidRPr="0002642E">
              <w:rPr>
                <w:sz w:val="21"/>
              </w:rPr>
              <w:t xml:space="preserve"> </w:t>
            </w:r>
            <w:r w:rsidRPr="0002642E">
              <w:rPr>
                <w:sz w:val="21"/>
              </w:rPr>
              <w:t>(community</w:t>
            </w:r>
            <w:r w:rsidR="00975895" w:rsidRPr="0002642E">
              <w:rPr>
                <w:sz w:val="21"/>
              </w:rPr>
              <w:t xml:space="preserve"> </w:t>
            </w:r>
            <w:r w:rsidRPr="0002642E">
              <w:rPr>
                <w:sz w:val="21"/>
              </w:rPr>
              <w:t>contributes</w:t>
            </w:r>
            <w:r w:rsidR="00975895" w:rsidRPr="0002642E">
              <w:rPr>
                <w:sz w:val="21"/>
              </w:rPr>
              <w:t xml:space="preserve"> </w:t>
            </w:r>
            <w:r w:rsidRPr="0002642E">
              <w:rPr>
                <w:sz w:val="21"/>
              </w:rPr>
              <w:t>to</w:t>
            </w:r>
            <w:r w:rsidR="00975895" w:rsidRPr="0002642E">
              <w:rPr>
                <w:sz w:val="21"/>
              </w:rPr>
              <w:t xml:space="preserve"> </w:t>
            </w:r>
            <w:r w:rsidRPr="0002642E">
              <w:rPr>
                <w:sz w:val="21"/>
              </w:rPr>
              <w:t>the</w:t>
            </w:r>
            <w:r w:rsidR="00975895" w:rsidRPr="0002642E">
              <w:rPr>
                <w:sz w:val="21"/>
              </w:rPr>
              <w:t xml:space="preserve"> </w:t>
            </w:r>
            <w:r w:rsidRPr="0002642E">
              <w:rPr>
                <w:sz w:val="21"/>
              </w:rPr>
              <w:t>design</w:t>
            </w:r>
            <w:r w:rsidR="00975895" w:rsidRPr="0002642E">
              <w:rPr>
                <w:sz w:val="21"/>
              </w:rPr>
              <w:t xml:space="preserve"> </w:t>
            </w:r>
            <w:r w:rsidRPr="0002642E">
              <w:rPr>
                <w:sz w:val="21"/>
              </w:rPr>
              <w:t>of</w:t>
            </w:r>
            <w:r w:rsidR="00975895" w:rsidRPr="0002642E">
              <w:rPr>
                <w:sz w:val="21"/>
              </w:rPr>
              <w:t xml:space="preserve"> </w:t>
            </w:r>
            <w:r w:rsidRPr="0002642E">
              <w:rPr>
                <w:sz w:val="21"/>
              </w:rPr>
              <w:t>services)</w:t>
            </w:r>
            <w:r w:rsidR="00975895" w:rsidRPr="0002642E">
              <w:rPr>
                <w:sz w:val="21"/>
              </w:rPr>
              <w:t xml:space="preserve"> </w:t>
            </w:r>
            <w:r w:rsidRPr="0002642E">
              <w:rPr>
                <w:sz w:val="21"/>
              </w:rPr>
              <w:t>and</w:t>
            </w:r>
            <w:r w:rsidR="00975895" w:rsidRPr="0002642E">
              <w:rPr>
                <w:sz w:val="21"/>
              </w:rPr>
              <w:t xml:space="preserve"> </w:t>
            </w:r>
            <w:r w:rsidRPr="0002642E">
              <w:rPr>
                <w:sz w:val="21"/>
              </w:rPr>
              <w:t>feedback</w:t>
            </w:r>
            <w:r w:rsidR="00975895" w:rsidRPr="0002642E">
              <w:rPr>
                <w:sz w:val="21"/>
              </w:rPr>
              <w:t xml:space="preserve"> </w:t>
            </w:r>
            <w:r w:rsidRPr="0002642E">
              <w:rPr>
                <w:sz w:val="21"/>
              </w:rPr>
              <w:t>is</w:t>
            </w:r>
            <w:r w:rsidR="00975895" w:rsidRPr="0002642E">
              <w:rPr>
                <w:sz w:val="21"/>
              </w:rPr>
              <w:t xml:space="preserve"> </w:t>
            </w:r>
            <w:r w:rsidRPr="0002642E">
              <w:rPr>
                <w:sz w:val="21"/>
              </w:rPr>
              <w:t>regularly</w:t>
            </w:r>
            <w:r w:rsidR="00975895" w:rsidRPr="0002642E">
              <w:rPr>
                <w:sz w:val="21"/>
              </w:rPr>
              <w:t xml:space="preserve"> </w:t>
            </w:r>
            <w:r w:rsidRPr="0002642E">
              <w:rPr>
                <w:sz w:val="21"/>
              </w:rPr>
              <w:t>sought</w:t>
            </w:r>
            <w:r w:rsidR="00975895" w:rsidRPr="0002642E">
              <w:rPr>
                <w:sz w:val="21"/>
              </w:rPr>
              <w:t xml:space="preserve"> </w:t>
            </w:r>
            <w:r w:rsidRPr="0002642E">
              <w:rPr>
                <w:sz w:val="21"/>
              </w:rPr>
              <w:t>from</w:t>
            </w:r>
            <w:r w:rsidR="00975895" w:rsidRPr="0002642E">
              <w:rPr>
                <w:sz w:val="21"/>
              </w:rPr>
              <w:t xml:space="preserve"> </w:t>
            </w:r>
            <w:r w:rsidRPr="0002642E">
              <w:rPr>
                <w:sz w:val="21"/>
              </w:rPr>
              <w:t>the</w:t>
            </w:r>
            <w:r w:rsidR="00975895" w:rsidRPr="0002642E">
              <w:rPr>
                <w:sz w:val="21"/>
              </w:rPr>
              <w:t xml:space="preserve"> </w:t>
            </w:r>
            <w:r w:rsidRPr="0002642E">
              <w:rPr>
                <w:sz w:val="21"/>
              </w:rPr>
              <w:t>community</w:t>
            </w:r>
            <w:r w:rsidR="00394139" w:rsidRPr="0002642E">
              <w:rPr>
                <w:sz w:val="21"/>
              </w:rPr>
              <w:t>.</w:t>
            </w:r>
          </w:p>
          <w:p w14:paraId="06EBA492" w14:textId="40E8E5B9" w:rsidR="008E0945" w:rsidRPr="00E43322" w:rsidRDefault="008E0945" w:rsidP="0002642E">
            <w:pPr>
              <w:pStyle w:val="TableListBullet"/>
            </w:pPr>
            <w:r w:rsidRPr="0002642E">
              <w:rPr>
                <w:sz w:val="21"/>
              </w:rPr>
              <w:t>Improvements</w:t>
            </w:r>
            <w:r w:rsidR="00975895" w:rsidRPr="0002642E">
              <w:rPr>
                <w:sz w:val="21"/>
              </w:rPr>
              <w:t xml:space="preserve"> </w:t>
            </w:r>
            <w:r w:rsidRPr="0002642E">
              <w:rPr>
                <w:sz w:val="21"/>
              </w:rPr>
              <w:t>and</w:t>
            </w:r>
            <w:r w:rsidR="00975895" w:rsidRPr="0002642E">
              <w:rPr>
                <w:sz w:val="21"/>
              </w:rPr>
              <w:t xml:space="preserve"> </w:t>
            </w:r>
            <w:r w:rsidRPr="0002642E">
              <w:rPr>
                <w:sz w:val="21"/>
              </w:rPr>
              <w:t>interventions</w:t>
            </w:r>
            <w:r w:rsidR="00975895" w:rsidRPr="0002642E">
              <w:rPr>
                <w:sz w:val="21"/>
              </w:rPr>
              <w:t xml:space="preserve"> </w:t>
            </w:r>
            <w:r w:rsidRPr="0002642E">
              <w:rPr>
                <w:sz w:val="21"/>
              </w:rPr>
              <w:t>are</w:t>
            </w:r>
            <w:r w:rsidR="00975895" w:rsidRPr="0002642E">
              <w:rPr>
                <w:sz w:val="21"/>
              </w:rPr>
              <w:t xml:space="preserve"> </w:t>
            </w:r>
            <w:r w:rsidRPr="0002642E">
              <w:rPr>
                <w:sz w:val="21"/>
              </w:rPr>
              <w:t>made</w:t>
            </w:r>
            <w:r w:rsidR="00975895" w:rsidRPr="0002642E">
              <w:rPr>
                <w:sz w:val="21"/>
              </w:rPr>
              <w:t xml:space="preserve"> </w:t>
            </w:r>
            <w:r w:rsidRPr="0002642E">
              <w:rPr>
                <w:sz w:val="21"/>
              </w:rPr>
              <w:t>based</w:t>
            </w:r>
            <w:r w:rsidR="00975895" w:rsidRPr="0002642E">
              <w:rPr>
                <w:sz w:val="21"/>
              </w:rPr>
              <w:t xml:space="preserve"> </w:t>
            </w:r>
            <w:r w:rsidRPr="0002642E">
              <w:rPr>
                <w:sz w:val="21"/>
              </w:rPr>
              <w:t>on</w:t>
            </w:r>
            <w:r w:rsidR="00975895" w:rsidRPr="0002642E">
              <w:rPr>
                <w:sz w:val="21"/>
              </w:rPr>
              <w:t xml:space="preserve"> </w:t>
            </w:r>
            <w:r w:rsidRPr="0002642E">
              <w:rPr>
                <w:sz w:val="21"/>
              </w:rPr>
              <w:t>community</w:t>
            </w:r>
            <w:r w:rsidR="00975895" w:rsidRPr="0002642E">
              <w:rPr>
                <w:sz w:val="21"/>
              </w:rPr>
              <w:t xml:space="preserve"> </w:t>
            </w:r>
            <w:r w:rsidRPr="0002642E">
              <w:rPr>
                <w:sz w:val="21"/>
              </w:rPr>
              <w:t>feedback</w:t>
            </w:r>
            <w:r w:rsidR="00394139" w:rsidRPr="0002642E">
              <w:rPr>
                <w:sz w:val="21"/>
              </w:rPr>
              <w:t>.</w:t>
            </w:r>
          </w:p>
          <w:p w14:paraId="19153302" w14:textId="41C1D26F" w:rsidR="008E0945" w:rsidRPr="00E43322" w:rsidRDefault="008E0945" w:rsidP="0002642E">
            <w:pPr>
              <w:pStyle w:val="TableListBullet"/>
            </w:pPr>
            <w:r w:rsidRPr="0002642E">
              <w:rPr>
                <w:sz w:val="21"/>
              </w:rPr>
              <w:t>Tools</w:t>
            </w:r>
            <w:r w:rsidR="00975895" w:rsidRPr="0002642E">
              <w:rPr>
                <w:sz w:val="21"/>
              </w:rPr>
              <w:t xml:space="preserve"> </w:t>
            </w:r>
            <w:r w:rsidRPr="0002642E">
              <w:rPr>
                <w:sz w:val="21"/>
              </w:rPr>
              <w:t>and</w:t>
            </w:r>
            <w:r w:rsidR="00975895" w:rsidRPr="0002642E">
              <w:rPr>
                <w:sz w:val="21"/>
              </w:rPr>
              <w:t xml:space="preserve"> </w:t>
            </w:r>
            <w:r w:rsidRPr="0002642E">
              <w:rPr>
                <w:sz w:val="21"/>
              </w:rPr>
              <w:t>information</w:t>
            </w:r>
            <w:r w:rsidR="00975895" w:rsidRPr="0002642E">
              <w:rPr>
                <w:sz w:val="21"/>
              </w:rPr>
              <w:t xml:space="preserve"> </w:t>
            </w:r>
            <w:r w:rsidRPr="0002642E">
              <w:rPr>
                <w:sz w:val="21"/>
              </w:rPr>
              <w:t>are</w:t>
            </w:r>
            <w:r w:rsidR="00975895" w:rsidRPr="0002642E">
              <w:rPr>
                <w:sz w:val="21"/>
              </w:rPr>
              <w:t xml:space="preserve"> </w:t>
            </w:r>
            <w:r w:rsidRPr="0002642E">
              <w:rPr>
                <w:sz w:val="21"/>
              </w:rPr>
              <w:t>available</w:t>
            </w:r>
            <w:r w:rsidR="00975895" w:rsidRPr="0002642E">
              <w:rPr>
                <w:sz w:val="21"/>
              </w:rPr>
              <w:t xml:space="preserve"> </w:t>
            </w:r>
            <w:r w:rsidRPr="0002642E">
              <w:rPr>
                <w:sz w:val="21"/>
              </w:rPr>
              <w:t>for</w:t>
            </w:r>
            <w:r w:rsidR="00975895" w:rsidRPr="0002642E">
              <w:rPr>
                <w:sz w:val="21"/>
              </w:rPr>
              <w:t xml:space="preserve"> </w:t>
            </w:r>
            <w:r w:rsidRPr="0002642E">
              <w:rPr>
                <w:sz w:val="21"/>
              </w:rPr>
              <w:t>community</w:t>
            </w:r>
            <w:r w:rsidR="00975895" w:rsidRPr="0002642E">
              <w:rPr>
                <w:sz w:val="21"/>
              </w:rPr>
              <w:t xml:space="preserve"> </w:t>
            </w:r>
            <w:r w:rsidRPr="0002642E">
              <w:rPr>
                <w:sz w:val="21"/>
              </w:rPr>
              <w:t>about</w:t>
            </w:r>
            <w:r w:rsidR="00975895" w:rsidRPr="0002642E">
              <w:rPr>
                <w:sz w:val="21"/>
              </w:rPr>
              <w:t xml:space="preserve"> </w:t>
            </w:r>
            <w:r w:rsidRPr="0002642E">
              <w:rPr>
                <w:sz w:val="21"/>
              </w:rPr>
              <w:t>their</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394139" w:rsidRPr="0002642E">
              <w:rPr>
                <w:sz w:val="21"/>
              </w:rPr>
              <w:t>.</w:t>
            </w:r>
          </w:p>
          <w:p w14:paraId="5D528F85" w14:textId="43B2B933" w:rsidR="008E0945" w:rsidRPr="00E43322" w:rsidRDefault="008E0945" w:rsidP="0002642E">
            <w:pPr>
              <w:pStyle w:val="TableListBullet"/>
            </w:pPr>
            <w:r w:rsidRPr="0002642E">
              <w:rPr>
                <w:sz w:val="21"/>
              </w:rPr>
              <w:t>The</w:t>
            </w:r>
            <w:r w:rsidR="00975895" w:rsidRPr="0002642E">
              <w:rPr>
                <w:sz w:val="21"/>
              </w:rPr>
              <w:t xml:space="preserve"> </w:t>
            </w:r>
            <w:r w:rsidRPr="0002642E">
              <w:rPr>
                <w:sz w:val="21"/>
              </w:rPr>
              <w:t>organisation</w:t>
            </w:r>
            <w:r w:rsidR="00975895" w:rsidRPr="0002642E">
              <w:rPr>
                <w:sz w:val="21"/>
              </w:rPr>
              <w:t xml:space="preserve"> </w:t>
            </w:r>
            <w:r w:rsidRPr="0002642E">
              <w:rPr>
                <w:sz w:val="21"/>
              </w:rPr>
              <w:t>has</w:t>
            </w:r>
            <w:r w:rsidR="00975895" w:rsidRPr="0002642E">
              <w:rPr>
                <w:sz w:val="21"/>
              </w:rPr>
              <w:t xml:space="preserve"> </w:t>
            </w:r>
            <w:r w:rsidRPr="0002642E">
              <w:rPr>
                <w:sz w:val="21"/>
              </w:rPr>
              <w:t>structured</w:t>
            </w:r>
            <w:r w:rsidR="00975895" w:rsidRPr="0002642E">
              <w:rPr>
                <w:sz w:val="21"/>
              </w:rPr>
              <w:t xml:space="preserve"> </w:t>
            </w:r>
            <w:r w:rsidRPr="0002642E">
              <w:rPr>
                <w:sz w:val="21"/>
              </w:rPr>
              <w:t>and</w:t>
            </w:r>
            <w:r w:rsidR="00975895" w:rsidRPr="0002642E">
              <w:rPr>
                <w:sz w:val="21"/>
              </w:rPr>
              <w:t xml:space="preserve"> </w:t>
            </w:r>
            <w:r w:rsidRPr="0002642E">
              <w:rPr>
                <w:sz w:val="21"/>
              </w:rPr>
              <w:t>formal</w:t>
            </w:r>
            <w:r w:rsidR="00975895" w:rsidRPr="0002642E">
              <w:rPr>
                <w:sz w:val="21"/>
              </w:rPr>
              <w:t xml:space="preserve"> </w:t>
            </w:r>
            <w:r w:rsidRPr="0002642E">
              <w:rPr>
                <w:sz w:val="21"/>
              </w:rPr>
              <w:t>reflection</w:t>
            </w:r>
            <w:r w:rsidR="00975895" w:rsidRPr="0002642E">
              <w:rPr>
                <w:sz w:val="21"/>
              </w:rPr>
              <w:t xml:space="preserve"> </w:t>
            </w:r>
            <w:r w:rsidRPr="0002642E">
              <w:rPr>
                <w:sz w:val="21"/>
              </w:rPr>
              <w:t>on</w:t>
            </w:r>
            <w:r w:rsidR="00975895" w:rsidRPr="0002642E">
              <w:rPr>
                <w:sz w:val="21"/>
              </w:rPr>
              <w:t xml:space="preserve"> </w:t>
            </w:r>
            <w:r w:rsidRPr="0002642E">
              <w:rPr>
                <w:sz w:val="21"/>
              </w:rPr>
              <w:t>accessibility</w:t>
            </w:r>
            <w:r w:rsidR="00394139" w:rsidRPr="0002642E">
              <w:rPr>
                <w:sz w:val="21"/>
              </w:rPr>
              <w:t>.</w:t>
            </w:r>
          </w:p>
          <w:p w14:paraId="4358B935" w14:textId="73E66E71" w:rsidR="008E0945" w:rsidRPr="00E43322" w:rsidRDefault="008E0945" w:rsidP="0002642E">
            <w:pPr>
              <w:pStyle w:val="TableListBullet"/>
            </w:pPr>
            <w:r w:rsidRPr="0002642E">
              <w:rPr>
                <w:sz w:val="21"/>
              </w:rPr>
              <w:t>A</w:t>
            </w:r>
            <w:r w:rsidR="00975895" w:rsidRPr="0002642E">
              <w:rPr>
                <w:sz w:val="21"/>
              </w:rPr>
              <w:t xml:space="preserve"> </w:t>
            </w:r>
            <w:r w:rsidRPr="0002642E">
              <w:rPr>
                <w:sz w:val="21"/>
              </w:rPr>
              <w:t>diverse</w:t>
            </w:r>
            <w:r w:rsidR="00975895" w:rsidRPr="0002642E">
              <w:rPr>
                <w:sz w:val="21"/>
              </w:rPr>
              <w:t xml:space="preserve"> </w:t>
            </w:r>
            <w:r w:rsidRPr="0002642E">
              <w:rPr>
                <w:sz w:val="21"/>
              </w:rPr>
              <w:t>cross</w:t>
            </w:r>
            <w:r w:rsidR="00975895" w:rsidRPr="0002642E">
              <w:rPr>
                <w:sz w:val="21"/>
              </w:rPr>
              <w:t xml:space="preserve"> </w:t>
            </w:r>
            <w:r w:rsidRPr="0002642E">
              <w:rPr>
                <w:sz w:val="21"/>
              </w:rPr>
              <w:t>section</w:t>
            </w:r>
            <w:r w:rsidR="00975895" w:rsidRPr="0002642E">
              <w:rPr>
                <w:sz w:val="21"/>
              </w:rPr>
              <w:t xml:space="preserve"> </w:t>
            </w:r>
            <w:r w:rsidRPr="0002642E">
              <w:rPr>
                <w:sz w:val="21"/>
              </w:rPr>
              <w:t>of</w:t>
            </w:r>
            <w:r w:rsidR="00975895" w:rsidRPr="0002642E">
              <w:rPr>
                <w:sz w:val="21"/>
              </w:rPr>
              <w:t xml:space="preserve"> </w:t>
            </w:r>
            <w:r w:rsidRPr="0002642E">
              <w:rPr>
                <w:sz w:val="21"/>
              </w:rPr>
              <w:t>community</w:t>
            </w:r>
            <w:r w:rsidR="00975895" w:rsidRPr="0002642E">
              <w:rPr>
                <w:sz w:val="21"/>
              </w:rPr>
              <w:t xml:space="preserve"> </w:t>
            </w:r>
            <w:r w:rsidRPr="0002642E">
              <w:rPr>
                <w:sz w:val="21"/>
              </w:rPr>
              <w:t>accesses</w:t>
            </w:r>
            <w:r w:rsidR="00975895" w:rsidRPr="0002642E">
              <w:rPr>
                <w:sz w:val="21"/>
              </w:rPr>
              <w:t xml:space="preserve"> </w:t>
            </w:r>
            <w:r w:rsidRPr="0002642E">
              <w:rPr>
                <w:sz w:val="21"/>
              </w:rPr>
              <w:t>services</w:t>
            </w:r>
            <w:r w:rsidR="00394139" w:rsidRPr="0002642E">
              <w:rPr>
                <w:sz w:val="21"/>
              </w:rPr>
              <w:t>.</w:t>
            </w:r>
          </w:p>
          <w:p w14:paraId="3DC60291" w14:textId="3A77C14E" w:rsidR="008E0945" w:rsidRPr="00A96204" w:rsidRDefault="008E0945" w:rsidP="005B74F5">
            <w:pPr>
              <w:pStyle w:val="TableListBullet"/>
              <w:rPr>
                <w:sz w:val="21"/>
                <w:szCs w:val="21"/>
              </w:rPr>
            </w:pPr>
            <w:r w:rsidRPr="0002642E">
              <w:rPr>
                <w:sz w:val="21"/>
              </w:rPr>
              <w:t>Complaint</w:t>
            </w:r>
            <w:r w:rsidR="00975895" w:rsidRPr="0002642E">
              <w:rPr>
                <w:sz w:val="21"/>
              </w:rPr>
              <w:t xml:space="preserve"> </w:t>
            </w:r>
            <w:r w:rsidRPr="0002642E">
              <w:rPr>
                <w:sz w:val="21"/>
              </w:rPr>
              <w:t>mechanisms</w:t>
            </w:r>
            <w:r w:rsidR="00975895" w:rsidRPr="0002642E">
              <w:rPr>
                <w:sz w:val="21"/>
              </w:rPr>
              <w:t xml:space="preserve"> </w:t>
            </w:r>
            <w:r w:rsidRPr="0002642E">
              <w:rPr>
                <w:sz w:val="21"/>
              </w:rPr>
              <w:t>are</w:t>
            </w:r>
            <w:r w:rsidR="00975895" w:rsidRPr="0002642E">
              <w:rPr>
                <w:sz w:val="21"/>
              </w:rPr>
              <w:t xml:space="preserve"> </w:t>
            </w:r>
            <w:r w:rsidRPr="0002642E">
              <w:rPr>
                <w:sz w:val="21"/>
              </w:rPr>
              <w:t>available</w:t>
            </w:r>
            <w:r w:rsidR="00975895" w:rsidRPr="0002642E">
              <w:rPr>
                <w:sz w:val="21"/>
              </w:rPr>
              <w:t xml:space="preserve"> </w:t>
            </w:r>
            <w:r w:rsidRPr="0002642E">
              <w:rPr>
                <w:sz w:val="21"/>
              </w:rPr>
              <w:t>and</w:t>
            </w:r>
            <w:r w:rsidR="00975895" w:rsidRPr="0002642E">
              <w:rPr>
                <w:sz w:val="21"/>
              </w:rPr>
              <w:t xml:space="preserve"> </w:t>
            </w:r>
            <w:r w:rsidRPr="0002642E">
              <w:rPr>
                <w:sz w:val="21"/>
              </w:rPr>
              <w:t>accessible</w:t>
            </w:r>
            <w:r w:rsidR="00975895" w:rsidRPr="0002642E">
              <w:rPr>
                <w:sz w:val="21"/>
              </w:rPr>
              <w:t xml:space="preserve"> </w:t>
            </w:r>
            <w:r w:rsidRPr="0002642E">
              <w:rPr>
                <w:sz w:val="21"/>
              </w:rPr>
              <w:t>to</w:t>
            </w:r>
            <w:r w:rsidR="00975895" w:rsidRPr="0002642E">
              <w:rPr>
                <w:sz w:val="21"/>
              </w:rPr>
              <w:t xml:space="preserve"> </w:t>
            </w:r>
            <w:r w:rsidRPr="0002642E">
              <w:rPr>
                <w:sz w:val="21"/>
              </w:rPr>
              <w:t>the</w:t>
            </w:r>
            <w:r w:rsidR="00975895" w:rsidRPr="0002642E">
              <w:rPr>
                <w:sz w:val="21"/>
              </w:rPr>
              <w:t xml:space="preserve"> </w:t>
            </w:r>
            <w:r w:rsidRPr="0002642E">
              <w:rPr>
                <w:sz w:val="21"/>
              </w:rPr>
              <w:t>community</w:t>
            </w:r>
            <w:r w:rsidR="00394139" w:rsidRPr="0002642E">
              <w:rPr>
                <w:sz w:val="21"/>
              </w:rPr>
              <w:t>.</w:t>
            </w:r>
          </w:p>
        </w:tc>
      </w:tr>
      <w:tr w:rsidR="008E0945" w:rsidRPr="00A96204" w14:paraId="237C9094" w14:textId="77777777" w:rsidTr="0002642E">
        <w:trPr>
          <w:cnfStyle w:val="000000100000" w:firstRow="0" w:lastRow="0" w:firstColumn="0" w:lastColumn="0" w:oddVBand="0" w:evenVBand="0" w:oddHBand="1" w:evenHBand="0" w:firstRowFirstColumn="0" w:firstRowLastColumn="0" w:lastRowFirstColumn="0" w:lastRowLastColumn="0"/>
        </w:trPr>
        <w:tc>
          <w:tcPr>
            <w:tcW w:w="2972" w:type="dxa"/>
          </w:tcPr>
          <w:p w14:paraId="4557FE1C" w14:textId="1F3F96C5" w:rsidR="008E0945" w:rsidRPr="00A96204" w:rsidRDefault="008E0945" w:rsidP="003C410B">
            <w:pPr>
              <w:pStyle w:val="TableListNumber"/>
              <w:numPr>
                <w:ilvl w:val="0"/>
                <w:numId w:val="31"/>
              </w:numPr>
              <w:rPr>
                <w:rStyle w:val="Characterbold"/>
                <w:rFonts w:eastAsiaTheme="minorHAnsi" w:cstheme="minorBidi"/>
                <w:bCs w:val="0"/>
                <w:sz w:val="21"/>
                <w:szCs w:val="21"/>
                <w:lang w:val="en-GB" w:eastAsia="en-US"/>
              </w:rPr>
            </w:pPr>
            <w:r w:rsidRPr="0002642E">
              <w:rPr>
                <w:rStyle w:val="Characterbold"/>
                <w:lang w:val="en-GB"/>
              </w:rPr>
              <w:t>Operational</w:t>
            </w:r>
            <w:r w:rsidR="00975895" w:rsidRPr="0002642E">
              <w:rPr>
                <w:rStyle w:val="Characterbold"/>
                <w:lang w:val="en-GB"/>
              </w:rPr>
              <w:t xml:space="preserve"> </w:t>
            </w:r>
            <w:r w:rsidRPr="0002642E">
              <w:rPr>
                <w:rStyle w:val="Characterbold"/>
                <w:lang w:val="en-GB"/>
              </w:rPr>
              <w:t>capability</w:t>
            </w:r>
            <w:r w:rsidR="00975895" w:rsidRPr="0002642E">
              <w:rPr>
                <w:rStyle w:val="Characterbold"/>
                <w:lang w:val="en-GB"/>
              </w:rPr>
              <w:t xml:space="preserve"> </w:t>
            </w:r>
            <w:r w:rsidRPr="0002642E">
              <w:rPr>
                <w:rStyle w:val="Characterbold"/>
                <w:lang w:val="en-GB"/>
              </w:rPr>
              <w:t>–</w:t>
            </w:r>
            <w:r w:rsidR="00975895" w:rsidRPr="0002642E">
              <w:rPr>
                <w:rStyle w:val="Characterbold"/>
                <w:lang w:val="en-GB"/>
              </w:rPr>
              <w:t xml:space="preserve"> </w:t>
            </w:r>
            <w:r w:rsidRPr="0002642E">
              <w:rPr>
                <w:rStyle w:val="Characterbold"/>
                <w:lang w:val="en-GB"/>
              </w:rPr>
              <w:t>knowledge</w:t>
            </w:r>
            <w:r w:rsidR="00975895" w:rsidRPr="0002642E">
              <w:rPr>
                <w:rStyle w:val="Characterbold"/>
                <w:lang w:val="en-GB"/>
              </w:rPr>
              <w:t xml:space="preserve"> </w:t>
            </w:r>
            <w:r w:rsidRPr="0002642E">
              <w:rPr>
                <w:rStyle w:val="Characterbold"/>
                <w:lang w:val="en-GB"/>
              </w:rPr>
              <w:t>and</w:t>
            </w:r>
            <w:r w:rsidR="00975895" w:rsidRPr="0002642E">
              <w:rPr>
                <w:rStyle w:val="Characterbold"/>
                <w:lang w:val="en-GB"/>
              </w:rPr>
              <w:t xml:space="preserve"> </w:t>
            </w:r>
            <w:r w:rsidRPr="0002642E">
              <w:rPr>
                <w:rStyle w:val="Characterbold"/>
                <w:lang w:val="en-GB"/>
              </w:rPr>
              <w:t>resourcing</w:t>
            </w:r>
            <w:r w:rsidRPr="00A96204">
              <w:rPr>
                <w:rStyle w:val="Characterbold"/>
                <w:sz w:val="21"/>
                <w:szCs w:val="21"/>
                <w:lang w:val="en-GB"/>
              </w:rPr>
              <w:t>:</w:t>
            </w:r>
            <w:r w:rsidR="00975895" w:rsidRPr="00A96204">
              <w:rPr>
                <w:rStyle w:val="Characterbold"/>
                <w:sz w:val="21"/>
                <w:szCs w:val="21"/>
                <w:lang w:val="en-GB"/>
              </w:rPr>
              <w:t xml:space="preserve"> </w:t>
            </w:r>
            <w:r w:rsidRPr="0002642E">
              <w:rPr>
                <w:sz w:val="21"/>
              </w:rPr>
              <w:t>Staff</w:t>
            </w:r>
            <w:r w:rsidR="00975895" w:rsidRPr="0002642E">
              <w:rPr>
                <w:sz w:val="21"/>
              </w:rPr>
              <w:t xml:space="preserve"> </w:t>
            </w:r>
            <w:r w:rsidRPr="0002642E">
              <w:rPr>
                <w:sz w:val="21"/>
              </w:rPr>
              <w:t>have</w:t>
            </w:r>
            <w:r w:rsidR="00975895" w:rsidRPr="0002642E">
              <w:rPr>
                <w:sz w:val="21"/>
              </w:rPr>
              <w:t xml:space="preserve"> </w:t>
            </w:r>
            <w:r w:rsidRPr="0002642E">
              <w:rPr>
                <w:sz w:val="21"/>
              </w:rPr>
              <w:t>the</w:t>
            </w:r>
            <w:r w:rsidR="00975895" w:rsidRPr="0002642E">
              <w:rPr>
                <w:sz w:val="21"/>
              </w:rPr>
              <w:t xml:space="preserve"> </w:t>
            </w:r>
            <w:r w:rsidRPr="0002642E">
              <w:rPr>
                <w:sz w:val="21"/>
              </w:rPr>
              <w:t>knowledge,</w:t>
            </w:r>
            <w:r w:rsidR="00975895" w:rsidRPr="0002642E">
              <w:rPr>
                <w:sz w:val="21"/>
              </w:rPr>
              <w:t xml:space="preserve"> </w:t>
            </w:r>
            <w:r w:rsidRPr="0002642E">
              <w:rPr>
                <w:sz w:val="21"/>
              </w:rPr>
              <w:t>skills</w:t>
            </w:r>
            <w:r w:rsidR="00975895" w:rsidRPr="0002642E">
              <w:rPr>
                <w:sz w:val="21"/>
              </w:rPr>
              <w:t xml:space="preserve"> </w:t>
            </w:r>
            <w:r w:rsidRPr="0002642E">
              <w:rPr>
                <w:sz w:val="21"/>
              </w:rPr>
              <w:t>and</w:t>
            </w:r>
            <w:r w:rsidR="00975895" w:rsidRPr="0002642E">
              <w:rPr>
                <w:sz w:val="21"/>
              </w:rPr>
              <w:t xml:space="preserve"> </w:t>
            </w:r>
            <w:r w:rsidRPr="0002642E">
              <w:rPr>
                <w:sz w:val="21"/>
              </w:rPr>
              <w:t>necessary</w:t>
            </w:r>
            <w:r w:rsidR="00975895" w:rsidRPr="0002642E">
              <w:rPr>
                <w:sz w:val="21"/>
              </w:rPr>
              <w:t xml:space="preserve"> </w:t>
            </w:r>
            <w:r w:rsidRPr="0002642E">
              <w:rPr>
                <w:sz w:val="21"/>
              </w:rPr>
              <w:t>resources</w:t>
            </w:r>
            <w:r w:rsidR="00975895" w:rsidRPr="0002642E">
              <w:rPr>
                <w:sz w:val="21"/>
              </w:rPr>
              <w:t xml:space="preserve"> </w:t>
            </w:r>
            <w:r w:rsidRPr="0002642E">
              <w:rPr>
                <w:sz w:val="21"/>
              </w:rPr>
              <w:t>to</w:t>
            </w:r>
            <w:r w:rsidR="00975895" w:rsidRPr="0002642E">
              <w:rPr>
                <w:sz w:val="21"/>
              </w:rPr>
              <w:t xml:space="preserve"> </w:t>
            </w:r>
            <w:r w:rsidRPr="0002642E">
              <w:rPr>
                <w:sz w:val="21"/>
              </w:rPr>
              <w:t>act</w:t>
            </w:r>
            <w:r w:rsidR="00975895" w:rsidRPr="0002642E">
              <w:rPr>
                <w:sz w:val="21"/>
              </w:rPr>
              <w:t xml:space="preserve"> </w:t>
            </w:r>
            <w:r w:rsidRPr="0002642E">
              <w:rPr>
                <w:sz w:val="21"/>
              </w:rPr>
              <w:t>compatibly</w:t>
            </w:r>
            <w:r w:rsidR="00975895" w:rsidRPr="0002642E">
              <w:rPr>
                <w:sz w:val="21"/>
              </w:rPr>
              <w:t xml:space="preserve"> </w:t>
            </w:r>
            <w:r w:rsidRPr="0002642E">
              <w:rPr>
                <w:sz w:val="21"/>
              </w:rPr>
              <w:t>with</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and</w:t>
            </w:r>
            <w:r w:rsidR="00975895" w:rsidRPr="0002642E">
              <w:rPr>
                <w:sz w:val="21"/>
              </w:rPr>
              <w:t xml:space="preserve"> </w:t>
            </w:r>
            <w:r w:rsidRPr="0002642E">
              <w:rPr>
                <w:sz w:val="21"/>
              </w:rPr>
              <w:t>the</w:t>
            </w:r>
            <w:r w:rsidR="00975895" w:rsidRPr="0002642E">
              <w:rPr>
                <w:sz w:val="21"/>
              </w:rPr>
              <w:t xml:space="preserve"> </w:t>
            </w:r>
            <w:r w:rsidRPr="0002642E">
              <w:rPr>
                <w:sz w:val="21"/>
              </w:rPr>
              <w:t>Charter</w:t>
            </w:r>
          </w:p>
        </w:tc>
        <w:tc>
          <w:tcPr>
            <w:tcW w:w="6521" w:type="dxa"/>
          </w:tcPr>
          <w:p w14:paraId="5BBC52E9" w14:textId="6587B757" w:rsidR="008E0945" w:rsidRPr="00E43322" w:rsidRDefault="008E0945" w:rsidP="0002642E">
            <w:pPr>
              <w:pStyle w:val="TableListBullet"/>
            </w:pPr>
            <w:r w:rsidRPr="0002642E">
              <w:rPr>
                <w:sz w:val="21"/>
              </w:rPr>
              <w:t>Victorian</w:t>
            </w:r>
            <w:r w:rsidR="00975895" w:rsidRPr="0002642E">
              <w:rPr>
                <w:sz w:val="21"/>
              </w:rPr>
              <w:t xml:space="preserve"> </w:t>
            </w:r>
            <w:r w:rsidRPr="0002642E">
              <w:rPr>
                <w:sz w:val="21"/>
              </w:rPr>
              <w:t>public</w:t>
            </w:r>
            <w:r w:rsidR="00975895" w:rsidRPr="0002642E">
              <w:rPr>
                <w:sz w:val="21"/>
              </w:rPr>
              <w:t xml:space="preserve"> </w:t>
            </w:r>
            <w:r w:rsidRPr="0002642E">
              <w:rPr>
                <w:sz w:val="21"/>
              </w:rPr>
              <w:t>sector</w:t>
            </w:r>
            <w:r w:rsidR="00975895" w:rsidRPr="0002642E">
              <w:rPr>
                <w:sz w:val="21"/>
              </w:rPr>
              <w:t xml:space="preserve"> </w:t>
            </w:r>
            <w:r w:rsidRPr="0002642E">
              <w:rPr>
                <w:sz w:val="21"/>
              </w:rPr>
              <w:t>staff</w:t>
            </w:r>
            <w:r w:rsidR="00975895" w:rsidRPr="0002642E">
              <w:rPr>
                <w:sz w:val="21"/>
              </w:rPr>
              <w:t xml:space="preserve"> </w:t>
            </w:r>
            <w:r w:rsidRPr="0002642E">
              <w:rPr>
                <w:sz w:val="21"/>
              </w:rPr>
              <w:t>understand</w:t>
            </w:r>
            <w:r w:rsidR="00975895" w:rsidRPr="0002642E">
              <w:rPr>
                <w:sz w:val="21"/>
              </w:rPr>
              <w:t xml:space="preserve"> </w:t>
            </w:r>
            <w:r w:rsidRPr="0002642E">
              <w:rPr>
                <w:sz w:val="21"/>
              </w:rPr>
              <w:t>the</w:t>
            </w:r>
            <w:r w:rsidR="00975895" w:rsidRPr="0002642E">
              <w:rPr>
                <w:sz w:val="21"/>
              </w:rPr>
              <w:t xml:space="preserve"> </w:t>
            </w:r>
            <w:r w:rsidRPr="0002642E">
              <w:rPr>
                <w:sz w:val="21"/>
              </w:rPr>
              <w:t>Charter</w:t>
            </w:r>
            <w:r w:rsidR="00975895" w:rsidRPr="0002642E">
              <w:rPr>
                <w:sz w:val="21"/>
              </w:rPr>
              <w:t xml:space="preserve"> </w:t>
            </w:r>
            <w:r w:rsidRPr="0002642E">
              <w:rPr>
                <w:sz w:val="21"/>
              </w:rPr>
              <w:t>and</w:t>
            </w:r>
            <w:r w:rsidR="00975895" w:rsidRPr="0002642E">
              <w:rPr>
                <w:sz w:val="21"/>
              </w:rPr>
              <w:t xml:space="preserve"> </w:t>
            </w:r>
            <w:r w:rsidRPr="0002642E">
              <w:rPr>
                <w:sz w:val="21"/>
              </w:rPr>
              <w:t>how</w:t>
            </w:r>
            <w:r w:rsidR="00975895" w:rsidRPr="0002642E">
              <w:rPr>
                <w:sz w:val="21"/>
              </w:rPr>
              <w:t xml:space="preserve"> </w:t>
            </w:r>
            <w:r w:rsidRPr="0002642E">
              <w:rPr>
                <w:sz w:val="21"/>
              </w:rPr>
              <w:t>to</w:t>
            </w:r>
            <w:r w:rsidR="00975895" w:rsidRPr="0002642E">
              <w:rPr>
                <w:sz w:val="21"/>
              </w:rPr>
              <w:t xml:space="preserve"> </w:t>
            </w:r>
            <w:r w:rsidRPr="0002642E">
              <w:rPr>
                <w:sz w:val="21"/>
              </w:rPr>
              <w:t>apply</w:t>
            </w:r>
            <w:r w:rsidR="00975895" w:rsidRPr="0002642E">
              <w:rPr>
                <w:sz w:val="21"/>
              </w:rPr>
              <w:t xml:space="preserve"> </w:t>
            </w:r>
            <w:r w:rsidRPr="0002642E">
              <w:rPr>
                <w:sz w:val="21"/>
              </w:rPr>
              <w:t>it</w:t>
            </w:r>
            <w:r w:rsidR="00975895" w:rsidRPr="0002642E">
              <w:rPr>
                <w:sz w:val="21"/>
              </w:rPr>
              <w:t xml:space="preserve"> </w:t>
            </w:r>
            <w:r w:rsidRPr="0002642E">
              <w:rPr>
                <w:sz w:val="21"/>
              </w:rPr>
              <w:t>in</w:t>
            </w:r>
            <w:r w:rsidR="00975895" w:rsidRPr="0002642E">
              <w:rPr>
                <w:sz w:val="21"/>
              </w:rPr>
              <w:t xml:space="preserve"> </w:t>
            </w:r>
            <w:r w:rsidRPr="0002642E">
              <w:rPr>
                <w:sz w:val="21"/>
              </w:rPr>
              <w:t>their</w:t>
            </w:r>
            <w:r w:rsidR="00975895" w:rsidRPr="0002642E">
              <w:rPr>
                <w:sz w:val="21"/>
              </w:rPr>
              <w:t xml:space="preserve"> </w:t>
            </w:r>
            <w:r w:rsidRPr="0002642E">
              <w:rPr>
                <w:sz w:val="21"/>
              </w:rPr>
              <w:t>work</w:t>
            </w:r>
            <w:r w:rsidR="00394139" w:rsidRPr="0002642E">
              <w:rPr>
                <w:sz w:val="21"/>
              </w:rPr>
              <w:t>.</w:t>
            </w:r>
          </w:p>
          <w:p w14:paraId="62C58D35" w14:textId="22917227" w:rsidR="008E0945" w:rsidRPr="00E43322" w:rsidRDefault="008E0945" w:rsidP="0002642E">
            <w:pPr>
              <w:pStyle w:val="TableListBullet"/>
            </w:pPr>
            <w:r w:rsidRPr="0002642E">
              <w:rPr>
                <w:sz w:val="21"/>
              </w:rPr>
              <w:t>Relevant</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days</w:t>
            </w:r>
            <w:r w:rsidR="00975895" w:rsidRPr="0002642E">
              <w:rPr>
                <w:sz w:val="21"/>
              </w:rPr>
              <w:t xml:space="preserve"> </w:t>
            </w:r>
            <w:r w:rsidRPr="0002642E">
              <w:rPr>
                <w:sz w:val="21"/>
              </w:rPr>
              <w:t>and</w:t>
            </w:r>
            <w:r w:rsidR="00975895" w:rsidRPr="0002642E">
              <w:rPr>
                <w:sz w:val="21"/>
              </w:rPr>
              <w:t xml:space="preserve"> </w:t>
            </w:r>
            <w:r w:rsidRPr="0002642E">
              <w:rPr>
                <w:sz w:val="21"/>
              </w:rPr>
              <w:t>achievements</w:t>
            </w:r>
            <w:r w:rsidR="00975895" w:rsidRPr="0002642E">
              <w:rPr>
                <w:sz w:val="21"/>
              </w:rPr>
              <w:t xml:space="preserve"> </w:t>
            </w:r>
            <w:r w:rsidRPr="0002642E">
              <w:rPr>
                <w:sz w:val="21"/>
              </w:rPr>
              <w:t>are</w:t>
            </w:r>
            <w:r w:rsidR="00975895" w:rsidRPr="0002642E">
              <w:rPr>
                <w:sz w:val="21"/>
              </w:rPr>
              <w:t xml:space="preserve"> </w:t>
            </w:r>
            <w:r w:rsidRPr="0002642E">
              <w:rPr>
                <w:sz w:val="21"/>
              </w:rPr>
              <w:t>articulated</w:t>
            </w:r>
            <w:r w:rsidR="00975895" w:rsidRPr="0002642E">
              <w:rPr>
                <w:sz w:val="21"/>
              </w:rPr>
              <w:t xml:space="preserve"> </w:t>
            </w:r>
            <w:r w:rsidRPr="0002642E">
              <w:rPr>
                <w:sz w:val="21"/>
              </w:rPr>
              <w:t>and</w:t>
            </w:r>
            <w:r w:rsidR="00975895" w:rsidRPr="0002642E">
              <w:rPr>
                <w:sz w:val="21"/>
              </w:rPr>
              <w:t xml:space="preserve"> </w:t>
            </w:r>
            <w:r w:rsidRPr="0002642E">
              <w:rPr>
                <w:sz w:val="21"/>
              </w:rPr>
              <w:t>celebrated</w:t>
            </w:r>
            <w:r w:rsidR="00394139" w:rsidRPr="0002642E">
              <w:rPr>
                <w:sz w:val="21"/>
              </w:rPr>
              <w:t>.</w:t>
            </w:r>
            <w:r w:rsidR="00975895" w:rsidRPr="0002642E">
              <w:rPr>
                <w:sz w:val="21"/>
              </w:rPr>
              <w:t xml:space="preserve"> </w:t>
            </w:r>
          </w:p>
          <w:p w14:paraId="4FC71EEB" w14:textId="40D50B13" w:rsidR="008E0945" w:rsidRPr="00E43322" w:rsidRDefault="008E0945" w:rsidP="0002642E">
            <w:pPr>
              <w:pStyle w:val="TableListBullet"/>
            </w:pPr>
            <w:r w:rsidRPr="0002642E">
              <w:rPr>
                <w:sz w:val="21"/>
              </w:rPr>
              <w:t>The</w:t>
            </w:r>
            <w:r w:rsidR="00975895" w:rsidRPr="0002642E">
              <w:rPr>
                <w:sz w:val="21"/>
              </w:rPr>
              <w:t xml:space="preserve"> </w:t>
            </w:r>
            <w:r w:rsidRPr="0002642E">
              <w:rPr>
                <w:sz w:val="21"/>
              </w:rPr>
              <w:t>organisation</w:t>
            </w:r>
            <w:r w:rsidR="00975895" w:rsidRPr="0002642E">
              <w:rPr>
                <w:sz w:val="21"/>
              </w:rPr>
              <w:t xml:space="preserve"> </w:t>
            </w:r>
            <w:r w:rsidRPr="0002642E">
              <w:rPr>
                <w:sz w:val="21"/>
              </w:rPr>
              <w:t>has</w:t>
            </w:r>
            <w:r w:rsidR="00975895" w:rsidRPr="0002642E">
              <w:rPr>
                <w:sz w:val="21"/>
              </w:rPr>
              <w:t xml:space="preserve"> </w:t>
            </w:r>
            <w:r w:rsidRPr="0002642E">
              <w:rPr>
                <w:sz w:val="21"/>
              </w:rPr>
              <w:t>dedicated</w:t>
            </w:r>
            <w:r w:rsidR="00975895" w:rsidRPr="0002642E">
              <w:rPr>
                <w:sz w:val="21"/>
              </w:rPr>
              <w:t xml:space="preserve"> </w:t>
            </w:r>
            <w:r w:rsidRPr="0002642E">
              <w:rPr>
                <w:sz w:val="21"/>
              </w:rPr>
              <w:t>resources</w:t>
            </w:r>
            <w:r w:rsidR="00975895" w:rsidRPr="0002642E">
              <w:rPr>
                <w:sz w:val="21"/>
              </w:rPr>
              <w:t xml:space="preserve"> </w:t>
            </w:r>
            <w:r w:rsidRPr="0002642E">
              <w:rPr>
                <w:sz w:val="21"/>
              </w:rPr>
              <w:t>(time</w:t>
            </w:r>
            <w:r w:rsidR="00975895" w:rsidRPr="0002642E">
              <w:rPr>
                <w:sz w:val="21"/>
              </w:rPr>
              <w:t xml:space="preserve"> </w:t>
            </w:r>
            <w:r w:rsidRPr="0002642E">
              <w:rPr>
                <w:sz w:val="21"/>
              </w:rPr>
              <w:t>and</w:t>
            </w:r>
            <w:r w:rsidR="00975895" w:rsidRPr="0002642E">
              <w:rPr>
                <w:sz w:val="21"/>
              </w:rPr>
              <w:t xml:space="preserve"> </w:t>
            </w:r>
            <w:r w:rsidRPr="0002642E">
              <w:rPr>
                <w:sz w:val="21"/>
              </w:rPr>
              <w:t>funding)</w:t>
            </w:r>
            <w:r w:rsidR="00975895" w:rsidRPr="0002642E">
              <w:rPr>
                <w:sz w:val="21"/>
              </w:rPr>
              <w:t xml:space="preserve"> </w:t>
            </w:r>
            <w:r w:rsidRPr="0002642E">
              <w:rPr>
                <w:sz w:val="21"/>
              </w:rPr>
              <w:t>to</w:t>
            </w:r>
            <w:r w:rsidR="00975895" w:rsidRPr="0002642E">
              <w:rPr>
                <w:sz w:val="21"/>
              </w:rPr>
              <w:t xml:space="preserve"> </w:t>
            </w:r>
            <w:r w:rsidRPr="0002642E">
              <w:rPr>
                <w:sz w:val="21"/>
              </w:rPr>
              <w:t>embed</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394139" w:rsidRPr="0002642E">
              <w:rPr>
                <w:sz w:val="21"/>
              </w:rPr>
              <w:t>.</w:t>
            </w:r>
          </w:p>
          <w:p w14:paraId="24F9F018" w14:textId="4816A7A0" w:rsidR="008E0945" w:rsidRPr="00A96204" w:rsidRDefault="008E0945" w:rsidP="005B74F5">
            <w:pPr>
              <w:pStyle w:val="TableListBullet"/>
              <w:rPr>
                <w:sz w:val="21"/>
                <w:szCs w:val="21"/>
              </w:rPr>
            </w:pPr>
            <w:r w:rsidRPr="0002642E">
              <w:rPr>
                <w:sz w:val="21"/>
              </w:rPr>
              <w:t>Champions</w:t>
            </w:r>
            <w:r w:rsidR="00975895" w:rsidRPr="0002642E">
              <w:rPr>
                <w:sz w:val="21"/>
              </w:rPr>
              <w:t xml:space="preserve"> </w:t>
            </w:r>
            <w:r w:rsidRPr="0002642E">
              <w:rPr>
                <w:sz w:val="21"/>
              </w:rPr>
              <w:t>or</w:t>
            </w:r>
            <w:r w:rsidR="00975895" w:rsidRPr="0002642E">
              <w:rPr>
                <w:sz w:val="21"/>
              </w:rPr>
              <w:t xml:space="preserve"> </w:t>
            </w:r>
            <w:r w:rsidRPr="0002642E">
              <w:rPr>
                <w:sz w:val="21"/>
              </w:rPr>
              <w:t>influencers</w:t>
            </w:r>
            <w:r w:rsidR="00975895" w:rsidRPr="0002642E">
              <w:rPr>
                <w:sz w:val="21"/>
              </w:rPr>
              <w:t xml:space="preserve"> </w:t>
            </w:r>
            <w:r w:rsidRPr="0002642E">
              <w:rPr>
                <w:sz w:val="21"/>
              </w:rPr>
              <w:t>of</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are</w:t>
            </w:r>
            <w:r w:rsidR="00975895" w:rsidRPr="0002642E">
              <w:rPr>
                <w:sz w:val="21"/>
              </w:rPr>
              <w:t xml:space="preserve"> </w:t>
            </w:r>
            <w:r w:rsidRPr="0002642E">
              <w:rPr>
                <w:sz w:val="21"/>
              </w:rPr>
              <w:t>empowered</w:t>
            </w:r>
            <w:r w:rsidR="00975895" w:rsidRPr="0002642E">
              <w:rPr>
                <w:sz w:val="21"/>
              </w:rPr>
              <w:t xml:space="preserve"> </w:t>
            </w:r>
            <w:r w:rsidRPr="0002642E">
              <w:rPr>
                <w:sz w:val="21"/>
              </w:rPr>
              <w:t>and</w:t>
            </w:r>
            <w:r w:rsidR="00975895" w:rsidRPr="0002642E">
              <w:rPr>
                <w:sz w:val="21"/>
              </w:rPr>
              <w:t xml:space="preserve"> </w:t>
            </w:r>
            <w:r w:rsidRPr="0002642E">
              <w:rPr>
                <w:sz w:val="21"/>
              </w:rPr>
              <w:t>resourced</w:t>
            </w:r>
            <w:r w:rsidR="00394139" w:rsidRPr="0002642E">
              <w:rPr>
                <w:sz w:val="21"/>
              </w:rPr>
              <w:t>.</w:t>
            </w:r>
          </w:p>
        </w:tc>
      </w:tr>
      <w:tr w:rsidR="008E0945" w:rsidRPr="00A96204" w14:paraId="19B927BD" w14:textId="77777777" w:rsidTr="0002642E">
        <w:trPr>
          <w:cnfStyle w:val="000000010000" w:firstRow="0" w:lastRow="0" w:firstColumn="0" w:lastColumn="0" w:oddVBand="0" w:evenVBand="0" w:oddHBand="0" w:evenHBand="1" w:firstRowFirstColumn="0" w:firstRowLastColumn="0" w:lastRowFirstColumn="0" w:lastRowLastColumn="0"/>
        </w:trPr>
        <w:tc>
          <w:tcPr>
            <w:tcW w:w="2972" w:type="dxa"/>
          </w:tcPr>
          <w:p w14:paraId="7CC338A8" w14:textId="5C7F89D0" w:rsidR="008E0945" w:rsidRPr="00A96204" w:rsidRDefault="008E0945" w:rsidP="003C410B">
            <w:pPr>
              <w:pStyle w:val="TableListNumber"/>
              <w:numPr>
                <w:ilvl w:val="0"/>
                <w:numId w:val="31"/>
              </w:numPr>
              <w:rPr>
                <w:rStyle w:val="Characterbold"/>
                <w:rFonts w:eastAsiaTheme="minorHAnsi" w:cstheme="minorBidi"/>
                <w:bCs w:val="0"/>
                <w:sz w:val="21"/>
                <w:szCs w:val="21"/>
                <w:lang w:val="en-GB" w:eastAsia="en-US"/>
              </w:rPr>
            </w:pPr>
            <w:r w:rsidRPr="0002642E">
              <w:rPr>
                <w:rStyle w:val="Characterbold"/>
                <w:lang w:val="en-GB"/>
              </w:rPr>
              <w:t>Systems</w:t>
            </w:r>
            <w:r w:rsidR="00975895" w:rsidRPr="0002642E">
              <w:rPr>
                <w:rStyle w:val="Characterbold"/>
                <w:lang w:val="en-GB"/>
              </w:rPr>
              <w:t xml:space="preserve"> </w:t>
            </w:r>
            <w:r w:rsidRPr="0002642E">
              <w:rPr>
                <w:rStyle w:val="Characterbold"/>
                <w:lang w:val="en-GB"/>
              </w:rPr>
              <w:t>and</w:t>
            </w:r>
            <w:r w:rsidR="00975895" w:rsidRPr="0002642E">
              <w:rPr>
                <w:rStyle w:val="Characterbold"/>
                <w:lang w:val="en-GB"/>
              </w:rPr>
              <w:t xml:space="preserve"> </w:t>
            </w:r>
            <w:r w:rsidRPr="0002642E">
              <w:rPr>
                <w:rStyle w:val="Characterbold"/>
                <w:lang w:val="en-GB"/>
              </w:rPr>
              <w:t>processes</w:t>
            </w:r>
            <w:r w:rsidRPr="00A96204">
              <w:rPr>
                <w:rStyle w:val="Characterbold"/>
                <w:sz w:val="21"/>
                <w:szCs w:val="21"/>
                <w:lang w:val="en-GB"/>
              </w:rPr>
              <w:t>:</w:t>
            </w:r>
            <w:r w:rsidR="00975895" w:rsidRPr="00A96204">
              <w:rPr>
                <w:rStyle w:val="Characterbold"/>
                <w:sz w:val="21"/>
                <w:szCs w:val="21"/>
                <w:lang w:val="en-GB"/>
              </w:rPr>
              <w:t xml:space="preserve"> </w:t>
            </w:r>
            <w:r w:rsidRPr="0002642E">
              <w:rPr>
                <w:sz w:val="21"/>
              </w:rPr>
              <w:t>Organisational</w:t>
            </w:r>
            <w:r w:rsidR="00975895" w:rsidRPr="0002642E">
              <w:rPr>
                <w:sz w:val="21"/>
              </w:rPr>
              <w:t xml:space="preserve"> </w:t>
            </w:r>
            <w:r w:rsidRPr="0002642E">
              <w:rPr>
                <w:sz w:val="21"/>
              </w:rPr>
              <w:t>policies,</w:t>
            </w:r>
            <w:r w:rsidR="00975895" w:rsidRPr="0002642E">
              <w:rPr>
                <w:sz w:val="21"/>
              </w:rPr>
              <w:t xml:space="preserve"> </w:t>
            </w:r>
            <w:r w:rsidRPr="0002642E">
              <w:rPr>
                <w:sz w:val="21"/>
              </w:rPr>
              <w:t>processes</w:t>
            </w:r>
            <w:r w:rsidR="00975895" w:rsidRPr="0002642E">
              <w:rPr>
                <w:sz w:val="21"/>
              </w:rPr>
              <w:t xml:space="preserve"> </w:t>
            </w:r>
            <w:r w:rsidRPr="0002642E">
              <w:rPr>
                <w:sz w:val="21"/>
              </w:rPr>
              <w:t>and</w:t>
            </w:r>
            <w:r w:rsidR="00975895" w:rsidRPr="0002642E">
              <w:rPr>
                <w:sz w:val="21"/>
              </w:rPr>
              <w:t xml:space="preserve"> </w:t>
            </w:r>
            <w:r w:rsidRPr="0002642E">
              <w:rPr>
                <w:sz w:val="21"/>
              </w:rPr>
              <w:t>tools</w:t>
            </w:r>
            <w:r w:rsidR="00975895" w:rsidRPr="0002642E">
              <w:rPr>
                <w:sz w:val="21"/>
              </w:rPr>
              <w:t xml:space="preserve"> </w:t>
            </w:r>
            <w:r w:rsidRPr="0002642E">
              <w:rPr>
                <w:sz w:val="21"/>
              </w:rPr>
              <w:t>embed</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and</w:t>
            </w:r>
            <w:r w:rsidR="00975895" w:rsidRPr="0002642E">
              <w:rPr>
                <w:sz w:val="21"/>
              </w:rPr>
              <w:t xml:space="preserve"> </w:t>
            </w:r>
            <w:r w:rsidRPr="0002642E">
              <w:rPr>
                <w:sz w:val="21"/>
              </w:rPr>
              <w:t>the</w:t>
            </w:r>
            <w:r w:rsidR="00975895" w:rsidRPr="0002642E">
              <w:rPr>
                <w:sz w:val="21"/>
              </w:rPr>
              <w:t xml:space="preserve"> </w:t>
            </w:r>
            <w:r w:rsidRPr="0002642E">
              <w:rPr>
                <w:sz w:val="21"/>
              </w:rPr>
              <w:t>Charter</w:t>
            </w:r>
          </w:p>
        </w:tc>
        <w:tc>
          <w:tcPr>
            <w:tcW w:w="6521" w:type="dxa"/>
          </w:tcPr>
          <w:p w14:paraId="68617C64" w14:textId="4FED5A20" w:rsidR="008E0945" w:rsidRPr="00E43322" w:rsidRDefault="008E0945" w:rsidP="0002642E">
            <w:pPr>
              <w:pStyle w:val="TableListBullet"/>
            </w:pPr>
            <w:r w:rsidRPr="0002642E">
              <w:rPr>
                <w:sz w:val="21"/>
              </w:rPr>
              <w:t>The</w:t>
            </w:r>
            <w:r w:rsidR="00975895" w:rsidRPr="0002642E">
              <w:rPr>
                <w:sz w:val="21"/>
              </w:rPr>
              <w:t xml:space="preserve"> </w:t>
            </w:r>
            <w:r w:rsidRPr="0002642E">
              <w:rPr>
                <w:sz w:val="21"/>
              </w:rPr>
              <w:t>Charter</w:t>
            </w:r>
            <w:r w:rsidR="00975895" w:rsidRPr="0002642E">
              <w:rPr>
                <w:sz w:val="21"/>
              </w:rPr>
              <w:t xml:space="preserve"> </w:t>
            </w:r>
            <w:r w:rsidRPr="0002642E">
              <w:rPr>
                <w:sz w:val="21"/>
              </w:rPr>
              <w:t>is</w:t>
            </w:r>
            <w:r w:rsidR="00975895" w:rsidRPr="0002642E">
              <w:rPr>
                <w:sz w:val="21"/>
              </w:rPr>
              <w:t xml:space="preserve"> </w:t>
            </w:r>
            <w:r w:rsidRPr="0002642E">
              <w:rPr>
                <w:sz w:val="21"/>
              </w:rPr>
              <w:t>included</w:t>
            </w:r>
            <w:r w:rsidR="00975895" w:rsidRPr="0002642E">
              <w:rPr>
                <w:sz w:val="21"/>
              </w:rPr>
              <w:t xml:space="preserve"> </w:t>
            </w:r>
            <w:r w:rsidRPr="0002642E">
              <w:rPr>
                <w:sz w:val="21"/>
              </w:rPr>
              <w:t>in</w:t>
            </w:r>
            <w:r w:rsidR="00975895" w:rsidRPr="0002642E">
              <w:rPr>
                <w:sz w:val="21"/>
              </w:rPr>
              <w:t xml:space="preserve"> </w:t>
            </w:r>
            <w:r w:rsidRPr="0002642E">
              <w:rPr>
                <w:sz w:val="21"/>
              </w:rPr>
              <w:t>legal</w:t>
            </w:r>
            <w:r w:rsidR="00975895" w:rsidRPr="0002642E">
              <w:rPr>
                <w:sz w:val="21"/>
              </w:rPr>
              <w:t xml:space="preserve"> </w:t>
            </w:r>
            <w:r w:rsidRPr="0002642E">
              <w:rPr>
                <w:sz w:val="21"/>
              </w:rPr>
              <w:t>compliance</w:t>
            </w:r>
            <w:r w:rsidR="00975895" w:rsidRPr="0002642E">
              <w:rPr>
                <w:sz w:val="21"/>
              </w:rPr>
              <w:t xml:space="preserve"> </w:t>
            </w:r>
            <w:r w:rsidRPr="0002642E">
              <w:rPr>
                <w:sz w:val="21"/>
              </w:rPr>
              <w:t>frameworks</w:t>
            </w:r>
            <w:r w:rsidR="00394139" w:rsidRPr="0002642E">
              <w:rPr>
                <w:sz w:val="21"/>
              </w:rPr>
              <w:t>.</w:t>
            </w:r>
            <w:r w:rsidR="00975895" w:rsidRPr="0002642E">
              <w:rPr>
                <w:sz w:val="21"/>
              </w:rPr>
              <w:t xml:space="preserve"> </w:t>
            </w:r>
          </w:p>
          <w:p w14:paraId="7EEDEFCD" w14:textId="23D6D8F1" w:rsidR="008E0945" w:rsidRPr="00E43322" w:rsidRDefault="008E0945" w:rsidP="0002642E">
            <w:pPr>
              <w:pStyle w:val="TableListBullet"/>
            </w:pPr>
            <w:r w:rsidRPr="0002642E">
              <w:rPr>
                <w:sz w:val="21"/>
              </w:rPr>
              <w:t>The</w:t>
            </w:r>
            <w:r w:rsidR="00975895" w:rsidRPr="0002642E">
              <w:rPr>
                <w:sz w:val="21"/>
              </w:rPr>
              <w:t xml:space="preserve"> </w:t>
            </w:r>
            <w:r w:rsidRPr="0002642E">
              <w:rPr>
                <w:sz w:val="21"/>
              </w:rPr>
              <w:t>organisation</w:t>
            </w:r>
            <w:r w:rsidR="00975895" w:rsidRPr="0002642E">
              <w:rPr>
                <w:sz w:val="21"/>
              </w:rPr>
              <w:t xml:space="preserve"> </w:t>
            </w:r>
            <w:r w:rsidRPr="0002642E">
              <w:rPr>
                <w:sz w:val="21"/>
              </w:rPr>
              <w:t>embeds</w:t>
            </w:r>
            <w:r w:rsidR="00975895" w:rsidRPr="0002642E">
              <w:rPr>
                <w:sz w:val="21"/>
              </w:rPr>
              <w:t xml:space="preserve"> </w:t>
            </w:r>
            <w:r w:rsidRPr="0002642E">
              <w:rPr>
                <w:sz w:val="21"/>
              </w:rPr>
              <w:t>human</w:t>
            </w:r>
            <w:r w:rsidR="00975895" w:rsidRPr="0002642E">
              <w:rPr>
                <w:sz w:val="21"/>
              </w:rPr>
              <w:t xml:space="preserve"> </w:t>
            </w:r>
            <w:r w:rsidRPr="0002642E">
              <w:rPr>
                <w:sz w:val="21"/>
              </w:rPr>
              <w:t>rights</w:t>
            </w:r>
            <w:r w:rsidR="00975895" w:rsidRPr="0002642E">
              <w:rPr>
                <w:sz w:val="21"/>
              </w:rPr>
              <w:t xml:space="preserve"> </w:t>
            </w:r>
            <w:r w:rsidRPr="0002642E">
              <w:rPr>
                <w:sz w:val="21"/>
              </w:rPr>
              <w:t>into</w:t>
            </w:r>
            <w:r w:rsidR="00975895" w:rsidRPr="0002642E">
              <w:rPr>
                <w:sz w:val="21"/>
              </w:rPr>
              <w:t xml:space="preserve"> </w:t>
            </w:r>
            <w:r w:rsidRPr="0002642E">
              <w:rPr>
                <w:sz w:val="21"/>
              </w:rPr>
              <w:t>key</w:t>
            </w:r>
            <w:r w:rsidR="00975895" w:rsidRPr="0002642E">
              <w:rPr>
                <w:sz w:val="21"/>
              </w:rPr>
              <w:t xml:space="preserve"> </w:t>
            </w:r>
            <w:r w:rsidRPr="0002642E">
              <w:rPr>
                <w:sz w:val="21"/>
              </w:rPr>
              <w:t>processes</w:t>
            </w:r>
            <w:r w:rsidR="00975895" w:rsidRPr="0002642E">
              <w:rPr>
                <w:sz w:val="21"/>
              </w:rPr>
              <w:t xml:space="preserve"> </w:t>
            </w:r>
            <w:r w:rsidRPr="0002642E">
              <w:rPr>
                <w:sz w:val="21"/>
              </w:rPr>
              <w:t>and</w:t>
            </w:r>
            <w:r w:rsidR="00975895" w:rsidRPr="0002642E">
              <w:rPr>
                <w:sz w:val="21"/>
              </w:rPr>
              <w:t xml:space="preserve"> </w:t>
            </w:r>
            <w:r w:rsidRPr="0002642E">
              <w:rPr>
                <w:sz w:val="21"/>
              </w:rPr>
              <w:t>tools</w:t>
            </w:r>
            <w:r w:rsidR="00394139" w:rsidRPr="0002642E">
              <w:rPr>
                <w:sz w:val="21"/>
              </w:rPr>
              <w:t>.</w:t>
            </w:r>
          </w:p>
          <w:p w14:paraId="091585C2" w14:textId="30F30BFE" w:rsidR="008E0945" w:rsidRPr="00A96204" w:rsidRDefault="008E0945" w:rsidP="005B74F5">
            <w:pPr>
              <w:pStyle w:val="TableListBullet"/>
              <w:rPr>
                <w:sz w:val="21"/>
                <w:szCs w:val="21"/>
              </w:rPr>
            </w:pPr>
            <w:r w:rsidRPr="0002642E">
              <w:rPr>
                <w:sz w:val="21"/>
              </w:rPr>
              <w:t>The</w:t>
            </w:r>
            <w:r w:rsidR="00975895" w:rsidRPr="0002642E">
              <w:rPr>
                <w:sz w:val="21"/>
              </w:rPr>
              <w:t xml:space="preserve"> </w:t>
            </w:r>
            <w:r w:rsidRPr="0002642E">
              <w:rPr>
                <w:sz w:val="21"/>
              </w:rPr>
              <w:t>organisation</w:t>
            </w:r>
            <w:r w:rsidR="00975895" w:rsidRPr="0002642E">
              <w:rPr>
                <w:sz w:val="21"/>
              </w:rPr>
              <w:t xml:space="preserve"> </w:t>
            </w:r>
            <w:r w:rsidRPr="0002642E">
              <w:rPr>
                <w:sz w:val="21"/>
              </w:rPr>
              <w:t>delivers</w:t>
            </w:r>
            <w:r w:rsidR="00975895" w:rsidRPr="0002642E">
              <w:rPr>
                <w:sz w:val="21"/>
              </w:rPr>
              <w:t xml:space="preserve"> </w:t>
            </w:r>
            <w:r w:rsidRPr="0002642E">
              <w:rPr>
                <w:sz w:val="21"/>
              </w:rPr>
              <w:t>available,</w:t>
            </w:r>
            <w:r w:rsidR="00975895" w:rsidRPr="0002642E">
              <w:rPr>
                <w:sz w:val="21"/>
              </w:rPr>
              <w:t xml:space="preserve"> </w:t>
            </w:r>
            <w:r w:rsidRPr="0002642E">
              <w:rPr>
                <w:sz w:val="21"/>
              </w:rPr>
              <w:t>accessible,</w:t>
            </w:r>
            <w:r w:rsidR="00975895" w:rsidRPr="0002642E">
              <w:rPr>
                <w:sz w:val="21"/>
              </w:rPr>
              <w:t xml:space="preserve"> </w:t>
            </w:r>
            <w:r w:rsidRPr="0002642E">
              <w:rPr>
                <w:sz w:val="21"/>
              </w:rPr>
              <w:t>adaptable,</w:t>
            </w:r>
            <w:r w:rsidR="00975895" w:rsidRPr="0002642E">
              <w:rPr>
                <w:sz w:val="21"/>
              </w:rPr>
              <w:t xml:space="preserve"> </w:t>
            </w:r>
            <w:r w:rsidRPr="0002642E">
              <w:rPr>
                <w:sz w:val="21"/>
              </w:rPr>
              <w:t>acceptable,</w:t>
            </w:r>
            <w:r w:rsidR="00975895" w:rsidRPr="0002642E">
              <w:rPr>
                <w:sz w:val="21"/>
              </w:rPr>
              <w:t xml:space="preserve"> </w:t>
            </w:r>
            <w:r w:rsidRPr="0002642E">
              <w:rPr>
                <w:sz w:val="21"/>
              </w:rPr>
              <w:t>inclusive</w:t>
            </w:r>
            <w:r w:rsidR="00975895" w:rsidRPr="0002642E">
              <w:rPr>
                <w:sz w:val="21"/>
              </w:rPr>
              <w:t xml:space="preserve"> </w:t>
            </w:r>
            <w:r w:rsidRPr="0002642E">
              <w:rPr>
                <w:sz w:val="21"/>
              </w:rPr>
              <w:t>and</w:t>
            </w:r>
            <w:r w:rsidR="00975895" w:rsidRPr="0002642E">
              <w:rPr>
                <w:sz w:val="21"/>
              </w:rPr>
              <w:t xml:space="preserve"> </w:t>
            </w:r>
            <w:r w:rsidRPr="0002642E">
              <w:rPr>
                <w:sz w:val="21"/>
              </w:rPr>
              <w:t>quality</w:t>
            </w:r>
            <w:r w:rsidR="00975895" w:rsidRPr="0002642E">
              <w:rPr>
                <w:sz w:val="21"/>
              </w:rPr>
              <w:t xml:space="preserve"> </w:t>
            </w:r>
            <w:r w:rsidRPr="0002642E">
              <w:rPr>
                <w:sz w:val="21"/>
              </w:rPr>
              <w:t>services</w:t>
            </w:r>
            <w:r w:rsidR="00394139" w:rsidRPr="0002642E">
              <w:rPr>
                <w:sz w:val="21"/>
              </w:rPr>
              <w:t>.</w:t>
            </w:r>
          </w:p>
        </w:tc>
      </w:tr>
    </w:tbl>
    <w:p w14:paraId="6F364357" w14:textId="241CC189" w:rsidR="008E0945" w:rsidRPr="003015FD" w:rsidRDefault="00E35A1E" w:rsidP="0002642E">
      <w:pPr>
        <w:pStyle w:val="Heading3"/>
      </w:pPr>
      <w:bookmarkStart w:id="47" w:name="_Toc15045100"/>
      <w:r w:rsidRPr="003015FD">
        <w:t>2.4.2</w:t>
      </w:r>
      <w:r w:rsidRPr="003015FD">
        <w:tab/>
      </w:r>
      <w:bookmarkEnd w:id="47"/>
      <w:r w:rsidR="00C05DA6">
        <w:t>Ways of t</w:t>
      </w:r>
      <w:r w:rsidR="00D1762A">
        <w:t>racking improvement in human rights culture</w:t>
      </w:r>
    </w:p>
    <w:p w14:paraId="0FC25DF7" w14:textId="25B81BD8" w:rsidR="008E0945" w:rsidRPr="003015FD" w:rsidRDefault="003340A9" w:rsidP="0002642E">
      <w:r>
        <w:t>T</w:t>
      </w:r>
      <w:r w:rsidR="008E0945" w:rsidRPr="003015FD">
        <w:t>he</w:t>
      </w:r>
      <w:r w:rsidR="00975895" w:rsidRPr="003015FD">
        <w:t xml:space="preserve"> </w:t>
      </w:r>
      <w:r w:rsidR="008E0945" w:rsidRPr="003015FD">
        <w:t>Commission</w:t>
      </w:r>
      <w:r w:rsidR="00975895" w:rsidRPr="003015FD">
        <w:t xml:space="preserve"> </w:t>
      </w:r>
      <w:r w:rsidR="00907911">
        <w:t xml:space="preserve">measured the existence of the </w:t>
      </w:r>
      <w:r w:rsidR="003A273A">
        <w:t>influences and indicators using</w:t>
      </w:r>
      <w:r w:rsidR="008E0945" w:rsidRPr="003015FD">
        <w:t>:</w:t>
      </w:r>
    </w:p>
    <w:p w14:paraId="2E9B7BDD" w14:textId="7C62335F" w:rsidR="008E0945" w:rsidRPr="003015FD" w:rsidRDefault="009E630B" w:rsidP="0002642E">
      <w:pPr>
        <w:pStyle w:val="ListBullet"/>
      </w:pPr>
      <w:r>
        <w:t>a</w:t>
      </w:r>
      <w:r w:rsidR="00975895" w:rsidRPr="003015FD">
        <w:t xml:space="preserve"> </w:t>
      </w:r>
      <w:r w:rsidR="008E0945" w:rsidRPr="003015FD">
        <w:t>survey</w:t>
      </w:r>
      <w:r w:rsidR="00975895" w:rsidRPr="003015FD">
        <w:t xml:space="preserve"> </w:t>
      </w:r>
      <w:r w:rsidR="008E0945" w:rsidRPr="003015FD">
        <w:t>of</w:t>
      </w:r>
      <w:r w:rsidR="00975895" w:rsidRPr="003015FD">
        <w:t xml:space="preserve"> </w:t>
      </w:r>
      <w:r w:rsidR="008E0945" w:rsidRPr="003015FD">
        <w:t>a</w:t>
      </w:r>
      <w:r w:rsidR="00975895" w:rsidRPr="003015FD">
        <w:t xml:space="preserve"> </w:t>
      </w:r>
      <w:r w:rsidR="008E0945" w:rsidRPr="003015FD">
        <w:t>sample</w:t>
      </w:r>
      <w:r w:rsidR="00975895" w:rsidRPr="003015FD">
        <w:t xml:space="preserve"> </w:t>
      </w:r>
      <w:r w:rsidR="008E0945" w:rsidRPr="003015FD">
        <w:t>of</w:t>
      </w:r>
      <w:r w:rsidR="00975895" w:rsidRPr="003015FD">
        <w:t xml:space="preserve"> </w:t>
      </w:r>
      <w:r w:rsidR="008E0945" w:rsidRPr="003015FD">
        <w:t>35</w:t>
      </w:r>
      <w:r w:rsidR="00975895" w:rsidRPr="003015FD">
        <w:t xml:space="preserve"> </w:t>
      </w:r>
      <w:r w:rsidR="00394139">
        <w:t xml:space="preserve">Victorian </w:t>
      </w:r>
      <w:r w:rsidR="008E0945" w:rsidRPr="003015FD">
        <w:t>public</w:t>
      </w:r>
      <w:r w:rsidR="00975895" w:rsidRPr="003015FD">
        <w:t xml:space="preserve"> </w:t>
      </w:r>
      <w:r w:rsidR="008E0945" w:rsidRPr="003015FD">
        <w:t>authorities.</w:t>
      </w:r>
      <w:r w:rsidR="00975895" w:rsidRPr="003015FD">
        <w:t xml:space="preserve"> </w:t>
      </w:r>
      <w:r w:rsidR="008E0945" w:rsidRPr="00394139">
        <w:t>We</w:t>
      </w:r>
      <w:r w:rsidR="00975895" w:rsidRPr="00394139">
        <w:t xml:space="preserve"> </w:t>
      </w:r>
      <w:r w:rsidR="008E0945" w:rsidRPr="00394139">
        <w:t>included</w:t>
      </w:r>
      <w:r w:rsidR="00975895" w:rsidRPr="00394139">
        <w:t xml:space="preserve"> </w:t>
      </w:r>
      <w:r w:rsidR="00C26C1E">
        <w:t xml:space="preserve">departments, </w:t>
      </w:r>
      <w:r w:rsidR="008E0945" w:rsidRPr="003015FD">
        <w:t>small</w:t>
      </w:r>
      <w:r w:rsidR="00975895" w:rsidRPr="003015FD">
        <w:t xml:space="preserve"> </w:t>
      </w:r>
      <w:r w:rsidR="00394139">
        <w:t xml:space="preserve">and </w:t>
      </w:r>
      <w:r w:rsidR="008E0945" w:rsidRPr="003015FD">
        <w:t>large</w:t>
      </w:r>
      <w:r w:rsidR="00975895" w:rsidRPr="003015FD">
        <w:t xml:space="preserve"> </w:t>
      </w:r>
      <w:r w:rsidR="008E0945" w:rsidRPr="003015FD">
        <w:t>agencies</w:t>
      </w:r>
      <w:r w:rsidR="00394139">
        <w:t>,</w:t>
      </w:r>
      <w:r>
        <w:t xml:space="preserve"> as well as </w:t>
      </w:r>
      <w:r w:rsidR="008E0945" w:rsidRPr="003015FD">
        <w:t>local</w:t>
      </w:r>
      <w:r w:rsidR="00975895" w:rsidRPr="003015FD">
        <w:t xml:space="preserve"> </w:t>
      </w:r>
      <w:r w:rsidR="008E0945" w:rsidRPr="003015FD">
        <w:t>councils,</w:t>
      </w:r>
      <w:r w:rsidR="00975895" w:rsidRPr="003015FD">
        <w:t xml:space="preserve"> </w:t>
      </w:r>
      <w:r w:rsidR="008E0945" w:rsidRPr="003015FD">
        <w:t>in</w:t>
      </w:r>
      <w:r w:rsidR="00975895" w:rsidRPr="003015FD">
        <w:t xml:space="preserve"> </w:t>
      </w:r>
      <w:r w:rsidR="008E0945" w:rsidRPr="003015FD">
        <w:t>recognition</w:t>
      </w:r>
      <w:r w:rsidR="00975895" w:rsidRPr="003015FD">
        <w:t xml:space="preserve"> </w:t>
      </w:r>
      <w:r w:rsidR="008E0945" w:rsidRPr="003015FD">
        <w:t>that</w:t>
      </w:r>
      <w:r w:rsidR="00975895" w:rsidRPr="003015FD">
        <w:t xml:space="preserve"> </w:t>
      </w:r>
      <w:r w:rsidR="008E0945" w:rsidRPr="003015FD">
        <w:t>different</w:t>
      </w:r>
      <w:r w:rsidR="00975895" w:rsidRPr="003015FD">
        <w:t xml:space="preserve"> </w:t>
      </w:r>
      <w:r w:rsidR="008E0945" w:rsidRPr="003015FD">
        <w:t>types</w:t>
      </w:r>
      <w:r w:rsidR="00975895" w:rsidRPr="003015FD">
        <w:t xml:space="preserve"> </w:t>
      </w:r>
      <w:r w:rsidR="008E0945" w:rsidRPr="003015FD">
        <w:t>of</w:t>
      </w:r>
      <w:r w:rsidR="00975895" w:rsidRPr="003015FD">
        <w:t xml:space="preserve"> </w:t>
      </w:r>
      <w:r w:rsidR="008E0945" w:rsidRPr="003015FD">
        <w:t>authorities</w:t>
      </w:r>
      <w:r w:rsidR="00975895" w:rsidRPr="003015FD">
        <w:t xml:space="preserve"> </w:t>
      </w:r>
      <w:r w:rsidR="008E0945" w:rsidRPr="003015FD">
        <w:t>have</w:t>
      </w:r>
      <w:r w:rsidR="00975895" w:rsidRPr="003015FD">
        <w:t xml:space="preserve"> </w:t>
      </w:r>
      <w:r w:rsidR="008E0945" w:rsidRPr="003015FD">
        <w:t>different</w:t>
      </w:r>
      <w:r w:rsidR="00975895" w:rsidRPr="003015FD">
        <w:t xml:space="preserve"> </w:t>
      </w:r>
      <w:r w:rsidR="008E0945" w:rsidRPr="003015FD">
        <w:t>challenges</w:t>
      </w:r>
      <w:r w:rsidR="00975895" w:rsidRPr="003015FD">
        <w:t xml:space="preserve"> </w:t>
      </w:r>
      <w:r w:rsidR="008E0945" w:rsidRPr="003015FD">
        <w:t>to</w:t>
      </w:r>
      <w:r w:rsidR="00975895" w:rsidRPr="003015FD">
        <w:t xml:space="preserve"> </w:t>
      </w:r>
      <w:r w:rsidR="008E0945" w:rsidRPr="003015FD">
        <w:t>embed</w:t>
      </w:r>
      <w:r w:rsidR="00975895" w:rsidRPr="003015FD">
        <w:t xml:space="preserve"> </w:t>
      </w:r>
      <w:r w:rsidR="008E0945" w:rsidRPr="003015FD">
        <w:t>a</w:t>
      </w:r>
      <w:r w:rsidR="00975895" w:rsidRPr="003015FD">
        <w:t xml:space="preserve"> </w:t>
      </w:r>
      <w:r w:rsidR="008E0945" w:rsidRPr="003015FD">
        <w:t>culture</w:t>
      </w:r>
      <w:r w:rsidR="00975895" w:rsidRPr="003015FD">
        <w:t xml:space="preserve"> </w:t>
      </w:r>
      <w:r w:rsidR="008E0945" w:rsidRPr="003015FD">
        <w:t>of</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See</w:t>
      </w:r>
      <w:r w:rsidR="00975895" w:rsidRPr="003015FD">
        <w:t xml:space="preserve"> </w:t>
      </w:r>
      <w:r w:rsidR="008E0945" w:rsidRPr="003015FD">
        <w:t>Appendix</w:t>
      </w:r>
      <w:r w:rsidR="00975895" w:rsidRPr="003015FD">
        <w:t xml:space="preserve"> </w:t>
      </w:r>
      <w:r w:rsidR="00082CF3" w:rsidRPr="003015FD">
        <w:t>B</w:t>
      </w:r>
      <w:r w:rsidR="00975895" w:rsidRPr="003015FD">
        <w:t xml:space="preserve"> </w:t>
      </w:r>
      <w:r w:rsidR="008E0945" w:rsidRPr="003015FD">
        <w:t>for</w:t>
      </w:r>
      <w:r w:rsidR="00975895" w:rsidRPr="003015FD">
        <w:t xml:space="preserve"> </w:t>
      </w:r>
      <w:r w:rsidR="008E0945" w:rsidRPr="003015FD">
        <w:t>a</w:t>
      </w:r>
      <w:r w:rsidR="00975895" w:rsidRPr="003015FD">
        <w:t xml:space="preserve"> </w:t>
      </w:r>
      <w:r w:rsidR="008E0945" w:rsidRPr="003015FD">
        <w:t>full</w:t>
      </w:r>
      <w:r w:rsidR="00975895" w:rsidRPr="003015FD">
        <w:t xml:space="preserve"> </w:t>
      </w:r>
      <w:r w:rsidR="008E0945" w:rsidRPr="003015FD">
        <w:t>list</w:t>
      </w:r>
      <w:r w:rsidR="00975895" w:rsidRPr="003015FD">
        <w:t xml:space="preserve"> </w:t>
      </w:r>
      <w:r w:rsidR="008E0945" w:rsidRPr="003015FD">
        <w:t>of</w:t>
      </w:r>
      <w:r w:rsidR="00975895" w:rsidRPr="003015FD">
        <w:t xml:space="preserve"> </w:t>
      </w:r>
      <w:r w:rsidR="008E0945" w:rsidRPr="003015FD">
        <w:t>participants</w:t>
      </w:r>
    </w:p>
    <w:p w14:paraId="1DEB8A6E" w14:textId="5E59AE48" w:rsidR="008E0945" w:rsidRPr="003015FD" w:rsidRDefault="009E630B" w:rsidP="0002642E">
      <w:pPr>
        <w:pStyle w:val="ListBullet"/>
      </w:pPr>
      <w:r>
        <w:t>t</w:t>
      </w:r>
      <w:r w:rsidR="008E0945" w:rsidRPr="003015FD">
        <w:t>he</w:t>
      </w:r>
      <w:r w:rsidR="00975895" w:rsidRPr="003015FD">
        <w:t xml:space="preserve"> </w:t>
      </w:r>
      <w:r w:rsidR="008E0945" w:rsidRPr="003015FD">
        <w:t>Victorian</w:t>
      </w:r>
      <w:r w:rsidR="00975895" w:rsidRPr="003015FD">
        <w:t xml:space="preserve"> </w:t>
      </w:r>
      <w:r w:rsidR="008E0945" w:rsidRPr="003015FD">
        <w:t>Public</w:t>
      </w:r>
      <w:r w:rsidR="00975895" w:rsidRPr="003015FD">
        <w:t xml:space="preserve"> </w:t>
      </w:r>
      <w:r w:rsidR="008E0945" w:rsidRPr="003015FD">
        <w:t>Sector</w:t>
      </w:r>
      <w:r w:rsidR="00975895" w:rsidRPr="003015FD">
        <w:t xml:space="preserve"> </w:t>
      </w:r>
      <w:r w:rsidR="008E0945" w:rsidRPr="003015FD">
        <w:t>Commission</w:t>
      </w:r>
      <w:r w:rsidR="000C5726">
        <w:t>'</w:t>
      </w:r>
      <w:r w:rsidR="008E0945" w:rsidRPr="003015FD">
        <w:t>s</w:t>
      </w:r>
      <w:r w:rsidR="00975895" w:rsidRPr="003015FD">
        <w:t xml:space="preserve"> </w:t>
      </w:r>
      <w:r w:rsidR="008E0945" w:rsidRPr="003015FD">
        <w:t>People</w:t>
      </w:r>
      <w:r w:rsidR="00975895" w:rsidRPr="003015FD">
        <w:t xml:space="preserve"> </w:t>
      </w:r>
      <w:r w:rsidR="008E0945" w:rsidRPr="003015FD">
        <w:t>Matter</w:t>
      </w:r>
      <w:r w:rsidR="00975895" w:rsidRPr="003015FD">
        <w:t xml:space="preserve"> </w:t>
      </w:r>
      <w:r w:rsidR="008E0945" w:rsidRPr="003015FD">
        <w:t>Survey,</w:t>
      </w:r>
      <w:r w:rsidR="00975895" w:rsidRPr="003015FD">
        <w:t xml:space="preserve"> </w:t>
      </w:r>
      <w:r w:rsidR="008E0945" w:rsidRPr="003015FD">
        <w:t>which</w:t>
      </w:r>
      <w:r w:rsidR="00975895" w:rsidRPr="003015FD">
        <w:t xml:space="preserve"> </w:t>
      </w:r>
      <w:r w:rsidR="008E0945" w:rsidRPr="003015FD">
        <w:t>included</w:t>
      </w:r>
      <w:r w:rsidR="00975895" w:rsidRPr="003015FD">
        <w:t xml:space="preserve"> </w:t>
      </w:r>
      <w:r w:rsidR="008E0945" w:rsidRPr="003015FD">
        <w:t>specific</w:t>
      </w:r>
      <w:r w:rsidR="00975895" w:rsidRPr="003015FD">
        <w:t xml:space="preserve"> </w:t>
      </w:r>
      <w:r w:rsidR="008E0945" w:rsidRPr="003015FD">
        <w:t>questions</w:t>
      </w:r>
      <w:r w:rsidR="00975895" w:rsidRPr="003015FD">
        <w:t xml:space="preserve"> </w:t>
      </w:r>
      <w:r w:rsidR="008E0945" w:rsidRPr="003015FD">
        <w:t>on</w:t>
      </w:r>
      <w:r w:rsidR="00975895" w:rsidRPr="003015FD">
        <w:t xml:space="preserve"> </w:t>
      </w:r>
      <w:r w:rsidR="008E0945" w:rsidRPr="003015FD">
        <w:t>whether</w:t>
      </w:r>
      <w:r w:rsidR="00975895" w:rsidRPr="003015FD">
        <w:t xml:space="preserve"> </w:t>
      </w:r>
      <w:r w:rsidR="008E0945" w:rsidRPr="003015FD">
        <w:t>and</w:t>
      </w:r>
      <w:r w:rsidR="00975895" w:rsidRPr="003015FD">
        <w:t xml:space="preserve"> </w:t>
      </w:r>
      <w:r w:rsidR="008E0945" w:rsidRPr="003015FD">
        <w:t>to</w:t>
      </w:r>
      <w:r w:rsidR="00975895" w:rsidRPr="003015FD">
        <w:t xml:space="preserve"> </w:t>
      </w:r>
      <w:r w:rsidR="008E0945" w:rsidRPr="003015FD">
        <w:t>what</w:t>
      </w:r>
      <w:r w:rsidR="00975895" w:rsidRPr="003015FD">
        <w:t xml:space="preserve"> </w:t>
      </w:r>
      <w:r w:rsidR="008E0945" w:rsidRPr="003015FD">
        <w:t>extent</w:t>
      </w:r>
      <w:r w:rsidR="00975895" w:rsidRPr="003015FD">
        <w:t xml:space="preserve"> </w:t>
      </w:r>
      <w:r w:rsidR="008E0945" w:rsidRPr="003015FD">
        <w:t>employees</w:t>
      </w:r>
      <w:r w:rsidR="00975895" w:rsidRPr="003015FD">
        <w:t xml:space="preserve"> </w:t>
      </w:r>
      <w:r w:rsidR="008E0945" w:rsidRPr="003015FD">
        <w:t>understand</w:t>
      </w:r>
      <w:r w:rsidR="00975895" w:rsidRPr="003015FD">
        <w:t xml:space="preserve"> </w:t>
      </w:r>
      <w:r w:rsidR="008E0945" w:rsidRPr="003015FD">
        <w:t>and</w:t>
      </w:r>
      <w:r w:rsidR="00975895" w:rsidRPr="003015FD">
        <w:t xml:space="preserve"> </w:t>
      </w:r>
      <w:r w:rsidR="008E0945" w:rsidRPr="003015FD">
        <w:t>are</w:t>
      </w:r>
      <w:r w:rsidR="00975895" w:rsidRPr="003015FD">
        <w:t xml:space="preserve"> </w:t>
      </w:r>
      <w:r w:rsidR="008E0945" w:rsidRPr="003015FD">
        <w:t>encouraged</w:t>
      </w:r>
      <w:r w:rsidR="00975895" w:rsidRPr="003015FD">
        <w:t xml:space="preserve"> </w:t>
      </w:r>
      <w:r w:rsidR="008E0945" w:rsidRPr="003015FD">
        <w:t>to</w:t>
      </w:r>
      <w:r w:rsidR="00975895" w:rsidRPr="003015FD">
        <w:t xml:space="preserve"> </w:t>
      </w:r>
      <w:r w:rsidR="008E0945" w:rsidRPr="003015FD">
        <w:t>value</w:t>
      </w:r>
      <w:r w:rsidR="00975895" w:rsidRPr="003015FD">
        <w:t xml:space="preserve"> </w:t>
      </w:r>
      <w:r w:rsidR="008E0945" w:rsidRPr="003015FD">
        <w:t>and</w:t>
      </w:r>
      <w:r w:rsidR="00975895" w:rsidRPr="003015FD">
        <w:t xml:space="preserve"> </w:t>
      </w:r>
      <w:r w:rsidR="008E0945" w:rsidRPr="003015FD">
        <w:t>support</w:t>
      </w:r>
      <w:r w:rsidR="00975895" w:rsidRPr="003015FD">
        <w:t xml:space="preserve"> </w:t>
      </w:r>
      <w:r w:rsidR="008E0945" w:rsidRPr="003015FD">
        <w:t>human</w:t>
      </w:r>
      <w:r w:rsidR="00975895" w:rsidRPr="003015FD">
        <w:t xml:space="preserve"> </w:t>
      </w:r>
      <w:r w:rsidR="008E0945" w:rsidRPr="003015FD">
        <w:t>rights</w:t>
      </w:r>
    </w:p>
    <w:p w14:paraId="702A59D3" w14:textId="15AEE5B4" w:rsidR="008E0945" w:rsidRPr="003015FD" w:rsidRDefault="009E630B" w:rsidP="0002642E">
      <w:pPr>
        <w:pStyle w:val="ListBullet"/>
      </w:pPr>
      <w:r>
        <w:lastRenderedPageBreak/>
        <w:t>c</w:t>
      </w:r>
      <w:r w:rsidR="008E0945" w:rsidRPr="003015FD">
        <w:t>ase</w:t>
      </w:r>
      <w:r w:rsidR="00975895" w:rsidRPr="003015FD">
        <w:t xml:space="preserve"> </w:t>
      </w:r>
      <w:r w:rsidR="008E0945" w:rsidRPr="003015FD">
        <w:t>studies</w:t>
      </w:r>
      <w:r w:rsidR="00975895" w:rsidRPr="003015FD">
        <w:t xml:space="preserve"> </w:t>
      </w:r>
      <w:r w:rsidR="008E0945" w:rsidRPr="003015FD">
        <w:t>identified</w:t>
      </w:r>
      <w:r w:rsidR="00975895" w:rsidRPr="003015FD">
        <w:t xml:space="preserve"> </w:t>
      </w:r>
      <w:r w:rsidR="008E0945" w:rsidRPr="003015FD">
        <w:t>through</w:t>
      </w:r>
      <w:r w:rsidR="00975895" w:rsidRPr="003015FD">
        <w:t xml:space="preserve"> </w:t>
      </w:r>
      <w:r w:rsidR="008E0945" w:rsidRPr="003015FD">
        <w:t>the</w:t>
      </w:r>
      <w:r w:rsidR="00975895" w:rsidRPr="003015FD">
        <w:t xml:space="preserve"> </w:t>
      </w:r>
      <w:r w:rsidR="008E0945" w:rsidRPr="003015FD">
        <w:t>Commission</w:t>
      </w:r>
      <w:r w:rsidR="000C5726">
        <w:t>'</w:t>
      </w:r>
      <w:r w:rsidR="008E0945" w:rsidRPr="003015FD">
        <w:t>s</w:t>
      </w:r>
      <w:r w:rsidR="00975895" w:rsidRPr="003015FD">
        <w:t xml:space="preserve"> </w:t>
      </w:r>
      <w:r w:rsidR="008E0945" w:rsidRPr="003015FD">
        <w:t>education</w:t>
      </w:r>
      <w:r w:rsidR="00975895" w:rsidRPr="003015FD">
        <w:t xml:space="preserve"> </w:t>
      </w:r>
      <w:r w:rsidR="008E0945" w:rsidRPr="003015FD">
        <w:t>work</w:t>
      </w:r>
      <w:r w:rsidR="00975895" w:rsidRPr="003015FD">
        <w:t xml:space="preserve"> </w:t>
      </w:r>
      <w:r w:rsidR="008E0945" w:rsidRPr="003015FD">
        <w:t>with</w:t>
      </w:r>
      <w:r w:rsidR="00975895" w:rsidRPr="003015FD">
        <w:t xml:space="preserve"> </w:t>
      </w:r>
      <w:r w:rsidR="008E0945" w:rsidRPr="003015FD">
        <w:t>public</w:t>
      </w:r>
      <w:r w:rsidR="00975895" w:rsidRPr="003015FD">
        <w:t xml:space="preserve"> </w:t>
      </w:r>
      <w:r w:rsidR="008E0945" w:rsidRPr="003015FD">
        <w:t>authorities</w:t>
      </w:r>
      <w:r w:rsidR="00975895" w:rsidRPr="003015FD">
        <w:t xml:space="preserve"> </w:t>
      </w:r>
      <w:r w:rsidR="008E0945" w:rsidRPr="003015FD">
        <w:t>on</w:t>
      </w:r>
      <w:r w:rsidR="00975895" w:rsidRPr="003015FD">
        <w:t xml:space="preserve"> </w:t>
      </w:r>
      <w:r w:rsidR="008E0945" w:rsidRPr="003015FD">
        <w:t>the</w:t>
      </w:r>
      <w:r w:rsidR="00975895" w:rsidRPr="003015FD">
        <w:t xml:space="preserve"> </w:t>
      </w:r>
      <w:r w:rsidR="008E0945" w:rsidRPr="003015FD">
        <w:t>Charter</w:t>
      </w:r>
    </w:p>
    <w:p w14:paraId="6CC2F5F6" w14:textId="5B576CC5" w:rsidR="00135C97" w:rsidRDefault="009E630B" w:rsidP="0002642E">
      <w:pPr>
        <w:pStyle w:val="ListBullet"/>
      </w:pPr>
      <w:r>
        <w:t>i</w:t>
      </w:r>
      <w:r w:rsidR="008E0945" w:rsidRPr="003015FD">
        <w:t>n-depth</w:t>
      </w:r>
      <w:r w:rsidR="00975895" w:rsidRPr="003015FD">
        <w:t xml:space="preserve"> </w:t>
      </w:r>
      <w:r w:rsidR="008E0945" w:rsidRPr="003015FD">
        <w:t>interviews</w:t>
      </w:r>
      <w:r w:rsidR="00975895" w:rsidRPr="003015FD">
        <w:t xml:space="preserve"> </w:t>
      </w:r>
      <w:r w:rsidR="008E0945" w:rsidRPr="003015FD">
        <w:t>with</w:t>
      </w:r>
      <w:r w:rsidR="00975895" w:rsidRPr="003015FD">
        <w:t xml:space="preserve"> </w:t>
      </w:r>
      <w:r w:rsidR="008E0945" w:rsidRPr="003015FD">
        <w:t>community</w:t>
      </w:r>
      <w:r w:rsidR="00975895" w:rsidRPr="003015FD">
        <w:rPr>
          <w:noProof/>
        </w:rPr>
        <w:t xml:space="preserve"> </w:t>
      </w:r>
      <w:r w:rsidR="008E0945" w:rsidRPr="003015FD">
        <w:rPr>
          <w:noProof/>
        </w:rPr>
        <w:t>organisations</w:t>
      </w:r>
      <w:r w:rsidR="00975895" w:rsidRPr="003015FD">
        <w:rPr>
          <w:noProof/>
        </w:rPr>
        <w:t xml:space="preserve"> </w:t>
      </w:r>
      <w:r w:rsidR="008E0945" w:rsidRPr="003015FD">
        <w:rPr>
          <w:noProof/>
        </w:rPr>
        <w:t>that</w:t>
      </w:r>
      <w:r w:rsidR="00975895" w:rsidRPr="003015FD">
        <w:rPr>
          <w:noProof/>
        </w:rPr>
        <w:t xml:space="preserve"> </w:t>
      </w:r>
      <w:r w:rsidR="008E0945" w:rsidRPr="003015FD">
        <w:rPr>
          <w:noProof/>
        </w:rPr>
        <w:t>engage</w:t>
      </w:r>
      <w:r w:rsidR="00975895" w:rsidRPr="003015FD">
        <w:rPr>
          <w:noProof/>
        </w:rPr>
        <w:t xml:space="preserve"> </w:t>
      </w:r>
      <w:r w:rsidR="008E0945" w:rsidRPr="003015FD">
        <w:rPr>
          <w:noProof/>
        </w:rPr>
        <w:t>with</w:t>
      </w:r>
      <w:r w:rsidR="00975895" w:rsidRPr="003015FD">
        <w:rPr>
          <w:noProof/>
        </w:rPr>
        <w:t xml:space="preserve"> </w:t>
      </w:r>
      <w:r w:rsidR="008E0945" w:rsidRPr="003015FD">
        <w:rPr>
          <w:noProof/>
        </w:rPr>
        <w:t>Victorian</w:t>
      </w:r>
      <w:r w:rsidR="00975895" w:rsidRPr="003015FD">
        <w:rPr>
          <w:noProof/>
        </w:rPr>
        <w:t xml:space="preserve"> </w:t>
      </w:r>
      <w:r w:rsidR="008E0945" w:rsidRPr="003015FD">
        <w:rPr>
          <w:noProof/>
        </w:rPr>
        <w:t>public</w:t>
      </w:r>
      <w:r w:rsidR="00975895" w:rsidRPr="003015FD">
        <w:rPr>
          <w:noProof/>
        </w:rPr>
        <w:t xml:space="preserve"> </w:t>
      </w:r>
      <w:r w:rsidR="008E0945" w:rsidRPr="003015FD">
        <w:rPr>
          <w:noProof/>
        </w:rPr>
        <w:t>authorities.</w:t>
      </w:r>
      <w:r w:rsidR="00975895" w:rsidRPr="003015FD">
        <w:rPr>
          <w:noProof/>
        </w:rPr>
        <w:t xml:space="preserve"> </w:t>
      </w:r>
      <w:r w:rsidR="008E0945" w:rsidRPr="003015FD">
        <w:rPr>
          <w:noProof/>
        </w:rPr>
        <w:t>See</w:t>
      </w:r>
      <w:r w:rsidR="00975895" w:rsidRPr="003015FD">
        <w:t xml:space="preserve"> </w:t>
      </w:r>
      <w:r w:rsidR="008E0945" w:rsidRPr="003015FD">
        <w:t>Appendix</w:t>
      </w:r>
      <w:r w:rsidR="00975895" w:rsidRPr="003015FD">
        <w:t xml:space="preserve"> </w:t>
      </w:r>
      <w:r w:rsidR="00082CF3" w:rsidRPr="003015FD">
        <w:t>C</w:t>
      </w:r>
      <w:r w:rsidR="00975895" w:rsidRPr="003015FD">
        <w:t xml:space="preserve"> </w:t>
      </w:r>
      <w:r w:rsidR="008E0945" w:rsidRPr="003015FD">
        <w:t>for</w:t>
      </w:r>
      <w:r w:rsidR="00975895" w:rsidRPr="003015FD">
        <w:t xml:space="preserve"> </w:t>
      </w:r>
      <w:r w:rsidR="008E0945" w:rsidRPr="003015FD">
        <w:t>a</w:t>
      </w:r>
      <w:r w:rsidR="00975895" w:rsidRPr="003015FD">
        <w:t xml:space="preserve"> </w:t>
      </w:r>
      <w:r w:rsidR="008E0945" w:rsidRPr="003015FD">
        <w:t>full</w:t>
      </w:r>
      <w:r w:rsidR="00975895" w:rsidRPr="003015FD">
        <w:t xml:space="preserve"> </w:t>
      </w:r>
      <w:r w:rsidR="008E0945" w:rsidRPr="003015FD">
        <w:t>list</w:t>
      </w:r>
      <w:r w:rsidR="00975895" w:rsidRPr="003015FD">
        <w:t xml:space="preserve"> </w:t>
      </w:r>
      <w:r w:rsidR="008E0945" w:rsidRPr="003015FD">
        <w:t>of</w:t>
      </w:r>
      <w:r w:rsidR="00975895" w:rsidRPr="003015FD">
        <w:t xml:space="preserve"> </w:t>
      </w:r>
      <w:r w:rsidR="008E0945" w:rsidRPr="003015FD">
        <w:t>participants.</w:t>
      </w:r>
      <w:r w:rsidR="00975895" w:rsidRPr="003015FD">
        <w:t xml:space="preserve"> </w:t>
      </w:r>
      <w:bookmarkStart w:id="48" w:name="_Toc15045102"/>
    </w:p>
    <w:p w14:paraId="6759293D" w14:textId="71511858" w:rsidR="008E0945" w:rsidRPr="003015FD" w:rsidRDefault="00E35A1E" w:rsidP="0002642E">
      <w:pPr>
        <w:pStyle w:val="Heading3"/>
      </w:pPr>
      <w:r w:rsidRPr="003015FD">
        <w:t>2.5</w:t>
      </w:r>
      <w:r w:rsidR="00E43322">
        <w:t xml:space="preserve"> </w:t>
      </w:r>
      <w:r w:rsidR="00D91A41">
        <w:t>Pilot</w:t>
      </w:r>
      <w:r w:rsidR="00975895" w:rsidRPr="003015FD">
        <w:t xml:space="preserve"> </w:t>
      </w:r>
      <w:r w:rsidR="008E0945" w:rsidRPr="003015FD">
        <w:t>findings</w:t>
      </w:r>
      <w:bookmarkEnd w:id="48"/>
    </w:p>
    <w:tbl>
      <w:tblPr>
        <w:tblStyle w:val="CustomTableblue"/>
        <w:tblW w:w="10060" w:type="dxa"/>
        <w:tblLayout w:type="fixed"/>
        <w:tblLook w:val="0420" w:firstRow="1" w:lastRow="0" w:firstColumn="0" w:lastColumn="0" w:noHBand="0" w:noVBand="1"/>
      </w:tblPr>
      <w:tblGrid>
        <w:gridCol w:w="704"/>
        <w:gridCol w:w="9356"/>
      </w:tblGrid>
      <w:tr w:rsidR="008E0945" w:rsidRPr="003015FD" w14:paraId="45CD7F9E" w14:textId="77777777" w:rsidTr="0002642E">
        <w:trPr>
          <w:cnfStyle w:val="100000000000" w:firstRow="1" w:lastRow="0" w:firstColumn="0" w:lastColumn="0" w:oddVBand="0" w:evenVBand="0" w:oddHBand="0" w:evenHBand="0" w:firstRowFirstColumn="0" w:firstRowLastColumn="0" w:lastRowFirstColumn="0" w:lastRowLastColumn="0"/>
        </w:trPr>
        <w:tc>
          <w:tcPr>
            <w:tcW w:w="10060" w:type="dxa"/>
            <w:gridSpan w:val="2"/>
          </w:tcPr>
          <w:p w14:paraId="628FE83E" w14:textId="7A427F7E" w:rsidR="008E0945" w:rsidRPr="003015FD" w:rsidRDefault="00D91A41" w:rsidP="0002642E">
            <w:pPr>
              <w:pStyle w:val="TableBodyText"/>
            </w:pPr>
            <w:bookmarkStart w:id="49" w:name="_Hlk11659460"/>
            <w:bookmarkStart w:id="50" w:name="_Hlk11659323"/>
            <w:r>
              <w:t xml:space="preserve">Observations </w:t>
            </w:r>
          </w:p>
        </w:tc>
      </w:tr>
      <w:tr w:rsidR="008E0945" w:rsidRPr="003015FD" w14:paraId="63ACB56D" w14:textId="77777777" w:rsidTr="0002642E">
        <w:trPr>
          <w:cnfStyle w:val="000000100000" w:firstRow="0" w:lastRow="0" w:firstColumn="0" w:lastColumn="0" w:oddVBand="0" w:evenVBand="0" w:oddHBand="1" w:evenHBand="0" w:firstRowFirstColumn="0" w:firstRowLastColumn="0" w:lastRowFirstColumn="0" w:lastRowLastColumn="0"/>
        </w:trPr>
        <w:tc>
          <w:tcPr>
            <w:tcW w:w="704" w:type="dxa"/>
          </w:tcPr>
          <w:p w14:paraId="5D412732" w14:textId="4F1FD5AA" w:rsidR="008E0945" w:rsidRPr="003015FD" w:rsidRDefault="008E0945" w:rsidP="003C410B">
            <w:pPr>
              <w:pStyle w:val="TableBodyTextcentred"/>
              <w:numPr>
                <w:ilvl w:val="0"/>
                <w:numId w:val="43"/>
              </w:numPr>
              <w:jc w:val="left"/>
            </w:pPr>
          </w:p>
        </w:tc>
        <w:tc>
          <w:tcPr>
            <w:tcW w:w="9356" w:type="dxa"/>
          </w:tcPr>
          <w:p w14:paraId="278991D7" w14:textId="1354B19A" w:rsidR="008E0945" w:rsidRPr="003015FD" w:rsidRDefault="008E0945" w:rsidP="00A96204">
            <w:pPr>
              <w:pStyle w:val="TableBodyTextcentred"/>
              <w:jc w:val="left"/>
            </w:pPr>
            <w:r w:rsidRPr="003015FD">
              <w:t>Overall,</w:t>
            </w:r>
            <w:r w:rsidR="00975895" w:rsidRPr="003015FD">
              <w:t xml:space="preserve"> </w:t>
            </w:r>
            <w:r w:rsidR="00D91A41">
              <w:t xml:space="preserve">the pilot </w:t>
            </w:r>
            <w:r w:rsidRPr="003015FD">
              <w:t>departments,</w:t>
            </w:r>
            <w:r w:rsidR="00975895" w:rsidRPr="003015FD">
              <w:t xml:space="preserve"> </w:t>
            </w:r>
            <w:r w:rsidRPr="003015FD">
              <w:t>agencies</w:t>
            </w:r>
            <w:r w:rsidR="00975895" w:rsidRPr="003015FD">
              <w:t xml:space="preserve"> </w:t>
            </w:r>
            <w:r w:rsidRPr="003015FD">
              <w:t>and</w:t>
            </w:r>
            <w:r w:rsidR="00975895" w:rsidRPr="003015FD">
              <w:t xml:space="preserve"> </w:t>
            </w:r>
            <w:r w:rsidRPr="003015FD">
              <w:t>local</w:t>
            </w:r>
            <w:r w:rsidR="00975895" w:rsidRPr="003015FD">
              <w:t xml:space="preserve"> </w:t>
            </w:r>
            <w:r w:rsidRPr="003015FD">
              <w:t>councils</w:t>
            </w:r>
            <w:r w:rsidR="00975895" w:rsidRPr="003015FD">
              <w:t xml:space="preserve"> </w:t>
            </w:r>
            <w:r w:rsidRPr="003015FD">
              <w:t>demonstrated</w:t>
            </w:r>
            <w:r w:rsidR="00975895" w:rsidRPr="003015FD">
              <w:t xml:space="preserve"> </w:t>
            </w:r>
            <w:r w:rsidRPr="003015FD">
              <w:t>a</w:t>
            </w:r>
            <w:r w:rsidR="00975895" w:rsidRPr="003015FD">
              <w:t xml:space="preserve"> </w:t>
            </w:r>
            <w:r w:rsidRPr="003015FD">
              <w:t>commitment</w:t>
            </w:r>
            <w:r w:rsidR="00975895" w:rsidRPr="003015FD">
              <w:t xml:space="preserve"> </w:t>
            </w:r>
            <w:r w:rsidRPr="003015FD">
              <w:t>to</w:t>
            </w:r>
            <w:r w:rsidR="00975895" w:rsidRPr="003015FD">
              <w:t xml:space="preserve"> </w:t>
            </w:r>
            <w:r w:rsidRPr="003015FD">
              <w:t>embedding</w:t>
            </w:r>
            <w:r w:rsidR="00975895" w:rsidRPr="003015FD">
              <w:t xml:space="preserve"> </w:t>
            </w:r>
            <w:r w:rsidRPr="003015FD">
              <w:t>a</w:t>
            </w:r>
            <w:r w:rsidR="00975895" w:rsidRPr="003015FD">
              <w:t xml:space="preserve"> </w:t>
            </w:r>
            <w:r w:rsidRPr="003015FD">
              <w:t>positive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p>
        </w:tc>
      </w:tr>
      <w:tr w:rsidR="008E0945" w:rsidRPr="003015FD" w14:paraId="54543CB9" w14:textId="77777777" w:rsidTr="0002642E">
        <w:trPr>
          <w:cnfStyle w:val="000000010000" w:firstRow="0" w:lastRow="0" w:firstColumn="0" w:lastColumn="0" w:oddVBand="0" w:evenVBand="0" w:oddHBand="0" w:evenHBand="1" w:firstRowFirstColumn="0" w:firstRowLastColumn="0" w:lastRowFirstColumn="0" w:lastRowLastColumn="0"/>
        </w:trPr>
        <w:tc>
          <w:tcPr>
            <w:tcW w:w="704" w:type="dxa"/>
          </w:tcPr>
          <w:p w14:paraId="73B90C02" w14:textId="332E286E" w:rsidR="008E0945" w:rsidRPr="003015FD" w:rsidRDefault="008E0945" w:rsidP="00582265">
            <w:pPr>
              <w:pStyle w:val="TableBodyTextcentred"/>
              <w:numPr>
                <w:ilvl w:val="0"/>
                <w:numId w:val="43"/>
              </w:numPr>
              <w:jc w:val="left"/>
            </w:pPr>
          </w:p>
        </w:tc>
        <w:tc>
          <w:tcPr>
            <w:tcW w:w="9356" w:type="dxa"/>
          </w:tcPr>
          <w:p w14:paraId="1D0E9AC5" w14:textId="661AC27A" w:rsidR="008E0945" w:rsidRPr="003015FD" w:rsidRDefault="008E0945" w:rsidP="00A96204">
            <w:pPr>
              <w:pStyle w:val="TableBodyTextcentred"/>
              <w:jc w:val="left"/>
            </w:pPr>
            <w:r w:rsidRPr="003015FD">
              <w:t>Prioritis</w:t>
            </w:r>
            <w:r w:rsidR="009E630B">
              <w:t>ing</w:t>
            </w:r>
            <w:r w:rsidR="00975895" w:rsidRPr="003015FD">
              <w:t xml:space="preserve"> </w:t>
            </w:r>
            <w:r w:rsidRPr="003015FD">
              <w:t>and</w:t>
            </w:r>
            <w:r w:rsidR="00975895" w:rsidRPr="003015FD">
              <w:t xml:space="preserve"> </w:t>
            </w:r>
            <w:r w:rsidRPr="003015FD">
              <w:t>funding</w:t>
            </w:r>
            <w:r w:rsidR="00975895" w:rsidRPr="003015FD">
              <w:t xml:space="preserve"> </w:t>
            </w:r>
            <w:r w:rsidRPr="003015FD">
              <w:t>of</w:t>
            </w:r>
            <w:r w:rsidR="00975895" w:rsidRPr="003015FD">
              <w:t xml:space="preserve"> </w:t>
            </w:r>
            <w:r w:rsidRPr="003015FD">
              <w:t>public</w:t>
            </w:r>
            <w:r w:rsidR="00975895" w:rsidRPr="003015FD">
              <w:t xml:space="preserve"> </w:t>
            </w:r>
            <w:r w:rsidRPr="003015FD">
              <w:t>sector</w:t>
            </w:r>
            <w:r w:rsidR="00975895" w:rsidRPr="003015FD">
              <w:t xml:space="preserve"> </w:t>
            </w:r>
            <w:r w:rsidRPr="003015FD">
              <w:t>activities</w:t>
            </w:r>
            <w:r w:rsidR="00975895" w:rsidRPr="003015FD">
              <w:t xml:space="preserve"> </w:t>
            </w:r>
            <w:r w:rsidRPr="003015FD">
              <w:t>to</w:t>
            </w:r>
            <w:r w:rsidR="00975895" w:rsidRPr="003015FD">
              <w:t xml:space="preserve"> </w:t>
            </w:r>
            <w:r w:rsidRPr="003015FD">
              <w:t>grow</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is</w:t>
            </w:r>
            <w:r w:rsidR="00975895" w:rsidRPr="003015FD">
              <w:t xml:space="preserve"> </w:t>
            </w:r>
            <w:r w:rsidRPr="003015FD">
              <w:t>producing</w:t>
            </w:r>
            <w:r w:rsidR="00975895" w:rsidRPr="003015FD">
              <w:t xml:space="preserve"> </w:t>
            </w:r>
            <w:r w:rsidRPr="003015FD">
              <w:t>tangible</w:t>
            </w:r>
            <w:r w:rsidR="00975895" w:rsidRPr="003015FD">
              <w:t xml:space="preserve"> </w:t>
            </w:r>
            <w:r w:rsidRPr="003015FD">
              <w:t>results</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02642E">
              <w:rPr>
                <w:b/>
              </w:rPr>
              <w:t>attitudes</w:t>
            </w:r>
            <w:r w:rsidR="00975895" w:rsidRPr="0002642E">
              <w:rPr>
                <w:b/>
              </w:rPr>
              <w:t xml:space="preserve"> </w:t>
            </w:r>
            <w:r w:rsidRPr="0002642E">
              <w:rPr>
                <w:b/>
              </w:rPr>
              <w:t>and</w:t>
            </w:r>
            <w:r w:rsidR="00975895" w:rsidRPr="0002642E">
              <w:rPr>
                <w:b/>
              </w:rPr>
              <w:t xml:space="preserve"> </w:t>
            </w:r>
            <w:r w:rsidRPr="0002642E">
              <w:rPr>
                <w:b/>
              </w:rPr>
              <w:t>values</w:t>
            </w:r>
            <w:r w:rsidR="00975895" w:rsidRPr="0002642E">
              <w:rPr>
                <w:b/>
              </w:rPr>
              <w:t xml:space="preserve"> </w:t>
            </w:r>
            <w:r w:rsidRPr="0002642E">
              <w:rPr>
                <w:b/>
              </w:rPr>
              <w:t>of</w:t>
            </w:r>
            <w:r w:rsidR="00975895" w:rsidRPr="0002642E">
              <w:rPr>
                <w:b/>
              </w:rPr>
              <w:t xml:space="preserve"> </w:t>
            </w:r>
            <w:r w:rsidRPr="0002642E">
              <w:rPr>
                <w:b/>
              </w:rPr>
              <w:t>employees</w:t>
            </w:r>
            <w:r w:rsidRPr="003015FD">
              <w:t>,</w:t>
            </w:r>
            <w:r w:rsidR="00975895" w:rsidRPr="003015FD">
              <w:t xml:space="preserve"> </w:t>
            </w:r>
            <w:r w:rsidRPr="0002642E">
              <w:rPr>
                <w:b/>
              </w:rPr>
              <w:t>community</w:t>
            </w:r>
            <w:r w:rsidR="00975895" w:rsidRPr="0002642E">
              <w:rPr>
                <w:b/>
              </w:rPr>
              <w:t xml:space="preserve"> </w:t>
            </w:r>
            <w:r w:rsidRPr="0002642E">
              <w:rPr>
                <w:b/>
              </w:rPr>
              <w:t>engagement</w:t>
            </w:r>
            <w:r w:rsidR="00975895" w:rsidRPr="0002642E">
              <w:rPr>
                <w:b/>
              </w:rPr>
              <w:t xml:space="preserve"> </w:t>
            </w:r>
            <w:r w:rsidRPr="0002642E">
              <w:rPr>
                <w:b/>
              </w:rPr>
              <w:t>and</w:t>
            </w:r>
            <w:r w:rsidR="00975895" w:rsidRPr="0002642E">
              <w:rPr>
                <w:b/>
              </w:rPr>
              <w:t xml:space="preserve"> </w:t>
            </w:r>
            <w:r w:rsidRPr="0002642E">
              <w:rPr>
                <w:b/>
              </w:rPr>
              <w:t>participation</w:t>
            </w:r>
            <w:r w:rsidR="00975895" w:rsidRPr="003015FD">
              <w:t xml:space="preserve"> </w:t>
            </w:r>
            <w:r w:rsidRPr="003015FD">
              <w:t>and</w:t>
            </w:r>
            <w:r w:rsidR="00975895" w:rsidRPr="003015FD">
              <w:t xml:space="preserve"> </w:t>
            </w:r>
            <w:r w:rsidRPr="0002642E">
              <w:rPr>
                <w:b/>
              </w:rPr>
              <w:t>transparency</w:t>
            </w:r>
            <w:r w:rsidR="00975895" w:rsidRPr="0002642E">
              <w:rPr>
                <w:b/>
              </w:rPr>
              <w:t xml:space="preserve"> </w:t>
            </w:r>
            <w:r w:rsidRPr="0002642E">
              <w:rPr>
                <w:b/>
              </w:rPr>
              <w:t>and</w:t>
            </w:r>
            <w:r w:rsidR="00975895" w:rsidRPr="0002642E">
              <w:rPr>
                <w:b/>
              </w:rPr>
              <w:t xml:space="preserve"> </w:t>
            </w:r>
            <w:r w:rsidRPr="0002642E">
              <w:rPr>
                <w:b/>
              </w:rPr>
              <w:t>accountability</w:t>
            </w:r>
            <w:r w:rsidR="009E630B" w:rsidRPr="00E43444">
              <w:t>.</w:t>
            </w:r>
          </w:p>
        </w:tc>
      </w:tr>
      <w:tr w:rsidR="008E0945" w:rsidRPr="003015FD" w14:paraId="45DD9AAB" w14:textId="77777777" w:rsidTr="0002642E">
        <w:trPr>
          <w:cnfStyle w:val="000000100000" w:firstRow="0" w:lastRow="0" w:firstColumn="0" w:lastColumn="0" w:oddVBand="0" w:evenVBand="0" w:oddHBand="1" w:evenHBand="0" w:firstRowFirstColumn="0" w:firstRowLastColumn="0" w:lastRowFirstColumn="0" w:lastRowLastColumn="0"/>
        </w:trPr>
        <w:tc>
          <w:tcPr>
            <w:tcW w:w="704" w:type="dxa"/>
          </w:tcPr>
          <w:p w14:paraId="3EAA7826" w14:textId="2BA3A7DA" w:rsidR="008E0945" w:rsidRPr="003015FD" w:rsidRDefault="008E0945" w:rsidP="003C410B">
            <w:pPr>
              <w:pStyle w:val="TableListBullet2"/>
              <w:numPr>
                <w:ilvl w:val="0"/>
                <w:numId w:val="43"/>
              </w:numPr>
            </w:pPr>
          </w:p>
        </w:tc>
        <w:tc>
          <w:tcPr>
            <w:tcW w:w="9356" w:type="dxa"/>
          </w:tcPr>
          <w:p w14:paraId="2CD015B5" w14:textId="406B0E64" w:rsidR="008E0945" w:rsidRPr="003015FD" w:rsidRDefault="00D91A41" w:rsidP="00A96204">
            <w:pPr>
              <w:pStyle w:val="TableBodyTextcentred"/>
              <w:jc w:val="left"/>
            </w:pPr>
            <w:r>
              <w:t xml:space="preserve">Potential areas for improvement, </w:t>
            </w:r>
            <w:r w:rsidR="008E0945" w:rsidRPr="003015FD">
              <w:t>in</w:t>
            </w:r>
            <w:r w:rsidR="00975895" w:rsidRPr="003015FD">
              <w:t xml:space="preserve"> </w:t>
            </w:r>
            <w:r w:rsidR="008E0945" w:rsidRPr="003015FD">
              <w:t>particular</w:t>
            </w:r>
            <w:r w:rsidR="00975895" w:rsidRPr="003015FD">
              <w:t xml:space="preserve"> </w:t>
            </w:r>
            <w:r w:rsidR="008E0945" w:rsidRPr="003015FD">
              <w:t>for</w:t>
            </w:r>
            <w:r w:rsidR="00975895" w:rsidRPr="003015FD">
              <w:t xml:space="preserve"> </w:t>
            </w:r>
            <w:r w:rsidR="008E0945" w:rsidRPr="003015FD">
              <w:t>local</w:t>
            </w:r>
            <w:r w:rsidR="00975895" w:rsidRPr="003015FD">
              <w:t xml:space="preserve"> </w:t>
            </w:r>
            <w:r w:rsidR="008E0945" w:rsidRPr="003015FD">
              <w:t>councils</w:t>
            </w:r>
            <w:r w:rsidR="00975895" w:rsidRPr="003015FD">
              <w:t xml:space="preserve"> </w:t>
            </w:r>
            <w:r w:rsidR="008E0945" w:rsidRPr="003015FD">
              <w:t>and</w:t>
            </w:r>
            <w:r w:rsidR="00975895" w:rsidRPr="003015FD">
              <w:t xml:space="preserve"> </w:t>
            </w:r>
            <w:r w:rsidR="008E0945" w:rsidRPr="003015FD">
              <w:t>large</w:t>
            </w:r>
            <w:r w:rsidR="00975895" w:rsidRPr="003015FD">
              <w:t xml:space="preserve"> </w:t>
            </w:r>
            <w:r w:rsidR="008E0945" w:rsidRPr="003015FD">
              <w:t>agencies</w:t>
            </w:r>
            <w:r>
              <w:t xml:space="preserve">, </w:t>
            </w:r>
            <w:r w:rsidR="008E0945" w:rsidRPr="003015FD">
              <w:t>are</w:t>
            </w:r>
            <w:r w:rsidR="00975895" w:rsidRPr="003015FD">
              <w:t xml:space="preserve"> </w:t>
            </w:r>
            <w:r w:rsidR="008E0945" w:rsidRPr="0002642E">
              <w:rPr>
                <w:b/>
              </w:rPr>
              <w:t>engaged</w:t>
            </w:r>
            <w:r w:rsidR="00975895" w:rsidRPr="0002642E">
              <w:rPr>
                <w:b/>
              </w:rPr>
              <w:t xml:space="preserve"> </w:t>
            </w:r>
            <w:r w:rsidR="008E0945" w:rsidRPr="0002642E">
              <w:rPr>
                <w:b/>
              </w:rPr>
              <w:t>leadership</w:t>
            </w:r>
            <w:r w:rsidR="008E0945" w:rsidRPr="003015FD">
              <w:t>,</w:t>
            </w:r>
            <w:r w:rsidR="00975895" w:rsidRPr="0002642E">
              <w:rPr>
                <w:b/>
              </w:rPr>
              <w:t xml:space="preserve"> </w:t>
            </w:r>
            <w:r w:rsidR="008E0945" w:rsidRPr="0002642E">
              <w:rPr>
                <w:b/>
              </w:rPr>
              <w:t>operational</w:t>
            </w:r>
            <w:r w:rsidR="00975895" w:rsidRPr="0002642E">
              <w:rPr>
                <w:b/>
              </w:rPr>
              <w:t xml:space="preserve"> </w:t>
            </w:r>
            <w:r w:rsidR="008E0945" w:rsidRPr="0002642E">
              <w:rPr>
                <w:b/>
              </w:rPr>
              <w:t>capability</w:t>
            </w:r>
            <w:r w:rsidR="00975895" w:rsidRPr="0002642E">
              <w:rPr>
                <w:b/>
              </w:rPr>
              <w:t xml:space="preserve"> </w:t>
            </w:r>
            <w:r w:rsidR="008E0945" w:rsidRPr="003015FD">
              <w:t>and</w:t>
            </w:r>
            <w:r w:rsidR="00975895" w:rsidRPr="003015FD">
              <w:t xml:space="preserve"> </w:t>
            </w:r>
            <w:r w:rsidR="008E0945" w:rsidRPr="0002642E">
              <w:rPr>
                <w:b/>
              </w:rPr>
              <w:t>systems</w:t>
            </w:r>
            <w:r w:rsidR="00975895" w:rsidRPr="0002642E">
              <w:rPr>
                <w:b/>
              </w:rPr>
              <w:t xml:space="preserve"> </w:t>
            </w:r>
            <w:r w:rsidR="008E0945" w:rsidRPr="0002642E">
              <w:rPr>
                <w:b/>
              </w:rPr>
              <w:t>and</w:t>
            </w:r>
            <w:r w:rsidR="00975895" w:rsidRPr="0002642E">
              <w:rPr>
                <w:b/>
              </w:rPr>
              <w:t xml:space="preserve"> </w:t>
            </w:r>
            <w:r w:rsidR="008E0945" w:rsidRPr="0002642E">
              <w:rPr>
                <w:b/>
              </w:rPr>
              <w:t>processes</w:t>
            </w:r>
            <w:r w:rsidR="00975895" w:rsidRPr="003015FD">
              <w:t xml:space="preserve"> </w:t>
            </w:r>
          </w:p>
        </w:tc>
      </w:tr>
    </w:tbl>
    <w:p w14:paraId="09A3901D" w14:textId="63CF124A" w:rsidR="008E0945" w:rsidRPr="003015FD" w:rsidRDefault="00E35A1E" w:rsidP="0002642E">
      <w:pPr>
        <w:pStyle w:val="Heading3"/>
      </w:pPr>
      <w:bookmarkStart w:id="51" w:name="_Toc15045103"/>
      <w:bookmarkEnd w:id="49"/>
      <w:r w:rsidRPr="003015FD">
        <w:t>2.5.</w:t>
      </w:r>
      <w:r w:rsidR="003B428A">
        <w:t xml:space="preserve">1 </w:t>
      </w:r>
      <w:r w:rsidR="00964DAE" w:rsidRPr="003015FD">
        <w:t>Consolidated</w:t>
      </w:r>
      <w:r w:rsidR="00975895" w:rsidRPr="003015FD">
        <w:t xml:space="preserve"> </w:t>
      </w:r>
      <w:r w:rsidR="008E0945" w:rsidRPr="003015FD">
        <w:t>findings</w:t>
      </w:r>
      <w:r w:rsidR="00975895" w:rsidRPr="003015FD">
        <w:t xml:space="preserve"> </w:t>
      </w:r>
      <w:bookmarkEnd w:id="51"/>
    </w:p>
    <w:tbl>
      <w:tblPr>
        <w:tblStyle w:val="CustomTableblue"/>
        <w:tblW w:w="9918" w:type="dxa"/>
        <w:tblLayout w:type="fixed"/>
        <w:tblLook w:val="0420" w:firstRow="1" w:lastRow="0" w:firstColumn="0" w:lastColumn="0" w:noHBand="0" w:noVBand="1"/>
      </w:tblPr>
      <w:tblGrid>
        <w:gridCol w:w="2679"/>
        <w:gridCol w:w="7239"/>
      </w:tblGrid>
      <w:tr w:rsidR="001F74CA" w:rsidRPr="00A96204" w14:paraId="781F613E" w14:textId="77777777" w:rsidTr="0002642E">
        <w:trPr>
          <w:cnfStyle w:val="100000000000" w:firstRow="1" w:lastRow="0" w:firstColumn="0" w:lastColumn="0" w:oddVBand="0" w:evenVBand="0" w:oddHBand="0" w:evenHBand="0" w:firstRowFirstColumn="0" w:firstRowLastColumn="0" w:lastRowFirstColumn="0" w:lastRowLastColumn="0"/>
        </w:trPr>
        <w:tc>
          <w:tcPr>
            <w:tcW w:w="2679" w:type="dxa"/>
          </w:tcPr>
          <w:bookmarkEnd w:id="50"/>
          <w:p w14:paraId="62DC50C5" w14:textId="5597E88C" w:rsidR="001F74CA" w:rsidRPr="00A96204" w:rsidRDefault="001F74CA" w:rsidP="0002642E">
            <w:pPr>
              <w:pStyle w:val="TableBodyText"/>
              <w:rPr>
                <w:rFonts w:cs="Arial"/>
              </w:rPr>
            </w:pPr>
            <w:r w:rsidRPr="00A96204">
              <w:rPr>
                <w:rFonts w:cs="Arial"/>
                <w:szCs w:val="21"/>
              </w:rPr>
              <w:t>Influence</w:t>
            </w:r>
            <w:r>
              <w:rPr>
                <w:rFonts w:cs="Arial"/>
                <w:szCs w:val="21"/>
              </w:rPr>
              <w:t>s</w:t>
            </w:r>
          </w:p>
        </w:tc>
        <w:tc>
          <w:tcPr>
            <w:tcW w:w="7239" w:type="dxa"/>
          </w:tcPr>
          <w:p w14:paraId="39138429" w14:textId="6553DA4F" w:rsidR="001F74CA" w:rsidRPr="00A96204" w:rsidRDefault="00507925" w:rsidP="0002642E">
            <w:pPr>
              <w:pStyle w:val="TableBodyText"/>
              <w:rPr>
                <w:rFonts w:cs="Arial"/>
              </w:rPr>
            </w:pPr>
            <w:r>
              <w:rPr>
                <w:rFonts w:cs="Arial"/>
                <w:szCs w:val="21"/>
              </w:rPr>
              <w:t>Pilot f</w:t>
            </w:r>
            <w:r w:rsidR="001F74CA" w:rsidRPr="00A96204">
              <w:rPr>
                <w:rFonts w:cs="Arial"/>
                <w:szCs w:val="21"/>
              </w:rPr>
              <w:t>indings</w:t>
            </w:r>
          </w:p>
        </w:tc>
      </w:tr>
      <w:tr w:rsidR="00921768" w:rsidRPr="00A96204" w14:paraId="1F0C13A1" w14:textId="77777777" w:rsidTr="0002642E">
        <w:trPr>
          <w:cnfStyle w:val="000000100000" w:firstRow="0" w:lastRow="0" w:firstColumn="0" w:lastColumn="0" w:oddVBand="0" w:evenVBand="0" w:oddHBand="1" w:evenHBand="0" w:firstRowFirstColumn="0" w:firstRowLastColumn="0" w:lastRowFirstColumn="0" w:lastRowLastColumn="0"/>
        </w:trPr>
        <w:tc>
          <w:tcPr>
            <w:tcW w:w="2679" w:type="dxa"/>
          </w:tcPr>
          <w:p w14:paraId="66E270CC" w14:textId="5AD8478B" w:rsidR="00921768" w:rsidRPr="00A96204" w:rsidRDefault="00921768" w:rsidP="00921768">
            <w:pPr>
              <w:rPr>
                <w:rFonts w:cs="Arial"/>
                <w:sz w:val="21"/>
                <w:szCs w:val="21"/>
              </w:rPr>
            </w:pPr>
            <w:r w:rsidRPr="0002642E">
              <w:rPr>
                <w:rStyle w:val="Characterbold"/>
                <w:lang w:val="en-GB"/>
              </w:rPr>
              <w:t>Engaged leadership</w:t>
            </w:r>
            <w:r w:rsidRPr="00A96204">
              <w:rPr>
                <w:sz w:val="21"/>
                <w:szCs w:val="21"/>
              </w:rPr>
              <w:t xml:space="preserve">: </w:t>
            </w:r>
            <w:r w:rsidRPr="0002642E">
              <w:rPr>
                <w:sz w:val="21"/>
              </w:rPr>
              <w:t>Formal and informal leaders are committed to human rights and the Charter</w:t>
            </w:r>
          </w:p>
        </w:tc>
        <w:tc>
          <w:tcPr>
            <w:tcW w:w="7239" w:type="dxa"/>
          </w:tcPr>
          <w:p w14:paraId="7679851E" w14:textId="77777777" w:rsidR="00507925" w:rsidRPr="0002642E" w:rsidRDefault="00507925" w:rsidP="0002642E">
            <w:pPr>
              <w:rPr>
                <w:b/>
              </w:rPr>
            </w:pPr>
            <w:r w:rsidRPr="0002642E">
              <w:rPr>
                <w:b/>
                <w:sz w:val="21"/>
              </w:rPr>
              <w:t>Variable results</w:t>
            </w:r>
          </w:p>
          <w:p w14:paraId="7183BD3D" w14:textId="363D78A9" w:rsidR="00921768" w:rsidRPr="00A96204" w:rsidRDefault="00921768" w:rsidP="00921768">
            <w:pPr>
              <w:rPr>
                <w:rStyle w:val="Characterbold"/>
                <w:rFonts w:cs="Arial"/>
                <w:sz w:val="21"/>
                <w:szCs w:val="21"/>
                <w:lang w:val="en-GB"/>
              </w:rPr>
            </w:pPr>
            <w:r w:rsidRPr="0002642E">
              <w:rPr>
                <w:sz w:val="21"/>
              </w:rPr>
              <w:t xml:space="preserve">Government departments and small agencies recorded high </w:t>
            </w:r>
            <w:r w:rsidR="003B428A" w:rsidRPr="00E43322">
              <w:rPr>
                <w:sz w:val="21"/>
              </w:rPr>
              <w:t>scores</w:t>
            </w:r>
            <w:r w:rsidR="003B428A">
              <w:t xml:space="preserve">  </w:t>
            </w:r>
            <w:r w:rsidR="003B428A">
              <w:br/>
            </w:r>
            <w:r w:rsidRPr="00D74689">
              <w:rPr>
                <w:sz w:val="21"/>
              </w:rPr>
              <w:t>for engaged leadership. Local councils and large agencies recorded</w:t>
            </w:r>
            <w:r w:rsidR="00907911" w:rsidRPr="00D74689">
              <w:rPr>
                <w:sz w:val="21"/>
              </w:rPr>
              <w:t xml:space="preserve"> lower </w:t>
            </w:r>
            <w:r w:rsidR="003B428A" w:rsidRPr="00E43322">
              <w:rPr>
                <w:sz w:val="21"/>
              </w:rPr>
              <w:t xml:space="preserve">scores </w:t>
            </w:r>
            <w:r w:rsidR="00907911" w:rsidRPr="0002642E">
              <w:rPr>
                <w:sz w:val="21"/>
              </w:rPr>
              <w:t>on average.</w:t>
            </w:r>
          </w:p>
        </w:tc>
      </w:tr>
      <w:tr w:rsidR="00921768" w:rsidRPr="00A96204" w14:paraId="219E18D6" w14:textId="77777777" w:rsidTr="0002642E">
        <w:trPr>
          <w:cnfStyle w:val="000000010000" w:firstRow="0" w:lastRow="0" w:firstColumn="0" w:lastColumn="0" w:oddVBand="0" w:evenVBand="0" w:oddHBand="0" w:evenHBand="1" w:firstRowFirstColumn="0" w:firstRowLastColumn="0" w:lastRowFirstColumn="0" w:lastRowLastColumn="0"/>
        </w:trPr>
        <w:tc>
          <w:tcPr>
            <w:tcW w:w="2679" w:type="dxa"/>
          </w:tcPr>
          <w:p w14:paraId="2D59C66E" w14:textId="61AF89DE" w:rsidR="00921768" w:rsidRPr="00A96204" w:rsidRDefault="00921768" w:rsidP="00921768">
            <w:pPr>
              <w:rPr>
                <w:rFonts w:cs="Arial"/>
                <w:sz w:val="21"/>
                <w:szCs w:val="21"/>
              </w:rPr>
            </w:pPr>
            <w:r w:rsidRPr="0002642E">
              <w:rPr>
                <w:rStyle w:val="Characterbold"/>
                <w:lang w:val="en-GB"/>
              </w:rPr>
              <w:t>Attitudes and values of employees</w:t>
            </w:r>
            <w:r w:rsidRPr="00A96204">
              <w:rPr>
                <w:rStyle w:val="Characterbold"/>
                <w:sz w:val="21"/>
                <w:szCs w:val="21"/>
                <w:lang w:val="en-GB"/>
              </w:rPr>
              <w:t xml:space="preserve">: </w:t>
            </w:r>
            <w:r w:rsidRPr="0002642E">
              <w:rPr>
                <w:sz w:val="21"/>
              </w:rPr>
              <w:t>Employees value human rights and are encouraged to act consistently with human rights</w:t>
            </w:r>
          </w:p>
        </w:tc>
        <w:tc>
          <w:tcPr>
            <w:tcW w:w="7239" w:type="dxa"/>
          </w:tcPr>
          <w:p w14:paraId="76F7F02B" w14:textId="20C6817F" w:rsidR="00507925" w:rsidRPr="0002642E" w:rsidRDefault="00507925" w:rsidP="0002642E">
            <w:pPr>
              <w:rPr>
                <w:b/>
              </w:rPr>
            </w:pPr>
            <w:r w:rsidRPr="0002642E">
              <w:rPr>
                <w:b/>
                <w:sz w:val="21"/>
              </w:rPr>
              <w:t>Positive signs</w:t>
            </w:r>
          </w:p>
          <w:p w14:paraId="69AEFD14" w14:textId="5537E4FC" w:rsidR="00921768" w:rsidRPr="00D74689" w:rsidRDefault="00921768" w:rsidP="0002642E">
            <w:r w:rsidRPr="0002642E">
              <w:rPr>
                <w:sz w:val="21"/>
              </w:rPr>
              <w:t>Government departments and small agencies recorded higher scores for attitudes and values of employees. Local councils and large agencies also scored well.</w:t>
            </w:r>
          </w:p>
          <w:p w14:paraId="792FC972" w14:textId="77777777" w:rsidR="00921768" w:rsidRPr="00A96204" w:rsidRDefault="00921768" w:rsidP="00921768">
            <w:pPr>
              <w:pStyle w:val="TableBodyTextcentred"/>
              <w:rPr>
                <w:rFonts w:cs="Arial"/>
                <w:szCs w:val="21"/>
              </w:rPr>
            </w:pPr>
          </w:p>
        </w:tc>
      </w:tr>
      <w:tr w:rsidR="00921768" w:rsidRPr="00A96204" w14:paraId="75299B82" w14:textId="77777777" w:rsidTr="0002642E">
        <w:trPr>
          <w:cnfStyle w:val="000000100000" w:firstRow="0" w:lastRow="0" w:firstColumn="0" w:lastColumn="0" w:oddVBand="0" w:evenVBand="0" w:oddHBand="1" w:evenHBand="0" w:firstRowFirstColumn="0" w:firstRowLastColumn="0" w:lastRowFirstColumn="0" w:lastRowLastColumn="0"/>
        </w:trPr>
        <w:tc>
          <w:tcPr>
            <w:tcW w:w="2679" w:type="dxa"/>
          </w:tcPr>
          <w:p w14:paraId="492B7C05" w14:textId="6D176F2A" w:rsidR="00921768" w:rsidRPr="00A96204" w:rsidRDefault="00921768" w:rsidP="00921768">
            <w:pPr>
              <w:rPr>
                <w:rFonts w:cs="Arial"/>
                <w:sz w:val="21"/>
                <w:szCs w:val="21"/>
              </w:rPr>
            </w:pPr>
            <w:r w:rsidRPr="0002642E">
              <w:rPr>
                <w:rStyle w:val="Characterbold"/>
                <w:lang w:val="en-GB"/>
              </w:rPr>
              <w:t>Transparency and accountability</w:t>
            </w:r>
            <w:r w:rsidRPr="00A96204">
              <w:rPr>
                <w:rStyle w:val="Characterbold"/>
                <w:sz w:val="21"/>
                <w:szCs w:val="21"/>
                <w:lang w:val="en-GB"/>
              </w:rPr>
              <w:t xml:space="preserve">: </w:t>
            </w:r>
            <w:r w:rsidRPr="0002642E">
              <w:rPr>
                <w:sz w:val="21"/>
              </w:rPr>
              <w:t>Organisations understand good human rights practice and comply with human rights reporting mechanisms</w:t>
            </w:r>
          </w:p>
        </w:tc>
        <w:tc>
          <w:tcPr>
            <w:tcW w:w="7239" w:type="dxa"/>
          </w:tcPr>
          <w:p w14:paraId="77AB7FAC" w14:textId="4A1415DD" w:rsidR="00507925" w:rsidRPr="0002642E" w:rsidRDefault="00507925" w:rsidP="0002642E">
            <w:pPr>
              <w:rPr>
                <w:b/>
              </w:rPr>
            </w:pPr>
            <w:r w:rsidRPr="0002642E">
              <w:rPr>
                <w:b/>
                <w:sz w:val="21"/>
              </w:rPr>
              <w:t>Positive signs</w:t>
            </w:r>
          </w:p>
          <w:p w14:paraId="04CD9799" w14:textId="10268E73" w:rsidR="00921768" w:rsidRPr="00A96204" w:rsidRDefault="00921768" w:rsidP="00921768">
            <w:pPr>
              <w:rPr>
                <w:rFonts w:cs="Arial"/>
                <w:b/>
                <w:sz w:val="21"/>
                <w:szCs w:val="21"/>
              </w:rPr>
            </w:pPr>
            <w:r w:rsidRPr="0002642E">
              <w:rPr>
                <w:sz w:val="21"/>
              </w:rPr>
              <w:t xml:space="preserve">Out of 37 public authorities that agreed to participate in the </w:t>
            </w:r>
            <w:r w:rsidRPr="00A96204">
              <w:rPr>
                <w:rFonts w:cs="Arial"/>
                <w:sz w:val="21"/>
                <w:szCs w:val="21"/>
              </w:rPr>
              <w:t>Commission's</w:t>
            </w:r>
            <w:r w:rsidRPr="0002642E">
              <w:rPr>
                <w:sz w:val="21"/>
              </w:rPr>
              <w:t xml:space="preserve"> human rights culture survey, 35 completed the survey, representing a very high response rate of 95 per cent.</w:t>
            </w:r>
          </w:p>
        </w:tc>
      </w:tr>
      <w:tr w:rsidR="00921768" w:rsidRPr="00A96204" w14:paraId="0DF39E05" w14:textId="77777777" w:rsidTr="0002642E">
        <w:trPr>
          <w:cnfStyle w:val="000000010000" w:firstRow="0" w:lastRow="0" w:firstColumn="0" w:lastColumn="0" w:oddVBand="0" w:evenVBand="0" w:oddHBand="0" w:evenHBand="1" w:firstRowFirstColumn="0" w:firstRowLastColumn="0" w:lastRowFirstColumn="0" w:lastRowLastColumn="0"/>
        </w:trPr>
        <w:tc>
          <w:tcPr>
            <w:tcW w:w="2679" w:type="dxa"/>
          </w:tcPr>
          <w:p w14:paraId="583FD358" w14:textId="32338F12" w:rsidR="00921768" w:rsidRPr="00A96204" w:rsidRDefault="00921768" w:rsidP="00921768">
            <w:pPr>
              <w:rPr>
                <w:rFonts w:cs="Arial"/>
                <w:sz w:val="21"/>
                <w:szCs w:val="21"/>
              </w:rPr>
            </w:pPr>
            <w:r w:rsidRPr="0002642E">
              <w:rPr>
                <w:rStyle w:val="Characterbold"/>
                <w:lang w:val="en-GB"/>
              </w:rPr>
              <w:t>Community engagement and participation</w:t>
            </w:r>
            <w:r w:rsidRPr="00A96204">
              <w:rPr>
                <w:rStyle w:val="Characterbold"/>
                <w:sz w:val="21"/>
                <w:szCs w:val="21"/>
                <w:lang w:val="en-GB"/>
              </w:rPr>
              <w:t xml:space="preserve">: </w:t>
            </w:r>
            <w:r w:rsidRPr="0002642E">
              <w:rPr>
                <w:rStyle w:val="Characterbold"/>
                <w:b w:val="0"/>
                <w:sz w:val="21"/>
                <w:lang w:val="en-GB"/>
              </w:rPr>
              <w:t>Community participation informs key work and community can easily access public services</w:t>
            </w:r>
          </w:p>
        </w:tc>
        <w:tc>
          <w:tcPr>
            <w:tcW w:w="7239" w:type="dxa"/>
          </w:tcPr>
          <w:p w14:paraId="185E8565" w14:textId="77777777" w:rsidR="00507925" w:rsidRPr="0002642E" w:rsidRDefault="00507925" w:rsidP="0002642E">
            <w:pPr>
              <w:rPr>
                <w:b/>
              </w:rPr>
            </w:pPr>
            <w:r w:rsidRPr="0002642E">
              <w:rPr>
                <w:b/>
                <w:sz w:val="21"/>
              </w:rPr>
              <w:t>Variable results</w:t>
            </w:r>
          </w:p>
          <w:p w14:paraId="4649FC70" w14:textId="7F046F57" w:rsidR="00907911" w:rsidRDefault="00921768" w:rsidP="00921768">
            <w:pPr>
              <w:rPr>
                <w:rFonts w:cs="Arial"/>
                <w:sz w:val="21"/>
                <w:szCs w:val="21"/>
              </w:rPr>
            </w:pPr>
            <w:r w:rsidRPr="0002642E">
              <w:rPr>
                <w:sz w:val="21"/>
              </w:rPr>
              <w:t xml:space="preserve">Most organisations recorded higher scores for community engagement and participation. </w:t>
            </w:r>
            <w:r w:rsidR="00907911" w:rsidRPr="0002642E">
              <w:rPr>
                <w:sz w:val="21"/>
              </w:rPr>
              <w:t xml:space="preserve">Community groups provided suggestions on </w:t>
            </w:r>
            <w:r w:rsidR="003F28FE" w:rsidRPr="0002642E">
              <w:rPr>
                <w:sz w:val="21"/>
              </w:rPr>
              <w:t>how participation</w:t>
            </w:r>
            <w:r w:rsidRPr="0002642E">
              <w:rPr>
                <w:sz w:val="21"/>
              </w:rPr>
              <w:t xml:space="preserve"> could be made more effective. </w:t>
            </w:r>
          </w:p>
          <w:p w14:paraId="2930ABF9" w14:textId="68305995" w:rsidR="00921768" w:rsidRPr="00A96204" w:rsidRDefault="00907911" w:rsidP="00921768">
            <w:pPr>
              <w:rPr>
                <w:rFonts w:cs="Arial"/>
                <w:sz w:val="21"/>
                <w:szCs w:val="21"/>
              </w:rPr>
            </w:pPr>
            <w:r w:rsidRPr="0002642E">
              <w:rPr>
                <w:sz w:val="21"/>
              </w:rPr>
              <w:t>A</w:t>
            </w:r>
            <w:r w:rsidR="00921768" w:rsidRPr="0002642E">
              <w:rPr>
                <w:sz w:val="21"/>
              </w:rPr>
              <w:t xml:space="preserve">round half of public authorities </w:t>
            </w:r>
            <w:r w:rsidRPr="0002642E">
              <w:rPr>
                <w:sz w:val="21"/>
              </w:rPr>
              <w:t xml:space="preserve">reported providing </w:t>
            </w:r>
            <w:r w:rsidR="00921768" w:rsidRPr="0002642E">
              <w:rPr>
                <w:sz w:val="21"/>
              </w:rPr>
              <w:t>tools and information</w:t>
            </w:r>
            <w:r w:rsidRPr="0002642E">
              <w:rPr>
                <w:sz w:val="21"/>
              </w:rPr>
              <w:t xml:space="preserve"> to the community on rights and </w:t>
            </w:r>
            <w:r w:rsidR="00921768" w:rsidRPr="0002642E">
              <w:rPr>
                <w:sz w:val="21"/>
              </w:rPr>
              <w:t>responsibilities under the Charter.</w:t>
            </w:r>
          </w:p>
        </w:tc>
      </w:tr>
      <w:tr w:rsidR="00921768" w:rsidRPr="00A96204" w14:paraId="7A8ECDA7" w14:textId="77777777" w:rsidTr="0002642E">
        <w:trPr>
          <w:cnfStyle w:val="000000100000" w:firstRow="0" w:lastRow="0" w:firstColumn="0" w:lastColumn="0" w:oddVBand="0" w:evenVBand="0" w:oddHBand="1" w:evenHBand="0" w:firstRowFirstColumn="0" w:firstRowLastColumn="0" w:lastRowFirstColumn="0" w:lastRowLastColumn="0"/>
        </w:trPr>
        <w:tc>
          <w:tcPr>
            <w:tcW w:w="2679" w:type="dxa"/>
          </w:tcPr>
          <w:p w14:paraId="5601E056" w14:textId="4C6C4AEC" w:rsidR="00921768" w:rsidRPr="00A96204" w:rsidRDefault="00921768" w:rsidP="00921768">
            <w:pPr>
              <w:rPr>
                <w:rStyle w:val="Characterbold"/>
                <w:rFonts w:cs="Arial"/>
                <w:sz w:val="21"/>
                <w:szCs w:val="21"/>
                <w:lang w:val="en-GB"/>
              </w:rPr>
            </w:pPr>
            <w:r w:rsidRPr="0002642E">
              <w:rPr>
                <w:rStyle w:val="Characterbold"/>
                <w:lang w:val="en-GB"/>
              </w:rPr>
              <w:t xml:space="preserve">Operational capability – </w:t>
            </w:r>
            <w:r w:rsidRPr="0002642E">
              <w:rPr>
                <w:rStyle w:val="Characterbold"/>
                <w:lang w:val="en-GB"/>
              </w:rPr>
              <w:lastRenderedPageBreak/>
              <w:t>knowledge and resourcing</w:t>
            </w:r>
            <w:r w:rsidRPr="00A96204">
              <w:rPr>
                <w:rStyle w:val="Characterbold"/>
                <w:sz w:val="21"/>
                <w:szCs w:val="21"/>
                <w:lang w:val="en-GB"/>
              </w:rPr>
              <w:t xml:space="preserve">: </w:t>
            </w:r>
            <w:r w:rsidRPr="0002642E">
              <w:rPr>
                <w:sz w:val="21"/>
              </w:rPr>
              <w:t>Staff have the knowledge, skills and necessary resources to act compatibly with human rights and the Charter</w:t>
            </w:r>
          </w:p>
        </w:tc>
        <w:tc>
          <w:tcPr>
            <w:tcW w:w="7239" w:type="dxa"/>
          </w:tcPr>
          <w:p w14:paraId="2EE61FBB" w14:textId="77777777" w:rsidR="00507925" w:rsidRPr="0002642E" w:rsidRDefault="00507925" w:rsidP="0002642E">
            <w:pPr>
              <w:rPr>
                <w:b/>
                <w:sz w:val="21"/>
              </w:rPr>
            </w:pPr>
            <w:r w:rsidRPr="0002642E">
              <w:rPr>
                <w:b/>
              </w:rPr>
              <w:lastRenderedPageBreak/>
              <w:t>Positive signs</w:t>
            </w:r>
          </w:p>
          <w:p w14:paraId="4E84697B" w14:textId="71832FD3" w:rsidR="00921768" w:rsidRPr="00A96204" w:rsidRDefault="00921768" w:rsidP="00921768">
            <w:pPr>
              <w:rPr>
                <w:rFonts w:cs="Arial"/>
                <w:sz w:val="21"/>
                <w:szCs w:val="21"/>
              </w:rPr>
            </w:pPr>
            <w:r w:rsidRPr="0002642E">
              <w:rPr>
                <w:sz w:val="21"/>
              </w:rPr>
              <w:lastRenderedPageBreak/>
              <w:t>Local councils and large agencies recorded</w:t>
            </w:r>
            <w:r w:rsidR="00735BA6" w:rsidRPr="0002642E">
              <w:rPr>
                <w:sz w:val="21"/>
              </w:rPr>
              <w:t xml:space="preserve"> lower </w:t>
            </w:r>
            <w:r w:rsidRPr="0002642E">
              <w:rPr>
                <w:sz w:val="21"/>
              </w:rPr>
              <w:t>scores for operational capability. Government departments and small agencies recorded high scores.</w:t>
            </w:r>
          </w:p>
        </w:tc>
      </w:tr>
      <w:tr w:rsidR="00921768" w:rsidRPr="00A96204" w14:paraId="7DDEA1FB" w14:textId="77777777" w:rsidTr="0002642E">
        <w:trPr>
          <w:cnfStyle w:val="000000010000" w:firstRow="0" w:lastRow="0" w:firstColumn="0" w:lastColumn="0" w:oddVBand="0" w:evenVBand="0" w:oddHBand="0" w:evenHBand="1" w:firstRowFirstColumn="0" w:firstRowLastColumn="0" w:lastRowFirstColumn="0" w:lastRowLastColumn="0"/>
        </w:trPr>
        <w:tc>
          <w:tcPr>
            <w:tcW w:w="2679" w:type="dxa"/>
          </w:tcPr>
          <w:p w14:paraId="53748B8F" w14:textId="230301E5" w:rsidR="00921768" w:rsidRPr="00A96204" w:rsidRDefault="00921768" w:rsidP="00921768">
            <w:pPr>
              <w:rPr>
                <w:rFonts w:cs="Arial"/>
                <w:sz w:val="21"/>
                <w:szCs w:val="21"/>
              </w:rPr>
            </w:pPr>
            <w:r w:rsidRPr="0002642E">
              <w:rPr>
                <w:rStyle w:val="Characterbold"/>
                <w:lang w:val="en-GB"/>
              </w:rPr>
              <w:lastRenderedPageBreak/>
              <w:t>Systems and processes</w:t>
            </w:r>
            <w:r w:rsidRPr="00A96204">
              <w:rPr>
                <w:rStyle w:val="Characterbold"/>
                <w:sz w:val="21"/>
                <w:szCs w:val="21"/>
                <w:lang w:val="en-GB"/>
              </w:rPr>
              <w:t xml:space="preserve">: </w:t>
            </w:r>
            <w:r w:rsidRPr="0002642E">
              <w:rPr>
                <w:sz w:val="21"/>
              </w:rPr>
              <w:t>Organisational policies, processes and tools embed human rights and the Charter</w:t>
            </w:r>
          </w:p>
        </w:tc>
        <w:tc>
          <w:tcPr>
            <w:tcW w:w="7239" w:type="dxa"/>
          </w:tcPr>
          <w:p w14:paraId="5400FCC7" w14:textId="456C7F90" w:rsidR="00921768" w:rsidRPr="00A96204" w:rsidRDefault="00507925" w:rsidP="00921768">
            <w:pPr>
              <w:rPr>
                <w:rFonts w:cs="Arial"/>
                <w:b/>
                <w:sz w:val="21"/>
                <w:szCs w:val="21"/>
              </w:rPr>
            </w:pPr>
            <w:r w:rsidRPr="0002642E">
              <w:rPr>
                <w:b/>
              </w:rPr>
              <w:t xml:space="preserve">Variable results </w:t>
            </w:r>
            <w:r w:rsidR="00921768" w:rsidRPr="00A96204">
              <w:rPr>
                <w:rFonts w:cs="Arial"/>
                <w:b/>
                <w:sz w:val="21"/>
                <w:szCs w:val="21"/>
              </w:rPr>
              <w:br/>
            </w:r>
            <w:r w:rsidR="00921768" w:rsidRPr="0002642E">
              <w:rPr>
                <w:sz w:val="21"/>
              </w:rPr>
              <w:t>Local councils, large agencies, small agencies and government departments recorded low scores for systems and processes</w:t>
            </w:r>
          </w:p>
        </w:tc>
      </w:tr>
    </w:tbl>
    <w:p w14:paraId="0ED89F5B" w14:textId="48386977" w:rsidR="00921768" w:rsidRDefault="00921768" w:rsidP="0002642E">
      <w:pPr>
        <w:pStyle w:val="Heading3"/>
      </w:pPr>
      <w:bookmarkStart w:id="52" w:name="practice"/>
      <w:bookmarkStart w:id="53" w:name="_Toc15045104"/>
      <w:r>
        <w:t>2.5.</w:t>
      </w:r>
      <w:r w:rsidR="003B428A">
        <w:t xml:space="preserve">2 </w:t>
      </w:r>
      <w:r>
        <w:t xml:space="preserve">Putting this </w:t>
      </w:r>
      <w:r w:rsidRPr="00921768">
        <w:t>into</w:t>
      </w:r>
      <w:r>
        <w:t xml:space="preserve"> practice…</w:t>
      </w:r>
    </w:p>
    <w:bookmarkEnd w:id="52"/>
    <w:p w14:paraId="77DF92B0" w14:textId="3732C9F4" w:rsidR="00921768" w:rsidRDefault="00921768" w:rsidP="0002642E">
      <w:pPr>
        <w:pStyle w:val="BodyText"/>
        <w:rPr>
          <w:lang w:eastAsia="en-AU"/>
        </w:rPr>
      </w:pPr>
      <w:r>
        <w:rPr>
          <w:lang w:eastAsia="en-AU"/>
        </w:rPr>
        <w:t>The Commission will use the results of the pilot survey to inform the support it provides public authorities to put the indicator framework in place.</w:t>
      </w:r>
    </w:p>
    <w:p w14:paraId="2101B9AA" w14:textId="3880AB49" w:rsidR="00845F60" w:rsidRDefault="00845F60" w:rsidP="0002642E">
      <w:pPr>
        <w:pStyle w:val="BodyText"/>
        <w:rPr>
          <w:lang w:eastAsia="en-AU"/>
        </w:rPr>
      </w:pPr>
      <w:r>
        <w:rPr>
          <w:lang w:eastAsia="en-AU"/>
        </w:rPr>
        <w:t>We have identified here some practical ways authorities can implement improvements to some of the areas highlighted in this survey.</w:t>
      </w:r>
    </w:p>
    <w:p w14:paraId="5E3F9273" w14:textId="50C71437" w:rsidR="00845F60" w:rsidRDefault="00845F60" w:rsidP="0002642E">
      <w:pPr>
        <w:pStyle w:val="BodyText"/>
        <w:rPr>
          <w:lang w:eastAsia="en-AU"/>
        </w:rPr>
      </w:pPr>
      <w:r>
        <w:rPr>
          <w:lang w:eastAsia="en-AU"/>
        </w:rPr>
        <w:t>For example:</w:t>
      </w:r>
    </w:p>
    <w:p w14:paraId="11719297" w14:textId="3A3DEA19" w:rsidR="00845F60" w:rsidRDefault="00845F60" w:rsidP="0002642E">
      <w:pPr>
        <w:pStyle w:val="BodyText"/>
        <w:rPr>
          <w:lang w:eastAsia="en-AU"/>
        </w:rPr>
      </w:pPr>
      <w:r>
        <w:rPr>
          <w:lang w:eastAsia="en-AU"/>
        </w:rPr>
        <w:t xml:space="preserve">To improve </w:t>
      </w:r>
      <w:r w:rsidRPr="0002642E">
        <w:rPr>
          <w:b/>
        </w:rPr>
        <w:t>engaged leadership</w:t>
      </w:r>
      <w:r>
        <w:rPr>
          <w:lang w:eastAsia="en-AU"/>
        </w:rPr>
        <w:t>:</w:t>
      </w:r>
    </w:p>
    <w:p w14:paraId="4D11532B" w14:textId="0B1ECD7A" w:rsidR="00845F60" w:rsidRDefault="00845F60" w:rsidP="0002642E">
      <w:pPr>
        <w:pStyle w:val="BodyText"/>
        <w:numPr>
          <w:ilvl w:val="0"/>
          <w:numId w:val="98"/>
        </w:numPr>
        <w:rPr>
          <w:lang w:eastAsia="en-AU"/>
        </w:rPr>
      </w:pPr>
      <w:r>
        <w:rPr>
          <w:lang w:eastAsia="en-AU"/>
        </w:rPr>
        <w:t>use leaders to visibly promote human rights at staff forums</w:t>
      </w:r>
    </w:p>
    <w:p w14:paraId="1DD5BDD4" w14:textId="37BD7459" w:rsidR="00845F60" w:rsidRDefault="00845F60" w:rsidP="0002642E">
      <w:pPr>
        <w:pStyle w:val="BodyText"/>
        <w:numPr>
          <w:ilvl w:val="0"/>
          <w:numId w:val="98"/>
        </w:numPr>
        <w:rPr>
          <w:lang w:eastAsia="en-AU"/>
        </w:rPr>
      </w:pPr>
      <w:r>
        <w:rPr>
          <w:lang w:eastAsia="en-AU"/>
        </w:rPr>
        <w:t>celebrate human rights days within and outside the authority</w:t>
      </w:r>
    </w:p>
    <w:p w14:paraId="005F4F89" w14:textId="327A79AC" w:rsidR="00845F60" w:rsidRDefault="00845F60" w:rsidP="0002642E">
      <w:pPr>
        <w:pStyle w:val="BodyText"/>
        <w:numPr>
          <w:ilvl w:val="0"/>
          <w:numId w:val="98"/>
        </w:numPr>
        <w:rPr>
          <w:lang w:eastAsia="en-AU"/>
        </w:rPr>
      </w:pPr>
      <w:r>
        <w:rPr>
          <w:lang w:eastAsia="en-AU"/>
        </w:rPr>
        <w:t>give staff practical examples of how to put human rights into practice</w:t>
      </w:r>
    </w:p>
    <w:p w14:paraId="18B0C02B" w14:textId="4F517AF5" w:rsidR="00845F60" w:rsidRDefault="00845F60" w:rsidP="0002642E">
      <w:pPr>
        <w:pStyle w:val="BodyText"/>
        <w:rPr>
          <w:lang w:eastAsia="en-AU"/>
        </w:rPr>
      </w:pPr>
      <w:r>
        <w:rPr>
          <w:lang w:eastAsia="en-AU"/>
        </w:rPr>
        <w:t xml:space="preserve">To improve </w:t>
      </w:r>
      <w:r w:rsidR="00BB63F5" w:rsidRPr="0002642E">
        <w:rPr>
          <w:b/>
        </w:rPr>
        <w:t>community engagement and consultation</w:t>
      </w:r>
      <w:r>
        <w:rPr>
          <w:lang w:eastAsia="en-AU"/>
        </w:rPr>
        <w:t>:</w:t>
      </w:r>
    </w:p>
    <w:p w14:paraId="308D6934" w14:textId="6237533D" w:rsidR="00845F60" w:rsidRDefault="00845F60" w:rsidP="0002642E">
      <w:pPr>
        <w:pStyle w:val="BodyText"/>
        <w:numPr>
          <w:ilvl w:val="0"/>
          <w:numId w:val="98"/>
        </w:numPr>
        <w:rPr>
          <w:lang w:eastAsia="en-AU"/>
        </w:rPr>
      </w:pPr>
      <w:r>
        <w:rPr>
          <w:lang w:eastAsia="en-AU"/>
        </w:rPr>
        <w:t>record how public consultation has influenced and changed decisions</w:t>
      </w:r>
    </w:p>
    <w:p w14:paraId="400094C0" w14:textId="5806189D" w:rsidR="00845F60" w:rsidRDefault="00845F60" w:rsidP="0002642E">
      <w:pPr>
        <w:pStyle w:val="BodyText"/>
        <w:numPr>
          <w:ilvl w:val="0"/>
          <w:numId w:val="98"/>
        </w:numPr>
        <w:rPr>
          <w:lang w:eastAsia="en-AU"/>
        </w:rPr>
      </w:pPr>
      <w:r>
        <w:rPr>
          <w:lang w:eastAsia="en-AU"/>
        </w:rPr>
        <w:t xml:space="preserve">provide </w:t>
      </w:r>
      <w:r w:rsidR="00735BA6">
        <w:rPr>
          <w:lang w:eastAsia="en-AU"/>
        </w:rPr>
        <w:t xml:space="preserve">accessible </w:t>
      </w:r>
      <w:r>
        <w:rPr>
          <w:lang w:eastAsia="en-AU"/>
        </w:rPr>
        <w:t>materials to the public</w:t>
      </w:r>
      <w:r w:rsidR="00735BA6">
        <w:rPr>
          <w:lang w:eastAsia="en-AU"/>
        </w:rPr>
        <w:t xml:space="preserve"> </w:t>
      </w:r>
      <w:r>
        <w:rPr>
          <w:lang w:eastAsia="en-AU"/>
        </w:rPr>
        <w:t>about human rights relevant to their work</w:t>
      </w:r>
    </w:p>
    <w:p w14:paraId="10FF0B7C" w14:textId="77777777" w:rsidR="0015088C" w:rsidRDefault="003B428A" w:rsidP="00D74689">
      <w:pPr>
        <w:pStyle w:val="BodyText"/>
        <w:numPr>
          <w:ilvl w:val="0"/>
          <w:numId w:val="98"/>
        </w:numPr>
        <w:rPr>
          <w:lang w:eastAsia="en-AU"/>
        </w:rPr>
      </w:pPr>
      <w:r>
        <w:rPr>
          <w:lang w:eastAsia="en-AU"/>
        </w:rPr>
        <w:t>make use of suggestions provided by community organisations for how to engage with community.</w:t>
      </w:r>
    </w:p>
    <w:p w14:paraId="794497CF" w14:textId="20F375C1" w:rsidR="00845F60" w:rsidRDefault="00845F60" w:rsidP="0002642E">
      <w:pPr>
        <w:pStyle w:val="BodyText"/>
        <w:rPr>
          <w:lang w:eastAsia="en-AU"/>
        </w:rPr>
      </w:pPr>
      <w:r>
        <w:rPr>
          <w:lang w:eastAsia="en-AU"/>
        </w:rPr>
        <w:t xml:space="preserve">To improve </w:t>
      </w:r>
      <w:r w:rsidRPr="0002642E">
        <w:rPr>
          <w:b/>
        </w:rPr>
        <w:t>operational capability</w:t>
      </w:r>
      <w:r>
        <w:rPr>
          <w:lang w:eastAsia="en-AU"/>
        </w:rPr>
        <w:t>:</w:t>
      </w:r>
    </w:p>
    <w:p w14:paraId="06DBFF57" w14:textId="1DC4A759" w:rsidR="00845F60" w:rsidRPr="00735BA6" w:rsidRDefault="00735BA6" w:rsidP="0002642E">
      <w:pPr>
        <w:pStyle w:val="BodyText"/>
        <w:numPr>
          <w:ilvl w:val="0"/>
          <w:numId w:val="98"/>
        </w:numPr>
        <w:rPr>
          <w:lang w:eastAsia="en-AU"/>
        </w:rPr>
      </w:pPr>
      <w:r>
        <w:rPr>
          <w:lang w:eastAsia="en-AU"/>
        </w:rPr>
        <w:t>g</w:t>
      </w:r>
      <w:r w:rsidR="00845F60" w:rsidRPr="00735BA6">
        <w:rPr>
          <w:lang w:eastAsia="en-AU"/>
        </w:rPr>
        <w:t>ive specific staff members responsibilities and support to promote human rights</w:t>
      </w:r>
    </w:p>
    <w:p w14:paraId="076A899C" w14:textId="5376394C" w:rsidR="00845F60" w:rsidRPr="00735BA6" w:rsidRDefault="00735BA6" w:rsidP="0002642E">
      <w:pPr>
        <w:pStyle w:val="BodyText"/>
        <w:numPr>
          <w:ilvl w:val="0"/>
          <w:numId w:val="98"/>
        </w:numPr>
        <w:rPr>
          <w:lang w:eastAsia="en-AU"/>
        </w:rPr>
      </w:pPr>
      <w:r>
        <w:rPr>
          <w:lang w:eastAsia="en-AU"/>
        </w:rPr>
        <w:t>i</w:t>
      </w:r>
      <w:r w:rsidR="00845F60" w:rsidRPr="00735BA6">
        <w:rPr>
          <w:lang w:eastAsia="en-AU"/>
        </w:rPr>
        <w:t>nclude human rights impact assessments in project and policy templates</w:t>
      </w:r>
    </w:p>
    <w:p w14:paraId="531690D5" w14:textId="6C6E709B" w:rsidR="00845F60" w:rsidRPr="00735BA6" w:rsidRDefault="00845F60" w:rsidP="0002642E">
      <w:pPr>
        <w:pStyle w:val="BodyText"/>
        <w:rPr>
          <w:lang w:eastAsia="en-AU"/>
        </w:rPr>
      </w:pPr>
      <w:r w:rsidRPr="00735BA6">
        <w:rPr>
          <w:lang w:eastAsia="en-AU"/>
        </w:rPr>
        <w:t xml:space="preserve">To improve </w:t>
      </w:r>
      <w:r w:rsidRPr="0002642E">
        <w:rPr>
          <w:b/>
        </w:rPr>
        <w:t>systems and processes</w:t>
      </w:r>
      <w:r w:rsidRPr="00735BA6">
        <w:rPr>
          <w:lang w:eastAsia="en-AU"/>
        </w:rPr>
        <w:t>:</w:t>
      </w:r>
    </w:p>
    <w:p w14:paraId="6A067EC5" w14:textId="0B1E84EB" w:rsidR="00845F60" w:rsidRPr="00735BA6" w:rsidRDefault="00735BA6" w:rsidP="0002642E">
      <w:pPr>
        <w:pStyle w:val="BodyText"/>
        <w:numPr>
          <w:ilvl w:val="0"/>
          <w:numId w:val="98"/>
        </w:numPr>
        <w:rPr>
          <w:lang w:eastAsia="en-AU"/>
        </w:rPr>
      </w:pPr>
      <w:r>
        <w:rPr>
          <w:lang w:eastAsia="en-AU"/>
        </w:rPr>
        <w:t>i</w:t>
      </w:r>
      <w:r w:rsidR="00845F60" w:rsidRPr="00735BA6">
        <w:rPr>
          <w:lang w:eastAsia="en-AU"/>
        </w:rPr>
        <w:t xml:space="preserve">nclude the Charter in any organisational legal compliance frameworks </w:t>
      </w:r>
    </w:p>
    <w:p w14:paraId="291FA62D" w14:textId="79810926" w:rsidR="00406914" w:rsidRPr="0002642E" w:rsidRDefault="00735BA6" w:rsidP="0002642E">
      <w:pPr>
        <w:pStyle w:val="ListParagraph"/>
        <w:numPr>
          <w:ilvl w:val="0"/>
          <w:numId w:val="98"/>
        </w:numPr>
        <w:rPr>
          <w:lang w:val="en-US"/>
        </w:rPr>
      </w:pPr>
      <w:r>
        <w:rPr>
          <w:lang w:eastAsia="en-AU"/>
        </w:rPr>
        <w:t>h</w:t>
      </w:r>
      <w:r w:rsidR="00845F60" w:rsidRPr="00735BA6">
        <w:rPr>
          <w:lang w:eastAsia="en-AU"/>
        </w:rPr>
        <w:t>ave a publicly available complaints policy</w:t>
      </w:r>
    </w:p>
    <w:p w14:paraId="22CB5C5B" w14:textId="5A166D78" w:rsidR="00845F60" w:rsidRPr="00735BA6" w:rsidRDefault="00845F60" w:rsidP="00406914">
      <w:pPr>
        <w:pStyle w:val="BodyText"/>
        <w:ind w:left="360"/>
        <w:rPr>
          <w:lang w:eastAsia="en-AU"/>
        </w:rPr>
      </w:pPr>
    </w:p>
    <w:p w14:paraId="63E2DDC5" w14:textId="77777777" w:rsidR="00845F60" w:rsidRPr="00845F60" w:rsidRDefault="00845F60" w:rsidP="00E317EA">
      <w:pPr>
        <w:pStyle w:val="TableListNumber"/>
        <w:numPr>
          <w:ilvl w:val="0"/>
          <w:numId w:val="0"/>
        </w:numPr>
        <w:rPr>
          <w:rFonts w:cs="Arial"/>
          <w:sz w:val="21"/>
          <w:szCs w:val="21"/>
        </w:rPr>
      </w:pPr>
    </w:p>
    <w:p w14:paraId="2DC52E7D" w14:textId="00953812" w:rsidR="00921768" w:rsidRDefault="00921768" w:rsidP="00921768">
      <w:pPr>
        <w:pStyle w:val="BodyText"/>
        <w:rPr>
          <w:lang w:eastAsia="en-AU"/>
        </w:rPr>
      </w:pPr>
    </w:p>
    <w:p w14:paraId="7794C907" w14:textId="77777777" w:rsidR="00921768" w:rsidRDefault="00921768" w:rsidP="00921768">
      <w:pPr>
        <w:pStyle w:val="BodyText"/>
        <w:rPr>
          <w:lang w:eastAsia="en-AU"/>
        </w:rPr>
      </w:pPr>
    </w:p>
    <w:p w14:paraId="6D44608D" w14:textId="77777777" w:rsidR="00921768" w:rsidRPr="00E317EA" w:rsidRDefault="00921768" w:rsidP="00E317EA">
      <w:pPr>
        <w:pStyle w:val="BodyText"/>
        <w:rPr>
          <w:lang w:eastAsia="en-AU"/>
        </w:rPr>
      </w:pPr>
    </w:p>
    <w:p w14:paraId="1FC3E067" w14:textId="77777777" w:rsidR="00921768" w:rsidRDefault="00921768" w:rsidP="00CF778C">
      <w:pPr>
        <w:pStyle w:val="Heading2"/>
      </w:pPr>
    </w:p>
    <w:p w14:paraId="5E295DDE" w14:textId="77777777" w:rsidR="00921768" w:rsidRDefault="00921768" w:rsidP="00CF778C">
      <w:pPr>
        <w:pStyle w:val="Heading2"/>
      </w:pPr>
    </w:p>
    <w:p w14:paraId="3317C2CD" w14:textId="77777777" w:rsidR="00921768" w:rsidRDefault="00921768" w:rsidP="00CF778C">
      <w:pPr>
        <w:pStyle w:val="Heading2"/>
      </w:pPr>
    </w:p>
    <w:p w14:paraId="55F33C52" w14:textId="77777777" w:rsidR="00921768" w:rsidRDefault="00921768" w:rsidP="00CF778C">
      <w:pPr>
        <w:pStyle w:val="Heading2"/>
      </w:pPr>
    </w:p>
    <w:p w14:paraId="60F9185C" w14:textId="3D485E53" w:rsidR="008E0945" w:rsidRPr="003015FD" w:rsidRDefault="004A60C5" w:rsidP="003A3F4F">
      <w:pPr>
        <w:pStyle w:val="Heading2"/>
      </w:pPr>
      <w:bookmarkStart w:id="54" w:name="_Toc22011530"/>
      <w:r w:rsidRPr="003015FD">
        <w:t>2.6</w:t>
      </w:r>
      <w:r w:rsidRPr="003015FD">
        <w:tab/>
      </w:r>
      <w:r w:rsidR="008E0945" w:rsidRPr="003015FD">
        <w:t>Reporting</w:t>
      </w:r>
      <w:r w:rsidR="00975895" w:rsidRPr="003015FD">
        <w:t xml:space="preserve"> </w:t>
      </w:r>
      <w:r w:rsidR="008E0945" w:rsidRPr="003015FD">
        <w:t>against</w:t>
      </w:r>
      <w:r w:rsidR="00975895" w:rsidRPr="003015FD">
        <w:t xml:space="preserve"> </w:t>
      </w:r>
      <w:r w:rsidR="008E0945" w:rsidRPr="003015FD">
        <w:t>the</w:t>
      </w:r>
      <w:r w:rsidR="00975895" w:rsidRPr="003015FD">
        <w:t xml:space="preserve"> </w:t>
      </w:r>
      <w:r w:rsidR="008E0945" w:rsidRPr="003015FD">
        <w:t>framework</w:t>
      </w:r>
      <w:bookmarkEnd w:id="53"/>
      <w:bookmarkEnd w:id="54"/>
    </w:p>
    <w:p w14:paraId="4F287D21" w14:textId="1C576BA6" w:rsidR="008E0945" w:rsidRPr="003015FD" w:rsidRDefault="004A60C5" w:rsidP="003A3F4F">
      <w:pPr>
        <w:pStyle w:val="Heading3"/>
      </w:pPr>
      <w:bookmarkStart w:id="55" w:name="_Toc15045105"/>
      <w:r w:rsidRPr="003015FD">
        <w:t>2.6.1</w:t>
      </w:r>
      <w:r w:rsidRPr="003015FD">
        <w:tab/>
      </w:r>
      <w:r w:rsidR="008E0945" w:rsidRPr="003015FD">
        <w:t>Survey</w:t>
      </w:r>
      <w:r w:rsidR="00975895" w:rsidRPr="003015FD">
        <w:t xml:space="preserve"> </w:t>
      </w:r>
      <w:r w:rsidR="008E0945" w:rsidRPr="003015FD">
        <w:t>of</w:t>
      </w:r>
      <w:r w:rsidR="00975895" w:rsidRPr="003015FD">
        <w:t xml:space="preserve"> </w:t>
      </w:r>
      <w:r w:rsidR="008E0945" w:rsidRPr="003015FD">
        <w:t>authorities</w:t>
      </w:r>
      <w:bookmarkEnd w:id="55"/>
      <w:r w:rsidR="00975895" w:rsidRPr="003015FD">
        <w:t xml:space="preserve"> </w:t>
      </w:r>
    </w:p>
    <w:p w14:paraId="5F55308E" w14:textId="60C97C72" w:rsidR="008E0945" w:rsidRPr="003015FD" w:rsidRDefault="008E0945" w:rsidP="003A3F4F">
      <w:r w:rsidRPr="003015FD">
        <w:t>The</w:t>
      </w:r>
      <w:r w:rsidR="00975895" w:rsidRPr="003015FD">
        <w:t xml:space="preserve"> </w:t>
      </w:r>
      <w:r w:rsidRPr="003015FD">
        <w:t>Commission</w:t>
      </w:r>
      <w:r w:rsidR="00975895" w:rsidRPr="003015FD">
        <w:t xml:space="preserve"> </w:t>
      </w:r>
      <w:r w:rsidRPr="003015FD">
        <w:t>engaged</w:t>
      </w:r>
      <w:r w:rsidR="00975895" w:rsidRPr="003015FD">
        <w:t xml:space="preserve"> </w:t>
      </w:r>
      <w:r w:rsidRPr="003015FD">
        <w:t>an</w:t>
      </w:r>
      <w:r w:rsidR="00975895" w:rsidRPr="003015FD">
        <w:t xml:space="preserve"> </w:t>
      </w:r>
      <w:r w:rsidRPr="003015FD">
        <w:t>independent</w:t>
      </w:r>
      <w:r w:rsidR="00975895" w:rsidRPr="003015FD">
        <w:t xml:space="preserve"> </w:t>
      </w:r>
      <w:r w:rsidRPr="003015FD">
        <w:t>research</w:t>
      </w:r>
      <w:r w:rsidR="00975895" w:rsidRPr="003015FD">
        <w:t xml:space="preserve"> </w:t>
      </w:r>
      <w:r w:rsidRPr="003015FD">
        <w:t>company,</w:t>
      </w:r>
      <w:r w:rsidR="00975895" w:rsidRPr="003015FD">
        <w:t xml:space="preserve"> </w:t>
      </w:r>
      <w:r w:rsidRPr="003015FD">
        <w:t>ORIMA</w:t>
      </w:r>
      <w:r w:rsidR="00975895" w:rsidRPr="003015FD">
        <w:t xml:space="preserve"> </w:t>
      </w:r>
      <w:r w:rsidRPr="003015FD">
        <w:t>Research,</w:t>
      </w:r>
      <w:r w:rsidR="00975895" w:rsidRPr="003015FD">
        <w:t xml:space="preserve"> </w:t>
      </w:r>
      <w:r w:rsidRPr="003015FD">
        <w:t>to</w:t>
      </w:r>
      <w:r w:rsidR="00975895" w:rsidRPr="003015FD">
        <w:t xml:space="preserve"> </w:t>
      </w:r>
      <w:r w:rsidRPr="003015FD">
        <w:t>assist</w:t>
      </w:r>
      <w:r w:rsidR="00975895" w:rsidRPr="003015FD">
        <w:t xml:space="preserve"> </w:t>
      </w:r>
      <w:r w:rsidRPr="003015FD">
        <w:t>in</w:t>
      </w:r>
      <w:r w:rsidR="00975895" w:rsidRPr="003015FD">
        <w:t xml:space="preserve"> </w:t>
      </w:r>
      <w:r w:rsidRPr="003015FD">
        <w:t>the</w:t>
      </w:r>
      <w:r w:rsidR="00975895" w:rsidRPr="003015FD">
        <w:t xml:space="preserve"> </w:t>
      </w:r>
      <w:r w:rsidRPr="003015FD">
        <w:t>development</w:t>
      </w:r>
      <w:r w:rsidR="00975895" w:rsidRPr="003015FD">
        <w:t xml:space="preserve"> </w:t>
      </w:r>
      <w:r w:rsidRPr="003015FD">
        <w:t>and</w:t>
      </w:r>
      <w:r w:rsidR="00975895" w:rsidRPr="003015FD">
        <w:t xml:space="preserve"> </w:t>
      </w:r>
      <w:r w:rsidRPr="003015FD">
        <w:t>conduct</w:t>
      </w:r>
      <w:r w:rsidR="00975895" w:rsidRPr="003015FD">
        <w:t xml:space="preserve"> </w:t>
      </w:r>
      <w:r w:rsidRPr="003015FD">
        <w:t>of</w:t>
      </w:r>
      <w:r w:rsidR="00975895" w:rsidRPr="003015FD">
        <w:t xml:space="preserve"> </w:t>
      </w:r>
      <w:r w:rsidRPr="003015FD">
        <w:t>the</w:t>
      </w:r>
      <w:r w:rsidR="00975895" w:rsidRPr="003015FD">
        <w:t xml:space="preserve"> </w:t>
      </w:r>
      <w:r w:rsidRPr="003015FD">
        <w:t>survey</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p>
    <w:p w14:paraId="1839F790" w14:textId="2CB803A6" w:rsidR="008E0945" w:rsidRPr="003015FD" w:rsidRDefault="008E0945" w:rsidP="003A3F4F">
      <w:r w:rsidRPr="003015FD">
        <w:t>The</w:t>
      </w:r>
      <w:r w:rsidR="00975895" w:rsidRPr="003015FD">
        <w:t xml:space="preserve"> </w:t>
      </w:r>
      <w:r w:rsidRPr="003015FD">
        <w:t>Commission</w:t>
      </w:r>
      <w:r w:rsidR="00975895" w:rsidRPr="003015FD">
        <w:t xml:space="preserve"> </w:t>
      </w:r>
      <w:r w:rsidRPr="003015FD">
        <w:t>has</w:t>
      </w:r>
      <w:r w:rsidR="00975895" w:rsidRPr="003015FD">
        <w:t xml:space="preserve"> </w:t>
      </w:r>
      <w:r w:rsidRPr="003015FD">
        <w:t>used</w:t>
      </w:r>
      <w:r w:rsidR="00975895" w:rsidRPr="003015FD">
        <w:t xml:space="preserve"> </w:t>
      </w:r>
      <w:r w:rsidRPr="003015FD">
        <w:t>the</w:t>
      </w:r>
      <w:r w:rsidR="00975895" w:rsidRPr="003015FD">
        <w:t xml:space="preserve"> </w:t>
      </w:r>
      <w:r w:rsidRPr="003015FD">
        <w:t>responses</w:t>
      </w:r>
      <w:r w:rsidR="00975895" w:rsidRPr="003015FD">
        <w:t xml:space="preserve"> </w:t>
      </w:r>
      <w:r w:rsidRPr="003015FD">
        <w:t>from</w:t>
      </w:r>
      <w:r w:rsidR="00975895" w:rsidRPr="003015FD">
        <w:t xml:space="preserve"> </w:t>
      </w:r>
      <w:r w:rsidRPr="003015FD">
        <w:t>the</w:t>
      </w:r>
      <w:r w:rsidR="00975895" w:rsidRPr="003015FD">
        <w:t xml:space="preserve"> </w:t>
      </w:r>
      <w:r w:rsidRPr="003015FD">
        <w:t>survey</w:t>
      </w:r>
      <w:r w:rsidR="00975895" w:rsidRPr="003015FD">
        <w:t xml:space="preserve"> </w:t>
      </w:r>
      <w:r w:rsidRPr="003015FD">
        <w:t>for</w:t>
      </w:r>
      <w:r w:rsidR="00975895" w:rsidRPr="003015FD">
        <w:t xml:space="preserve"> </w:t>
      </w:r>
      <w:r w:rsidRPr="003015FD">
        <w:t>the</w:t>
      </w:r>
      <w:r w:rsidR="00975895" w:rsidRPr="003015FD">
        <w:t xml:space="preserve"> </w:t>
      </w:r>
      <w:r w:rsidRPr="003015FD">
        <w:t>purposes</w:t>
      </w:r>
      <w:r w:rsidR="00975895" w:rsidRPr="003015FD">
        <w:t xml:space="preserve"> </w:t>
      </w:r>
      <w:r w:rsidRPr="003015FD">
        <w:t>of</w:t>
      </w:r>
      <w:r w:rsidR="00975895" w:rsidRPr="003015FD">
        <w:t xml:space="preserve"> </w:t>
      </w:r>
      <w:r w:rsidRPr="003015FD">
        <w:t>preparing</w:t>
      </w:r>
      <w:r w:rsidR="00975895" w:rsidRPr="003015FD">
        <w:t xml:space="preserve"> </w:t>
      </w:r>
      <w:r w:rsidRPr="003015FD">
        <w:t>this</w:t>
      </w:r>
      <w:r w:rsidR="00975895" w:rsidRPr="003015FD">
        <w:t xml:space="preserve"> </w:t>
      </w:r>
      <w:r w:rsidRPr="003015FD">
        <w:t>report.</w:t>
      </w:r>
      <w:r w:rsidR="00975895" w:rsidRPr="003015FD">
        <w:t xml:space="preserve"> </w:t>
      </w:r>
      <w:r w:rsidRPr="003015FD">
        <w:t>Results</w:t>
      </w:r>
      <w:r w:rsidR="00975895" w:rsidRPr="003015FD">
        <w:t xml:space="preserve"> </w:t>
      </w:r>
      <w:r w:rsidRPr="003015FD">
        <w:t>have</w:t>
      </w:r>
      <w:r w:rsidR="00975895" w:rsidRPr="003015FD">
        <w:t xml:space="preserve"> </w:t>
      </w:r>
      <w:r w:rsidRPr="003015FD">
        <w:t>been</w:t>
      </w:r>
      <w:r w:rsidR="00975895" w:rsidRPr="003015FD">
        <w:t xml:space="preserve"> </w:t>
      </w:r>
      <w:r w:rsidRPr="003015FD">
        <w:t>presented</w:t>
      </w:r>
      <w:r w:rsidR="00975895" w:rsidRPr="003015FD">
        <w:t xml:space="preserve"> </w:t>
      </w:r>
      <w:r w:rsidRPr="003015FD">
        <w:t>in</w:t>
      </w:r>
      <w:r w:rsidR="00975895" w:rsidRPr="003015FD">
        <w:t xml:space="preserve"> </w:t>
      </w:r>
      <w:r w:rsidRPr="003015FD">
        <w:t>aggregate</w:t>
      </w:r>
      <w:r w:rsidR="00975895" w:rsidRPr="003015FD">
        <w:t xml:space="preserve"> </w:t>
      </w:r>
      <w:r w:rsidRPr="003015FD">
        <w:t>form.</w:t>
      </w:r>
    </w:p>
    <w:p w14:paraId="02DB0830" w14:textId="401523AA" w:rsidR="008E0945" w:rsidRPr="003015FD" w:rsidRDefault="008E0945" w:rsidP="003A3F4F">
      <w:r w:rsidRPr="003015FD">
        <w:t>The</w:t>
      </w:r>
      <w:r w:rsidR="00975895" w:rsidRPr="003015FD">
        <w:t xml:space="preserve"> </w:t>
      </w:r>
      <w:r w:rsidRPr="003015FD">
        <w:t>Commission</w:t>
      </w:r>
      <w:r w:rsidR="00975895" w:rsidRPr="003015FD">
        <w:t xml:space="preserve"> </w:t>
      </w:r>
      <w:r w:rsidRPr="003015FD">
        <w:t>has</w:t>
      </w:r>
      <w:r w:rsidR="00975895" w:rsidRPr="003015FD">
        <w:t xml:space="preserve"> </w:t>
      </w:r>
      <w:r w:rsidRPr="003015FD">
        <w:t>also</w:t>
      </w:r>
      <w:r w:rsidR="00975895" w:rsidRPr="003015FD">
        <w:t xml:space="preserve"> </w:t>
      </w:r>
      <w:r w:rsidRPr="003015FD">
        <w:t>used</w:t>
      </w:r>
      <w:r w:rsidR="00975895" w:rsidRPr="003015FD">
        <w:t xml:space="preserve"> </w:t>
      </w:r>
      <w:r w:rsidRPr="003015FD">
        <w:t>the</w:t>
      </w:r>
      <w:r w:rsidR="00975895" w:rsidRPr="003015FD">
        <w:t xml:space="preserve"> </w:t>
      </w:r>
      <w:r w:rsidRPr="003015FD">
        <w:t>information</w:t>
      </w:r>
      <w:r w:rsidR="00975895" w:rsidRPr="003015FD">
        <w:t xml:space="preserve"> </w:t>
      </w:r>
      <w:r w:rsidRPr="003015FD">
        <w:t>from</w:t>
      </w:r>
      <w:r w:rsidR="00975895" w:rsidRPr="003015FD">
        <w:t xml:space="preserve"> </w:t>
      </w:r>
      <w:r w:rsidRPr="003015FD">
        <w:t>the</w:t>
      </w:r>
      <w:r w:rsidR="00975895" w:rsidRPr="003015FD">
        <w:t xml:space="preserve"> </w:t>
      </w:r>
      <w:r w:rsidRPr="003015FD">
        <w:t>survey</w:t>
      </w:r>
      <w:r w:rsidR="00975895" w:rsidRPr="003015FD">
        <w:t xml:space="preserve"> </w:t>
      </w:r>
      <w:r w:rsidRPr="003015FD">
        <w:t>to</w:t>
      </w:r>
      <w:r w:rsidR="00975895" w:rsidRPr="003015FD">
        <w:t xml:space="preserve"> </w:t>
      </w:r>
      <w:r w:rsidRPr="003015FD">
        <w:t>prepare</w:t>
      </w:r>
      <w:r w:rsidR="00975895" w:rsidRPr="003015FD">
        <w:t xml:space="preserve"> </w:t>
      </w:r>
      <w:r w:rsidRPr="003015FD">
        <w:t>individual</w:t>
      </w:r>
      <w:r w:rsidR="00975895" w:rsidRPr="003015FD">
        <w:t xml:space="preserve"> </w:t>
      </w:r>
      <w:r w:rsidRPr="003015FD">
        <w:t>report</w:t>
      </w:r>
      <w:r w:rsidR="00975895" w:rsidRPr="003015FD">
        <w:t xml:space="preserve"> </w:t>
      </w:r>
      <w:r w:rsidRPr="003015FD">
        <w:t>cards</w:t>
      </w:r>
      <w:r w:rsidR="00047136">
        <w:t xml:space="preserve"> for </w:t>
      </w:r>
      <w:r w:rsidRPr="003015FD">
        <w:t>each</w:t>
      </w:r>
      <w:r w:rsidR="00975895" w:rsidRPr="003015FD">
        <w:t xml:space="preserve"> </w:t>
      </w:r>
      <w:r w:rsidRPr="003015FD">
        <w:t>public</w:t>
      </w:r>
      <w:r w:rsidR="00975895" w:rsidRPr="003015FD">
        <w:t xml:space="preserve"> </w:t>
      </w:r>
      <w:r w:rsidRPr="003015FD">
        <w:t>authority.</w:t>
      </w:r>
      <w:r w:rsidR="00975895" w:rsidRPr="003015FD">
        <w:t xml:space="preserve"> </w:t>
      </w:r>
      <w:r w:rsidRPr="003015FD">
        <w:t>These</w:t>
      </w:r>
      <w:r w:rsidR="00975895" w:rsidRPr="003015FD">
        <w:t xml:space="preserve"> </w:t>
      </w:r>
      <w:r w:rsidRPr="003015FD">
        <w:t>are</w:t>
      </w:r>
      <w:r w:rsidR="00975895" w:rsidRPr="003015FD">
        <w:t xml:space="preserve"> </w:t>
      </w:r>
      <w:r w:rsidRPr="003015FD">
        <w:t>an</w:t>
      </w:r>
      <w:r w:rsidR="00975895" w:rsidRPr="003015FD">
        <w:t xml:space="preserve"> </w:t>
      </w:r>
      <w:r w:rsidRPr="003015FD">
        <w:t>opportunity</w:t>
      </w:r>
      <w:r w:rsidR="00975895" w:rsidRPr="003015FD">
        <w:t xml:space="preserve"> </w:t>
      </w:r>
      <w:r w:rsidRPr="003015FD">
        <w:t>for</w:t>
      </w:r>
      <w:r w:rsidR="00975895" w:rsidRPr="003015FD">
        <w:t xml:space="preserve"> </w:t>
      </w:r>
      <w:r w:rsidRPr="003015FD">
        <w:t>each</w:t>
      </w:r>
      <w:r w:rsidR="00975895" w:rsidRPr="003015FD">
        <w:t xml:space="preserve"> </w:t>
      </w:r>
      <w:r w:rsidRPr="003015FD">
        <w:t>authority</w:t>
      </w:r>
      <w:r w:rsidR="00975895" w:rsidRPr="003015FD">
        <w:t xml:space="preserve"> </w:t>
      </w:r>
      <w:r w:rsidRPr="003015FD">
        <w:t>to</w:t>
      </w:r>
      <w:r w:rsidR="00975895" w:rsidRPr="003015FD">
        <w:t xml:space="preserve"> </w:t>
      </w:r>
      <w:r w:rsidRPr="003015FD">
        <w:t>see</w:t>
      </w:r>
      <w:r w:rsidR="00975895" w:rsidRPr="003015FD">
        <w:t xml:space="preserve"> </w:t>
      </w:r>
      <w:r w:rsidRPr="003015FD">
        <w:t>where</w:t>
      </w:r>
      <w:r w:rsidR="00975895" w:rsidRPr="003015FD">
        <w:t xml:space="preserve"> </w:t>
      </w:r>
      <w:r w:rsidRPr="003015FD">
        <w:t>their</w:t>
      </w:r>
      <w:r w:rsidR="00975895" w:rsidRPr="003015FD">
        <w:t xml:space="preserve"> </w:t>
      </w:r>
      <w:r w:rsidRPr="003015FD">
        <w:t>organisation</w:t>
      </w:r>
      <w:r w:rsidR="00975895" w:rsidRPr="003015FD">
        <w:t xml:space="preserve"> </w:t>
      </w:r>
      <w:r w:rsidRPr="003015FD">
        <w:t>sits</w:t>
      </w:r>
      <w:r w:rsidR="00975895" w:rsidRPr="003015FD">
        <w:t xml:space="preserve"> </w:t>
      </w:r>
      <w:r w:rsidRPr="003015FD">
        <w:t>overall</w:t>
      </w:r>
      <w:r w:rsidR="00975895" w:rsidRPr="003015FD">
        <w:t xml:space="preserve"> </w:t>
      </w:r>
      <w:r w:rsidRPr="003015FD">
        <w:t>in</w:t>
      </w:r>
      <w:r w:rsidR="00975895" w:rsidRPr="003015FD">
        <w:t xml:space="preserve"> </w:t>
      </w:r>
      <w:r w:rsidRPr="003015FD">
        <w:t>terms</w:t>
      </w:r>
      <w:r w:rsidR="00975895" w:rsidRPr="003015FD">
        <w:t xml:space="preserve"> </w:t>
      </w:r>
      <w:r w:rsidRPr="003015FD">
        <w:t>of</w:t>
      </w:r>
      <w:r w:rsidR="00975895" w:rsidRPr="003015FD">
        <w:t xml:space="preserve"> </w:t>
      </w:r>
      <w:r w:rsidRPr="003015FD">
        <w:t>its</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The</w:t>
      </w:r>
      <w:r w:rsidR="00975895" w:rsidRPr="003015FD">
        <w:t xml:space="preserve"> </w:t>
      </w:r>
      <w:r w:rsidRPr="003015FD">
        <w:t>report</w:t>
      </w:r>
      <w:r w:rsidR="00975895" w:rsidRPr="003015FD">
        <w:t xml:space="preserve"> </w:t>
      </w:r>
      <w:r w:rsidRPr="003015FD">
        <w:t>cards</w:t>
      </w:r>
      <w:r w:rsidR="00975895" w:rsidRPr="003015FD">
        <w:t xml:space="preserve"> </w:t>
      </w:r>
      <w:r w:rsidRPr="003015FD">
        <w:t>can</w:t>
      </w:r>
      <w:r w:rsidR="00975895" w:rsidRPr="003015FD">
        <w:t xml:space="preserve"> </w:t>
      </w:r>
      <w:r w:rsidRPr="003015FD">
        <w:t>help</w:t>
      </w:r>
      <w:r w:rsidR="00975895" w:rsidRPr="003015FD">
        <w:t xml:space="preserve"> </w:t>
      </w:r>
      <w:r w:rsidRPr="003015FD">
        <w:t>identify</w:t>
      </w:r>
      <w:r w:rsidR="00975895" w:rsidRPr="003015FD">
        <w:t xml:space="preserve"> </w:t>
      </w:r>
      <w:r w:rsidRPr="003015FD">
        <w:t>areas</w:t>
      </w:r>
      <w:r w:rsidR="00975895" w:rsidRPr="003015FD">
        <w:t xml:space="preserve"> </w:t>
      </w:r>
      <w:r w:rsidRPr="003015FD">
        <w:t>where</w:t>
      </w:r>
      <w:r w:rsidR="00975895" w:rsidRPr="003015FD">
        <w:t xml:space="preserve"> </w:t>
      </w:r>
      <w:r w:rsidRPr="003015FD">
        <w:t>their</w:t>
      </w:r>
      <w:r w:rsidR="00975895" w:rsidRPr="003015FD">
        <w:t xml:space="preserve"> </w:t>
      </w:r>
      <w:r w:rsidRPr="003015FD">
        <w:t>organisation</w:t>
      </w:r>
      <w:r w:rsidR="00975895" w:rsidRPr="003015FD">
        <w:t xml:space="preserve"> </w:t>
      </w:r>
      <w:r w:rsidRPr="003015FD">
        <w:t>is</w:t>
      </w:r>
      <w:r w:rsidR="00975895" w:rsidRPr="003015FD">
        <w:t xml:space="preserve"> </w:t>
      </w:r>
      <w:r w:rsidRPr="003015FD">
        <w:t>performing</w:t>
      </w:r>
      <w:r w:rsidR="00975895" w:rsidRPr="003015FD">
        <w:t xml:space="preserve"> </w:t>
      </w:r>
      <w:r w:rsidRPr="003015FD">
        <w:t>strongly</w:t>
      </w:r>
      <w:r w:rsidR="00975895" w:rsidRPr="003015FD">
        <w:t xml:space="preserve"> </w:t>
      </w:r>
      <w:r w:rsidRPr="003015FD">
        <w:t>and</w:t>
      </w:r>
      <w:r w:rsidR="00975895" w:rsidRPr="003015FD">
        <w:t xml:space="preserve"> </w:t>
      </w:r>
      <w:r w:rsidRPr="003015FD">
        <w:t>where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can</w:t>
      </w:r>
      <w:r w:rsidR="00975895" w:rsidRPr="003015FD">
        <w:t xml:space="preserve"> </w:t>
      </w:r>
      <w:r w:rsidRPr="003015FD">
        <w:t>be</w:t>
      </w:r>
      <w:r w:rsidR="00975895" w:rsidRPr="003015FD">
        <w:t xml:space="preserve"> </w:t>
      </w:r>
      <w:r w:rsidRPr="003015FD">
        <w:t>improved.</w:t>
      </w:r>
    </w:p>
    <w:p w14:paraId="27D5C7BF" w14:textId="3C5B6E73" w:rsidR="008E0945" w:rsidRPr="003015FD" w:rsidRDefault="008E0945" w:rsidP="003A3F4F">
      <w:r w:rsidRPr="003015FD">
        <w:t>All</w:t>
      </w:r>
      <w:r w:rsidR="00975895" w:rsidRPr="003015FD">
        <w:t xml:space="preserve"> </w:t>
      </w:r>
      <w:r w:rsidRPr="003015FD">
        <w:t>survey</w:t>
      </w:r>
      <w:r w:rsidR="00975895" w:rsidRPr="003015FD">
        <w:t xml:space="preserve"> </w:t>
      </w:r>
      <w:r w:rsidRPr="003015FD">
        <w:t>responses</w:t>
      </w:r>
      <w:r w:rsidR="00975895" w:rsidRPr="003015FD">
        <w:t xml:space="preserve"> </w:t>
      </w:r>
      <w:r w:rsidRPr="003015FD">
        <w:t>relate</w:t>
      </w:r>
      <w:r w:rsidR="00975895" w:rsidRPr="003015FD">
        <w:t xml:space="preserve"> </w:t>
      </w:r>
      <w:r w:rsidRPr="003015FD">
        <w:t>to</w:t>
      </w:r>
      <w:r w:rsidR="00975895" w:rsidRPr="003015FD">
        <w:t xml:space="preserve"> </w:t>
      </w:r>
      <w:r w:rsidRPr="003015FD">
        <w:t>the</w:t>
      </w:r>
      <w:r w:rsidR="00975895" w:rsidRPr="003015FD">
        <w:t xml:space="preserve"> </w:t>
      </w:r>
      <w:r w:rsidRPr="003015FD">
        <w:t>2018</w:t>
      </w:r>
      <w:r w:rsidR="00975895" w:rsidRPr="003015FD">
        <w:t xml:space="preserve"> </w:t>
      </w:r>
      <w:r w:rsidRPr="003015FD">
        <w:t>calendar</w:t>
      </w:r>
      <w:r w:rsidR="00975895" w:rsidRPr="003015FD">
        <w:t xml:space="preserve"> </w:t>
      </w:r>
      <w:r w:rsidRPr="003015FD">
        <w:t>year.</w:t>
      </w:r>
      <w:r w:rsidR="00975895" w:rsidRPr="003015FD">
        <w:t xml:space="preserve"> </w:t>
      </w:r>
    </w:p>
    <w:p w14:paraId="4F5CA79B" w14:textId="06060295" w:rsidR="008E0945" w:rsidRPr="003015FD" w:rsidRDefault="004A60C5" w:rsidP="003A3F4F">
      <w:pPr>
        <w:pStyle w:val="Heading3"/>
      </w:pPr>
      <w:bookmarkStart w:id="56" w:name="_Toc15045106"/>
      <w:r w:rsidRPr="003015FD">
        <w:t>2.6.2</w:t>
      </w:r>
      <w:r w:rsidRPr="003015FD">
        <w:tab/>
      </w:r>
      <w:r w:rsidR="008E0945" w:rsidRPr="003015FD">
        <w:t>Limitations</w:t>
      </w:r>
      <w:r w:rsidR="00975895" w:rsidRPr="003015FD">
        <w:t xml:space="preserve"> </w:t>
      </w:r>
      <w:r w:rsidR="007841A2" w:rsidRPr="003015FD">
        <w:t>of</w:t>
      </w:r>
      <w:r w:rsidR="00975895" w:rsidRPr="003015FD">
        <w:t xml:space="preserve"> </w:t>
      </w:r>
      <w:r w:rsidR="007841A2" w:rsidRPr="003015FD">
        <w:t>the</w:t>
      </w:r>
      <w:r w:rsidR="00975895" w:rsidRPr="003015FD">
        <w:t xml:space="preserve"> </w:t>
      </w:r>
      <w:r w:rsidR="007841A2" w:rsidRPr="003015FD">
        <w:t>framework</w:t>
      </w:r>
      <w:r w:rsidR="00975895" w:rsidRPr="003015FD">
        <w:t xml:space="preserve"> </w:t>
      </w:r>
      <w:r w:rsidR="007841A2" w:rsidRPr="003015FD">
        <w:t>and</w:t>
      </w:r>
      <w:r w:rsidR="00975895" w:rsidRPr="003015FD">
        <w:t xml:space="preserve"> </w:t>
      </w:r>
      <w:r w:rsidR="007841A2" w:rsidRPr="003015FD">
        <w:t>survey</w:t>
      </w:r>
      <w:bookmarkEnd w:id="56"/>
    </w:p>
    <w:p w14:paraId="3096BF26" w14:textId="33C872E5" w:rsidR="008E0945" w:rsidRPr="003015FD" w:rsidRDefault="008E0945" w:rsidP="003A3F4F">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is</w:t>
      </w:r>
      <w:r w:rsidR="00975895" w:rsidRPr="003015FD">
        <w:t xml:space="preserve"> </w:t>
      </w:r>
      <w:r w:rsidRPr="003015FD">
        <w:t>difficult</w:t>
      </w:r>
      <w:r w:rsidR="00975895" w:rsidRPr="003015FD">
        <w:t xml:space="preserve"> </w:t>
      </w:r>
      <w:r w:rsidRPr="003015FD">
        <w:t>to</w:t>
      </w:r>
      <w:r w:rsidR="00975895" w:rsidRPr="003015FD">
        <w:t xml:space="preserve"> </w:t>
      </w:r>
      <w:r w:rsidRPr="003015FD">
        <w:t>measure.</w:t>
      </w:r>
      <w:r w:rsidR="00975895" w:rsidRPr="003015FD">
        <w:t xml:space="preserve"> </w:t>
      </w:r>
      <w:r w:rsidRPr="003015FD">
        <w:t>The</w:t>
      </w:r>
      <w:r w:rsidR="00975895" w:rsidRPr="003015FD">
        <w:t xml:space="preserve"> </w:t>
      </w:r>
      <w:r w:rsidRPr="003015FD">
        <w:t>indicator</w:t>
      </w:r>
      <w:r w:rsidR="00975895" w:rsidRPr="003015FD">
        <w:t xml:space="preserve"> </w:t>
      </w:r>
      <w:r w:rsidRPr="003015FD">
        <w:t>framework</w:t>
      </w:r>
      <w:r w:rsidR="00975895" w:rsidRPr="003015FD">
        <w:t xml:space="preserve"> </w:t>
      </w:r>
      <w:r w:rsidRPr="003015FD">
        <w:t>is</w:t>
      </w:r>
      <w:r w:rsidR="00975895" w:rsidRPr="003015FD">
        <w:t xml:space="preserve"> </w:t>
      </w:r>
      <w:r w:rsidR="00F35E83" w:rsidRPr="003015FD">
        <w:t>one</w:t>
      </w:r>
      <w:r w:rsidR="00975895" w:rsidRPr="003015FD">
        <w:t xml:space="preserve"> </w:t>
      </w:r>
      <w:r w:rsidR="00F35E83" w:rsidRPr="003015FD">
        <w:t>way</w:t>
      </w:r>
      <w:r w:rsidR="00975895" w:rsidRPr="003015FD">
        <w:t xml:space="preserve"> </w:t>
      </w:r>
      <w:r w:rsidR="003A273A">
        <w:t>of</w:t>
      </w:r>
      <w:r w:rsidR="003A273A" w:rsidRPr="003015FD">
        <w:t xml:space="preserve"> </w:t>
      </w:r>
      <w:r w:rsidRPr="003015FD">
        <w:t>moving</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along</w:t>
      </w:r>
      <w:r w:rsidR="00975895" w:rsidRPr="003015FD">
        <w:t xml:space="preserve"> </w:t>
      </w:r>
      <w:r w:rsidRPr="003015FD">
        <w:t>their</w:t>
      </w:r>
      <w:r w:rsidR="00975895" w:rsidRPr="003015FD">
        <w:t xml:space="preserve"> </w:t>
      </w:r>
      <w:r w:rsidRPr="003015FD">
        <w:t>journey</w:t>
      </w:r>
      <w:r w:rsidR="00975895" w:rsidRPr="003015FD">
        <w:t xml:space="preserve"> </w:t>
      </w:r>
      <w:r w:rsidRPr="003015FD">
        <w:t>to</w:t>
      </w:r>
      <w:r w:rsidR="00975895" w:rsidRPr="003015FD">
        <w:t xml:space="preserve"> </w:t>
      </w:r>
      <w:r w:rsidRPr="003015FD">
        <w:t>embed</w:t>
      </w:r>
      <w:r w:rsidR="00975895" w:rsidRPr="003015FD">
        <w:t xml:space="preserve"> </w:t>
      </w:r>
      <w:r w:rsidRPr="003015FD">
        <w:t>a</w:t>
      </w:r>
      <w:r w:rsidR="00975895" w:rsidRPr="003015FD">
        <w:t xml:space="preserve"> </w:t>
      </w:r>
      <w:r w:rsidRPr="003015FD">
        <w:t>culture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seeks</w:t>
      </w:r>
      <w:r w:rsidR="00975895" w:rsidRPr="003015FD">
        <w:t xml:space="preserve"> </w:t>
      </w:r>
      <w:r w:rsidRPr="003015FD">
        <w:t>to</w:t>
      </w:r>
      <w:r w:rsidR="00975895" w:rsidRPr="003015FD">
        <w:t xml:space="preserve"> </w:t>
      </w:r>
      <w:r w:rsidRPr="003015FD">
        <w:t>deliver</w:t>
      </w:r>
      <w:r w:rsidR="00975895" w:rsidRPr="003015FD">
        <w:t xml:space="preserve"> </w:t>
      </w:r>
      <w:r w:rsidRPr="003015FD">
        <w:t>the</w:t>
      </w:r>
      <w:r w:rsidR="00975895" w:rsidRPr="003015FD">
        <w:t xml:space="preserve"> </w:t>
      </w:r>
      <w:r w:rsidRPr="003015FD">
        <w:t>most</w:t>
      </w:r>
      <w:r w:rsidR="00975895" w:rsidRPr="003015FD">
        <w:t xml:space="preserve"> </w:t>
      </w:r>
      <w:r w:rsidRPr="003015FD">
        <w:t>accurate</w:t>
      </w:r>
      <w:r w:rsidR="00975895" w:rsidRPr="003015FD">
        <w:t xml:space="preserve"> </w:t>
      </w:r>
      <w:r w:rsidRPr="003015FD">
        <w:t>framework</w:t>
      </w:r>
      <w:r w:rsidR="00975895" w:rsidRPr="003015FD">
        <w:t xml:space="preserve"> </w:t>
      </w:r>
      <w:r w:rsidRPr="003015FD">
        <w:t>possible</w:t>
      </w:r>
      <w:r w:rsidR="00975895" w:rsidRPr="003015FD">
        <w:t xml:space="preserve"> </w:t>
      </w:r>
      <w:r w:rsidRPr="003015FD">
        <w:t>for</w:t>
      </w:r>
      <w:r w:rsidR="00975895" w:rsidRPr="003015FD">
        <w:t xml:space="preserve"> </w:t>
      </w:r>
      <w:r w:rsidRPr="003015FD">
        <w:t>tracking</w:t>
      </w:r>
      <w:r w:rsidR="00975895" w:rsidRPr="003015FD">
        <w:t xml:space="preserve"> </w:t>
      </w:r>
      <w:r w:rsidRPr="003015FD">
        <w:t>improvement</w:t>
      </w:r>
      <w:r w:rsidR="00975895" w:rsidRPr="003015FD">
        <w:t xml:space="preserve"> </w:t>
      </w:r>
      <w:r w:rsidRPr="003015FD">
        <w:t>in</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based</w:t>
      </w:r>
      <w:r w:rsidR="00975895" w:rsidRPr="003015FD">
        <w:t xml:space="preserve"> </w:t>
      </w:r>
      <w:r w:rsidRPr="003015FD">
        <w:t>on</w:t>
      </w:r>
      <w:r w:rsidR="00975895" w:rsidRPr="003015FD">
        <w:t xml:space="preserve"> </w:t>
      </w:r>
      <w:r w:rsidRPr="003015FD">
        <w:t>our</w:t>
      </w:r>
      <w:r w:rsidR="00975895" w:rsidRPr="003015FD">
        <w:t xml:space="preserve"> </w:t>
      </w:r>
      <w:r w:rsidRPr="003015FD">
        <w:t>expertise,</w:t>
      </w:r>
      <w:r w:rsidR="00975895" w:rsidRPr="003015FD">
        <w:t xml:space="preserve"> </w:t>
      </w:r>
      <w:r w:rsidRPr="003015FD">
        <w:t>research</w:t>
      </w:r>
      <w:r w:rsidR="00975895" w:rsidRPr="003015FD">
        <w:t xml:space="preserve"> </w:t>
      </w:r>
      <w:r w:rsidRPr="003015FD">
        <w:t>and</w:t>
      </w:r>
      <w:r w:rsidR="00975895" w:rsidRPr="003015FD">
        <w:t xml:space="preserve"> </w:t>
      </w:r>
      <w:r w:rsidRPr="003015FD">
        <w:t>consultation.</w:t>
      </w:r>
      <w:r w:rsidR="00975895" w:rsidRPr="003015FD">
        <w:t xml:space="preserve"> </w:t>
      </w:r>
      <w:r w:rsidRPr="003015FD">
        <w:t>However,</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acknowledges</w:t>
      </w:r>
      <w:r w:rsidR="00975895" w:rsidRPr="003015FD">
        <w:t xml:space="preserve"> </w:t>
      </w:r>
      <w:r w:rsidRPr="003015FD">
        <w:t>that</w:t>
      </w:r>
      <w:r w:rsidR="00975895" w:rsidRPr="003015FD">
        <w:t xml:space="preserve"> </w:t>
      </w:r>
      <w:r w:rsidRPr="003015FD">
        <w:t>the</w:t>
      </w:r>
      <w:r w:rsidR="00975895" w:rsidRPr="003015FD">
        <w:t xml:space="preserve"> </w:t>
      </w:r>
      <w:r w:rsidRPr="003015FD">
        <w:t>indicator</w:t>
      </w:r>
      <w:r w:rsidR="00975895" w:rsidRPr="003015FD">
        <w:t xml:space="preserve"> </w:t>
      </w:r>
      <w:r w:rsidRPr="003015FD">
        <w:t>framework</w:t>
      </w:r>
      <w:r w:rsidR="00975895" w:rsidRPr="003015FD">
        <w:t xml:space="preserve"> </w:t>
      </w:r>
      <w:r w:rsidRPr="003015FD">
        <w:t>may</w:t>
      </w:r>
      <w:r w:rsidR="00975895" w:rsidRPr="003015FD">
        <w:t xml:space="preserve"> </w:t>
      </w:r>
      <w:r w:rsidRPr="003015FD">
        <w:t>evolve</w:t>
      </w:r>
      <w:r w:rsidR="00975895" w:rsidRPr="003015FD">
        <w:t xml:space="preserve"> </w:t>
      </w:r>
      <w:r w:rsidRPr="003015FD">
        <w:t>over</w:t>
      </w:r>
      <w:r w:rsidR="00975895" w:rsidRPr="003015FD">
        <w:t xml:space="preserve"> </w:t>
      </w:r>
      <w:r w:rsidRPr="003015FD">
        <w:t>time</w:t>
      </w:r>
      <w:r w:rsidR="00975895" w:rsidRPr="003015FD">
        <w:t xml:space="preserve"> </w:t>
      </w:r>
      <w:r w:rsidRPr="003015FD">
        <w:t>as</w:t>
      </w:r>
      <w:r w:rsidR="00975895" w:rsidRPr="003015FD">
        <w:t xml:space="preserve"> </w:t>
      </w:r>
      <w:r w:rsidRPr="003015FD">
        <w:t>we</w:t>
      </w:r>
      <w:r w:rsidR="00975895" w:rsidRPr="003015FD">
        <w:t xml:space="preserve"> </w:t>
      </w:r>
      <w:r w:rsidRPr="003015FD">
        <w:t>evaluate</w:t>
      </w:r>
      <w:r w:rsidR="00975895" w:rsidRPr="003015FD">
        <w:t xml:space="preserve"> </w:t>
      </w:r>
      <w:r w:rsidRPr="003015FD">
        <w:t>and</w:t>
      </w:r>
      <w:r w:rsidR="00975895" w:rsidRPr="003015FD">
        <w:t xml:space="preserve"> </w:t>
      </w:r>
      <w:r w:rsidRPr="003015FD">
        <w:t>refine</w:t>
      </w:r>
      <w:r w:rsidR="00975895" w:rsidRPr="003015FD">
        <w:t xml:space="preserve"> </w:t>
      </w:r>
      <w:r w:rsidRPr="003015FD">
        <w:t>it</w:t>
      </w:r>
      <w:r w:rsidR="00975895" w:rsidRPr="003015FD">
        <w:t xml:space="preserve"> </w:t>
      </w:r>
      <w:r w:rsidRPr="003015FD">
        <w:t>based</w:t>
      </w:r>
      <w:r w:rsidR="00975895" w:rsidRPr="003015FD">
        <w:t xml:space="preserve"> </w:t>
      </w:r>
      <w:r w:rsidRPr="003015FD">
        <w:t>on</w:t>
      </w:r>
      <w:r w:rsidR="00975895" w:rsidRPr="003015FD">
        <w:t xml:space="preserve"> </w:t>
      </w:r>
      <w:r w:rsidRPr="003015FD">
        <w:t>learnings</w:t>
      </w:r>
      <w:r w:rsidR="00975895" w:rsidRPr="003015FD">
        <w:t xml:space="preserve"> </w:t>
      </w:r>
      <w:r w:rsidRPr="003015FD">
        <w:t>and</w:t>
      </w:r>
      <w:r w:rsidR="00975895" w:rsidRPr="003015FD">
        <w:t xml:space="preserve"> </w:t>
      </w:r>
      <w:r w:rsidRPr="003015FD">
        <w:t>practice.</w:t>
      </w:r>
      <w:r w:rsidR="00975895" w:rsidRPr="003015FD">
        <w:t xml:space="preserve"> </w:t>
      </w:r>
    </w:p>
    <w:p w14:paraId="222FE67B" w14:textId="26D710A9" w:rsidR="008E0945" w:rsidRPr="003015FD" w:rsidRDefault="008E0945" w:rsidP="003A3F4F">
      <w:r w:rsidRPr="003015FD">
        <w:t>The</w:t>
      </w:r>
      <w:r w:rsidR="00975895" w:rsidRPr="003015FD">
        <w:t xml:space="preserve"> </w:t>
      </w:r>
      <w:r w:rsidRPr="003015FD">
        <w:t>Commission</w:t>
      </w:r>
      <w:r w:rsidR="00975895" w:rsidRPr="003015FD">
        <w:t xml:space="preserve"> </w:t>
      </w:r>
      <w:r w:rsidRPr="003015FD">
        <w:t>also</w:t>
      </w:r>
      <w:r w:rsidR="00975895" w:rsidRPr="003015FD">
        <w:t xml:space="preserve"> </w:t>
      </w:r>
      <w:r w:rsidRPr="003015FD">
        <w:t>notes</w:t>
      </w:r>
      <w:r w:rsidR="00975895" w:rsidRPr="003015FD">
        <w:t xml:space="preserve"> </w:t>
      </w:r>
      <w:r w:rsidRPr="003015FD">
        <w:t>that</w:t>
      </w:r>
      <w:r w:rsidR="00975895" w:rsidRPr="003015FD">
        <w:t xml:space="preserve"> </w:t>
      </w:r>
      <w:r w:rsidRPr="003015FD">
        <w:t>while</w:t>
      </w:r>
      <w:r w:rsidR="00975895" w:rsidRPr="003015FD">
        <w:t xml:space="preserve"> </w:t>
      </w:r>
      <w:r w:rsidRPr="003015FD">
        <w:t>the</w:t>
      </w:r>
      <w:r w:rsidR="00975895" w:rsidRPr="003015FD">
        <w:t xml:space="preserve"> </w:t>
      </w:r>
      <w:r w:rsidRPr="003015FD">
        <w:t>results</w:t>
      </w:r>
      <w:r w:rsidR="00975895" w:rsidRPr="003015FD">
        <w:t xml:space="preserve"> </w:t>
      </w:r>
      <w:r w:rsidRPr="003015FD">
        <w:t>in</w:t>
      </w:r>
      <w:r w:rsidR="00975895" w:rsidRPr="003015FD">
        <w:t xml:space="preserve"> </w:t>
      </w:r>
      <w:r w:rsidRPr="003015FD">
        <w:t>this</w:t>
      </w:r>
      <w:r w:rsidR="00975895" w:rsidRPr="003015FD">
        <w:t xml:space="preserve"> </w:t>
      </w:r>
      <w:r w:rsidRPr="003015FD">
        <w:t>report</w:t>
      </w:r>
      <w:r w:rsidR="00975895" w:rsidRPr="003015FD">
        <w:t xml:space="preserve"> </w:t>
      </w:r>
      <w:r w:rsidRPr="003015FD">
        <w:t>are</w:t>
      </w:r>
      <w:r w:rsidR="00975895" w:rsidRPr="003015FD">
        <w:t xml:space="preserve"> </w:t>
      </w:r>
      <w:r w:rsidRPr="003015FD">
        <w:t>drawn</w:t>
      </w:r>
      <w:r w:rsidR="00975895" w:rsidRPr="003015FD">
        <w:t xml:space="preserve"> </w:t>
      </w:r>
      <w:r w:rsidRPr="003015FD">
        <w:t>from</w:t>
      </w:r>
      <w:r w:rsidR="00975895" w:rsidRPr="003015FD">
        <w:t xml:space="preserve"> </w:t>
      </w:r>
      <w:r w:rsidRPr="003015FD">
        <w:t>a</w:t>
      </w:r>
      <w:r w:rsidR="00975895" w:rsidRPr="003015FD">
        <w:t xml:space="preserve"> </w:t>
      </w:r>
      <w:r w:rsidRPr="003015FD">
        <w:t>variety</w:t>
      </w:r>
      <w:r w:rsidR="00975895" w:rsidRPr="003015FD">
        <w:t xml:space="preserve"> </w:t>
      </w:r>
      <w:r w:rsidRPr="003015FD">
        <w:t>of</w:t>
      </w:r>
      <w:r w:rsidR="00975895" w:rsidRPr="003015FD">
        <w:t xml:space="preserve"> </w:t>
      </w:r>
      <w:r w:rsidRPr="003015FD">
        <w:t>sources,</w:t>
      </w:r>
      <w:r w:rsidR="00975895" w:rsidRPr="003015FD">
        <w:t xml:space="preserve"> </w:t>
      </w:r>
      <w:r w:rsidRPr="003015FD">
        <w:t>a</w:t>
      </w:r>
      <w:r w:rsidR="00975895" w:rsidRPr="003015FD">
        <w:t xml:space="preserve"> </w:t>
      </w:r>
      <w:r w:rsidRPr="003015FD">
        <w:t>key</w:t>
      </w:r>
      <w:r w:rsidR="00975895" w:rsidRPr="003015FD">
        <w:t xml:space="preserve"> </w:t>
      </w:r>
      <w:r w:rsidRPr="003015FD">
        <w:t>data</w:t>
      </w:r>
      <w:r w:rsidR="00975895" w:rsidRPr="003015FD">
        <w:t xml:space="preserve"> </w:t>
      </w:r>
      <w:r w:rsidRPr="003015FD">
        <w:t>source</w:t>
      </w:r>
      <w:r w:rsidR="00975895" w:rsidRPr="003015FD">
        <w:t xml:space="preserve"> </w:t>
      </w:r>
      <w:r w:rsidRPr="003015FD">
        <w:t>measured</w:t>
      </w:r>
      <w:r w:rsidR="00975895" w:rsidRPr="003015FD">
        <w:t xml:space="preserve"> </w:t>
      </w:r>
      <w:r w:rsidRPr="003015FD">
        <w:t>against</w:t>
      </w:r>
      <w:r w:rsidR="00975895" w:rsidRPr="003015FD">
        <w:t xml:space="preserve"> </w:t>
      </w:r>
      <w:r w:rsidRPr="003015FD">
        <w:t>the</w:t>
      </w:r>
      <w:r w:rsidR="00975895" w:rsidRPr="003015FD">
        <w:t xml:space="preserve"> </w:t>
      </w:r>
      <w:r w:rsidRPr="003015FD">
        <w:t>indicator</w:t>
      </w:r>
      <w:r w:rsidR="00975895" w:rsidRPr="003015FD">
        <w:t xml:space="preserve"> </w:t>
      </w:r>
      <w:r w:rsidRPr="003015FD">
        <w:t>framework</w:t>
      </w:r>
      <w:r w:rsidR="00975895" w:rsidRPr="003015FD">
        <w:t xml:space="preserve"> </w:t>
      </w:r>
      <w:r w:rsidRPr="003015FD">
        <w:t>this</w:t>
      </w:r>
      <w:r w:rsidR="00975895" w:rsidRPr="003015FD">
        <w:t xml:space="preserve"> </w:t>
      </w:r>
      <w:r w:rsidRPr="003015FD">
        <w:t>year</w:t>
      </w:r>
      <w:r w:rsidR="00975895" w:rsidRPr="003015FD">
        <w:t xml:space="preserve"> </w:t>
      </w:r>
      <w:r w:rsidRPr="003015FD">
        <w:t>was</w:t>
      </w:r>
      <w:r w:rsidR="00975895" w:rsidRPr="003015FD">
        <w:t xml:space="preserve"> </w:t>
      </w:r>
      <w:r w:rsidRPr="003015FD">
        <w:t>the</w:t>
      </w:r>
      <w:r w:rsidR="00975895" w:rsidRPr="003015FD">
        <w:t xml:space="preserve"> </w:t>
      </w:r>
      <w:r w:rsidRPr="003015FD">
        <w:t>survey</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Relevantly,</w:t>
      </w:r>
      <w:r w:rsidR="00975895" w:rsidRPr="003015FD">
        <w:t xml:space="preserve"> </w:t>
      </w:r>
      <w:r w:rsidRPr="003015FD">
        <w:t>this</w:t>
      </w:r>
      <w:r w:rsidR="00975895" w:rsidRPr="003015FD">
        <w:t xml:space="preserve"> </w:t>
      </w:r>
      <w:r w:rsidRPr="003015FD">
        <w:t>year,</w:t>
      </w:r>
      <w:r w:rsidR="00975895" w:rsidRPr="003015FD">
        <w:t xml:space="preserve"> </w:t>
      </w:r>
      <w:r w:rsidRPr="003015FD">
        <w:t>being</w:t>
      </w:r>
      <w:r w:rsidR="00975895" w:rsidRPr="003015FD">
        <w:t xml:space="preserve"> </w:t>
      </w:r>
      <w:r w:rsidRPr="003015FD">
        <w:t>the</w:t>
      </w:r>
      <w:r w:rsidR="00975895" w:rsidRPr="003015FD">
        <w:t xml:space="preserve"> </w:t>
      </w:r>
      <w:r w:rsidRPr="003015FD">
        <w:t>first</w:t>
      </w:r>
      <w:r w:rsidR="00975895" w:rsidRPr="003015FD">
        <w:t xml:space="preserve"> </w:t>
      </w:r>
      <w:r w:rsidRPr="003015FD">
        <w:t>year</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has</w:t>
      </w:r>
      <w:r w:rsidR="00975895" w:rsidRPr="003015FD">
        <w:t xml:space="preserve"> </w:t>
      </w:r>
      <w:r w:rsidRPr="003015FD">
        <w:t>run</w:t>
      </w:r>
      <w:r w:rsidR="00975895" w:rsidRPr="003015FD">
        <w:t xml:space="preserve"> </w:t>
      </w:r>
      <w:r w:rsidRPr="003015FD">
        <w:t>the</w:t>
      </w:r>
      <w:r w:rsidR="00975895" w:rsidRPr="003015FD">
        <w:t xml:space="preserve"> </w:t>
      </w:r>
      <w:r w:rsidRPr="003015FD">
        <w:t>survey,</w:t>
      </w:r>
      <w:r w:rsidR="00975895" w:rsidRPr="003015FD">
        <w:t xml:space="preserve"> </w:t>
      </w:r>
      <w:r w:rsidRPr="003015FD">
        <w:t>several</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did</w:t>
      </w:r>
      <w:r w:rsidR="00975895" w:rsidRPr="003015FD">
        <w:t xml:space="preserve"> </w:t>
      </w:r>
      <w:r w:rsidRPr="003015FD">
        <w:t>not</w:t>
      </w:r>
      <w:r w:rsidR="00975895" w:rsidRPr="003015FD">
        <w:t xml:space="preserve"> </w:t>
      </w:r>
      <w:r w:rsidRPr="003015FD">
        <w:t>have</w:t>
      </w:r>
      <w:r w:rsidR="00975895" w:rsidRPr="003015FD">
        <w:t xml:space="preserve"> </w:t>
      </w:r>
      <w:r w:rsidRPr="003015FD">
        <w:t>systems</w:t>
      </w:r>
      <w:r w:rsidR="00975895" w:rsidRPr="003015FD">
        <w:t xml:space="preserve"> </w:t>
      </w:r>
      <w:r w:rsidRPr="003015FD">
        <w:t>set</w:t>
      </w:r>
      <w:r w:rsidR="00975895" w:rsidRPr="003015FD">
        <w:t xml:space="preserve"> </w:t>
      </w:r>
      <w:r w:rsidRPr="003015FD">
        <w:t>up</w:t>
      </w:r>
      <w:r w:rsidR="00975895" w:rsidRPr="003015FD">
        <w:t xml:space="preserve"> </w:t>
      </w:r>
      <w:r w:rsidRPr="003015FD">
        <w:t>to</w:t>
      </w:r>
      <w:r w:rsidR="00975895" w:rsidRPr="003015FD">
        <w:t xml:space="preserve"> </w:t>
      </w:r>
      <w:r w:rsidR="003A273A" w:rsidRPr="003015FD">
        <w:t xml:space="preserve">reliably </w:t>
      </w:r>
      <w:r w:rsidR="00F35E83" w:rsidRPr="003015FD">
        <w:t>respond</w:t>
      </w:r>
      <w:r w:rsidR="00975895" w:rsidRPr="003015FD">
        <w:t xml:space="preserve"> </w:t>
      </w:r>
      <w:r w:rsidRPr="003015FD">
        <w:t>and</w:t>
      </w:r>
      <w:r w:rsidR="00975895" w:rsidRPr="003015FD">
        <w:t xml:space="preserve"> </w:t>
      </w:r>
      <w:r w:rsidRPr="003015FD">
        <w:t>accurately</w:t>
      </w:r>
      <w:r w:rsidR="00975895" w:rsidRPr="003015FD">
        <w:t xml:space="preserve"> </w:t>
      </w:r>
      <w:r w:rsidRPr="003015FD">
        <w:t>collect</w:t>
      </w:r>
      <w:r w:rsidR="00975895" w:rsidRPr="003015FD">
        <w:t xml:space="preserve"> </w:t>
      </w:r>
      <w:r w:rsidRPr="003015FD">
        <w:t>each</w:t>
      </w:r>
      <w:r w:rsidR="00975895" w:rsidRPr="003015FD">
        <w:t xml:space="preserve"> </w:t>
      </w:r>
      <w:r w:rsidRPr="003015FD">
        <w:t>data</w:t>
      </w:r>
      <w:r w:rsidR="00975895" w:rsidRPr="003015FD">
        <w:t xml:space="preserve"> </w:t>
      </w:r>
      <w:r w:rsidRPr="003015FD">
        <w:t>source</w:t>
      </w:r>
      <w:r w:rsidR="00975895" w:rsidRPr="003015FD">
        <w:t xml:space="preserve"> </w:t>
      </w:r>
      <w:r w:rsidRPr="003015FD">
        <w:t>requested</w:t>
      </w:r>
      <w:r w:rsidR="00975895" w:rsidRPr="003015FD">
        <w:t xml:space="preserve"> </w:t>
      </w:r>
      <w:r w:rsidRPr="003015FD">
        <w:t>by</w:t>
      </w:r>
      <w:r w:rsidR="00975895" w:rsidRPr="003015FD">
        <w:t xml:space="preserve"> </w:t>
      </w:r>
      <w:r w:rsidRPr="003015FD">
        <w:t>the</w:t>
      </w:r>
      <w:r w:rsidR="00975895" w:rsidRPr="003015FD">
        <w:t xml:space="preserve"> </w:t>
      </w:r>
      <w:r w:rsidRPr="003015FD">
        <w:t>Commission.</w:t>
      </w:r>
      <w:r w:rsidR="00975895" w:rsidRPr="003015FD">
        <w:t xml:space="preserve"> </w:t>
      </w:r>
      <w:r w:rsidR="00047136">
        <w:t>The piloted p</w:t>
      </w:r>
      <w:r w:rsidR="00D34DB4" w:rsidRPr="003015FD">
        <w:t>ublic</w:t>
      </w:r>
      <w:r w:rsidR="00975895" w:rsidRPr="003015FD">
        <w:t xml:space="preserve"> </w:t>
      </w:r>
      <w:r w:rsidR="00D34DB4" w:rsidRPr="003015FD">
        <w:t>authorities</w:t>
      </w:r>
      <w:r w:rsidR="00975895" w:rsidRPr="003015FD">
        <w:t xml:space="preserve"> </w:t>
      </w:r>
      <w:r w:rsidR="00D34DB4" w:rsidRPr="003015FD">
        <w:t>are</w:t>
      </w:r>
      <w:r w:rsidR="00975895" w:rsidRPr="003015FD">
        <w:t xml:space="preserve"> </w:t>
      </w:r>
      <w:r w:rsidR="00D34DB4" w:rsidRPr="003015FD">
        <w:t>now</w:t>
      </w:r>
      <w:r w:rsidR="00975895" w:rsidRPr="003015FD">
        <w:t xml:space="preserve"> </w:t>
      </w:r>
      <w:r w:rsidR="00D34DB4" w:rsidRPr="003015FD">
        <w:t>aware</w:t>
      </w:r>
      <w:r w:rsidR="00975895" w:rsidRPr="003015FD">
        <w:t xml:space="preserve"> </w:t>
      </w:r>
      <w:r w:rsidR="00D34DB4" w:rsidRPr="003015FD">
        <w:t>of</w:t>
      </w:r>
      <w:r w:rsidR="00975895" w:rsidRPr="003015FD">
        <w:t xml:space="preserve"> </w:t>
      </w:r>
      <w:r w:rsidR="00D34DB4" w:rsidRPr="003015FD">
        <w:t>the</w:t>
      </w:r>
      <w:r w:rsidR="00975895" w:rsidRPr="003015FD">
        <w:t xml:space="preserve"> </w:t>
      </w:r>
      <w:r w:rsidR="00D34DB4" w:rsidRPr="003015FD">
        <w:t>types</w:t>
      </w:r>
      <w:r w:rsidR="00975895" w:rsidRPr="003015FD">
        <w:t xml:space="preserve"> </w:t>
      </w:r>
      <w:r w:rsidR="00D34DB4" w:rsidRPr="003015FD">
        <w:t>of</w:t>
      </w:r>
      <w:r w:rsidR="00975895" w:rsidRPr="003015FD">
        <w:t xml:space="preserve"> </w:t>
      </w:r>
      <w:r w:rsidR="00D34DB4" w:rsidRPr="003015FD">
        <w:t>data</w:t>
      </w:r>
      <w:r w:rsidR="00975895" w:rsidRPr="003015FD">
        <w:t xml:space="preserve"> </w:t>
      </w:r>
      <w:r w:rsidR="00D34DB4" w:rsidRPr="003015FD">
        <w:t>we</w:t>
      </w:r>
      <w:r w:rsidR="00975895" w:rsidRPr="003015FD">
        <w:t xml:space="preserve"> </w:t>
      </w:r>
      <w:r w:rsidR="00D34DB4" w:rsidRPr="003015FD">
        <w:t>expect</w:t>
      </w:r>
      <w:r w:rsidR="00975895" w:rsidRPr="003015FD">
        <w:t xml:space="preserve"> </w:t>
      </w:r>
      <w:r w:rsidR="00D34DB4" w:rsidRPr="003015FD">
        <w:t>them</w:t>
      </w:r>
      <w:r w:rsidR="00975895" w:rsidRPr="003015FD">
        <w:t xml:space="preserve"> </w:t>
      </w:r>
      <w:r w:rsidR="00D34DB4" w:rsidRPr="003015FD">
        <w:t>to</w:t>
      </w:r>
      <w:r w:rsidR="00975895" w:rsidRPr="003015FD">
        <w:t xml:space="preserve"> </w:t>
      </w:r>
      <w:r w:rsidR="00D34DB4" w:rsidRPr="003015FD">
        <w:t>track</w:t>
      </w:r>
      <w:r w:rsidR="00975895" w:rsidRPr="003015FD">
        <w:t xml:space="preserve"> </w:t>
      </w:r>
      <w:r w:rsidR="00D34DB4" w:rsidRPr="003015FD">
        <w:t>in</w:t>
      </w:r>
      <w:r w:rsidR="00975895" w:rsidRPr="003015FD">
        <w:t xml:space="preserve"> </w:t>
      </w:r>
      <w:r w:rsidR="00D34DB4" w:rsidRPr="003015FD">
        <w:t>order</w:t>
      </w:r>
      <w:r w:rsidR="00975895" w:rsidRPr="003015FD">
        <w:t xml:space="preserve"> </w:t>
      </w:r>
      <w:r w:rsidR="00D34DB4" w:rsidRPr="003015FD">
        <w:t>to</w:t>
      </w:r>
      <w:r w:rsidR="00975895" w:rsidRPr="003015FD">
        <w:t xml:space="preserve"> </w:t>
      </w:r>
      <w:r w:rsidR="00D34DB4" w:rsidRPr="003015FD">
        <w:t>respond</w:t>
      </w:r>
      <w:r w:rsidR="00975895" w:rsidRPr="003015FD">
        <w:t xml:space="preserve"> </w:t>
      </w:r>
      <w:r w:rsidR="00D34DB4" w:rsidRPr="003015FD">
        <w:t>to</w:t>
      </w:r>
      <w:r w:rsidR="00975895" w:rsidRPr="003015FD">
        <w:t xml:space="preserve"> </w:t>
      </w:r>
      <w:r w:rsidR="00D34DB4" w:rsidRPr="003015FD">
        <w:t>our</w:t>
      </w:r>
      <w:r w:rsidR="00975895" w:rsidRPr="003015FD">
        <w:t xml:space="preserve"> </w:t>
      </w:r>
      <w:r w:rsidR="00D34DB4" w:rsidRPr="003015FD">
        <w:t>human</w:t>
      </w:r>
      <w:r w:rsidR="00975895" w:rsidRPr="003015FD">
        <w:t xml:space="preserve"> </w:t>
      </w:r>
      <w:r w:rsidR="00D34DB4" w:rsidRPr="003015FD">
        <w:t>rights</w:t>
      </w:r>
      <w:r w:rsidR="00975895" w:rsidRPr="003015FD">
        <w:t xml:space="preserve"> </w:t>
      </w:r>
      <w:r w:rsidR="00D34DB4" w:rsidRPr="003015FD">
        <w:t>culture</w:t>
      </w:r>
      <w:r w:rsidR="00975895" w:rsidRPr="003015FD">
        <w:t xml:space="preserve"> </w:t>
      </w:r>
      <w:r w:rsidR="00D34DB4" w:rsidRPr="003015FD">
        <w:t>survey</w:t>
      </w:r>
      <w:r w:rsidR="00975895" w:rsidRPr="003015FD">
        <w:t xml:space="preserve"> </w:t>
      </w:r>
      <w:r w:rsidR="00D34DB4" w:rsidRPr="003015FD">
        <w:t>in</w:t>
      </w:r>
      <w:r w:rsidR="00975895" w:rsidRPr="003015FD">
        <w:t xml:space="preserve"> </w:t>
      </w:r>
      <w:r w:rsidR="00D34DB4" w:rsidRPr="003015FD">
        <w:t>future</w:t>
      </w:r>
      <w:r w:rsidR="00975895" w:rsidRPr="003015FD">
        <w:t xml:space="preserve"> </w:t>
      </w:r>
      <w:r w:rsidR="00D34DB4" w:rsidRPr="003015FD">
        <w:t>years.</w:t>
      </w:r>
      <w:r w:rsidR="00975895" w:rsidRPr="003015FD">
        <w:t xml:space="preserve"> </w:t>
      </w:r>
    </w:p>
    <w:p w14:paraId="22A9AFB6" w14:textId="08AB7F05" w:rsidR="008E0945" w:rsidRPr="003015FD" w:rsidRDefault="008E0945" w:rsidP="003A3F4F">
      <w:r w:rsidRPr="003015FD">
        <w:t>Finally,</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chose</w:t>
      </w:r>
      <w:r w:rsidR="00975895" w:rsidRPr="003015FD">
        <w:t xml:space="preserve"> </w:t>
      </w:r>
      <w:r w:rsidRPr="003015FD">
        <w:t>to</w:t>
      </w:r>
      <w:r w:rsidR="00975895" w:rsidRPr="003015FD">
        <w:t xml:space="preserve"> </w:t>
      </w:r>
      <w:r w:rsidRPr="003015FD">
        <w:t>survey</w:t>
      </w:r>
      <w:r w:rsidR="00975895" w:rsidRPr="003015FD">
        <w:t xml:space="preserve"> </w:t>
      </w:r>
      <w:r w:rsidRPr="003015FD">
        <w:t>a</w:t>
      </w:r>
      <w:r w:rsidR="00975895" w:rsidRPr="003015FD">
        <w:t xml:space="preserve"> </w:t>
      </w:r>
      <w:r w:rsidRPr="003015FD">
        <w:t>relatively</w:t>
      </w:r>
      <w:r w:rsidR="00975895" w:rsidRPr="003015FD">
        <w:t xml:space="preserve"> </w:t>
      </w:r>
      <w:r w:rsidRPr="003015FD">
        <w:t>small</w:t>
      </w:r>
      <w:r w:rsidR="00975895" w:rsidRPr="003015FD">
        <w:t xml:space="preserve"> </w:t>
      </w:r>
      <w:r w:rsidRPr="003015FD">
        <w:t>number</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this</w:t>
      </w:r>
      <w:r w:rsidR="00975895" w:rsidRPr="003015FD">
        <w:t xml:space="preserve"> </w:t>
      </w:r>
      <w:r w:rsidRPr="003015FD">
        <w:t>year:</w:t>
      </w:r>
    </w:p>
    <w:p w14:paraId="62C6A757" w14:textId="26DE3A4B" w:rsidR="008E0945" w:rsidRPr="003015FD" w:rsidRDefault="008E0945" w:rsidP="003A3F4F">
      <w:pPr>
        <w:pStyle w:val="ListBullet"/>
      </w:pPr>
      <w:r w:rsidRPr="003015FD">
        <w:t>10</w:t>
      </w:r>
      <w:r w:rsidR="00975895" w:rsidRPr="003015FD">
        <w:t xml:space="preserve"> </w:t>
      </w:r>
      <w:r w:rsidRPr="003015FD">
        <w:t>local</w:t>
      </w:r>
      <w:r w:rsidR="00975895" w:rsidRPr="003015FD">
        <w:t xml:space="preserve"> </w:t>
      </w:r>
      <w:r w:rsidRPr="003015FD">
        <w:t>councils</w:t>
      </w:r>
    </w:p>
    <w:p w14:paraId="7A0EA6B8" w14:textId="62949E35" w:rsidR="008E0945" w:rsidRPr="003015FD" w:rsidRDefault="008E0945" w:rsidP="003A3F4F">
      <w:pPr>
        <w:pStyle w:val="ListBullet"/>
      </w:pPr>
      <w:r w:rsidRPr="003015FD">
        <w:t>10</w:t>
      </w:r>
      <w:r w:rsidR="00975895" w:rsidRPr="003015FD">
        <w:t xml:space="preserve"> </w:t>
      </w:r>
      <w:r w:rsidRPr="003015FD">
        <w:t>small</w:t>
      </w:r>
      <w:r w:rsidR="00975895" w:rsidRPr="003015FD">
        <w:t xml:space="preserve"> </w:t>
      </w:r>
      <w:r w:rsidRPr="003015FD">
        <w:t>agencies</w:t>
      </w:r>
    </w:p>
    <w:p w14:paraId="1F1ED330" w14:textId="082AF1CF" w:rsidR="008E0945" w:rsidRPr="003015FD" w:rsidRDefault="004A60C5" w:rsidP="003A3F4F">
      <w:pPr>
        <w:pStyle w:val="ListBullet"/>
      </w:pPr>
      <w:r w:rsidRPr="003015FD">
        <w:t>eight</w:t>
      </w:r>
      <w:r w:rsidR="00975895" w:rsidRPr="003015FD">
        <w:t xml:space="preserve"> </w:t>
      </w:r>
      <w:r w:rsidR="008E0945" w:rsidRPr="003015FD">
        <w:t>large</w:t>
      </w:r>
      <w:r w:rsidR="00975895" w:rsidRPr="003015FD">
        <w:t xml:space="preserve"> </w:t>
      </w:r>
      <w:r w:rsidR="008E0945" w:rsidRPr="003015FD">
        <w:t>agencies</w:t>
      </w:r>
    </w:p>
    <w:p w14:paraId="7C98931A" w14:textId="59F02EA9" w:rsidR="008E0945" w:rsidRPr="003015FD" w:rsidRDefault="004A60C5" w:rsidP="003A3F4F">
      <w:pPr>
        <w:pStyle w:val="ListBullet"/>
      </w:pPr>
      <w:r w:rsidRPr="003015FD">
        <w:t>seven</w:t>
      </w:r>
      <w:r w:rsidR="00975895" w:rsidRPr="003015FD">
        <w:t xml:space="preserve"> </w:t>
      </w:r>
      <w:r w:rsidR="008E0945" w:rsidRPr="003015FD">
        <w:t>government</w:t>
      </w:r>
      <w:r w:rsidR="00975895" w:rsidRPr="003015FD">
        <w:t xml:space="preserve"> </w:t>
      </w:r>
      <w:r w:rsidR="008E0945" w:rsidRPr="003015FD">
        <w:t>departments</w:t>
      </w:r>
      <w:r w:rsidR="00975895" w:rsidRPr="003015FD">
        <w:t xml:space="preserve"> </w:t>
      </w:r>
      <w:r w:rsidR="008E0945" w:rsidRPr="003015FD">
        <w:t>or</w:t>
      </w:r>
      <w:r w:rsidR="00975895" w:rsidRPr="003015FD">
        <w:t xml:space="preserve"> </w:t>
      </w:r>
      <w:r w:rsidR="008E0945" w:rsidRPr="003015FD">
        <w:t>department</w:t>
      </w:r>
      <w:r w:rsidR="00975895" w:rsidRPr="003015FD">
        <w:t xml:space="preserve"> </w:t>
      </w:r>
      <w:r w:rsidR="008E0945" w:rsidRPr="003015FD">
        <w:t>divisions.</w:t>
      </w:r>
    </w:p>
    <w:p w14:paraId="06815EB7" w14:textId="65999CD8" w:rsidR="0042661F" w:rsidRDefault="0042661F" w:rsidP="003A3F4F">
      <w:r w:rsidRPr="003015FD">
        <w:t xml:space="preserve">See Appendix B for </w:t>
      </w:r>
      <w:r>
        <w:t xml:space="preserve">the list of participating public authorities in each category. </w:t>
      </w:r>
    </w:p>
    <w:p w14:paraId="04505545" w14:textId="3634862F" w:rsidR="008E0945" w:rsidRPr="003015FD" w:rsidRDefault="008E0945" w:rsidP="003A3F4F">
      <w:r w:rsidRPr="003015FD">
        <w:t>The</w:t>
      </w:r>
      <w:r w:rsidR="00975895" w:rsidRPr="003015FD">
        <w:t xml:space="preserve"> </w:t>
      </w:r>
      <w:r w:rsidRPr="003015FD">
        <w:t>Commission</w:t>
      </w:r>
      <w:r w:rsidR="00975895" w:rsidRPr="003015FD">
        <w:t xml:space="preserve"> </w:t>
      </w:r>
      <w:r w:rsidRPr="003015FD">
        <w:t>plans</w:t>
      </w:r>
      <w:r w:rsidR="00975895" w:rsidRPr="003015FD">
        <w:t xml:space="preserve"> </w:t>
      </w:r>
      <w:r w:rsidRPr="003015FD">
        <w:t>to</w:t>
      </w:r>
      <w:r w:rsidR="00975895" w:rsidRPr="003015FD">
        <w:t xml:space="preserve"> </w:t>
      </w:r>
      <w:r w:rsidRPr="003015FD">
        <w:t>increase</w:t>
      </w:r>
      <w:r w:rsidR="00975895" w:rsidRPr="003015FD">
        <w:t xml:space="preserve"> </w:t>
      </w:r>
      <w:r w:rsidRPr="003015FD">
        <w:t>the</w:t>
      </w:r>
      <w:r w:rsidR="00975895" w:rsidRPr="003015FD">
        <w:t xml:space="preserve"> </w:t>
      </w:r>
      <w:r w:rsidRPr="003015FD">
        <w:t>number</w:t>
      </w:r>
      <w:r w:rsidR="00975895" w:rsidRPr="003015FD">
        <w:t xml:space="preserve"> </w:t>
      </w:r>
      <w:r w:rsidRPr="003015FD">
        <w:t>of</w:t>
      </w:r>
      <w:r w:rsidR="00975895" w:rsidRPr="003015FD">
        <w:t xml:space="preserve"> </w:t>
      </w:r>
      <w:r w:rsidRPr="003015FD">
        <w:t>participating</w:t>
      </w:r>
      <w:r w:rsidR="00975895" w:rsidRPr="003015FD">
        <w:t xml:space="preserve"> </w:t>
      </w:r>
      <w:r w:rsidRPr="003015FD">
        <w:t>public</w:t>
      </w:r>
      <w:r w:rsidR="00975895" w:rsidRPr="003015FD">
        <w:t xml:space="preserve"> </w:t>
      </w:r>
      <w:r w:rsidRPr="003015FD">
        <w:t>authorities</w:t>
      </w:r>
      <w:r w:rsidR="00975895" w:rsidRPr="003015FD">
        <w:t xml:space="preserve"> </w:t>
      </w:r>
      <w:r w:rsidR="00C05DA6">
        <w:t>in the future</w:t>
      </w:r>
      <w:r w:rsidRPr="003015FD">
        <w:t>.</w:t>
      </w:r>
      <w:r w:rsidR="00975895" w:rsidRPr="003015FD">
        <w:t xml:space="preserve"> </w:t>
      </w:r>
    </w:p>
    <w:p w14:paraId="18E3DF42" w14:textId="180C88BA" w:rsidR="008E0945" w:rsidRPr="003015FD" w:rsidRDefault="004A60C5" w:rsidP="003A3F4F">
      <w:pPr>
        <w:pStyle w:val="Heading3"/>
      </w:pPr>
      <w:bookmarkStart w:id="57" w:name="_Toc15045107"/>
      <w:r w:rsidRPr="003015FD">
        <w:lastRenderedPageBreak/>
        <w:t>2.6.3</w:t>
      </w:r>
      <w:r w:rsidRPr="003015FD">
        <w:tab/>
      </w:r>
      <w:r w:rsidR="008E0945" w:rsidRPr="003015FD">
        <w:t>Presentation</w:t>
      </w:r>
      <w:r w:rsidR="00975895" w:rsidRPr="003015FD">
        <w:t xml:space="preserve"> </w:t>
      </w:r>
      <w:r w:rsidR="008E0945" w:rsidRPr="003015FD">
        <w:t>of</w:t>
      </w:r>
      <w:r w:rsidR="00975895" w:rsidRPr="003015FD">
        <w:t xml:space="preserve"> </w:t>
      </w:r>
      <w:r w:rsidR="008E0945" w:rsidRPr="003015FD">
        <w:t>research</w:t>
      </w:r>
      <w:r w:rsidR="00975895" w:rsidRPr="003015FD">
        <w:t xml:space="preserve"> </w:t>
      </w:r>
      <w:r w:rsidR="008E0945" w:rsidRPr="003015FD">
        <w:t>findings</w:t>
      </w:r>
      <w:bookmarkEnd w:id="57"/>
    </w:p>
    <w:p w14:paraId="78F89A60" w14:textId="30D0E284" w:rsidR="008E0945" w:rsidRPr="003015FD" w:rsidRDefault="008E0945" w:rsidP="003A3F4F">
      <w:r w:rsidRPr="003015FD">
        <w:t>Percentages</w:t>
      </w:r>
      <w:r w:rsidR="00975895" w:rsidRPr="003015FD">
        <w:t xml:space="preserve"> </w:t>
      </w:r>
      <w:r w:rsidRPr="003015FD">
        <w:t>presented</w:t>
      </w:r>
      <w:r w:rsidR="00975895" w:rsidRPr="003015FD">
        <w:t xml:space="preserve"> </w:t>
      </w:r>
      <w:r w:rsidRPr="003015FD">
        <w:t>in</w:t>
      </w:r>
      <w:r w:rsidR="00975895" w:rsidRPr="003015FD">
        <w:t xml:space="preserve"> </w:t>
      </w:r>
      <w:r w:rsidRPr="003015FD">
        <w:t>the</w:t>
      </w:r>
      <w:r w:rsidR="00975895" w:rsidRPr="003015FD">
        <w:t xml:space="preserve"> </w:t>
      </w:r>
      <w:r w:rsidRPr="003015FD">
        <w:t>report</w:t>
      </w:r>
      <w:r w:rsidR="00975895" w:rsidRPr="003015FD">
        <w:t xml:space="preserve"> </w:t>
      </w:r>
      <w:r w:rsidRPr="003015FD">
        <w:t>are</w:t>
      </w:r>
      <w:r w:rsidR="00975895" w:rsidRPr="003015FD">
        <w:t xml:space="preserve"> </w:t>
      </w:r>
      <w:r w:rsidRPr="003015FD">
        <w:t>based</w:t>
      </w:r>
      <w:r w:rsidR="00975895" w:rsidRPr="003015FD">
        <w:t xml:space="preserve"> </w:t>
      </w:r>
      <w:r w:rsidRPr="003015FD">
        <w:t>on</w:t>
      </w:r>
      <w:r w:rsidR="00975895" w:rsidRPr="003015FD">
        <w:t xml:space="preserve"> </w:t>
      </w:r>
      <w:r w:rsidRPr="003015FD">
        <w:t>the</w:t>
      </w:r>
      <w:r w:rsidR="00975895" w:rsidRPr="003015FD">
        <w:t xml:space="preserve"> </w:t>
      </w:r>
      <w:r w:rsidRPr="003015FD">
        <w:t>total</w:t>
      </w:r>
      <w:r w:rsidR="00975895" w:rsidRPr="003015FD">
        <w:t xml:space="preserve"> </w:t>
      </w:r>
      <w:r w:rsidRPr="003015FD">
        <w:t>number</w:t>
      </w:r>
      <w:r w:rsidR="00975895" w:rsidRPr="003015FD">
        <w:t xml:space="preserve"> </w:t>
      </w:r>
      <w:r w:rsidRPr="003015FD">
        <w:t>of</w:t>
      </w:r>
      <w:r w:rsidR="00975895" w:rsidRPr="003015FD">
        <w:t xml:space="preserve"> </w:t>
      </w:r>
      <w:r w:rsidRPr="003015FD">
        <w:t>valid</w:t>
      </w:r>
      <w:r w:rsidR="00975895" w:rsidRPr="003015FD">
        <w:t xml:space="preserve"> </w:t>
      </w:r>
      <w:r w:rsidRPr="003015FD">
        <w:t>responses</w:t>
      </w:r>
      <w:r w:rsidR="00975895" w:rsidRPr="003015FD">
        <w:t xml:space="preserve"> </w:t>
      </w:r>
      <w:r w:rsidRPr="003015FD">
        <w:t>made</w:t>
      </w:r>
      <w:r w:rsidR="00975895" w:rsidRPr="003015FD">
        <w:t xml:space="preserve"> </w:t>
      </w:r>
      <w:r w:rsidRPr="003015FD">
        <w:t>to</w:t>
      </w:r>
      <w:r w:rsidR="00975895" w:rsidRPr="003015FD">
        <w:t xml:space="preserve"> </w:t>
      </w:r>
      <w:r w:rsidRPr="003015FD">
        <w:t>the</w:t>
      </w:r>
      <w:r w:rsidR="00975895" w:rsidRPr="003015FD">
        <w:t xml:space="preserve"> </w:t>
      </w:r>
      <w:r w:rsidRPr="003015FD">
        <w:t>question</w:t>
      </w:r>
      <w:r w:rsidR="00975895" w:rsidRPr="003015FD">
        <w:t xml:space="preserve"> </w:t>
      </w:r>
      <w:r w:rsidRPr="003015FD">
        <w:t>being</w:t>
      </w:r>
      <w:r w:rsidR="00975895" w:rsidRPr="003015FD">
        <w:t xml:space="preserve"> </w:t>
      </w:r>
      <w:r w:rsidRPr="003015FD">
        <w:t>reported</w:t>
      </w:r>
      <w:r w:rsidR="00975895" w:rsidRPr="003015FD">
        <w:t xml:space="preserve"> </w:t>
      </w:r>
      <w:r w:rsidRPr="003015FD">
        <w:t>on.</w:t>
      </w:r>
      <w:r w:rsidR="00975895" w:rsidRPr="003015FD">
        <w:t xml:space="preserve"> </w:t>
      </w:r>
      <w:r w:rsidRPr="003015FD">
        <w:t>In</w:t>
      </w:r>
      <w:r w:rsidR="00975895" w:rsidRPr="003015FD">
        <w:t xml:space="preserve"> </w:t>
      </w:r>
      <w:r w:rsidRPr="003015FD">
        <w:t>most</w:t>
      </w:r>
      <w:r w:rsidR="00975895" w:rsidRPr="003015FD">
        <w:t xml:space="preserve"> </w:t>
      </w:r>
      <w:r w:rsidRPr="003015FD">
        <w:t>cases,</w:t>
      </w:r>
      <w:r w:rsidR="00975895" w:rsidRPr="003015FD">
        <w:t xml:space="preserve"> </w:t>
      </w:r>
      <w:r w:rsidRPr="003015FD">
        <w:t>results</w:t>
      </w:r>
      <w:r w:rsidR="00975895" w:rsidRPr="003015FD">
        <w:t xml:space="preserve"> </w:t>
      </w:r>
      <w:r w:rsidRPr="003015FD">
        <w:t>reflect</w:t>
      </w:r>
      <w:r w:rsidR="00975895" w:rsidRPr="003015FD">
        <w:t xml:space="preserve"> </w:t>
      </w:r>
      <w:r w:rsidRPr="003015FD">
        <w:t>those</w:t>
      </w:r>
      <w:r w:rsidR="00975895" w:rsidRPr="003015FD">
        <w:t xml:space="preserve"> </w:t>
      </w:r>
      <w:r w:rsidRPr="003015FD">
        <w:t>for</w:t>
      </w:r>
      <w:r w:rsidR="00975895" w:rsidRPr="003015FD">
        <w:t xml:space="preserve"> </w:t>
      </w:r>
      <w:r w:rsidRPr="003015FD">
        <w:t>respondents</w:t>
      </w:r>
      <w:r w:rsidR="00975895" w:rsidRPr="003015FD">
        <w:t xml:space="preserve"> </w:t>
      </w:r>
      <w:r w:rsidRPr="003015FD">
        <w:t>who</w:t>
      </w:r>
      <w:r w:rsidR="00975895" w:rsidRPr="003015FD">
        <w:t xml:space="preserve"> </w:t>
      </w:r>
      <w:r w:rsidRPr="003015FD">
        <w:t>had</w:t>
      </w:r>
      <w:r w:rsidR="00975895" w:rsidRPr="003015FD">
        <w:t xml:space="preserve"> </w:t>
      </w:r>
      <w:r w:rsidRPr="003015FD">
        <w:t>a</w:t>
      </w:r>
      <w:r w:rsidR="00975895" w:rsidRPr="003015FD">
        <w:t xml:space="preserve"> </w:t>
      </w:r>
      <w:r w:rsidRPr="003015FD">
        <w:t>view</w:t>
      </w:r>
      <w:r w:rsidR="00975895" w:rsidRPr="003015FD">
        <w:t xml:space="preserve"> </w:t>
      </w:r>
      <w:r w:rsidRPr="003015FD">
        <w:t>and</w:t>
      </w:r>
      <w:r w:rsidR="00975895" w:rsidRPr="003015FD">
        <w:t xml:space="preserve"> </w:t>
      </w:r>
      <w:r w:rsidRPr="003015FD">
        <w:t>for</w:t>
      </w:r>
      <w:r w:rsidR="00975895" w:rsidRPr="003015FD">
        <w:t xml:space="preserve"> </w:t>
      </w:r>
      <w:r w:rsidRPr="003015FD">
        <w:t>whom</w:t>
      </w:r>
      <w:r w:rsidR="00975895" w:rsidRPr="003015FD">
        <w:t xml:space="preserve"> </w:t>
      </w:r>
      <w:r w:rsidRPr="003015FD">
        <w:t>the</w:t>
      </w:r>
      <w:r w:rsidR="00975895" w:rsidRPr="003015FD">
        <w:t xml:space="preserve"> </w:t>
      </w:r>
      <w:r w:rsidRPr="003015FD">
        <w:t>questions</w:t>
      </w:r>
      <w:r w:rsidR="00975895" w:rsidRPr="003015FD">
        <w:t xml:space="preserve"> </w:t>
      </w:r>
      <w:r w:rsidRPr="003015FD">
        <w:t>were</w:t>
      </w:r>
      <w:r w:rsidR="00975895" w:rsidRPr="003015FD">
        <w:t xml:space="preserve"> </w:t>
      </w:r>
      <w:r w:rsidRPr="003015FD">
        <w:t>applicable.</w:t>
      </w:r>
      <w:r w:rsidR="00975895" w:rsidRPr="003015FD">
        <w:t xml:space="preserve"> </w:t>
      </w:r>
      <w:r w:rsidRPr="003015FD">
        <w:t>Percentage</w:t>
      </w:r>
      <w:r w:rsidR="00975895" w:rsidRPr="003015FD">
        <w:t xml:space="preserve"> </w:t>
      </w:r>
      <w:r w:rsidRPr="003015FD">
        <w:t>results</w:t>
      </w:r>
      <w:r w:rsidR="00975895" w:rsidRPr="003015FD">
        <w:t xml:space="preserve"> </w:t>
      </w:r>
      <w:r w:rsidRPr="003015FD">
        <w:t>throughout</w:t>
      </w:r>
      <w:r w:rsidR="00975895" w:rsidRPr="003015FD">
        <w:t xml:space="preserve"> </w:t>
      </w:r>
      <w:r w:rsidRPr="003015FD">
        <w:t>the</w:t>
      </w:r>
      <w:r w:rsidR="00975895" w:rsidRPr="003015FD">
        <w:t xml:space="preserve"> </w:t>
      </w:r>
      <w:r w:rsidRPr="003015FD">
        <w:t>report</w:t>
      </w:r>
      <w:r w:rsidR="00975895" w:rsidRPr="003015FD">
        <w:t xml:space="preserve"> </w:t>
      </w:r>
      <w:r w:rsidRPr="003015FD">
        <w:t>may</w:t>
      </w:r>
      <w:r w:rsidR="00975895" w:rsidRPr="003015FD">
        <w:t xml:space="preserve"> </w:t>
      </w:r>
      <w:r w:rsidRPr="003015FD">
        <w:t>not</w:t>
      </w:r>
      <w:r w:rsidR="00975895" w:rsidRPr="003015FD">
        <w:t xml:space="preserve"> </w:t>
      </w:r>
      <w:r w:rsidR="000969C5">
        <w:t>add up</w:t>
      </w:r>
      <w:r w:rsidR="00975895" w:rsidRPr="003015FD">
        <w:t xml:space="preserve"> </w:t>
      </w:r>
      <w:r w:rsidRPr="003015FD">
        <w:t>to</w:t>
      </w:r>
      <w:r w:rsidR="00975895" w:rsidRPr="003015FD">
        <w:t xml:space="preserve"> </w:t>
      </w:r>
      <w:r w:rsidRPr="003015FD">
        <w:t>100</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due</w:t>
      </w:r>
      <w:r w:rsidR="00975895" w:rsidRPr="003015FD">
        <w:t xml:space="preserve"> </w:t>
      </w:r>
      <w:r w:rsidRPr="003015FD">
        <w:t>to</w:t>
      </w:r>
      <w:r w:rsidR="00975895" w:rsidRPr="003015FD">
        <w:t xml:space="preserve"> </w:t>
      </w:r>
      <w:r w:rsidRPr="003015FD">
        <w:t>rounding.</w:t>
      </w:r>
    </w:p>
    <w:p w14:paraId="744745F0" w14:textId="588EAAEF" w:rsidR="008E0945" w:rsidRPr="003015FD" w:rsidRDefault="008E0945" w:rsidP="003A3F4F">
      <w:r w:rsidRPr="003015FD">
        <w:t>In</w:t>
      </w:r>
      <w:r w:rsidR="00975895" w:rsidRPr="003015FD">
        <w:t xml:space="preserve"> </w:t>
      </w:r>
      <w:r w:rsidRPr="003015FD">
        <w:t>terms</w:t>
      </w:r>
      <w:r w:rsidR="00975895" w:rsidRPr="003015FD">
        <w:t xml:space="preserve"> </w:t>
      </w:r>
      <w:r w:rsidRPr="003015FD">
        <w:t>of</w:t>
      </w:r>
      <w:r w:rsidR="00975895" w:rsidRPr="003015FD">
        <w:t xml:space="preserve"> </w:t>
      </w:r>
      <w:r w:rsidRPr="003015FD">
        <w:t>interviews,</w:t>
      </w:r>
      <w:r w:rsidR="00975895" w:rsidRPr="003015FD">
        <w:t xml:space="preserve"> </w:t>
      </w:r>
      <w:r w:rsidRPr="003015FD">
        <w:t>the</w:t>
      </w:r>
      <w:r w:rsidR="00975895" w:rsidRPr="003015FD">
        <w:t xml:space="preserve"> </w:t>
      </w:r>
      <w:r w:rsidRPr="003015FD">
        <w:t>following</w:t>
      </w:r>
      <w:r w:rsidR="00975895" w:rsidRPr="003015FD">
        <w:t xml:space="preserve"> </w:t>
      </w:r>
      <w:r w:rsidRPr="003015FD">
        <w:t>terms</w:t>
      </w:r>
      <w:r w:rsidR="00975895" w:rsidRPr="003015FD">
        <w:t xml:space="preserve"> </w:t>
      </w:r>
      <w:r w:rsidRPr="003015FD">
        <w:t>used</w:t>
      </w:r>
      <w:r w:rsidR="00975895" w:rsidRPr="003015FD">
        <w:t xml:space="preserve"> </w:t>
      </w:r>
      <w:r w:rsidRPr="003015FD">
        <w:t>in</w:t>
      </w:r>
      <w:r w:rsidR="00975895" w:rsidRPr="003015FD">
        <w:t xml:space="preserve"> </w:t>
      </w:r>
      <w:r w:rsidRPr="003015FD">
        <w:t>the</w:t>
      </w:r>
      <w:r w:rsidR="00975895" w:rsidRPr="003015FD">
        <w:t xml:space="preserve"> </w:t>
      </w:r>
      <w:r w:rsidRPr="003015FD">
        <w:t>report</w:t>
      </w:r>
      <w:r w:rsidR="00975895" w:rsidRPr="003015FD">
        <w:t xml:space="preserve"> </w:t>
      </w:r>
      <w:r w:rsidRPr="003015FD">
        <w:t>provide</w:t>
      </w:r>
      <w:r w:rsidR="00975895" w:rsidRPr="003015FD">
        <w:t xml:space="preserve"> </w:t>
      </w:r>
      <w:r w:rsidRPr="003015FD">
        <w:t>a</w:t>
      </w:r>
      <w:r w:rsidR="00975895" w:rsidRPr="003015FD">
        <w:t xml:space="preserve"> </w:t>
      </w:r>
      <w:r w:rsidRPr="003015FD">
        <w:t>qualitative</w:t>
      </w:r>
      <w:r w:rsidR="00975895" w:rsidRPr="003015FD">
        <w:t xml:space="preserve"> </w:t>
      </w:r>
      <w:r w:rsidRPr="003015FD">
        <w:t>indication</w:t>
      </w:r>
      <w:r w:rsidR="00975895" w:rsidRPr="003015FD">
        <w:t xml:space="preserve"> </w:t>
      </w:r>
      <w:r w:rsidRPr="003015FD">
        <w:t>and</w:t>
      </w:r>
      <w:r w:rsidR="00975895" w:rsidRPr="003015FD">
        <w:t xml:space="preserve"> </w:t>
      </w:r>
      <w:r w:rsidRPr="003015FD">
        <w:t>approximation</w:t>
      </w:r>
      <w:r w:rsidR="00975895" w:rsidRPr="003015FD">
        <w:t xml:space="preserve"> </w:t>
      </w:r>
      <w:r w:rsidRPr="003015FD">
        <w:t>of</w:t>
      </w:r>
      <w:r w:rsidR="00975895" w:rsidRPr="003015FD">
        <w:t xml:space="preserve"> </w:t>
      </w:r>
      <w:r w:rsidRPr="003015FD">
        <w:t>size:</w:t>
      </w:r>
    </w:p>
    <w:p w14:paraId="6D530C22" w14:textId="74406983" w:rsidR="008E0945" w:rsidRPr="003015FD" w:rsidRDefault="008E0945" w:rsidP="003A3F4F">
      <w:pPr>
        <w:pStyle w:val="ListBullet"/>
      </w:pPr>
      <w:r w:rsidRPr="003015FD">
        <w:t>most</w:t>
      </w:r>
      <w:r w:rsidR="00975895" w:rsidRPr="003015FD">
        <w:t xml:space="preserve"> </w:t>
      </w:r>
      <w:r w:rsidRPr="003015FD">
        <w:t>–</w:t>
      </w:r>
      <w:r w:rsidR="00975895" w:rsidRPr="003015FD">
        <w:t xml:space="preserve"> </w:t>
      </w:r>
      <w:r w:rsidRPr="003015FD">
        <w:t>findings</w:t>
      </w:r>
      <w:r w:rsidR="00975895" w:rsidRPr="003015FD">
        <w:t xml:space="preserve"> </w:t>
      </w:r>
      <w:r w:rsidRPr="003015FD">
        <w:t>that</w:t>
      </w:r>
      <w:r w:rsidR="00975895" w:rsidRPr="003015FD">
        <w:t xml:space="preserve"> </w:t>
      </w:r>
      <w:r w:rsidRPr="003015FD">
        <w:t>relate</w:t>
      </w:r>
      <w:r w:rsidR="00975895" w:rsidRPr="003015FD">
        <w:t xml:space="preserve"> </w:t>
      </w:r>
      <w:r w:rsidRPr="003015FD">
        <w:t>to</w:t>
      </w:r>
      <w:r w:rsidR="00975895" w:rsidRPr="003015FD">
        <w:t xml:space="preserve"> </w:t>
      </w:r>
      <w:r w:rsidRPr="003015FD">
        <w:t>more</w:t>
      </w:r>
      <w:r w:rsidR="00975895" w:rsidRPr="003015FD">
        <w:t xml:space="preserve"> </w:t>
      </w:r>
      <w:r w:rsidRPr="003015FD">
        <w:t>than</w:t>
      </w:r>
      <w:r w:rsidR="00975895" w:rsidRPr="003015FD">
        <w:t xml:space="preserve"> </w:t>
      </w:r>
      <w:r w:rsidRPr="003015FD">
        <w:t>three</w:t>
      </w:r>
      <w:r w:rsidR="00975895" w:rsidRPr="003015FD">
        <w:t xml:space="preserve"> </w:t>
      </w:r>
      <w:r w:rsidRPr="003015FD">
        <w:t>quarters</w:t>
      </w:r>
      <w:r w:rsidR="00975895" w:rsidRPr="003015FD">
        <w:t xml:space="preserve"> </w:t>
      </w:r>
      <w:r w:rsidRPr="003015FD">
        <w:t>of</w:t>
      </w:r>
      <w:r w:rsidR="00975895" w:rsidRPr="003015FD">
        <w:t xml:space="preserve"> </w:t>
      </w:r>
      <w:r w:rsidRPr="003015FD">
        <w:t>the</w:t>
      </w:r>
      <w:r w:rsidR="00975895" w:rsidRPr="003015FD">
        <w:t xml:space="preserve"> </w:t>
      </w:r>
      <w:r w:rsidRPr="003015FD">
        <w:t>research</w:t>
      </w:r>
      <w:r w:rsidR="00975895" w:rsidRPr="003015FD">
        <w:t xml:space="preserve"> </w:t>
      </w:r>
      <w:r w:rsidRPr="003015FD">
        <w:t>participants</w:t>
      </w:r>
      <w:r w:rsidR="00975895" w:rsidRPr="003015FD">
        <w:t xml:space="preserve"> </w:t>
      </w:r>
    </w:p>
    <w:p w14:paraId="26056F9C" w14:textId="661CCCDC" w:rsidR="008E0945" w:rsidRPr="003015FD" w:rsidRDefault="008E0945" w:rsidP="003A3F4F">
      <w:pPr>
        <w:pStyle w:val="ListBullet"/>
      </w:pPr>
      <w:r w:rsidRPr="003015FD">
        <w:t>many</w:t>
      </w:r>
      <w:r w:rsidR="00975895" w:rsidRPr="003015FD">
        <w:t xml:space="preserve"> </w:t>
      </w:r>
      <w:r w:rsidRPr="003015FD">
        <w:t>–</w:t>
      </w:r>
      <w:r w:rsidR="00975895" w:rsidRPr="003015FD">
        <w:t xml:space="preserve"> </w:t>
      </w:r>
      <w:r w:rsidRPr="003015FD">
        <w:t>findings</w:t>
      </w:r>
      <w:r w:rsidR="00975895" w:rsidRPr="003015FD">
        <w:t xml:space="preserve"> </w:t>
      </w:r>
      <w:r w:rsidRPr="003015FD">
        <w:t>that</w:t>
      </w:r>
      <w:r w:rsidR="00975895" w:rsidRPr="003015FD">
        <w:t xml:space="preserve"> </w:t>
      </w:r>
      <w:r w:rsidRPr="003015FD">
        <w:t>relate</w:t>
      </w:r>
      <w:r w:rsidR="00975895" w:rsidRPr="003015FD">
        <w:t xml:space="preserve"> </w:t>
      </w:r>
      <w:r w:rsidRPr="003015FD">
        <w:t>to</w:t>
      </w:r>
      <w:r w:rsidR="00975895" w:rsidRPr="003015FD">
        <w:t xml:space="preserve"> </w:t>
      </w:r>
      <w:r w:rsidRPr="003015FD">
        <w:t>more</w:t>
      </w:r>
      <w:r w:rsidR="00975895" w:rsidRPr="003015FD">
        <w:t xml:space="preserve"> </w:t>
      </w:r>
      <w:r w:rsidRPr="003015FD">
        <w:t>than</w:t>
      </w:r>
      <w:r w:rsidR="00975895" w:rsidRPr="003015FD">
        <w:t xml:space="preserve"> </w:t>
      </w:r>
      <w:r w:rsidRPr="003015FD">
        <w:t>half</w:t>
      </w:r>
      <w:r w:rsidR="00975895" w:rsidRPr="003015FD">
        <w:t xml:space="preserve"> </w:t>
      </w:r>
      <w:r w:rsidRPr="003015FD">
        <w:t>of</w:t>
      </w:r>
      <w:r w:rsidR="00975895" w:rsidRPr="003015FD">
        <w:t xml:space="preserve"> </w:t>
      </w:r>
      <w:r w:rsidRPr="003015FD">
        <w:t>the</w:t>
      </w:r>
      <w:r w:rsidR="00975895" w:rsidRPr="003015FD">
        <w:t xml:space="preserve"> </w:t>
      </w:r>
      <w:r w:rsidRPr="003015FD">
        <w:t>research</w:t>
      </w:r>
      <w:r w:rsidR="00975895" w:rsidRPr="003015FD">
        <w:t xml:space="preserve"> </w:t>
      </w:r>
      <w:r w:rsidRPr="003015FD">
        <w:t>participants</w:t>
      </w:r>
    </w:p>
    <w:p w14:paraId="399785DE" w14:textId="79EC00F0" w:rsidR="008E0945" w:rsidRPr="003015FD" w:rsidRDefault="008E0945" w:rsidP="003A3F4F">
      <w:pPr>
        <w:pStyle w:val="ListBullet"/>
      </w:pPr>
      <w:r w:rsidRPr="003015FD">
        <w:t>some</w:t>
      </w:r>
      <w:r w:rsidR="00975895" w:rsidRPr="003015FD">
        <w:t xml:space="preserve"> </w:t>
      </w:r>
      <w:r w:rsidRPr="003015FD">
        <w:t>–</w:t>
      </w:r>
      <w:r w:rsidR="00975895" w:rsidRPr="003015FD">
        <w:t xml:space="preserve"> </w:t>
      </w:r>
      <w:r w:rsidRPr="003015FD">
        <w:t>findings</w:t>
      </w:r>
      <w:r w:rsidR="00975895" w:rsidRPr="003015FD">
        <w:t xml:space="preserve"> </w:t>
      </w:r>
      <w:r w:rsidRPr="003015FD">
        <w:t>that</w:t>
      </w:r>
      <w:r w:rsidR="00975895" w:rsidRPr="003015FD">
        <w:t xml:space="preserve"> </w:t>
      </w:r>
      <w:r w:rsidRPr="003015FD">
        <w:t>relate</w:t>
      </w:r>
      <w:r w:rsidR="00975895" w:rsidRPr="003015FD">
        <w:t xml:space="preserve"> </w:t>
      </w:r>
      <w:r w:rsidRPr="003015FD">
        <w:t>to</w:t>
      </w:r>
      <w:r w:rsidR="00975895" w:rsidRPr="003015FD">
        <w:t xml:space="preserve"> </w:t>
      </w:r>
      <w:r w:rsidRPr="003015FD">
        <w:t>around</w:t>
      </w:r>
      <w:r w:rsidR="00975895" w:rsidRPr="003015FD">
        <w:t xml:space="preserve"> </w:t>
      </w:r>
      <w:r w:rsidRPr="003015FD">
        <w:t>a</w:t>
      </w:r>
      <w:r w:rsidR="00975895" w:rsidRPr="003015FD">
        <w:t xml:space="preserve"> </w:t>
      </w:r>
      <w:r w:rsidRPr="003015FD">
        <w:t>third</w:t>
      </w:r>
      <w:r w:rsidR="00975895" w:rsidRPr="003015FD">
        <w:t xml:space="preserve"> </w:t>
      </w:r>
      <w:r w:rsidRPr="003015FD">
        <w:t>of</w:t>
      </w:r>
      <w:r w:rsidR="00975895" w:rsidRPr="003015FD">
        <w:t xml:space="preserve"> </w:t>
      </w:r>
      <w:r w:rsidRPr="003015FD">
        <w:t>the</w:t>
      </w:r>
      <w:r w:rsidR="00975895" w:rsidRPr="003015FD">
        <w:t xml:space="preserve"> </w:t>
      </w:r>
      <w:r w:rsidRPr="003015FD">
        <w:t>research</w:t>
      </w:r>
      <w:r w:rsidR="00975895" w:rsidRPr="003015FD">
        <w:t xml:space="preserve"> </w:t>
      </w:r>
      <w:r w:rsidRPr="003015FD">
        <w:t>participants</w:t>
      </w:r>
    </w:p>
    <w:p w14:paraId="04F77975" w14:textId="6DED0267" w:rsidR="008E0945" w:rsidRPr="003015FD" w:rsidRDefault="008E0945" w:rsidP="003A3F4F">
      <w:pPr>
        <w:pStyle w:val="ListBullet"/>
      </w:pPr>
      <w:r w:rsidRPr="003015FD">
        <w:t>a</w:t>
      </w:r>
      <w:r w:rsidR="00975895" w:rsidRPr="003015FD">
        <w:t xml:space="preserve"> </w:t>
      </w:r>
      <w:r w:rsidRPr="003015FD">
        <w:t>few</w:t>
      </w:r>
      <w:r w:rsidR="00975895" w:rsidRPr="003015FD">
        <w:t xml:space="preserve"> </w:t>
      </w:r>
      <w:r w:rsidRPr="003015FD">
        <w:t>–</w:t>
      </w:r>
      <w:r w:rsidR="00975895" w:rsidRPr="003015FD">
        <w:t xml:space="preserve"> </w:t>
      </w:r>
      <w:r w:rsidRPr="003015FD">
        <w:t>findings</w:t>
      </w:r>
      <w:r w:rsidR="00975895" w:rsidRPr="003015FD">
        <w:t xml:space="preserve"> </w:t>
      </w:r>
      <w:r w:rsidRPr="003015FD">
        <w:t>that</w:t>
      </w:r>
      <w:r w:rsidR="00975895" w:rsidRPr="003015FD">
        <w:t xml:space="preserve"> </w:t>
      </w:r>
      <w:r w:rsidRPr="003015FD">
        <w:t>relate</w:t>
      </w:r>
      <w:r w:rsidR="00975895" w:rsidRPr="003015FD">
        <w:t xml:space="preserve"> </w:t>
      </w:r>
      <w:r w:rsidRPr="003015FD">
        <w:t>to</w:t>
      </w:r>
      <w:r w:rsidR="00975895" w:rsidRPr="003015FD">
        <w:t xml:space="preserve"> </w:t>
      </w:r>
      <w:r w:rsidRPr="003015FD">
        <w:t>less</w:t>
      </w:r>
      <w:r w:rsidR="00975895" w:rsidRPr="003015FD">
        <w:t xml:space="preserve"> </w:t>
      </w:r>
      <w:r w:rsidRPr="003015FD">
        <w:t>than</w:t>
      </w:r>
      <w:r w:rsidR="00975895" w:rsidRPr="003015FD">
        <w:t xml:space="preserve"> </w:t>
      </w:r>
      <w:r w:rsidRPr="003015FD">
        <w:t>a</w:t>
      </w:r>
      <w:r w:rsidR="00975895" w:rsidRPr="003015FD">
        <w:t xml:space="preserve"> </w:t>
      </w:r>
      <w:r w:rsidRPr="003015FD">
        <w:t>quarter</w:t>
      </w:r>
      <w:r w:rsidR="00975895" w:rsidRPr="003015FD">
        <w:t xml:space="preserve"> </w:t>
      </w:r>
      <w:r w:rsidRPr="003015FD">
        <w:t>of</w:t>
      </w:r>
      <w:r w:rsidR="00975895" w:rsidRPr="003015FD">
        <w:t xml:space="preserve"> </w:t>
      </w:r>
      <w:r w:rsidRPr="003015FD">
        <w:t>research</w:t>
      </w:r>
      <w:r w:rsidR="00975895" w:rsidRPr="003015FD">
        <w:t xml:space="preserve"> </w:t>
      </w:r>
      <w:r w:rsidRPr="003015FD">
        <w:t>participants.</w:t>
      </w:r>
    </w:p>
    <w:p w14:paraId="24FB2EE2" w14:textId="54AE9696" w:rsidR="008E0945" w:rsidRPr="003015FD" w:rsidRDefault="004A60C5" w:rsidP="003A3F4F">
      <w:pPr>
        <w:pStyle w:val="Heading3"/>
      </w:pPr>
      <w:bookmarkStart w:id="58" w:name="_Toc15045108"/>
      <w:r w:rsidRPr="003015FD">
        <w:t>2.6.4</w:t>
      </w:r>
      <w:r w:rsidRPr="003015FD">
        <w:tab/>
      </w:r>
      <w:r w:rsidR="008E0945" w:rsidRPr="003015FD">
        <w:t>Our</w:t>
      </w:r>
      <w:r w:rsidR="00975895" w:rsidRPr="003015FD">
        <w:t xml:space="preserve"> </w:t>
      </w:r>
      <w:r w:rsidR="008E0945" w:rsidRPr="003015FD">
        <w:t>approach</w:t>
      </w:r>
      <w:r w:rsidR="00975895" w:rsidRPr="003015FD">
        <w:t xml:space="preserve"> </w:t>
      </w:r>
      <w:r w:rsidR="008E0945" w:rsidRPr="003015FD">
        <w:t>to</w:t>
      </w:r>
      <w:r w:rsidR="00975895" w:rsidRPr="003015FD">
        <w:t xml:space="preserve"> </w:t>
      </w:r>
      <w:r w:rsidR="008E0945" w:rsidRPr="003015FD">
        <w:t>scoring</w:t>
      </w:r>
      <w:bookmarkEnd w:id="58"/>
    </w:p>
    <w:p w14:paraId="5342627A" w14:textId="48D3D8A0" w:rsidR="008E0945" w:rsidRPr="003015FD" w:rsidRDefault="008E0945" w:rsidP="003A3F4F">
      <w:r w:rsidRPr="003015FD">
        <w:t>Results</w:t>
      </w:r>
      <w:r w:rsidR="00975895" w:rsidRPr="003015FD">
        <w:t xml:space="preserve"> </w:t>
      </w:r>
      <w:r w:rsidRPr="003015FD">
        <w:t>have</w:t>
      </w:r>
      <w:r w:rsidR="00975895" w:rsidRPr="003015FD">
        <w:t xml:space="preserve"> </w:t>
      </w:r>
      <w:r w:rsidRPr="003015FD">
        <w:t>been</w:t>
      </w:r>
      <w:r w:rsidR="00975895" w:rsidRPr="003015FD">
        <w:t xml:space="preserve"> </w:t>
      </w:r>
      <w:r w:rsidRPr="003015FD">
        <w:t>summarised</w:t>
      </w:r>
      <w:r w:rsidR="00975895" w:rsidRPr="003015FD">
        <w:t xml:space="preserve"> </w:t>
      </w:r>
      <w:r w:rsidRPr="003015FD">
        <w:t>via</w:t>
      </w:r>
      <w:r w:rsidR="00975895" w:rsidRPr="003015FD">
        <w:t xml:space="preserve"> </w:t>
      </w:r>
      <w:r w:rsidRPr="003015FD">
        <w:t>the</w:t>
      </w:r>
      <w:r w:rsidR="00975895" w:rsidRPr="003015FD">
        <w:t xml:space="preserve"> </w:t>
      </w:r>
      <w:r w:rsidRPr="003015FD">
        <w:t>use</w:t>
      </w:r>
      <w:r w:rsidR="00975895" w:rsidRPr="003015FD">
        <w:t xml:space="preserve"> </w:t>
      </w:r>
      <w:r w:rsidRPr="003015FD">
        <w:t>of</w:t>
      </w:r>
      <w:r w:rsidR="00975895" w:rsidRPr="003015FD">
        <w:t xml:space="preserve"> </w:t>
      </w:r>
      <w:r w:rsidRPr="003015FD">
        <w:t>composite</w:t>
      </w:r>
      <w:r w:rsidR="00975895" w:rsidRPr="003015FD">
        <w:t xml:space="preserve"> </w:t>
      </w:r>
      <w:r w:rsidRPr="003015FD">
        <w:t>measures.</w:t>
      </w:r>
      <w:r w:rsidR="00975895" w:rsidRPr="003015FD">
        <w:t xml:space="preserve"> </w:t>
      </w:r>
      <w:r w:rsidRPr="003015FD">
        <w:t>These</w:t>
      </w:r>
      <w:r w:rsidR="00975895" w:rsidRPr="003015FD">
        <w:t xml:space="preserve"> </w:t>
      </w:r>
      <w:r w:rsidRPr="003015FD">
        <w:t>combine</w:t>
      </w:r>
      <w:r w:rsidR="00975895" w:rsidRPr="003015FD">
        <w:t xml:space="preserve"> </w:t>
      </w:r>
      <w:r w:rsidRPr="003015FD">
        <w:t>results</w:t>
      </w:r>
      <w:r w:rsidR="00975895" w:rsidRPr="003015FD">
        <w:t xml:space="preserve"> </w:t>
      </w:r>
      <w:r w:rsidRPr="003015FD">
        <w:t>of</w:t>
      </w:r>
      <w:r w:rsidR="00975895" w:rsidRPr="003015FD">
        <w:t xml:space="preserve"> </w:t>
      </w:r>
      <w:r w:rsidRPr="003015FD">
        <w:t>related</w:t>
      </w:r>
      <w:r w:rsidR="00975895" w:rsidRPr="003015FD">
        <w:t xml:space="preserve"> </w:t>
      </w:r>
      <w:r w:rsidRPr="003015FD">
        <w:t>questions</w:t>
      </w:r>
      <w:r w:rsidR="00975895" w:rsidRPr="003015FD">
        <w:t xml:space="preserve"> </w:t>
      </w:r>
      <w:r w:rsidRPr="003015FD">
        <w:t>under</w:t>
      </w:r>
      <w:r w:rsidR="00975895" w:rsidRPr="003015FD">
        <w:t xml:space="preserve"> </w:t>
      </w:r>
      <w:r w:rsidRPr="003015FD">
        <w:t>each</w:t>
      </w:r>
      <w:r w:rsidR="00975895" w:rsidRPr="003015FD">
        <w:t xml:space="preserve"> </w:t>
      </w:r>
      <w:r w:rsidRPr="003015FD">
        <w:t>influence</w:t>
      </w:r>
      <w:r w:rsidR="00975895" w:rsidRPr="003015FD">
        <w:t xml:space="preserve"> </w:t>
      </w:r>
      <w:r w:rsidRPr="003015FD">
        <w:t>on</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to</w:t>
      </w:r>
      <w:r w:rsidR="00975895" w:rsidRPr="003015FD">
        <w:t xml:space="preserve"> </w:t>
      </w:r>
      <w:r w:rsidRPr="003015FD">
        <w:t>provide</w:t>
      </w:r>
      <w:r w:rsidR="00975895" w:rsidRPr="003015FD">
        <w:t xml:space="preserve"> </w:t>
      </w:r>
      <w:r w:rsidRPr="003015FD">
        <w:t>a</w:t>
      </w:r>
      <w:r w:rsidR="00975895" w:rsidRPr="003015FD">
        <w:t xml:space="preserve"> </w:t>
      </w:r>
      <w:r w:rsidRPr="003015FD">
        <w:t>score.</w:t>
      </w:r>
      <w:r w:rsidR="00975895" w:rsidRPr="003015FD">
        <w:t xml:space="preserve"> </w:t>
      </w:r>
      <w:r w:rsidRPr="003015FD">
        <w:t>Scores</w:t>
      </w:r>
      <w:r w:rsidR="00975895" w:rsidRPr="003015FD">
        <w:t xml:space="preserve"> </w:t>
      </w:r>
      <w:r w:rsidRPr="003015FD">
        <w:t>are</w:t>
      </w:r>
      <w:r w:rsidR="00975895" w:rsidRPr="003015FD">
        <w:t xml:space="preserve"> </w:t>
      </w:r>
      <w:r w:rsidRPr="003015FD">
        <w:t>calculated</w:t>
      </w:r>
      <w:r w:rsidR="00975895" w:rsidRPr="003015FD">
        <w:t xml:space="preserve"> </w:t>
      </w:r>
      <w:r w:rsidRPr="003015FD">
        <w:t>through</w:t>
      </w:r>
      <w:r w:rsidR="00975895" w:rsidRPr="003015FD">
        <w:t xml:space="preserve"> </w:t>
      </w:r>
      <w:r w:rsidRPr="003015FD">
        <w:t>a</w:t>
      </w:r>
      <w:r w:rsidR="00975895" w:rsidRPr="003015FD">
        <w:t xml:space="preserve"> </w:t>
      </w:r>
      <w:r w:rsidRPr="003015FD">
        <w:t>points-based</w:t>
      </w:r>
      <w:r w:rsidR="00975895" w:rsidRPr="003015FD">
        <w:t xml:space="preserve"> </w:t>
      </w:r>
      <w:r w:rsidRPr="003015FD">
        <w:t>approach.</w:t>
      </w:r>
      <w:r w:rsidR="00975895" w:rsidRPr="003015FD">
        <w:t xml:space="preserve"> </w:t>
      </w:r>
      <w:r w:rsidRPr="003015FD">
        <w:t>Respondents</w:t>
      </w:r>
      <w:r w:rsidR="00975895" w:rsidRPr="003015FD">
        <w:t xml:space="preserve"> </w:t>
      </w:r>
      <w:r w:rsidRPr="003015FD">
        <w:t>are</w:t>
      </w:r>
      <w:r w:rsidR="00975895" w:rsidRPr="003015FD">
        <w:t xml:space="preserve"> </w:t>
      </w:r>
      <w:r w:rsidRPr="003015FD">
        <w:t>awarded</w:t>
      </w:r>
      <w:r w:rsidR="00975895" w:rsidRPr="003015FD">
        <w:t xml:space="preserve"> </w:t>
      </w:r>
      <w:r w:rsidRPr="003015FD">
        <w:t>points</w:t>
      </w:r>
      <w:r w:rsidR="00975895" w:rsidRPr="003015FD">
        <w:t xml:space="preserve"> </w:t>
      </w:r>
      <w:r w:rsidRPr="003015FD">
        <w:t>based</w:t>
      </w:r>
      <w:r w:rsidR="00975895" w:rsidRPr="003015FD">
        <w:t xml:space="preserve"> </w:t>
      </w:r>
      <w:r w:rsidRPr="003015FD">
        <w:t>on</w:t>
      </w:r>
      <w:r w:rsidR="00975895" w:rsidRPr="003015FD">
        <w:t xml:space="preserve"> </w:t>
      </w:r>
      <w:r w:rsidRPr="003015FD">
        <w:t>the</w:t>
      </w:r>
      <w:r w:rsidR="00975895" w:rsidRPr="003015FD">
        <w:t xml:space="preserve"> </w:t>
      </w:r>
      <w:r w:rsidRPr="003015FD">
        <w:t>answers</w:t>
      </w:r>
      <w:r w:rsidR="00975895" w:rsidRPr="003015FD">
        <w:t xml:space="preserve"> </w:t>
      </w:r>
      <w:r w:rsidRPr="003015FD">
        <w:t>they</w:t>
      </w:r>
      <w:r w:rsidR="00975895" w:rsidRPr="003015FD">
        <w:t xml:space="preserve"> </w:t>
      </w:r>
      <w:r w:rsidRPr="003015FD">
        <w:t>provided.</w:t>
      </w:r>
      <w:r w:rsidR="00975895" w:rsidRPr="003015FD">
        <w:t xml:space="preserve"> </w:t>
      </w:r>
      <w:r w:rsidRPr="003015FD">
        <w:t>The</w:t>
      </w:r>
      <w:r w:rsidR="00975895" w:rsidRPr="003015FD">
        <w:t xml:space="preserve"> </w:t>
      </w:r>
      <w:r w:rsidRPr="003015FD">
        <w:t>score</w:t>
      </w:r>
      <w:r w:rsidR="00975895" w:rsidRPr="003015FD">
        <w:t xml:space="preserve"> </w:t>
      </w:r>
      <w:r w:rsidRPr="003015FD">
        <w:t>is</w:t>
      </w:r>
      <w:r w:rsidR="00975895" w:rsidRPr="003015FD">
        <w:t xml:space="preserve"> </w:t>
      </w:r>
      <w:r w:rsidRPr="003015FD">
        <w:t>the</w:t>
      </w:r>
      <w:r w:rsidR="00975895" w:rsidRPr="003015FD">
        <w:t xml:space="preserve"> </w:t>
      </w:r>
      <w:r w:rsidRPr="003015FD">
        <w:t>total</w:t>
      </w:r>
      <w:r w:rsidR="00975895" w:rsidRPr="003015FD">
        <w:t xml:space="preserve"> </w:t>
      </w:r>
      <w:r w:rsidRPr="003015FD">
        <w:t>points</w:t>
      </w:r>
      <w:r w:rsidR="00975895" w:rsidRPr="003015FD">
        <w:t xml:space="preserve"> </w:t>
      </w:r>
      <w:r w:rsidRPr="003015FD">
        <w:t>awarded</w:t>
      </w:r>
      <w:r w:rsidR="00975895" w:rsidRPr="003015FD">
        <w:t xml:space="preserve"> </w:t>
      </w:r>
      <w:r w:rsidRPr="003015FD">
        <w:t>transformed</w:t>
      </w:r>
      <w:r w:rsidR="00975895" w:rsidRPr="003015FD">
        <w:t xml:space="preserve"> </w:t>
      </w:r>
      <w:r w:rsidRPr="003015FD">
        <w:t>to</w:t>
      </w:r>
      <w:r w:rsidR="00975895" w:rsidRPr="003015FD">
        <w:t xml:space="preserve"> </w:t>
      </w:r>
      <w:r w:rsidRPr="003015FD">
        <w:t>a</w:t>
      </w:r>
      <w:r w:rsidR="00975895" w:rsidRPr="003015FD">
        <w:t xml:space="preserve"> </w:t>
      </w:r>
      <w:r w:rsidRPr="003015FD">
        <w:t>100-point</w:t>
      </w:r>
      <w:r w:rsidR="00975895" w:rsidRPr="003015FD">
        <w:t xml:space="preserve"> </w:t>
      </w:r>
      <w:r w:rsidRPr="003015FD">
        <w:t>scale.</w:t>
      </w:r>
      <w:r w:rsidR="00975895" w:rsidRPr="003015FD">
        <w:t xml:space="preserve"> </w:t>
      </w:r>
    </w:p>
    <w:p w14:paraId="34C8BC03" w14:textId="022A4DB1" w:rsidR="008E0945" w:rsidRPr="003015FD" w:rsidRDefault="008E0945" w:rsidP="003A3F4F">
      <w:r w:rsidRPr="003015FD">
        <w:t>For</w:t>
      </w:r>
      <w:r w:rsidR="00975895" w:rsidRPr="003015FD">
        <w:t xml:space="preserve"> </w:t>
      </w:r>
      <w:r w:rsidRPr="003015FD">
        <w:t>example,</w:t>
      </w:r>
      <w:r w:rsidR="00975895" w:rsidRPr="003015FD">
        <w:t xml:space="preserve"> </w:t>
      </w:r>
      <w:r w:rsidRPr="003015FD">
        <w:t>a</w:t>
      </w:r>
      <w:r w:rsidR="00975895" w:rsidRPr="003015FD">
        <w:t xml:space="preserve"> </w:t>
      </w:r>
      <w:r w:rsidRPr="003015FD">
        <w:t>score</w:t>
      </w:r>
      <w:r w:rsidR="00975895" w:rsidRPr="003015FD">
        <w:t xml:space="preserve"> </w:t>
      </w:r>
      <w:r w:rsidRPr="003015FD">
        <w:t>of</w:t>
      </w:r>
      <w:r w:rsidR="00975895" w:rsidRPr="003015FD">
        <w:t xml:space="preserve"> </w:t>
      </w:r>
      <w:r w:rsidRPr="003015FD">
        <w:t>0</w:t>
      </w:r>
      <w:r w:rsidR="00975895" w:rsidRPr="003015FD">
        <w:t xml:space="preserve"> </w:t>
      </w:r>
      <w:r w:rsidRPr="003015FD">
        <w:t>indicates</w:t>
      </w:r>
      <w:r w:rsidR="00975895" w:rsidRPr="003015FD">
        <w:t xml:space="preserve"> </w:t>
      </w:r>
      <w:r w:rsidRPr="003015FD">
        <w:t>no</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reported</w:t>
      </w:r>
      <w:r w:rsidR="00975895" w:rsidRPr="003015FD">
        <w:t xml:space="preserve"> </w:t>
      </w:r>
      <w:r w:rsidRPr="003015FD">
        <w:t>conducting</w:t>
      </w:r>
      <w:r w:rsidR="00975895" w:rsidRPr="003015FD">
        <w:t xml:space="preserve"> </w:t>
      </w:r>
      <w:r w:rsidRPr="003015FD">
        <w:t>any</w:t>
      </w:r>
      <w:r w:rsidR="00975895" w:rsidRPr="003015FD">
        <w:t xml:space="preserve"> </w:t>
      </w:r>
      <w:r w:rsidRPr="003015FD">
        <w:t>of</w:t>
      </w:r>
      <w:r w:rsidR="00975895" w:rsidRPr="003015FD">
        <w:t xml:space="preserve"> </w:t>
      </w:r>
      <w:r w:rsidRPr="003015FD">
        <w:t>the</w:t>
      </w:r>
      <w:r w:rsidR="00975895" w:rsidRPr="003015FD">
        <w:t xml:space="preserve"> </w:t>
      </w:r>
      <w:r w:rsidRPr="003015FD">
        <w:t>items</w:t>
      </w:r>
      <w:r w:rsidR="00975895" w:rsidRPr="003015FD">
        <w:t xml:space="preserve"> </w:t>
      </w:r>
      <w:r w:rsidRPr="003015FD">
        <w:t>used</w:t>
      </w:r>
      <w:r w:rsidR="00975895" w:rsidRPr="003015FD">
        <w:t xml:space="preserve"> </w:t>
      </w:r>
      <w:r w:rsidRPr="003015FD">
        <w:t>to</w:t>
      </w:r>
      <w:r w:rsidR="00975895" w:rsidRPr="003015FD">
        <w:t xml:space="preserve"> </w:t>
      </w:r>
      <w:r w:rsidRPr="003015FD">
        <w:t>measure</w:t>
      </w:r>
      <w:r w:rsidR="00975895" w:rsidRPr="003015FD">
        <w:t xml:space="preserve"> </w:t>
      </w:r>
      <w:r w:rsidRPr="003015FD">
        <w:t>performance</w:t>
      </w:r>
      <w:r w:rsidR="00975895" w:rsidRPr="003015FD">
        <w:t xml:space="preserve"> </w:t>
      </w:r>
      <w:r w:rsidRPr="003015FD">
        <w:t>in</w:t>
      </w:r>
      <w:r w:rsidR="00975895" w:rsidRPr="003015FD">
        <w:t xml:space="preserve"> </w:t>
      </w:r>
      <w:r w:rsidRPr="003015FD">
        <w:t>a</w:t>
      </w:r>
      <w:r w:rsidR="00975895" w:rsidRPr="003015FD">
        <w:t xml:space="preserve"> </w:t>
      </w:r>
      <w:r w:rsidRPr="003015FD">
        <w:t>particular</w:t>
      </w:r>
      <w:r w:rsidR="00975895" w:rsidRPr="003015FD">
        <w:t xml:space="preserve"> </w:t>
      </w:r>
      <w:r w:rsidRPr="003015FD">
        <w:t>influence</w:t>
      </w:r>
      <w:r w:rsidR="00975895" w:rsidRPr="003015FD">
        <w:t xml:space="preserve"> </w:t>
      </w:r>
      <w:r w:rsidRPr="003015FD">
        <w:t>on</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A</w:t>
      </w:r>
      <w:r w:rsidR="00975895" w:rsidRPr="003015FD">
        <w:t xml:space="preserve"> </w:t>
      </w:r>
      <w:r w:rsidRPr="003015FD">
        <w:t>score</w:t>
      </w:r>
      <w:r w:rsidR="00975895" w:rsidRPr="003015FD">
        <w:t xml:space="preserve"> </w:t>
      </w:r>
      <w:r w:rsidRPr="003015FD">
        <w:t>of</w:t>
      </w:r>
      <w:r w:rsidR="00975895" w:rsidRPr="003015FD">
        <w:t xml:space="preserve"> </w:t>
      </w:r>
      <w:r w:rsidRPr="003015FD">
        <w:t>100</w:t>
      </w:r>
      <w:r w:rsidR="00975895" w:rsidRPr="003015FD">
        <w:t xml:space="preserve"> </w:t>
      </w:r>
      <w:r w:rsidRPr="003015FD">
        <w:t>indicates</w:t>
      </w:r>
      <w:r w:rsidR="00975895" w:rsidRPr="003015FD">
        <w:t xml:space="preserve"> </w:t>
      </w:r>
      <w:r w:rsidRPr="003015FD">
        <w:t>all</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surveyed</w:t>
      </w:r>
      <w:r w:rsidR="00975895" w:rsidRPr="003015FD">
        <w:t xml:space="preserve"> </w:t>
      </w:r>
      <w:r w:rsidRPr="003015FD">
        <w:t>conducted</w:t>
      </w:r>
      <w:r w:rsidR="00975895" w:rsidRPr="003015FD">
        <w:t xml:space="preserve"> </w:t>
      </w:r>
      <w:r w:rsidRPr="003015FD">
        <w:t>all</w:t>
      </w:r>
      <w:r w:rsidR="00975895" w:rsidRPr="003015FD">
        <w:t xml:space="preserve"> </w:t>
      </w:r>
      <w:r w:rsidRPr="003015FD">
        <w:t>items.</w:t>
      </w:r>
    </w:p>
    <w:p w14:paraId="13E182D4" w14:textId="03510C66" w:rsidR="008E0945" w:rsidRPr="003015FD" w:rsidRDefault="008E0945" w:rsidP="003A3F4F">
      <w:r w:rsidRPr="003015FD">
        <w:t>See</w:t>
      </w:r>
      <w:r w:rsidR="00975895" w:rsidRPr="003015FD">
        <w:t xml:space="preserve"> </w:t>
      </w:r>
      <w:r w:rsidRPr="003015FD">
        <w:t>Appendix</w:t>
      </w:r>
      <w:r w:rsidR="00975895" w:rsidRPr="003015FD">
        <w:t xml:space="preserve"> </w:t>
      </w:r>
      <w:r w:rsidR="00082CF3" w:rsidRPr="003015FD">
        <w:t>D</w:t>
      </w:r>
      <w:r w:rsidR="00975895" w:rsidRPr="003015FD">
        <w:t xml:space="preserve"> </w:t>
      </w:r>
      <w:r w:rsidRPr="003015FD">
        <w:t>for</w:t>
      </w:r>
      <w:r w:rsidR="00975895" w:rsidRPr="003015FD">
        <w:t xml:space="preserve"> </w:t>
      </w:r>
      <w:r w:rsidRPr="003015FD">
        <w:t>full</w:t>
      </w:r>
      <w:r w:rsidR="00975895" w:rsidRPr="003015FD">
        <w:t xml:space="preserve"> </w:t>
      </w:r>
      <w:r w:rsidRPr="003015FD">
        <w:t>details</w:t>
      </w:r>
      <w:r w:rsidR="00975895" w:rsidRPr="003015FD">
        <w:t xml:space="preserve"> </w:t>
      </w:r>
      <w:r w:rsidRPr="003015FD">
        <w:t>of</w:t>
      </w:r>
      <w:r w:rsidR="00975895" w:rsidRPr="003015FD">
        <w:t xml:space="preserve"> </w:t>
      </w:r>
      <w:r w:rsidRPr="003015FD">
        <w:t>the</w:t>
      </w:r>
      <w:r w:rsidR="00975895" w:rsidRPr="003015FD">
        <w:t xml:space="preserve"> </w:t>
      </w:r>
      <w:r w:rsidRPr="003015FD">
        <w:t>scoring</w:t>
      </w:r>
      <w:r w:rsidR="00975895" w:rsidRPr="003015FD">
        <w:t xml:space="preserve"> </w:t>
      </w:r>
      <w:r w:rsidRPr="003015FD">
        <w:t>scheme.</w:t>
      </w:r>
      <w:r w:rsidR="00975895" w:rsidRPr="003015FD">
        <w:t xml:space="preserve"> </w:t>
      </w:r>
    </w:p>
    <w:p w14:paraId="4D64BA49" w14:textId="2BF3316E" w:rsidR="008E0945" w:rsidRPr="003015FD" w:rsidRDefault="004A60C5" w:rsidP="003A3F4F">
      <w:pPr>
        <w:pStyle w:val="Heading2"/>
      </w:pPr>
      <w:bookmarkStart w:id="59" w:name="_Toc8224940"/>
      <w:bookmarkStart w:id="60" w:name="_Toc15045109"/>
      <w:bookmarkStart w:id="61" w:name="_Toc22011531"/>
      <w:r w:rsidRPr="003015FD">
        <w:t>2.7</w:t>
      </w:r>
      <w:r w:rsidRPr="003015FD">
        <w:tab/>
      </w:r>
      <w:r w:rsidR="008E0945" w:rsidRPr="003015FD">
        <w:t>Full</w:t>
      </w:r>
      <w:r w:rsidR="00975895" w:rsidRPr="003015FD">
        <w:t xml:space="preserve"> </w:t>
      </w:r>
      <w:r w:rsidR="008E0945" w:rsidRPr="003015FD">
        <w:t>analysis</w:t>
      </w:r>
      <w:r w:rsidR="00975895" w:rsidRPr="003015FD">
        <w:t xml:space="preserve"> </w:t>
      </w:r>
      <w:r w:rsidR="008E0945" w:rsidRPr="003015FD">
        <w:t>and</w:t>
      </w:r>
      <w:r w:rsidR="00975895" w:rsidRPr="003015FD">
        <w:t xml:space="preserve"> </w:t>
      </w:r>
      <w:r w:rsidR="008E0945" w:rsidRPr="003015FD">
        <w:t>findings</w:t>
      </w:r>
      <w:bookmarkEnd w:id="59"/>
      <w:bookmarkEnd w:id="60"/>
      <w:bookmarkEnd w:id="61"/>
    </w:p>
    <w:p w14:paraId="2C4B4FFF" w14:textId="2BBC104C" w:rsidR="008E0945" w:rsidRPr="003015FD" w:rsidRDefault="004A60C5" w:rsidP="003A3F4F">
      <w:pPr>
        <w:pStyle w:val="Heading3"/>
      </w:pPr>
      <w:bookmarkStart w:id="62" w:name="_Toc15045110"/>
      <w:r w:rsidRPr="003015FD">
        <w:t>2.7.1</w:t>
      </w:r>
      <w:r w:rsidRPr="003015FD">
        <w:tab/>
      </w:r>
      <w:r w:rsidR="008E0945" w:rsidRPr="003015FD">
        <w:t>Snapshot</w:t>
      </w:r>
      <w:r w:rsidR="00975895" w:rsidRPr="003015FD">
        <w:t xml:space="preserve"> </w:t>
      </w:r>
      <w:r w:rsidR="008E0945" w:rsidRPr="003015FD">
        <w:t>of</w:t>
      </w:r>
      <w:r w:rsidR="00975895" w:rsidRPr="003015FD">
        <w:t xml:space="preserve"> </w:t>
      </w:r>
      <w:r w:rsidR="008E0945" w:rsidRPr="003015FD">
        <w:t>overall</w:t>
      </w:r>
      <w:r w:rsidR="00975895" w:rsidRPr="003015FD">
        <w:t xml:space="preserve"> </w:t>
      </w:r>
      <w:r w:rsidR="008E0945" w:rsidRPr="003015FD">
        <w:t>results</w:t>
      </w:r>
      <w:bookmarkEnd w:id="62"/>
    </w:p>
    <w:p w14:paraId="6048BC6E" w14:textId="0E61952C" w:rsidR="008E0945" w:rsidRPr="0002642E" w:rsidRDefault="003B428A" w:rsidP="003A3F4F">
      <w:r>
        <w:t>Figure 2</w:t>
      </w:r>
      <w:r w:rsidR="00975895" w:rsidRPr="003015FD">
        <w:t xml:space="preserve"> </w:t>
      </w:r>
      <w:r w:rsidR="008E0945" w:rsidRPr="003015FD">
        <w:t>shows</w:t>
      </w:r>
      <w:r w:rsidR="00975895" w:rsidRPr="003015FD">
        <w:t xml:space="preserve"> </w:t>
      </w:r>
      <w:r w:rsidR="008E0945" w:rsidRPr="003015FD">
        <w:t>the</w:t>
      </w:r>
      <w:r w:rsidR="00975895" w:rsidRPr="003015FD">
        <w:t xml:space="preserve"> </w:t>
      </w:r>
      <w:r w:rsidR="008E0945" w:rsidRPr="003015FD">
        <w:t>average</w:t>
      </w:r>
      <w:r w:rsidR="00975895" w:rsidRPr="003015FD">
        <w:t xml:space="preserve"> </w:t>
      </w:r>
      <w:r w:rsidR="008E0945" w:rsidRPr="003015FD">
        <w:t>performance</w:t>
      </w:r>
      <w:r w:rsidR="00975895" w:rsidRPr="003015FD">
        <w:t xml:space="preserve"> </w:t>
      </w:r>
      <w:r w:rsidR="008E0945" w:rsidRPr="003015FD">
        <w:t>across</w:t>
      </w:r>
      <w:r w:rsidR="00975895" w:rsidRPr="003015FD">
        <w:t xml:space="preserve"> </w:t>
      </w:r>
      <w:r w:rsidR="008E0945" w:rsidRPr="003015FD">
        <w:t>all</w:t>
      </w:r>
      <w:r w:rsidR="00975895" w:rsidRPr="003015FD">
        <w:t xml:space="preserve"> </w:t>
      </w:r>
      <w:r w:rsidR="008E0945" w:rsidRPr="003015FD">
        <w:t>participating</w:t>
      </w:r>
      <w:r w:rsidR="00975895" w:rsidRPr="003015FD">
        <w:t xml:space="preserve"> </w:t>
      </w:r>
      <w:r w:rsidR="008E0945" w:rsidRPr="003015FD">
        <w:t>public</w:t>
      </w:r>
      <w:r w:rsidR="00975895" w:rsidRPr="003015FD">
        <w:t xml:space="preserve"> </w:t>
      </w:r>
      <w:r w:rsidR="008E0945" w:rsidRPr="003015FD">
        <w:t>authorities</w:t>
      </w:r>
      <w:r w:rsidR="00975895" w:rsidRPr="003015FD">
        <w:t xml:space="preserve"> </w:t>
      </w:r>
      <w:r w:rsidR="008E0945" w:rsidRPr="003015FD">
        <w:t>in</w:t>
      </w:r>
      <w:r w:rsidR="00975895" w:rsidRPr="003015FD">
        <w:t xml:space="preserve"> </w:t>
      </w:r>
      <w:r w:rsidR="008E0945" w:rsidRPr="003015FD">
        <w:t>relation</w:t>
      </w:r>
      <w:r w:rsidR="00975895" w:rsidRPr="003015FD">
        <w:t xml:space="preserve"> </w:t>
      </w:r>
      <w:r w:rsidR="008E0945" w:rsidRPr="003015FD">
        <w:t>to</w:t>
      </w:r>
      <w:r w:rsidR="00975895" w:rsidRPr="003015FD">
        <w:t xml:space="preserve"> </w:t>
      </w:r>
      <w:r w:rsidR="008E0945" w:rsidRPr="003015FD">
        <w:t>each</w:t>
      </w:r>
      <w:r w:rsidR="00975895" w:rsidRPr="003015FD">
        <w:t xml:space="preserve"> </w:t>
      </w:r>
      <w:r w:rsidR="008E0945" w:rsidRPr="003015FD">
        <w:t>influence</w:t>
      </w:r>
      <w:r w:rsidR="00975895" w:rsidRPr="003015FD">
        <w:t xml:space="preserve"> </w:t>
      </w:r>
      <w:r w:rsidR="008E0945" w:rsidRPr="003015FD">
        <w:t>on</w:t>
      </w:r>
      <w:r w:rsidR="00975895" w:rsidRPr="003015FD">
        <w:t xml:space="preserve"> </w:t>
      </w:r>
      <w:r w:rsidR="008E0945" w:rsidRPr="003015FD">
        <w:t>a</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culture</w:t>
      </w:r>
      <w:r w:rsidR="00CB0CF1" w:rsidRPr="003015FD">
        <w:t>,</w:t>
      </w:r>
      <w:r w:rsidR="00975895" w:rsidRPr="003015FD">
        <w:t xml:space="preserve"> </w:t>
      </w:r>
      <w:r w:rsidR="00CB0CF1" w:rsidRPr="003015FD">
        <w:t>by</w:t>
      </w:r>
      <w:r w:rsidR="00975895" w:rsidRPr="003015FD">
        <w:t xml:space="preserve"> </w:t>
      </w:r>
      <w:r w:rsidR="00CB0CF1" w:rsidRPr="003015FD">
        <w:t>category</w:t>
      </w:r>
      <w:r w:rsidR="00975895" w:rsidRPr="003015FD">
        <w:t xml:space="preserve"> </w:t>
      </w:r>
      <w:r w:rsidR="00CB0CF1" w:rsidRPr="003015FD">
        <w:t>(the</w:t>
      </w:r>
      <w:r w:rsidR="00975895" w:rsidRPr="003015FD">
        <w:t xml:space="preserve"> </w:t>
      </w:r>
      <w:r w:rsidR="00CB0CF1" w:rsidRPr="003015FD">
        <w:t>combined</w:t>
      </w:r>
      <w:r w:rsidR="00975895" w:rsidRPr="003015FD">
        <w:t xml:space="preserve"> </w:t>
      </w:r>
      <w:r w:rsidR="00CB0CF1" w:rsidRPr="003015FD">
        <w:t>point</w:t>
      </w:r>
      <w:r w:rsidR="00975895" w:rsidRPr="003015FD">
        <w:t xml:space="preserve"> </w:t>
      </w:r>
      <w:r w:rsidR="00CB0CF1" w:rsidRPr="003015FD">
        <w:t>score</w:t>
      </w:r>
      <w:r w:rsidR="00975895" w:rsidRPr="003015FD">
        <w:t xml:space="preserve"> </w:t>
      </w:r>
      <w:r w:rsidR="00CB0CF1" w:rsidRPr="003015FD">
        <w:t>of</w:t>
      </w:r>
      <w:r w:rsidR="00975895" w:rsidRPr="003015FD">
        <w:t xml:space="preserve"> </w:t>
      </w:r>
      <w:r w:rsidR="00CB0CF1" w:rsidRPr="003015FD">
        <w:t>public</w:t>
      </w:r>
      <w:r w:rsidR="00975895" w:rsidRPr="003015FD">
        <w:t xml:space="preserve"> </w:t>
      </w:r>
      <w:r w:rsidR="00CB0CF1" w:rsidRPr="003015FD">
        <w:t>authorities</w:t>
      </w:r>
      <w:r w:rsidR="00975895" w:rsidRPr="003015FD">
        <w:t xml:space="preserve"> </w:t>
      </w:r>
      <w:r w:rsidR="00CB0CF1" w:rsidRPr="003015FD">
        <w:t>in</w:t>
      </w:r>
      <w:r w:rsidR="00975895" w:rsidRPr="003015FD">
        <w:t xml:space="preserve"> </w:t>
      </w:r>
      <w:r w:rsidR="00CB0CF1" w:rsidRPr="003015FD">
        <w:t>each</w:t>
      </w:r>
      <w:r w:rsidR="00975895" w:rsidRPr="003015FD">
        <w:t xml:space="preserve"> </w:t>
      </w:r>
      <w:r w:rsidR="00CB0CF1" w:rsidRPr="003015FD">
        <w:t>of</w:t>
      </w:r>
      <w:r w:rsidR="00975895" w:rsidRPr="003015FD">
        <w:t xml:space="preserve"> </w:t>
      </w:r>
      <w:r w:rsidR="00CB0CF1" w:rsidRPr="003015FD">
        <w:t>the</w:t>
      </w:r>
      <w:r w:rsidR="00975895" w:rsidRPr="003015FD">
        <w:t xml:space="preserve"> </w:t>
      </w:r>
      <w:r w:rsidR="00CB0CF1" w:rsidRPr="003015FD">
        <w:t>four</w:t>
      </w:r>
      <w:r w:rsidR="00975895" w:rsidRPr="003015FD">
        <w:t xml:space="preserve"> </w:t>
      </w:r>
      <w:r w:rsidR="00CB0CF1" w:rsidRPr="003015FD">
        <w:t>categories)</w:t>
      </w:r>
      <w:r w:rsidR="00975895" w:rsidRPr="003015FD">
        <w:t xml:space="preserve"> </w:t>
      </w:r>
      <w:r w:rsidR="00CB0CF1" w:rsidRPr="003015FD">
        <w:t>and</w:t>
      </w:r>
      <w:r w:rsidR="00975895" w:rsidRPr="003015FD">
        <w:t xml:space="preserve"> </w:t>
      </w:r>
      <w:r w:rsidR="00CB0CF1" w:rsidRPr="003015FD">
        <w:t>overall</w:t>
      </w:r>
      <w:r w:rsidR="00975895" w:rsidRPr="003015FD">
        <w:t xml:space="preserve"> </w:t>
      </w:r>
      <w:r w:rsidR="00CB0CF1" w:rsidRPr="003015FD">
        <w:t>(the</w:t>
      </w:r>
      <w:r w:rsidR="00975895" w:rsidRPr="003015FD">
        <w:t xml:space="preserve"> </w:t>
      </w:r>
      <w:r w:rsidR="00CB0CF1" w:rsidRPr="003015FD">
        <w:t>combined</w:t>
      </w:r>
      <w:r w:rsidR="00975895" w:rsidRPr="003015FD">
        <w:t xml:space="preserve"> </w:t>
      </w:r>
      <w:r w:rsidR="00CB0CF1" w:rsidRPr="003015FD">
        <w:t>point</w:t>
      </w:r>
      <w:r w:rsidR="00975895" w:rsidRPr="003015FD">
        <w:t xml:space="preserve"> </w:t>
      </w:r>
      <w:r w:rsidR="00CB0CF1" w:rsidRPr="003015FD">
        <w:t>score</w:t>
      </w:r>
      <w:r w:rsidR="00975895" w:rsidRPr="003015FD">
        <w:t xml:space="preserve"> </w:t>
      </w:r>
      <w:r w:rsidR="00CB0CF1" w:rsidRPr="003015FD">
        <w:t>of</w:t>
      </w:r>
      <w:r w:rsidR="00975895" w:rsidRPr="003015FD">
        <w:t xml:space="preserve"> </w:t>
      </w:r>
      <w:r w:rsidR="00CB0CF1" w:rsidRPr="003015FD">
        <w:t>all</w:t>
      </w:r>
      <w:r w:rsidR="00975895" w:rsidRPr="003015FD">
        <w:t xml:space="preserve"> </w:t>
      </w:r>
      <w:r w:rsidR="00CB0CF1" w:rsidRPr="003015FD">
        <w:t>35</w:t>
      </w:r>
      <w:r w:rsidR="00975895" w:rsidRPr="003015FD">
        <w:t xml:space="preserve"> </w:t>
      </w:r>
      <w:r w:rsidR="00CB0CF1" w:rsidRPr="003015FD">
        <w:t>participating</w:t>
      </w:r>
      <w:r w:rsidR="00975895" w:rsidRPr="003015FD">
        <w:t xml:space="preserve"> </w:t>
      </w:r>
      <w:r w:rsidR="00CB0CF1" w:rsidRPr="003015FD">
        <w:t>public</w:t>
      </w:r>
      <w:r w:rsidR="00975895" w:rsidRPr="003015FD">
        <w:t xml:space="preserve"> </w:t>
      </w:r>
      <w:r w:rsidR="00CB0CF1" w:rsidRPr="003015FD">
        <w:t>authorities)</w:t>
      </w:r>
      <w:r w:rsidR="008E0945" w:rsidRPr="003015FD">
        <w:t>.</w:t>
      </w:r>
      <w:r w:rsidR="00975895" w:rsidRPr="003015FD">
        <w:t xml:space="preserve"> </w:t>
      </w:r>
    </w:p>
    <w:p w14:paraId="6171BD26" w14:textId="5D16A564" w:rsidR="008E0945" w:rsidRPr="003015FD" w:rsidRDefault="008E0945" w:rsidP="00A96204">
      <w:pPr>
        <w:pStyle w:val="Caption"/>
      </w:pPr>
      <w:bookmarkStart w:id="63" w:name="_Ref9586484"/>
      <w:r w:rsidRPr="0002642E">
        <w:rPr>
          <w:rStyle w:val="Characterbold"/>
        </w:rPr>
        <w:t>Figure</w:t>
      </w:r>
      <w:r w:rsidR="00975895" w:rsidRPr="0002642E">
        <w:rPr>
          <w:rStyle w:val="Characterbold"/>
          <w:lang w:val="en-GB"/>
        </w:rPr>
        <w:t xml:space="preserve"> </w:t>
      </w:r>
      <w:r w:rsidR="003B428A">
        <w:rPr>
          <w:rStyle w:val="HRVBold"/>
        </w:rPr>
        <w:t>2:</w:t>
      </w:r>
      <w:bookmarkEnd w:id="63"/>
      <w:r w:rsidR="00975895" w:rsidRPr="0002642E">
        <w:rPr>
          <w:rStyle w:val="Characterbold"/>
        </w:rPr>
        <w:t xml:space="preserve"> </w:t>
      </w:r>
      <w:r w:rsidRPr="0002642E">
        <w:rPr>
          <w:rStyle w:val="Characterbold"/>
        </w:rPr>
        <w:t>Overall</w:t>
      </w:r>
      <w:r w:rsidR="00975895" w:rsidRPr="0002642E">
        <w:rPr>
          <w:rStyle w:val="Characterbold"/>
        </w:rPr>
        <w:t xml:space="preserve"> </w:t>
      </w:r>
      <w:r w:rsidRPr="0002642E">
        <w:rPr>
          <w:rStyle w:val="Characterbold"/>
        </w:rPr>
        <w:t>index</w:t>
      </w:r>
      <w:r w:rsidR="00975895" w:rsidRPr="0002642E">
        <w:rPr>
          <w:rStyle w:val="Characterbold"/>
        </w:rPr>
        <w:t xml:space="preserve"> </w:t>
      </w:r>
      <w:r w:rsidRPr="0002642E">
        <w:rPr>
          <w:rStyle w:val="Characterbold"/>
        </w:rPr>
        <w:t>scores</w:t>
      </w:r>
      <w:r w:rsidRPr="004862C5">
        <w:rPr>
          <w:rStyle w:val="FootnoteReference"/>
        </w:rPr>
        <w:footnoteReference w:id="15"/>
      </w:r>
    </w:p>
    <w:p w14:paraId="637237F0" w14:textId="7B78588A" w:rsidR="008E0945" w:rsidRPr="003015FD" w:rsidRDefault="008E0945" w:rsidP="0002642E">
      <w:r w:rsidRPr="003015FD">
        <w:rPr>
          <w:rFonts w:cs="Arial"/>
          <w:szCs w:val="24"/>
        </w:rPr>
        <w:t>(</w:t>
      </w:r>
      <w:r w:rsidRPr="003015FD">
        <w:t>Base:</w:t>
      </w:r>
      <w:r w:rsidR="00975895" w:rsidRPr="003015FD">
        <w:t xml:space="preserve"> </w:t>
      </w:r>
      <w:r w:rsidRPr="003015FD">
        <w:t>all</w:t>
      </w:r>
      <w:r w:rsidR="00975895" w:rsidRPr="003015FD">
        <w:t xml:space="preserve"> </w:t>
      </w:r>
      <w:r w:rsidRPr="003015FD">
        <w:t>respondents)</w:t>
      </w:r>
    </w:p>
    <w:p w14:paraId="2FD8E9ED" w14:textId="77777777" w:rsidR="008E0945" w:rsidRPr="003015FD" w:rsidRDefault="008E0945" w:rsidP="008E0945">
      <w:pPr>
        <w:pStyle w:val="MediumGrid21"/>
        <w:ind w:left="-142"/>
        <w:rPr>
          <w:rFonts w:ascii="Arial" w:hAnsi="Arial" w:cs="Arial"/>
          <w:lang w:val="en-GB"/>
        </w:rPr>
      </w:pPr>
      <w:r w:rsidRPr="003015FD">
        <w:rPr>
          <w:noProof/>
          <w:lang w:val="en-GB" w:eastAsia="en-GB"/>
        </w:rPr>
        <w:lastRenderedPageBreak/>
        <w:drawing>
          <wp:inline distT="0" distB="0" distL="0" distR="0" wp14:anchorId="03D314AD" wp14:editId="5737D8D5">
            <wp:extent cx="5633208" cy="2639683"/>
            <wp:effectExtent l="0" t="0" r="5715"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7924" cy="2646579"/>
                    </a:xfrm>
                    <a:prstGeom prst="rect">
                      <a:avLst/>
                    </a:prstGeom>
                    <a:noFill/>
                    <a:ln>
                      <a:noFill/>
                    </a:ln>
                  </pic:spPr>
                </pic:pic>
              </a:graphicData>
            </a:graphic>
          </wp:inline>
        </w:drawing>
      </w:r>
    </w:p>
    <w:p w14:paraId="2F92E69D" w14:textId="77777777" w:rsidR="008E0945" w:rsidRPr="0002642E" w:rsidRDefault="008E0945" w:rsidP="0002642E">
      <w:pPr>
        <w:pStyle w:val="MediumGrid21"/>
        <w:ind w:left="-142"/>
        <w:rPr>
          <w:rFonts w:ascii="Arial" w:hAnsi="Arial"/>
        </w:rPr>
      </w:pPr>
    </w:p>
    <w:p w14:paraId="31A5F3BF" w14:textId="08D87DBC" w:rsidR="008E0945" w:rsidRPr="003015FD" w:rsidRDefault="004A60C5" w:rsidP="0002642E">
      <w:pPr>
        <w:pStyle w:val="Heading3"/>
      </w:pPr>
      <w:bookmarkStart w:id="65" w:name="_Toc15045111"/>
      <w:r w:rsidRPr="003015FD">
        <w:t>2.7.2</w:t>
      </w:r>
      <w:r w:rsidRPr="003015FD">
        <w:tab/>
      </w:r>
      <w:r w:rsidR="008E0945" w:rsidRPr="003015FD">
        <w:t>Engaged</w:t>
      </w:r>
      <w:r w:rsidR="00975895" w:rsidRPr="003015FD">
        <w:t xml:space="preserve"> </w:t>
      </w:r>
      <w:r w:rsidR="008E0945" w:rsidRPr="003015FD">
        <w:t>leadership</w:t>
      </w:r>
      <w:bookmarkEnd w:id="65"/>
      <w:r w:rsidR="00975895" w:rsidRPr="003015FD">
        <w:t xml:space="preserve"> </w:t>
      </w:r>
    </w:p>
    <w:p w14:paraId="4684B0A4" w14:textId="1216147A" w:rsidR="008E0945" w:rsidRDefault="0013007F" w:rsidP="0002642E">
      <w:r w:rsidRPr="003015FD">
        <w:t>Leadership</w:t>
      </w:r>
      <w:r w:rsidR="00975895" w:rsidRPr="003015FD">
        <w:t xml:space="preserve"> </w:t>
      </w:r>
      <w:r w:rsidRPr="003015FD">
        <w:t>is</w:t>
      </w:r>
      <w:r w:rsidR="00975895" w:rsidRPr="003015FD">
        <w:t xml:space="preserve"> </w:t>
      </w:r>
      <w:r w:rsidR="00D70F14" w:rsidRPr="003015FD">
        <w:t>a</w:t>
      </w:r>
      <w:r w:rsidR="00975895" w:rsidRPr="003015FD">
        <w:t xml:space="preserve"> </w:t>
      </w:r>
      <w:r w:rsidRPr="003015FD">
        <w:t>cornerstone</w:t>
      </w:r>
      <w:r w:rsidR="00975895" w:rsidRPr="003015FD">
        <w:t xml:space="preserve"> </w:t>
      </w:r>
      <w:r w:rsidRPr="003015FD">
        <w:t>of</w:t>
      </w:r>
      <w:r w:rsidR="00975895" w:rsidRPr="003015FD">
        <w:t xml:space="preserve"> </w:t>
      </w:r>
      <w:r w:rsidRPr="003015FD">
        <w:t>organisational</w:t>
      </w:r>
      <w:r w:rsidR="00975895" w:rsidRPr="003015FD">
        <w:t xml:space="preserve"> </w:t>
      </w:r>
      <w:r w:rsidRPr="003015FD">
        <w:t>culture.</w:t>
      </w:r>
      <w:r w:rsidR="00975895" w:rsidRPr="003015FD">
        <w:t xml:space="preserve"> </w:t>
      </w:r>
      <w:r w:rsidR="00970B03">
        <w:t>It</w:t>
      </w:r>
      <w:r w:rsidR="00975895" w:rsidRPr="003015FD">
        <w:t xml:space="preserve"> </w:t>
      </w:r>
      <w:r w:rsidR="003A273A">
        <w:t>is</w:t>
      </w:r>
      <w:r w:rsidR="003A273A" w:rsidRPr="003015FD">
        <w:t xml:space="preserve"> </w:t>
      </w:r>
      <w:r w:rsidRPr="003015FD">
        <w:t>a</w:t>
      </w:r>
      <w:r w:rsidR="00975895" w:rsidRPr="003015FD">
        <w:t xml:space="preserve"> </w:t>
      </w:r>
      <w:r w:rsidRPr="003015FD">
        <w:t>critical</w:t>
      </w:r>
      <w:r w:rsidR="00975895" w:rsidRPr="003015FD">
        <w:t xml:space="preserve"> </w:t>
      </w:r>
      <w:r w:rsidR="00D70F14" w:rsidRPr="003015FD">
        <w:t>influence</w:t>
      </w:r>
      <w:r w:rsidR="00975895" w:rsidRPr="003015FD">
        <w:t xml:space="preserve"> </w:t>
      </w:r>
      <w:r w:rsidRPr="003015FD">
        <w:t>in</w:t>
      </w:r>
      <w:r w:rsidR="00975895" w:rsidRPr="003015FD">
        <w:t xml:space="preserve"> </w:t>
      </w:r>
      <w:r w:rsidRPr="003015FD">
        <w:t>demonstrating</w:t>
      </w:r>
      <w:r w:rsidR="00975895" w:rsidRPr="003015FD">
        <w:t xml:space="preserve"> </w:t>
      </w:r>
      <w:r w:rsidRPr="003015FD">
        <w:t>internal</w:t>
      </w:r>
      <w:r w:rsidR="00975895" w:rsidRPr="003015FD">
        <w:t xml:space="preserve"> </w:t>
      </w:r>
      <w:r w:rsidRPr="003015FD">
        <w:t>and</w:t>
      </w:r>
      <w:r w:rsidR="00975895" w:rsidRPr="003015FD">
        <w:t xml:space="preserve"> </w:t>
      </w:r>
      <w:r w:rsidRPr="003015FD">
        <w:t>external</w:t>
      </w:r>
      <w:r w:rsidR="00975895" w:rsidRPr="003015FD">
        <w:t xml:space="preserve"> </w:t>
      </w:r>
      <w:r w:rsidRPr="003015FD">
        <w:t>commitment</w:t>
      </w:r>
      <w:r w:rsidR="00975895" w:rsidRPr="003015FD">
        <w:t xml:space="preserve"> </w:t>
      </w:r>
      <w:r w:rsidRPr="003015FD">
        <w:t>to</w:t>
      </w:r>
      <w:r w:rsidR="00975895" w:rsidRPr="003015FD">
        <w:t xml:space="preserve"> </w:t>
      </w:r>
      <w:r w:rsidRPr="003015FD">
        <w:t>human</w:t>
      </w:r>
      <w:r w:rsidR="00975895" w:rsidRPr="003015FD">
        <w:t xml:space="preserve"> </w:t>
      </w:r>
      <w:r w:rsidRPr="003015FD">
        <w:t>rights,</w:t>
      </w:r>
      <w:r w:rsidR="00975895" w:rsidRPr="003015FD">
        <w:t xml:space="preserve"> </w:t>
      </w:r>
      <w:r w:rsidRPr="003015FD">
        <w:t>creating</w:t>
      </w:r>
      <w:r w:rsidR="00975895" w:rsidRPr="003015FD">
        <w:t xml:space="preserve"> </w:t>
      </w:r>
      <w:r w:rsidRPr="003015FD">
        <w:t>an</w:t>
      </w:r>
      <w:r w:rsidR="00975895" w:rsidRPr="003015FD">
        <w:t xml:space="preserve"> </w:t>
      </w:r>
      <w:r w:rsidRPr="003015FD">
        <w:t>authorising</w:t>
      </w:r>
      <w:r w:rsidR="00975895" w:rsidRPr="003015FD">
        <w:t xml:space="preserve"> </w:t>
      </w:r>
      <w:r w:rsidRPr="003015FD">
        <w:t>environment</w:t>
      </w:r>
      <w:r w:rsidR="00975895" w:rsidRPr="003015FD">
        <w:t xml:space="preserve"> </w:t>
      </w:r>
      <w:r w:rsidRPr="003015FD">
        <w:t>for</w:t>
      </w:r>
      <w:r w:rsidR="00975895" w:rsidRPr="003015FD">
        <w:t xml:space="preserve"> </w:t>
      </w:r>
      <w:r w:rsidRPr="003015FD">
        <w:t>staff</w:t>
      </w:r>
      <w:r w:rsidR="00975895" w:rsidRPr="003015FD">
        <w:t xml:space="preserve"> </w:t>
      </w:r>
      <w:r w:rsidRPr="003015FD">
        <w:t>to</w:t>
      </w:r>
      <w:r w:rsidR="00975895" w:rsidRPr="003015FD">
        <w:t xml:space="preserve"> </w:t>
      </w:r>
      <w:r w:rsidRPr="003015FD">
        <w:t>meet</w:t>
      </w:r>
      <w:r w:rsidR="00975895" w:rsidRPr="003015FD">
        <w:t xml:space="preserve"> </w:t>
      </w:r>
      <w:r w:rsidRPr="003015FD">
        <w:t>their</w:t>
      </w:r>
      <w:r w:rsidR="00975895" w:rsidRPr="003015FD">
        <w:t xml:space="preserve"> </w:t>
      </w:r>
      <w:r w:rsidRPr="003015FD">
        <w:t>Charter</w:t>
      </w:r>
      <w:r w:rsidR="00975895" w:rsidRPr="003015FD">
        <w:t xml:space="preserve"> </w:t>
      </w:r>
      <w:r w:rsidRPr="003015FD">
        <w:t>obligations,</w:t>
      </w:r>
      <w:r w:rsidR="00975895" w:rsidRPr="003015FD">
        <w:t xml:space="preserve"> </w:t>
      </w:r>
      <w:r w:rsidRPr="003015FD">
        <w:t>role</w:t>
      </w:r>
      <w:r w:rsidR="00975895" w:rsidRPr="003015FD">
        <w:t xml:space="preserve"> </w:t>
      </w:r>
      <w:r w:rsidR="008E0945" w:rsidRPr="003015FD">
        <w:t>model</w:t>
      </w:r>
      <w:r w:rsidRPr="003015FD">
        <w:t>ling</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Pr="003015FD">
        <w:t>and</w:t>
      </w:r>
      <w:r w:rsidR="00975895" w:rsidRPr="003015FD">
        <w:t xml:space="preserve"> </w:t>
      </w:r>
      <w:r w:rsidRPr="003015FD">
        <w:t>values,</w:t>
      </w:r>
      <w:r w:rsidR="00975895" w:rsidRPr="003015FD">
        <w:t xml:space="preserve"> </w:t>
      </w:r>
      <w:r w:rsidR="008E0945" w:rsidRPr="003015FD">
        <w:t>and</w:t>
      </w:r>
      <w:r w:rsidR="00975895" w:rsidRPr="003015FD">
        <w:t xml:space="preserve"> </w:t>
      </w:r>
      <w:r w:rsidRPr="003015FD">
        <w:t>ensuring</w:t>
      </w:r>
      <w:r w:rsidR="00975895" w:rsidRPr="003015FD">
        <w:t xml:space="preserve"> </w:t>
      </w:r>
      <w:r w:rsidRPr="003015FD">
        <w:t>accountability</w:t>
      </w:r>
      <w:r w:rsidR="00975895" w:rsidRPr="003015FD">
        <w:t xml:space="preserve"> </w:t>
      </w:r>
      <w:r w:rsidRPr="003015FD">
        <w:t>for</w:t>
      </w:r>
      <w:r w:rsidR="00975895" w:rsidRPr="003015FD">
        <w:t xml:space="preserve"> </w:t>
      </w:r>
      <w:r w:rsidRPr="003015FD">
        <w:t>the</w:t>
      </w:r>
      <w:r w:rsidR="00975895" w:rsidRPr="003015FD">
        <w:t xml:space="preserve"> </w:t>
      </w:r>
      <w:r w:rsidRPr="003015FD">
        <w:t>Charter</w:t>
      </w:r>
      <w:r w:rsidR="008E0945" w:rsidRPr="003015FD">
        <w:t>.</w:t>
      </w:r>
    </w:p>
    <w:p w14:paraId="2B41D227" w14:textId="7CC23004" w:rsidR="00C05DA6" w:rsidRPr="003015FD" w:rsidRDefault="00C05DA6" w:rsidP="0002642E">
      <w:r>
        <w:t xml:space="preserve">This section </w:t>
      </w:r>
      <w:r w:rsidR="00FB191F">
        <w:t>analyses the</w:t>
      </w:r>
      <w:r w:rsidR="00FB191F" w:rsidRPr="003015FD">
        <w:t xml:space="preserve"> results </w:t>
      </w:r>
      <w:r w:rsidR="00FB191F">
        <w:t>of</w:t>
      </w:r>
      <w:r w:rsidR="00FB191F" w:rsidRPr="003015FD">
        <w:t xml:space="preserve"> </w:t>
      </w:r>
      <w:r w:rsidR="00FB191F">
        <w:t xml:space="preserve">survey </w:t>
      </w:r>
      <w:r w:rsidR="00FB191F" w:rsidRPr="003015FD">
        <w:t xml:space="preserve">questions </w:t>
      </w:r>
      <w:r w:rsidR="00FB191F">
        <w:t xml:space="preserve">that relate to </w:t>
      </w:r>
      <w:r>
        <w:t xml:space="preserve">the engaged leadership cultural influence. </w:t>
      </w:r>
      <w:r w:rsidR="00FB191F" w:rsidRPr="003015FD">
        <w:t>See Appendix D for full details of the scoring scheme</w:t>
      </w:r>
      <w:r w:rsidR="00FB191F">
        <w:t>.</w:t>
      </w:r>
    </w:p>
    <w:p w14:paraId="6B795DA4" w14:textId="50DD69F1" w:rsidR="008E0945" w:rsidRPr="003015FD" w:rsidRDefault="008E0945" w:rsidP="0002642E">
      <w:r w:rsidRPr="003015FD">
        <w:t>Government</w:t>
      </w:r>
      <w:r w:rsidR="00975895" w:rsidRPr="003015FD">
        <w:t xml:space="preserve"> </w:t>
      </w:r>
      <w:r w:rsidRPr="003015FD">
        <w:t>departments</w:t>
      </w:r>
      <w:r w:rsidR="00975895" w:rsidRPr="003015FD">
        <w:t xml:space="preserve"> </w:t>
      </w:r>
      <w:r w:rsidRPr="003015FD">
        <w:t>(82.9</w:t>
      </w:r>
      <w:r w:rsidR="00975895" w:rsidRPr="003015FD">
        <w:t xml:space="preserve"> </w:t>
      </w:r>
      <w:r w:rsidRPr="003015FD">
        <w:t>points)</w:t>
      </w:r>
      <w:r w:rsidR="00975895" w:rsidRPr="003015FD">
        <w:t xml:space="preserve"> </w:t>
      </w:r>
      <w:r w:rsidRPr="003015FD">
        <w:t>and</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(79.0</w:t>
      </w:r>
      <w:r w:rsidR="00975895" w:rsidRPr="003015FD">
        <w:t xml:space="preserve"> </w:t>
      </w:r>
      <w:r w:rsidRPr="003015FD">
        <w:t>points)</w:t>
      </w:r>
      <w:r w:rsidR="00975895" w:rsidRPr="003015FD">
        <w:t xml:space="preserve"> </w:t>
      </w:r>
      <w:r w:rsidRPr="003015FD">
        <w:t>recorded</w:t>
      </w:r>
      <w:r w:rsidR="00975895" w:rsidRPr="003015FD">
        <w:t xml:space="preserve"> </w:t>
      </w:r>
      <w:r w:rsidRPr="003015FD">
        <w:t>higher</w:t>
      </w:r>
      <w:r w:rsidR="00975895" w:rsidRPr="003015FD">
        <w:t xml:space="preserve"> </w:t>
      </w:r>
      <w:r w:rsidRPr="003015FD">
        <w:t>scores</w:t>
      </w:r>
      <w:r w:rsidR="00975895" w:rsidRPr="003015FD">
        <w:t xml:space="preserve"> </w:t>
      </w:r>
      <w:r w:rsidRPr="003015FD">
        <w:t>for</w:t>
      </w:r>
      <w:r w:rsidR="00975895" w:rsidRPr="003015FD">
        <w:t xml:space="preserve"> </w:t>
      </w:r>
      <w:r w:rsidRPr="003015FD">
        <w:t>leadership</w:t>
      </w:r>
      <w:r w:rsidR="00975895" w:rsidRPr="003015FD">
        <w:t xml:space="preserve"> </w:t>
      </w:r>
      <w:r w:rsidRPr="003015FD">
        <w:t>engagement</w:t>
      </w:r>
      <w:r w:rsidR="00975895" w:rsidRPr="003015FD">
        <w:t xml:space="preserve"> </w:t>
      </w:r>
      <w:r w:rsidRPr="003015FD">
        <w:t>overall.</w:t>
      </w:r>
      <w:r w:rsidR="00975895" w:rsidRPr="003015FD">
        <w:t xml:space="preserve"> </w:t>
      </w:r>
      <w:r w:rsidRPr="003015FD">
        <w:t>There</w:t>
      </w:r>
      <w:r w:rsidR="003B428A">
        <w:t xml:space="preserve"> is</w:t>
      </w:r>
      <w:r w:rsidR="00975895" w:rsidRPr="003015FD">
        <w:t xml:space="preserve"> </w:t>
      </w:r>
      <w:r w:rsidRPr="003015FD">
        <w:t>scope</w:t>
      </w:r>
      <w:r w:rsidR="00975895" w:rsidRPr="003015FD">
        <w:t xml:space="preserve"> </w:t>
      </w:r>
      <w:r w:rsidRPr="003015FD">
        <w:t>for</w:t>
      </w:r>
      <w:r w:rsidR="00975895" w:rsidRPr="003015FD">
        <w:t xml:space="preserve"> </w:t>
      </w:r>
      <w:r w:rsidRPr="003015FD">
        <w:t>improvement</w:t>
      </w:r>
      <w:r w:rsidR="00975895" w:rsidRPr="003015FD">
        <w:t xml:space="preserve"> </w:t>
      </w:r>
      <w:r w:rsidRPr="003015FD">
        <w:t>under</w:t>
      </w:r>
      <w:r w:rsidR="00975895" w:rsidRPr="003015FD">
        <w:t xml:space="preserve"> </w:t>
      </w:r>
      <w:r w:rsidRPr="003015FD">
        <w:t>this</w:t>
      </w:r>
      <w:r w:rsidR="00975895" w:rsidRPr="003015FD">
        <w:t xml:space="preserve"> </w:t>
      </w:r>
      <w:r w:rsidRPr="003015FD">
        <w:t>cultural</w:t>
      </w:r>
      <w:r w:rsidR="00975895" w:rsidRPr="003015FD">
        <w:t xml:space="preserve"> </w:t>
      </w:r>
      <w:r w:rsidRPr="003015FD">
        <w:t>influence</w:t>
      </w:r>
      <w:r w:rsidR="00975895" w:rsidRPr="003015FD">
        <w:t xml:space="preserve"> </w:t>
      </w:r>
      <w:r w:rsidRPr="003015FD">
        <w:t>across</w:t>
      </w:r>
      <w:r w:rsidR="00975895" w:rsidRPr="003015FD">
        <w:t xml:space="preserve"> </w:t>
      </w:r>
      <w:r w:rsidRPr="003015FD">
        <w:t>all</w:t>
      </w:r>
      <w:r w:rsidR="00975895" w:rsidRPr="003015FD">
        <w:t xml:space="preserve"> </w:t>
      </w:r>
      <w:r w:rsidRPr="003015FD">
        <w:t>public</w:t>
      </w:r>
      <w:r w:rsidR="00975895" w:rsidRPr="003015FD">
        <w:t xml:space="preserve"> </w:t>
      </w:r>
      <w:r w:rsidRPr="003015FD">
        <w:t>authorities</w:t>
      </w:r>
      <w:r w:rsidR="00975895" w:rsidRPr="003015FD">
        <w:t xml:space="preserve"> </w:t>
      </w:r>
      <w:r w:rsidR="00CB0CF1" w:rsidRPr="003015FD">
        <w:t>(61.3</w:t>
      </w:r>
      <w:r w:rsidR="00975895" w:rsidRPr="003015FD">
        <w:t xml:space="preserve"> </w:t>
      </w:r>
      <w:r w:rsidR="00CB0CF1" w:rsidRPr="003015FD">
        <w:t>points)</w:t>
      </w:r>
      <w:r w:rsidRPr="003015FD">
        <w:t>.</w:t>
      </w:r>
      <w:r w:rsidR="00975895" w:rsidRPr="003015FD">
        <w:t xml:space="preserve"> </w:t>
      </w:r>
    </w:p>
    <w:p w14:paraId="2A0A4328" w14:textId="5C259CC9"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3:</w:t>
      </w:r>
      <w:r w:rsidR="00975895" w:rsidRPr="0002642E">
        <w:rPr>
          <w:rStyle w:val="Characterbold"/>
        </w:rPr>
        <w:t xml:space="preserve"> </w:t>
      </w:r>
      <w:r w:rsidRPr="0002642E">
        <w:rPr>
          <w:rStyle w:val="Characterbold"/>
        </w:rPr>
        <w:t>Overall</w:t>
      </w:r>
      <w:r w:rsidR="00975895" w:rsidRPr="0002642E">
        <w:rPr>
          <w:rStyle w:val="Characterbold"/>
        </w:rPr>
        <w:t xml:space="preserve"> </w:t>
      </w:r>
      <w:r w:rsidRPr="0002642E">
        <w:rPr>
          <w:rStyle w:val="Characterbold"/>
        </w:rPr>
        <w:t>performance</w:t>
      </w:r>
      <w:r w:rsidR="00975895" w:rsidRPr="0002642E">
        <w:rPr>
          <w:rStyle w:val="Characterbold"/>
        </w:rPr>
        <w:t xml:space="preserve"> </w:t>
      </w:r>
      <w:r w:rsidRPr="0002642E">
        <w:rPr>
          <w:rStyle w:val="Characterbold"/>
        </w:rPr>
        <w:t>–</w:t>
      </w:r>
      <w:r w:rsidR="00975895" w:rsidRPr="0002642E">
        <w:rPr>
          <w:rStyle w:val="Characterbold"/>
        </w:rPr>
        <w:t xml:space="preserve"> </w:t>
      </w:r>
      <w:r w:rsidRPr="0002642E">
        <w:rPr>
          <w:rStyle w:val="Characterbold"/>
        </w:rPr>
        <w:t>Engaged</w:t>
      </w:r>
      <w:r w:rsidR="00975895" w:rsidRPr="0002642E">
        <w:rPr>
          <w:rStyle w:val="Characterbold"/>
        </w:rPr>
        <w:t xml:space="preserve"> </w:t>
      </w:r>
      <w:r w:rsidRPr="0002642E">
        <w:rPr>
          <w:rStyle w:val="Characterbold"/>
        </w:rPr>
        <w:t>leadership</w:t>
      </w:r>
    </w:p>
    <w:p w14:paraId="66BF22A1" w14:textId="2CC88B6D"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4DA0772B" w14:textId="77777777" w:rsidR="008E0945" w:rsidRPr="003015FD" w:rsidRDefault="008E0945" w:rsidP="008E0945">
      <w:pPr>
        <w:pStyle w:val="MediumGrid21"/>
        <w:jc w:val="center"/>
        <w:rPr>
          <w:rFonts w:ascii="Arial" w:hAnsi="Arial" w:cs="Arial"/>
          <w:lang w:val="en-GB"/>
        </w:rPr>
      </w:pPr>
      <w:r w:rsidRPr="0002642E">
        <w:rPr>
          <w:rFonts w:ascii="Arial" w:hAnsi="Arial" w:cs="Arial"/>
          <w:noProof/>
          <w:lang w:val="en-GB" w:eastAsia="en-GB"/>
        </w:rPr>
        <w:drawing>
          <wp:inline distT="0" distB="0" distL="0" distR="0" wp14:anchorId="75887F85" wp14:editId="1091133F">
            <wp:extent cx="4588879" cy="2285377"/>
            <wp:effectExtent l="0" t="0" r="254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t="12681"/>
                    <a:stretch/>
                  </pic:blipFill>
                  <pic:spPr bwMode="auto">
                    <a:xfrm>
                      <a:off x="0" y="0"/>
                      <a:ext cx="4590773" cy="2286320"/>
                    </a:xfrm>
                    <a:prstGeom prst="rect">
                      <a:avLst/>
                    </a:prstGeom>
                    <a:noFill/>
                    <a:ln>
                      <a:noFill/>
                    </a:ln>
                    <a:extLst>
                      <a:ext uri="{53640926-AAD7-44D8-BBD7-CCE9431645EC}">
                        <a14:shadowObscured xmlns:a14="http://schemas.microsoft.com/office/drawing/2010/main"/>
                      </a:ext>
                    </a:extLst>
                  </pic:spPr>
                </pic:pic>
              </a:graphicData>
            </a:graphic>
          </wp:inline>
        </w:drawing>
      </w:r>
    </w:p>
    <w:p w14:paraId="2008900E" w14:textId="73B81939" w:rsidR="008E0945" w:rsidRPr="003015FD" w:rsidRDefault="008E0945" w:rsidP="0002642E">
      <w:pPr>
        <w:pStyle w:val="Heading4"/>
      </w:pPr>
      <w:r w:rsidRPr="003015FD">
        <w:t>A.</w:t>
      </w:r>
      <w:r w:rsidR="00975895" w:rsidRPr="003015FD">
        <w:t xml:space="preserve"> </w:t>
      </w:r>
      <w:r w:rsidRPr="003015FD">
        <w:t>Internal</w:t>
      </w:r>
      <w:r w:rsidR="00975895" w:rsidRPr="003015FD">
        <w:t xml:space="preserve"> </w:t>
      </w:r>
      <w:r w:rsidRPr="003015FD">
        <w:t>communications</w:t>
      </w:r>
    </w:p>
    <w:p w14:paraId="038B1DFD" w14:textId="4121D190" w:rsidR="008E0945" w:rsidRPr="003015FD" w:rsidRDefault="008E0945" w:rsidP="0002642E">
      <w:r w:rsidRPr="003015FD">
        <w:t>Nearly</w:t>
      </w:r>
      <w:r w:rsidR="00975895" w:rsidRPr="003015FD">
        <w:t xml:space="preserve"> </w:t>
      </w:r>
      <w:r w:rsidRPr="003015FD">
        <w:t>all</w:t>
      </w:r>
      <w:r w:rsidR="00975895" w:rsidRPr="003015FD">
        <w:t xml:space="preserve"> </w:t>
      </w:r>
      <w:r w:rsidRPr="003015FD">
        <w:t>participating</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(91</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indicated</w:t>
      </w:r>
      <w:r w:rsidR="00975895" w:rsidRPr="003015FD">
        <w:t xml:space="preserve"> </w:t>
      </w:r>
      <w:r w:rsidRPr="003015FD">
        <w:t>their</w:t>
      </w:r>
      <w:r w:rsidR="00975895" w:rsidRPr="003015FD">
        <w:t xml:space="preserve"> </w:t>
      </w:r>
      <w:r w:rsidRPr="003015FD">
        <w:t>leaders</w:t>
      </w:r>
      <w:r w:rsidR="00975895" w:rsidRPr="003015FD">
        <w:t xml:space="preserve"> </w:t>
      </w:r>
      <w:r w:rsidRPr="003015FD">
        <w:t>had</w:t>
      </w:r>
      <w:r w:rsidR="00975895" w:rsidRPr="003015FD">
        <w:t xml:space="preserve"> </w:t>
      </w:r>
      <w:r w:rsidRPr="003015FD">
        <w:t>promoted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in</w:t>
      </w:r>
      <w:r w:rsidR="00975895" w:rsidRPr="003015FD">
        <w:t xml:space="preserve"> </w:t>
      </w:r>
      <w:r w:rsidRPr="003015FD">
        <w:t>internal</w:t>
      </w:r>
      <w:r w:rsidR="00975895" w:rsidRPr="003015FD">
        <w:t xml:space="preserve"> </w:t>
      </w:r>
      <w:r w:rsidRPr="003015FD">
        <w:t>communications</w:t>
      </w:r>
      <w:r w:rsidR="00975895" w:rsidRPr="003015FD">
        <w:t xml:space="preserve"> </w:t>
      </w:r>
      <w:r w:rsidRPr="003015FD">
        <w:t>during</w:t>
      </w:r>
      <w:r w:rsidR="00975895" w:rsidRPr="003015FD">
        <w:t xml:space="preserve"> </w:t>
      </w:r>
      <w:r w:rsidRPr="003015FD">
        <w:t>2018.</w:t>
      </w:r>
      <w:r w:rsidR="00975895" w:rsidRPr="003015FD">
        <w:t xml:space="preserve"> </w:t>
      </w:r>
      <w:r w:rsidRPr="003015FD">
        <w:t>Of</w:t>
      </w:r>
      <w:r w:rsidR="00975895" w:rsidRPr="003015FD">
        <w:t xml:space="preserve"> </w:t>
      </w:r>
      <w:r w:rsidRPr="003015FD">
        <w:t>these:</w:t>
      </w:r>
    </w:p>
    <w:p w14:paraId="0B0A2F88" w14:textId="4971638B" w:rsidR="008E0945" w:rsidRPr="003015FD" w:rsidRDefault="008E0945" w:rsidP="0002642E">
      <w:pPr>
        <w:pStyle w:val="ListBullet"/>
      </w:pPr>
      <w:r w:rsidRPr="003015FD">
        <w:t>60</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indicated</w:t>
      </w:r>
      <w:r w:rsidR="00975895" w:rsidRPr="003015FD">
        <w:t xml:space="preserve"> </w:t>
      </w:r>
      <w:r w:rsidRPr="003015FD">
        <w:t>their</w:t>
      </w:r>
      <w:r w:rsidR="00975895" w:rsidRPr="003015FD">
        <w:t xml:space="preserve"> </w:t>
      </w:r>
      <w:r w:rsidRPr="003015FD">
        <w:t>leaders</w:t>
      </w:r>
      <w:r w:rsidR="00975895" w:rsidRPr="003015FD">
        <w:t xml:space="preserve"> </w:t>
      </w:r>
      <w:r w:rsidRPr="003015FD">
        <w:t>internally</w:t>
      </w:r>
      <w:r w:rsidR="00975895" w:rsidRPr="003015FD">
        <w:t xml:space="preserve"> </w:t>
      </w:r>
      <w:r w:rsidRPr="003015FD">
        <w:t>promoted</w:t>
      </w:r>
      <w:r w:rsidR="00975895" w:rsidRPr="003015FD">
        <w:t xml:space="preserve"> </w:t>
      </w:r>
      <w:r w:rsidRPr="003015FD">
        <w:t>their</w:t>
      </w:r>
      <w:r w:rsidR="00975895" w:rsidRPr="003015FD">
        <w:t xml:space="preserve"> </w:t>
      </w:r>
      <w:r w:rsidRPr="003015FD">
        <w:t>organisation</w:t>
      </w:r>
      <w:r w:rsidR="000C5726">
        <w:t>'</w:t>
      </w:r>
      <w:r w:rsidRPr="003015FD">
        <w:t>s</w:t>
      </w:r>
      <w:r w:rsidR="00975895" w:rsidRPr="003015FD">
        <w:t xml:space="preserve"> </w:t>
      </w:r>
      <w:r w:rsidRPr="003015FD">
        <w:t>obligations</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p>
    <w:p w14:paraId="20CE25DC" w14:textId="1E04AA5C" w:rsidR="008E0945" w:rsidRPr="003015FD" w:rsidRDefault="008E0945" w:rsidP="0002642E">
      <w:pPr>
        <w:pStyle w:val="ListBullet"/>
      </w:pPr>
      <w:r w:rsidRPr="003015FD">
        <w:lastRenderedPageBreak/>
        <w:t>77</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internally</w:t>
      </w:r>
      <w:r w:rsidR="00975895" w:rsidRPr="003015FD">
        <w:t xml:space="preserve"> </w:t>
      </w:r>
      <w:r w:rsidRPr="003015FD">
        <w:t>promoted</w:t>
      </w:r>
      <w:r w:rsidR="00975895" w:rsidRPr="003015FD">
        <w:t xml:space="preserve"> </w:t>
      </w:r>
      <w:r w:rsidRPr="003015FD">
        <w:t>the</w:t>
      </w:r>
      <w:r w:rsidR="00975895" w:rsidRPr="003015FD">
        <w:t xml:space="preserve"> </w:t>
      </w:r>
      <w:r w:rsidRPr="003015FD">
        <w:t>importance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to</w:t>
      </w:r>
      <w:r w:rsidR="00975895" w:rsidRPr="003015FD">
        <w:t xml:space="preserve"> </w:t>
      </w:r>
      <w:r w:rsidRPr="003015FD">
        <w:t>their</w:t>
      </w:r>
      <w:r w:rsidR="00975895" w:rsidRPr="003015FD">
        <w:t xml:space="preserve"> </w:t>
      </w:r>
      <w:r w:rsidRPr="003015FD">
        <w:t>work</w:t>
      </w:r>
      <w:r w:rsidR="00C424EB">
        <w:t>.</w:t>
      </w:r>
    </w:p>
    <w:p w14:paraId="4567C819" w14:textId="34083D40" w:rsidR="00CF666C" w:rsidRDefault="008E0945" w:rsidP="0002642E">
      <w:r w:rsidRPr="003015FD">
        <w:t>Leaders</w:t>
      </w:r>
      <w:r w:rsidR="00975895" w:rsidRPr="003015FD">
        <w:t xml:space="preserve"> </w:t>
      </w:r>
      <w:r w:rsidRPr="003015FD">
        <w:t>of</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and</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were</w:t>
      </w:r>
      <w:r w:rsidR="00975895" w:rsidRPr="003015FD">
        <w:t xml:space="preserve"> </w:t>
      </w:r>
      <w:r w:rsidRPr="003015FD">
        <w:t>more</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promoted</w:t>
      </w:r>
      <w:r w:rsidR="00975895" w:rsidRPr="003015FD">
        <w:t xml:space="preserve"> </w:t>
      </w:r>
      <w:r w:rsidRPr="003015FD">
        <w:t>their</w:t>
      </w:r>
      <w:r w:rsidR="00975895" w:rsidRPr="003015FD">
        <w:t xml:space="preserve"> </w:t>
      </w:r>
      <w:r w:rsidRPr="003015FD">
        <w:t>organisation</w:t>
      </w:r>
      <w:r w:rsidR="000C5726">
        <w:t>'</w:t>
      </w:r>
      <w:r w:rsidRPr="003015FD">
        <w:t>s</w:t>
      </w:r>
      <w:r w:rsidR="00975895" w:rsidRPr="003015FD">
        <w:t xml:space="preserve"> </w:t>
      </w:r>
      <w:r w:rsidRPr="003015FD">
        <w:t>obligations</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00975895" w:rsidRPr="003015FD">
        <w:t xml:space="preserve"> </w:t>
      </w:r>
      <w:r w:rsidRPr="003015FD">
        <w:t>and</w:t>
      </w:r>
      <w:r w:rsidR="00975895" w:rsidRPr="003015FD">
        <w:t xml:space="preserve"> </w:t>
      </w:r>
      <w:r w:rsidRPr="003015FD">
        <w:t>the</w:t>
      </w:r>
      <w:r w:rsidR="00975895" w:rsidRPr="003015FD">
        <w:t xml:space="preserve"> </w:t>
      </w:r>
      <w:r w:rsidRPr="003015FD">
        <w:t>importance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to</w:t>
      </w:r>
      <w:r w:rsidR="00975895" w:rsidRPr="003015FD">
        <w:t xml:space="preserve"> </w:t>
      </w:r>
      <w:r w:rsidRPr="003015FD">
        <w:t>their</w:t>
      </w:r>
      <w:r w:rsidR="00975895" w:rsidRPr="003015FD">
        <w:t xml:space="preserve"> </w:t>
      </w:r>
      <w:r w:rsidRPr="003015FD">
        <w:t>work</w:t>
      </w:r>
      <w:r w:rsidR="00975895" w:rsidRPr="003015FD">
        <w:t xml:space="preserve"> </w:t>
      </w:r>
      <w:r w:rsidRPr="003015FD">
        <w:t>(100</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and</w:t>
      </w:r>
      <w:r w:rsidR="00975895" w:rsidRPr="003015FD">
        <w:t xml:space="preserve"> </w:t>
      </w:r>
      <w:r w:rsidR="0042661F">
        <w:t>8</w:t>
      </w:r>
      <w:r w:rsidRPr="003015FD">
        <w:t>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Lower</w:t>
      </w:r>
      <w:r w:rsidR="00975895" w:rsidRPr="003015FD">
        <w:t xml:space="preserve"> </w:t>
      </w:r>
      <w:r w:rsidRPr="003015FD">
        <w:t>proportions</w:t>
      </w:r>
      <w:r w:rsidR="00975895" w:rsidRPr="003015FD">
        <w:t xml:space="preserve"> </w:t>
      </w:r>
      <w:r w:rsidRPr="003015FD">
        <w:t>of</w:t>
      </w:r>
      <w:r w:rsidR="00975895" w:rsidRPr="003015FD">
        <w:t xml:space="preserve"> </w:t>
      </w:r>
      <w:r w:rsidRPr="003015FD">
        <w:t>local</w:t>
      </w:r>
      <w:r w:rsidR="00975895" w:rsidRPr="003015FD">
        <w:t xml:space="preserve"> </w:t>
      </w:r>
      <w:r w:rsidRPr="003015FD">
        <w:t>council</w:t>
      </w:r>
      <w:r w:rsidR="00975895" w:rsidRPr="003015FD">
        <w:t xml:space="preserve"> </w:t>
      </w:r>
      <w:r w:rsidRPr="003015FD">
        <w:t>and</w:t>
      </w:r>
      <w:r w:rsidR="00975895" w:rsidRPr="003015FD">
        <w:t xml:space="preserve"> </w:t>
      </w:r>
      <w:r w:rsidRPr="003015FD">
        <w:t>large</w:t>
      </w:r>
      <w:r w:rsidR="00975895" w:rsidRPr="003015FD">
        <w:t xml:space="preserve"> </w:t>
      </w:r>
      <w:r w:rsidRPr="003015FD">
        <w:t>agency</w:t>
      </w:r>
      <w:r w:rsidR="00975895" w:rsidRPr="003015FD">
        <w:t xml:space="preserve"> </w:t>
      </w:r>
      <w:r w:rsidRPr="003015FD">
        <w:t>leaders</w:t>
      </w:r>
      <w:r w:rsidR="00975895" w:rsidRPr="003015FD">
        <w:t xml:space="preserve"> </w:t>
      </w:r>
      <w:r w:rsidRPr="003015FD">
        <w:t>promoted</w:t>
      </w:r>
      <w:r w:rsidR="00975895" w:rsidRPr="003015FD">
        <w:t xml:space="preserve"> </w:t>
      </w:r>
      <w:r w:rsidRPr="003015FD">
        <w:t>these</w:t>
      </w:r>
      <w:r w:rsidR="00975895" w:rsidRPr="003015FD">
        <w:t xml:space="preserve"> </w:t>
      </w:r>
      <w:r w:rsidRPr="003015FD">
        <w:t>aspects.</w:t>
      </w:r>
    </w:p>
    <w:tbl>
      <w:tblPr>
        <w:tblStyle w:val="CustomTablebreakoutbox"/>
        <w:tblW w:w="0" w:type="auto"/>
        <w:tblLook w:val="04A0" w:firstRow="1" w:lastRow="0" w:firstColumn="1" w:lastColumn="0" w:noHBand="0" w:noVBand="1"/>
      </w:tblPr>
      <w:tblGrid>
        <w:gridCol w:w="9061"/>
      </w:tblGrid>
      <w:tr w:rsidR="00CF666C" w14:paraId="0E3C5B4F" w14:textId="77777777" w:rsidTr="00CF666C">
        <w:tc>
          <w:tcPr>
            <w:tcW w:w="9061" w:type="dxa"/>
          </w:tcPr>
          <w:p w14:paraId="39743861" w14:textId="25E22D25" w:rsidR="00CF666C" w:rsidRPr="003E33DC" w:rsidRDefault="00CF666C" w:rsidP="00CF666C">
            <w:pPr>
              <w:pStyle w:val="BodyText"/>
              <w:rPr>
                <w:rStyle w:val="Characterbold"/>
              </w:rPr>
            </w:pPr>
            <w:r>
              <w:rPr>
                <w:rStyle w:val="Characterbold"/>
              </w:rPr>
              <w:t>Examples:</w:t>
            </w:r>
          </w:p>
          <w:p w14:paraId="7F09520F" w14:textId="5AFBFD68" w:rsidR="00CF666C" w:rsidRPr="003015FD" w:rsidRDefault="00CF666C" w:rsidP="00CF666C">
            <w:pPr>
              <w:pStyle w:val="ListBullet"/>
            </w:pPr>
            <w:r w:rsidRPr="003015FD">
              <w:t>Darebin City Council</w:t>
            </w:r>
            <w:r>
              <w:t>'</w:t>
            </w:r>
            <w:r w:rsidRPr="003015FD">
              <w:t>s Chief Executive Officer</w:t>
            </w:r>
            <w:r w:rsidR="000D2A98">
              <w:t>’s</w:t>
            </w:r>
            <w:r w:rsidRPr="003015FD">
              <w:t xml:space="preserve"> </w:t>
            </w:r>
            <w:r w:rsidR="000D2A98" w:rsidRPr="000D2A98">
              <w:t xml:space="preserve">weekly email to all staff acknowledged the tragic murder of student </w:t>
            </w:r>
            <w:proofErr w:type="spellStart"/>
            <w:r w:rsidR="000D2A98" w:rsidRPr="000D2A98">
              <w:t>Aiia</w:t>
            </w:r>
            <w:proofErr w:type="spellEnd"/>
            <w:r w:rsidR="000D2A98" w:rsidRPr="000D2A98">
              <w:t xml:space="preserve"> </w:t>
            </w:r>
            <w:proofErr w:type="spellStart"/>
            <w:r w:rsidR="000D2A98" w:rsidRPr="000D2A98">
              <w:t>Maasarwe</w:t>
            </w:r>
            <w:proofErr w:type="spellEnd"/>
            <w:r w:rsidR="000D2A98" w:rsidRPr="000D2A98">
              <w:t xml:space="preserve"> in a location within their municipality, and </w:t>
            </w:r>
            <w:r w:rsidRPr="003015FD">
              <w:t xml:space="preserve">highlighted that all people have the right to feel and be safe in public. </w:t>
            </w:r>
            <w:r w:rsidR="000D2A98">
              <w:t>The CEO</w:t>
            </w:r>
            <w:r w:rsidR="000D2A98" w:rsidRPr="003015FD">
              <w:t xml:space="preserve"> </w:t>
            </w:r>
            <w:r w:rsidRPr="003015FD">
              <w:t xml:space="preserve">noted that women </w:t>
            </w:r>
            <w:r w:rsidR="000D2A98" w:rsidRPr="000D2A98">
              <w:t xml:space="preserve">particularly </w:t>
            </w:r>
            <w:r w:rsidRPr="003015FD">
              <w:t>do not enjoy this right as they should.</w:t>
            </w:r>
          </w:p>
          <w:p w14:paraId="239E156B" w14:textId="37DBDB7B" w:rsidR="00CF666C" w:rsidRPr="003015FD" w:rsidRDefault="00CF666C" w:rsidP="00CF666C">
            <w:pPr>
              <w:pStyle w:val="ListBullet"/>
            </w:pPr>
            <w:r w:rsidRPr="003015FD">
              <w:t xml:space="preserve">Peter </w:t>
            </w:r>
            <w:proofErr w:type="spellStart"/>
            <w:r w:rsidRPr="003015FD">
              <w:t>MacCallum</w:t>
            </w:r>
            <w:proofErr w:type="spellEnd"/>
            <w:r w:rsidRPr="003015FD">
              <w:t xml:space="preserve"> Cancer Centre</w:t>
            </w:r>
            <w:r>
              <w:t>'</w:t>
            </w:r>
            <w:r w:rsidRPr="003015FD">
              <w:t xml:space="preserve">s staff newsletter promoted its agreement with the Victorian Aboriginal Community Controlled Health Organisation, affirming its commitment to </w:t>
            </w:r>
            <w:r w:rsidR="002F3427">
              <w:t xml:space="preserve">providing </w:t>
            </w:r>
            <w:r w:rsidRPr="003015FD">
              <w:t>culturally safe care</w:t>
            </w:r>
            <w:r w:rsidR="002F3427">
              <w:t xml:space="preserve"> for Aboriginal and Torres Strait Islanders communities</w:t>
            </w:r>
            <w:r>
              <w:t>.</w:t>
            </w:r>
          </w:p>
          <w:p w14:paraId="02A8690A" w14:textId="77777777" w:rsidR="00CF666C" w:rsidRPr="003015FD" w:rsidRDefault="00CF666C" w:rsidP="00CF666C">
            <w:pPr>
              <w:pStyle w:val="ListBullet"/>
            </w:pPr>
            <w:r w:rsidRPr="003015FD">
              <w:t>The Department of Justice and Community Safety</w:t>
            </w:r>
            <w:r>
              <w:t>'</w:t>
            </w:r>
            <w:r w:rsidRPr="003015FD">
              <w:t>s Secretary sent an all staff message celebrating International Human Rights Day and emphasising the importance of integrating human rights into the department</w:t>
            </w:r>
            <w:r>
              <w:t>'</w:t>
            </w:r>
            <w:r w:rsidRPr="003015FD">
              <w:t>s work.</w:t>
            </w:r>
          </w:p>
          <w:p w14:paraId="11D25CD5" w14:textId="103557E0" w:rsidR="00CF666C" w:rsidRPr="003015FD" w:rsidRDefault="00CF666C" w:rsidP="00CF666C">
            <w:pPr>
              <w:pStyle w:val="ListBullet"/>
            </w:pPr>
            <w:r w:rsidRPr="003015FD">
              <w:t>Court Services Victoria</w:t>
            </w:r>
            <w:r>
              <w:t>'</w:t>
            </w:r>
            <w:r w:rsidRPr="003015FD">
              <w:t>s leadership promoted Charter education via its intranet</w:t>
            </w:r>
            <w:r w:rsidR="000B5D63">
              <w:t xml:space="preserve"> </w:t>
            </w:r>
            <w:r w:rsidR="000B5D63" w:rsidRPr="000B5D63">
              <w:t>and linked these communications to the employee learning and organisational development platform</w:t>
            </w:r>
            <w:r w:rsidR="00E82CAA">
              <w:t>.</w:t>
            </w:r>
          </w:p>
          <w:p w14:paraId="62B32918" w14:textId="0E0C4B94" w:rsidR="00CF666C" w:rsidRDefault="00CF666C" w:rsidP="00CF666C">
            <w:pPr>
              <w:pStyle w:val="ListBullet"/>
            </w:pPr>
            <w:r w:rsidRPr="003015FD">
              <w:t>The Department of Premier and Cabinet held a Human Rights Week presentation</w:t>
            </w:r>
            <w:r>
              <w:t>,</w:t>
            </w:r>
            <w:r w:rsidRPr="003015FD">
              <w:t xml:space="preserve"> which emphasised that human rights is one of the Victorian public sector values and that officials should respect and promote human rights set out in the Charter</w:t>
            </w:r>
            <w:r w:rsidR="001706A9">
              <w:t>.</w:t>
            </w:r>
          </w:p>
        </w:tc>
      </w:tr>
    </w:tbl>
    <w:p w14:paraId="30C59830" w14:textId="69FA0263" w:rsidR="008E0945" w:rsidRPr="003015FD" w:rsidRDefault="008E0945" w:rsidP="0002642E">
      <w:pPr>
        <w:pStyle w:val="Heading4"/>
      </w:pPr>
      <w:r w:rsidRPr="003015FD">
        <w:t>B.</w:t>
      </w:r>
      <w:r w:rsidR="00975895" w:rsidRPr="003015FD">
        <w:t xml:space="preserve"> </w:t>
      </w:r>
      <w:r w:rsidRPr="003015FD">
        <w:t>External</w:t>
      </w:r>
      <w:r w:rsidR="00975895" w:rsidRPr="003015FD">
        <w:t xml:space="preserve"> </w:t>
      </w:r>
      <w:r w:rsidRPr="003015FD">
        <w:t>communications</w:t>
      </w:r>
    </w:p>
    <w:p w14:paraId="778C187F" w14:textId="1C471659" w:rsidR="00CF666C" w:rsidRDefault="008E0945" w:rsidP="0002642E">
      <w:r w:rsidRPr="003015FD">
        <w:t>Around</w:t>
      </w:r>
      <w:r w:rsidR="00975895" w:rsidRPr="003015FD">
        <w:t xml:space="preserve"> </w:t>
      </w:r>
      <w:r w:rsidRPr="003015FD">
        <w:t>83</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authority</w:t>
      </w:r>
      <w:r w:rsidR="00975895" w:rsidRPr="003015FD">
        <w:t xml:space="preserve"> </w:t>
      </w:r>
      <w:r w:rsidRPr="003015FD">
        <w:t>leaders</w:t>
      </w:r>
      <w:r w:rsidR="00975895" w:rsidRPr="003015FD">
        <w:t xml:space="preserve"> </w:t>
      </w:r>
      <w:r w:rsidRPr="003015FD">
        <w:t>promoted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in</w:t>
      </w:r>
      <w:r w:rsidR="00975895" w:rsidRPr="003015FD">
        <w:t xml:space="preserve"> </w:t>
      </w:r>
      <w:r w:rsidRPr="003015FD">
        <w:t>external</w:t>
      </w:r>
      <w:r w:rsidR="00975895" w:rsidRPr="003015FD">
        <w:t xml:space="preserve"> </w:t>
      </w:r>
      <w:r w:rsidRPr="003015FD">
        <w:t>communications.</w:t>
      </w:r>
      <w:r w:rsidR="00975895" w:rsidRPr="003015FD">
        <w:t xml:space="preserve"> </w:t>
      </w:r>
      <w:r w:rsidRPr="003015FD">
        <w:t>All</w:t>
      </w:r>
      <w:r w:rsidR="00975895" w:rsidRPr="003015FD">
        <w:t xml:space="preserve"> </w:t>
      </w:r>
      <w:r w:rsidRPr="003015FD">
        <w:t>leaders</w:t>
      </w:r>
      <w:r w:rsidR="00975895" w:rsidRPr="003015FD">
        <w:t xml:space="preserve"> </w:t>
      </w:r>
      <w:r w:rsidRPr="003015FD">
        <w:t>of</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and</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had</w:t>
      </w:r>
      <w:r w:rsidR="00975895" w:rsidRPr="003015FD">
        <w:t xml:space="preserve"> </w:t>
      </w:r>
      <w:r w:rsidRPr="003015FD">
        <w:t>promoted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in</w:t>
      </w:r>
      <w:r w:rsidR="00975895" w:rsidRPr="003015FD">
        <w:t xml:space="preserve"> </w:t>
      </w:r>
      <w:r w:rsidRPr="003015FD">
        <w:t>external</w:t>
      </w:r>
      <w:r w:rsidR="00975895" w:rsidRPr="003015FD">
        <w:t xml:space="preserve"> </w:t>
      </w:r>
      <w:r w:rsidRPr="003015FD">
        <w:t>communications.</w:t>
      </w:r>
      <w:r w:rsidR="00975895" w:rsidRPr="003015FD">
        <w:t xml:space="preserve"> </w:t>
      </w:r>
      <w:r w:rsidRPr="003015FD">
        <w:t>Leadership</w:t>
      </w:r>
      <w:r w:rsidR="00975895" w:rsidRPr="003015FD">
        <w:t xml:space="preserve"> </w:t>
      </w:r>
      <w:r w:rsidRPr="003015FD">
        <w:t>of</w:t>
      </w:r>
      <w:r w:rsidR="00975895" w:rsidRPr="003015FD">
        <w:t xml:space="preserve"> </w:t>
      </w:r>
      <w:r w:rsidRPr="003015FD">
        <w:t>large</w:t>
      </w:r>
      <w:r w:rsidR="00975895" w:rsidRPr="003015FD">
        <w:t xml:space="preserve"> </w:t>
      </w:r>
      <w:r w:rsidRPr="003015FD">
        <w:t>agencies</w:t>
      </w:r>
      <w:r w:rsidR="00975895" w:rsidRPr="003015FD">
        <w:t xml:space="preserve"> </w:t>
      </w:r>
      <w:r w:rsidRPr="003015FD">
        <w:t>were</w:t>
      </w:r>
      <w:r w:rsidR="00975895" w:rsidRPr="003015FD">
        <w:t xml:space="preserve"> </w:t>
      </w:r>
      <w:r w:rsidRPr="003015FD">
        <w:t>least</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promoted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in</w:t>
      </w:r>
      <w:r w:rsidR="00975895" w:rsidRPr="003015FD">
        <w:t xml:space="preserve"> </w:t>
      </w:r>
      <w:r w:rsidRPr="003015FD">
        <w:t>external</w:t>
      </w:r>
      <w:r w:rsidR="00975895" w:rsidRPr="003015FD">
        <w:t xml:space="preserve"> </w:t>
      </w:r>
      <w:r w:rsidRPr="003015FD">
        <w:t>communications.</w:t>
      </w:r>
      <w:r w:rsidR="00975895" w:rsidRPr="003015FD">
        <w:t xml:space="preserve"> </w:t>
      </w:r>
    </w:p>
    <w:tbl>
      <w:tblPr>
        <w:tblStyle w:val="CustomTablebreakoutbox"/>
        <w:tblW w:w="0" w:type="auto"/>
        <w:tblLook w:val="04A0" w:firstRow="1" w:lastRow="0" w:firstColumn="1" w:lastColumn="0" w:noHBand="0" w:noVBand="1"/>
      </w:tblPr>
      <w:tblGrid>
        <w:gridCol w:w="9061"/>
      </w:tblGrid>
      <w:tr w:rsidR="00CF666C" w14:paraId="5E474B5F" w14:textId="77777777" w:rsidTr="00CF666C">
        <w:tc>
          <w:tcPr>
            <w:tcW w:w="9061" w:type="dxa"/>
          </w:tcPr>
          <w:p w14:paraId="5494C416" w14:textId="77777777" w:rsidR="00CF666C" w:rsidRPr="003E33DC" w:rsidRDefault="00CF666C" w:rsidP="00CF666C">
            <w:pPr>
              <w:pStyle w:val="BodyText"/>
              <w:rPr>
                <w:rStyle w:val="Characterbold"/>
              </w:rPr>
            </w:pPr>
            <w:r>
              <w:rPr>
                <w:rStyle w:val="Characterbold"/>
              </w:rPr>
              <w:t>Examples:</w:t>
            </w:r>
          </w:p>
          <w:p w14:paraId="02CEECA1" w14:textId="77777777" w:rsidR="00CF666C" w:rsidRPr="003015FD" w:rsidRDefault="00CF666C" w:rsidP="00CF666C">
            <w:pPr>
              <w:pStyle w:val="ListBullet"/>
            </w:pPr>
            <w:r w:rsidRPr="003015FD">
              <w:t>Department of Justice and Community Safety promoted a taskforce to address the over-representation of Aboriginal young people in the youth justice system</w:t>
            </w:r>
            <w:r>
              <w:t>.</w:t>
            </w:r>
          </w:p>
          <w:p w14:paraId="57587B6F" w14:textId="77777777" w:rsidR="00CF666C" w:rsidRPr="003015FD" w:rsidRDefault="00CF666C" w:rsidP="00CF666C">
            <w:pPr>
              <w:pStyle w:val="ListBullet"/>
            </w:pPr>
            <w:r w:rsidRPr="003015FD">
              <w:t>Port Phillip City Council promoted the Pride Centre, Pride March and the opening of the Rainbow Road.</w:t>
            </w:r>
          </w:p>
          <w:p w14:paraId="78842BD6" w14:textId="5CF99EEB" w:rsidR="00CF666C" w:rsidRPr="003015FD" w:rsidRDefault="00CF666C" w:rsidP="00CF666C">
            <w:pPr>
              <w:pStyle w:val="ListBullet"/>
            </w:pPr>
            <w:r w:rsidRPr="003015FD">
              <w:t xml:space="preserve">The Commission for Children and Young People added an </w:t>
            </w:r>
            <w:r>
              <w:t>'</w:t>
            </w:r>
            <w:r w:rsidRPr="003015FD">
              <w:t>Upholding Children</w:t>
            </w:r>
            <w:r>
              <w:t>'</w:t>
            </w:r>
            <w:r w:rsidRPr="003015FD">
              <w:t>s Rights</w:t>
            </w:r>
            <w:r>
              <w:t>'</w:t>
            </w:r>
            <w:r w:rsidRPr="003015FD">
              <w:t xml:space="preserve"> page to its website</w:t>
            </w:r>
            <w:r>
              <w:t xml:space="preserve">. It also </w:t>
            </w:r>
            <w:r w:rsidRPr="003015FD">
              <w:t>updated its Aboriginal Inclusion Action Plan</w:t>
            </w:r>
            <w:r>
              <w:t>,</w:t>
            </w:r>
            <w:r w:rsidRPr="003015FD">
              <w:t xml:space="preserve"> which includes a commitment to ensuring its work is inclusive of the needs of Aboriginal children and young people, in accordance with the Charter</w:t>
            </w:r>
            <w:r>
              <w:t>.</w:t>
            </w:r>
          </w:p>
          <w:p w14:paraId="0192B1C6" w14:textId="77777777" w:rsidR="00CF666C" w:rsidRPr="003015FD" w:rsidRDefault="00CF666C" w:rsidP="00CF666C">
            <w:pPr>
              <w:pStyle w:val="ListBullet"/>
            </w:pPr>
            <w:r w:rsidRPr="003015FD">
              <w:t>The Department of Premier and Cabinet Secretary joined the Male Champion</w:t>
            </w:r>
            <w:r>
              <w:t>s</w:t>
            </w:r>
            <w:r w:rsidRPr="003015FD">
              <w:t xml:space="preserve"> of Change initiative, under which male leaders act to advance gender equity</w:t>
            </w:r>
            <w:r>
              <w:t>.</w:t>
            </w:r>
          </w:p>
          <w:p w14:paraId="650DD23D" w14:textId="1E8AA968" w:rsidR="00CF666C" w:rsidRDefault="00CF666C" w:rsidP="00CF666C">
            <w:pPr>
              <w:pStyle w:val="ListBullet"/>
            </w:pPr>
            <w:r w:rsidRPr="003015FD">
              <w:t>The Victorian Public Sector Commission</w:t>
            </w:r>
            <w:r>
              <w:t>'</w:t>
            </w:r>
            <w:r w:rsidRPr="003015FD">
              <w:t xml:space="preserve">s Commissioner published </w:t>
            </w:r>
            <w:r w:rsidRPr="005B74F5">
              <w:t>Getting to</w:t>
            </w:r>
            <w:r w:rsidRPr="00D82FA2">
              <w:t xml:space="preserve"> Work: Victorian public sector disability </w:t>
            </w:r>
            <w:r w:rsidRPr="00DF640B">
              <w:t xml:space="preserve">employment action </w:t>
            </w:r>
            <w:r w:rsidRPr="00DE1791">
              <w:t>plan 2018</w:t>
            </w:r>
            <w:r w:rsidRPr="008B2BD2">
              <w:t>–</w:t>
            </w:r>
            <w:r w:rsidRPr="005B74F5">
              <w:t>2025</w:t>
            </w:r>
            <w:r>
              <w:t>.</w:t>
            </w:r>
          </w:p>
        </w:tc>
      </w:tr>
    </w:tbl>
    <w:p w14:paraId="4060C0E5" w14:textId="4FAEBABB" w:rsidR="008E0945" w:rsidRPr="003015FD" w:rsidRDefault="003015FD" w:rsidP="0002642E">
      <w:r>
        <w:lastRenderedPageBreak/>
        <w:t>Most</w:t>
      </w:r>
      <w:r w:rsidR="00975895" w:rsidRPr="003015FD">
        <w:t xml:space="preserve"> </w:t>
      </w:r>
      <w:r w:rsidR="008E0945" w:rsidRPr="003015FD">
        <w:t>public</w:t>
      </w:r>
      <w:r w:rsidR="00975895" w:rsidRPr="003015FD">
        <w:t xml:space="preserve"> </w:t>
      </w:r>
      <w:r w:rsidR="008E0945" w:rsidRPr="003015FD">
        <w:t>authority</w:t>
      </w:r>
      <w:r w:rsidR="00975895" w:rsidRPr="003015FD">
        <w:t xml:space="preserve"> </w:t>
      </w:r>
      <w:r w:rsidR="008E0945" w:rsidRPr="003015FD">
        <w:t>leadership</w:t>
      </w:r>
      <w:r w:rsidR="00975895" w:rsidRPr="003015FD">
        <w:t xml:space="preserve"> </w:t>
      </w:r>
      <w:r w:rsidR="008E0945" w:rsidRPr="003015FD">
        <w:t>had</w:t>
      </w:r>
      <w:r w:rsidR="00975895" w:rsidRPr="003015FD">
        <w:t xml:space="preserve"> </w:t>
      </w:r>
      <w:r w:rsidR="008E0945" w:rsidRPr="003015FD">
        <w:t>promoted</w:t>
      </w:r>
      <w:r w:rsidR="00975895" w:rsidRPr="003015FD">
        <w:t xml:space="preserve"> </w:t>
      </w:r>
      <w:r w:rsidR="008E0945" w:rsidRPr="003015FD">
        <w:t>their</w:t>
      </w:r>
      <w:r w:rsidR="00975895" w:rsidRPr="003015FD">
        <w:t xml:space="preserve"> </w:t>
      </w:r>
      <w:r w:rsidR="008E0945" w:rsidRPr="003015FD">
        <w:t>organisation</w:t>
      </w:r>
      <w:r w:rsidR="000C5726">
        <w:t>'</w:t>
      </w:r>
      <w:r w:rsidR="008E0945" w:rsidRPr="003015FD">
        <w:t>s</w:t>
      </w:r>
      <w:r w:rsidR="00975895" w:rsidRPr="003015FD">
        <w:t xml:space="preserve"> </w:t>
      </w:r>
      <w:r w:rsidR="008E0945" w:rsidRPr="003015FD">
        <w:t>public</w:t>
      </w:r>
      <w:r w:rsidR="00975895" w:rsidRPr="003015FD">
        <w:t xml:space="preserve"> </w:t>
      </w:r>
      <w:r w:rsidR="008E0945" w:rsidRPr="003015FD">
        <w:t>sector</w:t>
      </w:r>
      <w:r w:rsidR="00975895" w:rsidRPr="003015FD">
        <w:t xml:space="preserve"> </w:t>
      </w:r>
      <w:r w:rsidR="008E0945" w:rsidRPr="003015FD">
        <w:t>obligations</w:t>
      </w:r>
      <w:r w:rsidR="00975895" w:rsidRPr="003015FD">
        <w:t xml:space="preserve"> </w:t>
      </w:r>
      <w:r w:rsidR="008E0945" w:rsidRPr="003015FD">
        <w:t>under</w:t>
      </w:r>
      <w:r w:rsidR="00975895" w:rsidRPr="003015FD">
        <w:t xml:space="preserve"> </w:t>
      </w:r>
      <w:r w:rsidR="008E0945" w:rsidRPr="003015FD">
        <w:t>the</w:t>
      </w:r>
      <w:r w:rsidR="00975895" w:rsidRPr="003015FD">
        <w:t xml:space="preserve"> </w:t>
      </w:r>
      <w:r w:rsidR="008E0945" w:rsidRPr="003015FD">
        <w:t>Charter</w:t>
      </w:r>
      <w:r w:rsidR="00975895" w:rsidRPr="003015FD">
        <w:t xml:space="preserve"> </w:t>
      </w:r>
      <w:r w:rsidR="008E0945" w:rsidRPr="003015FD">
        <w:t>(59</w:t>
      </w:r>
      <w:r w:rsidR="00975895" w:rsidRPr="003015FD">
        <w:t xml:space="preserve"> </w:t>
      </w:r>
      <w:r w:rsidR="000B73B9" w:rsidRPr="003015FD">
        <w:t>per</w:t>
      </w:r>
      <w:r w:rsidR="00975895" w:rsidRPr="003015FD">
        <w:t xml:space="preserve"> </w:t>
      </w:r>
      <w:r w:rsidR="000B73B9" w:rsidRPr="003015FD">
        <w:t>cent</w:t>
      </w:r>
      <w:r w:rsidR="008E0945" w:rsidRPr="003015FD">
        <w:t>)</w:t>
      </w:r>
      <w:r w:rsidR="00975895" w:rsidRPr="003015FD">
        <w:t xml:space="preserve"> </w:t>
      </w:r>
      <w:r w:rsidR="008E0945" w:rsidRPr="003015FD">
        <w:t>and</w:t>
      </w:r>
      <w:r w:rsidR="00975895" w:rsidRPr="003015FD">
        <w:t xml:space="preserve"> </w:t>
      </w:r>
      <w:r w:rsidR="008E0945" w:rsidRPr="003015FD">
        <w:t>the</w:t>
      </w:r>
      <w:r w:rsidR="00975895" w:rsidRPr="003015FD">
        <w:t xml:space="preserve"> </w:t>
      </w:r>
      <w:r w:rsidR="008E0945" w:rsidRPr="003015FD">
        <w:t>importance</w:t>
      </w:r>
      <w:r w:rsidR="00975895" w:rsidRPr="003015FD">
        <w:t xml:space="preserve"> </w:t>
      </w:r>
      <w:r w:rsidR="008E0945" w:rsidRPr="003015FD">
        <w:t>of</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to</w:t>
      </w:r>
      <w:r w:rsidR="00975895" w:rsidRPr="003015FD">
        <w:t xml:space="preserve"> </w:t>
      </w:r>
      <w:r w:rsidR="008E0945" w:rsidRPr="003015FD">
        <w:t>their</w:t>
      </w:r>
      <w:r w:rsidR="00975895" w:rsidRPr="003015FD">
        <w:t xml:space="preserve"> </w:t>
      </w:r>
      <w:r w:rsidR="008E0945" w:rsidRPr="003015FD">
        <w:t>work</w:t>
      </w:r>
      <w:r w:rsidR="00975895" w:rsidRPr="003015FD">
        <w:t xml:space="preserve"> </w:t>
      </w:r>
      <w:r w:rsidR="008E0945" w:rsidRPr="003015FD">
        <w:t>(74</w:t>
      </w:r>
      <w:r w:rsidR="00975895" w:rsidRPr="003015FD">
        <w:t xml:space="preserve"> </w:t>
      </w:r>
      <w:r w:rsidR="000B73B9" w:rsidRPr="003015FD">
        <w:t>per</w:t>
      </w:r>
      <w:r w:rsidR="00975895" w:rsidRPr="003015FD">
        <w:t xml:space="preserve"> </w:t>
      </w:r>
      <w:r w:rsidR="000B73B9" w:rsidRPr="003015FD">
        <w:t>cent</w:t>
      </w:r>
      <w:r w:rsidR="008E0945" w:rsidRPr="003015FD">
        <w:t>)</w:t>
      </w:r>
      <w:r w:rsidR="00975895" w:rsidRPr="003015FD">
        <w:t xml:space="preserve"> </w:t>
      </w:r>
      <w:r w:rsidR="008E0945" w:rsidRPr="003015FD">
        <w:t>in</w:t>
      </w:r>
      <w:r w:rsidR="00975895" w:rsidRPr="003015FD">
        <w:t xml:space="preserve"> </w:t>
      </w:r>
      <w:r w:rsidR="008E0945" w:rsidRPr="003015FD">
        <w:t>external</w:t>
      </w:r>
      <w:r w:rsidR="00975895" w:rsidRPr="003015FD">
        <w:t xml:space="preserve"> </w:t>
      </w:r>
      <w:r w:rsidR="008E0945" w:rsidRPr="003015FD">
        <w:t>communications.</w:t>
      </w:r>
    </w:p>
    <w:p w14:paraId="5AD4DE37" w14:textId="11118447" w:rsidR="008E0945" w:rsidRPr="003015FD" w:rsidRDefault="008E0945" w:rsidP="0002642E">
      <w:r w:rsidRPr="003015FD">
        <w:t>Government</w:t>
      </w:r>
      <w:r w:rsidR="00975895" w:rsidRPr="003015FD">
        <w:t xml:space="preserve"> </w:t>
      </w:r>
      <w:r w:rsidRPr="003015FD">
        <w:t>departments</w:t>
      </w:r>
      <w:r w:rsidR="000C5726">
        <w:t>'</w:t>
      </w:r>
      <w:r w:rsidR="00975895" w:rsidRPr="003015FD">
        <w:t xml:space="preserve"> </w:t>
      </w:r>
      <w:r w:rsidRPr="003015FD">
        <w:t>and</w:t>
      </w:r>
      <w:r w:rsidR="00975895" w:rsidRPr="003015FD">
        <w:t xml:space="preserve"> </w:t>
      </w:r>
      <w:r w:rsidRPr="003015FD">
        <w:t>small</w:t>
      </w:r>
      <w:r w:rsidR="00975895" w:rsidRPr="003015FD">
        <w:t xml:space="preserve"> </w:t>
      </w:r>
      <w:r w:rsidRPr="003015FD">
        <w:t>agencies</w:t>
      </w:r>
      <w:r w:rsidR="000C5726">
        <w:t>'</w:t>
      </w:r>
      <w:r w:rsidR="00975895" w:rsidRPr="003015FD">
        <w:t xml:space="preserve"> </w:t>
      </w:r>
      <w:r w:rsidRPr="003015FD">
        <w:t>leadership</w:t>
      </w:r>
      <w:r w:rsidR="00975895" w:rsidRPr="003015FD">
        <w:t xml:space="preserve"> </w:t>
      </w:r>
      <w:r w:rsidRPr="003015FD">
        <w:t>were</w:t>
      </w:r>
      <w:r w:rsidR="00975895" w:rsidRPr="003015FD">
        <w:t xml:space="preserve"> </w:t>
      </w:r>
      <w:r w:rsidRPr="003015FD">
        <w:t>more</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00C644CD">
        <w:t xml:space="preserve">expressly </w:t>
      </w:r>
      <w:r w:rsidRPr="003015FD">
        <w:t>promoted</w:t>
      </w:r>
      <w:r w:rsidR="00975895" w:rsidRPr="003015FD">
        <w:t xml:space="preserve"> </w:t>
      </w:r>
      <w:r w:rsidRPr="003015FD">
        <w:t>their</w:t>
      </w:r>
      <w:r w:rsidR="00975895" w:rsidRPr="003015FD">
        <w:t xml:space="preserve"> </w:t>
      </w:r>
      <w:r w:rsidRPr="003015FD">
        <w:t>organisation</w:t>
      </w:r>
      <w:r w:rsidR="000C5726">
        <w:t>'</w:t>
      </w:r>
      <w:r w:rsidRPr="003015FD">
        <w:t>s</w:t>
      </w:r>
      <w:r w:rsidR="00975895" w:rsidRPr="003015FD">
        <w:t xml:space="preserve"> </w:t>
      </w:r>
      <w:r w:rsidRPr="003015FD">
        <w:t>public</w:t>
      </w:r>
      <w:r w:rsidR="00975895" w:rsidRPr="003015FD">
        <w:t xml:space="preserve"> </w:t>
      </w:r>
      <w:r w:rsidRPr="003015FD">
        <w:t>sector</w:t>
      </w:r>
      <w:r w:rsidR="00975895" w:rsidRPr="003015FD">
        <w:t xml:space="preserve"> </w:t>
      </w:r>
      <w:r w:rsidRPr="003015FD">
        <w:t>obligations</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00C644CD">
        <w:t xml:space="preserve"> externally. </w:t>
      </w:r>
      <w:r w:rsidR="00C644CD" w:rsidRPr="003015FD">
        <w:t>Government departments</w:t>
      </w:r>
      <w:r w:rsidR="00C644CD">
        <w:t>'</w:t>
      </w:r>
      <w:r w:rsidR="00C644CD" w:rsidRPr="003015FD">
        <w:t xml:space="preserve"> and small agencies</w:t>
      </w:r>
      <w:r w:rsidR="00C644CD">
        <w:t>'</w:t>
      </w:r>
      <w:r w:rsidR="00C644CD" w:rsidRPr="003015FD">
        <w:t xml:space="preserve"> leadership were</w:t>
      </w:r>
      <w:r w:rsidR="00C644CD">
        <w:t xml:space="preserve"> also more likely to promote</w:t>
      </w:r>
      <w:r w:rsidR="00975895" w:rsidRPr="003015FD">
        <w:t xml:space="preserve"> </w:t>
      </w:r>
      <w:r w:rsidRPr="003015FD">
        <w:t>the</w:t>
      </w:r>
      <w:r w:rsidR="00975895" w:rsidRPr="003015FD">
        <w:t xml:space="preserve"> </w:t>
      </w:r>
      <w:r w:rsidRPr="003015FD">
        <w:t>importance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to</w:t>
      </w:r>
      <w:r w:rsidR="00975895" w:rsidRPr="003015FD">
        <w:t xml:space="preserve"> </w:t>
      </w:r>
      <w:r w:rsidRPr="003015FD">
        <w:t>their</w:t>
      </w:r>
      <w:r w:rsidR="00975895" w:rsidRPr="003015FD">
        <w:t xml:space="preserve"> </w:t>
      </w:r>
      <w:r w:rsidRPr="003015FD">
        <w:t>organisation</w:t>
      </w:r>
      <w:r w:rsidR="000C5726">
        <w:t>'</w:t>
      </w:r>
      <w:r w:rsidRPr="003015FD">
        <w:t>s</w:t>
      </w:r>
      <w:r w:rsidR="00975895" w:rsidRPr="003015FD">
        <w:t xml:space="preserve"> </w:t>
      </w:r>
      <w:r w:rsidRPr="003015FD">
        <w:t>work</w:t>
      </w:r>
      <w:r w:rsidR="00975895" w:rsidRPr="003015FD">
        <w:t xml:space="preserve"> </w:t>
      </w:r>
      <w:r w:rsidRPr="003015FD">
        <w:t>in</w:t>
      </w:r>
      <w:r w:rsidR="00975895" w:rsidRPr="003015FD">
        <w:t xml:space="preserve"> </w:t>
      </w:r>
      <w:r w:rsidRPr="003015FD">
        <w:t>external</w:t>
      </w:r>
      <w:r w:rsidR="00975895" w:rsidRPr="003015FD">
        <w:t xml:space="preserve"> </w:t>
      </w:r>
      <w:r w:rsidRPr="003015FD">
        <w:t>communications.</w:t>
      </w:r>
      <w:r w:rsidR="00975895" w:rsidRPr="003015FD">
        <w:t xml:space="preserve"> </w:t>
      </w:r>
    </w:p>
    <w:p w14:paraId="327542DA" w14:textId="75DBE2B6" w:rsidR="008E0945" w:rsidRPr="003015FD" w:rsidRDefault="008E0945" w:rsidP="0002642E">
      <w:pPr>
        <w:pStyle w:val="Heading4"/>
      </w:pPr>
      <w:r w:rsidRPr="003015FD">
        <w:t>C.</w:t>
      </w:r>
      <w:r w:rsidR="00975895" w:rsidRPr="003015FD">
        <w:t xml:space="preserve"> </w:t>
      </w:r>
      <w:r w:rsidRPr="003015FD">
        <w:t>Types</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p>
    <w:p w14:paraId="57928015" w14:textId="680C42CD" w:rsidR="008E0945" w:rsidRPr="003015FD" w:rsidRDefault="008E0945" w:rsidP="0002642E">
      <w:r w:rsidRPr="003015FD">
        <w:t>Different</w:t>
      </w:r>
      <w:r w:rsidR="00975895" w:rsidRPr="003015FD">
        <w:t xml:space="preserve"> </w:t>
      </w:r>
      <w:r w:rsidRPr="003015FD">
        <w:t>organisations</w:t>
      </w:r>
      <w:r w:rsidR="00975895" w:rsidRPr="003015FD">
        <w:t xml:space="preserve"> </w:t>
      </w:r>
      <w:r w:rsidRPr="003015FD">
        <w:t>tended</w:t>
      </w:r>
      <w:r w:rsidR="00975895" w:rsidRPr="003015FD">
        <w:t xml:space="preserve"> </w:t>
      </w:r>
      <w:r w:rsidRPr="003015FD">
        <w:t>to</w:t>
      </w:r>
      <w:r w:rsidR="00975895" w:rsidRPr="003015FD">
        <w:t xml:space="preserve"> </w:t>
      </w:r>
      <w:r w:rsidRPr="003015FD">
        <w:t>promote</w:t>
      </w:r>
      <w:r w:rsidR="00975895" w:rsidRPr="003015FD">
        <w:t xml:space="preserve"> </w:t>
      </w:r>
      <w:r w:rsidRPr="003015FD">
        <w:t>different</w:t>
      </w:r>
      <w:r w:rsidR="00975895" w:rsidRPr="003015FD">
        <w:t xml:space="preserve"> </w:t>
      </w:r>
      <w:r w:rsidRPr="003015FD">
        <w:t>rights,</w:t>
      </w:r>
      <w:r w:rsidR="00975895" w:rsidRPr="003015FD">
        <w:t xml:space="preserve"> </w:t>
      </w:r>
      <w:r w:rsidRPr="003015FD">
        <w:t>with</w:t>
      </w:r>
      <w:r w:rsidR="00975895" w:rsidRPr="003015FD">
        <w:t xml:space="preserve"> </w:t>
      </w:r>
      <w:r w:rsidRPr="003015FD">
        <w:t>these</w:t>
      </w:r>
      <w:r w:rsidR="00975895" w:rsidRPr="003015FD">
        <w:t xml:space="preserve"> </w:t>
      </w:r>
      <w:r w:rsidRPr="003015FD">
        <w:t>also</w:t>
      </w:r>
      <w:r w:rsidR="00975895" w:rsidRPr="003015FD">
        <w:t xml:space="preserve"> </w:t>
      </w:r>
      <w:r w:rsidRPr="003015FD">
        <w:t>differing</w:t>
      </w:r>
      <w:r w:rsidR="00975895" w:rsidRPr="003015FD">
        <w:t xml:space="preserve"> </w:t>
      </w:r>
      <w:r w:rsidRPr="003015FD">
        <w:t>depending</w:t>
      </w:r>
      <w:r w:rsidR="00975895" w:rsidRPr="003015FD">
        <w:t xml:space="preserve"> </w:t>
      </w:r>
      <w:r w:rsidRPr="003015FD">
        <w:t>on</w:t>
      </w:r>
      <w:r w:rsidR="00975895" w:rsidRPr="003015FD">
        <w:t xml:space="preserve"> </w:t>
      </w:r>
      <w:r w:rsidRPr="003015FD">
        <w:t>whether</w:t>
      </w:r>
      <w:r w:rsidR="00975895" w:rsidRPr="003015FD">
        <w:t xml:space="preserve"> </w:t>
      </w:r>
      <w:r w:rsidRPr="003015FD">
        <w:t>the</w:t>
      </w:r>
      <w:r w:rsidR="00975895" w:rsidRPr="003015FD">
        <w:t xml:space="preserve"> </w:t>
      </w:r>
      <w:r w:rsidRPr="003015FD">
        <w:t>promotion</w:t>
      </w:r>
      <w:r w:rsidR="00975895" w:rsidRPr="003015FD">
        <w:t xml:space="preserve"> </w:t>
      </w:r>
      <w:r w:rsidRPr="003015FD">
        <w:t>was</w:t>
      </w:r>
      <w:r w:rsidR="00975895" w:rsidRPr="003015FD">
        <w:t xml:space="preserve"> </w:t>
      </w:r>
      <w:r w:rsidRPr="003015FD">
        <w:t>internal</w:t>
      </w:r>
      <w:r w:rsidR="00975895" w:rsidRPr="003015FD">
        <w:t xml:space="preserve"> </w:t>
      </w:r>
      <w:r w:rsidRPr="003015FD">
        <w:t>o</w:t>
      </w:r>
      <w:r w:rsidR="008B2BD2">
        <w:t>r</w:t>
      </w:r>
      <w:r w:rsidR="00975895" w:rsidRPr="003015FD">
        <w:t xml:space="preserve"> </w:t>
      </w:r>
      <w:r w:rsidRPr="003015FD">
        <w:t>external.</w:t>
      </w:r>
      <w:r w:rsidR="00975895" w:rsidRPr="003015FD">
        <w:t xml:space="preserve"> </w:t>
      </w:r>
    </w:p>
    <w:p w14:paraId="2A488C22" w14:textId="3F0DA109" w:rsidR="008E0945" w:rsidRPr="00A65B12" w:rsidRDefault="008E0945" w:rsidP="0002642E">
      <w:pPr>
        <w:pStyle w:val="Caption"/>
        <w:keepNext/>
      </w:pPr>
      <w:bookmarkStart w:id="66" w:name="_Ref9416284"/>
      <w:r w:rsidRPr="00A65B12">
        <w:t>Table</w:t>
      </w:r>
      <w:r w:rsidR="00975895" w:rsidRPr="00A65B12">
        <w:t xml:space="preserve"> </w:t>
      </w:r>
      <w:r w:rsidR="003B428A">
        <w:t>1:</w:t>
      </w:r>
      <w:bookmarkEnd w:id="66"/>
      <w:r w:rsidR="00975895" w:rsidRPr="00A65B12">
        <w:t xml:space="preserve"> </w:t>
      </w:r>
      <w:r w:rsidRPr="00A65B12">
        <w:t>Human</w:t>
      </w:r>
      <w:r w:rsidR="00975895" w:rsidRPr="00A65B12">
        <w:t xml:space="preserve"> </w:t>
      </w:r>
      <w:r w:rsidRPr="00A65B12">
        <w:t>rights</w:t>
      </w:r>
      <w:r w:rsidR="00975895" w:rsidRPr="00A65B12">
        <w:t xml:space="preserve"> </w:t>
      </w:r>
      <w:r w:rsidRPr="00A65B12">
        <w:t>most</w:t>
      </w:r>
      <w:r w:rsidR="00975895" w:rsidRPr="00A65B12">
        <w:t xml:space="preserve"> </w:t>
      </w:r>
      <w:r w:rsidRPr="00A65B12">
        <w:t>commonly</w:t>
      </w:r>
      <w:r w:rsidR="00975895" w:rsidRPr="00A65B12">
        <w:t xml:space="preserve"> </w:t>
      </w:r>
      <w:r w:rsidRPr="00A65B12">
        <w:t>promoted</w:t>
      </w:r>
      <w:r w:rsidR="00975895" w:rsidRPr="00A65B12">
        <w:t xml:space="preserve"> </w:t>
      </w:r>
      <w:r w:rsidRPr="00A65B12">
        <w:t>in</w:t>
      </w:r>
      <w:r w:rsidR="00975895" w:rsidRPr="00A65B12">
        <w:t xml:space="preserve"> </w:t>
      </w:r>
      <w:r w:rsidRPr="00A65B12">
        <w:t>internal</w:t>
      </w:r>
      <w:r w:rsidR="00975895" w:rsidRPr="00A65B12">
        <w:t xml:space="preserve"> </w:t>
      </w:r>
      <w:r w:rsidRPr="00A65B12">
        <w:t>communications</w:t>
      </w:r>
    </w:p>
    <w:p w14:paraId="3C34BA69" w14:textId="7DD02E87"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57" w:type="dxa"/>
          <w:bottom w:w="57" w:type="dxa"/>
        </w:tblCellMar>
        <w:tblLook w:val="04A0" w:firstRow="1" w:lastRow="0" w:firstColumn="1" w:lastColumn="0" w:noHBand="0" w:noVBand="1"/>
      </w:tblPr>
      <w:tblGrid>
        <w:gridCol w:w="4505"/>
        <w:gridCol w:w="4506"/>
      </w:tblGrid>
      <w:tr w:rsidR="008E0945" w:rsidRPr="003015FD" w14:paraId="1BFBD508" w14:textId="77777777" w:rsidTr="0002642E">
        <w:tc>
          <w:tcPr>
            <w:tcW w:w="4505" w:type="dxa"/>
            <w:shd w:val="clear" w:color="auto" w:fill="113F67"/>
          </w:tcPr>
          <w:p w14:paraId="4DE0219D" w14:textId="3088B8BE" w:rsidR="008E0945" w:rsidRPr="0002642E" w:rsidRDefault="008E0945" w:rsidP="0002642E">
            <w:pPr>
              <w:rPr>
                <w:rStyle w:val="Characterbold"/>
                <w:lang w:val="en-GB"/>
              </w:rPr>
            </w:pPr>
            <w:r w:rsidRPr="0002642E">
              <w:rPr>
                <w:rStyle w:val="Characterbold"/>
                <w:lang w:val="en-GB"/>
              </w:rPr>
              <w:t>Local</w:t>
            </w:r>
            <w:r w:rsidR="00975895" w:rsidRPr="0002642E">
              <w:rPr>
                <w:rStyle w:val="Characterbold"/>
                <w:lang w:val="en-GB"/>
              </w:rPr>
              <w:t xml:space="preserve"> </w:t>
            </w:r>
            <w:r w:rsidRPr="0002642E">
              <w:rPr>
                <w:rStyle w:val="Characterbold"/>
                <w:lang w:val="en-GB"/>
              </w:rPr>
              <w:t>councils</w:t>
            </w:r>
          </w:p>
        </w:tc>
        <w:tc>
          <w:tcPr>
            <w:tcW w:w="4506" w:type="dxa"/>
            <w:shd w:val="clear" w:color="auto" w:fill="2772AB"/>
          </w:tcPr>
          <w:p w14:paraId="2A766B37" w14:textId="6C56EB6F" w:rsidR="008E0945" w:rsidRPr="0002642E" w:rsidRDefault="008E0945" w:rsidP="0002642E">
            <w:pPr>
              <w:rPr>
                <w:rStyle w:val="Characterbold"/>
                <w:lang w:val="en-GB"/>
              </w:rPr>
            </w:pPr>
            <w:r w:rsidRPr="0002642E">
              <w:rPr>
                <w:rStyle w:val="Characterbold"/>
                <w:lang w:val="en-GB"/>
              </w:rPr>
              <w:t>Small</w:t>
            </w:r>
            <w:r w:rsidR="00975895" w:rsidRPr="0002642E">
              <w:rPr>
                <w:rStyle w:val="Characterbold"/>
                <w:lang w:val="en-GB"/>
              </w:rPr>
              <w:t xml:space="preserve"> </w:t>
            </w:r>
            <w:r w:rsidRPr="0002642E">
              <w:rPr>
                <w:rStyle w:val="Characterbold"/>
                <w:lang w:val="en-GB"/>
              </w:rPr>
              <w:t>agencies</w:t>
            </w:r>
          </w:p>
        </w:tc>
      </w:tr>
      <w:tr w:rsidR="008E0945" w:rsidRPr="003015FD" w14:paraId="1D7F0F47" w14:textId="77777777" w:rsidTr="0002642E">
        <w:tc>
          <w:tcPr>
            <w:tcW w:w="4505" w:type="dxa"/>
            <w:shd w:val="clear" w:color="auto" w:fill="F2F2F2"/>
          </w:tcPr>
          <w:p w14:paraId="2728424A" w14:textId="08E79AE9" w:rsidR="008E0945" w:rsidRPr="003015FD" w:rsidRDefault="008E0945" w:rsidP="0002642E">
            <w:pPr>
              <w:pStyle w:val="ListBullet"/>
            </w:pPr>
            <w:r w:rsidRPr="003015FD">
              <w:t>Protection</w:t>
            </w:r>
            <w:r w:rsidR="00975895" w:rsidRPr="003015FD">
              <w:t xml:space="preserve"> </w:t>
            </w:r>
            <w:r w:rsidRPr="003015FD">
              <w:t>of</w:t>
            </w:r>
            <w:r w:rsidR="00975895" w:rsidRPr="003015FD">
              <w:t xml:space="preserve"> </w:t>
            </w:r>
            <w:r w:rsidRPr="003015FD">
              <w:t>families</w:t>
            </w:r>
            <w:r w:rsidR="00975895" w:rsidRPr="003015FD">
              <w:t xml:space="preserve"> </w:t>
            </w:r>
            <w:r w:rsidRPr="003015FD">
              <w:t>and</w:t>
            </w:r>
            <w:r w:rsidR="00975895" w:rsidRPr="003015FD">
              <w:t xml:space="preserve"> </w:t>
            </w:r>
            <w:r w:rsidRPr="003015FD">
              <w:t>children</w:t>
            </w:r>
            <w:r w:rsidR="00975895" w:rsidRPr="003015FD">
              <w:t xml:space="preserve"> </w:t>
            </w:r>
            <w:r w:rsidRPr="003015FD">
              <w:t>(80</w:t>
            </w:r>
            <w:r w:rsidR="00975895" w:rsidRPr="003015FD">
              <w:t xml:space="preserve"> </w:t>
            </w:r>
            <w:r w:rsidR="000B73B9" w:rsidRPr="003015FD">
              <w:t>per</w:t>
            </w:r>
            <w:r w:rsidR="00975895" w:rsidRPr="003015FD">
              <w:t xml:space="preserve"> </w:t>
            </w:r>
            <w:r w:rsidR="000B73B9" w:rsidRPr="003015FD">
              <w:t>cent</w:t>
            </w:r>
            <w:r w:rsidRPr="003015FD">
              <w:t>)</w:t>
            </w:r>
          </w:p>
          <w:p w14:paraId="4E83D511" w14:textId="64823A8F" w:rsidR="008E0945" w:rsidRPr="003015FD" w:rsidRDefault="008E0945" w:rsidP="0002642E">
            <w:pPr>
              <w:pStyle w:val="ListBullet"/>
              <w:numPr>
                <w:ilvl w:val="0"/>
                <w:numId w:val="52"/>
              </w:numPr>
            </w:pPr>
            <w:r w:rsidRPr="003015FD">
              <w:t>Cultural</w:t>
            </w:r>
            <w:r w:rsidR="00975895" w:rsidRPr="003015FD">
              <w:t xml:space="preserve"> </w:t>
            </w:r>
            <w:r w:rsidRPr="003015FD">
              <w:t>rights</w:t>
            </w:r>
            <w:r w:rsidR="00975895" w:rsidRPr="003015FD">
              <w:t xml:space="preserve"> </w:t>
            </w:r>
            <w:r w:rsidRPr="003015FD">
              <w:t>(70</w:t>
            </w:r>
            <w:r w:rsidR="00975895" w:rsidRPr="003015FD">
              <w:t xml:space="preserve"> </w:t>
            </w:r>
            <w:r w:rsidR="000B73B9" w:rsidRPr="003015FD">
              <w:t>per</w:t>
            </w:r>
            <w:r w:rsidR="00975895" w:rsidRPr="003015FD">
              <w:t xml:space="preserve"> </w:t>
            </w:r>
            <w:r w:rsidR="000B73B9" w:rsidRPr="003015FD">
              <w:t>cent</w:t>
            </w:r>
            <w:r w:rsidRPr="003015FD">
              <w:t>)</w:t>
            </w:r>
          </w:p>
          <w:p w14:paraId="3291D241" w14:textId="382E8F72"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recognition</w:t>
            </w:r>
            <w:r w:rsidR="00975895" w:rsidRPr="003015FD">
              <w:t xml:space="preserve"> </w:t>
            </w:r>
            <w:r w:rsidRPr="003015FD">
              <w:t>and</w:t>
            </w:r>
            <w:r w:rsidR="00975895" w:rsidRPr="003015FD">
              <w:t xml:space="preserve"> </w:t>
            </w:r>
            <w:r w:rsidRPr="003015FD">
              <w:t>equality</w:t>
            </w:r>
            <w:r w:rsidR="00975895" w:rsidRPr="003015FD">
              <w:t xml:space="preserve"> </w:t>
            </w:r>
            <w:r w:rsidRPr="003015FD">
              <w:t>before</w:t>
            </w:r>
            <w:r w:rsidR="00975895" w:rsidRPr="003015FD">
              <w:t xml:space="preserve"> </w:t>
            </w:r>
            <w:r w:rsidRPr="003015FD">
              <w:t>the</w:t>
            </w:r>
            <w:r w:rsidR="00975895" w:rsidRPr="003015FD">
              <w:t xml:space="preserve"> </w:t>
            </w:r>
            <w:r w:rsidRPr="003015FD">
              <w:t>law</w:t>
            </w:r>
            <w:r w:rsidR="00975895" w:rsidRPr="003015FD">
              <w:t xml:space="preserve"> </w:t>
            </w:r>
            <w:r w:rsidRPr="003015FD">
              <w:t>(60</w:t>
            </w:r>
            <w:r w:rsidR="00975895" w:rsidRPr="003015FD">
              <w:t xml:space="preserve"> </w:t>
            </w:r>
            <w:r w:rsidR="000B73B9" w:rsidRPr="003015FD">
              <w:t>per</w:t>
            </w:r>
            <w:r w:rsidR="00975895" w:rsidRPr="003015FD">
              <w:t xml:space="preserve"> </w:t>
            </w:r>
            <w:r w:rsidR="000B73B9" w:rsidRPr="003015FD">
              <w:t>cent</w:t>
            </w:r>
            <w:r w:rsidRPr="003015FD">
              <w:t>)</w:t>
            </w:r>
          </w:p>
          <w:p w14:paraId="1F3BE2BA" w14:textId="6D41E818" w:rsidR="008E0945" w:rsidRPr="003015FD" w:rsidRDefault="008E0945" w:rsidP="00BF114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privacy</w:t>
            </w:r>
            <w:r w:rsidR="00975895" w:rsidRPr="003015FD">
              <w:t xml:space="preserve"> </w:t>
            </w:r>
            <w:r w:rsidRPr="003015FD">
              <w:t>and</w:t>
            </w:r>
            <w:r w:rsidR="00975895" w:rsidRPr="003015FD">
              <w:t xml:space="preserve"> </w:t>
            </w:r>
            <w:r w:rsidRPr="003015FD">
              <w:t>reputation</w:t>
            </w:r>
            <w:r w:rsidR="00975895" w:rsidRPr="003015FD">
              <w:t xml:space="preserve"> </w:t>
            </w:r>
            <w:r w:rsidRPr="003015FD">
              <w:t>(60</w:t>
            </w:r>
            <w:r w:rsidR="00975895" w:rsidRPr="003015FD">
              <w:t xml:space="preserve"> </w:t>
            </w:r>
            <w:r w:rsidR="000B73B9" w:rsidRPr="003015FD">
              <w:t>per</w:t>
            </w:r>
            <w:r w:rsidR="00975895" w:rsidRPr="003015FD">
              <w:t xml:space="preserve"> </w:t>
            </w:r>
            <w:r w:rsidR="000B73B9" w:rsidRPr="003015FD">
              <w:t>cent</w:t>
            </w:r>
            <w:r w:rsidRPr="003015FD">
              <w:t>)</w:t>
            </w:r>
          </w:p>
        </w:tc>
        <w:tc>
          <w:tcPr>
            <w:tcW w:w="4506" w:type="dxa"/>
            <w:shd w:val="clear" w:color="auto" w:fill="F2F2F2"/>
          </w:tcPr>
          <w:p w14:paraId="5775CE9D" w14:textId="1471DF33"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recognition</w:t>
            </w:r>
            <w:r w:rsidR="00975895" w:rsidRPr="003015FD">
              <w:t xml:space="preserve"> </w:t>
            </w:r>
            <w:r w:rsidRPr="003015FD">
              <w:t>and</w:t>
            </w:r>
            <w:r w:rsidR="00975895" w:rsidRPr="003015FD">
              <w:t xml:space="preserve"> </w:t>
            </w:r>
            <w:r w:rsidRPr="003015FD">
              <w:t>equality</w:t>
            </w:r>
            <w:r w:rsidR="00975895" w:rsidRPr="003015FD">
              <w:t xml:space="preserve"> </w:t>
            </w:r>
            <w:r w:rsidRPr="003015FD">
              <w:t>before</w:t>
            </w:r>
            <w:r w:rsidR="00975895" w:rsidRPr="003015FD">
              <w:t xml:space="preserve"> </w:t>
            </w:r>
            <w:r w:rsidRPr="003015FD">
              <w:t>the</w:t>
            </w:r>
            <w:r w:rsidR="00975895" w:rsidRPr="003015FD">
              <w:t xml:space="preserve"> </w:t>
            </w:r>
            <w:r w:rsidRPr="003015FD">
              <w:t>law</w:t>
            </w:r>
            <w:r w:rsidR="00975895" w:rsidRPr="003015FD">
              <w:t xml:space="preserve"> </w:t>
            </w:r>
            <w:r w:rsidRPr="003015FD">
              <w:t>(70</w:t>
            </w:r>
            <w:r w:rsidR="00975895" w:rsidRPr="003015FD">
              <w:t xml:space="preserve"> </w:t>
            </w:r>
            <w:r w:rsidR="000B73B9" w:rsidRPr="003015FD">
              <w:t>per</w:t>
            </w:r>
            <w:r w:rsidR="00975895" w:rsidRPr="003015FD">
              <w:t xml:space="preserve"> </w:t>
            </w:r>
            <w:r w:rsidR="000B73B9" w:rsidRPr="003015FD">
              <w:t>cent</w:t>
            </w:r>
            <w:r w:rsidRPr="003015FD">
              <w:t>)</w:t>
            </w:r>
          </w:p>
          <w:p w14:paraId="5D843D17" w14:textId="6F8C7261"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privacy</w:t>
            </w:r>
            <w:r w:rsidR="00975895" w:rsidRPr="003015FD">
              <w:t xml:space="preserve"> </w:t>
            </w:r>
            <w:r w:rsidRPr="003015FD">
              <w:t>and</w:t>
            </w:r>
            <w:r w:rsidR="00975895" w:rsidRPr="003015FD">
              <w:t xml:space="preserve"> </w:t>
            </w:r>
            <w:r w:rsidRPr="003015FD">
              <w:t>reputation</w:t>
            </w:r>
            <w:r w:rsidR="00975895" w:rsidRPr="003015FD">
              <w:t xml:space="preserve"> </w:t>
            </w:r>
            <w:r w:rsidRPr="003015FD">
              <w:t>(70</w:t>
            </w:r>
            <w:r w:rsidR="00975895" w:rsidRPr="003015FD">
              <w:t xml:space="preserve"> </w:t>
            </w:r>
            <w:r w:rsidR="000B73B9" w:rsidRPr="003015FD">
              <w:t>per</w:t>
            </w:r>
            <w:r w:rsidR="00975895" w:rsidRPr="003015FD">
              <w:t xml:space="preserve"> </w:t>
            </w:r>
            <w:r w:rsidR="000B73B9" w:rsidRPr="003015FD">
              <w:t>cent</w:t>
            </w:r>
            <w:r w:rsidRPr="003015FD">
              <w:t>)</w:t>
            </w:r>
          </w:p>
          <w:p w14:paraId="35289650" w14:textId="3B7EB51D" w:rsidR="008E0945" w:rsidRPr="003015FD" w:rsidRDefault="008E0945" w:rsidP="0002642E">
            <w:pPr>
              <w:pStyle w:val="ListBullet"/>
              <w:numPr>
                <w:ilvl w:val="0"/>
                <w:numId w:val="52"/>
              </w:numPr>
            </w:pPr>
            <w:r w:rsidRPr="003015FD">
              <w:t>Cultural</w:t>
            </w:r>
            <w:r w:rsidR="00975895" w:rsidRPr="003015FD">
              <w:t xml:space="preserve"> </w:t>
            </w:r>
            <w:r w:rsidRPr="003015FD">
              <w:t>rights</w:t>
            </w:r>
            <w:r w:rsidR="00975895" w:rsidRPr="003015FD">
              <w:t xml:space="preserve"> </w:t>
            </w:r>
            <w:r w:rsidRPr="003015FD">
              <w:t>(60</w:t>
            </w:r>
            <w:r w:rsidR="00975895" w:rsidRPr="003015FD">
              <w:t xml:space="preserve"> </w:t>
            </w:r>
            <w:r w:rsidR="000B73B9" w:rsidRPr="003015FD">
              <w:t>per</w:t>
            </w:r>
            <w:r w:rsidR="00975895" w:rsidRPr="003015FD">
              <w:t xml:space="preserve"> </w:t>
            </w:r>
            <w:r w:rsidR="000B73B9" w:rsidRPr="003015FD">
              <w:t>cent</w:t>
            </w:r>
            <w:r w:rsidRPr="003015FD">
              <w:t>)</w:t>
            </w:r>
          </w:p>
          <w:p w14:paraId="711B57AC" w14:textId="32EE516B"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thought,</w:t>
            </w:r>
            <w:r w:rsidR="00975895" w:rsidRPr="003015FD">
              <w:t xml:space="preserve"> </w:t>
            </w:r>
            <w:r w:rsidRPr="003015FD">
              <w:t>conscience,</w:t>
            </w:r>
            <w:r w:rsidR="00975895" w:rsidRPr="003015FD">
              <w:t xml:space="preserve"> </w:t>
            </w:r>
            <w:r w:rsidRPr="003015FD">
              <w:t>religion</w:t>
            </w:r>
            <w:r w:rsidR="00975895" w:rsidRPr="003015FD">
              <w:t xml:space="preserve"> </w:t>
            </w:r>
            <w:r w:rsidRPr="003015FD">
              <w:t>and</w:t>
            </w:r>
            <w:r w:rsidR="00975895" w:rsidRPr="003015FD">
              <w:t xml:space="preserve"> </w:t>
            </w:r>
            <w:r w:rsidRPr="003015FD">
              <w:t>belief</w:t>
            </w:r>
            <w:r w:rsidR="00975895" w:rsidRPr="003015FD">
              <w:t xml:space="preserve"> </w:t>
            </w:r>
            <w:r w:rsidRPr="003015FD">
              <w:t>(60</w:t>
            </w:r>
            <w:r w:rsidR="00975895" w:rsidRPr="003015FD">
              <w:t xml:space="preserve"> </w:t>
            </w:r>
            <w:r w:rsidR="000B73B9" w:rsidRPr="003015FD">
              <w:t>per</w:t>
            </w:r>
            <w:r w:rsidR="00975895" w:rsidRPr="003015FD">
              <w:t xml:space="preserve"> </w:t>
            </w:r>
            <w:r w:rsidR="000B73B9" w:rsidRPr="003015FD">
              <w:t>cent</w:t>
            </w:r>
            <w:r w:rsidRPr="003015FD">
              <w:t>)</w:t>
            </w:r>
          </w:p>
          <w:p w14:paraId="40FF4ECE" w14:textId="7A0CDEAF" w:rsidR="008E0945" w:rsidRPr="003015FD" w:rsidRDefault="008E0945" w:rsidP="00BF114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expression</w:t>
            </w:r>
            <w:r w:rsidR="00975895" w:rsidRPr="003015FD">
              <w:t xml:space="preserve"> </w:t>
            </w:r>
            <w:r w:rsidRPr="003015FD">
              <w:t>(60</w:t>
            </w:r>
            <w:r w:rsidR="00975895" w:rsidRPr="003015FD">
              <w:t xml:space="preserve"> </w:t>
            </w:r>
            <w:r w:rsidR="000B73B9" w:rsidRPr="003015FD">
              <w:t>per</w:t>
            </w:r>
            <w:r w:rsidR="00975895" w:rsidRPr="003015FD">
              <w:t xml:space="preserve"> </w:t>
            </w:r>
            <w:r w:rsidR="000B73B9" w:rsidRPr="003015FD">
              <w:t>cent</w:t>
            </w:r>
            <w:r w:rsidRPr="003015FD">
              <w:t>)</w:t>
            </w:r>
          </w:p>
        </w:tc>
      </w:tr>
      <w:tr w:rsidR="008E0945" w:rsidRPr="003015FD" w14:paraId="7C192E99" w14:textId="77777777" w:rsidTr="0002642E">
        <w:tc>
          <w:tcPr>
            <w:tcW w:w="4505" w:type="dxa"/>
            <w:shd w:val="clear" w:color="auto" w:fill="87C0CD"/>
          </w:tcPr>
          <w:p w14:paraId="2E79D37C" w14:textId="38BEAA43" w:rsidR="008E0945" w:rsidRPr="0002642E" w:rsidRDefault="008E0945" w:rsidP="0002642E">
            <w:pPr>
              <w:rPr>
                <w:rStyle w:val="Characterbold"/>
                <w:lang w:val="en-GB"/>
              </w:rPr>
            </w:pPr>
            <w:r w:rsidRPr="0002642E">
              <w:rPr>
                <w:rStyle w:val="Characterbold"/>
                <w:lang w:val="en-GB"/>
              </w:rPr>
              <w:t>Large</w:t>
            </w:r>
            <w:r w:rsidR="00975895" w:rsidRPr="0002642E">
              <w:rPr>
                <w:rStyle w:val="Characterbold"/>
                <w:lang w:val="en-GB"/>
              </w:rPr>
              <w:t xml:space="preserve"> </w:t>
            </w:r>
            <w:r w:rsidRPr="0002642E">
              <w:rPr>
                <w:rStyle w:val="Characterbold"/>
                <w:lang w:val="en-GB"/>
              </w:rPr>
              <w:t>agencies</w:t>
            </w:r>
          </w:p>
        </w:tc>
        <w:tc>
          <w:tcPr>
            <w:tcW w:w="4506" w:type="dxa"/>
            <w:shd w:val="clear" w:color="auto" w:fill="D3E9F1"/>
          </w:tcPr>
          <w:p w14:paraId="12B31AD6" w14:textId="7B89B163" w:rsidR="008E0945" w:rsidRPr="0002642E" w:rsidRDefault="008E0945" w:rsidP="0002642E">
            <w:pPr>
              <w:rPr>
                <w:rStyle w:val="Characterbold"/>
                <w:lang w:val="en-GB"/>
              </w:rPr>
            </w:pPr>
            <w:r w:rsidRPr="0002642E">
              <w:rPr>
                <w:rStyle w:val="Characterbold"/>
                <w:lang w:val="en-GB"/>
              </w:rPr>
              <w:t>Government</w:t>
            </w:r>
            <w:r w:rsidR="00975895" w:rsidRPr="0002642E">
              <w:rPr>
                <w:rStyle w:val="Characterbold"/>
                <w:lang w:val="en-GB"/>
              </w:rPr>
              <w:t xml:space="preserve"> </w:t>
            </w:r>
            <w:r w:rsidRPr="0002642E">
              <w:rPr>
                <w:rStyle w:val="Characterbold"/>
                <w:lang w:val="en-GB"/>
              </w:rPr>
              <w:t>departments</w:t>
            </w:r>
          </w:p>
        </w:tc>
      </w:tr>
      <w:tr w:rsidR="008E0945" w:rsidRPr="003015FD" w14:paraId="0CB586F5" w14:textId="77777777" w:rsidTr="0002642E">
        <w:tc>
          <w:tcPr>
            <w:tcW w:w="4505" w:type="dxa"/>
            <w:shd w:val="clear" w:color="auto" w:fill="F2F2F2"/>
          </w:tcPr>
          <w:p w14:paraId="6D1D9FE3" w14:textId="0C965A94"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recognition</w:t>
            </w:r>
            <w:r w:rsidR="00975895" w:rsidRPr="003015FD">
              <w:t xml:space="preserve"> </w:t>
            </w:r>
            <w:r w:rsidRPr="003015FD">
              <w:t>and</w:t>
            </w:r>
            <w:r w:rsidR="00975895" w:rsidRPr="003015FD">
              <w:t xml:space="preserve"> </w:t>
            </w:r>
            <w:r w:rsidRPr="003015FD">
              <w:t>equality</w:t>
            </w:r>
            <w:r w:rsidR="00975895" w:rsidRPr="003015FD">
              <w:t xml:space="preserve"> </w:t>
            </w:r>
            <w:r w:rsidRPr="003015FD">
              <w:t>before</w:t>
            </w:r>
            <w:r w:rsidR="00975895" w:rsidRPr="003015FD">
              <w:t xml:space="preserve"> </w:t>
            </w:r>
            <w:r w:rsidRPr="003015FD">
              <w:t>the</w:t>
            </w:r>
            <w:r w:rsidR="00975895" w:rsidRPr="003015FD">
              <w:t xml:space="preserve"> </w:t>
            </w:r>
            <w:r w:rsidRPr="003015FD">
              <w:t>law</w:t>
            </w:r>
            <w:r w:rsidR="00975895" w:rsidRPr="003015FD">
              <w:t xml:space="preserve"> </w:t>
            </w:r>
            <w:r w:rsidRPr="003015FD">
              <w:t>(63</w:t>
            </w:r>
            <w:r w:rsidR="00975895" w:rsidRPr="003015FD">
              <w:t xml:space="preserve"> </w:t>
            </w:r>
            <w:r w:rsidR="000B73B9" w:rsidRPr="003015FD">
              <w:t>per</w:t>
            </w:r>
            <w:r w:rsidR="00975895" w:rsidRPr="003015FD">
              <w:t xml:space="preserve"> </w:t>
            </w:r>
            <w:r w:rsidR="000B73B9" w:rsidRPr="003015FD">
              <w:t>cent</w:t>
            </w:r>
            <w:r w:rsidRPr="003015FD">
              <w:t>)</w:t>
            </w:r>
          </w:p>
          <w:p w14:paraId="248BAE7E" w14:textId="21919AC8" w:rsidR="008E0945" w:rsidRPr="003015FD" w:rsidRDefault="008E0945" w:rsidP="0002642E">
            <w:pPr>
              <w:pStyle w:val="ListBullet"/>
              <w:numPr>
                <w:ilvl w:val="0"/>
                <w:numId w:val="52"/>
              </w:numPr>
            </w:pPr>
            <w:r w:rsidRPr="003015FD">
              <w:t>Cultural</w:t>
            </w:r>
            <w:r w:rsidR="00975895" w:rsidRPr="003015FD">
              <w:t xml:space="preserve"> </w:t>
            </w:r>
            <w:r w:rsidRPr="003015FD">
              <w:t>rights</w:t>
            </w:r>
            <w:r w:rsidR="00975895" w:rsidRPr="003015FD">
              <w:t xml:space="preserve"> </w:t>
            </w:r>
            <w:r w:rsidRPr="003015FD">
              <w:t>(50</w:t>
            </w:r>
            <w:r w:rsidR="00975895" w:rsidRPr="003015FD">
              <w:t xml:space="preserve"> </w:t>
            </w:r>
            <w:r w:rsidR="000B73B9" w:rsidRPr="003015FD">
              <w:t>per</w:t>
            </w:r>
            <w:r w:rsidR="00975895" w:rsidRPr="003015FD">
              <w:t xml:space="preserve"> </w:t>
            </w:r>
            <w:r w:rsidR="000B73B9" w:rsidRPr="003015FD">
              <w:t>cent</w:t>
            </w:r>
            <w:r w:rsidRPr="003015FD">
              <w:t>)</w:t>
            </w:r>
          </w:p>
          <w:p w14:paraId="1DB1E853" w14:textId="2946A705"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thought,</w:t>
            </w:r>
            <w:r w:rsidR="00975895" w:rsidRPr="003015FD">
              <w:t xml:space="preserve"> </w:t>
            </w:r>
            <w:r w:rsidRPr="003015FD">
              <w:t>conscience,</w:t>
            </w:r>
            <w:r w:rsidR="00975895" w:rsidRPr="003015FD">
              <w:t xml:space="preserve"> </w:t>
            </w:r>
            <w:r w:rsidRPr="003015FD">
              <w:t>religion</w:t>
            </w:r>
            <w:r w:rsidR="00975895" w:rsidRPr="003015FD">
              <w:t xml:space="preserve"> </w:t>
            </w:r>
            <w:r w:rsidRPr="003015FD">
              <w:t>and</w:t>
            </w:r>
            <w:r w:rsidR="00975895" w:rsidRPr="003015FD">
              <w:t xml:space="preserve"> </w:t>
            </w:r>
            <w:r w:rsidRPr="003015FD">
              <w:t>belief</w:t>
            </w:r>
            <w:r w:rsidR="00975895" w:rsidRPr="003015FD">
              <w:t xml:space="preserve"> </w:t>
            </w:r>
            <w:r w:rsidRPr="003015FD">
              <w:t>(50</w:t>
            </w:r>
            <w:r w:rsidR="00975895" w:rsidRPr="003015FD">
              <w:t xml:space="preserve"> </w:t>
            </w:r>
            <w:r w:rsidR="000B73B9" w:rsidRPr="003015FD">
              <w:t>per</w:t>
            </w:r>
            <w:r w:rsidR="00975895" w:rsidRPr="003015FD">
              <w:t xml:space="preserve"> </w:t>
            </w:r>
            <w:r w:rsidR="000B73B9" w:rsidRPr="003015FD">
              <w:t>cent</w:t>
            </w:r>
            <w:r w:rsidRPr="003015FD">
              <w:t>)</w:t>
            </w:r>
          </w:p>
          <w:p w14:paraId="4D2A75BE" w14:textId="5AC7CBB2" w:rsidR="008E0945" w:rsidRPr="003015FD" w:rsidRDefault="008E0945" w:rsidP="00BF114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expression</w:t>
            </w:r>
            <w:r w:rsidR="00975895" w:rsidRPr="003015FD">
              <w:t xml:space="preserve"> </w:t>
            </w:r>
            <w:r w:rsidRPr="003015FD">
              <w:t>(50</w:t>
            </w:r>
            <w:r w:rsidR="00975895" w:rsidRPr="003015FD">
              <w:t xml:space="preserve"> </w:t>
            </w:r>
            <w:r w:rsidR="000B73B9" w:rsidRPr="003015FD">
              <w:t>per</w:t>
            </w:r>
            <w:r w:rsidR="00975895" w:rsidRPr="003015FD">
              <w:t xml:space="preserve"> </w:t>
            </w:r>
            <w:r w:rsidR="000B73B9" w:rsidRPr="003015FD">
              <w:t>cent</w:t>
            </w:r>
            <w:r w:rsidRPr="003015FD">
              <w:t>)</w:t>
            </w:r>
          </w:p>
        </w:tc>
        <w:tc>
          <w:tcPr>
            <w:tcW w:w="4506" w:type="dxa"/>
            <w:shd w:val="clear" w:color="auto" w:fill="F2F2F2"/>
          </w:tcPr>
          <w:p w14:paraId="70F3DFB3" w14:textId="43C3E263" w:rsidR="008E0945" w:rsidRPr="003015FD" w:rsidRDefault="008E0945" w:rsidP="0002642E">
            <w:pPr>
              <w:pStyle w:val="ListBullet"/>
              <w:numPr>
                <w:ilvl w:val="0"/>
                <w:numId w:val="52"/>
              </w:numPr>
            </w:pPr>
            <w:r w:rsidRPr="003015FD">
              <w:t>Cultural</w:t>
            </w:r>
            <w:r w:rsidR="00975895" w:rsidRPr="003015FD">
              <w:t xml:space="preserve"> </w:t>
            </w:r>
            <w:r w:rsidRPr="003015FD">
              <w:t>rights</w:t>
            </w:r>
            <w:r w:rsidR="00975895" w:rsidRPr="003015FD">
              <w:t xml:space="preserve"> </w:t>
            </w:r>
            <w:r w:rsidRPr="003015FD">
              <w:t>(71</w:t>
            </w:r>
            <w:r w:rsidR="00975895" w:rsidRPr="003015FD">
              <w:t xml:space="preserve"> </w:t>
            </w:r>
            <w:r w:rsidR="000B73B9" w:rsidRPr="003015FD">
              <w:t>per</w:t>
            </w:r>
            <w:r w:rsidR="00975895" w:rsidRPr="003015FD">
              <w:t xml:space="preserve"> </w:t>
            </w:r>
            <w:r w:rsidR="000B73B9" w:rsidRPr="003015FD">
              <w:t>cent</w:t>
            </w:r>
            <w:r w:rsidRPr="003015FD">
              <w:t>)</w:t>
            </w:r>
          </w:p>
          <w:p w14:paraId="56D9C286" w14:textId="6BA0CF16"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thought,</w:t>
            </w:r>
            <w:r w:rsidR="00975895" w:rsidRPr="003015FD">
              <w:t xml:space="preserve"> </w:t>
            </w:r>
            <w:r w:rsidRPr="003015FD">
              <w:t>conscience,</w:t>
            </w:r>
            <w:r w:rsidR="00975895" w:rsidRPr="003015FD">
              <w:t xml:space="preserve"> </w:t>
            </w:r>
            <w:r w:rsidRPr="003015FD">
              <w:t>religion</w:t>
            </w:r>
            <w:r w:rsidR="00975895" w:rsidRPr="003015FD">
              <w:t xml:space="preserve"> </w:t>
            </w:r>
            <w:r w:rsidRPr="003015FD">
              <w:t>and</w:t>
            </w:r>
            <w:r w:rsidR="00975895" w:rsidRPr="003015FD">
              <w:t xml:space="preserve"> </w:t>
            </w:r>
            <w:r w:rsidRPr="003015FD">
              <w:t>belief</w:t>
            </w:r>
            <w:r w:rsidR="00975895" w:rsidRPr="003015FD">
              <w:t xml:space="preserve"> </w:t>
            </w:r>
            <w:r w:rsidRPr="003015FD">
              <w:t>(71</w:t>
            </w:r>
            <w:r w:rsidR="00975895" w:rsidRPr="003015FD">
              <w:t xml:space="preserve"> </w:t>
            </w:r>
            <w:r w:rsidR="000B73B9" w:rsidRPr="003015FD">
              <w:t>per</w:t>
            </w:r>
            <w:r w:rsidR="00975895" w:rsidRPr="003015FD">
              <w:t xml:space="preserve"> </w:t>
            </w:r>
            <w:r w:rsidR="000B73B9" w:rsidRPr="003015FD">
              <w:t>cent</w:t>
            </w:r>
            <w:r w:rsidRPr="003015FD">
              <w:t>)</w:t>
            </w:r>
          </w:p>
          <w:p w14:paraId="7B08691D" w14:textId="3DDE49B3" w:rsidR="008E0945" w:rsidRPr="003015FD" w:rsidRDefault="008E0945" w:rsidP="00BF114E">
            <w:pPr>
              <w:pStyle w:val="ListBullet"/>
              <w:numPr>
                <w:ilvl w:val="0"/>
                <w:numId w:val="52"/>
              </w:numPr>
            </w:pPr>
            <w:r w:rsidRPr="003015FD">
              <w:t>Protection</w:t>
            </w:r>
            <w:r w:rsidR="00975895" w:rsidRPr="003015FD">
              <w:t xml:space="preserve"> </w:t>
            </w:r>
            <w:r w:rsidRPr="003015FD">
              <w:t>of</w:t>
            </w:r>
            <w:r w:rsidR="00975895" w:rsidRPr="003015FD">
              <w:t xml:space="preserve"> </w:t>
            </w:r>
            <w:r w:rsidRPr="003015FD">
              <w:t>families</w:t>
            </w:r>
            <w:r w:rsidR="00975895" w:rsidRPr="003015FD">
              <w:t xml:space="preserve"> </w:t>
            </w:r>
            <w:r w:rsidRPr="003015FD">
              <w:t>and</w:t>
            </w:r>
            <w:r w:rsidR="00975895" w:rsidRPr="003015FD">
              <w:t xml:space="preserve"> </w:t>
            </w:r>
            <w:r w:rsidRPr="003015FD">
              <w:t>children</w:t>
            </w:r>
            <w:r w:rsidR="00975895" w:rsidRPr="003015FD">
              <w:t xml:space="preserve"> </w:t>
            </w:r>
            <w:r w:rsidRPr="003015FD">
              <w:t>(71</w:t>
            </w:r>
            <w:r w:rsidR="00975895" w:rsidRPr="003015FD">
              <w:t xml:space="preserve"> </w:t>
            </w:r>
            <w:r w:rsidR="000B73B9" w:rsidRPr="003015FD">
              <w:t>per</w:t>
            </w:r>
            <w:r w:rsidR="00975895" w:rsidRPr="003015FD">
              <w:t xml:space="preserve"> </w:t>
            </w:r>
            <w:r w:rsidR="000B73B9" w:rsidRPr="003015FD">
              <w:t>cent</w:t>
            </w:r>
            <w:r w:rsidRPr="003015FD">
              <w:t>)</w:t>
            </w:r>
          </w:p>
        </w:tc>
      </w:tr>
    </w:tbl>
    <w:p w14:paraId="2B071D94" w14:textId="77777777" w:rsidR="008E0945" w:rsidRPr="0002642E" w:rsidRDefault="008E0945" w:rsidP="0002642E">
      <w:pPr>
        <w:pStyle w:val="Heading4"/>
      </w:pPr>
    </w:p>
    <w:p w14:paraId="4B066F90" w14:textId="024F860A" w:rsidR="008E0945" w:rsidRPr="00B92618" w:rsidRDefault="008E0945" w:rsidP="0002642E">
      <w:pPr>
        <w:pStyle w:val="Caption"/>
      </w:pPr>
      <w:r w:rsidRPr="00B92618">
        <w:t>Table</w:t>
      </w:r>
      <w:r w:rsidR="00975895" w:rsidRPr="00B92618">
        <w:t xml:space="preserve"> </w:t>
      </w:r>
      <w:r w:rsidR="003B428A">
        <w:t>2:</w:t>
      </w:r>
      <w:r w:rsidR="00975895" w:rsidRPr="00B92618">
        <w:t xml:space="preserve"> </w:t>
      </w:r>
      <w:r w:rsidRPr="00B92618">
        <w:t>Human</w:t>
      </w:r>
      <w:r w:rsidR="00975895" w:rsidRPr="00B92618">
        <w:t xml:space="preserve"> </w:t>
      </w:r>
      <w:r w:rsidRPr="00B92618">
        <w:t>rights</w:t>
      </w:r>
      <w:r w:rsidR="00975895" w:rsidRPr="00B92618">
        <w:t xml:space="preserve"> </w:t>
      </w:r>
      <w:r w:rsidRPr="00B92618">
        <w:t>most</w:t>
      </w:r>
      <w:r w:rsidR="00975895" w:rsidRPr="00B92618">
        <w:t xml:space="preserve"> </w:t>
      </w:r>
      <w:r w:rsidRPr="00B92618">
        <w:t>commonly</w:t>
      </w:r>
      <w:r w:rsidR="00975895" w:rsidRPr="00B92618">
        <w:t xml:space="preserve"> </w:t>
      </w:r>
      <w:r w:rsidRPr="00B92618">
        <w:t>promoted</w:t>
      </w:r>
      <w:r w:rsidR="00975895" w:rsidRPr="00B92618">
        <w:t xml:space="preserve"> </w:t>
      </w:r>
      <w:r w:rsidRPr="00B92618">
        <w:t>in</w:t>
      </w:r>
      <w:r w:rsidR="00975895" w:rsidRPr="00B92618">
        <w:t xml:space="preserve"> </w:t>
      </w:r>
      <w:r w:rsidRPr="00B92618">
        <w:t>external</w:t>
      </w:r>
      <w:r w:rsidR="00975895" w:rsidRPr="00B92618">
        <w:t xml:space="preserve"> </w:t>
      </w:r>
      <w:r w:rsidRPr="00B92618">
        <w:t>communications</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57" w:type="dxa"/>
          <w:bottom w:w="57" w:type="dxa"/>
        </w:tblCellMar>
        <w:tblLook w:val="04A0" w:firstRow="1" w:lastRow="0" w:firstColumn="1" w:lastColumn="0" w:noHBand="0" w:noVBand="1"/>
      </w:tblPr>
      <w:tblGrid>
        <w:gridCol w:w="4498"/>
        <w:gridCol w:w="4498"/>
      </w:tblGrid>
      <w:tr w:rsidR="008E0945" w:rsidRPr="003015FD" w14:paraId="3391FD35" w14:textId="77777777" w:rsidTr="0002642E">
        <w:tc>
          <w:tcPr>
            <w:tcW w:w="4498" w:type="dxa"/>
            <w:shd w:val="clear" w:color="auto" w:fill="113F67"/>
          </w:tcPr>
          <w:p w14:paraId="50F2B503" w14:textId="696BFF7F" w:rsidR="008E0945" w:rsidRPr="0002642E" w:rsidRDefault="008E0945" w:rsidP="0002642E">
            <w:pPr>
              <w:rPr>
                <w:rStyle w:val="Characterbold"/>
                <w:lang w:val="en-GB"/>
              </w:rPr>
            </w:pPr>
            <w:r w:rsidRPr="0002642E">
              <w:rPr>
                <w:rStyle w:val="Characterbold"/>
                <w:lang w:val="en-GB"/>
              </w:rPr>
              <w:t>Local</w:t>
            </w:r>
            <w:r w:rsidR="00975895" w:rsidRPr="0002642E">
              <w:rPr>
                <w:rStyle w:val="Characterbold"/>
                <w:lang w:val="en-GB"/>
              </w:rPr>
              <w:t xml:space="preserve"> </w:t>
            </w:r>
            <w:r w:rsidRPr="0002642E">
              <w:rPr>
                <w:rStyle w:val="Characterbold"/>
                <w:lang w:val="en-GB"/>
              </w:rPr>
              <w:t>councils</w:t>
            </w:r>
            <w:r w:rsidR="00975895" w:rsidRPr="0002642E">
              <w:rPr>
                <w:rStyle w:val="Characterbold"/>
                <w:lang w:val="en-GB"/>
              </w:rPr>
              <w:t xml:space="preserve"> </w:t>
            </w:r>
          </w:p>
        </w:tc>
        <w:tc>
          <w:tcPr>
            <w:tcW w:w="4498" w:type="dxa"/>
            <w:shd w:val="clear" w:color="auto" w:fill="2772AB"/>
          </w:tcPr>
          <w:p w14:paraId="0A171BCB" w14:textId="73F61415" w:rsidR="008E0945" w:rsidRPr="0002642E" w:rsidRDefault="008E0945" w:rsidP="0002642E">
            <w:pPr>
              <w:rPr>
                <w:rStyle w:val="Characterbold"/>
                <w:lang w:val="en-GB"/>
              </w:rPr>
            </w:pPr>
            <w:r w:rsidRPr="0002642E">
              <w:rPr>
                <w:rStyle w:val="Characterbold"/>
                <w:lang w:val="en-GB"/>
              </w:rPr>
              <w:t>Small</w:t>
            </w:r>
            <w:r w:rsidR="00975895" w:rsidRPr="0002642E">
              <w:rPr>
                <w:rStyle w:val="Characterbold"/>
                <w:lang w:val="en-GB"/>
              </w:rPr>
              <w:t xml:space="preserve"> </w:t>
            </w:r>
            <w:r w:rsidRPr="0002642E">
              <w:rPr>
                <w:rStyle w:val="Characterbold"/>
                <w:lang w:val="en-GB"/>
              </w:rPr>
              <w:t>agencies</w:t>
            </w:r>
          </w:p>
        </w:tc>
      </w:tr>
      <w:tr w:rsidR="008E0945" w:rsidRPr="003015FD" w14:paraId="7DA0289A" w14:textId="77777777" w:rsidTr="0002642E">
        <w:tc>
          <w:tcPr>
            <w:tcW w:w="4498" w:type="dxa"/>
            <w:shd w:val="clear" w:color="auto" w:fill="F2F2F2"/>
          </w:tcPr>
          <w:p w14:paraId="02ABB885" w14:textId="4CA7B977" w:rsidR="008E0945" w:rsidRPr="003015FD" w:rsidRDefault="008E0945" w:rsidP="0002642E">
            <w:pPr>
              <w:pStyle w:val="ListBullet"/>
              <w:numPr>
                <w:ilvl w:val="0"/>
                <w:numId w:val="52"/>
              </w:numPr>
            </w:pPr>
            <w:r w:rsidRPr="003015FD">
              <w:lastRenderedPageBreak/>
              <w:t>Cultural</w:t>
            </w:r>
            <w:r w:rsidR="00975895" w:rsidRPr="003015FD">
              <w:t xml:space="preserve"> </w:t>
            </w:r>
            <w:r w:rsidRPr="003015FD">
              <w:t>rights</w:t>
            </w:r>
            <w:r w:rsidR="00975895" w:rsidRPr="003015FD">
              <w:t xml:space="preserve"> </w:t>
            </w:r>
            <w:r w:rsidRPr="003015FD">
              <w:t>(80</w:t>
            </w:r>
            <w:r w:rsidR="00975895" w:rsidRPr="003015FD">
              <w:t xml:space="preserve"> </w:t>
            </w:r>
            <w:r w:rsidR="000B73B9" w:rsidRPr="003015FD">
              <w:t>per</w:t>
            </w:r>
            <w:r w:rsidR="00975895" w:rsidRPr="003015FD">
              <w:t xml:space="preserve"> </w:t>
            </w:r>
            <w:r w:rsidR="000B73B9" w:rsidRPr="003015FD">
              <w:t>cent</w:t>
            </w:r>
            <w:r w:rsidRPr="003015FD">
              <w:t>)</w:t>
            </w:r>
          </w:p>
          <w:p w14:paraId="10D266C3" w14:textId="3FD5EA7A" w:rsidR="008E0945" w:rsidRPr="003015FD" w:rsidRDefault="008E0945" w:rsidP="0002642E">
            <w:pPr>
              <w:pStyle w:val="ListBullet"/>
              <w:numPr>
                <w:ilvl w:val="0"/>
                <w:numId w:val="52"/>
              </w:numPr>
            </w:pPr>
            <w:r w:rsidRPr="003015FD">
              <w:t>Protection</w:t>
            </w:r>
            <w:r w:rsidR="00975895" w:rsidRPr="003015FD">
              <w:t xml:space="preserve"> </w:t>
            </w:r>
            <w:r w:rsidRPr="003015FD">
              <w:t>of</w:t>
            </w:r>
            <w:r w:rsidR="00975895" w:rsidRPr="003015FD">
              <w:t xml:space="preserve"> </w:t>
            </w:r>
            <w:r w:rsidRPr="003015FD">
              <w:t>families</w:t>
            </w:r>
            <w:r w:rsidR="00975895" w:rsidRPr="003015FD">
              <w:t xml:space="preserve"> </w:t>
            </w:r>
            <w:r w:rsidRPr="003015FD">
              <w:t>and</w:t>
            </w:r>
            <w:r w:rsidR="00975895" w:rsidRPr="003015FD">
              <w:t xml:space="preserve"> </w:t>
            </w:r>
            <w:r w:rsidRPr="003015FD">
              <w:t>children</w:t>
            </w:r>
            <w:r w:rsidR="00975895" w:rsidRPr="003015FD">
              <w:t xml:space="preserve"> </w:t>
            </w:r>
            <w:r w:rsidRPr="003015FD">
              <w:t>(70</w:t>
            </w:r>
            <w:r w:rsidR="00975895" w:rsidRPr="003015FD">
              <w:t xml:space="preserve"> </w:t>
            </w:r>
            <w:r w:rsidR="000B73B9" w:rsidRPr="003015FD">
              <w:t>per</w:t>
            </w:r>
            <w:r w:rsidR="00975895" w:rsidRPr="003015FD">
              <w:t xml:space="preserve"> </w:t>
            </w:r>
            <w:r w:rsidR="000B73B9" w:rsidRPr="003015FD">
              <w:t>cent</w:t>
            </w:r>
            <w:r w:rsidRPr="003015FD">
              <w:t>)</w:t>
            </w:r>
          </w:p>
          <w:p w14:paraId="72BD1344" w14:textId="40870AA2"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thought,</w:t>
            </w:r>
            <w:r w:rsidR="00975895" w:rsidRPr="003015FD">
              <w:t xml:space="preserve"> </w:t>
            </w:r>
            <w:r w:rsidRPr="003015FD">
              <w:t>conscience,</w:t>
            </w:r>
            <w:r w:rsidR="00975895" w:rsidRPr="003015FD">
              <w:t xml:space="preserve"> </w:t>
            </w:r>
            <w:r w:rsidRPr="003015FD">
              <w:t>religion</w:t>
            </w:r>
            <w:r w:rsidR="00975895" w:rsidRPr="003015FD">
              <w:t xml:space="preserve"> </w:t>
            </w:r>
            <w:r w:rsidRPr="003015FD">
              <w:t>and</w:t>
            </w:r>
            <w:r w:rsidR="00975895" w:rsidRPr="003015FD">
              <w:t xml:space="preserve"> </w:t>
            </w:r>
            <w:r w:rsidRPr="003015FD">
              <w:t>belief</w:t>
            </w:r>
            <w:r w:rsidR="00975895" w:rsidRPr="003015FD">
              <w:t xml:space="preserve"> </w:t>
            </w:r>
            <w:r w:rsidRPr="003015FD">
              <w:t>(50</w:t>
            </w:r>
            <w:r w:rsidR="00975895" w:rsidRPr="003015FD">
              <w:t xml:space="preserve"> </w:t>
            </w:r>
            <w:r w:rsidR="000B73B9" w:rsidRPr="003015FD">
              <w:t>per</w:t>
            </w:r>
            <w:r w:rsidR="00975895" w:rsidRPr="003015FD">
              <w:t xml:space="preserve"> </w:t>
            </w:r>
            <w:r w:rsidR="000B73B9" w:rsidRPr="003015FD">
              <w:t>cent</w:t>
            </w:r>
            <w:r w:rsidRPr="003015FD">
              <w:t>)</w:t>
            </w:r>
          </w:p>
          <w:p w14:paraId="5A991309" w14:textId="0C9110AF" w:rsidR="008E0945" w:rsidRPr="003015FD" w:rsidRDefault="008E0945" w:rsidP="00BF114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taking</w:t>
            </w:r>
            <w:r w:rsidR="00975895" w:rsidRPr="003015FD">
              <w:t xml:space="preserve"> </w:t>
            </w:r>
            <w:r w:rsidRPr="003015FD">
              <w:t>part</w:t>
            </w:r>
            <w:r w:rsidR="00975895" w:rsidRPr="003015FD">
              <w:t xml:space="preserve"> </w:t>
            </w:r>
            <w:r w:rsidRPr="003015FD">
              <w:t>in</w:t>
            </w:r>
            <w:r w:rsidR="00975895" w:rsidRPr="003015FD">
              <w:t xml:space="preserve"> </w:t>
            </w:r>
            <w:r w:rsidRPr="003015FD">
              <w:t>public</w:t>
            </w:r>
            <w:r w:rsidR="00975895" w:rsidRPr="003015FD">
              <w:t xml:space="preserve"> </w:t>
            </w:r>
            <w:r w:rsidRPr="003015FD">
              <w:t>life</w:t>
            </w:r>
            <w:r w:rsidR="00975895" w:rsidRPr="003015FD">
              <w:t xml:space="preserve"> </w:t>
            </w:r>
            <w:r w:rsidRPr="003015FD">
              <w:t>(50</w:t>
            </w:r>
            <w:r w:rsidR="00975895" w:rsidRPr="003015FD">
              <w:t xml:space="preserve"> </w:t>
            </w:r>
            <w:r w:rsidR="000B73B9" w:rsidRPr="003015FD">
              <w:t>per</w:t>
            </w:r>
            <w:r w:rsidR="00975895" w:rsidRPr="003015FD">
              <w:t xml:space="preserve"> </w:t>
            </w:r>
            <w:r w:rsidR="000B73B9" w:rsidRPr="003015FD">
              <w:t>cent</w:t>
            </w:r>
            <w:r w:rsidRPr="003015FD">
              <w:t>)</w:t>
            </w:r>
          </w:p>
        </w:tc>
        <w:tc>
          <w:tcPr>
            <w:tcW w:w="4498" w:type="dxa"/>
            <w:shd w:val="clear" w:color="auto" w:fill="F2F2F2"/>
          </w:tcPr>
          <w:p w14:paraId="3D7C1982" w14:textId="3439C332"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privacy</w:t>
            </w:r>
            <w:r w:rsidR="00975895" w:rsidRPr="003015FD">
              <w:t xml:space="preserve"> </w:t>
            </w:r>
            <w:r w:rsidRPr="003015FD">
              <w:t>and</w:t>
            </w:r>
            <w:r w:rsidR="00975895" w:rsidRPr="003015FD">
              <w:t xml:space="preserve"> </w:t>
            </w:r>
            <w:r w:rsidRPr="003015FD">
              <w:t>reputation</w:t>
            </w:r>
            <w:r w:rsidR="00975895" w:rsidRPr="003015FD">
              <w:t xml:space="preserve"> </w:t>
            </w:r>
            <w:r w:rsidRPr="003015FD">
              <w:t>(80</w:t>
            </w:r>
            <w:r w:rsidR="00975895" w:rsidRPr="003015FD">
              <w:t xml:space="preserve"> </w:t>
            </w:r>
            <w:r w:rsidR="000B73B9" w:rsidRPr="003015FD">
              <w:t>per</w:t>
            </w:r>
            <w:r w:rsidR="00975895" w:rsidRPr="003015FD">
              <w:t xml:space="preserve"> </w:t>
            </w:r>
            <w:r w:rsidR="000B73B9" w:rsidRPr="003015FD">
              <w:t>cent</w:t>
            </w:r>
            <w:r w:rsidRPr="003015FD">
              <w:t>)</w:t>
            </w:r>
          </w:p>
          <w:p w14:paraId="5CEB76E0" w14:textId="270222CB"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recognition</w:t>
            </w:r>
            <w:r w:rsidR="00975895" w:rsidRPr="003015FD">
              <w:t xml:space="preserve"> </w:t>
            </w:r>
            <w:r w:rsidRPr="003015FD">
              <w:t>and</w:t>
            </w:r>
            <w:r w:rsidR="00975895" w:rsidRPr="003015FD">
              <w:t xml:space="preserve"> </w:t>
            </w:r>
            <w:r w:rsidRPr="003015FD">
              <w:t>equality</w:t>
            </w:r>
            <w:r w:rsidR="00975895" w:rsidRPr="003015FD">
              <w:t xml:space="preserve"> </w:t>
            </w:r>
            <w:r w:rsidRPr="003015FD">
              <w:t>before</w:t>
            </w:r>
            <w:r w:rsidR="00975895" w:rsidRPr="003015FD">
              <w:t xml:space="preserve"> </w:t>
            </w:r>
            <w:r w:rsidRPr="003015FD">
              <w:t>the</w:t>
            </w:r>
            <w:r w:rsidR="00975895" w:rsidRPr="003015FD">
              <w:t xml:space="preserve"> </w:t>
            </w:r>
            <w:r w:rsidRPr="003015FD">
              <w:t>law</w:t>
            </w:r>
            <w:r w:rsidR="00975895" w:rsidRPr="003015FD">
              <w:t xml:space="preserve"> </w:t>
            </w:r>
            <w:r w:rsidRPr="003015FD">
              <w:t>(70</w:t>
            </w:r>
            <w:r w:rsidR="00975895" w:rsidRPr="003015FD">
              <w:t xml:space="preserve"> </w:t>
            </w:r>
            <w:r w:rsidR="000B73B9" w:rsidRPr="003015FD">
              <w:t>per</w:t>
            </w:r>
            <w:r w:rsidR="00975895" w:rsidRPr="003015FD">
              <w:t xml:space="preserve"> </w:t>
            </w:r>
            <w:r w:rsidR="000B73B9" w:rsidRPr="003015FD">
              <w:t>cent</w:t>
            </w:r>
            <w:r w:rsidRPr="003015FD">
              <w:t>)</w:t>
            </w:r>
          </w:p>
          <w:p w14:paraId="503C69BB" w14:textId="422715DC" w:rsidR="008E0945" w:rsidRPr="003015FD" w:rsidRDefault="008E0945" w:rsidP="0002642E">
            <w:pPr>
              <w:pStyle w:val="ListBullet"/>
              <w:numPr>
                <w:ilvl w:val="0"/>
                <w:numId w:val="52"/>
              </w:numPr>
            </w:pPr>
            <w:r w:rsidRPr="003015FD">
              <w:t>Cultural</w:t>
            </w:r>
            <w:r w:rsidR="00975895" w:rsidRPr="003015FD">
              <w:t xml:space="preserve"> </w:t>
            </w:r>
            <w:r w:rsidRPr="003015FD">
              <w:t>rights</w:t>
            </w:r>
            <w:r w:rsidR="00975895" w:rsidRPr="003015FD">
              <w:t xml:space="preserve"> </w:t>
            </w:r>
            <w:r w:rsidRPr="003015FD">
              <w:t>(60</w:t>
            </w:r>
            <w:r w:rsidR="00975895" w:rsidRPr="003015FD">
              <w:t xml:space="preserve"> </w:t>
            </w:r>
            <w:r w:rsidR="000B73B9" w:rsidRPr="003015FD">
              <w:t>per</w:t>
            </w:r>
            <w:r w:rsidR="00975895" w:rsidRPr="003015FD">
              <w:t xml:space="preserve"> </w:t>
            </w:r>
            <w:r w:rsidR="000B73B9" w:rsidRPr="003015FD">
              <w:t>cent</w:t>
            </w:r>
            <w:r w:rsidRPr="003015FD">
              <w:t>)</w:t>
            </w:r>
          </w:p>
          <w:p w14:paraId="38B11C87" w14:textId="694F62CF" w:rsidR="008E0945" w:rsidRPr="003015FD" w:rsidRDefault="008E0945" w:rsidP="00BF114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thought,</w:t>
            </w:r>
            <w:r w:rsidR="00975895" w:rsidRPr="003015FD">
              <w:t xml:space="preserve"> </w:t>
            </w:r>
            <w:r w:rsidRPr="003015FD">
              <w:t>conscience,</w:t>
            </w:r>
            <w:r w:rsidR="00975895" w:rsidRPr="003015FD">
              <w:t xml:space="preserve"> </w:t>
            </w:r>
            <w:r w:rsidRPr="003015FD">
              <w:t>religion</w:t>
            </w:r>
            <w:r w:rsidR="00975895" w:rsidRPr="003015FD">
              <w:t xml:space="preserve"> </w:t>
            </w:r>
            <w:r w:rsidRPr="003015FD">
              <w:t>and</w:t>
            </w:r>
            <w:r w:rsidR="00975895" w:rsidRPr="003015FD">
              <w:t xml:space="preserve"> </w:t>
            </w:r>
            <w:r w:rsidRPr="003015FD">
              <w:t>belief</w:t>
            </w:r>
            <w:r w:rsidR="00975895" w:rsidRPr="003015FD">
              <w:t xml:space="preserve"> </w:t>
            </w:r>
            <w:r w:rsidRPr="003015FD">
              <w:t>(60</w:t>
            </w:r>
            <w:r w:rsidR="00975895" w:rsidRPr="003015FD">
              <w:t xml:space="preserve"> </w:t>
            </w:r>
            <w:r w:rsidR="000B73B9" w:rsidRPr="003015FD">
              <w:t>per</w:t>
            </w:r>
            <w:r w:rsidR="00975895" w:rsidRPr="003015FD">
              <w:t xml:space="preserve"> </w:t>
            </w:r>
            <w:r w:rsidR="000B73B9" w:rsidRPr="003015FD">
              <w:t>cent</w:t>
            </w:r>
            <w:r w:rsidRPr="003015FD">
              <w:t>)</w:t>
            </w:r>
          </w:p>
        </w:tc>
      </w:tr>
      <w:tr w:rsidR="008E0945" w:rsidRPr="003015FD" w14:paraId="62B54E0F" w14:textId="77777777" w:rsidTr="0002642E">
        <w:tc>
          <w:tcPr>
            <w:tcW w:w="4498" w:type="dxa"/>
            <w:shd w:val="clear" w:color="auto" w:fill="87C0CD"/>
          </w:tcPr>
          <w:p w14:paraId="044299AE" w14:textId="332360CC" w:rsidR="008E0945" w:rsidRPr="0002642E" w:rsidRDefault="008E0945" w:rsidP="0002642E">
            <w:pPr>
              <w:rPr>
                <w:rStyle w:val="Characterbold"/>
                <w:lang w:val="en-GB"/>
              </w:rPr>
            </w:pPr>
            <w:r w:rsidRPr="0002642E">
              <w:rPr>
                <w:rStyle w:val="Characterbold"/>
                <w:lang w:val="en-GB"/>
              </w:rPr>
              <w:t>Large</w:t>
            </w:r>
            <w:r w:rsidR="00975895" w:rsidRPr="0002642E">
              <w:rPr>
                <w:rStyle w:val="Characterbold"/>
                <w:lang w:val="en-GB"/>
              </w:rPr>
              <w:t xml:space="preserve"> </w:t>
            </w:r>
            <w:r w:rsidRPr="0002642E">
              <w:rPr>
                <w:rStyle w:val="Characterbold"/>
                <w:lang w:val="en-GB"/>
              </w:rPr>
              <w:t>agencies</w:t>
            </w:r>
            <w:r w:rsidR="00975895" w:rsidRPr="0002642E">
              <w:rPr>
                <w:rStyle w:val="Characterbold"/>
                <w:lang w:val="en-GB"/>
              </w:rPr>
              <w:t xml:space="preserve"> </w:t>
            </w:r>
          </w:p>
        </w:tc>
        <w:tc>
          <w:tcPr>
            <w:tcW w:w="4498" w:type="dxa"/>
            <w:shd w:val="clear" w:color="auto" w:fill="D3E9F1"/>
          </w:tcPr>
          <w:p w14:paraId="0A0E53E6" w14:textId="4C2BBA00" w:rsidR="008E0945" w:rsidRPr="0002642E" w:rsidRDefault="008E0945" w:rsidP="0002642E">
            <w:pPr>
              <w:rPr>
                <w:rStyle w:val="Characterbold"/>
                <w:lang w:val="en-GB"/>
              </w:rPr>
            </w:pPr>
            <w:r w:rsidRPr="0002642E">
              <w:rPr>
                <w:rStyle w:val="Characterbold"/>
                <w:lang w:val="en-GB"/>
              </w:rPr>
              <w:t>Government</w:t>
            </w:r>
            <w:r w:rsidR="00975895" w:rsidRPr="0002642E">
              <w:rPr>
                <w:rStyle w:val="Characterbold"/>
                <w:lang w:val="en-GB"/>
              </w:rPr>
              <w:t xml:space="preserve"> </w:t>
            </w:r>
            <w:r w:rsidRPr="0002642E">
              <w:rPr>
                <w:rStyle w:val="Characterbold"/>
                <w:lang w:val="en-GB"/>
              </w:rPr>
              <w:t>departments</w:t>
            </w:r>
            <w:r w:rsidR="00975895" w:rsidRPr="0002642E">
              <w:rPr>
                <w:rStyle w:val="Characterbold"/>
                <w:lang w:val="en-GB"/>
              </w:rPr>
              <w:t xml:space="preserve"> </w:t>
            </w:r>
          </w:p>
        </w:tc>
      </w:tr>
      <w:tr w:rsidR="008E0945" w:rsidRPr="003015FD" w14:paraId="70D6882B" w14:textId="77777777" w:rsidTr="0002642E">
        <w:tc>
          <w:tcPr>
            <w:tcW w:w="4498" w:type="dxa"/>
            <w:shd w:val="clear" w:color="auto" w:fill="F2F2F2"/>
          </w:tcPr>
          <w:p w14:paraId="6080756E" w14:textId="17FD801E"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privacy</w:t>
            </w:r>
            <w:r w:rsidR="00975895" w:rsidRPr="003015FD">
              <w:t xml:space="preserve"> </w:t>
            </w:r>
            <w:r w:rsidRPr="003015FD">
              <w:t>and</w:t>
            </w:r>
            <w:r w:rsidR="00975895" w:rsidRPr="003015FD">
              <w:t xml:space="preserve"> </w:t>
            </w:r>
            <w:r w:rsidRPr="003015FD">
              <w:t>reputation</w:t>
            </w:r>
            <w:r w:rsidR="00975895" w:rsidRPr="003015FD">
              <w:t xml:space="preserve"> </w:t>
            </w:r>
            <w:r w:rsidRPr="003015FD">
              <w:t>(50</w:t>
            </w:r>
            <w:r w:rsidR="00975895" w:rsidRPr="003015FD">
              <w:t xml:space="preserve"> </w:t>
            </w:r>
            <w:r w:rsidR="000B73B9" w:rsidRPr="003015FD">
              <w:t>per</w:t>
            </w:r>
            <w:r w:rsidR="00975895" w:rsidRPr="003015FD">
              <w:t xml:space="preserve"> </w:t>
            </w:r>
            <w:r w:rsidR="000B73B9" w:rsidRPr="003015FD">
              <w:t>cent</w:t>
            </w:r>
            <w:r w:rsidRPr="003015FD">
              <w:t>)</w:t>
            </w:r>
          </w:p>
          <w:p w14:paraId="3B25F0F3" w14:textId="7328C57A" w:rsidR="008E0945" w:rsidRPr="003015FD" w:rsidRDefault="008E0945" w:rsidP="00BF114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recognition</w:t>
            </w:r>
            <w:r w:rsidR="00975895" w:rsidRPr="003015FD">
              <w:t xml:space="preserve"> </w:t>
            </w:r>
            <w:r w:rsidRPr="003015FD">
              <w:t>and</w:t>
            </w:r>
            <w:r w:rsidR="00975895" w:rsidRPr="003015FD">
              <w:t xml:space="preserve"> </w:t>
            </w:r>
            <w:r w:rsidRPr="003015FD">
              <w:t>equality</w:t>
            </w:r>
            <w:r w:rsidR="00975895" w:rsidRPr="003015FD">
              <w:t xml:space="preserve"> </w:t>
            </w:r>
            <w:r w:rsidRPr="003015FD">
              <w:t>before</w:t>
            </w:r>
            <w:r w:rsidR="00975895" w:rsidRPr="003015FD">
              <w:t xml:space="preserve"> </w:t>
            </w:r>
            <w:r w:rsidRPr="003015FD">
              <w:t>the</w:t>
            </w:r>
            <w:r w:rsidR="00975895" w:rsidRPr="003015FD">
              <w:t xml:space="preserve"> </w:t>
            </w:r>
            <w:r w:rsidRPr="003015FD">
              <w:t>law</w:t>
            </w:r>
            <w:r w:rsidR="00975895" w:rsidRPr="003015FD">
              <w:t xml:space="preserve"> </w:t>
            </w:r>
            <w:r w:rsidRPr="003015FD">
              <w:t>(50</w:t>
            </w:r>
            <w:r w:rsidR="00975895" w:rsidRPr="003015FD">
              <w:t xml:space="preserve"> </w:t>
            </w:r>
            <w:r w:rsidR="000B73B9" w:rsidRPr="003015FD">
              <w:t>per</w:t>
            </w:r>
            <w:r w:rsidR="00975895" w:rsidRPr="003015FD">
              <w:t xml:space="preserve"> </w:t>
            </w:r>
            <w:r w:rsidR="000B73B9" w:rsidRPr="003015FD">
              <w:t>cent</w:t>
            </w:r>
            <w:r w:rsidRPr="003015FD">
              <w:t>)</w:t>
            </w:r>
          </w:p>
        </w:tc>
        <w:tc>
          <w:tcPr>
            <w:tcW w:w="4498" w:type="dxa"/>
            <w:shd w:val="clear" w:color="auto" w:fill="F2F2F2"/>
          </w:tcPr>
          <w:p w14:paraId="39997B03" w14:textId="7E2CDD91"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privacy</w:t>
            </w:r>
            <w:r w:rsidR="00975895" w:rsidRPr="003015FD">
              <w:t xml:space="preserve"> </w:t>
            </w:r>
            <w:r w:rsidRPr="003015FD">
              <w:t>and</w:t>
            </w:r>
            <w:r w:rsidR="00975895" w:rsidRPr="003015FD">
              <w:t xml:space="preserve"> </w:t>
            </w:r>
            <w:r w:rsidRPr="003015FD">
              <w:t>reputation</w:t>
            </w:r>
            <w:r w:rsidR="00975895" w:rsidRPr="003015FD">
              <w:t xml:space="preserve"> </w:t>
            </w:r>
            <w:r w:rsidRPr="003015FD">
              <w:t>(71</w:t>
            </w:r>
            <w:r w:rsidR="00975895" w:rsidRPr="003015FD">
              <w:t xml:space="preserve"> </w:t>
            </w:r>
            <w:r w:rsidR="000B73B9" w:rsidRPr="003015FD">
              <w:t>per</w:t>
            </w:r>
            <w:r w:rsidR="00975895" w:rsidRPr="003015FD">
              <w:t xml:space="preserve"> </w:t>
            </w:r>
            <w:r w:rsidR="000B73B9" w:rsidRPr="003015FD">
              <w:t>cent</w:t>
            </w:r>
            <w:r w:rsidRPr="003015FD">
              <w:t>)</w:t>
            </w:r>
          </w:p>
          <w:p w14:paraId="5010E8AC" w14:textId="1A3CF472" w:rsidR="008E0945" w:rsidRPr="003015FD" w:rsidRDefault="008E0945" w:rsidP="0002642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expression</w:t>
            </w:r>
            <w:r w:rsidR="00975895" w:rsidRPr="003015FD">
              <w:t xml:space="preserve"> </w:t>
            </w:r>
            <w:r w:rsidRPr="003015FD">
              <w:t>(71</w:t>
            </w:r>
            <w:r w:rsidR="00975895" w:rsidRPr="003015FD">
              <w:t xml:space="preserve"> </w:t>
            </w:r>
            <w:r w:rsidR="000B73B9" w:rsidRPr="003015FD">
              <w:t>per</w:t>
            </w:r>
            <w:r w:rsidR="00975895" w:rsidRPr="003015FD">
              <w:t xml:space="preserve"> </w:t>
            </w:r>
            <w:r w:rsidR="000B73B9" w:rsidRPr="003015FD">
              <w:t>cent</w:t>
            </w:r>
            <w:r w:rsidRPr="003015FD">
              <w:t>)</w:t>
            </w:r>
          </w:p>
          <w:p w14:paraId="33BAEC5F" w14:textId="2F7A7B21" w:rsidR="008E0945" w:rsidRPr="003015FD" w:rsidRDefault="008E0945" w:rsidP="0002642E">
            <w:pPr>
              <w:pStyle w:val="ListBullet"/>
              <w:numPr>
                <w:ilvl w:val="0"/>
                <w:numId w:val="52"/>
              </w:numPr>
            </w:pPr>
            <w:r w:rsidRPr="003015FD">
              <w:t>Protection</w:t>
            </w:r>
            <w:r w:rsidR="00975895" w:rsidRPr="003015FD">
              <w:t xml:space="preserve"> </w:t>
            </w:r>
            <w:r w:rsidRPr="003015FD">
              <w:t>of</w:t>
            </w:r>
            <w:r w:rsidR="00975895" w:rsidRPr="003015FD">
              <w:t xml:space="preserve"> </w:t>
            </w:r>
            <w:r w:rsidRPr="003015FD">
              <w:t>families</w:t>
            </w:r>
            <w:r w:rsidR="00975895" w:rsidRPr="003015FD">
              <w:t xml:space="preserve"> </w:t>
            </w:r>
            <w:r w:rsidRPr="003015FD">
              <w:t>and</w:t>
            </w:r>
            <w:r w:rsidR="00975895" w:rsidRPr="003015FD">
              <w:t xml:space="preserve"> </w:t>
            </w:r>
            <w:r w:rsidRPr="003015FD">
              <w:t>children</w:t>
            </w:r>
            <w:r w:rsidR="00975895" w:rsidRPr="003015FD">
              <w:t xml:space="preserve"> </w:t>
            </w:r>
            <w:r w:rsidRPr="003015FD">
              <w:t>(71</w:t>
            </w:r>
            <w:r w:rsidR="00975895" w:rsidRPr="003015FD">
              <w:t xml:space="preserve"> </w:t>
            </w:r>
            <w:r w:rsidR="000B73B9" w:rsidRPr="003015FD">
              <w:t>per</w:t>
            </w:r>
            <w:r w:rsidR="00975895" w:rsidRPr="003015FD">
              <w:t xml:space="preserve"> </w:t>
            </w:r>
            <w:r w:rsidR="000B73B9" w:rsidRPr="003015FD">
              <w:t>cent</w:t>
            </w:r>
            <w:r w:rsidRPr="003015FD">
              <w:t>)</w:t>
            </w:r>
          </w:p>
          <w:p w14:paraId="250AC2D8" w14:textId="315368CD" w:rsidR="008E0945" w:rsidRPr="003015FD" w:rsidRDefault="008E0945" w:rsidP="0002642E">
            <w:pPr>
              <w:pStyle w:val="ListBullet"/>
              <w:numPr>
                <w:ilvl w:val="0"/>
                <w:numId w:val="52"/>
              </w:numPr>
            </w:pPr>
            <w:r w:rsidRPr="003015FD">
              <w:t>Cultural</w:t>
            </w:r>
            <w:r w:rsidR="00975895" w:rsidRPr="003015FD">
              <w:t xml:space="preserve"> </w:t>
            </w:r>
            <w:r w:rsidRPr="003015FD">
              <w:t>rights</w:t>
            </w:r>
            <w:r w:rsidR="00975895" w:rsidRPr="003015FD">
              <w:t xml:space="preserve"> </w:t>
            </w:r>
            <w:r w:rsidRPr="003015FD">
              <w:t>(71</w:t>
            </w:r>
            <w:r w:rsidR="00975895" w:rsidRPr="003015FD">
              <w:t xml:space="preserve"> </w:t>
            </w:r>
            <w:r w:rsidR="000B73B9" w:rsidRPr="003015FD">
              <w:t>per</w:t>
            </w:r>
            <w:r w:rsidR="00975895" w:rsidRPr="003015FD">
              <w:t xml:space="preserve"> </w:t>
            </w:r>
            <w:r w:rsidR="000B73B9" w:rsidRPr="003015FD">
              <w:t>cent</w:t>
            </w:r>
            <w:r w:rsidRPr="003015FD">
              <w:t>)</w:t>
            </w:r>
          </w:p>
          <w:p w14:paraId="28E19324" w14:textId="262DEDA4" w:rsidR="008E0945" w:rsidRPr="003015FD" w:rsidRDefault="008E0945" w:rsidP="00BF114E">
            <w:pPr>
              <w:pStyle w:val="ListBullet"/>
              <w:numPr>
                <w:ilvl w:val="0"/>
                <w:numId w:val="52"/>
              </w:numPr>
            </w:pPr>
            <w:r w:rsidRPr="003015FD">
              <w:t>Right</w:t>
            </w:r>
            <w:r w:rsidR="00975895" w:rsidRPr="003015FD">
              <w:t xml:space="preserve"> </w:t>
            </w:r>
            <w:r w:rsidRPr="003015FD">
              <w:t>to</w:t>
            </w:r>
            <w:r w:rsidR="00975895" w:rsidRPr="003015FD">
              <w:t xml:space="preserve"> </w:t>
            </w:r>
            <w:r w:rsidRPr="003015FD">
              <w:t>freedom</w:t>
            </w:r>
            <w:r w:rsidR="00975895" w:rsidRPr="003015FD">
              <w:t xml:space="preserve"> </w:t>
            </w:r>
            <w:r w:rsidRPr="003015FD">
              <w:t>of</w:t>
            </w:r>
            <w:r w:rsidR="00975895" w:rsidRPr="003015FD">
              <w:t xml:space="preserve"> </w:t>
            </w:r>
            <w:r w:rsidRPr="003015FD">
              <w:t>thought,</w:t>
            </w:r>
            <w:r w:rsidR="00975895" w:rsidRPr="003015FD">
              <w:t xml:space="preserve"> </w:t>
            </w:r>
            <w:r w:rsidRPr="003015FD">
              <w:t>conscience,</w:t>
            </w:r>
            <w:r w:rsidR="00975895" w:rsidRPr="003015FD">
              <w:t xml:space="preserve"> </w:t>
            </w:r>
            <w:r w:rsidRPr="003015FD">
              <w:t>religion</w:t>
            </w:r>
            <w:r w:rsidR="00975895" w:rsidRPr="003015FD">
              <w:t xml:space="preserve"> </w:t>
            </w:r>
            <w:r w:rsidRPr="003015FD">
              <w:t>and</w:t>
            </w:r>
            <w:r w:rsidR="00975895" w:rsidRPr="003015FD">
              <w:t xml:space="preserve"> </w:t>
            </w:r>
            <w:r w:rsidRPr="003015FD">
              <w:t>belief</w:t>
            </w:r>
            <w:r w:rsidR="00975895" w:rsidRPr="003015FD">
              <w:t xml:space="preserve"> </w:t>
            </w:r>
            <w:r w:rsidRPr="003015FD">
              <w:t>(71</w:t>
            </w:r>
            <w:r w:rsidR="00975895" w:rsidRPr="003015FD">
              <w:t xml:space="preserve"> </w:t>
            </w:r>
            <w:r w:rsidR="000B73B9" w:rsidRPr="003015FD">
              <w:t>per</w:t>
            </w:r>
            <w:r w:rsidR="00975895" w:rsidRPr="003015FD">
              <w:t xml:space="preserve"> </w:t>
            </w:r>
            <w:r w:rsidR="000B73B9" w:rsidRPr="003015FD">
              <w:t>cent</w:t>
            </w:r>
            <w:r w:rsidRPr="003015FD">
              <w:t>)</w:t>
            </w:r>
          </w:p>
        </w:tc>
      </w:tr>
    </w:tbl>
    <w:p w14:paraId="3CB480F1" w14:textId="77777777" w:rsidR="00CF666C" w:rsidRDefault="00CF666C" w:rsidP="0002642E"/>
    <w:tbl>
      <w:tblPr>
        <w:tblStyle w:val="CustomTablebreakoutbox"/>
        <w:tblW w:w="0" w:type="auto"/>
        <w:tblLook w:val="04A0" w:firstRow="1" w:lastRow="0" w:firstColumn="1" w:lastColumn="0" w:noHBand="0" w:noVBand="1"/>
      </w:tblPr>
      <w:tblGrid>
        <w:gridCol w:w="9061"/>
      </w:tblGrid>
      <w:tr w:rsidR="00CF666C" w14:paraId="53821CF1" w14:textId="77777777" w:rsidTr="00CF666C">
        <w:tc>
          <w:tcPr>
            <w:tcW w:w="9061" w:type="dxa"/>
          </w:tcPr>
          <w:p w14:paraId="73C3640E" w14:textId="6F29EEA2" w:rsidR="00CF666C" w:rsidRPr="003E33DC" w:rsidRDefault="00591BFC" w:rsidP="00CF666C">
            <w:pPr>
              <w:pStyle w:val="BodyText"/>
              <w:rPr>
                <w:rStyle w:val="Characterbold"/>
              </w:rPr>
            </w:pPr>
            <w:r>
              <w:rPr>
                <w:rStyle w:val="Characterbold"/>
              </w:rPr>
              <w:t>Reflections from community interviews</w:t>
            </w:r>
          </w:p>
          <w:p w14:paraId="7E8B09AC" w14:textId="77777777" w:rsidR="00CF666C" w:rsidRPr="003015FD" w:rsidRDefault="00CF666C" w:rsidP="00CF666C">
            <w:r w:rsidRPr="003015FD">
              <w:t>Community organisation participants rarely recalled communications explicitly mentioning the Charter. However, most indicated they had seen or heard communications promoting human rights and related principles such as:</w:t>
            </w:r>
          </w:p>
          <w:p w14:paraId="36FEFE33" w14:textId="77777777" w:rsidR="00CF666C" w:rsidRPr="003015FD" w:rsidRDefault="00CF666C" w:rsidP="00CF666C">
            <w:pPr>
              <w:pStyle w:val="ListBullet"/>
            </w:pPr>
            <w:r w:rsidRPr="003015FD">
              <w:t>the right to privacy</w:t>
            </w:r>
          </w:p>
          <w:p w14:paraId="6F6AC7F6" w14:textId="77777777" w:rsidR="00CF666C" w:rsidRPr="003015FD" w:rsidRDefault="00CF666C" w:rsidP="00CF666C">
            <w:pPr>
              <w:pStyle w:val="ListBullet"/>
            </w:pPr>
            <w:r w:rsidRPr="003015FD">
              <w:t>gender equality</w:t>
            </w:r>
          </w:p>
          <w:p w14:paraId="6E86159C" w14:textId="77777777" w:rsidR="00CF666C" w:rsidRPr="003015FD" w:rsidRDefault="00CF666C" w:rsidP="00CF666C">
            <w:pPr>
              <w:pStyle w:val="ListBullet"/>
            </w:pPr>
            <w:r w:rsidRPr="003015FD">
              <w:t>the rights of vulnerable groups in the community</w:t>
            </w:r>
          </w:p>
          <w:p w14:paraId="28F7FB95" w14:textId="77777777" w:rsidR="00CF666C" w:rsidRPr="003015FD" w:rsidRDefault="00CF666C" w:rsidP="00CF666C">
            <w:pPr>
              <w:pStyle w:val="ListBullet"/>
            </w:pPr>
            <w:r w:rsidRPr="003015FD">
              <w:t>the right to self-determination</w:t>
            </w:r>
          </w:p>
          <w:p w14:paraId="4C7B4AFC" w14:textId="77777777" w:rsidR="00CF666C" w:rsidRPr="003015FD" w:rsidRDefault="00CF666C" w:rsidP="00CF666C">
            <w:pPr>
              <w:pStyle w:val="ListBullet"/>
            </w:pPr>
            <w:r w:rsidRPr="003015FD">
              <w:t>the right to live free from violence</w:t>
            </w:r>
            <w:r>
              <w:t>.</w:t>
            </w:r>
          </w:p>
          <w:p w14:paraId="30F886CE" w14:textId="77777777" w:rsidR="00CF666C" w:rsidRPr="003015FD" w:rsidRDefault="00CF666C" w:rsidP="00CF666C">
            <w:r w:rsidRPr="003015FD">
              <w:t xml:space="preserve">Participants who had seen or heard communications generally felt positive about how human rights were incorporated and promoted. However, some felt human rights were occasionally included as an </w:t>
            </w:r>
            <w:r>
              <w:t>'</w:t>
            </w:r>
            <w:r w:rsidRPr="003015FD">
              <w:t>add-on</w:t>
            </w:r>
            <w:r>
              <w:t>'</w:t>
            </w:r>
            <w:r w:rsidRPr="003015FD">
              <w:t xml:space="preserve"> or in a tokenistic manner.</w:t>
            </w:r>
          </w:p>
          <w:p w14:paraId="27ED3E77" w14:textId="0DBEA742" w:rsidR="00CF666C" w:rsidRDefault="00CF666C" w:rsidP="00CF666C">
            <w:r w:rsidRPr="003015FD">
              <w:t>Generally, community organisation participants reported they did not take any direct action after seeing or hearing the communications. However, some participants commented the communications reinforced their commitment to uphold the human rights being promoted by public authorities in their own work</w:t>
            </w:r>
            <w:r w:rsidR="001706A9">
              <w:t>.</w:t>
            </w:r>
          </w:p>
        </w:tc>
      </w:tr>
    </w:tbl>
    <w:p w14:paraId="7F2034D9" w14:textId="5AAD3B72" w:rsidR="008E0945" w:rsidRDefault="008E0945" w:rsidP="0002642E">
      <w:r w:rsidRPr="003015FD">
        <w:t>Again,</w:t>
      </w:r>
      <w:r w:rsidR="00975895" w:rsidRPr="003015FD">
        <w:t xml:space="preserve"> </w:t>
      </w:r>
      <w:r w:rsidRPr="003015FD">
        <w:t>these</w:t>
      </w:r>
      <w:r w:rsidR="00975895" w:rsidRPr="003015FD">
        <w:t xml:space="preserve"> </w:t>
      </w:r>
      <w:r w:rsidRPr="003015FD">
        <w:t>results</w:t>
      </w:r>
      <w:r w:rsidR="00975895" w:rsidRPr="003015FD">
        <w:t xml:space="preserve"> </w:t>
      </w:r>
      <w:r w:rsidRPr="003015FD">
        <w:t>are</w:t>
      </w:r>
      <w:r w:rsidR="00975895" w:rsidRPr="003015FD">
        <w:t xml:space="preserve"> </w:t>
      </w:r>
      <w:r w:rsidRPr="003015FD">
        <w:t>encouraging</w:t>
      </w:r>
      <w:r w:rsidR="00845F60">
        <w:t xml:space="preserve"> and also show </w:t>
      </w:r>
      <w:r w:rsidRPr="003015FD">
        <w:t>scope</w:t>
      </w:r>
      <w:r w:rsidR="00975895" w:rsidRPr="003015FD">
        <w:t xml:space="preserve"> </w:t>
      </w:r>
      <w:r w:rsidRPr="003015FD">
        <w:t>for</w:t>
      </w:r>
      <w:r w:rsidR="00975895" w:rsidRPr="003015FD">
        <w:t xml:space="preserve"> </w:t>
      </w:r>
      <w:r w:rsidRPr="003015FD">
        <w:t>improvement.</w:t>
      </w:r>
      <w:r w:rsidR="00975895" w:rsidRPr="003015FD">
        <w:t xml:space="preserve"> </w:t>
      </w:r>
      <w:r w:rsidRPr="003015FD">
        <w:t>Leaders</w:t>
      </w:r>
      <w:r w:rsidR="00975895" w:rsidRPr="003015FD">
        <w:t xml:space="preserve"> </w:t>
      </w:r>
      <w:r w:rsidRPr="003015FD">
        <w:t>in</w:t>
      </w:r>
      <w:r w:rsidR="00975895" w:rsidRPr="003015FD">
        <w:t xml:space="preserve"> </w:t>
      </w:r>
      <w:r w:rsidRPr="003015FD">
        <w:t>all</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(local</w:t>
      </w:r>
      <w:r w:rsidR="00975895" w:rsidRPr="003015FD">
        <w:t xml:space="preserve"> </w:t>
      </w:r>
      <w:r w:rsidRPr="003015FD">
        <w:t>councils</w:t>
      </w:r>
      <w:r w:rsidR="00975895" w:rsidRPr="003015FD">
        <w:t xml:space="preserve"> </w:t>
      </w:r>
      <w:r w:rsidRPr="003015FD">
        <w:t>and</w:t>
      </w:r>
      <w:r w:rsidR="00975895" w:rsidRPr="003015FD">
        <w:t xml:space="preserve"> </w:t>
      </w:r>
      <w:r w:rsidRPr="003015FD">
        <w:t>large</w:t>
      </w:r>
      <w:r w:rsidR="00975895" w:rsidRPr="003015FD">
        <w:t xml:space="preserve"> </w:t>
      </w:r>
      <w:r w:rsidRPr="003015FD">
        <w:t>agencies</w:t>
      </w:r>
      <w:r w:rsidR="00975895" w:rsidRPr="003015FD">
        <w:t xml:space="preserve"> </w:t>
      </w:r>
      <w:r w:rsidRPr="003015FD">
        <w:t>in</w:t>
      </w:r>
      <w:r w:rsidR="00975895" w:rsidRPr="003015FD">
        <w:t xml:space="preserve"> </w:t>
      </w:r>
      <w:r w:rsidRPr="003015FD">
        <w:t>particular)</w:t>
      </w:r>
      <w:r w:rsidR="00975895" w:rsidRPr="003015FD">
        <w:t xml:space="preserve"> </w:t>
      </w:r>
      <w:r w:rsidRPr="003015FD">
        <w:t>should</w:t>
      </w:r>
      <w:r w:rsidR="00975895" w:rsidRPr="003015FD">
        <w:t xml:space="preserve"> </w:t>
      </w:r>
      <w:r w:rsidRPr="003015FD">
        <w:lastRenderedPageBreak/>
        <w:t>externally</w:t>
      </w:r>
      <w:r w:rsidR="00975895" w:rsidRPr="003015FD">
        <w:t xml:space="preserve"> </w:t>
      </w:r>
      <w:r w:rsidRPr="003015FD">
        <w:t>promote</w:t>
      </w:r>
      <w:r w:rsidR="00975895" w:rsidRPr="003015FD">
        <w:t xml:space="preserve"> </w:t>
      </w:r>
      <w:r w:rsidRPr="003015FD">
        <w:t>a</w:t>
      </w:r>
      <w:r w:rsidR="00975895" w:rsidRPr="003015FD">
        <w:t xml:space="preserve"> </w:t>
      </w:r>
      <w:r w:rsidRPr="003015FD">
        <w:t>broader</w:t>
      </w:r>
      <w:r w:rsidR="00975895" w:rsidRPr="003015FD">
        <w:t xml:space="preserve"> </w:t>
      </w:r>
      <w:r w:rsidRPr="003015FD">
        <w:t>range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C644CD">
        <w:t xml:space="preserve"> protected under the Charter</w:t>
      </w:r>
      <w:r w:rsidRPr="003015FD">
        <w:t>,</w:t>
      </w:r>
      <w:r w:rsidR="00975895" w:rsidRPr="003015FD">
        <w:t xml:space="preserve"> </w:t>
      </w:r>
      <w:r w:rsidRPr="003015FD">
        <w:t>to</w:t>
      </w:r>
      <w:r w:rsidR="00975895" w:rsidRPr="003015FD">
        <w:t xml:space="preserve"> </w:t>
      </w:r>
      <w:r w:rsidRPr="003015FD">
        <w:t>demonstrate</w:t>
      </w:r>
      <w:r w:rsidR="00975895" w:rsidRPr="003015FD">
        <w:t xml:space="preserve"> </w:t>
      </w:r>
      <w:r w:rsidRPr="003015FD">
        <w:t>to</w:t>
      </w:r>
      <w:r w:rsidR="00975895" w:rsidRPr="003015FD">
        <w:t xml:space="preserve"> </w:t>
      </w:r>
      <w:r w:rsidRPr="003015FD">
        <w:t>the</w:t>
      </w:r>
      <w:r w:rsidR="00975895" w:rsidRPr="003015FD">
        <w:t xml:space="preserve"> </w:t>
      </w:r>
      <w:r w:rsidRPr="003015FD">
        <w:t>public</w:t>
      </w:r>
      <w:r w:rsidR="00975895" w:rsidRPr="003015FD">
        <w:t xml:space="preserve"> </w:t>
      </w:r>
      <w:r w:rsidRPr="003015FD">
        <w:t>their</w:t>
      </w:r>
      <w:r w:rsidR="00975895" w:rsidRPr="003015FD">
        <w:t xml:space="preserve"> </w:t>
      </w:r>
      <w:r w:rsidRPr="003015FD">
        <w:t>commitment</w:t>
      </w:r>
      <w:r w:rsidR="00975895" w:rsidRPr="003015FD">
        <w:t xml:space="preserve"> </w:t>
      </w:r>
      <w:r w:rsidRPr="003015FD">
        <w:t>to</w:t>
      </w:r>
      <w:r w:rsidR="00975895" w:rsidRPr="003015FD">
        <w:t xml:space="preserve"> </w:t>
      </w:r>
      <w:r w:rsidRPr="003015FD">
        <w:t>human</w:t>
      </w:r>
      <w:r w:rsidR="00975895" w:rsidRPr="003015FD">
        <w:t xml:space="preserve"> </w:t>
      </w:r>
      <w:r w:rsidRPr="003015FD">
        <w:t>rights.</w:t>
      </w:r>
      <w:r w:rsidR="00C644CD">
        <w:t xml:space="preserve"> </w:t>
      </w:r>
    </w:p>
    <w:p w14:paraId="6C45DEAC" w14:textId="6C4EE703" w:rsidR="008E0945" w:rsidRPr="0002642E" w:rsidRDefault="008E0945" w:rsidP="0002642E">
      <w:pPr>
        <w:pStyle w:val="Heading4"/>
      </w:pPr>
      <w:r w:rsidRPr="0002642E">
        <w:t>D.</w:t>
      </w:r>
      <w:r w:rsidR="00975895" w:rsidRPr="0002642E">
        <w:t xml:space="preserve"> </w:t>
      </w:r>
      <w:r w:rsidRPr="003015FD">
        <w:t>Executive</w:t>
      </w:r>
      <w:r w:rsidR="000C5726">
        <w:t>'</w:t>
      </w:r>
      <w:r w:rsidRPr="003015FD">
        <w:t>s</w:t>
      </w:r>
      <w:r w:rsidR="00975895" w:rsidRPr="0002642E">
        <w:t xml:space="preserve"> </w:t>
      </w:r>
      <w:r w:rsidRPr="0002642E">
        <w:t>performance</w:t>
      </w:r>
      <w:r w:rsidR="00975895" w:rsidRPr="0002642E">
        <w:t xml:space="preserve"> </w:t>
      </w:r>
      <w:r w:rsidRPr="0002642E">
        <w:t>reviews</w:t>
      </w:r>
    </w:p>
    <w:p w14:paraId="4F7C55C2" w14:textId="2A0140EC" w:rsidR="008E0945" w:rsidRPr="003015FD" w:rsidRDefault="008E0945" w:rsidP="0002642E">
      <w:r w:rsidRPr="003015FD">
        <w:t>Around</w:t>
      </w:r>
      <w:r w:rsidR="00975895" w:rsidRPr="003015FD">
        <w:t xml:space="preserve"> </w:t>
      </w:r>
      <w:r w:rsidRPr="003015FD">
        <w:t>41</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included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metrics</w:t>
      </w:r>
      <w:r w:rsidR="00975895" w:rsidRPr="003015FD">
        <w:t xml:space="preserve"> </w:t>
      </w:r>
      <w:r w:rsidRPr="003015FD">
        <w:t>in</w:t>
      </w:r>
      <w:r w:rsidR="00975895" w:rsidRPr="003015FD">
        <w:t xml:space="preserve"> </w:t>
      </w:r>
      <w:r w:rsidRPr="003015FD">
        <w:t>at</w:t>
      </w:r>
      <w:r w:rsidR="00975895" w:rsidRPr="003015FD">
        <w:t xml:space="preserve"> </w:t>
      </w:r>
      <w:r w:rsidRPr="003015FD">
        <w:t>least</w:t>
      </w:r>
      <w:r w:rsidR="00975895" w:rsidRPr="003015FD">
        <w:t xml:space="preserve"> </w:t>
      </w:r>
      <w:r w:rsidRPr="003015FD">
        <w:t>some</w:t>
      </w:r>
      <w:r w:rsidR="00975895" w:rsidRPr="003015FD">
        <w:t xml:space="preserve"> </w:t>
      </w:r>
      <w:r w:rsidRPr="003015FD">
        <w:t>executives</w:t>
      </w:r>
      <w:r w:rsidR="000C5726">
        <w:t>'</w:t>
      </w:r>
      <w:r w:rsidR="00975895" w:rsidRPr="003015FD">
        <w:t xml:space="preserve"> </w:t>
      </w:r>
      <w:r w:rsidRPr="003015FD">
        <w:t>performance</w:t>
      </w:r>
      <w:r w:rsidR="00975895" w:rsidRPr="003015FD">
        <w:t xml:space="preserve"> </w:t>
      </w:r>
      <w:r w:rsidRPr="003015FD">
        <w:t>review</w:t>
      </w:r>
      <w:r w:rsidR="00975895" w:rsidRPr="003015FD">
        <w:t xml:space="preserve"> </w:t>
      </w:r>
      <w:r w:rsidRPr="003015FD">
        <w:t>documents.</w:t>
      </w:r>
      <w:r w:rsidR="00975895" w:rsidRPr="003015FD">
        <w:t xml:space="preserve"> </w:t>
      </w:r>
      <w:r w:rsidRPr="003015FD">
        <w:t>The</w:t>
      </w:r>
      <w:r w:rsidR="00975895" w:rsidRPr="003015FD">
        <w:t xml:space="preserve"> </w:t>
      </w:r>
      <w:r w:rsidRPr="003015FD">
        <w:t>commitment</w:t>
      </w:r>
      <w:r w:rsidR="00975895" w:rsidRPr="003015FD">
        <w:t xml:space="preserve"> </w:t>
      </w:r>
      <w:r w:rsidRPr="003015FD">
        <w:t>to</w:t>
      </w:r>
      <w:r w:rsidR="00975895" w:rsidRPr="003015FD">
        <w:t xml:space="preserve"> </w:t>
      </w:r>
      <w:r w:rsidR="008B2BD2">
        <w:t xml:space="preserve">a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requires</w:t>
      </w:r>
      <w:r w:rsidR="00975895" w:rsidRPr="003015FD">
        <w:t xml:space="preserve"> </w:t>
      </w:r>
      <w:r w:rsidRPr="003015FD">
        <w:t>that</w:t>
      </w:r>
      <w:r w:rsidR="00975895" w:rsidRPr="003015FD">
        <w:t xml:space="preserve"> </w:t>
      </w:r>
      <w:r w:rsidRPr="003015FD">
        <w:t>leaders</w:t>
      </w:r>
      <w:r w:rsidR="00975895" w:rsidRPr="003015FD">
        <w:t xml:space="preserve"> </w:t>
      </w:r>
      <w:r w:rsidRPr="003015FD">
        <w:t>be</w:t>
      </w:r>
      <w:r w:rsidR="00975895" w:rsidRPr="003015FD">
        <w:t xml:space="preserve"> </w:t>
      </w:r>
      <w:r w:rsidRPr="003015FD">
        <w:t>held</w:t>
      </w:r>
      <w:r w:rsidR="00975895" w:rsidRPr="003015FD">
        <w:t xml:space="preserve"> </w:t>
      </w:r>
      <w:r w:rsidRPr="003015FD">
        <w:t>accountable</w:t>
      </w:r>
      <w:r w:rsidR="00975895" w:rsidRPr="003015FD">
        <w:t xml:space="preserve"> </w:t>
      </w:r>
      <w:r w:rsidRPr="003015FD">
        <w:t>for</w:t>
      </w:r>
      <w:r w:rsidR="00975895" w:rsidRPr="003015FD">
        <w:t xml:space="preserve"> </w:t>
      </w:r>
      <w:r w:rsidRPr="003015FD">
        <w:t>delivering</w:t>
      </w:r>
      <w:r w:rsidR="00975895" w:rsidRPr="003015FD">
        <w:t xml:space="preserve"> </w:t>
      </w:r>
      <w:r w:rsidRPr="003015FD">
        <w:t>this.</w:t>
      </w:r>
      <w:r w:rsidR="00975895" w:rsidRPr="003015FD">
        <w:t xml:space="preserve"> </w:t>
      </w:r>
    </w:p>
    <w:p w14:paraId="3712CCCC" w14:textId="48AAAF7E" w:rsidR="00CF666C" w:rsidRDefault="008E0945" w:rsidP="0002642E">
      <w:r w:rsidRPr="003015FD">
        <w:t>Government</w:t>
      </w:r>
      <w:r w:rsidR="00975895" w:rsidRPr="003015FD">
        <w:t xml:space="preserve"> </w:t>
      </w:r>
      <w:r w:rsidRPr="003015FD">
        <w:t>departments</w:t>
      </w:r>
      <w:r w:rsidR="00975895" w:rsidRPr="003015FD">
        <w:t xml:space="preserve"> </w:t>
      </w:r>
      <w:r w:rsidRPr="003015FD">
        <w:t>(71</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were</w:t>
      </w:r>
      <w:r w:rsidR="00975895" w:rsidRPr="003015FD">
        <w:t xml:space="preserve"> </w:t>
      </w:r>
      <w:r w:rsidRPr="003015FD">
        <w:t>most</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metrics</w:t>
      </w:r>
      <w:r w:rsidR="00975895" w:rsidRPr="003015FD">
        <w:t xml:space="preserve"> </w:t>
      </w:r>
      <w:r w:rsidRPr="003015FD">
        <w:t>included</w:t>
      </w:r>
      <w:r w:rsidR="00975895" w:rsidRPr="003015FD">
        <w:t xml:space="preserve"> </w:t>
      </w:r>
      <w:r w:rsidRPr="003015FD">
        <w:t>in</w:t>
      </w:r>
      <w:r w:rsidR="00975895" w:rsidRPr="003015FD">
        <w:t xml:space="preserve"> </w:t>
      </w:r>
      <w:r w:rsidRPr="003015FD">
        <w:t>at</w:t>
      </w:r>
      <w:r w:rsidR="00975895" w:rsidRPr="003015FD">
        <w:t xml:space="preserve"> </w:t>
      </w:r>
      <w:r w:rsidRPr="003015FD">
        <w:t>executives</w:t>
      </w:r>
      <w:r w:rsidR="000C5726">
        <w:t>'</w:t>
      </w:r>
      <w:r w:rsidR="00975895" w:rsidRPr="003015FD">
        <w:t xml:space="preserve"> </w:t>
      </w:r>
      <w:r w:rsidRPr="003015FD">
        <w:t>performance</w:t>
      </w:r>
      <w:r w:rsidR="00975895" w:rsidRPr="003015FD">
        <w:t xml:space="preserve"> </w:t>
      </w:r>
      <w:r w:rsidRPr="003015FD">
        <w:t>review</w:t>
      </w:r>
      <w:r w:rsidR="00975895" w:rsidRPr="003015FD">
        <w:t xml:space="preserve"> </w:t>
      </w:r>
      <w:r w:rsidRPr="003015FD">
        <w:t>documents,</w:t>
      </w:r>
      <w:r w:rsidR="00975895" w:rsidRPr="003015FD">
        <w:t xml:space="preserve"> </w:t>
      </w:r>
      <w:r w:rsidRPr="003015FD">
        <w:t>followed</w:t>
      </w:r>
      <w:r w:rsidR="00975895" w:rsidRPr="003015FD">
        <w:t xml:space="preserve"> </w:t>
      </w:r>
      <w:r w:rsidRPr="003015FD">
        <w:t>by</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(60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Local</w:t>
      </w:r>
      <w:r w:rsidR="00975895" w:rsidRPr="003015FD">
        <w:t xml:space="preserve"> </w:t>
      </w:r>
      <w:r w:rsidRPr="003015FD">
        <w:t>councils</w:t>
      </w:r>
      <w:r w:rsidR="00975895" w:rsidRPr="003015FD">
        <w:t xml:space="preserve"> </w:t>
      </w:r>
      <w:r w:rsidRPr="003015FD">
        <w:t>and</w:t>
      </w:r>
      <w:r w:rsidR="00975895" w:rsidRPr="003015FD">
        <w:t xml:space="preserve"> </w:t>
      </w:r>
      <w:r w:rsidRPr="003015FD">
        <w:t>large</w:t>
      </w:r>
      <w:r w:rsidR="00975895" w:rsidRPr="003015FD">
        <w:t xml:space="preserve"> </w:t>
      </w:r>
      <w:r w:rsidRPr="003015FD">
        <w:t>agencies</w:t>
      </w:r>
      <w:r w:rsidR="00975895" w:rsidRPr="003015FD">
        <w:t xml:space="preserve"> </w:t>
      </w:r>
      <w:r w:rsidRPr="003015FD">
        <w:t>were</w:t>
      </w:r>
      <w:r w:rsidR="00975895" w:rsidRPr="003015FD">
        <w:t xml:space="preserve"> </w:t>
      </w:r>
      <w:r w:rsidRPr="003015FD">
        <w:t>less</w:t>
      </w:r>
      <w:r w:rsidR="00975895" w:rsidRPr="003015FD">
        <w:t xml:space="preserve"> </w:t>
      </w:r>
      <w:r w:rsidRPr="003015FD">
        <w:t>likely</w:t>
      </w:r>
      <w:r w:rsidR="00975895" w:rsidRPr="003015FD">
        <w:t xml:space="preserve"> </w:t>
      </w:r>
      <w:r w:rsidRPr="003015FD">
        <w:t>(20</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and</w:t>
      </w:r>
      <w:r w:rsidR="00975895" w:rsidRPr="003015FD">
        <w:t xml:space="preserve"> </w:t>
      </w:r>
      <w:r w:rsidRPr="003015FD">
        <w:t>14</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respectively).</w:t>
      </w:r>
    </w:p>
    <w:tbl>
      <w:tblPr>
        <w:tblStyle w:val="CustomTablebreakoutbox"/>
        <w:tblW w:w="0" w:type="auto"/>
        <w:tblLook w:val="04A0" w:firstRow="1" w:lastRow="0" w:firstColumn="1" w:lastColumn="0" w:noHBand="0" w:noVBand="1"/>
      </w:tblPr>
      <w:tblGrid>
        <w:gridCol w:w="9061"/>
      </w:tblGrid>
      <w:tr w:rsidR="00CF666C" w14:paraId="2C909E6E" w14:textId="77777777" w:rsidTr="00CF666C">
        <w:tc>
          <w:tcPr>
            <w:tcW w:w="9061" w:type="dxa"/>
          </w:tcPr>
          <w:p w14:paraId="6747772A" w14:textId="53E6A984" w:rsidR="00CF666C" w:rsidRPr="003E33DC" w:rsidRDefault="00CF666C" w:rsidP="00CF666C">
            <w:pPr>
              <w:pStyle w:val="BodyText"/>
              <w:rPr>
                <w:rStyle w:val="Characterbold"/>
              </w:rPr>
            </w:pPr>
            <w:r>
              <w:rPr>
                <w:rStyle w:val="Characterbold"/>
              </w:rPr>
              <w:t>Some examples of these metrics included:</w:t>
            </w:r>
          </w:p>
          <w:p w14:paraId="600F600F" w14:textId="77777777" w:rsidR="00CF666C" w:rsidRPr="003015FD" w:rsidRDefault="00CF666C" w:rsidP="00CF666C">
            <w:pPr>
              <w:pStyle w:val="ListBullet"/>
            </w:pPr>
            <w:r w:rsidRPr="003015FD">
              <w:t>demonstrating how they uphold organisational values in their role (with human rights values incorporated into the organisational values)</w:t>
            </w:r>
          </w:p>
          <w:p w14:paraId="5D1C2E15" w14:textId="77777777" w:rsidR="00CF666C" w:rsidRDefault="00CF666C" w:rsidP="00CF666C">
            <w:pPr>
              <w:pStyle w:val="ListBullet"/>
            </w:pPr>
            <w:r w:rsidRPr="003015FD">
              <w:t>developing goals for each executive relating to how they will</w:t>
            </w:r>
            <w:r>
              <w:t xml:space="preserve"> have an</w:t>
            </w:r>
            <w:r w:rsidRPr="003015FD">
              <w:t xml:space="preserve"> impact </w:t>
            </w:r>
            <w:r>
              <w:t xml:space="preserve">on </w:t>
            </w:r>
            <w:r w:rsidRPr="003015FD">
              <w:t>Aboriginal engagement and employment</w:t>
            </w:r>
          </w:p>
          <w:p w14:paraId="4B4B8DED" w14:textId="6BB014D5" w:rsidR="00CF666C" w:rsidRDefault="00CF666C" w:rsidP="00CF666C">
            <w:pPr>
              <w:pStyle w:val="ListBullet"/>
            </w:pPr>
            <w:r w:rsidRPr="003015FD">
              <w:t>implementing targeted initiatives to increase the diversity and inclusion of the team aligned with priority groups (</w:t>
            </w:r>
            <w:r>
              <w:t>for example,</w:t>
            </w:r>
            <w:r w:rsidRPr="003015FD">
              <w:t xml:space="preserve"> women, culturally and religiously diverse people, people with a disability, Aboriginal and LGBTI people)</w:t>
            </w:r>
            <w:r>
              <w:t>.</w:t>
            </w:r>
          </w:p>
        </w:tc>
      </w:tr>
    </w:tbl>
    <w:p w14:paraId="431AB9ED" w14:textId="77777777" w:rsidR="00CF666C" w:rsidRDefault="00CF666C" w:rsidP="00CF666C">
      <w:pPr>
        <w:pStyle w:val="BodyText"/>
        <w:rPr>
          <w:lang w:eastAsia="en-GB"/>
        </w:rPr>
      </w:pPr>
    </w:p>
    <w:p w14:paraId="0F077588" w14:textId="4A1A83D1"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4:</w:t>
      </w:r>
      <w:r w:rsidR="00975895" w:rsidRPr="0002642E">
        <w:rPr>
          <w:rStyle w:val="Characterbold"/>
        </w:rPr>
        <w:t xml:space="preserve"> </w:t>
      </w:r>
      <w:r w:rsidRPr="0002642E">
        <w:rPr>
          <w:rStyle w:val="Characterbold"/>
        </w:rPr>
        <w:t>Inclusion</w:t>
      </w:r>
      <w:r w:rsidR="00975895" w:rsidRPr="0002642E">
        <w:rPr>
          <w:rStyle w:val="Characterbold"/>
        </w:rPr>
        <w:t xml:space="preserve"> </w:t>
      </w:r>
      <w:r w:rsidRPr="0002642E">
        <w:rPr>
          <w:rStyle w:val="Characterbold"/>
        </w:rPr>
        <w:t>of</w:t>
      </w:r>
      <w:r w:rsidR="00975895" w:rsidRPr="0002642E">
        <w:rPr>
          <w:rStyle w:val="Characterbold"/>
        </w:rPr>
        <w:t xml:space="preserve"> </w:t>
      </w:r>
      <w:r w:rsidRPr="0002642E">
        <w:rPr>
          <w:rStyle w:val="Characterbold"/>
        </w:rPr>
        <w:t>metrics</w:t>
      </w:r>
      <w:r w:rsidR="00975895" w:rsidRPr="0002642E">
        <w:rPr>
          <w:rStyle w:val="Characterbold"/>
        </w:rPr>
        <w:t xml:space="preserve"> </w:t>
      </w:r>
      <w:r w:rsidRPr="0002642E">
        <w:rPr>
          <w:rStyle w:val="Characterbold"/>
        </w:rPr>
        <w:t>related</w:t>
      </w:r>
      <w:r w:rsidR="00975895" w:rsidRPr="0002642E">
        <w:rPr>
          <w:rStyle w:val="Characterbold"/>
        </w:rPr>
        <w:t xml:space="preserve"> </w:t>
      </w:r>
      <w:r w:rsidRPr="0002642E">
        <w:rPr>
          <w:rStyle w:val="Characterbold"/>
        </w:rPr>
        <w:t>to</w:t>
      </w:r>
      <w:r w:rsidR="00975895" w:rsidRPr="0002642E">
        <w:rPr>
          <w:rStyle w:val="Characterbold"/>
        </w:rPr>
        <w:t xml:space="preserve"> </w:t>
      </w:r>
      <w:r w:rsidRPr="0002642E">
        <w:rPr>
          <w:rStyle w:val="Characterbold"/>
        </w:rPr>
        <w:t>promotion</w:t>
      </w:r>
      <w:r w:rsidR="00975895" w:rsidRPr="0002642E">
        <w:rPr>
          <w:rStyle w:val="Characterbold"/>
        </w:rPr>
        <w:t xml:space="preserve"> </w:t>
      </w:r>
      <w:r w:rsidRPr="0002642E">
        <w:rPr>
          <w:rStyle w:val="Characterbold"/>
        </w:rPr>
        <w:t>and</w:t>
      </w:r>
      <w:r w:rsidR="00975895" w:rsidRPr="0002642E">
        <w:rPr>
          <w:rStyle w:val="Characterbold"/>
        </w:rPr>
        <w:t xml:space="preserve"> </w:t>
      </w:r>
      <w:r w:rsidRPr="0002642E">
        <w:rPr>
          <w:rStyle w:val="Characterbold"/>
        </w:rPr>
        <w:t>protection</w:t>
      </w:r>
      <w:r w:rsidR="00975895" w:rsidRPr="0002642E">
        <w:rPr>
          <w:rStyle w:val="Characterbold"/>
        </w:rPr>
        <w:t xml:space="preserve"> </w:t>
      </w:r>
      <w:r w:rsidRPr="0002642E">
        <w:rPr>
          <w:rStyle w:val="Characterbold"/>
        </w:rPr>
        <w:t>of</w:t>
      </w:r>
      <w:r w:rsidR="00975895" w:rsidRPr="0002642E">
        <w:rPr>
          <w:rStyle w:val="Characterbold"/>
        </w:rPr>
        <w:t xml:space="preserve"> </w:t>
      </w:r>
      <w:r w:rsidRPr="0002642E">
        <w:rPr>
          <w:rStyle w:val="Characterbold"/>
        </w:rPr>
        <w:t>human</w:t>
      </w:r>
      <w:r w:rsidR="00975895" w:rsidRPr="0002642E">
        <w:rPr>
          <w:rStyle w:val="Characterbold"/>
        </w:rPr>
        <w:t xml:space="preserve"> </w:t>
      </w:r>
      <w:r w:rsidRPr="0002642E">
        <w:rPr>
          <w:rStyle w:val="Characterbold"/>
        </w:rPr>
        <w:t>rights</w:t>
      </w:r>
      <w:r w:rsidR="00975895" w:rsidRPr="0002642E">
        <w:rPr>
          <w:rStyle w:val="Characterbold"/>
        </w:rPr>
        <w:t xml:space="preserve"> </w:t>
      </w:r>
      <w:r w:rsidRPr="0002642E">
        <w:rPr>
          <w:rStyle w:val="Characterbold"/>
        </w:rPr>
        <w:t>in</w:t>
      </w:r>
      <w:r w:rsidR="00975895" w:rsidRPr="0002642E">
        <w:rPr>
          <w:rStyle w:val="Characterbold"/>
        </w:rPr>
        <w:t xml:space="preserve"> </w:t>
      </w:r>
      <w:r w:rsidRPr="00CD300F">
        <w:rPr>
          <w:rStyle w:val="Characterbold"/>
          <w:b/>
        </w:rPr>
        <w:t>executives</w:t>
      </w:r>
      <w:r w:rsidR="000C5726" w:rsidRPr="00CD300F">
        <w:rPr>
          <w:rStyle w:val="Characterbold"/>
          <w:b/>
        </w:rPr>
        <w:t>'</w:t>
      </w:r>
      <w:r w:rsidR="00975895" w:rsidRPr="0002642E">
        <w:rPr>
          <w:rStyle w:val="Characterbold"/>
        </w:rPr>
        <w:t xml:space="preserve"> </w:t>
      </w:r>
      <w:r w:rsidRPr="0002642E">
        <w:rPr>
          <w:rStyle w:val="Characterbold"/>
        </w:rPr>
        <w:t>performance</w:t>
      </w:r>
      <w:r w:rsidR="00975895" w:rsidRPr="0002642E">
        <w:rPr>
          <w:rStyle w:val="Characterbold"/>
        </w:rPr>
        <w:t xml:space="preserve"> </w:t>
      </w:r>
      <w:r w:rsidRPr="0002642E">
        <w:rPr>
          <w:rStyle w:val="Characterbold"/>
        </w:rPr>
        <w:t>review</w:t>
      </w:r>
      <w:r w:rsidR="00975895" w:rsidRPr="0002642E">
        <w:rPr>
          <w:rStyle w:val="Characterbold"/>
        </w:rPr>
        <w:t xml:space="preserve"> </w:t>
      </w:r>
      <w:r w:rsidRPr="0002642E">
        <w:rPr>
          <w:rStyle w:val="Characterbold"/>
        </w:rPr>
        <w:t>documents</w:t>
      </w:r>
    </w:p>
    <w:p w14:paraId="2C349DE7" w14:textId="749E021A"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799A62EF" w14:textId="60D26B58" w:rsidR="008E0945" w:rsidRDefault="008E0945" w:rsidP="005B74F5">
      <w:r w:rsidRPr="003015FD">
        <w:rPr>
          <w:noProof/>
          <w:lang w:val="en-GB" w:eastAsia="en-GB"/>
        </w:rPr>
        <w:drawing>
          <wp:inline distT="0" distB="0" distL="0" distR="0" wp14:anchorId="289C0A2A" wp14:editId="053EC288">
            <wp:extent cx="5017135" cy="234514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3101"/>
                    <a:stretch/>
                  </pic:blipFill>
                  <pic:spPr bwMode="auto">
                    <a:xfrm>
                      <a:off x="0" y="0"/>
                      <a:ext cx="5021784" cy="2347320"/>
                    </a:xfrm>
                    <a:prstGeom prst="rect">
                      <a:avLst/>
                    </a:prstGeom>
                    <a:noFill/>
                    <a:ln>
                      <a:noFill/>
                    </a:ln>
                    <a:extLst>
                      <a:ext uri="{53640926-AAD7-44D8-BBD7-CCE9431645EC}">
                        <a14:shadowObscured xmlns:a14="http://schemas.microsoft.com/office/drawing/2010/main"/>
                      </a:ext>
                    </a:extLst>
                  </pic:spPr>
                </pic:pic>
              </a:graphicData>
            </a:graphic>
          </wp:inline>
        </w:drawing>
      </w:r>
    </w:p>
    <w:p w14:paraId="036CEEF5" w14:textId="3C0B57C5" w:rsidR="00C21B12" w:rsidRPr="009B48F9" w:rsidRDefault="00C21B12" w:rsidP="005B74F5">
      <w:pPr>
        <w:rPr>
          <w:b/>
        </w:rPr>
      </w:pPr>
    </w:p>
    <w:p w14:paraId="1A32FF6E" w14:textId="6F62AE8E" w:rsidR="009B48F9" w:rsidRPr="0002642E" w:rsidRDefault="00BB63F5" w:rsidP="0002642E">
      <w:pPr>
        <w:rPr>
          <w:b/>
        </w:rPr>
      </w:pPr>
      <w:r w:rsidRPr="0002642E">
        <w:rPr>
          <w:b/>
        </w:rPr>
        <w:t>Tips on p</w:t>
      </w:r>
      <w:r w:rsidR="009B48F9" w:rsidRPr="0002642E">
        <w:rPr>
          <w:b/>
        </w:rPr>
        <w:t>utting this into practice</w:t>
      </w:r>
    </w:p>
    <w:p w14:paraId="42BFA734" w14:textId="7851E2A8" w:rsidR="009B48F9" w:rsidRPr="0002642E" w:rsidRDefault="009B48F9" w:rsidP="0002642E">
      <w:r w:rsidRPr="0002642E">
        <w:t xml:space="preserve">Some ways the framework </w:t>
      </w:r>
      <w:r w:rsidR="00BB63F5" w:rsidRPr="0002642E">
        <w:t>shows</w:t>
      </w:r>
      <w:r w:rsidRPr="0002642E">
        <w:t xml:space="preserve"> to improve engaged leadership are to:</w:t>
      </w:r>
    </w:p>
    <w:p w14:paraId="40F98F9B" w14:textId="77777777" w:rsidR="009B48F9" w:rsidRDefault="009B48F9" w:rsidP="0002642E">
      <w:pPr>
        <w:pStyle w:val="BodyText"/>
        <w:numPr>
          <w:ilvl w:val="0"/>
          <w:numId w:val="98"/>
        </w:numPr>
        <w:rPr>
          <w:lang w:eastAsia="en-AU"/>
        </w:rPr>
      </w:pPr>
      <w:r>
        <w:rPr>
          <w:lang w:eastAsia="en-AU"/>
        </w:rPr>
        <w:t>use leaders to visibly promote human rights at staff forums</w:t>
      </w:r>
    </w:p>
    <w:p w14:paraId="410714B6" w14:textId="77777777" w:rsidR="009B48F9" w:rsidRDefault="009B48F9" w:rsidP="0002642E">
      <w:pPr>
        <w:pStyle w:val="BodyText"/>
        <w:numPr>
          <w:ilvl w:val="0"/>
          <w:numId w:val="98"/>
        </w:numPr>
        <w:rPr>
          <w:lang w:eastAsia="en-AU"/>
        </w:rPr>
      </w:pPr>
      <w:r>
        <w:rPr>
          <w:lang w:eastAsia="en-AU"/>
        </w:rPr>
        <w:t>celebrate human rights days within and outside the authority</w:t>
      </w:r>
    </w:p>
    <w:p w14:paraId="47B25712" w14:textId="37CF73E6" w:rsidR="009B48F9" w:rsidRDefault="009B48F9" w:rsidP="0002642E">
      <w:pPr>
        <w:pStyle w:val="BodyText"/>
        <w:numPr>
          <w:ilvl w:val="0"/>
          <w:numId w:val="98"/>
        </w:numPr>
        <w:rPr>
          <w:lang w:eastAsia="en-AU"/>
        </w:rPr>
      </w:pPr>
      <w:r>
        <w:rPr>
          <w:lang w:eastAsia="en-AU"/>
        </w:rPr>
        <w:t>give staff practical examples of how to put human rights into practice</w:t>
      </w:r>
    </w:p>
    <w:p w14:paraId="69AA5992" w14:textId="77777777" w:rsidR="009B48F9" w:rsidRDefault="009B48F9" w:rsidP="005B74F5"/>
    <w:p w14:paraId="1ED39BD9" w14:textId="2C9E1134" w:rsidR="008E0945" w:rsidRPr="003015FD" w:rsidRDefault="00D8218F" w:rsidP="0002642E">
      <w:pPr>
        <w:pStyle w:val="Heading3"/>
      </w:pPr>
      <w:bookmarkStart w:id="67" w:name="_Toc15045112"/>
      <w:r w:rsidRPr="003015FD">
        <w:lastRenderedPageBreak/>
        <w:t>2.7.3</w:t>
      </w:r>
      <w:r w:rsidRPr="003015FD">
        <w:tab/>
      </w:r>
      <w:r w:rsidR="008E0945" w:rsidRPr="003015FD">
        <w:t>Attitudes</w:t>
      </w:r>
      <w:r w:rsidR="00975895" w:rsidRPr="003015FD">
        <w:t xml:space="preserve"> </w:t>
      </w:r>
      <w:r w:rsidR="008E0945" w:rsidRPr="003015FD">
        <w:t>and</w:t>
      </w:r>
      <w:r w:rsidR="00975895" w:rsidRPr="003015FD">
        <w:t xml:space="preserve"> </w:t>
      </w:r>
      <w:r w:rsidR="008E0945" w:rsidRPr="003015FD">
        <w:t>values</w:t>
      </w:r>
      <w:r w:rsidR="00975895" w:rsidRPr="003015FD">
        <w:t xml:space="preserve"> </w:t>
      </w:r>
      <w:r w:rsidR="008E0945" w:rsidRPr="003015FD">
        <w:t>of</w:t>
      </w:r>
      <w:r w:rsidR="00975895" w:rsidRPr="003015FD">
        <w:t xml:space="preserve"> </w:t>
      </w:r>
      <w:r w:rsidR="008E0945" w:rsidRPr="003015FD">
        <w:t>employees</w:t>
      </w:r>
      <w:bookmarkEnd w:id="67"/>
      <w:r w:rsidR="00975895" w:rsidRPr="003015FD">
        <w:t xml:space="preserve"> </w:t>
      </w:r>
    </w:p>
    <w:p w14:paraId="04F32DED" w14:textId="20C7FFE6" w:rsidR="0013007F" w:rsidRPr="003015FD" w:rsidRDefault="0013007F" w:rsidP="0002642E">
      <w:r w:rsidRPr="003015FD">
        <w:t>Workplace</w:t>
      </w:r>
      <w:r w:rsidR="00975895" w:rsidRPr="003015FD">
        <w:t xml:space="preserve"> </w:t>
      </w:r>
      <w:r w:rsidRPr="003015FD">
        <w:t>values</w:t>
      </w:r>
      <w:r w:rsidR="00975895" w:rsidRPr="003015FD">
        <w:t xml:space="preserve"> </w:t>
      </w:r>
      <w:r w:rsidRPr="003015FD">
        <w:t>and</w:t>
      </w:r>
      <w:r w:rsidR="00975895" w:rsidRPr="003015FD">
        <w:t xml:space="preserve"> </w:t>
      </w:r>
      <w:r w:rsidRPr="003015FD">
        <w:t>attitudes</w:t>
      </w:r>
      <w:r w:rsidR="00975895" w:rsidRPr="003015FD">
        <w:t xml:space="preserve"> </w:t>
      </w:r>
      <w:r w:rsidRPr="003015FD">
        <w:t>are</w:t>
      </w:r>
      <w:r w:rsidR="00975895" w:rsidRPr="003015FD">
        <w:t xml:space="preserve"> </w:t>
      </w:r>
      <w:r w:rsidRPr="003015FD">
        <w:t>an</w:t>
      </w:r>
      <w:r w:rsidR="00975895" w:rsidRPr="003015FD">
        <w:t xml:space="preserve"> </w:t>
      </w:r>
      <w:r w:rsidRPr="003015FD">
        <w:t>important</w:t>
      </w:r>
      <w:r w:rsidR="00975895" w:rsidRPr="003015FD">
        <w:t xml:space="preserve"> </w:t>
      </w:r>
      <w:r w:rsidRPr="003015FD">
        <w:t>area</w:t>
      </w:r>
      <w:r w:rsidR="00975895" w:rsidRPr="003015FD">
        <w:t xml:space="preserve"> </w:t>
      </w:r>
      <w:r w:rsidRPr="003015FD">
        <w:t>of</w:t>
      </w:r>
      <w:r w:rsidR="00975895" w:rsidRPr="003015FD">
        <w:t xml:space="preserve"> </w:t>
      </w:r>
      <w:r w:rsidRPr="003015FD">
        <w:t>influence</w:t>
      </w:r>
      <w:r w:rsidR="00975895" w:rsidRPr="003015FD">
        <w:t xml:space="preserve"> </w:t>
      </w:r>
      <w:r w:rsidRPr="003015FD">
        <w:t>on</w:t>
      </w:r>
      <w:r w:rsidR="00975895" w:rsidRPr="003015FD">
        <w:t xml:space="preserve"> </w:t>
      </w:r>
      <w:r w:rsidRPr="003015FD">
        <w:t>workplace</w:t>
      </w:r>
      <w:r w:rsidR="00975895" w:rsidRPr="003015FD">
        <w:t xml:space="preserve"> </w:t>
      </w:r>
      <w:r w:rsidRPr="003015FD">
        <w:t>culture.</w:t>
      </w:r>
      <w:r w:rsidR="00975895" w:rsidRPr="003015FD">
        <w:t xml:space="preserve"> </w:t>
      </w:r>
      <w:r w:rsidRPr="003015FD">
        <w:t>Where</w:t>
      </w:r>
      <w:r w:rsidR="00975895" w:rsidRPr="003015FD">
        <w:t xml:space="preserve"> </w:t>
      </w:r>
      <w:r w:rsidRPr="003015FD">
        <w:t>employees</w:t>
      </w:r>
      <w:r w:rsidR="00975895" w:rsidRPr="003015FD">
        <w:t xml:space="preserve"> </w:t>
      </w:r>
      <w:r w:rsidR="003A273A">
        <w:t>feel</w:t>
      </w:r>
      <w:r w:rsidR="003A273A" w:rsidRPr="003015FD">
        <w:t xml:space="preserve"> </w:t>
      </w:r>
      <w:r w:rsidRPr="003015FD">
        <w:t>safe</w:t>
      </w:r>
      <w:r w:rsidR="00975895" w:rsidRPr="003015FD">
        <w:t xml:space="preserve"> </w:t>
      </w:r>
      <w:r w:rsidRPr="003015FD">
        <w:t>to</w:t>
      </w:r>
      <w:r w:rsidR="00975895" w:rsidRPr="003015FD">
        <w:t xml:space="preserve"> </w:t>
      </w:r>
      <w:r w:rsidRPr="003015FD">
        <w:t>raise</w:t>
      </w:r>
      <w:r w:rsidR="00975895" w:rsidRPr="003015FD">
        <w:t xml:space="preserve"> </w:t>
      </w:r>
      <w:r w:rsidRPr="003015FD">
        <w:t>issues</w:t>
      </w:r>
      <w:r w:rsidR="00975895" w:rsidRPr="003015FD">
        <w:t xml:space="preserve"> </w:t>
      </w:r>
      <w:r w:rsidRPr="003015FD">
        <w:t>and</w:t>
      </w:r>
      <w:r w:rsidR="00975895" w:rsidRPr="003015FD">
        <w:t xml:space="preserve"> </w:t>
      </w:r>
      <w:r w:rsidRPr="003015FD">
        <w:t>call</w:t>
      </w:r>
      <w:r w:rsidR="00250AF7">
        <w:t xml:space="preserve"> </w:t>
      </w:r>
      <w:r w:rsidRPr="003015FD">
        <w:t>out</w:t>
      </w:r>
      <w:r w:rsidR="00975895" w:rsidRPr="003015FD">
        <w:t xml:space="preserve"> </w:t>
      </w:r>
      <w:r w:rsidRPr="003015FD">
        <w:t>problems,</w:t>
      </w:r>
      <w:r w:rsidR="00975895" w:rsidRPr="003015FD">
        <w:t xml:space="preserve"> </w:t>
      </w:r>
      <w:r w:rsidRPr="003015FD">
        <w:t>a</w:t>
      </w:r>
      <w:r w:rsidR="00975895" w:rsidRPr="003015FD">
        <w:t xml:space="preserve"> </w:t>
      </w:r>
      <w:r w:rsidRPr="003015FD">
        <w:t>positive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can</w:t>
      </w:r>
      <w:r w:rsidR="00975895" w:rsidRPr="003015FD">
        <w:t xml:space="preserve"> </w:t>
      </w:r>
      <w:r w:rsidRPr="003015FD">
        <w:t>grow.</w:t>
      </w:r>
      <w:r w:rsidR="00C93271">
        <w:rPr>
          <w:rStyle w:val="FootnoteReference"/>
        </w:rPr>
        <w:footnoteReference w:id="16"/>
      </w:r>
      <w:r w:rsidR="00975895" w:rsidRPr="003015FD">
        <w:t xml:space="preserve"> </w:t>
      </w:r>
      <w:r w:rsidR="00194D4F">
        <w:t>Having a</w:t>
      </w:r>
      <w:r w:rsidR="00975895" w:rsidRPr="003015FD">
        <w:t xml:space="preserve"> </w:t>
      </w:r>
      <w:r w:rsidRPr="003015FD">
        <w:t>genuinely</w:t>
      </w:r>
      <w:r w:rsidR="00975895" w:rsidRPr="003015FD">
        <w:t xml:space="preserve"> </w:t>
      </w:r>
      <w:r w:rsidRPr="003015FD">
        <w:t>diverse</w:t>
      </w:r>
      <w:r w:rsidR="00975895" w:rsidRPr="003015FD">
        <w:t xml:space="preserve"> </w:t>
      </w:r>
      <w:r w:rsidRPr="003015FD">
        <w:t>and</w:t>
      </w:r>
      <w:r w:rsidR="00975895" w:rsidRPr="003015FD">
        <w:t xml:space="preserve"> </w:t>
      </w:r>
      <w:r w:rsidRPr="003015FD">
        <w:t>inclusive</w:t>
      </w:r>
      <w:r w:rsidR="00194D4F">
        <w:t xml:space="preserve"> workforce</w:t>
      </w:r>
      <w:r w:rsidRPr="003015FD">
        <w:t>,</w:t>
      </w:r>
      <w:r w:rsidR="00975895" w:rsidRPr="003015FD">
        <w:t xml:space="preserve"> </w:t>
      </w:r>
      <w:r w:rsidRPr="003015FD">
        <w:t>where</w:t>
      </w:r>
      <w:r w:rsidR="00975895" w:rsidRPr="003015FD">
        <w:t xml:space="preserve"> </w:t>
      </w:r>
      <w:r w:rsidRPr="003015FD">
        <w:t>staff</w:t>
      </w:r>
      <w:r w:rsidR="00975895" w:rsidRPr="003015FD">
        <w:t xml:space="preserve"> </w:t>
      </w:r>
      <w:r w:rsidRPr="003015FD">
        <w:t>reflect</w:t>
      </w:r>
      <w:r w:rsidR="00975895" w:rsidRPr="003015FD">
        <w:t xml:space="preserve"> </w:t>
      </w:r>
      <w:r w:rsidRPr="003015FD">
        <w:t>the</w:t>
      </w:r>
      <w:r w:rsidR="00975895" w:rsidRPr="003015FD">
        <w:t xml:space="preserve"> </w:t>
      </w:r>
      <w:r w:rsidRPr="003015FD">
        <w:t>communities</w:t>
      </w:r>
      <w:r w:rsidR="00975895" w:rsidRPr="003015FD">
        <w:t xml:space="preserve"> </w:t>
      </w:r>
      <w:r w:rsidRPr="003015FD">
        <w:t>they</w:t>
      </w:r>
      <w:r w:rsidR="00975895" w:rsidRPr="003015FD">
        <w:t xml:space="preserve"> </w:t>
      </w:r>
      <w:r w:rsidRPr="003015FD">
        <w:t>serve,</w:t>
      </w:r>
      <w:r w:rsidR="00975895" w:rsidRPr="003015FD">
        <w:t xml:space="preserve"> </w:t>
      </w:r>
      <w:r w:rsidR="00194D4F">
        <w:t>brings significant benefits</w:t>
      </w:r>
      <w:r w:rsidR="00200C9C">
        <w:t>,</w:t>
      </w:r>
      <w:r w:rsidR="00200C9C">
        <w:rPr>
          <w:rStyle w:val="FootnoteReference"/>
        </w:rPr>
        <w:footnoteReference w:id="17"/>
      </w:r>
      <w:r w:rsidR="00200C9C">
        <w:t xml:space="preserve"> including to an organisation’s human rights culture</w:t>
      </w:r>
      <w:r w:rsidRPr="003015FD">
        <w:t>.</w:t>
      </w:r>
      <w:r w:rsidR="00CE341A">
        <w:rPr>
          <w:rStyle w:val="FootnoteReference"/>
        </w:rPr>
        <w:footnoteReference w:id="18"/>
      </w:r>
      <w:r w:rsidR="00975895" w:rsidRPr="003015FD">
        <w:t xml:space="preserve"> </w:t>
      </w:r>
    </w:p>
    <w:p w14:paraId="370E94CC" w14:textId="4706B8C7" w:rsidR="008E0945" w:rsidRPr="003015FD" w:rsidRDefault="008E0945" w:rsidP="0002642E">
      <w:r w:rsidRPr="003015FD">
        <w:t>Performance</w:t>
      </w:r>
      <w:r w:rsidR="00975895" w:rsidRPr="003015FD">
        <w:t xml:space="preserve"> </w:t>
      </w:r>
      <w:r w:rsidRPr="003015FD">
        <w:t>scores</w:t>
      </w:r>
      <w:r w:rsidR="00975895" w:rsidRPr="003015FD">
        <w:t xml:space="preserve"> </w:t>
      </w:r>
      <w:r w:rsidRPr="003015FD">
        <w:t>for</w:t>
      </w:r>
      <w:r w:rsidR="00975895" w:rsidRPr="003015FD">
        <w:t xml:space="preserve"> </w:t>
      </w:r>
      <w:r w:rsidR="008B2BD2">
        <w:t>employees</w:t>
      </w:r>
      <w:r w:rsidR="000C5726">
        <w:t>'</w:t>
      </w:r>
      <w:r w:rsidR="008B2BD2">
        <w:t xml:space="preserve"> </w:t>
      </w:r>
      <w:r w:rsidRPr="003015FD">
        <w:t>attitudes</w:t>
      </w:r>
      <w:r w:rsidR="00975895" w:rsidRPr="003015FD">
        <w:t xml:space="preserve"> </w:t>
      </w:r>
      <w:r w:rsidRPr="003015FD">
        <w:t>and</w:t>
      </w:r>
      <w:r w:rsidR="00975895" w:rsidRPr="003015FD">
        <w:t xml:space="preserve"> </w:t>
      </w:r>
      <w:r w:rsidRPr="003015FD">
        <w:t>values</w:t>
      </w:r>
      <w:r w:rsidR="00975895" w:rsidRPr="003015FD">
        <w:t xml:space="preserve"> </w:t>
      </w:r>
      <w:r w:rsidRPr="003015FD">
        <w:t>were</w:t>
      </w:r>
      <w:r w:rsidR="00975895" w:rsidRPr="003015FD">
        <w:t xml:space="preserve"> </w:t>
      </w:r>
      <w:r w:rsidRPr="003015FD">
        <w:t>relatively</w:t>
      </w:r>
      <w:r w:rsidR="00975895" w:rsidRPr="003015FD">
        <w:t xml:space="preserve"> </w:t>
      </w:r>
      <w:r w:rsidRPr="003015FD">
        <w:t>high</w:t>
      </w:r>
      <w:r w:rsidR="00975895" w:rsidRPr="003015FD">
        <w:t xml:space="preserve"> </w:t>
      </w:r>
      <w:r w:rsidRPr="003015FD">
        <w:t>across</w:t>
      </w:r>
      <w:r w:rsidR="00975895" w:rsidRPr="003015FD">
        <w:t xml:space="preserve"> </w:t>
      </w:r>
      <w:r w:rsidRPr="003015FD">
        <w:t>all</w:t>
      </w:r>
      <w:r w:rsidR="00975895" w:rsidRPr="003015FD">
        <w:t xml:space="preserve"> </w:t>
      </w:r>
      <w:r w:rsidRPr="003015FD">
        <w:t>organisation</w:t>
      </w:r>
      <w:r w:rsidR="00975895" w:rsidRPr="003015FD">
        <w:t xml:space="preserve"> </w:t>
      </w:r>
      <w:r w:rsidRPr="003015FD">
        <w:t>types.</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(84.3</w:t>
      </w:r>
      <w:r w:rsidR="00975895" w:rsidRPr="003015FD">
        <w:t xml:space="preserve"> </w:t>
      </w:r>
      <w:r w:rsidRPr="003015FD">
        <w:t>points)</w:t>
      </w:r>
      <w:r w:rsidR="00975895" w:rsidRPr="003015FD">
        <w:t xml:space="preserve"> </w:t>
      </w:r>
      <w:r w:rsidRPr="003015FD">
        <w:t>and</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(84.5</w:t>
      </w:r>
      <w:r w:rsidR="00975895" w:rsidRPr="003015FD">
        <w:t xml:space="preserve"> </w:t>
      </w:r>
      <w:r w:rsidRPr="003015FD">
        <w:t>points)</w:t>
      </w:r>
      <w:r w:rsidR="00975895" w:rsidRPr="003015FD">
        <w:t xml:space="preserve"> </w:t>
      </w:r>
      <w:r w:rsidRPr="003015FD">
        <w:t>recorded</w:t>
      </w:r>
      <w:r w:rsidR="00975895" w:rsidRPr="003015FD">
        <w:t xml:space="preserve"> </w:t>
      </w:r>
      <w:r w:rsidRPr="003015FD">
        <w:t>the</w:t>
      </w:r>
      <w:r w:rsidR="00975895" w:rsidRPr="003015FD">
        <w:t xml:space="preserve"> </w:t>
      </w:r>
      <w:r w:rsidRPr="003015FD">
        <w:t>highest</w:t>
      </w:r>
      <w:r w:rsidR="00975895" w:rsidRPr="003015FD">
        <w:t xml:space="preserve"> </w:t>
      </w:r>
      <w:r w:rsidRPr="003015FD">
        <w:t>scores.</w:t>
      </w:r>
      <w:r w:rsidR="00975895" w:rsidRPr="003015FD">
        <w:t xml:space="preserve"> </w:t>
      </w:r>
      <w:r w:rsidRPr="003015FD">
        <w:t>These</w:t>
      </w:r>
      <w:r w:rsidR="00975895" w:rsidRPr="003015FD">
        <w:t xml:space="preserve"> </w:t>
      </w:r>
      <w:r w:rsidRPr="003015FD">
        <w:t>results</w:t>
      </w:r>
      <w:r w:rsidR="00975895" w:rsidRPr="003015FD">
        <w:t xml:space="preserve"> </w:t>
      </w:r>
      <w:r w:rsidRPr="003015FD">
        <w:t>are</w:t>
      </w:r>
      <w:r w:rsidR="00975895" w:rsidRPr="003015FD">
        <w:t xml:space="preserve"> </w:t>
      </w:r>
      <w:r w:rsidRPr="003015FD">
        <w:t>very</w:t>
      </w:r>
      <w:r w:rsidR="00975895" w:rsidRPr="003015FD">
        <w:t xml:space="preserve"> </w:t>
      </w:r>
      <w:r w:rsidRPr="003015FD">
        <w:t>positive.</w:t>
      </w:r>
      <w:r w:rsidR="00975895" w:rsidRPr="003015FD">
        <w:t xml:space="preserve"> </w:t>
      </w:r>
    </w:p>
    <w:p w14:paraId="456F1C18" w14:textId="75542759"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5:</w:t>
      </w:r>
      <w:r w:rsidR="00975895" w:rsidRPr="0002642E">
        <w:rPr>
          <w:rStyle w:val="Characterbold"/>
        </w:rPr>
        <w:t xml:space="preserve"> </w:t>
      </w:r>
      <w:r w:rsidRPr="0002642E">
        <w:rPr>
          <w:rStyle w:val="Characterbold"/>
        </w:rPr>
        <w:t>Overall</w:t>
      </w:r>
      <w:r w:rsidR="00975895" w:rsidRPr="0002642E">
        <w:rPr>
          <w:rStyle w:val="Characterbold"/>
        </w:rPr>
        <w:t xml:space="preserve"> </w:t>
      </w:r>
      <w:r w:rsidRPr="0002642E">
        <w:rPr>
          <w:rStyle w:val="Characterbold"/>
        </w:rPr>
        <w:t>performance</w:t>
      </w:r>
      <w:r w:rsidR="00975895" w:rsidRPr="0002642E">
        <w:rPr>
          <w:rStyle w:val="Characterbold"/>
        </w:rPr>
        <w:t xml:space="preserve"> </w:t>
      </w:r>
      <w:r w:rsidRPr="0002642E">
        <w:rPr>
          <w:rStyle w:val="Characterbold"/>
        </w:rPr>
        <w:t>–</w:t>
      </w:r>
      <w:r w:rsidR="00975895" w:rsidRPr="0002642E">
        <w:rPr>
          <w:rStyle w:val="Characterbold"/>
        </w:rPr>
        <w:t xml:space="preserve"> </w:t>
      </w:r>
      <w:r w:rsidRPr="0002642E">
        <w:rPr>
          <w:rStyle w:val="Characterbold"/>
        </w:rPr>
        <w:t>Attitudes</w:t>
      </w:r>
      <w:r w:rsidR="00975895" w:rsidRPr="0002642E">
        <w:rPr>
          <w:rStyle w:val="Characterbold"/>
        </w:rPr>
        <w:t xml:space="preserve"> </w:t>
      </w:r>
      <w:r w:rsidRPr="0002642E">
        <w:rPr>
          <w:rStyle w:val="Characterbold"/>
        </w:rPr>
        <w:t>and</w:t>
      </w:r>
      <w:r w:rsidR="00975895" w:rsidRPr="0002642E">
        <w:rPr>
          <w:rStyle w:val="Characterbold"/>
        </w:rPr>
        <w:t xml:space="preserve"> </w:t>
      </w:r>
      <w:r w:rsidRPr="0002642E">
        <w:rPr>
          <w:rStyle w:val="Characterbold"/>
        </w:rPr>
        <w:t>values</w:t>
      </w:r>
      <w:r w:rsidR="00975895" w:rsidRPr="0002642E">
        <w:rPr>
          <w:rStyle w:val="Characterbold"/>
        </w:rPr>
        <w:t xml:space="preserve"> </w:t>
      </w:r>
      <w:r w:rsidRPr="0002642E">
        <w:rPr>
          <w:rStyle w:val="Characterbold"/>
        </w:rPr>
        <w:t>of</w:t>
      </w:r>
      <w:r w:rsidR="00975895" w:rsidRPr="0002642E">
        <w:rPr>
          <w:rStyle w:val="Characterbold"/>
        </w:rPr>
        <w:t xml:space="preserve"> </w:t>
      </w:r>
      <w:r w:rsidRPr="0002642E">
        <w:rPr>
          <w:rStyle w:val="Characterbold"/>
        </w:rPr>
        <w:t>employees</w:t>
      </w:r>
    </w:p>
    <w:p w14:paraId="52959138" w14:textId="622C039C"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4EF0FCA4" w14:textId="77777777" w:rsidR="008E0945" w:rsidRPr="003015FD" w:rsidRDefault="008E0945" w:rsidP="008E0945">
      <w:pPr>
        <w:pStyle w:val="MediumGrid21"/>
        <w:spacing w:after="120"/>
        <w:jc w:val="center"/>
        <w:rPr>
          <w:rFonts w:ascii="Arial" w:hAnsi="Arial" w:cs="Arial"/>
          <w:lang w:val="en-GB"/>
        </w:rPr>
      </w:pPr>
      <w:r w:rsidRPr="0002642E">
        <w:rPr>
          <w:rFonts w:ascii="Arial" w:hAnsi="Arial" w:cs="Arial"/>
          <w:noProof/>
          <w:lang w:val="en-GB" w:eastAsia="en-GB"/>
        </w:rPr>
        <w:drawing>
          <wp:inline distT="0" distB="0" distL="0" distR="0" wp14:anchorId="53B983A4" wp14:editId="0EFC192D">
            <wp:extent cx="4286311" cy="191084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t="11253"/>
                    <a:stretch/>
                  </pic:blipFill>
                  <pic:spPr bwMode="auto">
                    <a:xfrm>
                      <a:off x="0" y="0"/>
                      <a:ext cx="4312679" cy="1922596"/>
                    </a:xfrm>
                    <a:prstGeom prst="rect">
                      <a:avLst/>
                    </a:prstGeom>
                    <a:noFill/>
                    <a:ln>
                      <a:noFill/>
                    </a:ln>
                    <a:extLst>
                      <a:ext uri="{53640926-AAD7-44D8-BBD7-CCE9431645EC}">
                        <a14:shadowObscured xmlns:a14="http://schemas.microsoft.com/office/drawing/2010/main"/>
                      </a:ext>
                    </a:extLst>
                  </pic:spPr>
                </pic:pic>
              </a:graphicData>
            </a:graphic>
          </wp:inline>
        </w:drawing>
      </w:r>
    </w:p>
    <w:p w14:paraId="0E18FD9E" w14:textId="1D10E0A4" w:rsidR="008E0945" w:rsidRPr="003015FD" w:rsidRDefault="008E0945" w:rsidP="0002642E">
      <w:pPr>
        <w:pStyle w:val="Heading4"/>
      </w:pPr>
      <w:r w:rsidRPr="003015FD">
        <w:t>A.</w:t>
      </w:r>
      <w:r w:rsidR="00975895" w:rsidRPr="003015FD">
        <w:t xml:space="preserve"> </w:t>
      </w:r>
      <w:r w:rsidRPr="003015FD">
        <w:t>Promotion</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among</w:t>
      </w:r>
      <w:r w:rsidR="00975895" w:rsidRPr="003015FD">
        <w:t xml:space="preserve"> </w:t>
      </w:r>
      <w:r w:rsidRPr="003015FD">
        <w:t>employees</w:t>
      </w:r>
    </w:p>
    <w:p w14:paraId="6FC6484C" w14:textId="47EBF410" w:rsidR="008E0945" w:rsidRDefault="008E0945" w:rsidP="0002642E">
      <w:r w:rsidRPr="003015FD">
        <w:t>Most</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(88</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shared</w:t>
      </w:r>
      <w:r w:rsidR="00975895" w:rsidRPr="003015FD">
        <w:t xml:space="preserve"> </w:t>
      </w:r>
      <w:r w:rsidRPr="003015FD">
        <w:t>examples</w:t>
      </w:r>
      <w:r w:rsidR="00975895" w:rsidRPr="003015FD">
        <w:t xml:space="preserve"> </w:t>
      </w:r>
      <w:r w:rsidRPr="003015FD">
        <w:t>of</w:t>
      </w:r>
      <w:r w:rsidR="00975895" w:rsidRPr="003015FD">
        <w:t xml:space="preserve"> </w:t>
      </w:r>
      <w:r w:rsidRPr="003015FD">
        <w:t>behaviours</w:t>
      </w:r>
      <w:r w:rsidR="00975895" w:rsidRPr="003015FD">
        <w:t xml:space="preserve"> </w:t>
      </w:r>
      <w:r w:rsidRPr="003015FD">
        <w:t>or</w:t>
      </w:r>
      <w:r w:rsidR="00975895" w:rsidRPr="003015FD">
        <w:t xml:space="preserve"> </w:t>
      </w:r>
      <w:r w:rsidRPr="003015FD">
        <w:t>decisions</w:t>
      </w:r>
      <w:r w:rsidR="00975895" w:rsidRPr="003015FD">
        <w:t xml:space="preserve"> </w:t>
      </w:r>
      <w:r w:rsidRPr="003015FD">
        <w:t>upholding</w:t>
      </w:r>
      <w:r w:rsidR="00975895" w:rsidRPr="003015FD">
        <w:t xml:space="preserve"> </w:t>
      </w:r>
      <w:r w:rsidRPr="003015FD">
        <w:t>or</w:t>
      </w:r>
      <w:r w:rsidR="00975895" w:rsidRPr="003015FD">
        <w:t xml:space="preserve"> </w:t>
      </w:r>
      <w:r w:rsidRPr="003015FD">
        <w:t>promoting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at</w:t>
      </w:r>
      <w:r w:rsidR="00975895" w:rsidRPr="003015FD">
        <w:t xml:space="preserve"> </w:t>
      </w:r>
      <w:r w:rsidRPr="003015FD">
        <w:t>significant</w:t>
      </w:r>
      <w:r w:rsidR="00975895" w:rsidRPr="003015FD">
        <w:t xml:space="preserve"> </w:t>
      </w:r>
      <w:r w:rsidRPr="003015FD">
        <w:t>forums</w:t>
      </w:r>
      <w:r w:rsidR="00975895" w:rsidRPr="003015FD">
        <w:t xml:space="preserve"> </w:t>
      </w:r>
      <w:r w:rsidRPr="003015FD">
        <w:t>open</w:t>
      </w:r>
      <w:r w:rsidR="00975895" w:rsidRPr="003015FD">
        <w:t xml:space="preserve"> </w:t>
      </w:r>
      <w:r w:rsidRPr="003015FD">
        <w:t>to</w:t>
      </w:r>
      <w:r w:rsidR="00975895" w:rsidRPr="003015FD">
        <w:t xml:space="preserve"> </w:t>
      </w:r>
      <w:r w:rsidRPr="003015FD">
        <w:t>a</w:t>
      </w:r>
      <w:r w:rsidR="00975895" w:rsidRPr="003015FD">
        <w:t xml:space="preserve"> </w:t>
      </w:r>
      <w:r w:rsidRPr="003015FD">
        <w:t>majority</w:t>
      </w:r>
      <w:r w:rsidR="00975895" w:rsidRPr="003015FD">
        <w:t xml:space="preserve"> </w:t>
      </w:r>
      <w:r w:rsidRPr="003015FD">
        <w:t>of</w:t>
      </w:r>
      <w:r w:rsidR="00975895" w:rsidRPr="003015FD">
        <w:t xml:space="preserve"> </w:t>
      </w:r>
      <w:r w:rsidRPr="003015FD">
        <w:t>staff.</w:t>
      </w:r>
      <w:r w:rsidR="00975895" w:rsidRPr="003015FD">
        <w:t xml:space="preserve"> </w:t>
      </w:r>
    </w:p>
    <w:p w14:paraId="1F57AC8D" w14:textId="7D8A93B1" w:rsidR="008E0945" w:rsidRPr="0002642E" w:rsidRDefault="008E0945" w:rsidP="0002642E">
      <w:pPr>
        <w:pStyle w:val="Heading4"/>
      </w:pPr>
      <w:r w:rsidRPr="0002642E">
        <w:t>B.</w:t>
      </w:r>
      <w:r w:rsidR="00975895" w:rsidRPr="0002642E">
        <w:t xml:space="preserve"> </w:t>
      </w:r>
      <w:r w:rsidRPr="0002642E">
        <w:t>Organisational</w:t>
      </w:r>
      <w:r w:rsidR="00975895" w:rsidRPr="0002642E">
        <w:t xml:space="preserve"> </w:t>
      </w:r>
      <w:r w:rsidRPr="0002642E">
        <w:t>values</w:t>
      </w:r>
    </w:p>
    <w:p w14:paraId="01835340" w14:textId="67DE0CF4" w:rsidR="008E0945" w:rsidRPr="003015FD" w:rsidRDefault="008E0945" w:rsidP="0002642E">
      <w:r w:rsidRPr="003015FD">
        <w:t>Public</w:t>
      </w:r>
      <w:r w:rsidR="00975895" w:rsidRPr="003015FD">
        <w:t xml:space="preserve"> </w:t>
      </w:r>
      <w:r w:rsidRPr="003015FD">
        <w:t>sector</w:t>
      </w:r>
      <w:r w:rsidR="00975895" w:rsidRPr="003015FD">
        <w:t xml:space="preserve"> </w:t>
      </w:r>
      <w:r w:rsidRPr="003015FD">
        <w:t>bodies</w:t>
      </w:r>
      <w:r w:rsidR="00975895" w:rsidRPr="003015FD">
        <w:t xml:space="preserve"> </w:t>
      </w:r>
      <w:r w:rsidRPr="003015FD">
        <w:t>must</w:t>
      </w:r>
      <w:r w:rsidR="00975895" w:rsidRPr="003015FD">
        <w:t xml:space="preserve"> </w:t>
      </w:r>
      <w:r w:rsidRPr="003015FD">
        <w:t>comply</w:t>
      </w:r>
      <w:r w:rsidR="00975895" w:rsidRPr="003015FD">
        <w:t xml:space="preserve"> </w:t>
      </w:r>
      <w:r w:rsidRPr="003015FD">
        <w:t>with</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values,</w:t>
      </w:r>
      <w:r w:rsidR="00975895" w:rsidRPr="003015FD">
        <w:t xml:space="preserve"> </w:t>
      </w:r>
      <w:r w:rsidRPr="003015FD">
        <w:t>which</w:t>
      </w:r>
      <w:r w:rsidR="00975895" w:rsidRPr="003015FD">
        <w:t xml:space="preserve"> </w:t>
      </w:r>
      <w:r w:rsidRPr="003015FD">
        <w:t>expressly</w:t>
      </w:r>
      <w:r w:rsidR="00975895" w:rsidRPr="003015FD">
        <w:t xml:space="preserve"> </w:t>
      </w:r>
      <w:r w:rsidRPr="003015FD">
        <w:t>include</w:t>
      </w:r>
      <w:r w:rsidR="00975895" w:rsidRPr="003015FD">
        <w:t xml:space="preserve"> </w:t>
      </w:r>
      <w:r w:rsidRPr="003015FD">
        <w:t>human</w:t>
      </w:r>
      <w:r w:rsidR="00975895" w:rsidRPr="003015FD">
        <w:t xml:space="preserve"> </w:t>
      </w:r>
      <w:r w:rsidRPr="003015FD">
        <w:t>rights.</w:t>
      </w:r>
      <w:r w:rsidR="00975895" w:rsidRPr="003015FD">
        <w:t xml:space="preserve"> </w:t>
      </w:r>
      <w:r w:rsidRPr="003015FD">
        <w:t>Many</w:t>
      </w:r>
      <w:r w:rsidR="00975895" w:rsidRPr="003015FD">
        <w:t xml:space="preserve"> </w:t>
      </w:r>
      <w:r w:rsidRPr="003015FD">
        <w:t>organisations</w:t>
      </w:r>
      <w:r w:rsidR="00975895" w:rsidRPr="003015FD">
        <w:t xml:space="preserve"> </w:t>
      </w:r>
      <w:r w:rsidRPr="003015FD">
        <w:t>also</w:t>
      </w:r>
      <w:r w:rsidR="00975895" w:rsidRPr="003015FD">
        <w:t xml:space="preserve"> </w:t>
      </w:r>
      <w:r w:rsidRPr="003015FD">
        <w:t>develop</w:t>
      </w:r>
      <w:r w:rsidR="00975895" w:rsidRPr="003015FD">
        <w:t xml:space="preserve"> </w:t>
      </w:r>
      <w:r w:rsidRPr="003015FD">
        <w:t>their</w:t>
      </w:r>
      <w:r w:rsidR="00975895" w:rsidRPr="003015FD">
        <w:t xml:space="preserve"> </w:t>
      </w:r>
      <w:r w:rsidRPr="003015FD">
        <w:t>own</w:t>
      </w:r>
      <w:r w:rsidR="00975895" w:rsidRPr="003015FD">
        <w:t xml:space="preserve"> </w:t>
      </w:r>
      <w:r w:rsidRPr="003015FD">
        <w:t>values</w:t>
      </w:r>
      <w:r w:rsidR="00975895" w:rsidRPr="003015FD">
        <w:t xml:space="preserve"> </w:t>
      </w:r>
      <w:r w:rsidRPr="003015FD">
        <w:t>statements,</w:t>
      </w:r>
      <w:r w:rsidR="00975895" w:rsidRPr="003015FD">
        <w:t xml:space="preserve"> </w:t>
      </w:r>
      <w:r w:rsidRPr="003015FD">
        <w:t>in</w:t>
      </w:r>
      <w:r w:rsidR="00975895" w:rsidRPr="003015FD">
        <w:t xml:space="preserve"> </w:t>
      </w:r>
      <w:r w:rsidRPr="003015FD">
        <w:t>addition</w:t>
      </w:r>
      <w:r w:rsidR="00975895" w:rsidRPr="003015FD">
        <w:t xml:space="preserve"> </w:t>
      </w:r>
      <w:r w:rsidRPr="003015FD">
        <w:t>to</w:t>
      </w:r>
      <w:r w:rsidR="00975895" w:rsidRPr="003015FD">
        <w:t xml:space="preserve"> </w:t>
      </w:r>
      <w:r w:rsidRPr="003015FD">
        <w:t>the</w:t>
      </w:r>
      <w:r w:rsidR="00975895" w:rsidRPr="003015FD">
        <w:t xml:space="preserve"> </w:t>
      </w:r>
      <w:proofErr w:type="gramStart"/>
      <w:r w:rsidRPr="003015FD">
        <w:t>public</w:t>
      </w:r>
      <w:r w:rsidR="00975895" w:rsidRPr="003015FD">
        <w:t xml:space="preserve"> </w:t>
      </w:r>
      <w:r w:rsidRPr="003015FD">
        <w:t>sector</w:t>
      </w:r>
      <w:proofErr w:type="gramEnd"/>
      <w:r w:rsidR="00975895" w:rsidRPr="003015FD">
        <w:t xml:space="preserve"> </w:t>
      </w:r>
      <w:r w:rsidRPr="003015FD">
        <w:t>values.</w:t>
      </w:r>
    </w:p>
    <w:p w14:paraId="261D704E" w14:textId="4CA3DD08" w:rsidR="008E0945" w:rsidRPr="003015FD" w:rsidRDefault="008E0945" w:rsidP="0002642E">
      <w:r w:rsidRPr="003015FD">
        <w:t>The</w:t>
      </w:r>
      <w:r w:rsidR="00975895" w:rsidRPr="003015FD">
        <w:t xml:space="preserve"> </w:t>
      </w:r>
      <w:r w:rsidRPr="003015FD">
        <w:t>Commission</w:t>
      </w:r>
      <w:r w:rsidR="00975895" w:rsidRPr="003015FD">
        <w:t xml:space="preserve"> </w:t>
      </w:r>
      <w:r w:rsidRPr="003015FD">
        <w:t>surveyed</w:t>
      </w:r>
      <w:r w:rsidR="00975895" w:rsidRPr="003015FD">
        <w:t xml:space="preserve"> </w:t>
      </w:r>
      <w:r w:rsidRPr="003015FD">
        <w:t>public</w:t>
      </w:r>
      <w:r w:rsidR="00975895" w:rsidRPr="003015FD">
        <w:t xml:space="preserve"> </w:t>
      </w:r>
      <w:r w:rsidRPr="003015FD">
        <w:t>authorities</w:t>
      </w:r>
      <w:r w:rsidR="00975895" w:rsidRPr="003015FD">
        <w:t xml:space="preserve"> </w:t>
      </w:r>
      <w:r w:rsidR="008B2BD2">
        <w:t>that</w:t>
      </w:r>
      <w:r w:rsidR="008B2BD2" w:rsidRPr="003015FD">
        <w:t xml:space="preserve"> </w:t>
      </w:r>
      <w:r w:rsidRPr="003015FD">
        <w:t>had</w:t>
      </w:r>
      <w:r w:rsidR="00975895" w:rsidRPr="003015FD">
        <w:t xml:space="preserve"> </w:t>
      </w:r>
      <w:r w:rsidRPr="003015FD">
        <w:t>their</w:t>
      </w:r>
      <w:r w:rsidR="00975895" w:rsidRPr="003015FD">
        <w:t xml:space="preserve"> </w:t>
      </w:r>
      <w:r w:rsidRPr="003015FD">
        <w:t>own</w:t>
      </w:r>
      <w:r w:rsidR="00975895" w:rsidRPr="003015FD">
        <w:t xml:space="preserve"> </w:t>
      </w:r>
      <w:r w:rsidRPr="003015FD">
        <w:t>values</w:t>
      </w:r>
      <w:r w:rsidR="00975895" w:rsidRPr="003015FD">
        <w:t xml:space="preserve"> </w:t>
      </w:r>
      <w:r w:rsidRPr="003015FD">
        <w:t>statement</w:t>
      </w:r>
      <w:r w:rsidR="008B2BD2">
        <w:t xml:space="preserve"> to see </w:t>
      </w:r>
      <w:r w:rsidRPr="003015FD">
        <w:t>whether</w:t>
      </w:r>
      <w:r w:rsidR="00975895" w:rsidRPr="003015FD">
        <w:t xml:space="preserve"> </w:t>
      </w:r>
      <w:r w:rsidRPr="003015FD">
        <w:t>they</w:t>
      </w:r>
      <w:r w:rsidR="00975895" w:rsidRPr="003015FD">
        <w:t xml:space="preserve"> </w:t>
      </w:r>
      <w:r w:rsidRPr="003015FD">
        <w:t>included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We</w:t>
      </w:r>
      <w:r w:rsidR="00975895" w:rsidRPr="003015FD">
        <w:t xml:space="preserve"> </w:t>
      </w:r>
      <w:r w:rsidRPr="003015FD">
        <w:t>found</w:t>
      </w:r>
      <w:r w:rsidR="002F3427">
        <w:t>:</w:t>
      </w:r>
    </w:p>
    <w:p w14:paraId="526A20B3" w14:textId="0EDBFA47" w:rsidR="008E0945" w:rsidRPr="003015FD" w:rsidRDefault="008E0945" w:rsidP="0002642E">
      <w:pPr>
        <w:pStyle w:val="ListBullet"/>
      </w:pPr>
      <w:r w:rsidRPr="003015FD">
        <w:t>77</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had</w:t>
      </w:r>
      <w:r w:rsidR="00975895" w:rsidRPr="003015FD">
        <w:t xml:space="preserve"> </w:t>
      </w:r>
      <w:r w:rsidRPr="003015FD">
        <w:t>human</w:t>
      </w:r>
      <w:r w:rsidR="00975895" w:rsidRPr="003015FD">
        <w:t xml:space="preserve"> </w:t>
      </w:r>
      <w:r w:rsidRPr="003015FD">
        <w:t>rights</w:t>
      </w:r>
      <w:r w:rsidR="00975895" w:rsidRPr="003015FD">
        <w:t xml:space="preserve"> </w:t>
      </w:r>
      <w:r w:rsidRPr="003015FD">
        <w:t>expressly</w:t>
      </w:r>
      <w:r w:rsidR="00975895" w:rsidRPr="003015FD">
        <w:t xml:space="preserve"> </w:t>
      </w:r>
      <w:r w:rsidRPr="003015FD">
        <w:t>incorporated</w:t>
      </w:r>
      <w:r w:rsidR="00975895" w:rsidRPr="003015FD">
        <w:t xml:space="preserve"> </w:t>
      </w:r>
      <w:r w:rsidRPr="003015FD">
        <w:t>into</w:t>
      </w:r>
      <w:r w:rsidR="00975895" w:rsidRPr="003015FD">
        <w:t xml:space="preserve"> </w:t>
      </w:r>
      <w:r w:rsidRPr="003015FD">
        <w:t>organisational</w:t>
      </w:r>
      <w:r w:rsidR="00975895" w:rsidRPr="003015FD">
        <w:t xml:space="preserve"> </w:t>
      </w:r>
      <w:r w:rsidRPr="003015FD">
        <w:t>values</w:t>
      </w:r>
    </w:p>
    <w:p w14:paraId="4C75597E" w14:textId="1AECD9ED" w:rsidR="008E0945" w:rsidRPr="003015FD" w:rsidRDefault="008E0945" w:rsidP="0002642E">
      <w:pPr>
        <w:pStyle w:val="ListBullet"/>
      </w:pPr>
      <w:r w:rsidRPr="003015FD">
        <w:t>government</w:t>
      </w:r>
      <w:r w:rsidR="00975895" w:rsidRPr="003015FD">
        <w:t xml:space="preserve"> </w:t>
      </w:r>
      <w:r w:rsidRPr="003015FD">
        <w:t>departments</w:t>
      </w:r>
      <w:r w:rsidR="00975895" w:rsidRPr="003015FD">
        <w:t xml:space="preserve"> </w:t>
      </w:r>
      <w:r w:rsidRPr="003015FD">
        <w:t>(100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(100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local</w:t>
      </w:r>
      <w:r w:rsidR="00975895" w:rsidRPr="003015FD">
        <w:t xml:space="preserve"> </w:t>
      </w:r>
      <w:r w:rsidRPr="003015FD">
        <w:t>councils</w:t>
      </w:r>
      <w:r w:rsidR="00975895" w:rsidRPr="003015FD">
        <w:t xml:space="preserve"> </w:t>
      </w:r>
      <w:r w:rsidRPr="003015FD">
        <w:t>(80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were</w:t>
      </w:r>
      <w:r w:rsidR="00975895" w:rsidRPr="003015FD">
        <w:t xml:space="preserve"> </w:t>
      </w:r>
      <w:r w:rsidRPr="003015FD">
        <w:t>much</w:t>
      </w:r>
      <w:r w:rsidR="00975895" w:rsidRPr="003015FD">
        <w:t xml:space="preserve"> </w:t>
      </w:r>
      <w:r w:rsidRPr="003015FD">
        <w:t>more</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expressly</w:t>
      </w:r>
      <w:r w:rsidR="00975895" w:rsidRPr="003015FD">
        <w:t xml:space="preserve"> </w:t>
      </w:r>
      <w:r w:rsidRPr="003015FD">
        <w:t>incorporated</w:t>
      </w:r>
    </w:p>
    <w:p w14:paraId="7726389A" w14:textId="6DD1C3EC" w:rsidR="00C21B12" w:rsidRDefault="008E0945" w:rsidP="0002642E">
      <w:pPr>
        <w:pStyle w:val="ListBullet"/>
      </w:pPr>
      <w:r w:rsidRPr="003015FD">
        <w:t>large</w:t>
      </w:r>
      <w:r w:rsidR="00975895" w:rsidRPr="003015FD">
        <w:t xml:space="preserve"> </w:t>
      </w:r>
      <w:r w:rsidRPr="003015FD">
        <w:t>agencies</w:t>
      </w:r>
      <w:r w:rsidR="00975895" w:rsidRPr="003015FD">
        <w:t xml:space="preserve"> </w:t>
      </w:r>
      <w:r w:rsidRPr="003015FD">
        <w:t>were</w:t>
      </w:r>
      <w:r w:rsidR="00975895" w:rsidRPr="003015FD">
        <w:t xml:space="preserve"> </w:t>
      </w:r>
      <w:r w:rsidRPr="003015FD">
        <w:t>less</w:t>
      </w:r>
      <w:r w:rsidR="00975895" w:rsidRPr="003015FD">
        <w:t xml:space="preserve"> </w:t>
      </w:r>
      <w:r w:rsidRPr="003015FD">
        <w:t>likely</w:t>
      </w:r>
      <w:r w:rsidR="00975895" w:rsidRPr="003015FD">
        <w:t xml:space="preserve"> </w:t>
      </w:r>
      <w:r w:rsidRPr="003015FD">
        <w:t>to</w:t>
      </w:r>
      <w:r w:rsidR="00975895" w:rsidRPr="003015FD">
        <w:t xml:space="preserve"> </w:t>
      </w:r>
      <w:r w:rsidRPr="003015FD">
        <w:t>include</w:t>
      </w:r>
      <w:r w:rsidR="00975895" w:rsidRPr="003015FD">
        <w:t xml:space="preserve"> </w:t>
      </w:r>
      <w:r w:rsidRPr="003015FD">
        <w:t>human</w:t>
      </w:r>
      <w:r w:rsidR="00975895" w:rsidRPr="003015FD">
        <w:t xml:space="preserve"> </w:t>
      </w:r>
      <w:r w:rsidRPr="003015FD">
        <w:t>rights</w:t>
      </w:r>
      <w:r w:rsidR="00975895" w:rsidRPr="003015FD">
        <w:t xml:space="preserve"> </w:t>
      </w:r>
      <w:r w:rsidRPr="003015FD">
        <w:t>(33</w:t>
      </w:r>
      <w:r w:rsidR="00975895" w:rsidRPr="003015FD">
        <w:t xml:space="preserve"> </w:t>
      </w:r>
      <w:r w:rsidR="000B73B9" w:rsidRPr="003015FD">
        <w:t>per</w:t>
      </w:r>
      <w:r w:rsidR="00975895" w:rsidRPr="003015FD">
        <w:t xml:space="preserve"> </w:t>
      </w:r>
      <w:r w:rsidR="000B73B9" w:rsidRPr="003015FD">
        <w:t>cent</w:t>
      </w:r>
      <w:r w:rsidRPr="003015FD">
        <w:t>)</w:t>
      </w:r>
      <w:r w:rsidR="001706A9">
        <w:t>.</w:t>
      </w:r>
    </w:p>
    <w:p w14:paraId="5FB127A6" w14:textId="6C6545A2" w:rsidR="008E0945" w:rsidRPr="003015FD" w:rsidRDefault="008E0945" w:rsidP="00B416CB">
      <w:pPr>
        <w:pStyle w:val="Heading4"/>
      </w:pPr>
      <w:r w:rsidRPr="003015FD">
        <w:lastRenderedPageBreak/>
        <w:t>C.</w:t>
      </w:r>
      <w:r w:rsidR="00975895" w:rsidRPr="003015FD">
        <w:t xml:space="preserve"> </w:t>
      </w:r>
      <w:r w:rsidRPr="003015FD">
        <w:t>Diversity</w:t>
      </w:r>
      <w:r w:rsidR="00975895" w:rsidRPr="003015FD">
        <w:t xml:space="preserve"> </w:t>
      </w:r>
      <w:r w:rsidRPr="003015FD">
        <w:t>and</w:t>
      </w:r>
      <w:r w:rsidR="00975895" w:rsidRPr="003015FD">
        <w:t xml:space="preserve"> </w:t>
      </w:r>
      <w:r w:rsidRPr="003015FD">
        <w:t>inclusion</w:t>
      </w:r>
      <w:r w:rsidR="00975895" w:rsidRPr="003015FD">
        <w:t xml:space="preserve"> </w:t>
      </w:r>
      <w:r w:rsidRPr="003015FD">
        <w:t>plan</w:t>
      </w:r>
    </w:p>
    <w:p w14:paraId="2A4AFE19" w14:textId="1ECF4E8C" w:rsidR="008E0945" w:rsidRPr="003015FD" w:rsidRDefault="008E0945" w:rsidP="001D418D">
      <w:bookmarkStart w:id="68" w:name="_Hlk11240463"/>
      <w:r w:rsidRPr="003015FD">
        <w:t>Most</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(89</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had</w:t>
      </w:r>
      <w:r w:rsidR="00975895" w:rsidRPr="003015FD">
        <w:t xml:space="preserve"> </w:t>
      </w:r>
      <w:r w:rsidRPr="003015FD">
        <w:t>a</w:t>
      </w:r>
      <w:r w:rsidR="00975895" w:rsidRPr="003015FD">
        <w:t xml:space="preserve"> </w:t>
      </w:r>
      <w:r w:rsidRPr="003015FD">
        <w:t>diversity</w:t>
      </w:r>
      <w:r w:rsidR="00975895" w:rsidRPr="003015FD">
        <w:t xml:space="preserve"> </w:t>
      </w:r>
      <w:r w:rsidRPr="003015FD">
        <w:t>and</w:t>
      </w:r>
      <w:r w:rsidR="00975895" w:rsidRPr="003015FD">
        <w:t xml:space="preserve"> </w:t>
      </w:r>
      <w:r w:rsidRPr="003015FD">
        <w:t>inclusion</w:t>
      </w:r>
      <w:r w:rsidR="00975895" w:rsidRPr="003015FD">
        <w:t xml:space="preserve"> </w:t>
      </w:r>
      <w:r w:rsidRPr="003015FD">
        <w:t>action</w:t>
      </w:r>
      <w:r w:rsidR="00975895" w:rsidRPr="003015FD">
        <w:t xml:space="preserve"> </w:t>
      </w:r>
      <w:r w:rsidRPr="003015FD">
        <w:t>plan</w:t>
      </w:r>
      <w:r w:rsidR="00975895" w:rsidRPr="003015FD">
        <w:t xml:space="preserve"> </w:t>
      </w:r>
      <w:r w:rsidRPr="003015FD">
        <w:t>that</w:t>
      </w:r>
      <w:r w:rsidR="00975895" w:rsidRPr="003015FD">
        <w:t xml:space="preserve"> </w:t>
      </w:r>
      <w:r w:rsidRPr="003015FD">
        <w:t>was</w:t>
      </w:r>
      <w:r w:rsidR="00975895" w:rsidRPr="003015FD">
        <w:t xml:space="preserve"> </w:t>
      </w:r>
      <w:r w:rsidRPr="003015FD">
        <w:t>internally</w:t>
      </w:r>
      <w:r w:rsidR="00975895" w:rsidRPr="003015FD">
        <w:t xml:space="preserve"> </w:t>
      </w:r>
      <w:r w:rsidRPr="003015FD">
        <w:t>available</w:t>
      </w:r>
      <w:r w:rsidR="003E07DC">
        <w:t xml:space="preserve">, which </w:t>
      </w:r>
      <w:r w:rsidR="003B428A">
        <w:t>can positively influence the attitudes and values</w:t>
      </w:r>
      <w:r w:rsidR="003E07DC">
        <w:t xml:space="preserve"> of </w:t>
      </w:r>
      <w:r w:rsidR="003B428A">
        <w:t>staff</w:t>
      </w:r>
      <w:r w:rsidRPr="003015FD">
        <w:t>.</w:t>
      </w:r>
      <w:r w:rsidR="00975895" w:rsidRPr="003015FD">
        <w:t xml:space="preserve"> </w:t>
      </w:r>
      <w:bookmarkEnd w:id="68"/>
      <w:r w:rsidRPr="003015FD">
        <w:t>Local</w:t>
      </w:r>
      <w:r w:rsidR="00975895" w:rsidRPr="003015FD">
        <w:t xml:space="preserve"> </w:t>
      </w:r>
      <w:r w:rsidRPr="003015FD">
        <w:t>councils</w:t>
      </w:r>
      <w:r w:rsidR="00975895" w:rsidRPr="003015FD">
        <w:t xml:space="preserve"> </w:t>
      </w:r>
      <w:r w:rsidRPr="003015FD">
        <w:t>(100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(100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were</w:t>
      </w:r>
      <w:r w:rsidR="00975895" w:rsidRPr="003015FD">
        <w:t xml:space="preserve"> </w:t>
      </w:r>
      <w:r w:rsidRPr="003015FD">
        <w:t>slightly</w:t>
      </w:r>
      <w:r w:rsidR="00975895" w:rsidRPr="003015FD">
        <w:t xml:space="preserve"> </w:t>
      </w:r>
      <w:r w:rsidRPr="003015FD">
        <w:t>more</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an</w:t>
      </w:r>
      <w:r w:rsidR="00975895" w:rsidRPr="003015FD">
        <w:t xml:space="preserve"> </w:t>
      </w:r>
      <w:r w:rsidRPr="003015FD">
        <w:t>action</w:t>
      </w:r>
      <w:r w:rsidR="00975895" w:rsidRPr="003015FD">
        <w:t xml:space="preserve"> </w:t>
      </w:r>
      <w:r w:rsidRPr="003015FD">
        <w:t>plan</w:t>
      </w:r>
      <w:r w:rsidR="00975895" w:rsidRPr="003015FD">
        <w:t xml:space="preserve"> </w:t>
      </w:r>
      <w:r w:rsidRPr="003015FD">
        <w:t>compared</w:t>
      </w:r>
      <w:r w:rsidR="00975895" w:rsidRPr="003015FD">
        <w:t xml:space="preserve"> </w:t>
      </w:r>
      <w:r w:rsidRPr="003015FD">
        <w:t>to</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(80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large</w:t>
      </w:r>
      <w:r w:rsidR="00975895" w:rsidRPr="003015FD">
        <w:t xml:space="preserve"> </w:t>
      </w:r>
      <w:r w:rsidRPr="003015FD">
        <w:t>agencies</w:t>
      </w:r>
      <w:r w:rsidR="00975895" w:rsidRPr="003015FD">
        <w:t xml:space="preserve"> </w:t>
      </w:r>
      <w:r w:rsidRPr="003015FD">
        <w:t>(75</w:t>
      </w:r>
      <w:r w:rsidR="00975895" w:rsidRPr="003015FD">
        <w:t xml:space="preserve"> </w:t>
      </w:r>
      <w:r w:rsidR="000B73B9" w:rsidRPr="003015FD">
        <w:t>per</w:t>
      </w:r>
      <w:r w:rsidR="00975895" w:rsidRPr="003015FD">
        <w:t xml:space="preserve"> </w:t>
      </w:r>
      <w:r w:rsidR="000B73B9" w:rsidRPr="003015FD">
        <w:t>cent</w:t>
      </w:r>
      <w:r w:rsidRPr="003015FD">
        <w:t>).</w:t>
      </w:r>
    </w:p>
    <w:p w14:paraId="1A02C30D" w14:textId="12051785" w:rsidR="008E0945" w:rsidRPr="003015FD" w:rsidRDefault="008E0945" w:rsidP="001D418D">
      <w:r w:rsidRPr="003015FD">
        <w:t>Public</w:t>
      </w:r>
      <w:r w:rsidR="00975895" w:rsidRPr="003015FD">
        <w:t xml:space="preserve"> </w:t>
      </w:r>
      <w:r w:rsidRPr="003015FD">
        <w:t>authorities</w:t>
      </w:r>
      <w:r w:rsidR="00975895" w:rsidRPr="003015FD">
        <w:t xml:space="preserve"> </w:t>
      </w:r>
      <w:r w:rsidRPr="003015FD">
        <w:t>had</w:t>
      </w:r>
      <w:r w:rsidR="00975895" w:rsidRPr="003015FD">
        <w:t xml:space="preserve"> </w:t>
      </w:r>
      <w:r w:rsidRPr="003015FD">
        <w:t>developed</w:t>
      </w:r>
      <w:r w:rsidR="00975895" w:rsidRPr="003015FD">
        <w:t xml:space="preserve"> </w:t>
      </w:r>
      <w:r w:rsidRPr="003015FD">
        <w:t>a</w:t>
      </w:r>
      <w:r w:rsidR="00975895" w:rsidRPr="003015FD">
        <w:t xml:space="preserve"> </w:t>
      </w:r>
      <w:r w:rsidRPr="003015FD">
        <w:t>range</w:t>
      </w:r>
      <w:r w:rsidR="00975895" w:rsidRPr="003015FD">
        <w:t xml:space="preserve"> </w:t>
      </w:r>
      <w:r w:rsidRPr="003015FD">
        <w:t>of</w:t>
      </w:r>
      <w:r w:rsidR="00975895" w:rsidRPr="003015FD">
        <w:t xml:space="preserve"> </w:t>
      </w:r>
      <w:r w:rsidRPr="003015FD">
        <w:t>diversity</w:t>
      </w:r>
      <w:r w:rsidR="00975895" w:rsidRPr="003015FD">
        <w:t xml:space="preserve"> </w:t>
      </w:r>
      <w:r w:rsidRPr="003015FD">
        <w:t>and</w:t>
      </w:r>
      <w:r w:rsidR="00975895" w:rsidRPr="003015FD">
        <w:t xml:space="preserve"> </w:t>
      </w:r>
      <w:r w:rsidRPr="003015FD">
        <w:t>inclusion</w:t>
      </w:r>
      <w:r w:rsidR="00975895" w:rsidRPr="003015FD">
        <w:t xml:space="preserve"> </w:t>
      </w:r>
      <w:r w:rsidRPr="003015FD">
        <w:t>plans,</w:t>
      </w:r>
      <w:r w:rsidR="00975895" w:rsidRPr="003015FD">
        <w:t xml:space="preserve"> </w:t>
      </w:r>
      <w:r w:rsidRPr="003015FD">
        <w:t>primarily:</w:t>
      </w:r>
    </w:p>
    <w:p w14:paraId="77018583" w14:textId="2C30B633" w:rsidR="008E0945" w:rsidRPr="003015FD" w:rsidRDefault="008E0945" w:rsidP="001D418D">
      <w:pPr>
        <w:pStyle w:val="ListBullet"/>
      </w:pPr>
      <w:r w:rsidRPr="003015FD">
        <w:t>Aboriginal</w:t>
      </w:r>
      <w:r w:rsidR="00975895" w:rsidRPr="003015FD">
        <w:t xml:space="preserve"> </w:t>
      </w:r>
      <w:r w:rsidRPr="003015FD">
        <w:t>or</w:t>
      </w:r>
      <w:r w:rsidR="00975895" w:rsidRPr="003015FD">
        <w:t xml:space="preserve"> </w:t>
      </w:r>
      <w:r w:rsidRPr="003015FD">
        <w:t>reconciliation</w:t>
      </w:r>
      <w:r w:rsidR="00975895" w:rsidRPr="003015FD">
        <w:t xml:space="preserve"> </w:t>
      </w:r>
      <w:r w:rsidRPr="003015FD">
        <w:t>action</w:t>
      </w:r>
      <w:r w:rsidR="00975895" w:rsidRPr="003015FD">
        <w:t xml:space="preserve"> </w:t>
      </w:r>
      <w:r w:rsidRPr="003015FD">
        <w:t>plans</w:t>
      </w:r>
    </w:p>
    <w:p w14:paraId="106BF0D9" w14:textId="55414F8D" w:rsidR="008E0945" w:rsidRPr="003015FD" w:rsidRDefault="008E0945" w:rsidP="001D418D">
      <w:pPr>
        <w:pStyle w:val="ListBullet"/>
      </w:pPr>
      <w:r w:rsidRPr="003015FD">
        <w:t>disability</w:t>
      </w:r>
      <w:r w:rsidR="00975895" w:rsidRPr="003015FD">
        <w:t xml:space="preserve"> </w:t>
      </w:r>
      <w:r w:rsidRPr="003015FD">
        <w:t>action</w:t>
      </w:r>
      <w:r w:rsidR="00975895" w:rsidRPr="003015FD">
        <w:t xml:space="preserve"> </w:t>
      </w:r>
      <w:r w:rsidRPr="003015FD">
        <w:t>plans</w:t>
      </w:r>
      <w:r w:rsidR="00975895" w:rsidRPr="003015FD">
        <w:t xml:space="preserve"> </w:t>
      </w:r>
    </w:p>
    <w:p w14:paraId="18036ADC" w14:textId="719CC325" w:rsidR="008E0945" w:rsidRPr="003015FD" w:rsidRDefault="008E0945" w:rsidP="001D418D">
      <w:pPr>
        <w:pStyle w:val="ListBullet"/>
      </w:pPr>
      <w:r w:rsidRPr="003015FD">
        <w:t>LGBTI</w:t>
      </w:r>
      <w:r w:rsidR="00975895" w:rsidRPr="003015FD">
        <w:t xml:space="preserve"> </w:t>
      </w:r>
      <w:r w:rsidRPr="003015FD">
        <w:t>action</w:t>
      </w:r>
      <w:r w:rsidR="00975895" w:rsidRPr="003015FD">
        <w:t xml:space="preserve"> </w:t>
      </w:r>
      <w:r w:rsidRPr="003015FD">
        <w:t>plans</w:t>
      </w:r>
    </w:p>
    <w:p w14:paraId="56272BF9" w14:textId="609FF9E1" w:rsidR="008E0945" w:rsidRPr="003015FD" w:rsidRDefault="008E0945" w:rsidP="001D418D">
      <w:pPr>
        <w:pStyle w:val="ListBullet"/>
      </w:pPr>
      <w:r w:rsidRPr="003015FD">
        <w:t>multicultural</w:t>
      </w:r>
      <w:r w:rsidR="00975895" w:rsidRPr="003015FD">
        <w:t xml:space="preserve"> </w:t>
      </w:r>
      <w:r w:rsidRPr="003015FD">
        <w:t>or</w:t>
      </w:r>
      <w:r w:rsidR="00975895" w:rsidRPr="003015FD">
        <w:t xml:space="preserve"> </w:t>
      </w:r>
      <w:r w:rsidRPr="003015FD">
        <w:t>cultural</w:t>
      </w:r>
      <w:r w:rsidR="00975895" w:rsidRPr="003015FD">
        <w:t xml:space="preserve"> </w:t>
      </w:r>
      <w:r w:rsidRPr="003015FD">
        <w:t>diversity</w:t>
      </w:r>
      <w:r w:rsidR="00975895" w:rsidRPr="003015FD">
        <w:t xml:space="preserve"> </w:t>
      </w:r>
      <w:r w:rsidRPr="003015FD">
        <w:t>action</w:t>
      </w:r>
      <w:r w:rsidR="00975895" w:rsidRPr="003015FD">
        <w:t xml:space="preserve"> </w:t>
      </w:r>
      <w:r w:rsidRPr="003015FD">
        <w:t>plans</w:t>
      </w:r>
    </w:p>
    <w:p w14:paraId="7FC2285A" w14:textId="536B1B3E" w:rsidR="00C21B12" w:rsidRDefault="008E0945" w:rsidP="001D418D">
      <w:pPr>
        <w:pStyle w:val="ListBullet"/>
      </w:pPr>
      <w:r w:rsidRPr="003015FD">
        <w:t>gender</w:t>
      </w:r>
      <w:r w:rsidR="00975895" w:rsidRPr="003015FD">
        <w:t xml:space="preserve"> </w:t>
      </w:r>
      <w:r w:rsidRPr="003015FD">
        <w:t>equity</w:t>
      </w:r>
      <w:r w:rsidR="00975895" w:rsidRPr="003015FD">
        <w:t xml:space="preserve"> </w:t>
      </w:r>
      <w:r w:rsidRPr="003015FD">
        <w:t>action</w:t>
      </w:r>
      <w:r w:rsidR="00975895" w:rsidRPr="003015FD">
        <w:t xml:space="preserve"> </w:t>
      </w:r>
      <w:r w:rsidRPr="003015FD">
        <w:t>plans.</w:t>
      </w:r>
    </w:p>
    <w:p w14:paraId="25FD1446" w14:textId="686407CE" w:rsidR="008E0945" w:rsidRPr="003015FD" w:rsidRDefault="008E0945" w:rsidP="001D418D">
      <w:pPr>
        <w:pStyle w:val="Heading4"/>
      </w:pPr>
      <w:r w:rsidRPr="003015FD">
        <w:t>D.</w:t>
      </w:r>
      <w:r w:rsidR="00975895" w:rsidRPr="003015FD">
        <w:t xml:space="preserve"> </w:t>
      </w:r>
      <w:r w:rsidRPr="003015FD">
        <w:t>Attitudes</w:t>
      </w:r>
      <w:r w:rsidR="00975895" w:rsidRPr="003015FD">
        <w:t xml:space="preserve"> </w:t>
      </w:r>
      <w:r w:rsidRPr="003015FD">
        <w:t>and</w:t>
      </w:r>
      <w:r w:rsidR="00975895" w:rsidRPr="003015FD">
        <w:t xml:space="preserve"> </w:t>
      </w:r>
      <w:r w:rsidRPr="003015FD">
        <w:t>values</w:t>
      </w:r>
      <w:r w:rsidR="00975895" w:rsidRPr="003015FD">
        <w:t xml:space="preserve"> </w:t>
      </w:r>
      <w:r w:rsidRPr="003015FD">
        <w:t>of</w:t>
      </w:r>
      <w:r w:rsidR="00975895" w:rsidRPr="003015FD">
        <w:t xml:space="preserve"> </w:t>
      </w:r>
      <w:r w:rsidRPr="003015FD">
        <w:t>employees</w:t>
      </w:r>
      <w:r w:rsidR="00975895" w:rsidRPr="003015FD">
        <w:t xml:space="preserve"> </w:t>
      </w:r>
      <w:r w:rsidRPr="003015FD">
        <w:t>according</w:t>
      </w:r>
      <w:r w:rsidR="00975895" w:rsidRPr="003015FD">
        <w:t xml:space="preserve"> </w:t>
      </w:r>
      <w:r w:rsidRPr="003015FD">
        <w:t>to</w:t>
      </w:r>
      <w:r w:rsidR="00975895" w:rsidRPr="003015FD">
        <w:t xml:space="preserve"> </w:t>
      </w:r>
      <w:r w:rsidRPr="003015FD">
        <w:t>the</w:t>
      </w:r>
      <w:r w:rsidR="00975895" w:rsidRPr="003015FD">
        <w:t xml:space="preserve"> </w:t>
      </w:r>
      <w:r w:rsidRPr="003015FD">
        <w:t>People</w:t>
      </w:r>
      <w:r w:rsidR="00975895" w:rsidRPr="003015FD">
        <w:t xml:space="preserve"> </w:t>
      </w:r>
      <w:r w:rsidRPr="003015FD">
        <w:t>Matter</w:t>
      </w:r>
      <w:r w:rsidR="00975895" w:rsidRPr="003015FD">
        <w:t xml:space="preserve"> </w:t>
      </w:r>
      <w:r w:rsidRPr="003015FD">
        <w:t>Survey</w:t>
      </w:r>
    </w:p>
    <w:p w14:paraId="78FF8B3B" w14:textId="41C2D15F" w:rsidR="008E0945" w:rsidRPr="003015FD" w:rsidRDefault="008E0945" w:rsidP="001D418D">
      <w:r w:rsidRPr="003015FD">
        <w:t>The</w:t>
      </w:r>
      <w:r w:rsidR="00975895" w:rsidRPr="003015FD">
        <w:t xml:space="preserve"> </w:t>
      </w:r>
      <w:r w:rsidRPr="003015FD">
        <w:t>framework</w:t>
      </w:r>
      <w:r w:rsidR="00975895" w:rsidRPr="003015FD">
        <w:t xml:space="preserve"> </w:t>
      </w:r>
      <w:r w:rsidRPr="003015FD">
        <w:t>also</w:t>
      </w:r>
      <w:r w:rsidR="00975895" w:rsidRPr="003015FD">
        <w:t xml:space="preserve"> </w:t>
      </w:r>
      <w:r w:rsidRPr="003015FD">
        <w:t>uses</w:t>
      </w:r>
      <w:r w:rsidR="00975895" w:rsidRPr="003015FD">
        <w:t xml:space="preserve"> </w:t>
      </w:r>
      <w:r w:rsidRPr="003015FD">
        <w:t>responses</w:t>
      </w:r>
      <w:r w:rsidR="00975895" w:rsidRPr="003015FD">
        <w:t xml:space="preserve"> </w:t>
      </w:r>
      <w:r w:rsidRPr="003015FD">
        <w:t>to</w:t>
      </w:r>
      <w:r w:rsidR="00975895" w:rsidRPr="003015FD">
        <w:t xml:space="preserve"> </w:t>
      </w:r>
      <w:r w:rsidRPr="003015FD">
        <w:t>the</w:t>
      </w:r>
      <w:r w:rsidR="00975895" w:rsidRPr="003015FD">
        <w:t xml:space="preserve"> </w:t>
      </w:r>
      <w:r w:rsidRPr="003015FD">
        <w:t>following</w:t>
      </w:r>
      <w:r w:rsidR="00975895" w:rsidRPr="003015FD">
        <w:t xml:space="preserve"> </w:t>
      </w:r>
      <w:r w:rsidRPr="003015FD">
        <w:t>statements</w:t>
      </w:r>
      <w:r w:rsidR="00975895" w:rsidRPr="003015FD">
        <w:t xml:space="preserve"> </w:t>
      </w:r>
      <w:r w:rsidRPr="003015FD">
        <w:t>in</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Commission</w:t>
      </w:r>
      <w:r w:rsidR="000C5726">
        <w:t>'</w:t>
      </w:r>
      <w:r w:rsidRPr="003015FD">
        <w:t>s</w:t>
      </w:r>
      <w:r w:rsidR="00975895" w:rsidRPr="003015FD">
        <w:t xml:space="preserve"> </w:t>
      </w:r>
      <w:r w:rsidRPr="003015FD">
        <w:t>People</w:t>
      </w:r>
      <w:r w:rsidR="00975895" w:rsidRPr="003015FD">
        <w:t xml:space="preserve"> </w:t>
      </w:r>
      <w:r w:rsidRPr="003015FD">
        <w:t>Matter</w:t>
      </w:r>
      <w:r w:rsidR="00975895" w:rsidRPr="003015FD">
        <w:t xml:space="preserve"> </w:t>
      </w:r>
      <w:r w:rsidRPr="003015FD">
        <w:t>Survey</w:t>
      </w:r>
      <w:r w:rsidR="003015FD">
        <w:t xml:space="preserve"> </w:t>
      </w:r>
      <w:r w:rsidR="003015FD" w:rsidRPr="003015FD">
        <w:t>as a measure</w:t>
      </w:r>
      <w:r w:rsidRPr="003015FD">
        <w:t>.</w:t>
      </w:r>
      <w:r w:rsidR="00975895" w:rsidRPr="003015FD">
        <w:t xml:space="preserve"> </w:t>
      </w:r>
      <w:r w:rsidRPr="003015FD">
        <w:t>Responses</w:t>
      </w:r>
      <w:r w:rsidR="00975895" w:rsidRPr="003015FD">
        <w:t xml:space="preserve"> </w:t>
      </w:r>
      <w:r w:rsidRPr="003015FD">
        <w:t>from</w:t>
      </w:r>
      <w:r w:rsidR="00975895" w:rsidRPr="003015FD">
        <w:t xml:space="preserve"> </w:t>
      </w:r>
      <w:r w:rsidRPr="003015FD">
        <w:t>pilot</w:t>
      </w:r>
      <w:r w:rsidR="00975895" w:rsidRPr="003015FD">
        <w:t xml:space="preserve"> </w:t>
      </w:r>
      <w:r w:rsidRPr="003015FD">
        <w:t>participants</w:t>
      </w:r>
      <w:r w:rsidR="00975895" w:rsidRPr="003015FD">
        <w:t xml:space="preserve"> </w:t>
      </w:r>
      <w:r w:rsidR="003B428A">
        <w:t>were</w:t>
      </w:r>
      <w:r w:rsidR="00975895" w:rsidRPr="003015FD">
        <w:t xml:space="preserve"> </w:t>
      </w:r>
      <w:r w:rsidRPr="003015FD">
        <w:t>generally</w:t>
      </w:r>
      <w:r w:rsidR="00975895" w:rsidRPr="003015FD">
        <w:t xml:space="preserve"> </w:t>
      </w:r>
      <w:r w:rsidRPr="003015FD">
        <w:t>in</w:t>
      </w:r>
      <w:r w:rsidR="00975895" w:rsidRPr="003015FD">
        <w:t xml:space="preserve"> </w:t>
      </w:r>
      <w:r w:rsidRPr="003015FD">
        <w:t>line</w:t>
      </w:r>
      <w:r w:rsidR="00975895" w:rsidRPr="003015FD">
        <w:t xml:space="preserve"> </w:t>
      </w:r>
      <w:r w:rsidRPr="003015FD">
        <w:t>with</w:t>
      </w:r>
      <w:r w:rsidR="00975895" w:rsidRPr="003015FD">
        <w:t xml:space="preserve"> </w:t>
      </w:r>
      <w:r w:rsidRPr="003015FD">
        <w:t>responses</w:t>
      </w:r>
      <w:r w:rsidR="00975895" w:rsidRPr="003015FD">
        <w:t xml:space="preserve"> </w:t>
      </w:r>
      <w:r w:rsidRPr="003015FD">
        <w:t>throughout</w:t>
      </w:r>
      <w:r w:rsidR="00975895" w:rsidRPr="003015FD">
        <w:t xml:space="preserve"> </w:t>
      </w:r>
      <w:r w:rsidRPr="003015FD">
        <w:t>the</w:t>
      </w:r>
      <w:r w:rsidR="00975895" w:rsidRPr="003015FD">
        <w:t xml:space="preserve"> </w:t>
      </w:r>
      <w:r w:rsidRPr="003015FD">
        <w:t>public</w:t>
      </w:r>
      <w:r w:rsidR="00975895" w:rsidRPr="003015FD">
        <w:t xml:space="preserve"> </w:t>
      </w:r>
      <w:r w:rsidRPr="003015FD">
        <w:t>sector:</w:t>
      </w:r>
    </w:p>
    <w:p w14:paraId="7E8D5369" w14:textId="64CF7712" w:rsidR="008E0945" w:rsidRPr="003015FD" w:rsidRDefault="000C5726" w:rsidP="001D418D">
      <w:pPr>
        <w:pStyle w:val="ListBullet"/>
      </w:pPr>
      <w:r>
        <w:t>"</w:t>
      </w:r>
      <w:r w:rsidR="002212AE">
        <w:t>I</w:t>
      </w:r>
      <w:r w:rsidR="008E0945" w:rsidRPr="003015FD">
        <w:t>n</w:t>
      </w:r>
      <w:r w:rsidR="00975895" w:rsidRPr="003015FD">
        <w:t xml:space="preserve"> </w:t>
      </w:r>
      <w:r w:rsidR="008E0945" w:rsidRPr="003015FD">
        <w:t>my</w:t>
      </w:r>
      <w:r w:rsidR="00975895" w:rsidRPr="003015FD">
        <w:t xml:space="preserve"> </w:t>
      </w:r>
      <w:r w:rsidR="008E0945" w:rsidRPr="003015FD">
        <w:t>workgroup,</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are</w:t>
      </w:r>
      <w:r w:rsidR="00975895" w:rsidRPr="003015FD">
        <w:t xml:space="preserve"> </w:t>
      </w:r>
      <w:r w:rsidR="008E0945" w:rsidRPr="003015FD">
        <w:t>valued</w:t>
      </w:r>
      <w:r>
        <w:t>"</w:t>
      </w:r>
      <w:r w:rsidR="00975895" w:rsidRPr="003015FD">
        <w:t xml:space="preserve"> </w:t>
      </w:r>
      <w:r w:rsidR="008E0945" w:rsidRPr="003015FD">
        <w:t>(83</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008E0945" w:rsidRPr="003015FD">
        <w:t>agreed</w:t>
      </w:r>
      <w:r w:rsidR="00975895" w:rsidRPr="003015FD">
        <w:t xml:space="preserve"> </w:t>
      </w:r>
      <w:r w:rsidR="008E0945" w:rsidRPr="003015FD">
        <w:t>across</w:t>
      </w:r>
      <w:r w:rsidR="00975895" w:rsidRPr="003015FD">
        <w:t xml:space="preserve"> </w:t>
      </w:r>
      <w:r w:rsidR="008E0945" w:rsidRPr="003015FD">
        <w:t>the</w:t>
      </w:r>
      <w:r w:rsidR="00975895" w:rsidRPr="003015FD">
        <w:t xml:space="preserve"> </w:t>
      </w:r>
      <w:r w:rsidR="008E0945" w:rsidRPr="003015FD">
        <w:t>whole</w:t>
      </w:r>
      <w:r w:rsidR="00975895" w:rsidRPr="003015FD">
        <w:t xml:space="preserve"> </w:t>
      </w:r>
      <w:r w:rsidR="008E0945" w:rsidRPr="003015FD">
        <w:t>Victorian</w:t>
      </w:r>
      <w:r w:rsidR="00975895" w:rsidRPr="003015FD">
        <w:t xml:space="preserve"> </w:t>
      </w:r>
      <w:r w:rsidR="008E0945" w:rsidRPr="003015FD">
        <w:t>public</w:t>
      </w:r>
      <w:r w:rsidR="00975895" w:rsidRPr="003015FD">
        <w:t xml:space="preserve"> </w:t>
      </w:r>
      <w:r w:rsidR="008E0945" w:rsidRPr="003015FD">
        <w:t>sector</w:t>
      </w:r>
      <w:bookmarkStart w:id="69" w:name="_Hlk11317847"/>
      <w:r w:rsidR="008E0945" w:rsidRPr="003015FD">
        <w:t>,</w:t>
      </w:r>
      <w:r w:rsidR="00975895" w:rsidRPr="003015FD">
        <w:t xml:space="preserve"> </w:t>
      </w:r>
      <w:r w:rsidR="008E0945" w:rsidRPr="003015FD">
        <w:t>up</w:t>
      </w:r>
      <w:r w:rsidR="00975895" w:rsidRPr="003015FD">
        <w:t xml:space="preserve"> </w:t>
      </w:r>
      <w:r w:rsidR="008E0945" w:rsidRPr="003015FD">
        <w:t>from</w:t>
      </w:r>
      <w:r w:rsidR="00975895" w:rsidRPr="003015FD">
        <w:t xml:space="preserve"> </w:t>
      </w:r>
      <w:r w:rsidR="008E0945" w:rsidRPr="003015FD">
        <w:t>80</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008E0945" w:rsidRPr="003015FD">
        <w:t>in</w:t>
      </w:r>
      <w:r w:rsidR="00975895" w:rsidRPr="003015FD">
        <w:t xml:space="preserve"> </w:t>
      </w:r>
      <w:r w:rsidR="008E0945" w:rsidRPr="003015FD">
        <w:t>2017</w:t>
      </w:r>
      <w:r w:rsidR="00975895" w:rsidRPr="003015FD">
        <w:t xml:space="preserve"> </w:t>
      </w:r>
      <w:r w:rsidR="008E0945" w:rsidRPr="003015FD">
        <w:t>and</w:t>
      </w:r>
      <w:r w:rsidR="00975895" w:rsidRPr="003015FD">
        <w:t xml:space="preserve"> </w:t>
      </w:r>
      <w:r w:rsidR="008E0945" w:rsidRPr="003015FD">
        <w:t>79</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008E0945" w:rsidRPr="003015FD">
        <w:t>in</w:t>
      </w:r>
      <w:r w:rsidR="00975895" w:rsidRPr="003015FD">
        <w:t xml:space="preserve"> </w:t>
      </w:r>
      <w:r w:rsidR="008E0945" w:rsidRPr="003015FD">
        <w:t>2016</w:t>
      </w:r>
      <w:bookmarkEnd w:id="69"/>
      <w:r w:rsidR="008E0945" w:rsidRPr="003015FD">
        <w:t>)</w:t>
      </w:r>
      <w:r w:rsidR="001706A9">
        <w:t>.</w:t>
      </w:r>
    </w:p>
    <w:p w14:paraId="0EC5E273" w14:textId="21410348" w:rsidR="008E0945" w:rsidRPr="003015FD" w:rsidRDefault="000C5726" w:rsidP="001D418D">
      <w:pPr>
        <w:pStyle w:val="ListBullet"/>
      </w:pPr>
      <w:r>
        <w:t>"</w:t>
      </w:r>
      <w:r w:rsidR="002212AE">
        <w:t>M</w:t>
      </w:r>
      <w:r w:rsidR="008E0945" w:rsidRPr="003015FD">
        <w:t>y</w:t>
      </w:r>
      <w:r w:rsidR="00975895" w:rsidRPr="003015FD">
        <w:t xml:space="preserve"> </w:t>
      </w:r>
      <w:r w:rsidR="008E0945" w:rsidRPr="003015FD">
        <w:t>organisation</w:t>
      </w:r>
      <w:r w:rsidR="00975895" w:rsidRPr="003015FD">
        <w:t xml:space="preserve"> </w:t>
      </w:r>
      <w:r w:rsidR="008E0945" w:rsidRPr="003015FD">
        <w:t>encourages</w:t>
      </w:r>
      <w:r w:rsidR="00975895" w:rsidRPr="003015FD">
        <w:t xml:space="preserve"> </w:t>
      </w:r>
      <w:r w:rsidR="008E0945" w:rsidRPr="003015FD">
        <w:t>employees</w:t>
      </w:r>
      <w:r w:rsidR="00975895" w:rsidRPr="003015FD">
        <w:t xml:space="preserve"> </w:t>
      </w:r>
      <w:r w:rsidR="008E0945" w:rsidRPr="003015FD">
        <w:t>to</w:t>
      </w:r>
      <w:r w:rsidR="00975895" w:rsidRPr="003015FD">
        <w:t xml:space="preserve"> </w:t>
      </w:r>
      <w:r w:rsidR="008E0945" w:rsidRPr="003015FD">
        <w:t>act</w:t>
      </w:r>
      <w:r w:rsidR="00975895" w:rsidRPr="003015FD">
        <w:t xml:space="preserve"> </w:t>
      </w:r>
      <w:r w:rsidR="008E0945" w:rsidRPr="003015FD">
        <w:t>in</w:t>
      </w:r>
      <w:r w:rsidR="00975895" w:rsidRPr="003015FD">
        <w:t xml:space="preserve"> </w:t>
      </w:r>
      <w:r w:rsidR="008E0945" w:rsidRPr="003015FD">
        <w:t>ways</w:t>
      </w:r>
      <w:r w:rsidR="00975895" w:rsidRPr="003015FD">
        <w:t xml:space="preserve"> </w:t>
      </w:r>
      <w:r w:rsidR="008E0945" w:rsidRPr="003015FD">
        <w:t>that</w:t>
      </w:r>
      <w:r w:rsidR="00975895" w:rsidRPr="003015FD">
        <w:t xml:space="preserve"> </w:t>
      </w:r>
      <w:r w:rsidR="008E0945" w:rsidRPr="003015FD">
        <w:t>are</w:t>
      </w:r>
      <w:r w:rsidR="00975895" w:rsidRPr="003015FD">
        <w:t xml:space="preserve"> </w:t>
      </w:r>
      <w:r w:rsidR="008E0945" w:rsidRPr="003015FD">
        <w:t>consistent</w:t>
      </w:r>
      <w:r w:rsidR="00975895" w:rsidRPr="003015FD">
        <w:t xml:space="preserve"> </w:t>
      </w:r>
      <w:r w:rsidR="008E0945" w:rsidRPr="003015FD">
        <w:t>with</w:t>
      </w:r>
      <w:r w:rsidR="00975895" w:rsidRPr="003015FD">
        <w:t xml:space="preserve"> </w:t>
      </w:r>
      <w:r w:rsidR="008E0945" w:rsidRPr="003015FD">
        <w:t>human</w:t>
      </w:r>
      <w:r w:rsidR="00975895" w:rsidRPr="003015FD">
        <w:t xml:space="preserve"> </w:t>
      </w:r>
      <w:r w:rsidR="008E0945" w:rsidRPr="003015FD">
        <w:t>rights</w:t>
      </w:r>
      <w:r>
        <w:t>"</w:t>
      </w:r>
      <w:r w:rsidR="00975895" w:rsidRPr="003015FD">
        <w:t xml:space="preserve"> </w:t>
      </w:r>
      <w:r w:rsidR="008E0945" w:rsidRPr="003015FD">
        <w:t>(87</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008E0945" w:rsidRPr="003015FD">
        <w:t>agreed</w:t>
      </w:r>
      <w:r w:rsidR="00975895" w:rsidRPr="003015FD">
        <w:t xml:space="preserve"> </w:t>
      </w:r>
      <w:r w:rsidR="008E0945" w:rsidRPr="003015FD">
        <w:t>across</w:t>
      </w:r>
      <w:r w:rsidR="00975895" w:rsidRPr="003015FD">
        <w:t xml:space="preserve"> </w:t>
      </w:r>
      <w:r w:rsidR="008E0945" w:rsidRPr="003015FD">
        <w:t>the</w:t>
      </w:r>
      <w:r w:rsidR="00975895" w:rsidRPr="003015FD">
        <w:t xml:space="preserve"> </w:t>
      </w:r>
      <w:r w:rsidR="008E0945" w:rsidRPr="003015FD">
        <w:t>whole</w:t>
      </w:r>
      <w:r w:rsidR="00975895" w:rsidRPr="003015FD">
        <w:t xml:space="preserve"> </w:t>
      </w:r>
      <w:r w:rsidR="008E0945" w:rsidRPr="003015FD">
        <w:t>Victorian</w:t>
      </w:r>
      <w:r w:rsidR="00975895" w:rsidRPr="003015FD">
        <w:t xml:space="preserve"> </w:t>
      </w:r>
      <w:r w:rsidR="008E0945" w:rsidRPr="003015FD">
        <w:t>public</w:t>
      </w:r>
      <w:r w:rsidR="00975895" w:rsidRPr="003015FD">
        <w:t xml:space="preserve"> </w:t>
      </w:r>
      <w:r w:rsidR="008E0945" w:rsidRPr="003015FD">
        <w:t>sector,</w:t>
      </w:r>
      <w:r w:rsidR="00975895" w:rsidRPr="003015FD">
        <w:t xml:space="preserve"> </w:t>
      </w:r>
      <w:r w:rsidR="008E0945" w:rsidRPr="003015FD">
        <w:t>up</w:t>
      </w:r>
      <w:r w:rsidR="00975895" w:rsidRPr="003015FD">
        <w:t xml:space="preserve"> </w:t>
      </w:r>
      <w:r w:rsidR="008E0945" w:rsidRPr="003015FD">
        <w:t>from</w:t>
      </w:r>
      <w:r w:rsidR="00975895" w:rsidRPr="003015FD">
        <w:t xml:space="preserve"> </w:t>
      </w:r>
      <w:r w:rsidR="008E0945" w:rsidRPr="003015FD">
        <w:t>80</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008E0945" w:rsidRPr="003015FD">
        <w:t>in</w:t>
      </w:r>
      <w:r w:rsidR="00975895" w:rsidRPr="003015FD">
        <w:t xml:space="preserve"> </w:t>
      </w:r>
      <w:r w:rsidR="008E0945" w:rsidRPr="003015FD">
        <w:t>2017</w:t>
      </w:r>
      <w:r w:rsidR="00975895" w:rsidRPr="003015FD">
        <w:t xml:space="preserve"> </w:t>
      </w:r>
      <w:r w:rsidR="008E0945" w:rsidRPr="003015FD">
        <w:t>and</w:t>
      </w:r>
      <w:r w:rsidR="00975895" w:rsidRPr="003015FD">
        <w:t xml:space="preserve"> </w:t>
      </w:r>
      <w:r w:rsidR="008E0945" w:rsidRPr="003015FD">
        <w:t>78</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008E0945" w:rsidRPr="003015FD">
        <w:t>in</w:t>
      </w:r>
      <w:r w:rsidR="00975895" w:rsidRPr="003015FD">
        <w:t xml:space="preserve"> </w:t>
      </w:r>
      <w:r w:rsidR="008E0945" w:rsidRPr="003015FD">
        <w:t>2016).</w:t>
      </w:r>
    </w:p>
    <w:p w14:paraId="2214A279" w14:textId="0BB7DF2E" w:rsidR="00CF666C" w:rsidRDefault="004C4E07" w:rsidP="001D418D">
      <w:pPr>
        <w:pStyle w:val="ListBullet"/>
      </w:pPr>
      <w:r w:rsidRPr="003015FD">
        <w:t>Public</w:t>
      </w:r>
      <w:r w:rsidR="00975895" w:rsidRPr="003015FD">
        <w:t xml:space="preserve"> </w:t>
      </w:r>
      <w:r w:rsidRPr="003015FD">
        <w:t>authorities</w:t>
      </w:r>
      <w:r w:rsidR="00975895" w:rsidRPr="003015FD">
        <w:t xml:space="preserve"> </w:t>
      </w:r>
      <w:r w:rsidRPr="003015FD">
        <w:t>can</w:t>
      </w:r>
      <w:r w:rsidR="00975895" w:rsidRPr="003015FD">
        <w:t xml:space="preserve"> </w:t>
      </w:r>
      <w:r w:rsidRPr="003015FD">
        <w:t>track</w:t>
      </w:r>
      <w:r w:rsidR="00975895" w:rsidRPr="003015FD">
        <w:t xml:space="preserve"> </w:t>
      </w:r>
      <w:r w:rsidRPr="003015FD">
        <w:t>their</w:t>
      </w:r>
      <w:r w:rsidR="00975895" w:rsidRPr="003015FD">
        <w:t xml:space="preserve"> </w:t>
      </w:r>
      <w:r w:rsidRPr="003015FD">
        <w:t>performance</w:t>
      </w:r>
      <w:r w:rsidR="00975895" w:rsidRPr="003015FD">
        <w:t xml:space="preserve"> </w:t>
      </w:r>
      <w:r w:rsidRPr="003015FD">
        <w:t>by</w:t>
      </w:r>
      <w:r w:rsidR="00975895" w:rsidRPr="003015FD">
        <w:t xml:space="preserve"> </w:t>
      </w:r>
      <w:r w:rsidRPr="003015FD">
        <w:t>reviewing</w:t>
      </w:r>
      <w:r w:rsidR="00975895" w:rsidRPr="003015FD">
        <w:t xml:space="preserve"> </w:t>
      </w:r>
      <w:r w:rsidRPr="003015FD">
        <w:t>their</w:t>
      </w:r>
      <w:r w:rsidR="00975895" w:rsidRPr="003015FD">
        <w:t xml:space="preserve"> </w:t>
      </w:r>
      <w:r w:rsidRPr="003015FD">
        <w:t>results</w:t>
      </w:r>
      <w:r w:rsidR="00975895" w:rsidRPr="003015FD">
        <w:t xml:space="preserve"> </w:t>
      </w:r>
      <w:r w:rsidRPr="003015FD">
        <w:t>from</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Commission</w:t>
      </w:r>
      <w:r w:rsidR="000C5726">
        <w:t>'</w:t>
      </w:r>
      <w:r w:rsidRPr="003015FD">
        <w:t>s</w:t>
      </w:r>
      <w:r w:rsidR="00975895" w:rsidRPr="003015FD">
        <w:t xml:space="preserve"> </w:t>
      </w:r>
      <w:r w:rsidRPr="003015FD">
        <w:t>People</w:t>
      </w:r>
      <w:r w:rsidR="00975895" w:rsidRPr="003015FD">
        <w:t xml:space="preserve"> </w:t>
      </w:r>
      <w:r w:rsidRPr="003015FD">
        <w:t>Matter</w:t>
      </w:r>
      <w:r w:rsidR="00975895" w:rsidRPr="003015FD">
        <w:t xml:space="preserve"> </w:t>
      </w:r>
      <w:r w:rsidRPr="003015FD">
        <w:t>Survey</w:t>
      </w:r>
      <w:r w:rsidR="00975895" w:rsidRPr="003015FD">
        <w:t xml:space="preserve"> </w:t>
      </w:r>
      <w:r w:rsidRPr="003015FD">
        <w:t>questions:</w:t>
      </w:r>
      <w:r w:rsidR="00975895" w:rsidRPr="003015FD">
        <w:t xml:space="preserve"> </w:t>
      </w:r>
      <w:r w:rsidR="000C5726">
        <w:t>"</w:t>
      </w:r>
      <w:r w:rsidRPr="003015FD">
        <w:t>In</w:t>
      </w:r>
      <w:r w:rsidR="00975895" w:rsidRPr="003015FD">
        <w:t xml:space="preserve"> </w:t>
      </w:r>
      <w:r w:rsidRPr="003015FD">
        <w:t>my</w:t>
      </w:r>
      <w:r w:rsidR="00975895" w:rsidRPr="003015FD">
        <w:t xml:space="preserve"> </w:t>
      </w:r>
      <w:r w:rsidRPr="003015FD">
        <w:t>workgroup,</w:t>
      </w:r>
      <w:r w:rsidR="00975895" w:rsidRPr="003015FD">
        <w:t xml:space="preserve"> </w:t>
      </w:r>
      <w:r w:rsidRPr="003015FD">
        <w:t>human</w:t>
      </w:r>
      <w:r w:rsidR="00975895" w:rsidRPr="003015FD">
        <w:t xml:space="preserve"> </w:t>
      </w:r>
      <w:r w:rsidRPr="003015FD">
        <w:t>rights</w:t>
      </w:r>
      <w:r w:rsidR="00975895" w:rsidRPr="003015FD">
        <w:t xml:space="preserve"> </w:t>
      </w:r>
      <w:r w:rsidRPr="003015FD">
        <w:t>are</w:t>
      </w:r>
      <w:r w:rsidR="00975895" w:rsidRPr="003015FD">
        <w:t xml:space="preserve"> </w:t>
      </w:r>
      <w:r w:rsidRPr="003015FD">
        <w:t>valued</w:t>
      </w:r>
      <w:r w:rsidR="000C5726">
        <w:t>"</w:t>
      </w:r>
      <w:r w:rsidR="00975895" w:rsidRPr="003015FD">
        <w:t xml:space="preserve"> </w:t>
      </w:r>
      <w:r w:rsidRPr="003015FD">
        <w:t>and</w:t>
      </w:r>
      <w:r w:rsidR="00975895" w:rsidRPr="003015FD">
        <w:t xml:space="preserve"> </w:t>
      </w:r>
      <w:r w:rsidR="002212AE">
        <w:t>"</w:t>
      </w:r>
      <w:r w:rsidRPr="003015FD">
        <w:t>My</w:t>
      </w:r>
      <w:r w:rsidR="00975895" w:rsidRPr="003015FD">
        <w:t xml:space="preserve"> </w:t>
      </w:r>
      <w:r w:rsidRPr="003015FD">
        <w:t>organisation</w:t>
      </w:r>
      <w:r w:rsidR="00975895" w:rsidRPr="003015FD">
        <w:t xml:space="preserve"> </w:t>
      </w:r>
      <w:r w:rsidRPr="003015FD">
        <w:t>encourages</w:t>
      </w:r>
      <w:r w:rsidR="00975895" w:rsidRPr="003015FD">
        <w:t xml:space="preserve"> </w:t>
      </w:r>
      <w:r w:rsidRPr="003015FD">
        <w:t>employees</w:t>
      </w:r>
      <w:r w:rsidR="00975895" w:rsidRPr="003015FD">
        <w:t xml:space="preserve"> </w:t>
      </w:r>
      <w:r w:rsidRPr="003015FD">
        <w:t>to</w:t>
      </w:r>
      <w:r w:rsidR="00975895" w:rsidRPr="003015FD">
        <w:t xml:space="preserve"> </w:t>
      </w:r>
      <w:r w:rsidRPr="003015FD">
        <w:t>act</w:t>
      </w:r>
      <w:r w:rsidR="00975895" w:rsidRPr="003015FD">
        <w:t xml:space="preserve"> </w:t>
      </w:r>
      <w:r w:rsidRPr="003015FD">
        <w:t>in</w:t>
      </w:r>
      <w:r w:rsidR="00975895" w:rsidRPr="003015FD">
        <w:t xml:space="preserve"> </w:t>
      </w:r>
      <w:r w:rsidRPr="003015FD">
        <w:t>ways</w:t>
      </w:r>
      <w:r w:rsidR="00975895" w:rsidRPr="003015FD">
        <w:t xml:space="preserve"> </w:t>
      </w:r>
      <w:r w:rsidRPr="003015FD">
        <w:t>that</w:t>
      </w:r>
      <w:r w:rsidR="00975895" w:rsidRPr="003015FD">
        <w:t xml:space="preserve"> </w:t>
      </w:r>
      <w:r w:rsidRPr="003015FD">
        <w:t>are</w:t>
      </w:r>
      <w:r w:rsidR="00975895" w:rsidRPr="003015FD">
        <w:t xml:space="preserve"> </w:t>
      </w:r>
      <w:r w:rsidRPr="003015FD">
        <w:t>consistent</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1D418D">
        <w:t>”.</w:t>
      </w:r>
    </w:p>
    <w:tbl>
      <w:tblPr>
        <w:tblStyle w:val="CustomTablebreakoutbox"/>
        <w:tblW w:w="0" w:type="auto"/>
        <w:tblLook w:val="04A0" w:firstRow="1" w:lastRow="0" w:firstColumn="1" w:lastColumn="0" w:noHBand="0" w:noVBand="1"/>
      </w:tblPr>
      <w:tblGrid>
        <w:gridCol w:w="9061"/>
      </w:tblGrid>
      <w:tr w:rsidR="00CF666C" w14:paraId="6187E905" w14:textId="77777777" w:rsidTr="00CF666C">
        <w:tc>
          <w:tcPr>
            <w:tcW w:w="9061" w:type="dxa"/>
          </w:tcPr>
          <w:p w14:paraId="0CA9BF9F" w14:textId="24E6BB61" w:rsidR="00CF666C" w:rsidRPr="003E33DC" w:rsidRDefault="00591BFC" w:rsidP="00CF666C">
            <w:pPr>
              <w:pStyle w:val="BodyText"/>
              <w:rPr>
                <w:rStyle w:val="Characterbold"/>
              </w:rPr>
            </w:pPr>
            <w:r>
              <w:rPr>
                <w:rStyle w:val="Characterbold"/>
              </w:rPr>
              <w:t>Reflections from community interviews</w:t>
            </w:r>
          </w:p>
          <w:p w14:paraId="75FE27F4" w14:textId="77777777" w:rsidR="00CF666C" w:rsidRPr="003015FD" w:rsidRDefault="00CF666C" w:rsidP="00CF666C">
            <w:pPr>
              <w:pStyle w:val="ListBullet"/>
              <w:numPr>
                <w:ilvl w:val="0"/>
                <w:numId w:val="0"/>
              </w:numPr>
            </w:pPr>
            <w:r w:rsidRPr="003015FD">
              <w:t>Community organisation participants had positive perceptions of the attitudes and values of public authority employees they engaged with. All participants indicated the employees they engaged with were professional and respectful overall, and most felt employees demonstrated a good understanding of human rights.</w:t>
            </w:r>
          </w:p>
          <w:p w14:paraId="3B6D0C91" w14:textId="324FBB3F" w:rsidR="00CF666C" w:rsidRDefault="00CF666C" w:rsidP="00CF666C">
            <w:pPr>
              <w:pStyle w:val="BodyText"/>
            </w:pPr>
            <w:r w:rsidRPr="003015FD">
              <w:t>However, some participants noted that a few employees behaved in a manner inconsistent with human rights under the Charter</w:t>
            </w:r>
            <w:r>
              <w:t>.</w:t>
            </w:r>
          </w:p>
        </w:tc>
      </w:tr>
    </w:tbl>
    <w:p w14:paraId="7288CD10" w14:textId="2729E40D" w:rsidR="008E0945" w:rsidRDefault="008E0945" w:rsidP="0002642E"/>
    <w:p w14:paraId="197026BA" w14:textId="1AB64B9D" w:rsidR="008E0945" w:rsidRPr="003015FD" w:rsidRDefault="00D8218F" w:rsidP="0002642E">
      <w:pPr>
        <w:pStyle w:val="Heading3"/>
      </w:pPr>
      <w:bookmarkStart w:id="70" w:name="_Toc15045113"/>
      <w:r w:rsidRPr="003015FD">
        <w:t xml:space="preserve">2.7.4 </w:t>
      </w:r>
      <w:r w:rsidR="008E0945" w:rsidRPr="00CF778C">
        <w:t>Transparency</w:t>
      </w:r>
      <w:r w:rsidR="00975895" w:rsidRPr="003015FD">
        <w:t xml:space="preserve"> </w:t>
      </w:r>
      <w:r w:rsidR="008E0945" w:rsidRPr="003015FD">
        <w:t>and</w:t>
      </w:r>
      <w:r w:rsidR="00975895" w:rsidRPr="003015FD">
        <w:t xml:space="preserve"> </w:t>
      </w:r>
      <w:r w:rsidR="008E0945" w:rsidRPr="003015FD">
        <w:t>accountability</w:t>
      </w:r>
      <w:bookmarkEnd w:id="70"/>
      <w:r w:rsidR="00975895" w:rsidRPr="003015FD">
        <w:t xml:space="preserve"> </w:t>
      </w:r>
    </w:p>
    <w:p w14:paraId="3AF1A818" w14:textId="3E8C52CE" w:rsidR="004C4E07" w:rsidRPr="003015FD" w:rsidRDefault="008E0945" w:rsidP="0002642E">
      <w:r w:rsidRPr="003015FD">
        <w:rPr>
          <w:szCs w:val="24"/>
        </w:rPr>
        <w:t>The</w:t>
      </w:r>
      <w:r w:rsidR="00975895" w:rsidRPr="003015FD">
        <w:rPr>
          <w:szCs w:val="24"/>
        </w:rPr>
        <w:t xml:space="preserve"> </w:t>
      </w:r>
      <w:r w:rsidRPr="003015FD">
        <w:rPr>
          <w:szCs w:val="24"/>
        </w:rPr>
        <w:t>Commission</w:t>
      </w:r>
      <w:r w:rsidR="00975895" w:rsidRPr="003015FD">
        <w:rPr>
          <w:szCs w:val="24"/>
        </w:rPr>
        <w:t xml:space="preserve"> </w:t>
      </w:r>
      <w:r w:rsidRPr="003015FD">
        <w:rPr>
          <w:szCs w:val="24"/>
        </w:rPr>
        <w:t>considers</w:t>
      </w:r>
      <w:r w:rsidR="00975895" w:rsidRPr="003015FD">
        <w:rPr>
          <w:szCs w:val="24"/>
        </w:rPr>
        <w:t xml:space="preserve"> </w:t>
      </w:r>
      <w:r w:rsidRPr="003015FD">
        <w:rPr>
          <w:szCs w:val="24"/>
        </w:rPr>
        <w:t>p</w:t>
      </w:r>
      <w:r w:rsidRPr="003015FD">
        <w:t>articipation</w:t>
      </w:r>
      <w:r w:rsidR="00975895" w:rsidRPr="003015FD">
        <w:t xml:space="preserve"> </w:t>
      </w:r>
      <w:r w:rsidRPr="003015FD">
        <w:t>in</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survey</w:t>
      </w:r>
      <w:r w:rsidR="00975895" w:rsidRPr="003015FD">
        <w:t xml:space="preserve"> </w:t>
      </w:r>
      <w:r w:rsidRPr="003015FD">
        <w:t>a</w:t>
      </w:r>
      <w:r w:rsidR="00975895" w:rsidRPr="003015FD">
        <w:t xml:space="preserve"> </w:t>
      </w:r>
      <w:r w:rsidRPr="003015FD">
        <w:t>positive</w:t>
      </w:r>
      <w:r w:rsidR="00975895" w:rsidRPr="003015FD">
        <w:t xml:space="preserve"> </w:t>
      </w:r>
      <w:r w:rsidRPr="003015FD">
        <w:t>indication</w:t>
      </w:r>
      <w:r w:rsidR="00975895" w:rsidRPr="003015FD">
        <w:t xml:space="preserve"> </w:t>
      </w:r>
      <w:r w:rsidRPr="003015FD">
        <w:t>of</w:t>
      </w:r>
      <w:r w:rsidR="00975895" w:rsidRPr="003015FD">
        <w:t xml:space="preserve"> </w:t>
      </w:r>
      <w:r w:rsidRPr="003015FD">
        <w:t>transparency</w:t>
      </w:r>
      <w:r w:rsidR="00975895" w:rsidRPr="003015FD">
        <w:t xml:space="preserve"> </w:t>
      </w:r>
      <w:r w:rsidRPr="003015FD">
        <w:t>and</w:t>
      </w:r>
      <w:r w:rsidR="00975895" w:rsidRPr="003015FD">
        <w:t xml:space="preserve"> </w:t>
      </w:r>
      <w:r w:rsidRPr="003015FD">
        <w:t>accountability,</w:t>
      </w:r>
      <w:r w:rsidR="00975895" w:rsidRPr="003015FD">
        <w:t xml:space="preserve"> </w:t>
      </w:r>
      <w:r w:rsidRPr="003015FD">
        <w:t>as</w:t>
      </w:r>
      <w:r w:rsidR="00975895" w:rsidRPr="003015FD">
        <w:t xml:space="preserve"> </w:t>
      </w:r>
      <w:r w:rsidRPr="003015FD">
        <w:t>it</w:t>
      </w:r>
      <w:r w:rsidR="00975895" w:rsidRPr="003015FD">
        <w:t xml:space="preserve"> </w:t>
      </w:r>
      <w:r w:rsidRPr="003015FD">
        <w:t>demonstrates</w:t>
      </w:r>
      <w:r w:rsidR="00975895" w:rsidRPr="003015FD">
        <w:t xml:space="preserve"> </w:t>
      </w:r>
      <w:r w:rsidRPr="003015FD">
        <w:t>a</w:t>
      </w:r>
      <w:r w:rsidR="00975895" w:rsidRPr="003015FD">
        <w:t xml:space="preserve"> </w:t>
      </w:r>
      <w:r w:rsidRPr="003015FD">
        <w:t>willingness</w:t>
      </w:r>
      <w:r w:rsidR="00975895" w:rsidRPr="003015FD">
        <w:t xml:space="preserve"> </w:t>
      </w:r>
      <w:r w:rsidRPr="003015FD">
        <w:t>to</w:t>
      </w:r>
      <w:r w:rsidR="00975895" w:rsidRPr="003015FD">
        <w:t xml:space="preserve"> </w:t>
      </w:r>
      <w:r w:rsidRPr="003015FD">
        <w:t>participate</w:t>
      </w:r>
      <w:r w:rsidR="00975895" w:rsidRPr="003015FD">
        <w:t xml:space="preserve"> </w:t>
      </w:r>
      <w:r w:rsidRPr="003015FD">
        <w:t>in</w:t>
      </w:r>
      <w:r w:rsidR="00975895" w:rsidRPr="003015FD">
        <w:t xml:space="preserve"> </w:t>
      </w:r>
      <w:r w:rsidRPr="003015FD">
        <w:t>human</w:t>
      </w:r>
      <w:r w:rsidR="00975895" w:rsidRPr="003015FD">
        <w:t xml:space="preserve"> </w:t>
      </w:r>
      <w:r w:rsidRPr="003015FD">
        <w:t>rights</w:t>
      </w:r>
      <w:r w:rsidR="00975895" w:rsidRPr="003015FD">
        <w:t xml:space="preserve"> </w:t>
      </w:r>
      <w:r w:rsidRPr="003015FD">
        <w:t>reporting</w:t>
      </w:r>
      <w:r w:rsidR="00975895" w:rsidRPr="003015FD">
        <w:t xml:space="preserve"> </w:t>
      </w:r>
      <w:r w:rsidRPr="003015FD">
        <w:t>mechanisms</w:t>
      </w:r>
      <w:r w:rsidR="00975895" w:rsidRPr="003015FD">
        <w:t xml:space="preserve"> </w:t>
      </w:r>
      <w:r w:rsidRPr="003015FD">
        <w:t>and</w:t>
      </w:r>
      <w:r w:rsidR="00975895" w:rsidRPr="003015FD">
        <w:t xml:space="preserve"> </w:t>
      </w:r>
      <w:r w:rsidRPr="003015FD">
        <w:t>engage</w:t>
      </w:r>
      <w:r w:rsidR="00975895" w:rsidRPr="003015FD">
        <w:t xml:space="preserve"> </w:t>
      </w:r>
      <w:r w:rsidRPr="003015FD">
        <w:t>with</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to</w:t>
      </w:r>
      <w:r w:rsidR="00975895" w:rsidRPr="003015FD">
        <w:t xml:space="preserve"> </w:t>
      </w:r>
      <w:r w:rsidRPr="003015FD">
        <w:t>better</w:t>
      </w:r>
      <w:r w:rsidR="00975895" w:rsidRPr="003015FD">
        <w:t xml:space="preserve"> </w:t>
      </w:r>
      <w:r w:rsidRPr="003015FD">
        <w:t>understand</w:t>
      </w:r>
      <w:r w:rsidR="00975895" w:rsidRPr="003015FD">
        <w:t xml:space="preserve"> </w:t>
      </w:r>
      <w:r w:rsidRPr="003015FD">
        <w:t>what</w:t>
      </w:r>
      <w:r w:rsidR="00975895" w:rsidRPr="003015FD">
        <w:t xml:space="preserve"> </w:t>
      </w:r>
      <w:r w:rsidRPr="003015FD">
        <w:t>is</w:t>
      </w:r>
      <w:r w:rsidR="00975895" w:rsidRPr="003015FD">
        <w:t xml:space="preserve"> </w:t>
      </w:r>
      <w:r w:rsidRPr="003015FD">
        <w:t>required</w:t>
      </w:r>
      <w:r w:rsidR="00975895" w:rsidRPr="003015FD">
        <w:t xml:space="preserve"> </w:t>
      </w:r>
      <w:r w:rsidRPr="003015FD">
        <w:rPr>
          <w:szCs w:val="24"/>
        </w:rPr>
        <w:t>for</w:t>
      </w:r>
      <w:r w:rsidR="00975895" w:rsidRPr="003015FD">
        <w:rPr>
          <w:szCs w:val="24"/>
        </w:rPr>
        <w:t xml:space="preserve"> </w:t>
      </w:r>
      <w:r w:rsidRPr="003015FD">
        <w:rPr>
          <w:szCs w:val="24"/>
        </w:rPr>
        <w:t>good</w:t>
      </w:r>
      <w:r w:rsidR="00975895" w:rsidRPr="003015FD">
        <w:rPr>
          <w:szCs w:val="24"/>
        </w:rPr>
        <w:t xml:space="preserve"> </w:t>
      </w:r>
      <w:r w:rsidRPr="003015FD">
        <w:rPr>
          <w:szCs w:val="24"/>
        </w:rPr>
        <w:t>human</w:t>
      </w:r>
      <w:r w:rsidR="00975895" w:rsidRPr="003015FD">
        <w:rPr>
          <w:szCs w:val="24"/>
        </w:rPr>
        <w:t xml:space="preserve"> </w:t>
      </w:r>
      <w:r w:rsidRPr="003015FD">
        <w:rPr>
          <w:szCs w:val="24"/>
        </w:rPr>
        <w:t>rights</w:t>
      </w:r>
      <w:r w:rsidR="00975895" w:rsidRPr="003015FD">
        <w:rPr>
          <w:szCs w:val="24"/>
        </w:rPr>
        <w:t xml:space="preserve"> </w:t>
      </w:r>
      <w:r w:rsidRPr="003015FD">
        <w:rPr>
          <w:szCs w:val="24"/>
        </w:rPr>
        <w:t>practice</w:t>
      </w:r>
      <w:r w:rsidRPr="003015FD">
        <w:t>.</w:t>
      </w:r>
      <w:r w:rsidR="00975895" w:rsidRPr="003015FD">
        <w:t xml:space="preserve"> </w:t>
      </w:r>
    </w:p>
    <w:p w14:paraId="2E4241BA" w14:textId="5890A9B8" w:rsidR="00C21B12" w:rsidRPr="0002642E" w:rsidRDefault="008E0945" w:rsidP="0002642E">
      <w:pPr>
        <w:rPr>
          <w:b/>
        </w:rPr>
      </w:pPr>
      <w:r w:rsidRPr="003015FD">
        <w:t>Response</w:t>
      </w:r>
      <w:r w:rsidR="00975895" w:rsidRPr="003015FD">
        <w:t xml:space="preserve"> </w:t>
      </w:r>
      <w:r w:rsidRPr="003015FD">
        <w:t>rates</w:t>
      </w:r>
      <w:r w:rsidR="00975895" w:rsidRPr="003015FD">
        <w:t xml:space="preserve"> </w:t>
      </w:r>
      <w:r w:rsidRPr="003015FD">
        <w:t>for</w:t>
      </w:r>
      <w:r w:rsidR="00975895" w:rsidRPr="003015FD">
        <w:t xml:space="preserve"> </w:t>
      </w:r>
      <w:r w:rsidRPr="003015FD">
        <w:t>the</w:t>
      </w:r>
      <w:r w:rsidR="00975895" w:rsidRPr="003015FD">
        <w:t xml:space="preserve"> </w:t>
      </w:r>
      <w:r w:rsidRPr="003015FD">
        <w:t>pilot</w:t>
      </w:r>
      <w:r w:rsidR="00975895" w:rsidRPr="003015FD">
        <w:t xml:space="preserve"> </w:t>
      </w:r>
      <w:r w:rsidRPr="003015FD">
        <w:t>were</w:t>
      </w:r>
      <w:r w:rsidR="00975895" w:rsidRPr="003015FD">
        <w:t xml:space="preserve"> </w:t>
      </w:r>
      <w:r w:rsidRPr="003015FD">
        <w:t>high</w:t>
      </w:r>
      <w:r w:rsidR="00975895" w:rsidRPr="003015FD">
        <w:t xml:space="preserve"> </w:t>
      </w:r>
      <w:r w:rsidRPr="003015FD">
        <w:t>(35</w:t>
      </w:r>
      <w:r w:rsidR="00975895" w:rsidRPr="003015FD">
        <w:t xml:space="preserve"> </w:t>
      </w:r>
      <w:r w:rsidRPr="003015FD">
        <w:t>organisations</w:t>
      </w:r>
      <w:r w:rsidR="00975895" w:rsidRPr="003015FD">
        <w:t xml:space="preserve"> </w:t>
      </w:r>
      <w:r w:rsidRPr="003015FD">
        <w:t>out</w:t>
      </w:r>
      <w:r w:rsidR="00975895" w:rsidRPr="003015FD">
        <w:t xml:space="preserve"> </w:t>
      </w:r>
      <w:r w:rsidRPr="003015FD">
        <w:t>of</w:t>
      </w:r>
      <w:r w:rsidR="00975895" w:rsidRPr="003015FD">
        <w:t xml:space="preserve"> </w:t>
      </w:r>
      <w:r w:rsidRPr="003015FD">
        <w:t>an</w:t>
      </w:r>
      <w:r w:rsidR="00975895" w:rsidRPr="003015FD">
        <w:t xml:space="preserve"> </w:t>
      </w:r>
      <w:r w:rsidRPr="003015FD">
        <w:t>original</w:t>
      </w:r>
      <w:r w:rsidR="00975895" w:rsidRPr="003015FD">
        <w:t xml:space="preserve"> </w:t>
      </w:r>
      <w:r w:rsidRPr="003015FD">
        <w:t>37</w:t>
      </w:r>
      <w:r w:rsidR="00975895" w:rsidRPr="003015FD">
        <w:t xml:space="preserve"> </w:t>
      </w:r>
      <w:r w:rsidRPr="003015FD">
        <w:t>invited</w:t>
      </w:r>
      <w:r w:rsidR="00975895" w:rsidRPr="003015FD">
        <w:t xml:space="preserve"> </w:t>
      </w:r>
      <w:r w:rsidRPr="003015FD">
        <w:t>to</w:t>
      </w:r>
      <w:r w:rsidR="00975895" w:rsidRPr="003015FD">
        <w:t xml:space="preserve"> </w:t>
      </w:r>
      <w:r w:rsidRPr="003015FD">
        <w:t>participate</w:t>
      </w:r>
      <w:r w:rsidR="00975895" w:rsidRPr="003015FD">
        <w:t xml:space="preserve"> </w:t>
      </w:r>
      <w:r w:rsidRPr="003015FD">
        <w:t>responded).</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plans</w:t>
      </w:r>
      <w:r w:rsidR="00975895" w:rsidRPr="003015FD">
        <w:t xml:space="preserve"> </w:t>
      </w:r>
      <w:r w:rsidRPr="003015FD">
        <w:t>to</w:t>
      </w:r>
      <w:r w:rsidR="00975895" w:rsidRPr="003015FD">
        <w:t xml:space="preserve"> </w:t>
      </w:r>
      <w:r w:rsidRPr="003015FD">
        <w:t>use</w:t>
      </w:r>
      <w:r w:rsidR="00975895" w:rsidRPr="003015FD">
        <w:t xml:space="preserve"> </w:t>
      </w:r>
      <w:r w:rsidRPr="003015FD">
        <w:t>this</w:t>
      </w:r>
      <w:r w:rsidR="00975895" w:rsidRPr="003015FD">
        <w:t xml:space="preserve"> </w:t>
      </w:r>
      <w:r w:rsidRPr="003015FD">
        <w:t>as</w:t>
      </w:r>
      <w:r w:rsidR="00975895" w:rsidRPr="003015FD">
        <w:t xml:space="preserve"> </w:t>
      </w:r>
      <w:r w:rsidRPr="003015FD">
        <w:t>a</w:t>
      </w:r>
      <w:r w:rsidR="00975895" w:rsidRPr="003015FD">
        <w:t xml:space="preserve"> </w:t>
      </w:r>
      <w:r w:rsidRPr="003015FD">
        <w:t>baseline</w:t>
      </w:r>
      <w:r w:rsidR="00975895" w:rsidRPr="003015FD">
        <w:t xml:space="preserve"> </w:t>
      </w:r>
      <w:r w:rsidRPr="003015FD">
        <w:t>and</w:t>
      </w:r>
      <w:r w:rsidR="00975895" w:rsidRPr="003015FD">
        <w:t xml:space="preserve"> </w:t>
      </w:r>
      <w:r w:rsidRPr="003015FD">
        <w:t>track</w:t>
      </w:r>
      <w:r w:rsidR="00975895" w:rsidRPr="003015FD">
        <w:t xml:space="preserve"> </w:t>
      </w:r>
      <w:r w:rsidRPr="003015FD">
        <w:t>improvement</w:t>
      </w:r>
      <w:r w:rsidR="00975895" w:rsidRPr="003015FD">
        <w:t xml:space="preserve"> </w:t>
      </w:r>
      <w:r w:rsidRPr="003015FD">
        <w:t>over</w:t>
      </w:r>
      <w:r w:rsidR="00975895" w:rsidRPr="003015FD">
        <w:t xml:space="preserve"> </w:t>
      </w:r>
      <w:r w:rsidRPr="003015FD">
        <w:t>time.</w:t>
      </w:r>
      <w:r w:rsidR="00975895" w:rsidRPr="003015FD">
        <w:t xml:space="preserve"> </w:t>
      </w:r>
    </w:p>
    <w:p w14:paraId="6083BF69" w14:textId="77777777" w:rsidR="00406914" w:rsidRPr="00406914" w:rsidRDefault="00406914" w:rsidP="00C21B12">
      <w:pPr>
        <w:rPr>
          <w:b/>
        </w:rPr>
      </w:pPr>
    </w:p>
    <w:p w14:paraId="1E888294" w14:textId="67CD4602" w:rsidR="008E0945" w:rsidRPr="003015FD" w:rsidRDefault="00D8218F" w:rsidP="001D418D">
      <w:pPr>
        <w:pStyle w:val="Heading3"/>
      </w:pPr>
      <w:bookmarkStart w:id="71" w:name="_Toc15045114"/>
      <w:r w:rsidRPr="003015FD">
        <w:lastRenderedPageBreak/>
        <w:t>2.7.5</w:t>
      </w:r>
      <w:r w:rsidRPr="003015FD">
        <w:tab/>
      </w:r>
      <w:r w:rsidR="008E0945" w:rsidRPr="003015FD">
        <w:t>Community</w:t>
      </w:r>
      <w:r w:rsidR="00975895" w:rsidRPr="003015FD">
        <w:t xml:space="preserve"> </w:t>
      </w:r>
      <w:r w:rsidR="008E0945" w:rsidRPr="003015FD">
        <w:t>engagement</w:t>
      </w:r>
      <w:r w:rsidR="00975895" w:rsidRPr="003015FD">
        <w:t xml:space="preserve"> </w:t>
      </w:r>
      <w:r w:rsidR="008E0945" w:rsidRPr="003015FD">
        <w:t>and</w:t>
      </w:r>
      <w:r w:rsidR="00975895" w:rsidRPr="003015FD">
        <w:t xml:space="preserve"> </w:t>
      </w:r>
      <w:r w:rsidR="008E0945" w:rsidRPr="003015FD">
        <w:t>participation</w:t>
      </w:r>
      <w:bookmarkEnd w:id="71"/>
      <w:r w:rsidR="00975895" w:rsidRPr="003015FD">
        <w:t xml:space="preserve"> </w:t>
      </w:r>
    </w:p>
    <w:p w14:paraId="38EBBFB2" w14:textId="4903B4DC" w:rsidR="00434D7D" w:rsidRPr="003015FD" w:rsidRDefault="004C4E07" w:rsidP="001D418D">
      <w:r w:rsidRPr="003015FD">
        <w:t>Community</w:t>
      </w:r>
      <w:r w:rsidR="00975895" w:rsidRPr="003015FD">
        <w:t xml:space="preserve"> </w:t>
      </w:r>
      <w:r w:rsidRPr="003015FD">
        <w:t>engagement</w:t>
      </w:r>
      <w:r w:rsidR="00975895" w:rsidRPr="003015FD">
        <w:t xml:space="preserve"> </w:t>
      </w:r>
      <w:r w:rsidRPr="003015FD">
        <w:t>and</w:t>
      </w:r>
      <w:r w:rsidR="00975895" w:rsidRPr="003015FD">
        <w:t xml:space="preserve"> </w:t>
      </w:r>
      <w:r w:rsidRPr="003015FD">
        <w:t>participation</w:t>
      </w:r>
      <w:r w:rsidR="00975895" w:rsidRPr="003015FD">
        <w:t xml:space="preserve"> </w:t>
      </w:r>
      <w:r w:rsidRPr="003015FD">
        <w:t>is</w:t>
      </w:r>
      <w:r w:rsidR="00975895" w:rsidRPr="003015FD">
        <w:t xml:space="preserve"> </w:t>
      </w:r>
      <w:r w:rsidRPr="003015FD">
        <w:t>a</w:t>
      </w:r>
      <w:r w:rsidR="00975895" w:rsidRPr="003015FD">
        <w:t xml:space="preserve"> </w:t>
      </w:r>
      <w:r w:rsidRPr="003015FD">
        <w:t>core</w:t>
      </w:r>
      <w:r w:rsidR="00975895" w:rsidRPr="003015FD">
        <w:t xml:space="preserve"> </w:t>
      </w:r>
      <w:r w:rsidRPr="003015FD">
        <w:t>influence</w:t>
      </w:r>
      <w:r w:rsidR="00975895" w:rsidRPr="003015FD">
        <w:t xml:space="preserve"> </w:t>
      </w:r>
      <w:r w:rsidRPr="003015FD">
        <w:t>on</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where</w:t>
      </w:r>
      <w:r w:rsidR="00975895" w:rsidRPr="003015FD">
        <w:t xml:space="preserve"> </w:t>
      </w:r>
      <w:r w:rsidRPr="003015FD">
        <w:t>rights</w:t>
      </w:r>
      <w:r w:rsidR="00975895" w:rsidRPr="003015FD">
        <w:t xml:space="preserve"> </w:t>
      </w:r>
      <w:r w:rsidRPr="003015FD">
        <w:t>holders</w:t>
      </w:r>
      <w:r w:rsidR="00975895" w:rsidRPr="003015FD">
        <w:t xml:space="preserve"> </w:t>
      </w:r>
      <w:r w:rsidRPr="003015FD">
        <w:t>and</w:t>
      </w:r>
      <w:r w:rsidR="00975895" w:rsidRPr="003015FD">
        <w:t xml:space="preserve"> </w:t>
      </w:r>
      <w:r w:rsidRPr="003015FD">
        <w:t>duty</w:t>
      </w:r>
      <w:r w:rsidR="00975895" w:rsidRPr="003015FD">
        <w:t xml:space="preserve"> </w:t>
      </w:r>
      <w:r w:rsidRPr="003015FD">
        <w:t>bearers</w:t>
      </w:r>
      <w:r w:rsidR="00975895" w:rsidRPr="003015FD">
        <w:t xml:space="preserve"> </w:t>
      </w:r>
      <w:r w:rsidRPr="003015FD">
        <w:t>work</w:t>
      </w:r>
      <w:r w:rsidR="00975895" w:rsidRPr="003015FD">
        <w:t xml:space="preserve"> </w:t>
      </w:r>
      <w:r w:rsidRPr="003015FD">
        <w:t>together</w:t>
      </w:r>
      <w:r w:rsidR="00975895" w:rsidRPr="003015FD">
        <w:t xml:space="preserve"> </w:t>
      </w:r>
      <w:r w:rsidR="00434D7D" w:rsidRPr="003015FD">
        <w:t>to</w:t>
      </w:r>
      <w:r w:rsidR="00975895" w:rsidRPr="003015FD">
        <w:t xml:space="preserve"> </w:t>
      </w:r>
      <w:r w:rsidR="00434D7D" w:rsidRPr="003015FD">
        <w:t>improve</w:t>
      </w:r>
      <w:r w:rsidR="00975895" w:rsidRPr="003015FD">
        <w:t xml:space="preserve"> </w:t>
      </w:r>
      <w:r w:rsidR="00434D7D" w:rsidRPr="003015FD">
        <w:t>human</w:t>
      </w:r>
      <w:r w:rsidR="00975895" w:rsidRPr="003015FD">
        <w:t xml:space="preserve"> </w:t>
      </w:r>
      <w:r w:rsidR="00434D7D" w:rsidRPr="003015FD">
        <w:t>rights</w:t>
      </w:r>
      <w:r w:rsidRPr="003015FD">
        <w:t>.</w:t>
      </w:r>
      <w:r w:rsidR="00975895" w:rsidRPr="003015FD">
        <w:t xml:space="preserve"> </w:t>
      </w:r>
      <w:r w:rsidRPr="003015FD">
        <w:t>Community</w:t>
      </w:r>
      <w:r w:rsidR="00975895" w:rsidRPr="003015FD">
        <w:t xml:space="preserve"> </w:t>
      </w:r>
      <w:r w:rsidRPr="003015FD">
        <w:t>participation</w:t>
      </w:r>
      <w:r w:rsidR="00975895" w:rsidRPr="003015FD">
        <w:t xml:space="preserve"> </w:t>
      </w:r>
      <w:r w:rsidRPr="003015FD">
        <w:t>should</w:t>
      </w:r>
      <w:r w:rsidR="00975895" w:rsidRPr="003015FD">
        <w:t xml:space="preserve"> </w:t>
      </w:r>
      <w:r w:rsidRPr="003015FD">
        <w:t>inform</w:t>
      </w:r>
      <w:r w:rsidR="00975895" w:rsidRPr="003015FD">
        <w:t xml:space="preserve"> </w:t>
      </w:r>
      <w:r w:rsidRPr="003015FD">
        <w:t>key</w:t>
      </w:r>
      <w:r w:rsidR="00975895" w:rsidRPr="003015FD">
        <w:t xml:space="preserve"> </w:t>
      </w:r>
      <w:r w:rsidRPr="003015FD">
        <w:t>work</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and</w:t>
      </w:r>
      <w:r w:rsidR="00975895" w:rsidRPr="003015FD">
        <w:t xml:space="preserve"> </w:t>
      </w:r>
      <w:r w:rsidRPr="003015FD">
        <w:t>influence</w:t>
      </w:r>
      <w:r w:rsidR="00975895" w:rsidRPr="003015FD">
        <w:t xml:space="preserve"> </w:t>
      </w:r>
      <w:r w:rsidRPr="003015FD">
        <w:t>the</w:t>
      </w:r>
      <w:r w:rsidR="00975895" w:rsidRPr="003015FD">
        <w:t xml:space="preserve"> </w:t>
      </w:r>
      <w:r w:rsidRPr="003015FD">
        <w:t>outcome.</w:t>
      </w:r>
      <w:r w:rsidR="00975895" w:rsidRPr="003015FD">
        <w:t xml:space="preserve"> </w:t>
      </w:r>
    </w:p>
    <w:p w14:paraId="5E000F8B" w14:textId="4871881D" w:rsidR="00434D7D" w:rsidRPr="003015FD" w:rsidRDefault="00434D7D" w:rsidP="001D418D">
      <w:r w:rsidRPr="003015FD">
        <w:t>The</w:t>
      </w:r>
      <w:r w:rsidR="00975895" w:rsidRPr="003015FD">
        <w:t xml:space="preserve"> </w:t>
      </w:r>
      <w:r w:rsidRPr="003015FD">
        <w:t>regular</w:t>
      </w:r>
      <w:r w:rsidR="00975895" w:rsidRPr="003015FD">
        <w:t xml:space="preserve"> </w:t>
      </w:r>
      <w:r w:rsidRPr="003015FD">
        <w:t>feedback</w:t>
      </w:r>
      <w:r w:rsidR="00975895" w:rsidRPr="003015FD">
        <w:t xml:space="preserve"> </w:t>
      </w:r>
      <w:r w:rsidRPr="003015FD">
        <w:t>from</w:t>
      </w:r>
      <w:r w:rsidR="00975895" w:rsidRPr="003015FD">
        <w:t xml:space="preserve"> </w:t>
      </w:r>
      <w:r w:rsidRPr="003015FD">
        <w:t>community</w:t>
      </w:r>
      <w:r w:rsidR="00975895" w:rsidRPr="003015FD">
        <w:t xml:space="preserve"> </w:t>
      </w:r>
      <w:r w:rsidRPr="003015FD">
        <w:t>should</w:t>
      </w:r>
      <w:r w:rsidR="00975895" w:rsidRPr="003015FD">
        <w:t xml:space="preserve"> </w:t>
      </w:r>
      <w:r w:rsidRPr="003015FD">
        <w:t>be</w:t>
      </w:r>
      <w:r w:rsidR="00975895" w:rsidRPr="003015FD">
        <w:t xml:space="preserve"> </w:t>
      </w:r>
      <w:r w:rsidRPr="003015FD">
        <w:t>regular</w:t>
      </w:r>
      <w:r w:rsidR="00975895" w:rsidRPr="003015FD">
        <w:t xml:space="preserve"> </w:t>
      </w:r>
      <w:r w:rsidRPr="003015FD">
        <w:t>and</w:t>
      </w:r>
      <w:r w:rsidR="00975895" w:rsidRPr="003015FD">
        <w:t xml:space="preserve"> </w:t>
      </w:r>
      <w:r w:rsidRPr="003015FD">
        <w:t>shared</w:t>
      </w:r>
      <w:r w:rsidR="00975895" w:rsidRPr="003015FD">
        <w:t xml:space="preserve"> </w:t>
      </w:r>
      <w:r w:rsidRPr="003015FD">
        <w:t>within</w:t>
      </w:r>
      <w:r w:rsidR="00975895" w:rsidRPr="003015FD">
        <w:t xml:space="preserve"> </w:t>
      </w:r>
      <w:r w:rsidRPr="003015FD">
        <w:t>organisations</w:t>
      </w:r>
      <w:r w:rsidR="00975895" w:rsidRPr="003015FD">
        <w:t xml:space="preserve"> </w:t>
      </w:r>
      <w:r w:rsidRPr="003015FD">
        <w:t>to</w:t>
      </w:r>
      <w:r w:rsidR="00975895" w:rsidRPr="003015FD">
        <w:t xml:space="preserve"> </w:t>
      </w:r>
      <w:r w:rsidRPr="003015FD">
        <w:t>avoid</w:t>
      </w:r>
      <w:r w:rsidR="00975895" w:rsidRPr="003015FD">
        <w:t xml:space="preserve"> </w:t>
      </w:r>
      <w:r w:rsidRPr="003015FD">
        <w:t>duplication</w:t>
      </w:r>
      <w:r w:rsidR="00975895" w:rsidRPr="003015FD">
        <w:t xml:space="preserve"> </w:t>
      </w:r>
      <w:r w:rsidRPr="003015FD">
        <w:t>and</w:t>
      </w:r>
      <w:r w:rsidR="00975895" w:rsidRPr="003015FD">
        <w:t xml:space="preserve"> </w:t>
      </w:r>
      <w:r w:rsidRPr="003015FD">
        <w:t>isolation</w:t>
      </w:r>
      <w:r w:rsidR="00975895" w:rsidRPr="003015FD">
        <w:t xml:space="preserve"> </w:t>
      </w:r>
      <w:r w:rsidRPr="003015FD">
        <w:t>o</w:t>
      </w:r>
      <w:r w:rsidR="004B705F" w:rsidRPr="003015FD">
        <w:t>f</w:t>
      </w:r>
      <w:r w:rsidR="00975895" w:rsidRPr="003015FD">
        <w:t xml:space="preserve"> </w:t>
      </w:r>
      <w:r w:rsidRPr="003015FD">
        <w:t>information.</w:t>
      </w:r>
      <w:r w:rsidR="00975895" w:rsidRPr="003015FD">
        <w:t xml:space="preserve"> </w:t>
      </w:r>
      <w:r w:rsidRPr="003015FD">
        <w:t>This</w:t>
      </w:r>
      <w:r w:rsidR="00975895" w:rsidRPr="003015FD">
        <w:t xml:space="preserve"> </w:t>
      </w:r>
      <w:r w:rsidRPr="003015FD">
        <w:t>will</w:t>
      </w:r>
      <w:r w:rsidR="00975895" w:rsidRPr="003015FD">
        <w:t xml:space="preserve"> </w:t>
      </w:r>
      <w:r w:rsidRPr="003015FD">
        <w:t>ensure</w:t>
      </w:r>
      <w:r w:rsidR="00975895" w:rsidRPr="003015FD">
        <w:t xml:space="preserve"> </w:t>
      </w:r>
      <w:r w:rsidRPr="003015FD">
        <w:t>that</w:t>
      </w:r>
      <w:r w:rsidR="00975895" w:rsidRPr="003015FD">
        <w:t xml:space="preserve"> </w:t>
      </w:r>
      <w:r w:rsidRPr="003015FD">
        <w:t>key</w:t>
      </w:r>
      <w:r w:rsidR="00975895" w:rsidRPr="003015FD">
        <w:t xml:space="preserve"> </w:t>
      </w:r>
      <w:r w:rsidRPr="003015FD">
        <w:t>work</w:t>
      </w:r>
      <w:r w:rsidR="00975895" w:rsidRPr="003015FD">
        <w:t xml:space="preserve"> </w:t>
      </w:r>
      <w:r w:rsidRPr="003015FD">
        <w:t>and</w:t>
      </w:r>
      <w:r w:rsidR="00975895" w:rsidRPr="003015FD">
        <w:t xml:space="preserve"> </w:t>
      </w:r>
      <w:r w:rsidRPr="003015FD">
        <w:t>policy</w:t>
      </w:r>
      <w:r w:rsidR="00975895" w:rsidRPr="003015FD">
        <w:t xml:space="preserve"> </w:t>
      </w:r>
      <w:r w:rsidRPr="003015FD">
        <w:t>positions</w:t>
      </w:r>
      <w:r w:rsidR="00975895" w:rsidRPr="003015FD">
        <w:t xml:space="preserve"> </w:t>
      </w:r>
      <w:r w:rsidRPr="003015FD">
        <w:t>are</w:t>
      </w:r>
      <w:r w:rsidR="00975895" w:rsidRPr="003015FD">
        <w:t xml:space="preserve"> </w:t>
      </w:r>
      <w:r w:rsidRPr="003015FD">
        <w:t>informed</w:t>
      </w:r>
      <w:r w:rsidR="00975895" w:rsidRPr="003015FD">
        <w:t xml:space="preserve"> </w:t>
      </w:r>
      <w:r w:rsidRPr="003015FD">
        <w:t>by</w:t>
      </w:r>
      <w:r w:rsidR="00975895" w:rsidRPr="003015FD">
        <w:t xml:space="preserve"> </w:t>
      </w:r>
      <w:r w:rsidRPr="003015FD">
        <w:t>the</w:t>
      </w:r>
      <w:r w:rsidR="00975895" w:rsidRPr="003015FD">
        <w:t xml:space="preserve"> </w:t>
      </w:r>
      <w:r w:rsidRPr="003015FD">
        <w:t>most</w:t>
      </w:r>
      <w:r w:rsidR="00975895" w:rsidRPr="003015FD">
        <w:t xml:space="preserve"> </w:t>
      </w:r>
      <w:r w:rsidRPr="003015FD">
        <w:t>up-to-date</w:t>
      </w:r>
      <w:r w:rsidR="00975895" w:rsidRPr="003015FD">
        <w:t xml:space="preserve"> </w:t>
      </w:r>
      <w:r w:rsidRPr="003015FD">
        <w:t>community</w:t>
      </w:r>
      <w:r w:rsidR="00975895" w:rsidRPr="003015FD">
        <w:t xml:space="preserve"> </w:t>
      </w:r>
      <w:r w:rsidRPr="003015FD">
        <w:t>needs</w:t>
      </w:r>
      <w:r w:rsidR="00975895" w:rsidRPr="003015FD">
        <w:t xml:space="preserve"> </w:t>
      </w:r>
      <w:r w:rsidRPr="003015FD">
        <w:t>and</w:t>
      </w:r>
      <w:r w:rsidR="00975895" w:rsidRPr="003015FD">
        <w:t xml:space="preserve"> </w:t>
      </w:r>
      <w:r w:rsidRPr="003015FD">
        <w:t>perspectives.</w:t>
      </w:r>
      <w:r w:rsidR="00975895" w:rsidRPr="003015FD">
        <w:t xml:space="preserve"> </w:t>
      </w:r>
      <w:r w:rsidR="004B705F" w:rsidRPr="003015FD">
        <w:t>The</w:t>
      </w:r>
      <w:r w:rsidR="00975895" w:rsidRPr="003015FD">
        <w:t xml:space="preserve"> </w:t>
      </w:r>
      <w:r w:rsidR="004B705F" w:rsidRPr="003015FD">
        <w:t>Commission</w:t>
      </w:r>
      <w:r w:rsidR="00975895" w:rsidRPr="003015FD">
        <w:t xml:space="preserve"> </w:t>
      </w:r>
      <w:r w:rsidR="004B705F" w:rsidRPr="003015FD">
        <w:t>notes</w:t>
      </w:r>
      <w:r w:rsidR="00975895" w:rsidRPr="003015FD">
        <w:t xml:space="preserve"> </w:t>
      </w:r>
      <w:r w:rsidR="004B705F" w:rsidRPr="003015FD">
        <w:t>that</w:t>
      </w:r>
      <w:r w:rsidR="00975895" w:rsidRPr="003015FD">
        <w:t xml:space="preserve"> </w:t>
      </w:r>
      <w:r w:rsidR="004B705F" w:rsidRPr="003015FD">
        <w:t>community</w:t>
      </w:r>
      <w:r w:rsidR="00975895" w:rsidRPr="003015FD">
        <w:t xml:space="preserve"> </w:t>
      </w:r>
      <w:r w:rsidR="004B705F" w:rsidRPr="003015FD">
        <w:t>feedback</w:t>
      </w:r>
      <w:r w:rsidR="00975895" w:rsidRPr="003015FD">
        <w:t xml:space="preserve"> </w:t>
      </w:r>
      <w:r w:rsidR="004B705F" w:rsidRPr="003015FD">
        <w:t>may</w:t>
      </w:r>
      <w:r w:rsidR="00975895" w:rsidRPr="003015FD">
        <w:t xml:space="preserve"> </w:t>
      </w:r>
      <w:r w:rsidR="004B705F" w:rsidRPr="003015FD">
        <w:t>be</w:t>
      </w:r>
      <w:r w:rsidR="00975895" w:rsidRPr="003015FD">
        <w:t xml:space="preserve"> </w:t>
      </w:r>
      <w:r w:rsidR="004B705F" w:rsidRPr="003015FD">
        <w:t>received</w:t>
      </w:r>
      <w:r w:rsidR="00975895" w:rsidRPr="003015FD">
        <w:t xml:space="preserve"> </w:t>
      </w:r>
      <w:r w:rsidR="004B705F" w:rsidRPr="003015FD">
        <w:t>through</w:t>
      </w:r>
      <w:r w:rsidR="00975895" w:rsidRPr="003015FD">
        <w:t xml:space="preserve"> </w:t>
      </w:r>
      <w:r w:rsidR="004B705F" w:rsidRPr="003015FD">
        <w:t>a</w:t>
      </w:r>
      <w:r w:rsidR="00975895" w:rsidRPr="003015FD">
        <w:t xml:space="preserve"> </w:t>
      </w:r>
      <w:r w:rsidR="004B705F" w:rsidRPr="003015FD">
        <w:t>formal</w:t>
      </w:r>
      <w:r w:rsidR="00975895" w:rsidRPr="003015FD">
        <w:t xml:space="preserve"> </w:t>
      </w:r>
      <w:r w:rsidR="004B705F" w:rsidRPr="003015FD">
        <w:t>community</w:t>
      </w:r>
      <w:r w:rsidR="00975895" w:rsidRPr="003015FD">
        <w:t xml:space="preserve"> </w:t>
      </w:r>
      <w:r w:rsidR="004B705F" w:rsidRPr="003015FD">
        <w:t>engagement</w:t>
      </w:r>
      <w:r w:rsidR="00975895" w:rsidRPr="003015FD">
        <w:t xml:space="preserve"> </w:t>
      </w:r>
      <w:r w:rsidR="004B705F" w:rsidRPr="003015FD">
        <w:t>process,</w:t>
      </w:r>
      <w:r w:rsidR="00975895" w:rsidRPr="003015FD">
        <w:t xml:space="preserve"> </w:t>
      </w:r>
      <w:r w:rsidR="004B705F" w:rsidRPr="003015FD">
        <w:t>or</w:t>
      </w:r>
      <w:r w:rsidR="00975895" w:rsidRPr="003015FD">
        <w:t xml:space="preserve"> </w:t>
      </w:r>
      <w:r w:rsidR="004B705F" w:rsidRPr="003015FD">
        <w:t>public</w:t>
      </w:r>
      <w:r w:rsidR="00975895" w:rsidRPr="003015FD">
        <w:t xml:space="preserve"> </w:t>
      </w:r>
      <w:r w:rsidR="004B705F" w:rsidRPr="003015FD">
        <w:t>authorities</w:t>
      </w:r>
      <w:r w:rsidR="00975895" w:rsidRPr="003015FD">
        <w:t xml:space="preserve"> </w:t>
      </w:r>
      <w:r w:rsidR="004B705F" w:rsidRPr="003015FD">
        <w:t>may</w:t>
      </w:r>
      <w:r w:rsidR="00975895" w:rsidRPr="003015FD">
        <w:t xml:space="preserve"> </w:t>
      </w:r>
      <w:r w:rsidR="004B705F" w:rsidRPr="003015FD">
        <w:t>be</w:t>
      </w:r>
      <w:r w:rsidR="00975895" w:rsidRPr="003015FD">
        <w:t xml:space="preserve"> </w:t>
      </w:r>
      <w:r w:rsidR="004B705F" w:rsidRPr="003015FD">
        <w:t>approached</w:t>
      </w:r>
      <w:r w:rsidR="00975895" w:rsidRPr="003015FD">
        <w:t xml:space="preserve"> </w:t>
      </w:r>
      <w:r w:rsidR="004B705F" w:rsidRPr="003015FD">
        <w:t>directly</w:t>
      </w:r>
      <w:r w:rsidR="00975895" w:rsidRPr="003015FD">
        <w:t xml:space="preserve"> </w:t>
      </w:r>
      <w:r w:rsidR="004B705F" w:rsidRPr="003015FD">
        <w:t>by</w:t>
      </w:r>
      <w:r w:rsidR="00975895" w:rsidRPr="003015FD">
        <w:t xml:space="preserve"> </w:t>
      </w:r>
      <w:r w:rsidR="004B705F" w:rsidRPr="003015FD">
        <w:t>community</w:t>
      </w:r>
      <w:r w:rsidR="00975895" w:rsidRPr="003015FD">
        <w:t xml:space="preserve"> </w:t>
      </w:r>
      <w:r w:rsidR="004B705F" w:rsidRPr="003015FD">
        <w:t>groups</w:t>
      </w:r>
      <w:r w:rsidR="00975895" w:rsidRPr="003015FD">
        <w:t xml:space="preserve"> </w:t>
      </w:r>
      <w:r w:rsidR="004B705F" w:rsidRPr="003015FD">
        <w:t>from</w:t>
      </w:r>
      <w:r w:rsidR="00975895" w:rsidRPr="003015FD">
        <w:t xml:space="preserve"> </w:t>
      </w:r>
      <w:r w:rsidR="00A057C3">
        <w:t>time to time</w:t>
      </w:r>
      <w:r w:rsidR="00975895" w:rsidRPr="003015FD">
        <w:t xml:space="preserve"> </w:t>
      </w:r>
      <w:r w:rsidR="004B705F" w:rsidRPr="003015FD">
        <w:t>with</w:t>
      </w:r>
      <w:r w:rsidR="00975895" w:rsidRPr="003015FD">
        <w:t xml:space="preserve"> </w:t>
      </w:r>
      <w:r w:rsidR="004B705F" w:rsidRPr="003015FD">
        <w:t>a</w:t>
      </w:r>
      <w:r w:rsidR="00975895" w:rsidRPr="003015FD">
        <w:t xml:space="preserve"> </w:t>
      </w:r>
      <w:r w:rsidR="004B705F" w:rsidRPr="003015FD">
        <w:t>view</w:t>
      </w:r>
      <w:r w:rsidR="00975895" w:rsidRPr="003015FD">
        <w:t xml:space="preserve"> </w:t>
      </w:r>
      <w:r w:rsidR="004B705F" w:rsidRPr="003015FD">
        <w:t>to</w:t>
      </w:r>
      <w:r w:rsidR="00975895" w:rsidRPr="003015FD">
        <w:t xml:space="preserve"> </w:t>
      </w:r>
      <w:r w:rsidR="004B705F" w:rsidRPr="003015FD">
        <w:t>influence</w:t>
      </w:r>
      <w:r w:rsidR="00975895" w:rsidRPr="003015FD">
        <w:t xml:space="preserve"> </w:t>
      </w:r>
      <w:r w:rsidR="004B705F" w:rsidRPr="003015FD">
        <w:t>their</w:t>
      </w:r>
      <w:r w:rsidR="00975895" w:rsidRPr="003015FD">
        <w:t xml:space="preserve"> </w:t>
      </w:r>
      <w:r w:rsidR="004B705F" w:rsidRPr="003015FD">
        <w:t>organisations</w:t>
      </w:r>
      <w:r w:rsidR="00A057C3">
        <w:t>'</w:t>
      </w:r>
      <w:r w:rsidR="00975895" w:rsidRPr="003015FD">
        <w:t xml:space="preserve"> </w:t>
      </w:r>
      <w:r w:rsidR="004B705F" w:rsidRPr="003015FD">
        <w:t>policies,</w:t>
      </w:r>
      <w:r w:rsidR="00975895" w:rsidRPr="003015FD">
        <w:t xml:space="preserve"> </w:t>
      </w:r>
      <w:r w:rsidR="004B705F" w:rsidRPr="003015FD">
        <w:t>procedures</w:t>
      </w:r>
      <w:r w:rsidR="00975895" w:rsidRPr="003015FD">
        <w:t xml:space="preserve"> </w:t>
      </w:r>
      <w:r w:rsidR="004B705F" w:rsidRPr="003015FD">
        <w:t>and</w:t>
      </w:r>
      <w:r w:rsidR="00975895" w:rsidRPr="003015FD">
        <w:t xml:space="preserve"> </w:t>
      </w:r>
      <w:r w:rsidR="004B705F" w:rsidRPr="003015FD">
        <w:t>practices</w:t>
      </w:r>
      <w:r w:rsidR="00975895" w:rsidRPr="003015FD">
        <w:t xml:space="preserve"> </w:t>
      </w:r>
      <w:r w:rsidR="00A057C3">
        <w:t>by</w:t>
      </w:r>
      <w:r w:rsidR="00A057C3" w:rsidRPr="003015FD">
        <w:t xml:space="preserve"> </w:t>
      </w:r>
      <w:r w:rsidR="004B705F" w:rsidRPr="003015FD">
        <w:t>using</w:t>
      </w:r>
      <w:r w:rsidR="00975895" w:rsidRPr="003015FD">
        <w:t xml:space="preserve"> </w:t>
      </w:r>
      <w:r w:rsidR="004B705F" w:rsidRPr="003015FD">
        <w:t>the</w:t>
      </w:r>
      <w:r w:rsidR="00975895" w:rsidRPr="003015FD">
        <w:t xml:space="preserve"> </w:t>
      </w:r>
      <w:r w:rsidR="004B705F" w:rsidRPr="003015FD">
        <w:t>Charter.</w:t>
      </w:r>
    </w:p>
    <w:p w14:paraId="02CC94F3" w14:textId="2AE2ED20" w:rsidR="00434D7D" w:rsidRPr="003015FD" w:rsidRDefault="003015FD" w:rsidP="001D418D">
      <w:r>
        <w:t>Accessible t</w:t>
      </w:r>
      <w:r w:rsidR="004C4E07" w:rsidRPr="003015FD">
        <w:t>ools</w:t>
      </w:r>
      <w:r w:rsidR="00975895" w:rsidRPr="003015FD">
        <w:t xml:space="preserve"> </w:t>
      </w:r>
      <w:r w:rsidR="004C4E07" w:rsidRPr="003015FD">
        <w:t>and</w:t>
      </w:r>
      <w:r w:rsidR="00975895" w:rsidRPr="003015FD">
        <w:t xml:space="preserve"> </w:t>
      </w:r>
      <w:r w:rsidR="004C4E07" w:rsidRPr="003015FD">
        <w:t>information</w:t>
      </w:r>
      <w:r w:rsidR="00975895" w:rsidRPr="003015FD">
        <w:t xml:space="preserve"> </w:t>
      </w:r>
      <w:r w:rsidR="003B428A">
        <w:t xml:space="preserve">about human rights and obligations </w:t>
      </w:r>
      <w:r w:rsidR="004C4E07" w:rsidRPr="003015FD">
        <w:t>should</w:t>
      </w:r>
      <w:r w:rsidR="00975895" w:rsidRPr="003015FD">
        <w:t xml:space="preserve"> </w:t>
      </w:r>
      <w:r w:rsidR="004C4E07" w:rsidRPr="003015FD">
        <w:t>be</w:t>
      </w:r>
      <w:r w:rsidR="00975895" w:rsidRPr="003015FD">
        <w:t xml:space="preserve"> </w:t>
      </w:r>
      <w:r w:rsidR="004C4E07" w:rsidRPr="003015FD">
        <w:t>made</w:t>
      </w:r>
      <w:r w:rsidR="00975895" w:rsidRPr="003015FD">
        <w:t xml:space="preserve"> </w:t>
      </w:r>
      <w:r w:rsidR="004C4E07" w:rsidRPr="003015FD">
        <w:t>available</w:t>
      </w:r>
      <w:r w:rsidR="00975895" w:rsidRPr="003015FD">
        <w:t xml:space="preserve"> </w:t>
      </w:r>
      <w:r w:rsidR="004C4E07" w:rsidRPr="003015FD">
        <w:t>for</w:t>
      </w:r>
      <w:r w:rsidR="00975895" w:rsidRPr="003015FD">
        <w:t xml:space="preserve"> </w:t>
      </w:r>
      <w:r w:rsidR="004C4E07" w:rsidRPr="003015FD">
        <w:t>community</w:t>
      </w:r>
      <w:r w:rsidR="001D418D">
        <w:t>.</w:t>
      </w:r>
      <w:r w:rsidR="00975895" w:rsidRPr="003015FD">
        <w:t xml:space="preserve"> </w:t>
      </w:r>
    </w:p>
    <w:p w14:paraId="76061DA3" w14:textId="53C49165" w:rsidR="008E0945" w:rsidRPr="003015FD" w:rsidRDefault="008E0945" w:rsidP="001D418D">
      <w:r w:rsidRPr="003015FD">
        <w:t>All</w:t>
      </w:r>
      <w:r w:rsidR="00975895" w:rsidRPr="003015FD">
        <w:t xml:space="preserve"> </w:t>
      </w:r>
      <w:r w:rsidRPr="003015FD">
        <w:t>organisation</w:t>
      </w:r>
      <w:r w:rsidR="00975895" w:rsidRPr="003015FD">
        <w:t xml:space="preserve"> </w:t>
      </w:r>
      <w:r w:rsidRPr="003015FD">
        <w:t>types</w:t>
      </w:r>
      <w:r w:rsidR="00975895" w:rsidRPr="003015FD">
        <w:t xml:space="preserve"> </w:t>
      </w:r>
      <w:r w:rsidRPr="003015FD">
        <w:t>performed</w:t>
      </w:r>
      <w:r w:rsidR="00975895" w:rsidRPr="003015FD">
        <w:t xml:space="preserve"> </w:t>
      </w:r>
      <w:r w:rsidRPr="003015FD">
        <w:t>well</w:t>
      </w:r>
      <w:r w:rsidR="00975895" w:rsidRPr="003015FD">
        <w:t xml:space="preserve"> </w:t>
      </w:r>
      <w:r w:rsidRPr="003015FD">
        <w:t>on</w:t>
      </w:r>
      <w:r w:rsidR="00975895" w:rsidRPr="003015FD">
        <w:t xml:space="preserve"> </w:t>
      </w:r>
      <w:r w:rsidRPr="003015FD">
        <w:t>community</w:t>
      </w:r>
      <w:r w:rsidR="00975895" w:rsidRPr="003015FD">
        <w:t xml:space="preserve"> </w:t>
      </w:r>
      <w:r w:rsidRPr="003015FD">
        <w:t>engagement</w:t>
      </w:r>
      <w:r w:rsidR="00975895" w:rsidRPr="003015FD">
        <w:t xml:space="preserve"> </w:t>
      </w:r>
      <w:r w:rsidR="003B428A">
        <w:br/>
      </w:r>
      <w:r w:rsidRPr="003015FD">
        <w:t>and</w:t>
      </w:r>
      <w:r w:rsidR="00975895" w:rsidRPr="003015FD">
        <w:t xml:space="preserve"> </w:t>
      </w:r>
      <w:r w:rsidRPr="003015FD">
        <w:t>participation,</w:t>
      </w:r>
      <w:r w:rsidR="00975895" w:rsidRPr="003015FD">
        <w:t xml:space="preserve"> </w:t>
      </w:r>
      <w:r w:rsidRPr="003015FD">
        <w:t>particularly</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(83.6</w:t>
      </w:r>
      <w:r w:rsidR="00975895" w:rsidRPr="003015FD">
        <w:t xml:space="preserve"> </w:t>
      </w:r>
      <w:r w:rsidRPr="003015FD">
        <w:t>points).</w:t>
      </w:r>
    </w:p>
    <w:p w14:paraId="63ABE70E" w14:textId="127EE2B4"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6:</w:t>
      </w:r>
      <w:r w:rsidR="00975895" w:rsidRPr="0002642E">
        <w:rPr>
          <w:rStyle w:val="Characterbold"/>
        </w:rPr>
        <w:t xml:space="preserve"> </w:t>
      </w:r>
      <w:r w:rsidRPr="0002642E">
        <w:rPr>
          <w:rStyle w:val="Characterbold"/>
        </w:rPr>
        <w:t>Overall</w:t>
      </w:r>
      <w:r w:rsidR="00975895" w:rsidRPr="0002642E">
        <w:rPr>
          <w:rStyle w:val="Characterbold"/>
        </w:rPr>
        <w:t xml:space="preserve"> </w:t>
      </w:r>
      <w:r w:rsidRPr="0002642E">
        <w:rPr>
          <w:rStyle w:val="Characterbold"/>
        </w:rPr>
        <w:t>performance</w:t>
      </w:r>
      <w:r w:rsidR="00975895" w:rsidRPr="0002642E">
        <w:rPr>
          <w:rStyle w:val="Characterbold"/>
        </w:rPr>
        <w:t xml:space="preserve"> </w:t>
      </w:r>
      <w:r w:rsidRPr="0002642E">
        <w:rPr>
          <w:rStyle w:val="Characterbold"/>
        </w:rPr>
        <w:t>–</w:t>
      </w:r>
      <w:r w:rsidR="00975895" w:rsidRPr="0002642E">
        <w:rPr>
          <w:rStyle w:val="Characterbold"/>
        </w:rPr>
        <w:t xml:space="preserve"> </w:t>
      </w:r>
      <w:r w:rsidRPr="0002642E">
        <w:rPr>
          <w:rStyle w:val="Characterbold"/>
        </w:rPr>
        <w:t>Community</w:t>
      </w:r>
      <w:r w:rsidR="00975895" w:rsidRPr="0002642E">
        <w:rPr>
          <w:rStyle w:val="Characterbold"/>
        </w:rPr>
        <w:t xml:space="preserve"> </w:t>
      </w:r>
      <w:r w:rsidRPr="0002642E">
        <w:rPr>
          <w:rStyle w:val="Characterbold"/>
        </w:rPr>
        <w:t>engagement</w:t>
      </w:r>
      <w:r w:rsidR="00975895" w:rsidRPr="0002642E">
        <w:rPr>
          <w:rStyle w:val="Characterbold"/>
        </w:rPr>
        <w:t xml:space="preserve"> </w:t>
      </w:r>
      <w:r w:rsidRPr="0002642E">
        <w:rPr>
          <w:rStyle w:val="Characterbold"/>
        </w:rPr>
        <w:t>and</w:t>
      </w:r>
      <w:r w:rsidR="00975895" w:rsidRPr="0002642E">
        <w:rPr>
          <w:rStyle w:val="Characterbold"/>
        </w:rPr>
        <w:t xml:space="preserve"> </w:t>
      </w:r>
      <w:r w:rsidRPr="0002642E">
        <w:rPr>
          <w:rStyle w:val="Characterbold"/>
        </w:rPr>
        <w:t>participation</w:t>
      </w:r>
    </w:p>
    <w:p w14:paraId="54CBF334" w14:textId="769E1744"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2F3DFA0B" w14:textId="77777777" w:rsidR="008E0945" w:rsidRPr="0002642E" w:rsidRDefault="008E0945" w:rsidP="0002642E">
      <w:pPr>
        <w:pStyle w:val="MediumGrid21"/>
        <w:jc w:val="center"/>
        <w:rPr>
          <w:rFonts w:ascii="Arial" w:hAnsi="Arial"/>
        </w:rPr>
      </w:pPr>
      <w:r w:rsidRPr="0002642E">
        <w:rPr>
          <w:rFonts w:ascii="Arial" w:hAnsi="Arial" w:cs="Arial"/>
          <w:noProof/>
          <w:lang w:val="en-GB" w:eastAsia="en-GB"/>
        </w:rPr>
        <w:drawing>
          <wp:inline distT="0" distB="0" distL="0" distR="0" wp14:anchorId="785E8AB7" wp14:editId="5DFC9799">
            <wp:extent cx="5399046" cy="2359660"/>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a:extLst>
                        <a:ext uri="{28A0092B-C50C-407E-A947-70E740481C1C}">
                          <a14:useLocalDpi xmlns:a14="http://schemas.microsoft.com/office/drawing/2010/main" val="0"/>
                        </a:ext>
                      </a:extLst>
                    </a:blip>
                    <a:srcRect t="12995"/>
                    <a:stretch/>
                  </pic:blipFill>
                  <pic:spPr bwMode="auto">
                    <a:xfrm>
                      <a:off x="0" y="0"/>
                      <a:ext cx="5400000" cy="2360077"/>
                    </a:xfrm>
                    <a:prstGeom prst="rect">
                      <a:avLst/>
                    </a:prstGeom>
                    <a:noFill/>
                    <a:ln>
                      <a:noFill/>
                    </a:ln>
                    <a:extLst>
                      <a:ext uri="{53640926-AAD7-44D8-BBD7-CCE9431645EC}">
                        <a14:shadowObscured xmlns:a14="http://schemas.microsoft.com/office/drawing/2010/main"/>
                      </a:ext>
                    </a:extLst>
                  </pic:spPr>
                </pic:pic>
              </a:graphicData>
            </a:graphic>
          </wp:inline>
        </w:drawing>
      </w:r>
    </w:p>
    <w:p w14:paraId="77AE3DE7" w14:textId="28CBE0CB" w:rsidR="008E0945" w:rsidRPr="003015FD" w:rsidRDefault="008E0945" w:rsidP="0002642E">
      <w:r w:rsidRPr="003015FD">
        <w:t>The</w:t>
      </w:r>
      <w:r w:rsidR="00975895" w:rsidRPr="003015FD">
        <w:t xml:space="preserve"> </w:t>
      </w:r>
      <w:r w:rsidRPr="003015FD">
        <w:t>Commission</w:t>
      </w:r>
      <w:r w:rsidR="00975895" w:rsidRPr="003015FD">
        <w:t xml:space="preserve"> </w:t>
      </w:r>
      <w:r w:rsidRPr="003015FD">
        <w:t>notes</w:t>
      </w:r>
      <w:r w:rsidR="00975895" w:rsidRPr="003015FD">
        <w:t xml:space="preserve"> </w:t>
      </w:r>
      <w:r w:rsidRPr="003015FD">
        <w:t>that</w:t>
      </w:r>
      <w:r w:rsidR="00975895" w:rsidRPr="003015FD">
        <w:t xml:space="preserve"> </w:t>
      </w:r>
      <w:r w:rsidRPr="003015FD">
        <w:t>in</w:t>
      </w:r>
      <w:r w:rsidR="00975895" w:rsidRPr="003015FD">
        <w:t xml:space="preserve"> </w:t>
      </w:r>
      <w:r w:rsidRPr="003015FD">
        <w:t>2018</w:t>
      </w:r>
      <w:r w:rsidR="00975895" w:rsidRPr="003015FD">
        <w:t xml:space="preserve"> </w:t>
      </w:r>
      <w:r w:rsidRPr="003015FD">
        <w:t>there</w:t>
      </w:r>
      <w:r w:rsidR="00975895" w:rsidRPr="003015FD">
        <w:t xml:space="preserve"> </w:t>
      </w:r>
      <w:r w:rsidRPr="003015FD">
        <w:t>were</w:t>
      </w:r>
      <w:r w:rsidR="00975895" w:rsidRPr="003015FD">
        <w:t xml:space="preserve"> </w:t>
      </w:r>
      <w:r w:rsidRPr="003015FD">
        <w:t>only</w:t>
      </w:r>
      <w:r w:rsidR="00975895" w:rsidRPr="003015FD">
        <w:t xml:space="preserve"> </w:t>
      </w:r>
      <w:r w:rsidRPr="003015FD">
        <w:t>seven</w:t>
      </w:r>
      <w:r w:rsidR="00975895" w:rsidRPr="003015FD">
        <w:t xml:space="preserve"> </w:t>
      </w:r>
      <w:r w:rsidRPr="003015FD">
        <w:t>public</w:t>
      </w:r>
      <w:r w:rsidR="00975895" w:rsidRPr="003015FD">
        <w:t xml:space="preserve"> </w:t>
      </w:r>
      <w:r w:rsidRPr="003015FD">
        <w:t>submissions</w:t>
      </w:r>
      <w:r w:rsidR="00975895" w:rsidRPr="003015FD">
        <w:t xml:space="preserve"> </w:t>
      </w:r>
      <w:r w:rsidRPr="003015FD">
        <w:t>from</w:t>
      </w:r>
      <w:r w:rsidR="00975895" w:rsidRPr="003015FD">
        <w:t xml:space="preserve"> </w:t>
      </w:r>
      <w:r w:rsidRPr="003015FD">
        <w:t>community</w:t>
      </w:r>
      <w:r w:rsidR="00975895" w:rsidRPr="003015FD">
        <w:t xml:space="preserve"> </w:t>
      </w:r>
      <w:r w:rsidRPr="003015FD">
        <w:t>organisations</w:t>
      </w:r>
      <w:r w:rsidR="00975895" w:rsidRPr="003015FD">
        <w:t xml:space="preserve"> </w:t>
      </w:r>
      <w:r w:rsidRPr="003015FD">
        <w:t>to</w:t>
      </w:r>
      <w:r w:rsidR="00975895" w:rsidRPr="003015FD">
        <w:t xml:space="preserve"> </w:t>
      </w:r>
      <w:r w:rsidRPr="003015FD">
        <w:t>the</w:t>
      </w:r>
      <w:r w:rsidR="00975895" w:rsidRPr="003015FD">
        <w:t xml:space="preserve"> </w:t>
      </w:r>
      <w:r w:rsidRPr="003015FD">
        <w:t>Scrutiny</w:t>
      </w:r>
      <w:r w:rsidR="00975895" w:rsidRPr="003015FD">
        <w:t xml:space="preserve"> </w:t>
      </w:r>
      <w:r w:rsidRPr="003015FD">
        <w:t>of</w:t>
      </w:r>
      <w:r w:rsidR="00975895" w:rsidRPr="003015FD">
        <w:t xml:space="preserve"> </w:t>
      </w:r>
      <w:r w:rsidRPr="003015FD">
        <w:t>Acts</w:t>
      </w:r>
      <w:r w:rsidR="00975895" w:rsidRPr="003015FD">
        <w:t xml:space="preserve"> </w:t>
      </w:r>
      <w:r w:rsidRPr="003015FD">
        <w:t>and</w:t>
      </w:r>
      <w:r w:rsidR="00975895" w:rsidRPr="003015FD">
        <w:t xml:space="preserve"> </w:t>
      </w:r>
      <w:r w:rsidRPr="003015FD">
        <w:t>Regulations</w:t>
      </w:r>
      <w:r w:rsidR="00975895" w:rsidRPr="003015FD">
        <w:t xml:space="preserve"> </w:t>
      </w:r>
      <w:r w:rsidRPr="003015FD">
        <w:t>Committee,</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four</w:t>
      </w:r>
      <w:r w:rsidR="00975895" w:rsidRPr="003015FD">
        <w:t xml:space="preserve"> </w:t>
      </w:r>
      <w:r w:rsidRPr="003015FD">
        <w:t>Bills.</w:t>
      </w:r>
      <w:r w:rsidR="00975895" w:rsidRPr="003015FD">
        <w:t xml:space="preserve"> </w:t>
      </w:r>
      <w:r w:rsidRPr="003015FD">
        <w:t>Public</w:t>
      </w:r>
      <w:r w:rsidR="00975895" w:rsidRPr="003015FD">
        <w:t xml:space="preserve"> </w:t>
      </w:r>
      <w:r w:rsidRPr="003015FD">
        <w:t>submissions</w:t>
      </w:r>
      <w:r w:rsidR="00975895" w:rsidRPr="003015FD">
        <w:t xml:space="preserve"> </w:t>
      </w:r>
      <w:r w:rsidRPr="003015FD">
        <w:t>promote</w:t>
      </w:r>
      <w:r w:rsidR="00975895" w:rsidRPr="003015FD">
        <w:t xml:space="preserve"> </w:t>
      </w:r>
      <w:r w:rsidRPr="003015FD">
        <w:t>public</w:t>
      </w:r>
      <w:r w:rsidR="00975895" w:rsidRPr="003015FD">
        <w:t xml:space="preserve"> </w:t>
      </w:r>
      <w:r w:rsidRPr="003015FD">
        <w:t>accountability</w:t>
      </w:r>
      <w:r w:rsidR="00975895" w:rsidRPr="003015FD">
        <w:t xml:space="preserve"> </w:t>
      </w:r>
      <w:r w:rsidRPr="003015FD">
        <w:t>in</w:t>
      </w:r>
      <w:r w:rsidR="00975895" w:rsidRPr="003015FD">
        <w:t xml:space="preserve"> </w:t>
      </w:r>
      <w:r w:rsidR="003015FD" w:rsidRPr="003015FD">
        <w:t>law-making</w:t>
      </w:r>
      <w:r w:rsidRPr="003015FD">
        <w:t>.</w:t>
      </w:r>
      <w:r w:rsidR="00975895" w:rsidRPr="003015FD">
        <w:t xml:space="preserve"> </w:t>
      </w:r>
      <w:r w:rsidRPr="003015FD">
        <w:t>A</w:t>
      </w:r>
      <w:r w:rsidR="00975895" w:rsidRPr="003015FD">
        <w:t xml:space="preserve"> </w:t>
      </w:r>
      <w:r w:rsidRPr="003015FD">
        <w:t>high</w:t>
      </w:r>
      <w:r w:rsidR="00975895" w:rsidRPr="003015FD">
        <w:t xml:space="preserve"> </w:t>
      </w:r>
      <w:r w:rsidRPr="003015FD">
        <w:t>number</w:t>
      </w:r>
      <w:r w:rsidR="00975895" w:rsidRPr="003015FD">
        <w:t xml:space="preserve"> </w:t>
      </w:r>
      <w:r w:rsidRPr="003015FD">
        <w:t>of</w:t>
      </w:r>
      <w:r w:rsidR="00975895" w:rsidRPr="003015FD">
        <w:t xml:space="preserve"> </w:t>
      </w:r>
      <w:r w:rsidRPr="003015FD">
        <w:t>submissions</w:t>
      </w:r>
      <w:r w:rsidR="00975895" w:rsidRPr="003015FD">
        <w:t xml:space="preserve"> </w:t>
      </w:r>
      <w:r w:rsidRPr="003015FD">
        <w:t>could</w:t>
      </w:r>
      <w:r w:rsidR="00975895" w:rsidRPr="003015FD">
        <w:t xml:space="preserve"> </w:t>
      </w:r>
      <w:r w:rsidRPr="003015FD">
        <w:t>indicate</w:t>
      </w:r>
      <w:r w:rsidR="00975895" w:rsidRPr="003015FD">
        <w:t xml:space="preserve"> </w:t>
      </w:r>
      <w:r w:rsidRPr="003015FD">
        <w:t>a</w:t>
      </w:r>
      <w:r w:rsidR="00975895" w:rsidRPr="003015FD">
        <w:t xml:space="preserve"> </w:t>
      </w:r>
      <w:r w:rsidRPr="003015FD">
        <w:t>culture</w:t>
      </w:r>
      <w:r w:rsidR="00975895" w:rsidRPr="003015FD">
        <w:t xml:space="preserve"> </w:t>
      </w:r>
      <w:r w:rsidRPr="003015FD">
        <w:t>in</w:t>
      </w:r>
      <w:r w:rsidR="00975895" w:rsidRPr="003015FD">
        <w:t xml:space="preserve"> </w:t>
      </w:r>
      <w:r w:rsidRPr="003015FD">
        <w:t>government</w:t>
      </w:r>
      <w:r w:rsidR="00975895" w:rsidRPr="003015FD">
        <w:t xml:space="preserve"> </w:t>
      </w:r>
      <w:r w:rsidRPr="003015FD">
        <w:t>where</w:t>
      </w:r>
      <w:r w:rsidR="00975895" w:rsidRPr="003015FD">
        <w:t xml:space="preserve"> </w:t>
      </w:r>
      <w:r w:rsidRPr="003015FD">
        <w:t>community</w:t>
      </w:r>
      <w:r w:rsidR="00975895" w:rsidRPr="003015FD">
        <w:t xml:space="preserve"> </w:t>
      </w:r>
      <w:r w:rsidR="00A057C3">
        <w:t xml:space="preserve">members </w:t>
      </w:r>
      <w:r w:rsidRPr="003015FD">
        <w:t>are</w:t>
      </w:r>
      <w:r w:rsidR="00975895" w:rsidRPr="003015FD">
        <w:t xml:space="preserve"> </w:t>
      </w:r>
      <w:r w:rsidRPr="003015FD">
        <w:t>engaged</w:t>
      </w:r>
      <w:r w:rsidR="00975895" w:rsidRPr="003015FD">
        <w:t xml:space="preserve"> </w:t>
      </w:r>
      <w:r w:rsidRPr="003015FD">
        <w:t>and</w:t>
      </w:r>
      <w:r w:rsidR="00975895" w:rsidRPr="003015FD">
        <w:t xml:space="preserve"> </w:t>
      </w:r>
      <w:r w:rsidRPr="003015FD">
        <w:t>invited</w:t>
      </w:r>
      <w:r w:rsidR="00975895" w:rsidRPr="003015FD">
        <w:t xml:space="preserve"> </w:t>
      </w:r>
      <w:r w:rsidRPr="003015FD">
        <w:t>to</w:t>
      </w:r>
      <w:r w:rsidR="00975895" w:rsidRPr="003015FD">
        <w:t xml:space="preserve"> </w:t>
      </w:r>
      <w:r w:rsidRPr="003015FD">
        <w:t>participate</w:t>
      </w:r>
      <w:r w:rsidR="00975895" w:rsidRPr="003015FD">
        <w:t xml:space="preserve"> </w:t>
      </w:r>
      <w:r w:rsidRPr="003015FD">
        <w:t>in</w:t>
      </w:r>
      <w:r w:rsidR="00975895" w:rsidRPr="003015FD">
        <w:t xml:space="preserve"> </w:t>
      </w:r>
      <w:r w:rsidRPr="003015FD">
        <w:t>the</w:t>
      </w:r>
      <w:r w:rsidR="00975895" w:rsidRPr="003015FD">
        <w:t xml:space="preserve"> </w:t>
      </w:r>
      <w:r w:rsidRPr="003015FD">
        <w:t>development</w:t>
      </w:r>
      <w:r w:rsidR="00975895" w:rsidRPr="003015FD">
        <w:t xml:space="preserve"> </w:t>
      </w:r>
      <w:r w:rsidRPr="003015FD">
        <w:t>of</w:t>
      </w:r>
      <w:r w:rsidR="00975895" w:rsidRPr="003015FD">
        <w:t xml:space="preserve"> </w:t>
      </w:r>
      <w:r w:rsidRPr="003015FD">
        <w:t>Victorian</w:t>
      </w:r>
      <w:r w:rsidR="00975895" w:rsidRPr="003015FD">
        <w:t xml:space="preserve"> </w:t>
      </w:r>
      <w:r w:rsidRPr="003015FD">
        <w:t>laws</w:t>
      </w:r>
      <w:r w:rsidR="00975895" w:rsidRPr="003015FD">
        <w:t xml:space="preserve"> </w:t>
      </w:r>
      <w:r w:rsidRPr="003015FD">
        <w:t>and</w:t>
      </w:r>
      <w:r w:rsidR="00975895" w:rsidRPr="003015FD">
        <w:t xml:space="preserve"> </w:t>
      </w:r>
      <w:r w:rsidRPr="003015FD">
        <w:t>policies.</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will</w:t>
      </w:r>
      <w:r w:rsidR="00975895" w:rsidRPr="003015FD">
        <w:t xml:space="preserve"> </w:t>
      </w:r>
      <w:r w:rsidRPr="003015FD">
        <w:t>track</w:t>
      </w:r>
      <w:r w:rsidR="00975895" w:rsidRPr="003015FD">
        <w:t xml:space="preserve"> </w:t>
      </w:r>
      <w:r w:rsidRPr="003015FD">
        <w:t>these</w:t>
      </w:r>
      <w:r w:rsidR="00975895" w:rsidRPr="003015FD">
        <w:t xml:space="preserve"> </w:t>
      </w:r>
      <w:r w:rsidRPr="003015FD">
        <w:t>results</w:t>
      </w:r>
      <w:r w:rsidR="00975895" w:rsidRPr="003015FD">
        <w:t xml:space="preserve"> </w:t>
      </w:r>
      <w:r w:rsidRPr="003015FD">
        <w:t>over</w:t>
      </w:r>
      <w:r w:rsidR="00975895" w:rsidRPr="003015FD">
        <w:t xml:space="preserve"> </w:t>
      </w:r>
      <w:r w:rsidRPr="003015FD">
        <w:t>time</w:t>
      </w:r>
      <w:r w:rsidR="00975895" w:rsidRPr="003015FD">
        <w:t xml:space="preserve"> </w:t>
      </w:r>
      <w:r w:rsidRPr="003015FD">
        <w:t>to</w:t>
      </w:r>
      <w:r w:rsidR="00975895" w:rsidRPr="003015FD">
        <w:t xml:space="preserve"> </w:t>
      </w:r>
      <w:r w:rsidRPr="003015FD">
        <w:t>identify</w:t>
      </w:r>
      <w:r w:rsidR="00975895" w:rsidRPr="003015FD">
        <w:t xml:space="preserve"> </w:t>
      </w:r>
      <w:r w:rsidRPr="003015FD">
        <w:t>trends.</w:t>
      </w:r>
    </w:p>
    <w:p w14:paraId="7289B2D0" w14:textId="1A50DD3C" w:rsidR="008E0945" w:rsidRPr="003015FD" w:rsidRDefault="008E0945" w:rsidP="0002642E">
      <w:pPr>
        <w:pStyle w:val="Heading4"/>
      </w:pPr>
      <w:r w:rsidRPr="003015FD">
        <w:t>A.</w:t>
      </w:r>
      <w:r w:rsidR="00975895" w:rsidRPr="003015FD">
        <w:t xml:space="preserve"> </w:t>
      </w:r>
      <w:r w:rsidRPr="003015FD">
        <w:t>Development</w:t>
      </w:r>
      <w:r w:rsidR="00975895" w:rsidRPr="003015FD">
        <w:t xml:space="preserve"> </w:t>
      </w:r>
      <w:r w:rsidRPr="003015FD">
        <w:t>of</w:t>
      </w:r>
      <w:r w:rsidR="00975895" w:rsidRPr="003015FD">
        <w:t xml:space="preserve"> </w:t>
      </w:r>
      <w:r w:rsidRPr="003015FD">
        <w:t>key</w:t>
      </w:r>
      <w:r w:rsidR="00975895" w:rsidRPr="003015FD">
        <w:t xml:space="preserve"> </w:t>
      </w:r>
      <w:r w:rsidRPr="003015FD">
        <w:t>work</w:t>
      </w:r>
      <w:r w:rsidR="00975895" w:rsidRPr="003015FD">
        <w:t xml:space="preserve"> </w:t>
      </w:r>
      <w:r w:rsidRPr="003015FD">
        <w:t>and</w:t>
      </w:r>
      <w:r w:rsidR="00975895" w:rsidRPr="003015FD">
        <w:t xml:space="preserve"> </w:t>
      </w:r>
      <w:r w:rsidRPr="003015FD">
        <w:t>policy</w:t>
      </w:r>
      <w:r w:rsidR="00975895" w:rsidRPr="003015FD">
        <w:t xml:space="preserve"> </w:t>
      </w:r>
      <w:r w:rsidRPr="003015FD">
        <w:t>positions</w:t>
      </w:r>
    </w:p>
    <w:p w14:paraId="466A8E34" w14:textId="1072B55A" w:rsidR="002F3427" w:rsidRDefault="008E0945" w:rsidP="0002642E">
      <w:r w:rsidRPr="003015FD">
        <w:t>Nearly</w:t>
      </w:r>
      <w:r w:rsidR="00975895" w:rsidRPr="003015FD">
        <w:t xml:space="preserve"> </w:t>
      </w:r>
      <w:r w:rsidRPr="003015FD">
        <w:t>all</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(94</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engaged</w:t>
      </w:r>
      <w:r w:rsidR="00975895" w:rsidRPr="003015FD">
        <w:t xml:space="preserve"> </w:t>
      </w:r>
      <w:r w:rsidRPr="003015FD">
        <w:t>with</w:t>
      </w:r>
      <w:r w:rsidR="00975895" w:rsidRPr="003015FD">
        <w:t xml:space="preserve"> </w:t>
      </w:r>
      <w:r w:rsidRPr="003015FD">
        <w:t>relevant</w:t>
      </w:r>
      <w:r w:rsidR="00975895" w:rsidRPr="003015FD">
        <w:t xml:space="preserve"> </w:t>
      </w:r>
      <w:r w:rsidRPr="003015FD">
        <w:t>community</w:t>
      </w:r>
      <w:r w:rsidR="00975895" w:rsidRPr="003015FD">
        <w:t xml:space="preserve"> </w:t>
      </w:r>
      <w:r w:rsidRPr="003015FD">
        <w:t>groups</w:t>
      </w:r>
      <w:r w:rsidR="00975895" w:rsidRPr="003015FD">
        <w:t xml:space="preserve"> </w:t>
      </w:r>
      <w:r w:rsidRPr="003015FD">
        <w:t>when</w:t>
      </w:r>
      <w:r w:rsidR="00975895" w:rsidRPr="003015FD">
        <w:t xml:space="preserve"> </w:t>
      </w:r>
      <w:r w:rsidRPr="003015FD">
        <w:t>developing</w:t>
      </w:r>
      <w:r w:rsidR="00975895" w:rsidRPr="003015FD">
        <w:t xml:space="preserve"> </w:t>
      </w:r>
      <w:r w:rsidRPr="003015FD">
        <w:t>key</w:t>
      </w:r>
      <w:r w:rsidR="00975895" w:rsidRPr="003015FD">
        <w:t xml:space="preserve"> </w:t>
      </w:r>
      <w:r w:rsidRPr="003015FD">
        <w:t>work</w:t>
      </w:r>
      <w:r w:rsidR="00975895" w:rsidRPr="003015FD">
        <w:t xml:space="preserve"> </w:t>
      </w:r>
      <w:r w:rsidRPr="003015FD">
        <w:t>and</w:t>
      </w:r>
      <w:r w:rsidR="00975895" w:rsidRPr="003015FD">
        <w:t xml:space="preserve"> </w:t>
      </w:r>
      <w:r w:rsidRPr="003015FD">
        <w:t>policy</w:t>
      </w:r>
      <w:r w:rsidR="00975895" w:rsidRPr="003015FD">
        <w:t xml:space="preserve"> </w:t>
      </w:r>
      <w:r w:rsidRPr="003015FD">
        <w:t>positions.</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were</w:t>
      </w:r>
      <w:r w:rsidR="00975895" w:rsidRPr="003015FD">
        <w:t xml:space="preserve"> </w:t>
      </w:r>
      <w:r w:rsidRPr="003015FD">
        <w:t>most</w:t>
      </w:r>
      <w:r w:rsidR="00975895" w:rsidRPr="003015FD">
        <w:t xml:space="preserve"> </w:t>
      </w:r>
      <w:r w:rsidRPr="003015FD">
        <w:t>likely</w:t>
      </w:r>
      <w:r w:rsidR="00975895" w:rsidRPr="003015FD">
        <w:t xml:space="preserve"> </w:t>
      </w:r>
      <w:r w:rsidRPr="003015FD">
        <w:t>to</w:t>
      </w:r>
      <w:r w:rsidR="00975895" w:rsidRPr="003015FD">
        <w:t xml:space="preserve"> </w:t>
      </w:r>
      <w:r w:rsidRPr="003015FD">
        <w:t>report</w:t>
      </w:r>
      <w:r w:rsidR="00975895" w:rsidRPr="003015FD">
        <w:t xml:space="preserve"> </w:t>
      </w:r>
      <w:r w:rsidR="000C5726">
        <w:t>'</w:t>
      </w:r>
      <w:r w:rsidRPr="003015FD">
        <w:t>always</w:t>
      </w:r>
      <w:r w:rsidR="000C5726">
        <w:t>'</w:t>
      </w:r>
      <w:r w:rsidR="00975895" w:rsidRPr="003015FD">
        <w:t xml:space="preserve"> </w:t>
      </w:r>
      <w:r w:rsidRPr="003015FD">
        <w:t>engaging</w:t>
      </w:r>
      <w:r w:rsidR="00975895" w:rsidRPr="003015FD">
        <w:t xml:space="preserve"> </w:t>
      </w:r>
      <w:r w:rsidRPr="003015FD">
        <w:t>with</w:t>
      </w:r>
      <w:r w:rsidR="00975895" w:rsidRPr="003015FD">
        <w:t xml:space="preserve"> </w:t>
      </w:r>
      <w:r w:rsidRPr="003015FD">
        <w:t>relevant</w:t>
      </w:r>
      <w:r w:rsidR="00975895" w:rsidRPr="003015FD">
        <w:t xml:space="preserve"> </w:t>
      </w:r>
      <w:r w:rsidRPr="003015FD">
        <w:t>community</w:t>
      </w:r>
      <w:r w:rsidR="00975895" w:rsidRPr="003015FD">
        <w:t xml:space="preserve"> </w:t>
      </w:r>
      <w:r w:rsidRPr="003015FD">
        <w:t>groups</w:t>
      </w:r>
      <w:r w:rsidR="00975895" w:rsidRPr="003015FD">
        <w:t xml:space="preserve"> </w:t>
      </w:r>
      <w:r w:rsidRPr="003015FD">
        <w:t>(43</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compared</w:t>
      </w:r>
      <w:r w:rsidR="00975895" w:rsidRPr="003015FD">
        <w:t xml:space="preserve"> </w:t>
      </w:r>
      <w:r w:rsidRPr="003015FD">
        <w:t>to</w:t>
      </w:r>
      <w:r w:rsidR="00975895" w:rsidRPr="003015FD">
        <w:t xml:space="preserve"> </w:t>
      </w:r>
      <w:r w:rsidRPr="003015FD">
        <w:t>other</w:t>
      </w:r>
      <w:r w:rsidR="00975895" w:rsidRPr="003015FD">
        <w:t xml:space="preserve"> </w:t>
      </w:r>
      <w:r w:rsidRPr="003015FD">
        <w:t>organisation</w:t>
      </w:r>
      <w:r w:rsidR="00975895" w:rsidRPr="003015FD">
        <w:t xml:space="preserve"> </w:t>
      </w:r>
      <w:r w:rsidRPr="003015FD">
        <w:t>types.</w:t>
      </w:r>
      <w:r w:rsidR="00975895" w:rsidRPr="003015FD">
        <w:t xml:space="preserve"> </w:t>
      </w:r>
      <w:r w:rsidRPr="003015FD">
        <w:t>Around</w:t>
      </w:r>
      <w:r w:rsidR="00975895" w:rsidRPr="003015FD">
        <w:t xml:space="preserve"> </w:t>
      </w:r>
      <w:r w:rsidRPr="003015FD">
        <w:t>40</w:t>
      </w:r>
      <w:r w:rsidR="00975895" w:rsidRPr="003015FD">
        <w:t xml:space="preserve"> </w:t>
      </w:r>
      <w:r w:rsidRPr="003015FD">
        <w:t>to</w:t>
      </w:r>
      <w:r w:rsidR="00975895" w:rsidRPr="003015FD">
        <w:t xml:space="preserve"> </w:t>
      </w:r>
      <w:r w:rsidRPr="003015FD">
        <w:t>50</w:t>
      </w:r>
      <w:r w:rsidR="00975895" w:rsidRPr="003015FD">
        <w:t xml:space="preserve"> </w:t>
      </w:r>
      <w:r w:rsidRPr="003015FD">
        <w:t>per</w:t>
      </w:r>
      <w:r w:rsidR="00975895" w:rsidRPr="003015FD">
        <w:t xml:space="preserve"> </w:t>
      </w:r>
      <w:r w:rsidRPr="003015FD">
        <w:t>cent</w:t>
      </w:r>
      <w:r w:rsidR="00975895" w:rsidRPr="003015FD">
        <w:t xml:space="preserve"> </w:t>
      </w:r>
      <w:r w:rsidRPr="003015FD">
        <w:t>of</w:t>
      </w:r>
      <w:r w:rsidR="00975895" w:rsidRPr="003015FD">
        <w:t xml:space="preserve"> </w:t>
      </w:r>
      <w:r w:rsidRPr="003015FD">
        <w:t>other</w:t>
      </w:r>
      <w:r w:rsidR="00975895" w:rsidRPr="003015FD">
        <w:t xml:space="preserve"> </w:t>
      </w:r>
      <w:r w:rsidRPr="003015FD">
        <w:t>organisations</w:t>
      </w:r>
      <w:r w:rsidRPr="004862C5">
        <w:rPr>
          <w:rStyle w:val="FootnoteReference"/>
        </w:rPr>
        <w:footnoteReference w:id="19"/>
      </w:r>
      <w:r w:rsidR="00975895" w:rsidRPr="003015FD">
        <w:t xml:space="preserve"> </w:t>
      </w:r>
      <w:r w:rsidRPr="003015FD">
        <w:t>reported</w:t>
      </w:r>
      <w:r w:rsidR="00975895" w:rsidRPr="003015FD">
        <w:t xml:space="preserve"> </w:t>
      </w:r>
      <w:r w:rsidRPr="003015FD">
        <w:t>engaging</w:t>
      </w:r>
      <w:r w:rsidR="00975895" w:rsidRPr="003015FD">
        <w:t xml:space="preserve"> </w:t>
      </w:r>
      <w:r w:rsidRPr="003015FD">
        <w:t>with</w:t>
      </w:r>
      <w:r w:rsidR="00975895" w:rsidRPr="003015FD">
        <w:t xml:space="preserve"> </w:t>
      </w:r>
      <w:r w:rsidRPr="003015FD">
        <w:t>relevant</w:t>
      </w:r>
      <w:r w:rsidR="00975895" w:rsidRPr="003015FD">
        <w:t xml:space="preserve"> </w:t>
      </w:r>
      <w:r w:rsidRPr="003015FD">
        <w:t>community</w:t>
      </w:r>
      <w:r w:rsidR="00975895" w:rsidRPr="003015FD">
        <w:t xml:space="preserve"> </w:t>
      </w:r>
      <w:r w:rsidRPr="003015FD">
        <w:t>groups</w:t>
      </w:r>
      <w:r w:rsidR="00975895" w:rsidRPr="003015FD">
        <w:t xml:space="preserve"> </w:t>
      </w:r>
      <w:r w:rsidR="000C5726">
        <w:t>'</w:t>
      </w:r>
      <w:r w:rsidRPr="003015FD">
        <w:t>often</w:t>
      </w:r>
      <w:r w:rsidR="000C5726">
        <w:t>'</w:t>
      </w:r>
      <w:r w:rsidRPr="003015FD">
        <w:t>.</w:t>
      </w:r>
    </w:p>
    <w:tbl>
      <w:tblPr>
        <w:tblStyle w:val="CustomTablebreakoutbox"/>
        <w:tblW w:w="0" w:type="auto"/>
        <w:tblLook w:val="04A0" w:firstRow="1" w:lastRow="0" w:firstColumn="1" w:lastColumn="0" w:noHBand="0" w:noVBand="1"/>
      </w:tblPr>
      <w:tblGrid>
        <w:gridCol w:w="9061"/>
      </w:tblGrid>
      <w:tr w:rsidR="002F3427" w14:paraId="7CCCDD64" w14:textId="77777777" w:rsidTr="00947A97">
        <w:tc>
          <w:tcPr>
            <w:tcW w:w="9061" w:type="dxa"/>
          </w:tcPr>
          <w:p w14:paraId="00DE44D9" w14:textId="0B414812" w:rsidR="002F3427" w:rsidRPr="003E33DC" w:rsidRDefault="002F3427" w:rsidP="00947A97">
            <w:pPr>
              <w:pStyle w:val="BodyText"/>
              <w:rPr>
                <w:rStyle w:val="Characterbold"/>
              </w:rPr>
            </w:pPr>
            <w:r w:rsidRPr="002F3427">
              <w:rPr>
                <w:rStyle w:val="Characterbold"/>
              </w:rPr>
              <w:lastRenderedPageBreak/>
              <w:t>Examples from public authorities of community engagement impacting key work or policies</w:t>
            </w:r>
            <w:r w:rsidR="001372CE">
              <w:rPr>
                <w:rStyle w:val="Characterbold"/>
              </w:rPr>
              <w:t>:</w:t>
            </w:r>
          </w:p>
          <w:p w14:paraId="36589A3C" w14:textId="77777777" w:rsidR="002F3427" w:rsidRPr="003015FD" w:rsidRDefault="002F3427" w:rsidP="002F3427">
            <w:pPr>
              <w:pStyle w:val="ListBullet"/>
            </w:pPr>
            <w:r>
              <w:t>T</w:t>
            </w:r>
            <w:r w:rsidRPr="003015FD">
              <w:t>he Office of the Victorian Information Commissioner had regular engagement with its Youth Advisory Group to inform policy positions on privacy matters</w:t>
            </w:r>
            <w:r>
              <w:t xml:space="preserve"> relating to young people.</w:t>
            </w:r>
          </w:p>
          <w:p w14:paraId="0021C4FF" w14:textId="55878C44" w:rsidR="002F3427" w:rsidRPr="003015FD" w:rsidRDefault="002F3427" w:rsidP="002F3427">
            <w:pPr>
              <w:pStyle w:val="ListBullet"/>
            </w:pPr>
            <w:r>
              <w:t>T</w:t>
            </w:r>
            <w:r w:rsidRPr="003015FD">
              <w:t xml:space="preserve">he Peter </w:t>
            </w:r>
            <w:proofErr w:type="spellStart"/>
            <w:r w:rsidRPr="003015FD">
              <w:t>MacCallum</w:t>
            </w:r>
            <w:proofErr w:type="spellEnd"/>
            <w:r w:rsidRPr="003015FD">
              <w:t xml:space="preserve"> Cancer Centre</w:t>
            </w:r>
            <w:r>
              <w:t xml:space="preserve"> completed </w:t>
            </w:r>
            <w:r w:rsidRPr="002F3427">
              <w:t xml:space="preserve">an Aboriginal </w:t>
            </w:r>
            <w:r>
              <w:t>and</w:t>
            </w:r>
            <w:r w:rsidRPr="002F3427">
              <w:t xml:space="preserve"> Torres Strait Islander cultural safety audit the outcomes of this audit led to the establishment of the Aboriginal </w:t>
            </w:r>
            <w:r>
              <w:t>and</w:t>
            </w:r>
            <w:r w:rsidRPr="002F3427">
              <w:t xml:space="preserve"> Torres Strait Islander Advisory Committee and the making and development of a possum-skin cloak for Aboriginal and Torres Strait Islander patients to use during their treatment. The cloak is displayed in the hospital foyer when not being used by patients</w:t>
            </w:r>
            <w:r w:rsidRPr="003015FD">
              <w:t xml:space="preserve">, contributing to a more culturally sensitive model of care and </w:t>
            </w:r>
            <w:r>
              <w:t xml:space="preserve">culturally safe </w:t>
            </w:r>
            <w:r w:rsidRPr="003015FD">
              <w:t>environment.</w:t>
            </w:r>
          </w:p>
          <w:p w14:paraId="2A8F0BE8" w14:textId="77777777" w:rsidR="002F3427" w:rsidRPr="003015FD" w:rsidRDefault="002F3427" w:rsidP="002F3427">
            <w:pPr>
              <w:pStyle w:val="ListBullet"/>
            </w:pPr>
            <w:r>
              <w:t>T</w:t>
            </w:r>
            <w:r w:rsidRPr="003015FD">
              <w:t>he Office of the Public Advocate</w:t>
            </w:r>
            <w:r>
              <w:t>'</w:t>
            </w:r>
            <w:r w:rsidRPr="003015FD">
              <w:t>s engagement with culturally and linguistically diverse groups enabled it to test translated fact sheets</w:t>
            </w:r>
            <w:r>
              <w:t>.</w:t>
            </w:r>
            <w:r w:rsidRPr="003015FD">
              <w:t xml:space="preserve"> </w:t>
            </w:r>
          </w:p>
          <w:p w14:paraId="4CC88FA2" w14:textId="77777777" w:rsidR="002F3427" w:rsidRPr="003015FD" w:rsidRDefault="002F3427" w:rsidP="002F3427">
            <w:pPr>
              <w:pStyle w:val="ListBullet"/>
            </w:pPr>
            <w:r>
              <w:t>T</w:t>
            </w:r>
            <w:r w:rsidRPr="003015FD">
              <w:t xml:space="preserve">he Department of Premier and Cabinet developed an African Communities Action Plan in partnership with the Victorian African community, with an initial focus on employment, education and health, underpinned by human rights. </w:t>
            </w:r>
          </w:p>
          <w:p w14:paraId="61C5D017" w14:textId="688C8BB6" w:rsidR="002F3427" w:rsidRDefault="002F3427" w:rsidP="002F3427">
            <w:pPr>
              <w:pStyle w:val="ListBullet"/>
            </w:pPr>
            <w:r w:rsidRPr="003015FD">
              <w:t xml:space="preserve">Golden Plains Shire Council sought input from </w:t>
            </w:r>
            <w:r>
              <w:t>its</w:t>
            </w:r>
            <w:r w:rsidRPr="003015FD">
              <w:t xml:space="preserve"> Disability Access and Inclusion Advisory Committee in the designs of a new community facility and </w:t>
            </w:r>
            <w:r>
              <w:t>c</w:t>
            </w:r>
            <w:r w:rsidRPr="003015FD">
              <w:t>ouncil office buildin</w:t>
            </w:r>
            <w:r>
              <w:t>g.</w:t>
            </w:r>
          </w:p>
        </w:tc>
      </w:tr>
    </w:tbl>
    <w:p w14:paraId="6237A3DD" w14:textId="3E9E5CEB"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7:</w:t>
      </w:r>
      <w:r w:rsidR="00975895" w:rsidRPr="0002642E">
        <w:rPr>
          <w:rStyle w:val="Characterbold"/>
        </w:rPr>
        <w:t xml:space="preserve"> </w:t>
      </w:r>
      <w:r w:rsidRPr="0002642E">
        <w:rPr>
          <w:rStyle w:val="Characterbold"/>
        </w:rPr>
        <w:t>Frequency</w:t>
      </w:r>
      <w:r w:rsidR="00975895" w:rsidRPr="0002642E">
        <w:rPr>
          <w:rStyle w:val="Characterbold"/>
        </w:rPr>
        <w:t xml:space="preserve"> </w:t>
      </w:r>
      <w:r w:rsidRPr="0002642E">
        <w:rPr>
          <w:rStyle w:val="Characterbold"/>
        </w:rPr>
        <w:t>of</w:t>
      </w:r>
      <w:r w:rsidR="00975895" w:rsidRPr="0002642E">
        <w:rPr>
          <w:rStyle w:val="Characterbold"/>
        </w:rPr>
        <w:t xml:space="preserve"> </w:t>
      </w:r>
      <w:r w:rsidRPr="0002642E">
        <w:rPr>
          <w:rStyle w:val="Characterbold"/>
        </w:rPr>
        <w:t>engagement</w:t>
      </w:r>
      <w:r w:rsidR="00975895" w:rsidRPr="0002642E">
        <w:rPr>
          <w:rStyle w:val="Characterbold"/>
        </w:rPr>
        <w:t xml:space="preserve"> </w:t>
      </w:r>
      <w:r w:rsidRPr="0002642E">
        <w:rPr>
          <w:rStyle w:val="Characterbold"/>
        </w:rPr>
        <w:t>with</w:t>
      </w:r>
      <w:r w:rsidR="00975895" w:rsidRPr="0002642E">
        <w:rPr>
          <w:rStyle w:val="Characterbold"/>
        </w:rPr>
        <w:t xml:space="preserve"> </w:t>
      </w:r>
      <w:r w:rsidRPr="0002642E">
        <w:rPr>
          <w:rStyle w:val="Characterbold"/>
        </w:rPr>
        <w:t>relevant</w:t>
      </w:r>
      <w:r w:rsidR="00975895" w:rsidRPr="0002642E">
        <w:rPr>
          <w:rStyle w:val="Characterbold"/>
        </w:rPr>
        <w:t xml:space="preserve"> </w:t>
      </w:r>
      <w:r w:rsidRPr="0002642E">
        <w:rPr>
          <w:rStyle w:val="Characterbold"/>
        </w:rPr>
        <w:t>community</w:t>
      </w:r>
      <w:r w:rsidR="00975895" w:rsidRPr="0002642E">
        <w:rPr>
          <w:rStyle w:val="Characterbold"/>
        </w:rPr>
        <w:t xml:space="preserve"> </w:t>
      </w:r>
      <w:r w:rsidRPr="0002642E">
        <w:rPr>
          <w:rStyle w:val="Characterbold"/>
        </w:rPr>
        <w:t>groups</w:t>
      </w:r>
      <w:r w:rsidR="00975895" w:rsidRPr="0002642E">
        <w:rPr>
          <w:rStyle w:val="Characterbold"/>
        </w:rPr>
        <w:t xml:space="preserve"> </w:t>
      </w:r>
      <w:r w:rsidRPr="0002642E">
        <w:rPr>
          <w:rStyle w:val="Characterbold"/>
        </w:rPr>
        <w:t>when</w:t>
      </w:r>
      <w:r w:rsidR="00975895" w:rsidRPr="0002642E">
        <w:rPr>
          <w:rStyle w:val="Characterbold"/>
        </w:rPr>
        <w:t xml:space="preserve"> </w:t>
      </w:r>
      <w:r w:rsidRPr="0002642E">
        <w:rPr>
          <w:rStyle w:val="Characterbold"/>
        </w:rPr>
        <w:t>developing</w:t>
      </w:r>
      <w:r w:rsidR="00975895" w:rsidRPr="0002642E">
        <w:rPr>
          <w:rStyle w:val="Characterbold"/>
        </w:rPr>
        <w:t xml:space="preserve"> </w:t>
      </w:r>
      <w:r w:rsidRPr="0002642E">
        <w:rPr>
          <w:rStyle w:val="Characterbold"/>
        </w:rPr>
        <w:t>key</w:t>
      </w:r>
      <w:r w:rsidR="00975895" w:rsidRPr="0002642E">
        <w:rPr>
          <w:rStyle w:val="Characterbold"/>
        </w:rPr>
        <w:t xml:space="preserve"> </w:t>
      </w:r>
      <w:r w:rsidRPr="0002642E">
        <w:rPr>
          <w:rStyle w:val="Characterbold"/>
        </w:rPr>
        <w:t>work</w:t>
      </w:r>
      <w:r w:rsidR="00975895" w:rsidRPr="0002642E">
        <w:rPr>
          <w:rStyle w:val="Characterbold"/>
        </w:rPr>
        <w:t xml:space="preserve"> </w:t>
      </w:r>
      <w:r w:rsidRPr="0002642E">
        <w:rPr>
          <w:rStyle w:val="Characterbold"/>
        </w:rPr>
        <w:t>and</w:t>
      </w:r>
      <w:r w:rsidR="00975895" w:rsidRPr="0002642E">
        <w:rPr>
          <w:rStyle w:val="Characterbold"/>
        </w:rPr>
        <w:t xml:space="preserve"> </w:t>
      </w:r>
      <w:r w:rsidRPr="0002642E">
        <w:rPr>
          <w:rStyle w:val="Characterbold"/>
        </w:rPr>
        <w:t>policy</w:t>
      </w:r>
      <w:r w:rsidR="00975895" w:rsidRPr="0002642E">
        <w:rPr>
          <w:rStyle w:val="Characterbold"/>
        </w:rPr>
        <w:t xml:space="preserve"> </w:t>
      </w:r>
      <w:r w:rsidRPr="0002642E">
        <w:rPr>
          <w:rStyle w:val="Characterbold"/>
        </w:rPr>
        <w:t>positions</w:t>
      </w:r>
    </w:p>
    <w:p w14:paraId="0B962EE7" w14:textId="030F3DD0"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1B9210B0" w14:textId="32B707C4" w:rsidR="008E0945" w:rsidRDefault="008E0945" w:rsidP="005B74F5">
      <w:r w:rsidRPr="003015FD">
        <w:rPr>
          <w:noProof/>
          <w:lang w:val="en-GB" w:eastAsia="en-GB"/>
        </w:rPr>
        <w:drawing>
          <wp:inline distT="0" distB="0" distL="0" distR="0" wp14:anchorId="3E50B202" wp14:editId="38C9C002">
            <wp:extent cx="5728335" cy="260667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8335" cy="2606675"/>
                    </a:xfrm>
                    <a:prstGeom prst="rect">
                      <a:avLst/>
                    </a:prstGeom>
                    <a:noFill/>
                    <a:ln>
                      <a:noFill/>
                    </a:ln>
                  </pic:spPr>
                </pic:pic>
              </a:graphicData>
            </a:graphic>
          </wp:inline>
        </w:drawing>
      </w:r>
    </w:p>
    <w:tbl>
      <w:tblPr>
        <w:tblStyle w:val="CustomTablebreakoutbox"/>
        <w:tblW w:w="0" w:type="auto"/>
        <w:tblLook w:val="04A0" w:firstRow="1" w:lastRow="0" w:firstColumn="1" w:lastColumn="0" w:noHBand="0" w:noVBand="1"/>
      </w:tblPr>
      <w:tblGrid>
        <w:gridCol w:w="9061"/>
      </w:tblGrid>
      <w:tr w:rsidR="00CF666C" w14:paraId="194E8116" w14:textId="77777777" w:rsidTr="00CF666C">
        <w:tc>
          <w:tcPr>
            <w:tcW w:w="9061" w:type="dxa"/>
          </w:tcPr>
          <w:p w14:paraId="21DEA839" w14:textId="350D51DF" w:rsidR="00CF666C" w:rsidRPr="003E33DC" w:rsidRDefault="00250AF7" w:rsidP="00CF666C">
            <w:pPr>
              <w:pStyle w:val="BodyText"/>
              <w:rPr>
                <w:rStyle w:val="Characterbold"/>
              </w:rPr>
            </w:pPr>
            <w:r>
              <w:rPr>
                <w:rStyle w:val="Characterbold"/>
              </w:rPr>
              <w:t xml:space="preserve">Reflections </w:t>
            </w:r>
            <w:r w:rsidR="00CF666C">
              <w:rPr>
                <w:rStyle w:val="Characterbold"/>
              </w:rPr>
              <w:t>from community interviews</w:t>
            </w:r>
          </w:p>
          <w:p w14:paraId="6AAD826B" w14:textId="77777777" w:rsidR="00CF666C" w:rsidRPr="003015FD" w:rsidRDefault="00CF666C" w:rsidP="00CF666C">
            <w:r w:rsidRPr="003015FD">
              <w:t>Most community organisation participants reported dealings with Victorian public authorities on at least a weekly basis. This engagement occurred in a range of contexts, primarily through:</w:t>
            </w:r>
          </w:p>
          <w:p w14:paraId="1D713A4F" w14:textId="77777777" w:rsidR="00CF666C" w:rsidRPr="003015FD" w:rsidRDefault="00CF666C" w:rsidP="00CF666C">
            <w:pPr>
              <w:pStyle w:val="ListBullet"/>
            </w:pPr>
            <w:r w:rsidRPr="003015FD">
              <w:t>formal working or reference groups</w:t>
            </w:r>
          </w:p>
          <w:p w14:paraId="1BD6B0B5" w14:textId="77777777" w:rsidR="00CF666C" w:rsidRPr="003015FD" w:rsidRDefault="00CF666C" w:rsidP="00CF666C">
            <w:pPr>
              <w:pStyle w:val="ListBullet"/>
            </w:pPr>
            <w:r w:rsidRPr="003015FD">
              <w:t>steering committees</w:t>
            </w:r>
          </w:p>
          <w:p w14:paraId="1645D896" w14:textId="77777777" w:rsidR="00CF666C" w:rsidRPr="003015FD" w:rsidRDefault="00CF666C" w:rsidP="00CF666C">
            <w:pPr>
              <w:pStyle w:val="ListBullet"/>
            </w:pPr>
            <w:r w:rsidRPr="003015FD">
              <w:t>consultation processes, written submissions and public hearings</w:t>
            </w:r>
          </w:p>
          <w:p w14:paraId="402D4317" w14:textId="77777777" w:rsidR="001372CE" w:rsidRDefault="00CF666C" w:rsidP="00E317EA">
            <w:pPr>
              <w:pStyle w:val="ListBullet"/>
            </w:pPr>
            <w:r w:rsidRPr="003015FD">
              <w:lastRenderedPageBreak/>
              <w:t>advocacy</w:t>
            </w:r>
            <w:r w:rsidR="001372CE">
              <w:t xml:space="preserve"> </w:t>
            </w:r>
          </w:p>
          <w:p w14:paraId="4CD61F43" w14:textId="266307C1" w:rsidR="00CF666C" w:rsidRDefault="00CF666C" w:rsidP="00E317EA">
            <w:pPr>
              <w:pStyle w:val="ListBullet"/>
            </w:pPr>
            <w:r>
              <w:t xml:space="preserve">ad hoc </w:t>
            </w:r>
            <w:r w:rsidRPr="003015FD">
              <w:t>conversations through informal channels (</w:t>
            </w:r>
            <w:r>
              <w:t>for example,</w:t>
            </w:r>
            <w:r w:rsidRPr="003015FD">
              <w:t xml:space="preserve"> telephone and email</w:t>
            </w:r>
            <w:r>
              <w:t>.</w:t>
            </w:r>
          </w:p>
          <w:p w14:paraId="44401A87" w14:textId="77777777" w:rsidR="00CF666C" w:rsidRPr="003015FD" w:rsidRDefault="00CF666C" w:rsidP="00CF666C">
            <w:r>
              <w:t xml:space="preserve">All </w:t>
            </w:r>
            <w:r w:rsidRPr="003015FD">
              <w:t>community organisation participants reported they had been asked to engage with public authorities as they developed key work and policy positions. The frequency of engagement varied from weekly to monthly, but most were happy with the level of engagement occurring.</w:t>
            </w:r>
          </w:p>
          <w:p w14:paraId="6A4673FF" w14:textId="77777777" w:rsidR="00CF666C" w:rsidRPr="003015FD" w:rsidRDefault="00CF666C" w:rsidP="00CF666C">
            <w:r w:rsidRPr="003015FD">
              <w:t>The perceived impact of their engagement with public authorities was mixed. Most were able to provide examples of when their engagement had made an impact on the development of key work and policy positions. However, most were also able to provide examples of when their engagement had not been as effective.</w:t>
            </w:r>
          </w:p>
          <w:p w14:paraId="2BDCFE5D" w14:textId="77777777" w:rsidR="00CF666C" w:rsidRPr="003015FD" w:rsidRDefault="00CF666C" w:rsidP="00CF666C">
            <w:r w:rsidRPr="003015FD">
              <w:t xml:space="preserve">More often community organisation participants felt an impact could be seen in the development of more specific key work, such as community programs, communications models and action plans for </w:t>
            </w:r>
            <w:r>
              <w:t>particular</w:t>
            </w:r>
            <w:r w:rsidRPr="003015FD">
              <w:t xml:space="preserve"> issues. In contrast, most felt it was more difficult to see any impact from their engagement in relation to broader policy development (</w:t>
            </w:r>
            <w:r>
              <w:t>for example,</w:t>
            </w:r>
            <w:r w:rsidRPr="003015FD">
              <w:t xml:space="preserve"> the Royal Commission into Family Violence).</w:t>
            </w:r>
          </w:p>
          <w:p w14:paraId="581711DF" w14:textId="77777777" w:rsidR="00CF666C" w:rsidRPr="003015FD" w:rsidRDefault="00CF666C" w:rsidP="00CF666C">
            <w:r>
              <w:t>E</w:t>
            </w:r>
            <w:r w:rsidRPr="003015FD">
              <w:t>xamples of community engagement provided by community organisations:</w:t>
            </w:r>
          </w:p>
          <w:p w14:paraId="14EAC353" w14:textId="77777777" w:rsidR="00CF666C" w:rsidRDefault="00CF666C" w:rsidP="00CF666C">
            <w:pPr>
              <w:pStyle w:val="ListBullet"/>
            </w:pPr>
            <w:r w:rsidRPr="003015FD">
              <w:t>The Department of Health and Human Services engaged Aboriginal Housing Victoria to deliver the Aboriginal Housing and Homelessness Framework. Aboriginal Housing Victoria reported it had been given a high level of agency and independence in the development of the Framework, which ensures the development of the Framework is driven by the Aboriginal community.</w:t>
            </w:r>
          </w:p>
          <w:p w14:paraId="6D7F46C1" w14:textId="4C1CDFE0" w:rsidR="00CF666C" w:rsidRDefault="00CF666C" w:rsidP="00CF666C">
            <w:pPr>
              <w:pStyle w:val="ListBullet"/>
            </w:pPr>
            <w:r w:rsidRPr="003015FD">
              <w:t>The Department of Education and Training asked the Association for Children with a Disability for its assistance in developing its annual student survey, with the aim of making the survey more inclusive for students with a</w:t>
            </w:r>
            <w:r w:rsidR="003B28D0">
              <w:t>n intellectual disability</w:t>
            </w:r>
            <w:r w:rsidRPr="003015FD">
              <w:t>. The Association for Children with a Disability felt its engagement played an important role in the development of the survey and made the survey more accessible for students with disability</w:t>
            </w:r>
            <w:r w:rsidR="001706A9">
              <w:t>.</w:t>
            </w:r>
          </w:p>
          <w:p w14:paraId="46CA3F57" w14:textId="77777777" w:rsidR="00CF666C" w:rsidRPr="003015FD" w:rsidRDefault="00CF666C" w:rsidP="00CF666C">
            <w:r w:rsidRPr="003015FD">
              <w:t>Instances where participants felt engagement was not particularly effective primarily occurred when:</w:t>
            </w:r>
          </w:p>
          <w:p w14:paraId="2BE5CF0B" w14:textId="77777777" w:rsidR="00CF666C" w:rsidRDefault="00CF666C" w:rsidP="00CF666C">
            <w:pPr>
              <w:pStyle w:val="ListBullet"/>
            </w:pPr>
            <w:r>
              <w:t>w</w:t>
            </w:r>
            <w:r w:rsidRPr="003015FD">
              <w:t xml:space="preserve">orking group or </w:t>
            </w:r>
            <w:r>
              <w:t xml:space="preserve">ad hoc </w:t>
            </w:r>
            <w:r w:rsidRPr="003015FD">
              <w:t xml:space="preserve">meetings were held </w:t>
            </w:r>
            <w:r w:rsidRPr="003015FD">
              <w:rPr>
                <w:i/>
              </w:rPr>
              <w:t>after</w:t>
            </w:r>
            <w:r w:rsidRPr="003015FD">
              <w:t xml:space="preserve"> the majority of key work or policy development had already taken place. In these instances, most participants felt they were being </w:t>
            </w:r>
            <w:r>
              <w:t>'</w:t>
            </w:r>
            <w:r w:rsidRPr="003015FD">
              <w:t>talked at</w:t>
            </w:r>
            <w:r>
              <w:t>'</w:t>
            </w:r>
            <w:r w:rsidRPr="003015FD">
              <w:t xml:space="preserve"> during these meetings and were only being provided an opportunity to sign off on decisions already made. Some participants acknowledged time was often a key issue in these cases, and public authorities did not have adequate time to conduct a genuine consultation process.</w:t>
            </w:r>
          </w:p>
          <w:p w14:paraId="389DD058" w14:textId="4D5105A5" w:rsidR="00CF666C" w:rsidRDefault="00CF666C" w:rsidP="00CF666C">
            <w:pPr>
              <w:pStyle w:val="ListBullet"/>
            </w:pPr>
            <w:r>
              <w:t>e</w:t>
            </w:r>
            <w:r w:rsidRPr="003015FD">
              <w:t>ngagement occurred at different levels around the same issues. A few participants felt they were having the same conversation with multiple people at different levels of the organisation and the outcomes from each engagement were not being disseminated throughout the organisation</w:t>
            </w:r>
            <w:r w:rsidR="001706A9">
              <w:t>.</w:t>
            </w:r>
          </w:p>
        </w:tc>
      </w:tr>
    </w:tbl>
    <w:p w14:paraId="0E1943DB" w14:textId="42F64641" w:rsidR="00CF666C" w:rsidRDefault="00CF666C" w:rsidP="0002642E"/>
    <w:p w14:paraId="578CA457" w14:textId="0FBEE697" w:rsidR="008E0945" w:rsidRPr="003015FD" w:rsidRDefault="008E0945" w:rsidP="0002642E">
      <w:pPr>
        <w:pStyle w:val="Heading4"/>
      </w:pPr>
      <w:r w:rsidRPr="003015FD">
        <w:t>B.</w:t>
      </w:r>
      <w:r w:rsidR="00975895" w:rsidRPr="003015FD">
        <w:t xml:space="preserve"> </w:t>
      </w:r>
      <w:r w:rsidRPr="003015FD">
        <w:t>Ongoing</w:t>
      </w:r>
      <w:r w:rsidR="00975895" w:rsidRPr="003015FD">
        <w:t xml:space="preserve"> </w:t>
      </w:r>
      <w:r w:rsidRPr="003015FD">
        <w:t>feedback</w:t>
      </w:r>
      <w:r w:rsidR="00975895" w:rsidRPr="003015FD">
        <w:t xml:space="preserve"> </w:t>
      </w:r>
      <w:r w:rsidRPr="003015FD">
        <w:t>about</w:t>
      </w:r>
      <w:r w:rsidR="00975895" w:rsidRPr="003015FD">
        <w:t xml:space="preserve"> </w:t>
      </w:r>
      <w:r w:rsidRPr="003015FD">
        <w:t>key</w:t>
      </w:r>
      <w:r w:rsidR="00975895" w:rsidRPr="003015FD">
        <w:t xml:space="preserve"> </w:t>
      </w:r>
      <w:r w:rsidRPr="003015FD">
        <w:t>work</w:t>
      </w:r>
      <w:r w:rsidR="00975895" w:rsidRPr="003015FD">
        <w:t xml:space="preserve"> </w:t>
      </w:r>
      <w:r w:rsidRPr="003015FD">
        <w:t>and</w:t>
      </w:r>
      <w:r w:rsidR="00975895" w:rsidRPr="003015FD">
        <w:t xml:space="preserve"> </w:t>
      </w:r>
      <w:r w:rsidRPr="003015FD">
        <w:t>policy</w:t>
      </w:r>
      <w:r w:rsidR="00975895" w:rsidRPr="003015FD">
        <w:t xml:space="preserve"> </w:t>
      </w:r>
      <w:r w:rsidRPr="003015FD">
        <w:t>positions</w:t>
      </w:r>
    </w:p>
    <w:p w14:paraId="498990FF" w14:textId="0581AFC3" w:rsidR="008E0945" w:rsidRPr="003015FD" w:rsidRDefault="008E0945" w:rsidP="0002642E">
      <w:r w:rsidRPr="003015FD">
        <w:t>Nearly</w:t>
      </w:r>
      <w:r w:rsidR="00975895" w:rsidRPr="003015FD">
        <w:t xml:space="preserve"> </w:t>
      </w:r>
      <w:r w:rsidRPr="003015FD">
        <w:t>all</w:t>
      </w:r>
      <w:r w:rsidR="00975895" w:rsidRPr="003015FD">
        <w:t xml:space="preserve"> </w:t>
      </w:r>
      <w:r w:rsidRPr="003015FD">
        <w:t>(91</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engaged</w:t>
      </w:r>
      <w:r w:rsidR="00975895" w:rsidRPr="003015FD">
        <w:t xml:space="preserve"> </w:t>
      </w:r>
      <w:r w:rsidRPr="003015FD">
        <w:t>with</w:t>
      </w:r>
      <w:r w:rsidR="00975895" w:rsidRPr="003015FD">
        <w:t xml:space="preserve"> </w:t>
      </w:r>
      <w:r w:rsidRPr="003015FD">
        <w:t>relevant</w:t>
      </w:r>
      <w:r w:rsidR="00975895" w:rsidRPr="003015FD">
        <w:t xml:space="preserve"> </w:t>
      </w:r>
      <w:r w:rsidRPr="003015FD">
        <w:t>community</w:t>
      </w:r>
      <w:r w:rsidR="00975895" w:rsidRPr="003015FD">
        <w:t xml:space="preserve"> </w:t>
      </w:r>
      <w:r w:rsidRPr="003015FD">
        <w:t>groups</w:t>
      </w:r>
      <w:r w:rsidR="00975895" w:rsidRPr="003015FD">
        <w:t xml:space="preserve"> </w:t>
      </w:r>
      <w:r w:rsidRPr="003015FD">
        <w:t>to</w:t>
      </w:r>
      <w:r w:rsidR="00975895" w:rsidRPr="003015FD">
        <w:t xml:space="preserve"> </w:t>
      </w:r>
      <w:r w:rsidRPr="003015FD">
        <w:t>obtain</w:t>
      </w:r>
      <w:r w:rsidR="00975895" w:rsidRPr="003015FD">
        <w:t xml:space="preserve"> </w:t>
      </w:r>
      <w:r w:rsidRPr="003015FD">
        <w:t>ongoing</w:t>
      </w:r>
      <w:r w:rsidR="00975895" w:rsidRPr="003015FD">
        <w:t xml:space="preserve"> </w:t>
      </w:r>
      <w:r w:rsidRPr="003015FD">
        <w:t>feedback</w:t>
      </w:r>
      <w:r w:rsidR="00975895" w:rsidRPr="003015FD">
        <w:t xml:space="preserve"> </w:t>
      </w:r>
      <w:r w:rsidRPr="003015FD">
        <w:t>on</w:t>
      </w:r>
      <w:r w:rsidR="00975895" w:rsidRPr="003015FD">
        <w:t xml:space="preserve"> </w:t>
      </w:r>
      <w:r w:rsidRPr="003015FD">
        <w:t>key</w:t>
      </w:r>
      <w:r w:rsidR="00975895" w:rsidRPr="003015FD">
        <w:t xml:space="preserve"> </w:t>
      </w:r>
      <w:r w:rsidRPr="003015FD">
        <w:t>work</w:t>
      </w:r>
      <w:r w:rsidR="00975895" w:rsidRPr="003015FD">
        <w:t xml:space="preserve"> </w:t>
      </w:r>
      <w:r w:rsidRPr="003015FD">
        <w:t>and</w:t>
      </w:r>
      <w:r w:rsidR="00975895" w:rsidRPr="003015FD">
        <w:t xml:space="preserve"> </w:t>
      </w:r>
      <w:r w:rsidRPr="003015FD">
        <w:t>policy</w:t>
      </w:r>
      <w:r w:rsidR="00975895" w:rsidRPr="003015FD">
        <w:t xml:space="preserve"> </w:t>
      </w:r>
      <w:r w:rsidRPr="003015FD">
        <w:t>positions,</w:t>
      </w:r>
      <w:r w:rsidR="00975895" w:rsidRPr="003015FD">
        <w:t xml:space="preserve"> </w:t>
      </w:r>
      <w:r w:rsidRPr="003015FD">
        <w:t>including</w:t>
      </w:r>
      <w:r w:rsidR="00975895" w:rsidRPr="003015FD">
        <w:t xml:space="preserve"> </w:t>
      </w:r>
      <w:r w:rsidRPr="003015FD">
        <w:t>50</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who</w:t>
      </w:r>
      <w:r w:rsidR="00975895" w:rsidRPr="003015FD">
        <w:t xml:space="preserve"> </w:t>
      </w:r>
      <w:r w:rsidRPr="003015FD">
        <w:t>obtained</w:t>
      </w:r>
      <w:r w:rsidR="00975895" w:rsidRPr="003015FD">
        <w:t xml:space="preserve"> </w:t>
      </w:r>
      <w:r w:rsidRPr="003015FD">
        <w:t>feedback</w:t>
      </w:r>
      <w:r w:rsidR="00975895" w:rsidRPr="003015FD">
        <w:t xml:space="preserve"> </w:t>
      </w:r>
      <w:r w:rsidRPr="003015FD">
        <w:t>on</w:t>
      </w:r>
      <w:r w:rsidR="00975895" w:rsidRPr="003015FD">
        <w:t xml:space="preserve"> </w:t>
      </w:r>
      <w:r w:rsidRPr="003015FD">
        <w:t>at</w:t>
      </w:r>
      <w:r w:rsidR="00975895" w:rsidRPr="003015FD">
        <w:t xml:space="preserve"> </w:t>
      </w:r>
      <w:r w:rsidRPr="003015FD">
        <w:t>least</w:t>
      </w:r>
      <w:r w:rsidR="00975895" w:rsidRPr="003015FD">
        <w:t xml:space="preserve"> </w:t>
      </w:r>
      <w:r w:rsidRPr="003015FD">
        <w:t>a</w:t>
      </w:r>
      <w:r w:rsidR="00975895" w:rsidRPr="003015FD">
        <w:t xml:space="preserve"> </w:t>
      </w:r>
      <w:r w:rsidRPr="003015FD">
        <w:t>monthly</w:t>
      </w:r>
      <w:r w:rsidR="00975895" w:rsidRPr="003015FD">
        <w:t xml:space="preserve"> </w:t>
      </w:r>
      <w:r w:rsidRPr="003015FD">
        <w:t>basis.</w:t>
      </w:r>
      <w:r w:rsidR="00975895" w:rsidRPr="003015FD">
        <w:t xml:space="preserve"> </w:t>
      </w:r>
    </w:p>
    <w:p w14:paraId="3D8C6CFD" w14:textId="5B407619" w:rsidR="008E0945" w:rsidRPr="003015FD" w:rsidRDefault="008E0945" w:rsidP="0002642E">
      <w:r w:rsidRPr="003015FD">
        <w:lastRenderedPageBreak/>
        <w:t>Half</w:t>
      </w:r>
      <w:r w:rsidR="00975895" w:rsidRPr="003015FD">
        <w:t xml:space="preserve"> </w:t>
      </w:r>
      <w:r w:rsidRPr="003015FD">
        <w:t>or</w:t>
      </w:r>
      <w:r w:rsidR="00975895" w:rsidRPr="003015FD">
        <w:t xml:space="preserve"> </w:t>
      </w:r>
      <w:r w:rsidRPr="003015FD">
        <w:t>more</w:t>
      </w:r>
      <w:r w:rsidR="00975895" w:rsidRPr="003015FD">
        <w:t xml:space="preserve"> </w:t>
      </w:r>
      <w:r w:rsidRPr="003015FD">
        <w:t>local</w:t>
      </w:r>
      <w:r w:rsidR="00975895" w:rsidRPr="003015FD">
        <w:t xml:space="preserve"> </w:t>
      </w:r>
      <w:r w:rsidRPr="003015FD">
        <w:t>councils</w:t>
      </w:r>
      <w:r w:rsidR="00975895" w:rsidRPr="003015FD">
        <w:t xml:space="preserve"> </w:t>
      </w:r>
      <w:r w:rsidRPr="003015FD">
        <w:t>(50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(60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(57</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engaged</w:t>
      </w:r>
      <w:r w:rsidR="00975895" w:rsidRPr="003015FD">
        <w:t xml:space="preserve"> </w:t>
      </w:r>
      <w:r w:rsidRPr="003015FD">
        <w:t>with</w:t>
      </w:r>
      <w:r w:rsidR="00975895" w:rsidRPr="003015FD">
        <w:t xml:space="preserve"> </w:t>
      </w:r>
      <w:r w:rsidRPr="003015FD">
        <w:t>relevant</w:t>
      </w:r>
      <w:r w:rsidR="00975895" w:rsidRPr="003015FD">
        <w:t xml:space="preserve"> </w:t>
      </w:r>
      <w:r w:rsidRPr="003015FD">
        <w:t>community</w:t>
      </w:r>
      <w:r w:rsidR="00975895" w:rsidRPr="003015FD">
        <w:t xml:space="preserve"> </w:t>
      </w:r>
      <w:r w:rsidRPr="003015FD">
        <w:t>groups</w:t>
      </w:r>
      <w:r w:rsidR="00975895" w:rsidRPr="003015FD">
        <w:t xml:space="preserve"> </w:t>
      </w:r>
      <w:r w:rsidRPr="003015FD">
        <w:t>on</w:t>
      </w:r>
      <w:r w:rsidR="00975895" w:rsidRPr="003015FD">
        <w:t xml:space="preserve"> </w:t>
      </w:r>
      <w:r w:rsidRPr="003015FD">
        <w:t>at</w:t>
      </w:r>
      <w:r w:rsidR="00975895" w:rsidRPr="003015FD">
        <w:t xml:space="preserve"> </w:t>
      </w:r>
      <w:r w:rsidRPr="003015FD">
        <w:t>least</w:t>
      </w:r>
      <w:r w:rsidR="00975895" w:rsidRPr="003015FD">
        <w:t xml:space="preserve"> </w:t>
      </w:r>
      <w:r w:rsidRPr="003015FD">
        <w:t>a</w:t>
      </w:r>
      <w:r w:rsidR="00975895" w:rsidRPr="003015FD">
        <w:t xml:space="preserve"> </w:t>
      </w:r>
      <w:r w:rsidRPr="003015FD">
        <w:t>monthly</w:t>
      </w:r>
      <w:r w:rsidR="00975895" w:rsidRPr="003015FD">
        <w:t xml:space="preserve"> </w:t>
      </w:r>
      <w:r w:rsidRPr="003015FD">
        <w:t>basis</w:t>
      </w:r>
      <w:r w:rsidR="00975895" w:rsidRPr="003015FD">
        <w:t xml:space="preserve"> </w:t>
      </w:r>
      <w:r w:rsidRPr="003015FD">
        <w:t>to</w:t>
      </w:r>
      <w:r w:rsidR="00975895" w:rsidRPr="003015FD">
        <w:t xml:space="preserve"> </w:t>
      </w:r>
      <w:r w:rsidRPr="003015FD">
        <w:t>obtain</w:t>
      </w:r>
      <w:r w:rsidR="00975895" w:rsidRPr="003015FD">
        <w:t xml:space="preserve"> </w:t>
      </w:r>
      <w:r w:rsidRPr="003015FD">
        <w:t>feedback</w:t>
      </w:r>
      <w:r w:rsidR="00975895" w:rsidRPr="003015FD">
        <w:t xml:space="preserve"> </w:t>
      </w:r>
      <w:r w:rsidRPr="003015FD">
        <w:t>on</w:t>
      </w:r>
      <w:r w:rsidR="00975895" w:rsidRPr="003015FD">
        <w:t xml:space="preserve"> </w:t>
      </w:r>
      <w:r w:rsidRPr="003015FD">
        <w:t>key</w:t>
      </w:r>
      <w:r w:rsidR="00975895" w:rsidRPr="003015FD">
        <w:t xml:space="preserve"> </w:t>
      </w:r>
      <w:r w:rsidRPr="003015FD">
        <w:t>work</w:t>
      </w:r>
      <w:r w:rsidR="00975895" w:rsidRPr="003015FD">
        <w:t xml:space="preserve"> </w:t>
      </w:r>
      <w:r w:rsidRPr="003015FD">
        <w:t>and</w:t>
      </w:r>
      <w:r w:rsidR="00975895" w:rsidRPr="003015FD">
        <w:t xml:space="preserve"> </w:t>
      </w:r>
      <w:r w:rsidRPr="003015FD">
        <w:t>policy</w:t>
      </w:r>
      <w:r w:rsidR="00975895" w:rsidRPr="003015FD">
        <w:t xml:space="preserve"> </w:t>
      </w:r>
      <w:r w:rsidRPr="003015FD">
        <w:t>positions</w:t>
      </w:r>
      <w:r w:rsidR="00975895" w:rsidRPr="003015FD">
        <w:t xml:space="preserve"> </w:t>
      </w:r>
      <w:r w:rsidRPr="003015FD">
        <w:t>during</w:t>
      </w:r>
      <w:r w:rsidR="00975895" w:rsidRPr="003015FD">
        <w:t xml:space="preserve"> </w:t>
      </w:r>
      <w:r w:rsidRPr="003015FD">
        <w:t>2018.</w:t>
      </w:r>
    </w:p>
    <w:p w14:paraId="4F3E0465" w14:textId="1EA77DD0" w:rsidR="008E0945" w:rsidRPr="003015FD" w:rsidRDefault="008E0945" w:rsidP="0002642E">
      <w:r w:rsidRPr="003015FD">
        <w:t>Large</w:t>
      </w:r>
      <w:r w:rsidR="00975895" w:rsidRPr="003015FD">
        <w:t xml:space="preserve"> </w:t>
      </w:r>
      <w:r w:rsidRPr="003015FD">
        <w:t>agencies</w:t>
      </w:r>
      <w:r w:rsidR="00975895" w:rsidRPr="003015FD">
        <w:t xml:space="preserve"> </w:t>
      </w:r>
      <w:r w:rsidRPr="003015FD">
        <w:t>were</w:t>
      </w:r>
      <w:r w:rsidR="00975895" w:rsidRPr="003015FD">
        <w:t xml:space="preserve"> </w:t>
      </w:r>
      <w:r w:rsidRPr="003015FD">
        <w:t>most</w:t>
      </w:r>
      <w:r w:rsidR="00975895" w:rsidRPr="003015FD">
        <w:t xml:space="preserve"> </w:t>
      </w:r>
      <w:r w:rsidRPr="003015FD">
        <w:t>likely</w:t>
      </w:r>
      <w:r w:rsidR="00975895" w:rsidRPr="003015FD">
        <w:t xml:space="preserve"> </w:t>
      </w:r>
      <w:r w:rsidRPr="003015FD">
        <w:t>to</w:t>
      </w:r>
      <w:r w:rsidR="00975895" w:rsidRPr="003015FD">
        <w:t xml:space="preserve"> </w:t>
      </w:r>
      <w:r w:rsidRPr="003015FD">
        <w:t>never</w:t>
      </w:r>
      <w:r w:rsidR="00975895" w:rsidRPr="003015FD">
        <w:t xml:space="preserve"> </w:t>
      </w:r>
      <w:r w:rsidRPr="003015FD">
        <w:t>(29</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obtain</w:t>
      </w:r>
      <w:r w:rsidR="00975895" w:rsidRPr="003015FD">
        <w:t xml:space="preserve"> </w:t>
      </w:r>
      <w:r w:rsidRPr="003015FD">
        <w:t>ongoing</w:t>
      </w:r>
      <w:r w:rsidR="00975895" w:rsidRPr="003015FD">
        <w:t xml:space="preserve"> </w:t>
      </w:r>
      <w:r w:rsidRPr="003015FD">
        <w:t>feedback</w:t>
      </w:r>
      <w:r w:rsidR="00975895" w:rsidRPr="003015FD">
        <w:t xml:space="preserve"> </w:t>
      </w:r>
      <w:r w:rsidRPr="003015FD">
        <w:t>from</w:t>
      </w:r>
      <w:r w:rsidR="00975895" w:rsidRPr="003015FD">
        <w:t xml:space="preserve"> </w:t>
      </w:r>
      <w:r w:rsidRPr="003015FD">
        <w:t>community</w:t>
      </w:r>
      <w:r w:rsidR="00975895" w:rsidRPr="003015FD">
        <w:t xml:space="preserve"> </w:t>
      </w:r>
      <w:r w:rsidRPr="003015FD">
        <w:t>groups.</w:t>
      </w:r>
      <w:r w:rsidR="00975895" w:rsidRPr="003015FD">
        <w:t xml:space="preserve"> </w:t>
      </w:r>
      <w:r w:rsidRPr="003015FD">
        <w:t>This</w:t>
      </w:r>
      <w:r w:rsidR="00975895" w:rsidRPr="003015FD">
        <w:t xml:space="preserve"> </w:t>
      </w:r>
      <w:r w:rsidRPr="003015FD">
        <w:t>is</w:t>
      </w:r>
      <w:r w:rsidR="00975895" w:rsidRPr="003015FD">
        <w:t xml:space="preserve"> </w:t>
      </w:r>
      <w:r w:rsidRPr="003015FD">
        <w:t>a</w:t>
      </w:r>
      <w:r w:rsidR="00975895" w:rsidRPr="003015FD">
        <w:t xml:space="preserve"> </w:t>
      </w:r>
      <w:r w:rsidRPr="003015FD">
        <w:t>significant</w:t>
      </w:r>
      <w:r w:rsidR="00975895" w:rsidRPr="003015FD">
        <w:t xml:space="preserve"> </w:t>
      </w:r>
      <w:r w:rsidRPr="003015FD">
        <w:t>area</w:t>
      </w:r>
      <w:r w:rsidR="00975895" w:rsidRPr="003015FD">
        <w:t xml:space="preserve"> </w:t>
      </w:r>
      <w:r w:rsidRPr="003015FD">
        <w:t>for</w:t>
      </w:r>
      <w:r w:rsidR="00975895" w:rsidRPr="003015FD">
        <w:t xml:space="preserve"> </w:t>
      </w:r>
      <w:r w:rsidRPr="003015FD">
        <w:t>improvement.</w:t>
      </w:r>
      <w:r w:rsidR="00975895" w:rsidRPr="003015FD">
        <w:t xml:space="preserve"> </w:t>
      </w:r>
    </w:p>
    <w:p w14:paraId="193B7268" w14:textId="27FF773E"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8:</w:t>
      </w:r>
      <w:r w:rsidR="00975895" w:rsidRPr="0002642E">
        <w:rPr>
          <w:rStyle w:val="Characterbold"/>
        </w:rPr>
        <w:t xml:space="preserve"> </w:t>
      </w:r>
      <w:r w:rsidRPr="0002642E">
        <w:rPr>
          <w:rStyle w:val="Characterbold"/>
        </w:rPr>
        <w:t>Frequency</w:t>
      </w:r>
      <w:r w:rsidR="00975895" w:rsidRPr="0002642E">
        <w:rPr>
          <w:rStyle w:val="Characterbold"/>
        </w:rPr>
        <w:t xml:space="preserve"> </w:t>
      </w:r>
      <w:r w:rsidRPr="0002642E">
        <w:rPr>
          <w:rStyle w:val="Characterbold"/>
        </w:rPr>
        <w:t>of</w:t>
      </w:r>
      <w:r w:rsidR="00975895" w:rsidRPr="0002642E">
        <w:rPr>
          <w:rStyle w:val="Characterbold"/>
        </w:rPr>
        <w:t xml:space="preserve"> </w:t>
      </w:r>
      <w:r w:rsidRPr="0002642E">
        <w:rPr>
          <w:rStyle w:val="Characterbold"/>
        </w:rPr>
        <w:t>engagement</w:t>
      </w:r>
      <w:r w:rsidR="00975895" w:rsidRPr="0002642E">
        <w:rPr>
          <w:rStyle w:val="Characterbold"/>
        </w:rPr>
        <w:t xml:space="preserve"> </w:t>
      </w:r>
      <w:r w:rsidRPr="0002642E">
        <w:rPr>
          <w:rStyle w:val="Characterbold"/>
        </w:rPr>
        <w:t>with</w:t>
      </w:r>
      <w:r w:rsidR="00975895" w:rsidRPr="0002642E">
        <w:rPr>
          <w:rStyle w:val="Characterbold"/>
        </w:rPr>
        <w:t xml:space="preserve"> </w:t>
      </w:r>
      <w:r w:rsidRPr="0002642E">
        <w:rPr>
          <w:rStyle w:val="Characterbold"/>
        </w:rPr>
        <w:t>relevant</w:t>
      </w:r>
      <w:r w:rsidR="00975895" w:rsidRPr="0002642E">
        <w:rPr>
          <w:rStyle w:val="Characterbold"/>
        </w:rPr>
        <w:t xml:space="preserve"> </w:t>
      </w:r>
      <w:r w:rsidRPr="0002642E">
        <w:rPr>
          <w:rStyle w:val="Characterbold"/>
        </w:rPr>
        <w:t>community</w:t>
      </w:r>
      <w:r w:rsidR="00975895" w:rsidRPr="0002642E">
        <w:rPr>
          <w:rStyle w:val="Characterbold"/>
        </w:rPr>
        <w:t xml:space="preserve"> </w:t>
      </w:r>
      <w:r w:rsidRPr="0002642E">
        <w:rPr>
          <w:rStyle w:val="Characterbold"/>
        </w:rPr>
        <w:t>groups</w:t>
      </w:r>
      <w:r w:rsidR="00975895" w:rsidRPr="0002642E">
        <w:rPr>
          <w:rStyle w:val="Characterbold"/>
        </w:rPr>
        <w:t xml:space="preserve"> </w:t>
      </w:r>
      <w:r w:rsidRPr="0002642E">
        <w:rPr>
          <w:rStyle w:val="Characterbold"/>
        </w:rPr>
        <w:t>to</w:t>
      </w:r>
      <w:r w:rsidR="00975895" w:rsidRPr="0002642E">
        <w:rPr>
          <w:rStyle w:val="Characterbold"/>
        </w:rPr>
        <w:t xml:space="preserve"> </w:t>
      </w:r>
      <w:r w:rsidRPr="0002642E">
        <w:rPr>
          <w:rStyle w:val="Characterbold"/>
        </w:rPr>
        <w:t>obtain</w:t>
      </w:r>
      <w:r w:rsidR="00975895" w:rsidRPr="0002642E">
        <w:rPr>
          <w:rStyle w:val="Characterbold"/>
        </w:rPr>
        <w:t xml:space="preserve"> </w:t>
      </w:r>
      <w:r w:rsidRPr="0002642E">
        <w:rPr>
          <w:rStyle w:val="Characterbold"/>
        </w:rPr>
        <w:t>feedback</w:t>
      </w:r>
      <w:r w:rsidR="00975895" w:rsidRPr="0002642E">
        <w:rPr>
          <w:rStyle w:val="Characterbold"/>
        </w:rPr>
        <w:t xml:space="preserve"> </w:t>
      </w:r>
      <w:r w:rsidRPr="0002642E">
        <w:rPr>
          <w:rStyle w:val="Characterbold"/>
        </w:rPr>
        <w:t>on</w:t>
      </w:r>
      <w:r w:rsidR="00975895" w:rsidRPr="0002642E">
        <w:rPr>
          <w:rStyle w:val="Characterbold"/>
        </w:rPr>
        <w:t xml:space="preserve"> </w:t>
      </w:r>
      <w:r w:rsidRPr="0002642E">
        <w:rPr>
          <w:rStyle w:val="Characterbold"/>
        </w:rPr>
        <w:t>key</w:t>
      </w:r>
      <w:r w:rsidR="00975895" w:rsidRPr="0002642E">
        <w:rPr>
          <w:rStyle w:val="Characterbold"/>
        </w:rPr>
        <w:t xml:space="preserve"> </w:t>
      </w:r>
      <w:r w:rsidRPr="0002642E">
        <w:rPr>
          <w:rStyle w:val="Characterbold"/>
        </w:rPr>
        <w:t>work</w:t>
      </w:r>
      <w:r w:rsidR="00975895" w:rsidRPr="0002642E">
        <w:rPr>
          <w:rStyle w:val="Characterbold"/>
        </w:rPr>
        <w:t xml:space="preserve"> </w:t>
      </w:r>
      <w:r w:rsidRPr="0002642E">
        <w:rPr>
          <w:rStyle w:val="Characterbold"/>
        </w:rPr>
        <w:t>and</w:t>
      </w:r>
      <w:r w:rsidR="00975895" w:rsidRPr="0002642E">
        <w:rPr>
          <w:rStyle w:val="Characterbold"/>
        </w:rPr>
        <w:t xml:space="preserve"> </w:t>
      </w:r>
      <w:r w:rsidRPr="0002642E">
        <w:rPr>
          <w:rStyle w:val="Characterbold"/>
        </w:rPr>
        <w:t>policy</w:t>
      </w:r>
      <w:r w:rsidR="00975895" w:rsidRPr="0002642E">
        <w:rPr>
          <w:rStyle w:val="Characterbold"/>
        </w:rPr>
        <w:t xml:space="preserve"> </w:t>
      </w:r>
      <w:r w:rsidRPr="0002642E">
        <w:rPr>
          <w:rStyle w:val="Characterbold"/>
        </w:rPr>
        <w:t>positions</w:t>
      </w:r>
    </w:p>
    <w:p w14:paraId="18A0BFD9" w14:textId="562E4F53"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2DD2E0C8" w14:textId="1A8DC53C" w:rsidR="00CF666C" w:rsidRDefault="008E0945" w:rsidP="005B74F5">
      <w:r w:rsidRPr="003015FD">
        <w:rPr>
          <w:noProof/>
          <w:lang w:val="en-GB" w:eastAsia="en-GB"/>
        </w:rPr>
        <w:drawing>
          <wp:inline distT="0" distB="0" distL="0" distR="0" wp14:anchorId="2ED7D8EE" wp14:editId="29A9F1E3">
            <wp:extent cx="5621866" cy="2857361"/>
            <wp:effectExtent l="0" t="0" r="0" b="63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58289" cy="2875873"/>
                    </a:xfrm>
                    <a:prstGeom prst="rect">
                      <a:avLst/>
                    </a:prstGeom>
                    <a:noFill/>
                    <a:ln>
                      <a:noFill/>
                    </a:ln>
                  </pic:spPr>
                </pic:pic>
              </a:graphicData>
            </a:graphic>
          </wp:inline>
        </w:drawing>
      </w:r>
    </w:p>
    <w:tbl>
      <w:tblPr>
        <w:tblStyle w:val="CustomTablebreakoutbox"/>
        <w:tblW w:w="0" w:type="auto"/>
        <w:tblLook w:val="04A0" w:firstRow="1" w:lastRow="0" w:firstColumn="1" w:lastColumn="0" w:noHBand="0" w:noVBand="1"/>
      </w:tblPr>
      <w:tblGrid>
        <w:gridCol w:w="9061"/>
      </w:tblGrid>
      <w:tr w:rsidR="00CF666C" w14:paraId="76417BE1" w14:textId="77777777" w:rsidTr="00CF666C">
        <w:tc>
          <w:tcPr>
            <w:tcW w:w="9061" w:type="dxa"/>
          </w:tcPr>
          <w:p w14:paraId="78B2DB4B" w14:textId="45839C4A" w:rsidR="00CF666C" w:rsidRPr="003E33DC" w:rsidRDefault="00250AF7" w:rsidP="00CF666C">
            <w:pPr>
              <w:pStyle w:val="BodyText"/>
              <w:rPr>
                <w:rStyle w:val="Characterbold"/>
              </w:rPr>
            </w:pPr>
            <w:r>
              <w:rPr>
                <w:rStyle w:val="Characterbold"/>
              </w:rPr>
              <w:t xml:space="preserve">Reflections </w:t>
            </w:r>
            <w:r w:rsidR="00CF666C">
              <w:rPr>
                <w:rStyle w:val="Characterbold"/>
              </w:rPr>
              <w:t>from community interviews</w:t>
            </w:r>
          </w:p>
          <w:p w14:paraId="20AF0AE3" w14:textId="27F770ED" w:rsidR="00CF666C" w:rsidRDefault="00CF666C" w:rsidP="00CF666C">
            <w:pPr>
              <w:pStyle w:val="BodyText"/>
            </w:pPr>
            <w:r w:rsidRPr="003015FD">
              <w:t>Some community organisation participants indicated they were asked to provide ongoing feedback on key work and policy positions after their implementation. Among participants who were asked to provide ongoing feedback, most felt this occurred in an informal manner (</w:t>
            </w:r>
            <w:r>
              <w:t>for example,</w:t>
            </w:r>
            <w:r w:rsidRPr="003015FD">
              <w:t xml:space="preserve"> feedback could be raised during a working group meeting but would not be a specific agenda item). Most participants felt feedback should be sought in a more formal process, as it was difficult to see whether informal feedback made any impact on the key work or policies. Additionally, community organisation participants generally felt public authorities should seek feedback more often than it was currently being sought</w:t>
            </w:r>
            <w:r>
              <w:t>.</w:t>
            </w:r>
          </w:p>
        </w:tc>
      </w:tr>
    </w:tbl>
    <w:p w14:paraId="1812AFBE" w14:textId="77777777" w:rsidR="003E7497" w:rsidRDefault="003E7497" w:rsidP="0002642E"/>
    <w:p w14:paraId="512CCEE5" w14:textId="2E548180" w:rsidR="008E0945" w:rsidRPr="003015FD" w:rsidRDefault="008E0945" w:rsidP="0002642E">
      <w:pPr>
        <w:pStyle w:val="Heading4"/>
      </w:pPr>
      <w:r w:rsidRPr="003015FD">
        <w:t>C.</w:t>
      </w:r>
      <w:r w:rsidR="00975895" w:rsidRPr="003015FD">
        <w:t xml:space="preserve"> </w:t>
      </w:r>
      <w:r w:rsidRPr="003015FD">
        <w:t>Approaches</w:t>
      </w:r>
      <w:r w:rsidR="00975895" w:rsidRPr="003015FD">
        <w:t xml:space="preserve"> </w:t>
      </w:r>
      <w:r w:rsidRPr="003015FD">
        <w:t>by</w:t>
      </w:r>
      <w:r w:rsidR="00975895" w:rsidRPr="003015FD">
        <w:t xml:space="preserve"> </w:t>
      </w:r>
      <w:r w:rsidRPr="003015FD">
        <w:t>community</w:t>
      </w:r>
      <w:r w:rsidR="00975895" w:rsidRPr="003015FD">
        <w:t xml:space="preserve"> </w:t>
      </w:r>
      <w:r w:rsidRPr="003015FD">
        <w:t>groups</w:t>
      </w:r>
    </w:p>
    <w:p w14:paraId="79CFCB89" w14:textId="7C158F6A" w:rsidR="00ED5327" w:rsidRDefault="008E0945" w:rsidP="0002642E">
      <w:r w:rsidRPr="003015FD">
        <w:t>Overall,</w:t>
      </w:r>
      <w:r w:rsidR="00975895" w:rsidRPr="003015FD">
        <w:t xml:space="preserve"> </w:t>
      </w:r>
      <w:r w:rsidRPr="003015FD">
        <w:t>around</w:t>
      </w:r>
      <w:r w:rsidR="00975895" w:rsidRPr="003015FD">
        <w:t xml:space="preserve"> </w:t>
      </w:r>
      <w:r w:rsidRPr="003015FD">
        <w:t>39</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had</w:t>
      </w:r>
      <w:r w:rsidR="00975895" w:rsidRPr="003015FD">
        <w:t xml:space="preserve"> </w:t>
      </w:r>
      <w:r w:rsidRPr="003015FD">
        <w:t>been</w:t>
      </w:r>
      <w:r w:rsidR="00975895" w:rsidRPr="003015FD">
        <w:t xml:space="preserve"> </w:t>
      </w:r>
      <w:r w:rsidRPr="003015FD">
        <w:t>approached</w:t>
      </w:r>
      <w:r w:rsidR="00975895" w:rsidRPr="003015FD">
        <w:t xml:space="preserve"> </w:t>
      </w:r>
      <w:r w:rsidRPr="003015FD">
        <w:t>by</w:t>
      </w:r>
      <w:r w:rsidR="00975895" w:rsidRPr="003015FD">
        <w:t xml:space="preserve"> </w:t>
      </w:r>
      <w:r w:rsidRPr="003015FD">
        <w:t>community</w:t>
      </w:r>
      <w:r w:rsidR="00975895" w:rsidRPr="003015FD">
        <w:t xml:space="preserve"> </w:t>
      </w:r>
      <w:r w:rsidRPr="003015FD">
        <w:t>groups</w:t>
      </w:r>
      <w:r w:rsidR="00975895" w:rsidRPr="003015FD">
        <w:t xml:space="preserve"> </w:t>
      </w:r>
      <w:r w:rsidRPr="003015FD">
        <w:t>with</w:t>
      </w:r>
      <w:r w:rsidR="00975895" w:rsidRPr="003015FD">
        <w:t xml:space="preserve"> </w:t>
      </w:r>
      <w:r w:rsidRPr="003015FD">
        <w:t>a</w:t>
      </w:r>
      <w:r w:rsidR="00975895" w:rsidRPr="003015FD">
        <w:t xml:space="preserve"> </w:t>
      </w:r>
      <w:r w:rsidRPr="003015FD">
        <w:t>view</w:t>
      </w:r>
      <w:r w:rsidR="00975895" w:rsidRPr="003015FD">
        <w:t xml:space="preserve"> </w:t>
      </w:r>
      <w:r w:rsidRPr="003015FD">
        <w:t>to</w:t>
      </w:r>
      <w:r w:rsidR="00975895" w:rsidRPr="003015FD">
        <w:t xml:space="preserve"> </w:t>
      </w:r>
      <w:r w:rsidRPr="003015FD">
        <w:t>influence</w:t>
      </w:r>
      <w:r w:rsidR="00975895" w:rsidRPr="003015FD">
        <w:t xml:space="preserve"> </w:t>
      </w:r>
      <w:r w:rsidRPr="003015FD">
        <w:t>their</w:t>
      </w:r>
      <w:r w:rsidR="00975895" w:rsidRPr="003015FD">
        <w:t xml:space="preserve"> </w:t>
      </w:r>
      <w:r w:rsidRPr="003015FD">
        <w:t>organisation</w:t>
      </w:r>
      <w:r w:rsidR="000C5726">
        <w:t>'</w:t>
      </w:r>
      <w:r w:rsidRPr="003015FD">
        <w:t>s</w:t>
      </w:r>
      <w:r w:rsidR="00975895" w:rsidRPr="003015FD">
        <w:t xml:space="preserve"> </w:t>
      </w:r>
      <w:r w:rsidRPr="003015FD">
        <w:t>policies,</w:t>
      </w:r>
      <w:r w:rsidR="00975895" w:rsidRPr="003015FD">
        <w:t xml:space="preserve"> </w:t>
      </w:r>
      <w:r w:rsidRPr="003015FD">
        <w:t>procedures</w:t>
      </w:r>
      <w:r w:rsidR="00975895" w:rsidRPr="003015FD">
        <w:t xml:space="preserve"> </w:t>
      </w:r>
      <w:r w:rsidRPr="003015FD">
        <w:t>and</w:t>
      </w:r>
      <w:r w:rsidR="00975895" w:rsidRPr="003015FD">
        <w:t xml:space="preserve"> </w:t>
      </w:r>
      <w:r w:rsidRPr="003015FD">
        <w:t>practices</w:t>
      </w:r>
      <w:r w:rsidR="00975895" w:rsidRPr="003015FD">
        <w:t xml:space="preserve"> </w:t>
      </w:r>
      <w:r w:rsidRPr="003015FD">
        <w:t>by</w:t>
      </w:r>
      <w:r w:rsidR="00975895" w:rsidRPr="003015FD">
        <w:t xml:space="preserve"> </w:t>
      </w:r>
      <w:r w:rsidRPr="003015FD">
        <w:t>using</w:t>
      </w:r>
      <w:r w:rsidR="00975895" w:rsidRPr="003015FD">
        <w:t xml:space="preserve"> </w:t>
      </w:r>
      <w:r w:rsidRPr="003015FD">
        <w:t>the</w:t>
      </w:r>
      <w:r w:rsidR="00975895" w:rsidRPr="003015FD">
        <w:t xml:space="preserve"> </w:t>
      </w:r>
      <w:r w:rsidRPr="003015FD">
        <w:t>Charter.</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(67</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were</w:t>
      </w:r>
      <w:r w:rsidR="00975895" w:rsidRPr="003015FD">
        <w:t xml:space="preserve"> </w:t>
      </w:r>
      <w:r w:rsidRPr="003015FD">
        <w:t>most</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been</w:t>
      </w:r>
      <w:r w:rsidR="00975895" w:rsidRPr="003015FD">
        <w:t xml:space="preserve"> </w:t>
      </w:r>
      <w:r w:rsidRPr="003015FD">
        <w:t>approached.</w:t>
      </w:r>
    </w:p>
    <w:tbl>
      <w:tblPr>
        <w:tblStyle w:val="CustomTablebreakoutbox"/>
        <w:tblW w:w="0" w:type="auto"/>
        <w:tblLook w:val="04A0" w:firstRow="1" w:lastRow="0" w:firstColumn="1" w:lastColumn="0" w:noHBand="0" w:noVBand="1"/>
      </w:tblPr>
      <w:tblGrid>
        <w:gridCol w:w="9061"/>
      </w:tblGrid>
      <w:tr w:rsidR="00ED5327" w14:paraId="61045003" w14:textId="77777777" w:rsidTr="00947A97">
        <w:tc>
          <w:tcPr>
            <w:tcW w:w="9061" w:type="dxa"/>
          </w:tcPr>
          <w:p w14:paraId="33C03105" w14:textId="4D6B38F4" w:rsidR="00ED5327" w:rsidRPr="003E33DC" w:rsidRDefault="00ED5327" w:rsidP="00947A97">
            <w:pPr>
              <w:pStyle w:val="BodyText"/>
              <w:rPr>
                <w:rStyle w:val="Characterbold"/>
              </w:rPr>
            </w:pPr>
            <w:r>
              <w:rPr>
                <w:rStyle w:val="Characterbold"/>
              </w:rPr>
              <w:t xml:space="preserve">Some examples of </w:t>
            </w:r>
            <w:r w:rsidRPr="00ED5327">
              <w:rPr>
                <w:rStyle w:val="Characterbold"/>
              </w:rPr>
              <w:t>when community groups approached public authorities and used the Charter as a tool of advocacy related to</w:t>
            </w:r>
            <w:r>
              <w:rPr>
                <w:rStyle w:val="Characterbold"/>
              </w:rPr>
              <w:t>:</w:t>
            </w:r>
          </w:p>
          <w:p w14:paraId="31DF656E" w14:textId="77777777" w:rsidR="00ED5327" w:rsidRPr="003015FD" w:rsidRDefault="00ED5327" w:rsidP="00ED5327">
            <w:pPr>
              <w:pStyle w:val="ListBullet"/>
            </w:pPr>
            <w:r w:rsidRPr="003015FD">
              <w:t>the Department of Justice and Community Safety</w:t>
            </w:r>
            <w:r>
              <w:t>'</w:t>
            </w:r>
            <w:r w:rsidRPr="003015FD">
              <w:t>s segregation of particular prisoner cohorts and treatment of particular prisoners</w:t>
            </w:r>
          </w:p>
          <w:p w14:paraId="6242E9F3" w14:textId="77777777" w:rsidR="00ED5327" w:rsidRPr="003015FD" w:rsidRDefault="00ED5327" w:rsidP="00ED5327">
            <w:pPr>
              <w:pStyle w:val="ListBullet"/>
            </w:pPr>
            <w:r w:rsidRPr="003015FD">
              <w:lastRenderedPageBreak/>
              <w:t>the Registry of Births, Deaths and Marriages Victoria</w:t>
            </w:r>
            <w:r>
              <w:t>'</w:t>
            </w:r>
            <w:r w:rsidRPr="003015FD">
              <w:t>s initiatives to better enable Aboriginal and Torres Strait Islander peoples to register births and have access to their birth certificate</w:t>
            </w:r>
          </w:p>
          <w:p w14:paraId="3C1609EF" w14:textId="50F45EBE" w:rsidR="00ED5327" w:rsidRPr="003015FD" w:rsidRDefault="00ED5327" w:rsidP="00ED5327">
            <w:pPr>
              <w:pStyle w:val="ListBullet"/>
            </w:pPr>
            <w:r w:rsidRPr="003015FD">
              <w:t>Greater Geelong City Council</w:t>
            </w:r>
            <w:r w:rsidR="004426A4">
              <w:t>, who found t</w:t>
            </w:r>
            <w:r w:rsidR="00407210" w:rsidRPr="004426A4">
              <w:t xml:space="preserve">he Charter </w:t>
            </w:r>
            <w:r w:rsidR="004426A4" w:rsidRPr="004426A4">
              <w:t>to be</w:t>
            </w:r>
            <w:r w:rsidR="00407210" w:rsidRPr="004426A4">
              <w:t xml:space="preserve"> a useful tool to facilitate discussions between community representatives and the City as part of the City’s Access and Inclusion, Multicultural and </w:t>
            </w:r>
            <w:proofErr w:type="spellStart"/>
            <w:r w:rsidR="00407210" w:rsidRPr="004426A4">
              <w:t>Kareenga</w:t>
            </w:r>
            <w:proofErr w:type="spellEnd"/>
            <w:r w:rsidR="00407210" w:rsidRPr="004426A4">
              <w:t xml:space="preserve"> Aboriginal Advisory Committees</w:t>
            </w:r>
            <w:r w:rsidR="00B97459">
              <w:rPr>
                <w:rFonts w:cs="Arial"/>
                <w:i/>
                <w:iCs/>
                <w:sz w:val="20"/>
                <w:szCs w:val="20"/>
              </w:rPr>
              <w:t>.</w:t>
            </w:r>
          </w:p>
          <w:p w14:paraId="51D12EFC" w14:textId="5FFEE78A" w:rsidR="00ED5327" w:rsidRDefault="00ED5327" w:rsidP="00ED5327">
            <w:pPr>
              <w:pStyle w:val="ListBullet"/>
            </w:pPr>
            <w:r w:rsidRPr="003015FD">
              <w:t>the Department of Health and Human Services, Housing and Infrastructure</w:t>
            </w:r>
            <w:r>
              <w:t>'</w:t>
            </w:r>
            <w:r w:rsidRPr="003015FD">
              <w:t>s funding proposals for new housing and homelessness programs</w:t>
            </w:r>
            <w:r>
              <w:t>.</w:t>
            </w:r>
          </w:p>
        </w:tc>
      </w:tr>
    </w:tbl>
    <w:p w14:paraId="03214219" w14:textId="58F32DCF" w:rsidR="003E7497" w:rsidRDefault="003E7497" w:rsidP="001D418D">
      <w:pPr>
        <w:pStyle w:val="ListBullet"/>
        <w:numPr>
          <w:ilvl w:val="0"/>
          <w:numId w:val="0"/>
        </w:numPr>
      </w:pPr>
    </w:p>
    <w:p w14:paraId="5AE2D95B" w14:textId="7D7589BA" w:rsidR="008E0945" w:rsidRPr="003015FD" w:rsidRDefault="008E0945" w:rsidP="001D418D">
      <w:pPr>
        <w:pStyle w:val="Heading4"/>
      </w:pPr>
      <w:r w:rsidRPr="003015FD">
        <w:t>D.</w:t>
      </w:r>
      <w:r w:rsidR="00975895" w:rsidRPr="003015FD">
        <w:t xml:space="preserve"> </w:t>
      </w:r>
      <w:r w:rsidRPr="003015FD">
        <w:t>Tools</w:t>
      </w:r>
      <w:r w:rsidR="00975895" w:rsidRPr="003015FD">
        <w:t xml:space="preserve"> </w:t>
      </w:r>
      <w:r w:rsidRPr="003015FD">
        <w:t>and</w:t>
      </w:r>
      <w:r w:rsidR="00975895" w:rsidRPr="003015FD">
        <w:t xml:space="preserve"> </w:t>
      </w:r>
      <w:r w:rsidRPr="003015FD">
        <w:t>information</w:t>
      </w:r>
    </w:p>
    <w:p w14:paraId="4BB968C0" w14:textId="1511C872" w:rsidR="008E0945" w:rsidRPr="003015FD" w:rsidRDefault="008E0945" w:rsidP="001D418D">
      <w:r w:rsidRPr="003015FD">
        <w:t>Most</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provided</w:t>
      </w:r>
      <w:r w:rsidR="00975895" w:rsidRPr="003015FD">
        <w:t xml:space="preserve"> </w:t>
      </w:r>
      <w:r w:rsidRPr="003015FD">
        <w:t>the</w:t>
      </w:r>
      <w:r w:rsidR="00975895" w:rsidRPr="003015FD">
        <w:t xml:space="preserve"> </w:t>
      </w:r>
      <w:r w:rsidRPr="003015FD">
        <w:t>Victorian</w:t>
      </w:r>
      <w:r w:rsidR="00975895" w:rsidRPr="003015FD">
        <w:t xml:space="preserve"> </w:t>
      </w:r>
      <w:r w:rsidRPr="003015FD">
        <w:t>community</w:t>
      </w:r>
      <w:r w:rsidR="00975895" w:rsidRPr="003015FD">
        <w:t xml:space="preserve"> </w:t>
      </w:r>
      <w:r w:rsidRPr="003015FD">
        <w:t>with</w:t>
      </w:r>
      <w:r w:rsidR="00975895" w:rsidRPr="003015FD">
        <w:t xml:space="preserve"> </w:t>
      </w:r>
      <w:r w:rsidRPr="003015FD">
        <w:t>tools</w:t>
      </w:r>
      <w:r w:rsidR="00975895" w:rsidRPr="003015FD">
        <w:t xml:space="preserve"> </w:t>
      </w:r>
      <w:r w:rsidRPr="003015FD">
        <w:t>and</w:t>
      </w:r>
      <w:r w:rsidR="00975895" w:rsidRPr="003015FD">
        <w:t xml:space="preserve"> </w:t>
      </w:r>
      <w:r w:rsidRPr="003015FD">
        <w:t>information</w:t>
      </w:r>
      <w:r w:rsidR="00975895" w:rsidRPr="003015FD">
        <w:t xml:space="preserve"> </w:t>
      </w:r>
      <w:r w:rsidRPr="003015FD">
        <w:t>about</w:t>
      </w:r>
      <w:r w:rsidR="00975895" w:rsidRPr="003015FD">
        <w:t xml:space="preserve"> </w:t>
      </w:r>
      <w:r w:rsidRPr="003015FD">
        <w:t>accessibility</w:t>
      </w:r>
      <w:r w:rsidR="00975895" w:rsidRPr="003015FD">
        <w:t xml:space="preserve"> </w:t>
      </w:r>
      <w:r w:rsidRPr="003015FD">
        <w:t>of</w:t>
      </w:r>
      <w:r w:rsidR="00975895" w:rsidRPr="003015FD">
        <w:t xml:space="preserve"> </w:t>
      </w:r>
      <w:r w:rsidRPr="003015FD">
        <w:t>services</w:t>
      </w:r>
      <w:r w:rsidR="00975895" w:rsidRPr="003015FD">
        <w:t xml:space="preserve"> </w:t>
      </w:r>
      <w:r w:rsidRPr="003015FD">
        <w:t>(91</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avenues</w:t>
      </w:r>
      <w:r w:rsidR="00975895" w:rsidRPr="003015FD">
        <w:t xml:space="preserve"> </w:t>
      </w:r>
      <w:r w:rsidRPr="003015FD">
        <w:t>of</w:t>
      </w:r>
      <w:r w:rsidR="00975895" w:rsidRPr="003015FD">
        <w:t xml:space="preserve"> </w:t>
      </w:r>
      <w:r w:rsidRPr="003015FD">
        <w:t>redress,</w:t>
      </w:r>
      <w:r w:rsidR="00975895" w:rsidRPr="003015FD">
        <w:t xml:space="preserve"> </w:t>
      </w:r>
      <w:r w:rsidRPr="003015FD">
        <w:t>including</w:t>
      </w:r>
      <w:r w:rsidR="00975895" w:rsidRPr="003015FD">
        <w:t xml:space="preserve"> </w:t>
      </w:r>
      <w:r w:rsidRPr="003015FD">
        <w:t>mechanisms</w:t>
      </w:r>
      <w:r w:rsidR="00975895" w:rsidRPr="003015FD">
        <w:t xml:space="preserve"> </w:t>
      </w:r>
      <w:r w:rsidRPr="003015FD">
        <w:t>for</w:t>
      </w:r>
      <w:r w:rsidR="00975895" w:rsidRPr="003015FD">
        <w:t xml:space="preserve"> </w:t>
      </w:r>
      <w:r w:rsidRPr="003015FD">
        <w:t>making</w:t>
      </w:r>
      <w:r w:rsidR="00975895" w:rsidRPr="003015FD">
        <w:t xml:space="preserve"> </w:t>
      </w:r>
      <w:r w:rsidRPr="003015FD">
        <w:t>complaints</w:t>
      </w:r>
      <w:r w:rsidR="00975895" w:rsidRPr="003015FD">
        <w:t xml:space="preserve"> </w:t>
      </w:r>
      <w:r w:rsidRPr="003015FD">
        <w:t>(88</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p>
    <w:p w14:paraId="22F46EC9" w14:textId="452EE26A" w:rsidR="008E0945" w:rsidRPr="003015FD" w:rsidRDefault="008E0945" w:rsidP="001D418D">
      <w:r w:rsidRPr="003015FD">
        <w:t>However,</w:t>
      </w:r>
      <w:r w:rsidR="00975895" w:rsidRPr="003015FD">
        <w:t xml:space="preserve"> </w:t>
      </w:r>
      <w:r w:rsidRPr="003015FD">
        <w:t>only</w:t>
      </w:r>
      <w:r w:rsidR="00975895" w:rsidRPr="003015FD">
        <w:t xml:space="preserve"> </w:t>
      </w:r>
      <w:r w:rsidRPr="003015FD">
        <w:t>around</w:t>
      </w:r>
      <w:r w:rsidR="00975895" w:rsidRPr="003015FD">
        <w:t xml:space="preserve"> </w:t>
      </w:r>
      <w:r w:rsidRPr="003015FD">
        <w:t>half</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provided</w:t>
      </w:r>
      <w:r w:rsidR="00975895" w:rsidRPr="003015FD">
        <w:t xml:space="preserve"> </w:t>
      </w:r>
      <w:r w:rsidRPr="003015FD">
        <w:t>tools</w:t>
      </w:r>
      <w:r w:rsidR="00975895" w:rsidRPr="003015FD">
        <w:t xml:space="preserve"> </w:t>
      </w:r>
      <w:r w:rsidRPr="003015FD">
        <w:t>and</w:t>
      </w:r>
      <w:r w:rsidR="00975895" w:rsidRPr="003015FD">
        <w:t xml:space="preserve"> </w:t>
      </w:r>
      <w:r w:rsidRPr="003015FD">
        <w:t>information</w:t>
      </w:r>
      <w:r w:rsidR="00975895" w:rsidRPr="003015FD">
        <w:t xml:space="preserve"> </w:t>
      </w:r>
      <w:r w:rsidRPr="003015FD">
        <w:t>related</w:t>
      </w:r>
      <w:r w:rsidR="00975895" w:rsidRPr="003015FD">
        <w:t xml:space="preserve"> </w:t>
      </w:r>
      <w:r w:rsidRPr="003015FD">
        <w:t>to</w:t>
      </w:r>
      <w:r w:rsidR="00975895" w:rsidRPr="003015FD">
        <w:t xml:space="preserve"> </w:t>
      </w:r>
      <w:r w:rsidRPr="003015FD">
        <w:t>the</w:t>
      </w:r>
      <w:r w:rsidR="00975895" w:rsidRPr="003015FD">
        <w:t xml:space="preserve"> </w:t>
      </w:r>
      <w:r w:rsidRPr="003015FD">
        <w:t>community</w:t>
      </w:r>
      <w:r w:rsidR="000C5726">
        <w:t>'</w:t>
      </w:r>
      <w:r w:rsidRPr="003015FD">
        <w:t>s</w:t>
      </w:r>
      <w:r w:rsidR="00975895" w:rsidRPr="003015FD">
        <w:t xml:space="preserve"> </w:t>
      </w:r>
      <w:r w:rsidRPr="003015FD">
        <w:t>rights</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00975895" w:rsidRPr="003015FD">
        <w:t xml:space="preserve"> </w:t>
      </w:r>
      <w:r w:rsidRPr="003015FD">
        <w:t>(50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public</w:t>
      </w:r>
      <w:r w:rsidR="00975895" w:rsidRPr="003015FD">
        <w:t xml:space="preserve"> </w:t>
      </w:r>
      <w:r w:rsidRPr="003015FD">
        <w:t>authorities</w:t>
      </w:r>
      <w:r w:rsidR="000C5726">
        <w:t>'</w:t>
      </w:r>
      <w:r w:rsidR="00975895" w:rsidRPr="003015FD">
        <w:t xml:space="preserve"> </w:t>
      </w:r>
      <w:r w:rsidRPr="003015FD">
        <w:t>responsibilities</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00975895" w:rsidRPr="003015FD">
        <w:t xml:space="preserve"> </w:t>
      </w:r>
      <w:r w:rsidRPr="003015FD">
        <w:t>(47</w:t>
      </w:r>
      <w:r w:rsidR="00975895" w:rsidRPr="003015FD">
        <w:t xml:space="preserve"> </w:t>
      </w:r>
      <w:r w:rsidR="000B73B9" w:rsidRPr="003015FD">
        <w:t>per</w:t>
      </w:r>
      <w:r w:rsidR="00975895" w:rsidRPr="003015FD">
        <w:t xml:space="preserve"> </w:t>
      </w:r>
      <w:r w:rsidR="000B73B9" w:rsidRPr="003015FD">
        <w:t>cent</w:t>
      </w:r>
      <w:r w:rsidRPr="003015FD">
        <w:t>).</w:t>
      </w:r>
    </w:p>
    <w:p w14:paraId="164AD11D" w14:textId="6F469369" w:rsidR="008E0945" w:rsidRPr="003015FD" w:rsidRDefault="001D418D" w:rsidP="001D418D">
      <w:r>
        <w:t xml:space="preserve">Figure </w:t>
      </w:r>
      <w:r w:rsidR="003B428A">
        <w:t>9</w:t>
      </w:r>
      <w:r w:rsidR="00975895" w:rsidRPr="003015FD">
        <w:t xml:space="preserve"> </w:t>
      </w:r>
      <w:r w:rsidR="008E0945" w:rsidRPr="003015FD">
        <w:t>shows</w:t>
      </w:r>
      <w:r w:rsidR="00975895" w:rsidRPr="003015FD">
        <w:t xml:space="preserve"> </w:t>
      </w:r>
      <w:r w:rsidR="008E0945" w:rsidRPr="003015FD">
        <w:t>the</w:t>
      </w:r>
      <w:r w:rsidR="00975895" w:rsidRPr="003015FD">
        <w:t xml:space="preserve"> </w:t>
      </w:r>
      <w:r w:rsidR="008E0945" w:rsidRPr="003015FD">
        <w:t>breakdown</w:t>
      </w:r>
      <w:r w:rsidR="00975895" w:rsidRPr="003015FD">
        <w:t xml:space="preserve"> </w:t>
      </w:r>
      <w:r w:rsidR="008E0945" w:rsidRPr="003015FD">
        <w:t>of</w:t>
      </w:r>
      <w:r w:rsidR="00975895" w:rsidRPr="003015FD">
        <w:t xml:space="preserve"> </w:t>
      </w:r>
      <w:r w:rsidR="008E0945" w:rsidRPr="003015FD">
        <w:t>tools</w:t>
      </w:r>
      <w:r w:rsidR="00975895" w:rsidRPr="003015FD">
        <w:t xml:space="preserve"> </w:t>
      </w:r>
      <w:r w:rsidR="008E0945" w:rsidRPr="003015FD">
        <w:t>and</w:t>
      </w:r>
      <w:r w:rsidR="00975895" w:rsidRPr="003015FD">
        <w:t xml:space="preserve"> </w:t>
      </w:r>
      <w:r w:rsidR="008E0945" w:rsidRPr="003015FD">
        <w:t>information</w:t>
      </w:r>
      <w:r w:rsidR="00975895" w:rsidRPr="003015FD">
        <w:t xml:space="preserve"> </w:t>
      </w:r>
      <w:r w:rsidR="008E0945" w:rsidRPr="003015FD">
        <w:t>provided</w:t>
      </w:r>
      <w:r w:rsidR="00975895" w:rsidRPr="003015FD">
        <w:t xml:space="preserve"> </w:t>
      </w:r>
      <w:r w:rsidR="008E0945" w:rsidRPr="003015FD">
        <w:t>around</w:t>
      </w:r>
      <w:r w:rsidR="00975895" w:rsidRPr="003015FD">
        <w:t xml:space="preserve"> </w:t>
      </w:r>
      <w:r w:rsidR="008E0945" w:rsidRPr="003015FD">
        <w:t>each</w:t>
      </w:r>
      <w:r w:rsidR="00975895" w:rsidRPr="003015FD">
        <w:t xml:space="preserve"> </w:t>
      </w:r>
      <w:r w:rsidR="008E0945" w:rsidRPr="003015FD">
        <w:t>aspect</w:t>
      </w:r>
      <w:r w:rsidR="00975895" w:rsidRPr="003015FD">
        <w:t xml:space="preserve"> </w:t>
      </w:r>
      <w:r w:rsidR="008E0945" w:rsidRPr="003015FD">
        <w:t>of</w:t>
      </w:r>
      <w:r w:rsidR="00975895" w:rsidRPr="003015FD">
        <w:t xml:space="preserve"> </w:t>
      </w:r>
      <w:r w:rsidR="008E0945" w:rsidRPr="003015FD">
        <w:t>the</w:t>
      </w:r>
      <w:r w:rsidR="00975895" w:rsidRPr="003015FD">
        <w:t xml:space="preserve"> </w:t>
      </w:r>
      <w:r w:rsidR="008E0945" w:rsidRPr="003015FD">
        <w:t>community</w:t>
      </w:r>
      <w:r w:rsidR="000C5726">
        <w:t>'</w:t>
      </w:r>
      <w:r w:rsidR="008E0945" w:rsidRPr="003015FD">
        <w:t>s</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by</w:t>
      </w:r>
      <w:r w:rsidR="00975895" w:rsidRPr="003015FD">
        <w:t xml:space="preserve"> </w:t>
      </w:r>
      <w:r w:rsidR="008E0945" w:rsidRPr="003015FD">
        <w:t>organisation</w:t>
      </w:r>
      <w:r w:rsidR="00975895" w:rsidRPr="003015FD">
        <w:t xml:space="preserve"> </w:t>
      </w:r>
      <w:r w:rsidR="008E0945" w:rsidRPr="003015FD">
        <w:t>type.</w:t>
      </w:r>
    </w:p>
    <w:p w14:paraId="4F4512EF" w14:textId="2DBCFD40" w:rsidR="008E0945" w:rsidRPr="0002642E" w:rsidRDefault="008E0945" w:rsidP="001D418D">
      <w:pPr>
        <w:pStyle w:val="Caption"/>
        <w:rPr>
          <w:rStyle w:val="Characterbold"/>
        </w:rPr>
      </w:pPr>
      <w:bookmarkStart w:id="72" w:name="_Ref9344529"/>
      <w:r w:rsidRPr="0002642E">
        <w:rPr>
          <w:rStyle w:val="Characterbold"/>
        </w:rPr>
        <w:t>Figure</w:t>
      </w:r>
      <w:r w:rsidR="00975895" w:rsidRPr="0002642E">
        <w:rPr>
          <w:rStyle w:val="Characterbold"/>
        </w:rPr>
        <w:t xml:space="preserve"> </w:t>
      </w:r>
      <w:r w:rsidR="003B428A">
        <w:rPr>
          <w:rStyle w:val="HRVBold"/>
        </w:rPr>
        <w:t>9:</w:t>
      </w:r>
      <w:bookmarkEnd w:id="72"/>
      <w:r w:rsidR="00975895" w:rsidRPr="0002642E">
        <w:rPr>
          <w:rStyle w:val="Characterbold"/>
        </w:rPr>
        <w:t xml:space="preserve"> </w:t>
      </w:r>
      <w:r w:rsidRPr="0002642E">
        <w:rPr>
          <w:rStyle w:val="Characterbold"/>
        </w:rPr>
        <w:t>Tools</w:t>
      </w:r>
      <w:r w:rsidR="00975895" w:rsidRPr="0002642E">
        <w:rPr>
          <w:rStyle w:val="Characterbold"/>
        </w:rPr>
        <w:t xml:space="preserve"> </w:t>
      </w:r>
      <w:r w:rsidRPr="0002642E">
        <w:rPr>
          <w:rStyle w:val="Characterbold"/>
        </w:rPr>
        <w:t>and</w:t>
      </w:r>
      <w:r w:rsidR="00975895" w:rsidRPr="0002642E">
        <w:rPr>
          <w:rStyle w:val="Characterbold"/>
        </w:rPr>
        <w:t xml:space="preserve"> </w:t>
      </w:r>
      <w:r w:rsidRPr="0002642E">
        <w:rPr>
          <w:rStyle w:val="Characterbold"/>
        </w:rPr>
        <w:t>information</w:t>
      </w:r>
      <w:r w:rsidR="00975895" w:rsidRPr="0002642E">
        <w:rPr>
          <w:rStyle w:val="Characterbold"/>
        </w:rPr>
        <w:t xml:space="preserve"> </w:t>
      </w:r>
      <w:r w:rsidRPr="0002642E">
        <w:rPr>
          <w:rStyle w:val="Characterbold"/>
        </w:rPr>
        <w:t>about</w:t>
      </w:r>
      <w:r w:rsidR="00975895" w:rsidRPr="0002642E">
        <w:rPr>
          <w:rStyle w:val="Characterbold"/>
        </w:rPr>
        <w:t xml:space="preserve"> </w:t>
      </w:r>
      <w:r w:rsidRPr="0002642E">
        <w:rPr>
          <w:rStyle w:val="Characterbold"/>
        </w:rPr>
        <w:t>human</w:t>
      </w:r>
      <w:r w:rsidR="00975895" w:rsidRPr="0002642E">
        <w:rPr>
          <w:rStyle w:val="Characterbold"/>
        </w:rPr>
        <w:t xml:space="preserve"> </w:t>
      </w:r>
      <w:r w:rsidRPr="0002642E">
        <w:rPr>
          <w:rStyle w:val="Characterbold"/>
        </w:rPr>
        <w:t>rights</w:t>
      </w:r>
      <w:r w:rsidR="00975895" w:rsidRPr="0002642E">
        <w:rPr>
          <w:rStyle w:val="Characterbold"/>
        </w:rPr>
        <w:t xml:space="preserve"> </w:t>
      </w:r>
      <w:r w:rsidRPr="0002642E">
        <w:rPr>
          <w:rStyle w:val="Characterbold"/>
        </w:rPr>
        <w:t>provided</w:t>
      </w:r>
      <w:r w:rsidR="00975895" w:rsidRPr="0002642E">
        <w:rPr>
          <w:rStyle w:val="Characterbold"/>
        </w:rPr>
        <w:t xml:space="preserve"> </w:t>
      </w:r>
      <w:r w:rsidRPr="0002642E">
        <w:rPr>
          <w:rStyle w:val="Characterbold"/>
        </w:rPr>
        <w:t>to</w:t>
      </w:r>
      <w:r w:rsidR="00975895" w:rsidRPr="0002642E">
        <w:rPr>
          <w:rStyle w:val="Characterbold"/>
        </w:rPr>
        <w:t xml:space="preserve"> </w:t>
      </w:r>
      <w:r w:rsidRPr="0002642E">
        <w:rPr>
          <w:rStyle w:val="Characterbold"/>
        </w:rPr>
        <w:t>the</w:t>
      </w:r>
      <w:r w:rsidR="00975895" w:rsidRPr="0002642E">
        <w:rPr>
          <w:rStyle w:val="Characterbold"/>
        </w:rPr>
        <w:t xml:space="preserve"> </w:t>
      </w:r>
      <w:r w:rsidRPr="0002642E">
        <w:rPr>
          <w:rStyle w:val="Characterbold"/>
        </w:rPr>
        <w:t>community</w:t>
      </w:r>
    </w:p>
    <w:p w14:paraId="27F44D04" w14:textId="4D551E43" w:rsidR="008E0945" w:rsidRPr="003015FD" w:rsidRDefault="008E0945" w:rsidP="001D418D">
      <w:r w:rsidRPr="003015FD">
        <w:t>(Base:</w:t>
      </w:r>
      <w:r w:rsidR="00975895" w:rsidRPr="003015FD">
        <w:t xml:space="preserve"> </w:t>
      </w:r>
      <w:r w:rsidRPr="003015FD">
        <w:t>all</w:t>
      </w:r>
      <w:r w:rsidR="00975895" w:rsidRPr="003015FD">
        <w:t xml:space="preserve"> </w:t>
      </w:r>
      <w:r w:rsidRPr="003015FD">
        <w:t>respondents)</w:t>
      </w:r>
    </w:p>
    <w:p w14:paraId="623B6566" w14:textId="77777777" w:rsidR="008E0945" w:rsidRPr="003015FD" w:rsidRDefault="008E0945" w:rsidP="005B74F5">
      <w:r w:rsidRPr="003015FD">
        <w:rPr>
          <w:noProof/>
          <w:lang w:val="en-GB" w:eastAsia="en-GB"/>
        </w:rPr>
        <w:drawing>
          <wp:inline distT="0" distB="0" distL="0" distR="0" wp14:anchorId="77B1599E" wp14:editId="69C7FF87">
            <wp:extent cx="4849783" cy="3470275"/>
            <wp:effectExtent l="0" t="0" r="825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7">
                      <a:extLst>
                        <a:ext uri="{28A0092B-C50C-407E-A947-70E740481C1C}">
                          <a14:useLocalDpi xmlns:a14="http://schemas.microsoft.com/office/drawing/2010/main" val="0"/>
                        </a:ext>
                      </a:extLst>
                    </a:blip>
                    <a:srcRect t="2742"/>
                    <a:stretch>
                      <a:fillRect/>
                    </a:stretch>
                  </pic:blipFill>
                  <pic:spPr bwMode="auto">
                    <a:xfrm>
                      <a:off x="0" y="0"/>
                      <a:ext cx="4851387" cy="3471423"/>
                    </a:xfrm>
                    <a:prstGeom prst="rect">
                      <a:avLst/>
                    </a:prstGeom>
                    <a:noFill/>
                    <a:ln>
                      <a:noFill/>
                    </a:ln>
                  </pic:spPr>
                </pic:pic>
              </a:graphicData>
            </a:graphic>
          </wp:inline>
        </w:drawing>
      </w:r>
    </w:p>
    <w:p w14:paraId="1BADD6D2" w14:textId="5AB3F270" w:rsidR="008E0945" w:rsidRDefault="008E0945" w:rsidP="0002642E">
      <w:r w:rsidRPr="003015FD">
        <w:t>Nearly</w:t>
      </w:r>
      <w:r w:rsidR="00975895" w:rsidRPr="003015FD">
        <w:t xml:space="preserve"> </w:t>
      </w:r>
      <w:r w:rsidRPr="003015FD">
        <w:t>all</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(97</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used</w:t>
      </w:r>
      <w:r w:rsidR="00975895" w:rsidRPr="003015FD">
        <w:t xml:space="preserve"> </w:t>
      </w:r>
      <w:r w:rsidRPr="003015FD">
        <w:t>their</w:t>
      </w:r>
      <w:r w:rsidR="00975895" w:rsidRPr="003015FD">
        <w:t xml:space="preserve"> </w:t>
      </w:r>
      <w:r w:rsidRPr="003015FD">
        <w:t>website</w:t>
      </w:r>
      <w:r w:rsidR="00975895" w:rsidRPr="003015FD">
        <w:t xml:space="preserve"> </w:t>
      </w:r>
      <w:r w:rsidRPr="003015FD">
        <w:t>to</w:t>
      </w:r>
      <w:r w:rsidR="00975895" w:rsidRPr="003015FD">
        <w:t xml:space="preserve"> </w:t>
      </w:r>
      <w:r w:rsidRPr="003015FD">
        <w:t>provide</w:t>
      </w:r>
      <w:r w:rsidR="00975895" w:rsidRPr="003015FD">
        <w:t xml:space="preserve"> </w:t>
      </w:r>
      <w:r w:rsidRPr="003015FD">
        <w:t>tools</w:t>
      </w:r>
      <w:r w:rsidR="00975895" w:rsidRPr="003015FD">
        <w:t xml:space="preserve"> </w:t>
      </w:r>
      <w:r w:rsidRPr="003015FD">
        <w:t>and</w:t>
      </w:r>
      <w:r w:rsidR="00975895" w:rsidRPr="003015FD">
        <w:t xml:space="preserve"> </w:t>
      </w:r>
      <w:r w:rsidRPr="003015FD">
        <w:t>information</w:t>
      </w:r>
      <w:r w:rsidR="00975895" w:rsidRPr="003015FD">
        <w:t xml:space="preserve"> </w:t>
      </w:r>
      <w:r w:rsidRPr="003015FD">
        <w:t>about</w:t>
      </w:r>
      <w:r w:rsidR="00975895" w:rsidRPr="003015FD">
        <w:t xml:space="preserve"> </w:t>
      </w:r>
      <w:r w:rsidRPr="003015FD">
        <w:t>human</w:t>
      </w:r>
      <w:r w:rsidR="00975895" w:rsidRPr="003015FD">
        <w:t xml:space="preserve"> </w:t>
      </w:r>
      <w:r w:rsidRPr="003015FD">
        <w:t>rights</w:t>
      </w:r>
      <w:r w:rsidR="00975895" w:rsidRPr="003015FD">
        <w:t xml:space="preserve"> </w:t>
      </w:r>
      <w:r w:rsidRPr="003015FD">
        <w:t>to</w:t>
      </w:r>
      <w:r w:rsidR="00975895" w:rsidRPr="003015FD">
        <w:t xml:space="preserve"> </w:t>
      </w:r>
      <w:r w:rsidRPr="003015FD">
        <w:t>the</w:t>
      </w:r>
      <w:r w:rsidR="00975895" w:rsidRPr="003015FD">
        <w:t xml:space="preserve"> </w:t>
      </w:r>
      <w:r w:rsidRPr="003015FD">
        <w:t>community.</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reported</w:t>
      </w:r>
      <w:r w:rsidR="00975895" w:rsidRPr="003015FD">
        <w:t xml:space="preserve"> </w:t>
      </w:r>
      <w:r w:rsidRPr="003015FD">
        <w:t>higher</w:t>
      </w:r>
      <w:r w:rsidR="00975895" w:rsidRPr="003015FD">
        <w:t xml:space="preserve"> </w:t>
      </w:r>
      <w:r w:rsidRPr="003015FD">
        <w:t>use</w:t>
      </w:r>
      <w:r w:rsidR="00975895" w:rsidRPr="003015FD">
        <w:t xml:space="preserve"> </w:t>
      </w:r>
      <w:r w:rsidRPr="003015FD">
        <w:t>of</w:t>
      </w:r>
      <w:r w:rsidR="00975895" w:rsidRPr="003015FD">
        <w:t xml:space="preserve"> </w:t>
      </w:r>
      <w:r w:rsidRPr="003015FD">
        <w:t>pamphlets</w:t>
      </w:r>
      <w:r w:rsidR="00975895" w:rsidRPr="003015FD">
        <w:t xml:space="preserve"> </w:t>
      </w:r>
      <w:r w:rsidRPr="003015FD">
        <w:t>or</w:t>
      </w:r>
      <w:r w:rsidR="00975895" w:rsidRPr="003015FD">
        <w:t xml:space="preserve"> </w:t>
      </w:r>
      <w:r w:rsidRPr="003015FD">
        <w:t>brochures</w:t>
      </w:r>
      <w:r w:rsidR="00975895" w:rsidRPr="003015FD">
        <w:t xml:space="preserve"> </w:t>
      </w:r>
      <w:r w:rsidRPr="003015FD">
        <w:t>(100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posters</w:t>
      </w:r>
      <w:r w:rsidR="00975895" w:rsidRPr="003015FD">
        <w:t xml:space="preserve"> </w:t>
      </w:r>
      <w:r w:rsidRPr="003015FD">
        <w:t>(86</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displays</w:t>
      </w:r>
      <w:r w:rsidR="00975895" w:rsidRPr="003015FD">
        <w:t xml:space="preserve"> </w:t>
      </w:r>
      <w:r w:rsidRPr="003015FD">
        <w:t>on</w:t>
      </w:r>
      <w:r w:rsidR="00975895" w:rsidRPr="003015FD">
        <w:t xml:space="preserve"> </w:t>
      </w:r>
      <w:r w:rsidRPr="003015FD">
        <w:t>premises</w:t>
      </w:r>
      <w:r w:rsidR="00975895" w:rsidRPr="003015FD">
        <w:t xml:space="preserve"> </w:t>
      </w:r>
      <w:r w:rsidRPr="003015FD">
        <w:t>(86</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in</w:t>
      </w:r>
      <w:r w:rsidR="00975895" w:rsidRPr="003015FD">
        <w:t xml:space="preserve"> </w:t>
      </w:r>
      <w:r w:rsidRPr="003015FD">
        <w:t>different</w:t>
      </w:r>
      <w:r w:rsidR="00975895" w:rsidRPr="003015FD">
        <w:t xml:space="preserve"> </w:t>
      </w:r>
      <w:r w:rsidRPr="003015FD">
        <w:t>languages</w:t>
      </w:r>
      <w:r w:rsidR="00975895" w:rsidRPr="003015FD">
        <w:t xml:space="preserve"> </w:t>
      </w:r>
      <w:r w:rsidRPr="003015FD">
        <w:t>(86</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compared</w:t>
      </w:r>
      <w:r w:rsidR="00975895" w:rsidRPr="003015FD">
        <w:t xml:space="preserve"> </w:t>
      </w:r>
      <w:r w:rsidRPr="003015FD">
        <w:t>to</w:t>
      </w:r>
      <w:r w:rsidR="00975895" w:rsidRPr="003015FD">
        <w:t xml:space="preserve"> </w:t>
      </w:r>
      <w:r w:rsidRPr="003015FD">
        <w:t>other</w:t>
      </w:r>
      <w:r w:rsidR="00975895" w:rsidRPr="003015FD">
        <w:t xml:space="preserve"> </w:t>
      </w:r>
      <w:r w:rsidRPr="003015FD">
        <w:t>organisations.</w:t>
      </w:r>
    </w:p>
    <w:tbl>
      <w:tblPr>
        <w:tblStyle w:val="CustomTablebreakoutbox"/>
        <w:tblW w:w="0" w:type="auto"/>
        <w:tblLook w:val="04A0" w:firstRow="1" w:lastRow="0" w:firstColumn="1" w:lastColumn="0" w:noHBand="0" w:noVBand="1"/>
      </w:tblPr>
      <w:tblGrid>
        <w:gridCol w:w="9061"/>
      </w:tblGrid>
      <w:tr w:rsidR="00CF666C" w14:paraId="53C8737C" w14:textId="77777777" w:rsidTr="00CF666C">
        <w:tc>
          <w:tcPr>
            <w:tcW w:w="9061" w:type="dxa"/>
          </w:tcPr>
          <w:p w14:paraId="6E393A8A" w14:textId="650F918E" w:rsidR="00CF666C" w:rsidRPr="003E33DC" w:rsidRDefault="00250AF7" w:rsidP="00CF666C">
            <w:pPr>
              <w:pStyle w:val="BodyText"/>
              <w:rPr>
                <w:rStyle w:val="Characterbold"/>
              </w:rPr>
            </w:pPr>
            <w:r>
              <w:rPr>
                <w:rStyle w:val="Characterbold"/>
              </w:rPr>
              <w:lastRenderedPageBreak/>
              <w:t xml:space="preserve">Reflections </w:t>
            </w:r>
            <w:r w:rsidR="00CF666C">
              <w:rPr>
                <w:rStyle w:val="Characterbold"/>
              </w:rPr>
              <w:t>from community interviews</w:t>
            </w:r>
          </w:p>
          <w:p w14:paraId="47616D90" w14:textId="77777777" w:rsidR="00CF666C" w:rsidRPr="003015FD" w:rsidRDefault="00CF666C" w:rsidP="00CF666C">
            <w:r w:rsidRPr="003015FD">
              <w:t>Most community organisation participants felt unsure about whether the public authorities they engaged with made information about the Charter and human rights available to the community. Many believed the resources were available, but that public authorities did not necessarily promote this information to the community. One participant indicated public authorities provided them with information about human rights directly, which they in turn passed onto their community through displays in their offices and information in their newsletters.</w:t>
            </w:r>
          </w:p>
          <w:p w14:paraId="7FB514B6" w14:textId="77777777" w:rsidR="00CF666C" w:rsidRPr="003015FD" w:rsidRDefault="00CF666C" w:rsidP="00CF666C">
            <w:r w:rsidRPr="003015FD">
              <w:t>All community organisation participants felt public authorities should make information about human rights available and promote it to the community. Participants provided a range of suggestions for how this information could be effectively communicated, including:</w:t>
            </w:r>
          </w:p>
          <w:p w14:paraId="60E87D6E" w14:textId="77777777" w:rsidR="00CF666C" w:rsidRPr="003015FD" w:rsidRDefault="00CF666C" w:rsidP="00CF666C">
            <w:pPr>
              <w:pStyle w:val="ListBullet"/>
            </w:pPr>
            <w:r w:rsidRPr="003015FD">
              <w:t>promote information through community organisations and local councils</w:t>
            </w:r>
          </w:p>
          <w:p w14:paraId="5220D3C7" w14:textId="77777777" w:rsidR="00CF666C" w:rsidRPr="003015FD" w:rsidRDefault="00CF666C" w:rsidP="00CF666C">
            <w:pPr>
              <w:pStyle w:val="ListBullet"/>
            </w:pPr>
            <w:r w:rsidRPr="003015FD">
              <w:t>u</w:t>
            </w:r>
            <w:r>
              <w:t>se</w:t>
            </w:r>
            <w:r w:rsidRPr="003015FD">
              <w:t xml:space="preserve"> social media and community events to engage the community</w:t>
            </w:r>
          </w:p>
          <w:p w14:paraId="50696BEF" w14:textId="77777777" w:rsidR="00CF666C" w:rsidRPr="003015FD" w:rsidRDefault="00CF666C" w:rsidP="00CF666C">
            <w:pPr>
              <w:pStyle w:val="ListBullet"/>
            </w:pPr>
            <w:r w:rsidRPr="003015FD">
              <w:t xml:space="preserve">ensure information is culturally appropriate and </w:t>
            </w:r>
            <w:r>
              <w:t>in</w:t>
            </w:r>
            <w:r w:rsidRPr="003015FD">
              <w:t xml:space="preserve"> plain English</w:t>
            </w:r>
            <w:r>
              <w:t>.</w:t>
            </w:r>
          </w:p>
          <w:p w14:paraId="775E8637" w14:textId="55354A5E" w:rsidR="00CF666C" w:rsidRPr="003015FD" w:rsidRDefault="00CF666C" w:rsidP="00CF666C">
            <w:r w:rsidRPr="003015FD">
              <w:t>Community organisation participants reported they typically referred members of the community to public authority resources relevant to the work they do, rather than resources about human rights in general. For instance, the Association for Children with a Disability referred community members to Disability Services Commissioner resources. A few participants indicated they referred members of the community to the Commission</w:t>
            </w:r>
            <w:r>
              <w:t>'</w:t>
            </w:r>
            <w:r w:rsidRPr="003015FD">
              <w:t>s website.</w:t>
            </w:r>
          </w:p>
          <w:p w14:paraId="1B2E2184" w14:textId="7872DDE6" w:rsidR="00CF666C" w:rsidRDefault="00CF666C" w:rsidP="00CF666C">
            <w:pPr>
              <w:pStyle w:val="BodyText"/>
            </w:pPr>
            <w:r w:rsidRPr="003015FD">
              <w:t xml:space="preserve">Most community organisation participants stated they sought information about human rights on an </w:t>
            </w:r>
            <w:r>
              <w:t xml:space="preserve">ad hoc </w:t>
            </w:r>
            <w:r w:rsidRPr="003015FD">
              <w:t>basis (</w:t>
            </w:r>
            <w:r>
              <w:t>for example</w:t>
            </w:r>
            <w:r w:rsidRPr="003015FD">
              <w:t xml:space="preserve"> when preparing submissions or if a particular issue was raised by a community member). Participants reported they primarily sought information through an online search. However, a few participants noted they referred to the Commission</w:t>
            </w:r>
            <w:r>
              <w:t>'</w:t>
            </w:r>
            <w:r w:rsidRPr="003015FD">
              <w:t>s website</w:t>
            </w:r>
            <w:r>
              <w:t>.</w:t>
            </w:r>
          </w:p>
        </w:tc>
      </w:tr>
    </w:tbl>
    <w:p w14:paraId="27AC1D84" w14:textId="77777777" w:rsidR="00BB63F5" w:rsidRDefault="00BB63F5" w:rsidP="00BB63F5">
      <w:pPr>
        <w:rPr>
          <w:b/>
        </w:rPr>
      </w:pPr>
    </w:p>
    <w:p w14:paraId="152CA502" w14:textId="4EEAC591" w:rsidR="00BB63F5" w:rsidRPr="0002642E" w:rsidRDefault="00BB63F5" w:rsidP="0002642E">
      <w:pPr>
        <w:rPr>
          <w:b/>
        </w:rPr>
      </w:pPr>
      <w:r w:rsidRPr="001D418D">
        <w:rPr>
          <w:b/>
        </w:rPr>
        <w:t>Tips on putting this into practice</w:t>
      </w:r>
      <w:r>
        <w:rPr>
          <w:b/>
        </w:rPr>
        <w:t>…</w:t>
      </w:r>
    </w:p>
    <w:p w14:paraId="6CC2FE51" w14:textId="22FB8D3F" w:rsidR="00BB63F5" w:rsidRDefault="00BB63F5" w:rsidP="0002642E">
      <w:r w:rsidRPr="0002642E">
        <w:t>Some ways the framework shows to improve community engagement are to:</w:t>
      </w:r>
    </w:p>
    <w:p w14:paraId="229BEAF6" w14:textId="77777777" w:rsidR="00BB63F5" w:rsidRDefault="00BB63F5" w:rsidP="0002642E">
      <w:pPr>
        <w:pStyle w:val="BodyText"/>
        <w:numPr>
          <w:ilvl w:val="0"/>
          <w:numId w:val="98"/>
        </w:numPr>
        <w:rPr>
          <w:lang w:eastAsia="en-AU"/>
        </w:rPr>
      </w:pPr>
      <w:r>
        <w:rPr>
          <w:lang w:eastAsia="en-AU"/>
        </w:rPr>
        <w:t>record how public consultation has influenced and changed decisions</w:t>
      </w:r>
    </w:p>
    <w:p w14:paraId="52919C35" w14:textId="421E15A6" w:rsidR="00BB63F5" w:rsidRDefault="00BB63F5" w:rsidP="0002642E">
      <w:pPr>
        <w:pStyle w:val="BodyText"/>
        <w:numPr>
          <w:ilvl w:val="0"/>
          <w:numId w:val="98"/>
        </w:numPr>
        <w:rPr>
          <w:lang w:eastAsia="en-AU"/>
        </w:rPr>
      </w:pPr>
      <w:r>
        <w:rPr>
          <w:lang w:eastAsia="en-AU"/>
        </w:rPr>
        <w:t>provide accessible materials to the public, in a range of formats, about human rights relevant to the public authority’s work</w:t>
      </w:r>
    </w:p>
    <w:p w14:paraId="5CE8B99C" w14:textId="77777777" w:rsidR="0015088C" w:rsidRDefault="003B428A" w:rsidP="001D418D">
      <w:pPr>
        <w:pStyle w:val="BodyText"/>
        <w:numPr>
          <w:ilvl w:val="0"/>
          <w:numId w:val="98"/>
        </w:numPr>
        <w:rPr>
          <w:lang w:eastAsia="en-AU"/>
        </w:rPr>
      </w:pPr>
      <w:r>
        <w:rPr>
          <w:lang w:eastAsia="en-AU"/>
        </w:rPr>
        <w:t>make use of suggestions provided by community organisations for how to effectively engage with community.</w:t>
      </w:r>
    </w:p>
    <w:p w14:paraId="17315467" w14:textId="77777777" w:rsidR="00BB63F5" w:rsidRDefault="00BB63F5" w:rsidP="0002642E">
      <w:pPr>
        <w:pStyle w:val="BodyText"/>
        <w:ind w:left="360"/>
        <w:rPr>
          <w:lang w:eastAsia="en-AU"/>
        </w:rPr>
      </w:pPr>
    </w:p>
    <w:p w14:paraId="51EC038C" w14:textId="31D4A40C" w:rsidR="008E0945" w:rsidRPr="003015FD" w:rsidRDefault="00D8218F" w:rsidP="0002642E">
      <w:pPr>
        <w:pStyle w:val="Heading3"/>
      </w:pPr>
      <w:bookmarkStart w:id="73" w:name="_Toc15045115"/>
      <w:r w:rsidRPr="003015FD">
        <w:t>2.7.6</w:t>
      </w:r>
      <w:r w:rsidRPr="003015FD">
        <w:tab/>
      </w:r>
      <w:r w:rsidR="008E0945" w:rsidRPr="003015FD">
        <w:t>Operational</w:t>
      </w:r>
      <w:r w:rsidR="00975895" w:rsidRPr="003015FD">
        <w:t xml:space="preserve"> </w:t>
      </w:r>
      <w:r w:rsidR="008E0945" w:rsidRPr="003015FD">
        <w:t>capability</w:t>
      </w:r>
      <w:r w:rsidR="00975895" w:rsidRPr="003015FD">
        <w:t xml:space="preserve"> </w:t>
      </w:r>
      <w:r w:rsidR="008E0945" w:rsidRPr="003015FD">
        <w:t>–</w:t>
      </w:r>
      <w:r w:rsidR="00975895" w:rsidRPr="003015FD">
        <w:t xml:space="preserve"> </w:t>
      </w:r>
      <w:r w:rsidR="008E0945" w:rsidRPr="003015FD">
        <w:t>knowledge</w:t>
      </w:r>
      <w:r w:rsidR="00975895" w:rsidRPr="003015FD">
        <w:t xml:space="preserve"> </w:t>
      </w:r>
      <w:r w:rsidR="008E0945" w:rsidRPr="003015FD">
        <w:t>and</w:t>
      </w:r>
      <w:r w:rsidR="00975895" w:rsidRPr="003015FD">
        <w:t xml:space="preserve"> </w:t>
      </w:r>
      <w:r w:rsidR="008E0945" w:rsidRPr="003015FD">
        <w:t>resourcing</w:t>
      </w:r>
      <w:r w:rsidR="00975895" w:rsidRPr="003015FD">
        <w:t xml:space="preserve"> </w:t>
      </w:r>
      <w:r w:rsidR="008E0945" w:rsidRPr="003015FD">
        <w:t>results</w:t>
      </w:r>
      <w:bookmarkEnd w:id="73"/>
    </w:p>
    <w:p w14:paraId="4C9C7821" w14:textId="6140DE01" w:rsidR="00BA5314" w:rsidRPr="003015FD" w:rsidRDefault="00BA5314" w:rsidP="0002642E">
      <w:r w:rsidRPr="003015FD">
        <w:t>A</w:t>
      </w:r>
      <w:r w:rsidR="00975895" w:rsidRPr="003015FD">
        <w:t xml:space="preserve"> </w:t>
      </w:r>
      <w:r w:rsidRPr="003015FD">
        <w:t>further</w:t>
      </w:r>
      <w:r w:rsidR="00975895" w:rsidRPr="003015FD">
        <w:t xml:space="preserve"> </w:t>
      </w:r>
      <w:r w:rsidRPr="003015FD">
        <w:t>influence</w:t>
      </w:r>
      <w:r w:rsidR="00975895" w:rsidRPr="003015FD">
        <w:t xml:space="preserve"> </w:t>
      </w:r>
      <w:r w:rsidRPr="003015FD">
        <w:t>on</w:t>
      </w:r>
      <w:r w:rsidR="00975895" w:rsidRPr="003015FD">
        <w:t xml:space="preserve"> </w:t>
      </w:r>
      <w:r w:rsidRPr="003015FD">
        <w:t>a</w:t>
      </w:r>
      <w:r w:rsidR="00975895" w:rsidRPr="003015FD">
        <w:t xml:space="preserve"> </w:t>
      </w:r>
      <w:r w:rsidRPr="003015FD">
        <w:t>culture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w:t>
      </w:r>
      <w:r w:rsidR="00975895" w:rsidRPr="003015FD">
        <w:t xml:space="preserve"> </w:t>
      </w:r>
      <w:r w:rsidRPr="003015FD">
        <w:t>operational</w:t>
      </w:r>
      <w:r w:rsidR="00975895" w:rsidRPr="003015FD">
        <w:t xml:space="preserve"> </w:t>
      </w:r>
      <w:r w:rsidR="004B705F" w:rsidRPr="003015FD">
        <w:t>capability</w:t>
      </w:r>
      <w:r w:rsidRPr="003015FD">
        <w:t>,</w:t>
      </w:r>
      <w:r w:rsidR="00975895" w:rsidRPr="003015FD">
        <w:t xml:space="preserve"> </w:t>
      </w:r>
      <w:r w:rsidRPr="003015FD">
        <w:t>including</w:t>
      </w:r>
      <w:r w:rsidR="00975895" w:rsidRPr="003015FD">
        <w:t xml:space="preserve"> </w:t>
      </w:r>
      <w:r w:rsidRPr="003015FD">
        <w:t>knowledge</w:t>
      </w:r>
      <w:r w:rsidR="00975895" w:rsidRPr="003015FD">
        <w:t xml:space="preserve"> </w:t>
      </w:r>
      <w:r w:rsidRPr="003015FD">
        <w:t>and</w:t>
      </w:r>
      <w:r w:rsidR="00975895" w:rsidRPr="003015FD">
        <w:t xml:space="preserve"> </w:t>
      </w:r>
      <w:r w:rsidRPr="003015FD">
        <w:t>resourcing.</w:t>
      </w:r>
      <w:r w:rsidR="00975895" w:rsidRPr="003015FD">
        <w:t xml:space="preserve"> </w:t>
      </w:r>
      <w:r w:rsidRPr="003015FD">
        <w:t>Staff</w:t>
      </w:r>
      <w:r w:rsidR="00975895" w:rsidRPr="003015FD">
        <w:t xml:space="preserve"> </w:t>
      </w:r>
      <w:r w:rsidRPr="003015FD">
        <w:t>should</w:t>
      </w:r>
      <w:r w:rsidR="00975895" w:rsidRPr="003015FD">
        <w:t xml:space="preserve"> </w:t>
      </w:r>
      <w:r w:rsidRPr="003015FD">
        <w:t>know</w:t>
      </w:r>
      <w:r w:rsidR="00975895" w:rsidRPr="003015FD">
        <w:t xml:space="preserve"> </w:t>
      </w:r>
      <w:r w:rsidRPr="003015FD">
        <w:t>how</w:t>
      </w:r>
      <w:r w:rsidR="00975895" w:rsidRPr="003015FD">
        <w:t xml:space="preserve"> </w:t>
      </w:r>
      <w:r w:rsidRPr="003015FD">
        <w:t>the</w:t>
      </w:r>
      <w:r w:rsidR="00975895" w:rsidRPr="003015FD">
        <w:t xml:space="preserve"> </w:t>
      </w:r>
      <w:r w:rsidRPr="003015FD">
        <w:t>Charter</w:t>
      </w:r>
      <w:r w:rsidR="00975895" w:rsidRPr="003015FD">
        <w:t xml:space="preserve"> </w:t>
      </w:r>
      <w:r w:rsidRPr="003015FD">
        <w:t>applies</w:t>
      </w:r>
      <w:r w:rsidR="00975895" w:rsidRPr="003015FD">
        <w:t xml:space="preserve"> </w:t>
      </w:r>
      <w:r w:rsidRPr="003015FD">
        <w:t>to</w:t>
      </w:r>
      <w:r w:rsidR="00975895" w:rsidRPr="003015FD">
        <w:t xml:space="preserve"> </w:t>
      </w:r>
      <w:r w:rsidRPr="003015FD">
        <w:t>their</w:t>
      </w:r>
      <w:r w:rsidR="00975895" w:rsidRPr="003015FD">
        <w:t xml:space="preserve"> </w:t>
      </w:r>
      <w:r w:rsidRPr="003015FD">
        <w:t>work</w:t>
      </w:r>
      <w:r w:rsidR="00975895" w:rsidRPr="003015FD">
        <w:t xml:space="preserve"> </w:t>
      </w:r>
      <w:r w:rsidRPr="003015FD">
        <w:t>and</w:t>
      </w:r>
      <w:r w:rsidR="00975895" w:rsidRPr="003015FD">
        <w:t xml:space="preserve"> </w:t>
      </w:r>
      <w:r w:rsidRPr="003015FD">
        <w:t>have</w:t>
      </w:r>
      <w:r w:rsidR="00975895" w:rsidRPr="003015FD">
        <w:t xml:space="preserve"> </w:t>
      </w:r>
      <w:r w:rsidR="004B705F" w:rsidRPr="003015FD">
        <w:t>capability</w:t>
      </w:r>
      <w:r w:rsidR="00975895" w:rsidRPr="003015FD">
        <w:t xml:space="preserve"> </w:t>
      </w:r>
      <w:r w:rsidRPr="003015FD">
        <w:t>and</w:t>
      </w:r>
      <w:r w:rsidR="00975895" w:rsidRPr="003015FD">
        <w:t xml:space="preserve"> </w:t>
      </w:r>
      <w:r w:rsidRPr="003015FD">
        <w:t>skills</w:t>
      </w:r>
      <w:r w:rsidR="00975895" w:rsidRPr="003015FD">
        <w:t xml:space="preserve"> </w:t>
      </w:r>
      <w:r w:rsidRPr="003015FD">
        <w:t>to</w:t>
      </w:r>
      <w:r w:rsidR="00975895" w:rsidRPr="003015FD">
        <w:t xml:space="preserve"> </w:t>
      </w:r>
      <w:r w:rsidRPr="003015FD">
        <w:t>act</w:t>
      </w:r>
      <w:r w:rsidR="00975895" w:rsidRPr="003015FD">
        <w:t xml:space="preserve"> </w:t>
      </w:r>
      <w:r w:rsidRPr="003015FD">
        <w:t>compatibly</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Human</w:t>
      </w:r>
      <w:r w:rsidR="00975895" w:rsidRPr="003015FD">
        <w:t xml:space="preserve"> </w:t>
      </w:r>
      <w:r w:rsidRPr="003015FD">
        <w:t>rights</w:t>
      </w:r>
      <w:r w:rsidR="00975895" w:rsidRPr="003015FD">
        <w:t xml:space="preserve"> </w:t>
      </w:r>
      <w:r w:rsidRPr="003015FD">
        <w:t>days</w:t>
      </w:r>
      <w:r w:rsidR="00975895" w:rsidRPr="003015FD">
        <w:t xml:space="preserve"> </w:t>
      </w:r>
      <w:r w:rsidRPr="003015FD">
        <w:t>should</w:t>
      </w:r>
      <w:r w:rsidR="00975895" w:rsidRPr="003015FD">
        <w:t xml:space="preserve"> </w:t>
      </w:r>
      <w:r w:rsidRPr="003015FD">
        <w:t>be</w:t>
      </w:r>
      <w:r w:rsidR="00975895" w:rsidRPr="003015FD">
        <w:t xml:space="preserve"> </w:t>
      </w:r>
      <w:r w:rsidR="00DC5DAF" w:rsidRPr="003015FD">
        <w:t>celebrated,</w:t>
      </w:r>
      <w:r w:rsidR="00975895" w:rsidRPr="003015FD">
        <w:t xml:space="preserve"> </w:t>
      </w:r>
      <w:r w:rsidRPr="003015FD">
        <w:t>and</w:t>
      </w:r>
      <w:r w:rsidR="00975895" w:rsidRPr="003015FD">
        <w:t xml:space="preserve"> </w:t>
      </w:r>
      <w:r w:rsidRPr="003015FD">
        <w:t>achievements</w:t>
      </w:r>
      <w:r w:rsidR="00975895" w:rsidRPr="003015FD">
        <w:t xml:space="preserve"> </w:t>
      </w:r>
      <w:r w:rsidRPr="003015FD">
        <w:t>promoted.</w:t>
      </w:r>
      <w:r w:rsidR="00975895" w:rsidRPr="003015FD">
        <w:t xml:space="preserve"> </w:t>
      </w:r>
    </w:p>
    <w:p w14:paraId="1F21E7AA" w14:textId="45A62FEF" w:rsidR="00BA5314" w:rsidRPr="003015FD" w:rsidRDefault="00BA5314" w:rsidP="0002642E">
      <w:r w:rsidRPr="003015FD">
        <w:t>Organisations</w:t>
      </w:r>
      <w:r w:rsidR="00975895" w:rsidRPr="003015FD">
        <w:t xml:space="preserve"> </w:t>
      </w:r>
      <w:r w:rsidRPr="003015FD">
        <w:t>need</w:t>
      </w:r>
      <w:r w:rsidR="00975895" w:rsidRPr="003015FD">
        <w:t xml:space="preserve"> </w:t>
      </w:r>
      <w:r w:rsidRPr="003015FD">
        <w:t>dedicated</w:t>
      </w:r>
      <w:r w:rsidR="00975895" w:rsidRPr="003015FD">
        <w:t xml:space="preserve"> </w:t>
      </w:r>
      <w:r w:rsidRPr="003015FD">
        <w:t>resources</w:t>
      </w:r>
      <w:r w:rsidR="00975895" w:rsidRPr="003015FD">
        <w:t xml:space="preserve"> </w:t>
      </w:r>
      <w:r w:rsidRPr="003015FD">
        <w:t>to</w:t>
      </w:r>
      <w:r w:rsidR="00975895" w:rsidRPr="003015FD">
        <w:t xml:space="preserve"> </w:t>
      </w:r>
      <w:r w:rsidRPr="003015FD">
        <w:t>build</w:t>
      </w:r>
      <w:r w:rsidR="00975895" w:rsidRPr="003015FD">
        <w:t xml:space="preserve"> </w:t>
      </w:r>
      <w:r w:rsidRPr="003015FD">
        <w:t>capacities.</w:t>
      </w:r>
      <w:r w:rsidR="00975895" w:rsidRPr="003015FD">
        <w:t xml:space="preserve"> </w:t>
      </w:r>
      <w:r w:rsidRPr="003015FD">
        <w:t>Human</w:t>
      </w:r>
      <w:r w:rsidR="00975895" w:rsidRPr="003015FD">
        <w:t xml:space="preserve"> </w:t>
      </w:r>
      <w:r w:rsidRPr="003015FD">
        <w:t>rights</w:t>
      </w:r>
      <w:r w:rsidR="00975895" w:rsidRPr="003015FD">
        <w:t xml:space="preserve"> </w:t>
      </w:r>
      <w:r w:rsidRPr="003015FD">
        <w:t>champions</w:t>
      </w:r>
      <w:r w:rsidR="00975895" w:rsidRPr="003015FD">
        <w:t xml:space="preserve"> </w:t>
      </w:r>
      <w:r w:rsidRPr="003015FD">
        <w:t>and</w:t>
      </w:r>
      <w:r w:rsidR="00975895" w:rsidRPr="003015FD">
        <w:t xml:space="preserve"> </w:t>
      </w:r>
      <w:r w:rsidRPr="003015FD">
        <w:t>human</w:t>
      </w:r>
      <w:r w:rsidR="00975895" w:rsidRPr="003015FD">
        <w:t xml:space="preserve"> </w:t>
      </w:r>
      <w:r w:rsidRPr="003015FD">
        <w:t>rights</w:t>
      </w:r>
      <w:r w:rsidR="00975895" w:rsidRPr="003015FD">
        <w:t xml:space="preserve"> </w:t>
      </w:r>
      <w:r w:rsidRPr="003015FD">
        <w:t>advisers</w:t>
      </w:r>
      <w:r w:rsidR="00975895" w:rsidRPr="003015FD">
        <w:t xml:space="preserve"> </w:t>
      </w:r>
      <w:r w:rsidRPr="003015FD">
        <w:t>can</w:t>
      </w:r>
      <w:r w:rsidR="00975895" w:rsidRPr="003015FD">
        <w:t xml:space="preserve"> </w:t>
      </w:r>
      <w:r w:rsidRPr="003015FD">
        <w:t>have</w:t>
      </w:r>
      <w:r w:rsidR="00975895" w:rsidRPr="003015FD">
        <w:t xml:space="preserve"> </w:t>
      </w:r>
      <w:r w:rsidRPr="003015FD">
        <w:t>a</w:t>
      </w:r>
      <w:r w:rsidR="00975895" w:rsidRPr="003015FD">
        <w:t xml:space="preserve"> </w:t>
      </w:r>
      <w:r w:rsidRPr="003015FD">
        <w:t>positive</w:t>
      </w:r>
      <w:r w:rsidR="00975895" w:rsidRPr="003015FD">
        <w:t xml:space="preserve"> </w:t>
      </w:r>
      <w:r w:rsidRPr="003015FD">
        <w:t>influence</w:t>
      </w:r>
      <w:r w:rsidR="00975895" w:rsidRPr="003015FD">
        <w:t xml:space="preserve"> </w:t>
      </w:r>
      <w:r w:rsidRPr="003015FD">
        <w:t>on</w:t>
      </w:r>
      <w:r w:rsidR="00975895" w:rsidRPr="003015FD">
        <w:t xml:space="preserve"> </w:t>
      </w:r>
      <w:r w:rsidRPr="003015FD">
        <w:t>an</w:t>
      </w:r>
      <w:r w:rsidR="00975895" w:rsidRPr="003015FD">
        <w:t xml:space="preserve"> </w:t>
      </w:r>
      <w:r w:rsidRPr="003015FD">
        <w:t>organisation</w:t>
      </w:r>
      <w:r w:rsidR="000C5726">
        <w:t>'</w:t>
      </w:r>
      <w:r w:rsidRPr="003015FD">
        <w:t>s</w:t>
      </w:r>
      <w:r w:rsidR="00975895" w:rsidRPr="003015FD">
        <w:t xml:space="preserve"> </w:t>
      </w:r>
      <w:r w:rsidRPr="003015FD">
        <w:t>human</w:t>
      </w:r>
      <w:r w:rsidR="00975895" w:rsidRPr="003015FD">
        <w:t xml:space="preserve"> </w:t>
      </w:r>
      <w:r w:rsidRPr="003015FD">
        <w:t>rights</w:t>
      </w:r>
      <w:r w:rsidR="00975895" w:rsidRPr="003015FD">
        <w:t xml:space="preserve"> </w:t>
      </w:r>
      <w:r w:rsidR="004B705F" w:rsidRPr="003015FD">
        <w:t>capability</w:t>
      </w:r>
      <w:r w:rsidRPr="003015FD">
        <w:t>.</w:t>
      </w:r>
      <w:r w:rsidR="00975895" w:rsidRPr="003015FD">
        <w:t xml:space="preserve"> </w:t>
      </w:r>
    </w:p>
    <w:p w14:paraId="6650F7AF" w14:textId="1389B9EB" w:rsidR="008E0945" w:rsidRPr="003015FD" w:rsidRDefault="008E0945" w:rsidP="0002642E">
      <w:r w:rsidRPr="003015FD">
        <w:lastRenderedPageBreak/>
        <w:t>Government</w:t>
      </w:r>
      <w:r w:rsidR="00975895" w:rsidRPr="003015FD">
        <w:t xml:space="preserve"> </w:t>
      </w:r>
      <w:r w:rsidRPr="003015FD">
        <w:t>departments</w:t>
      </w:r>
      <w:r w:rsidR="00975895" w:rsidRPr="003015FD">
        <w:t xml:space="preserve"> </w:t>
      </w:r>
      <w:r w:rsidRPr="003015FD">
        <w:t>(73.7</w:t>
      </w:r>
      <w:r w:rsidR="00975895" w:rsidRPr="003015FD">
        <w:t xml:space="preserve"> </w:t>
      </w:r>
      <w:r w:rsidRPr="003015FD">
        <w:t>points)</w:t>
      </w:r>
      <w:r w:rsidR="00975895" w:rsidRPr="003015FD">
        <w:t xml:space="preserve"> </w:t>
      </w:r>
      <w:r w:rsidRPr="003015FD">
        <w:t>and</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(73.5</w:t>
      </w:r>
      <w:r w:rsidR="00975895" w:rsidRPr="003015FD">
        <w:t xml:space="preserve"> </w:t>
      </w:r>
      <w:r w:rsidRPr="003015FD">
        <w:t>points)</w:t>
      </w:r>
      <w:r w:rsidR="00975895" w:rsidRPr="003015FD">
        <w:t xml:space="preserve"> </w:t>
      </w:r>
      <w:r w:rsidRPr="003015FD">
        <w:t>recorded,</w:t>
      </w:r>
      <w:r w:rsidR="00975895" w:rsidRPr="003015FD">
        <w:t xml:space="preserve"> </w:t>
      </w:r>
      <w:r w:rsidRPr="003015FD">
        <w:t>on</w:t>
      </w:r>
      <w:r w:rsidR="00975895" w:rsidRPr="003015FD">
        <w:t xml:space="preserve"> </w:t>
      </w:r>
      <w:r w:rsidRPr="003015FD">
        <w:t>average,</w:t>
      </w:r>
      <w:r w:rsidR="00975895" w:rsidRPr="003015FD">
        <w:t xml:space="preserve"> </w:t>
      </w:r>
      <w:r w:rsidRPr="003015FD">
        <w:t>higher</w:t>
      </w:r>
      <w:r w:rsidR="00975895" w:rsidRPr="003015FD">
        <w:t xml:space="preserve"> </w:t>
      </w:r>
      <w:r w:rsidRPr="003015FD">
        <w:t>scores</w:t>
      </w:r>
      <w:r w:rsidR="00975895" w:rsidRPr="003015FD">
        <w:t xml:space="preserve"> </w:t>
      </w:r>
      <w:r w:rsidRPr="003015FD">
        <w:t>on</w:t>
      </w:r>
      <w:r w:rsidR="00975895" w:rsidRPr="003015FD">
        <w:t xml:space="preserve"> </w:t>
      </w:r>
      <w:r w:rsidRPr="003015FD">
        <w:t>operational</w:t>
      </w:r>
      <w:r w:rsidR="00975895" w:rsidRPr="003015FD">
        <w:t xml:space="preserve"> </w:t>
      </w:r>
      <w:r w:rsidRPr="003015FD">
        <w:t>capability.</w:t>
      </w:r>
    </w:p>
    <w:p w14:paraId="4B3AEF02" w14:textId="28164AD2"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10:</w:t>
      </w:r>
      <w:r w:rsidR="00975895" w:rsidRPr="0002642E">
        <w:rPr>
          <w:rStyle w:val="Characterbold"/>
        </w:rPr>
        <w:t xml:space="preserve"> </w:t>
      </w:r>
      <w:r w:rsidRPr="0002642E">
        <w:rPr>
          <w:rStyle w:val="Characterbold"/>
        </w:rPr>
        <w:t>Overall</w:t>
      </w:r>
      <w:r w:rsidR="00975895" w:rsidRPr="0002642E">
        <w:rPr>
          <w:rStyle w:val="Characterbold"/>
        </w:rPr>
        <w:t xml:space="preserve"> </w:t>
      </w:r>
      <w:r w:rsidRPr="0002642E">
        <w:rPr>
          <w:rStyle w:val="Characterbold"/>
        </w:rPr>
        <w:t>performance</w:t>
      </w:r>
      <w:r w:rsidR="00975895" w:rsidRPr="0002642E">
        <w:rPr>
          <w:rStyle w:val="Characterbold"/>
        </w:rPr>
        <w:t xml:space="preserve"> </w:t>
      </w:r>
      <w:r w:rsidRPr="0002642E">
        <w:rPr>
          <w:rStyle w:val="Characterbold"/>
        </w:rPr>
        <w:t>–</w:t>
      </w:r>
      <w:r w:rsidR="00975895" w:rsidRPr="0002642E">
        <w:rPr>
          <w:rStyle w:val="Characterbold"/>
        </w:rPr>
        <w:t xml:space="preserve"> </w:t>
      </w:r>
      <w:r w:rsidRPr="0002642E">
        <w:rPr>
          <w:rStyle w:val="Characterbold"/>
        </w:rPr>
        <w:t>Operational</w:t>
      </w:r>
      <w:r w:rsidR="00975895" w:rsidRPr="0002642E">
        <w:rPr>
          <w:rStyle w:val="Characterbold"/>
        </w:rPr>
        <w:t xml:space="preserve"> </w:t>
      </w:r>
      <w:r w:rsidRPr="0002642E">
        <w:rPr>
          <w:rStyle w:val="Characterbold"/>
        </w:rPr>
        <w:t>capability</w:t>
      </w:r>
    </w:p>
    <w:p w14:paraId="2EEFF1ED" w14:textId="0BD50E6F"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4620CE8A" w14:textId="77777777" w:rsidR="008E0945" w:rsidRPr="0002642E" w:rsidRDefault="008E0945" w:rsidP="0002642E">
      <w:pPr>
        <w:pStyle w:val="MediumGrid21"/>
        <w:jc w:val="center"/>
        <w:rPr>
          <w:rFonts w:ascii="Arial" w:hAnsi="Arial"/>
        </w:rPr>
      </w:pPr>
      <w:r w:rsidRPr="0002642E">
        <w:rPr>
          <w:rFonts w:ascii="Arial" w:hAnsi="Arial" w:cs="Arial"/>
          <w:noProof/>
          <w:lang w:val="en-GB" w:eastAsia="en-GB"/>
        </w:rPr>
        <w:drawing>
          <wp:inline distT="0" distB="0" distL="0" distR="0" wp14:anchorId="38A2C512" wp14:editId="576F1403">
            <wp:extent cx="4923155" cy="1941226"/>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a:extLst>
                        <a:ext uri="{28A0092B-C50C-407E-A947-70E740481C1C}">
                          <a14:useLocalDpi xmlns:a14="http://schemas.microsoft.com/office/drawing/2010/main" val="0"/>
                        </a:ext>
                      </a:extLst>
                    </a:blip>
                    <a:srcRect t="21504"/>
                    <a:stretch/>
                  </pic:blipFill>
                  <pic:spPr bwMode="auto">
                    <a:xfrm>
                      <a:off x="0" y="0"/>
                      <a:ext cx="4929275" cy="1943639"/>
                    </a:xfrm>
                    <a:prstGeom prst="rect">
                      <a:avLst/>
                    </a:prstGeom>
                    <a:noFill/>
                    <a:ln>
                      <a:noFill/>
                    </a:ln>
                    <a:extLst>
                      <a:ext uri="{53640926-AAD7-44D8-BBD7-CCE9431645EC}">
                        <a14:shadowObscured xmlns:a14="http://schemas.microsoft.com/office/drawing/2010/main"/>
                      </a:ext>
                    </a:extLst>
                  </pic:spPr>
                </pic:pic>
              </a:graphicData>
            </a:graphic>
          </wp:inline>
        </w:drawing>
      </w:r>
    </w:p>
    <w:p w14:paraId="73A05BDF" w14:textId="1EC2050F" w:rsidR="008E0945" w:rsidRPr="003015FD" w:rsidRDefault="008E0945" w:rsidP="0002642E">
      <w:pPr>
        <w:pStyle w:val="Heading4"/>
      </w:pPr>
      <w:r w:rsidRPr="003015FD">
        <w:t>A.</w:t>
      </w:r>
      <w:r w:rsidR="00975895" w:rsidRPr="003015FD">
        <w:t xml:space="preserve"> </w:t>
      </w:r>
      <w:r w:rsidRPr="003015FD">
        <w:t>Charter</w:t>
      </w:r>
      <w:r w:rsidR="00975895" w:rsidRPr="003015FD">
        <w:t xml:space="preserve"> </w:t>
      </w:r>
      <w:r w:rsidR="00471362" w:rsidRPr="003015FD">
        <w:t>education</w:t>
      </w:r>
    </w:p>
    <w:p w14:paraId="69F16EBF" w14:textId="7A4115C7" w:rsidR="008E0945" w:rsidRPr="003015FD" w:rsidRDefault="008E0945" w:rsidP="0002642E">
      <w:r w:rsidRPr="003015FD">
        <w:t>An</w:t>
      </w:r>
      <w:r w:rsidR="00975895" w:rsidRPr="003015FD">
        <w:t xml:space="preserve"> </w:t>
      </w:r>
      <w:r w:rsidRPr="003015FD">
        <w:t>average</w:t>
      </w:r>
      <w:r w:rsidR="00975895" w:rsidRPr="003015FD">
        <w:t xml:space="preserve"> </w:t>
      </w:r>
      <w:r w:rsidRPr="003015FD">
        <w:t>of</w:t>
      </w:r>
      <w:r w:rsidR="00975895" w:rsidRPr="003015FD">
        <w:t xml:space="preserve"> </w:t>
      </w:r>
      <w:r w:rsidRPr="003015FD">
        <w:t>30</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of</w:t>
      </w:r>
      <w:r w:rsidR="00975895" w:rsidRPr="003015FD">
        <w:t xml:space="preserve"> </w:t>
      </w:r>
      <w:r w:rsidRPr="003015FD">
        <w:t>staff</w:t>
      </w:r>
      <w:r w:rsidR="00975895" w:rsidRPr="003015FD">
        <w:t xml:space="preserve"> </w:t>
      </w:r>
      <w:r w:rsidRPr="003015FD">
        <w:t>across</w:t>
      </w:r>
      <w:r w:rsidR="00975895" w:rsidRPr="003015FD">
        <w:t xml:space="preserve"> </w:t>
      </w:r>
      <w:r w:rsidRPr="003015FD">
        <w:t>all</w:t>
      </w:r>
      <w:r w:rsidR="00975895" w:rsidRPr="003015FD">
        <w:t xml:space="preserve"> </w:t>
      </w:r>
      <w:r w:rsidRPr="003015FD">
        <w:t>participating</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completed</w:t>
      </w:r>
      <w:r w:rsidR="00975895" w:rsidRPr="003015FD">
        <w:t xml:space="preserve"> </w:t>
      </w:r>
      <w:r w:rsidRPr="003015FD">
        <w:t>Charter</w:t>
      </w:r>
      <w:r w:rsidR="00975895" w:rsidRPr="003015FD">
        <w:t xml:space="preserve"> </w:t>
      </w:r>
      <w:r w:rsidR="00471362" w:rsidRPr="003015FD">
        <w:t>education</w:t>
      </w:r>
      <w:r w:rsidR="00975895" w:rsidRPr="003015FD">
        <w:t xml:space="preserve"> </w:t>
      </w:r>
      <w:r w:rsidRPr="003015FD">
        <w:t>programs</w:t>
      </w:r>
      <w:r w:rsidR="00975895" w:rsidRPr="003015FD">
        <w:t xml:space="preserve"> </w:t>
      </w:r>
      <w:r w:rsidRPr="003015FD">
        <w:t>in</w:t>
      </w:r>
      <w:r w:rsidR="00975895" w:rsidRPr="003015FD">
        <w:t xml:space="preserve"> </w:t>
      </w:r>
      <w:r w:rsidRPr="003015FD">
        <w:t>the</w:t>
      </w:r>
      <w:r w:rsidR="00975895" w:rsidRPr="003015FD">
        <w:t xml:space="preserve"> </w:t>
      </w:r>
      <w:r w:rsidRPr="003015FD">
        <w:t>2018</w:t>
      </w:r>
      <w:r w:rsidR="00975895" w:rsidRPr="003015FD">
        <w:t xml:space="preserve"> </w:t>
      </w:r>
      <w:r w:rsidRPr="003015FD">
        <w:t>calendar</w:t>
      </w:r>
      <w:r w:rsidR="00975895" w:rsidRPr="003015FD">
        <w:t xml:space="preserve"> </w:t>
      </w:r>
      <w:r w:rsidRPr="003015FD">
        <w:t>year.</w:t>
      </w:r>
      <w:r w:rsidR="00975895" w:rsidRPr="003015FD">
        <w:t xml:space="preserve"> </w:t>
      </w:r>
      <w:r w:rsidRPr="003015FD">
        <w:t>A</w:t>
      </w:r>
      <w:r w:rsidR="00975895" w:rsidRPr="003015FD">
        <w:t xml:space="preserve"> </w:t>
      </w:r>
      <w:r w:rsidRPr="003015FD">
        <w:t>greater</w:t>
      </w:r>
      <w:r w:rsidR="00975895" w:rsidRPr="003015FD">
        <w:t xml:space="preserve"> </w:t>
      </w:r>
      <w:r w:rsidRPr="003015FD">
        <w:t>proportion</w:t>
      </w:r>
      <w:r w:rsidR="00975895" w:rsidRPr="003015FD">
        <w:t xml:space="preserve"> </w:t>
      </w:r>
      <w:r w:rsidRPr="003015FD">
        <w:t>of</w:t>
      </w:r>
      <w:r w:rsidR="00975895" w:rsidRPr="003015FD">
        <w:t xml:space="preserve"> </w:t>
      </w:r>
      <w:r w:rsidRPr="003015FD">
        <w:t>government</w:t>
      </w:r>
      <w:r w:rsidR="00975895" w:rsidRPr="003015FD">
        <w:t xml:space="preserve"> </w:t>
      </w:r>
      <w:r w:rsidRPr="003015FD">
        <w:t>department</w:t>
      </w:r>
      <w:r w:rsidR="00975895" w:rsidRPr="003015FD">
        <w:t xml:space="preserve"> </w:t>
      </w:r>
      <w:r w:rsidRPr="003015FD">
        <w:t>(44</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small</w:t>
      </w:r>
      <w:r w:rsidR="00975895" w:rsidRPr="003015FD">
        <w:t xml:space="preserve"> </w:t>
      </w:r>
      <w:r w:rsidRPr="003015FD">
        <w:t>agency</w:t>
      </w:r>
      <w:r w:rsidR="00975895" w:rsidRPr="003015FD">
        <w:t xml:space="preserve"> </w:t>
      </w:r>
      <w:r w:rsidRPr="003015FD">
        <w:t>(46</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staff</w:t>
      </w:r>
      <w:r w:rsidR="00975895" w:rsidRPr="003015FD">
        <w:t xml:space="preserve"> </w:t>
      </w:r>
      <w:r w:rsidRPr="003015FD">
        <w:t>completed</w:t>
      </w:r>
      <w:r w:rsidR="00975895" w:rsidRPr="003015FD">
        <w:t xml:space="preserve"> </w:t>
      </w:r>
      <w:r w:rsidRPr="003015FD">
        <w:t>Charter</w:t>
      </w:r>
      <w:r w:rsidR="00975895" w:rsidRPr="003015FD">
        <w:t xml:space="preserve"> </w:t>
      </w:r>
      <w:r w:rsidR="00471362" w:rsidRPr="003015FD">
        <w:t>education</w:t>
      </w:r>
      <w:r w:rsidR="00975895" w:rsidRPr="003015FD">
        <w:t xml:space="preserve"> </w:t>
      </w:r>
      <w:r w:rsidRPr="003015FD">
        <w:t>programs</w:t>
      </w:r>
      <w:r w:rsidR="00975895" w:rsidRPr="003015FD">
        <w:t xml:space="preserve"> </w:t>
      </w:r>
      <w:r w:rsidRPr="003015FD">
        <w:t>compared</w:t>
      </w:r>
      <w:r w:rsidR="00975895" w:rsidRPr="003015FD">
        <w:t xml:space="preserve"> </w:t>
      </w:r>
      <w:r w:rsidRPr="003015FD">
        <w:t>to</w:t>
      </w:r>
      <w:r w:rsidR="00975895" w:rsidRPr="003015FD">
        <w:t xml:space="preserve"> </w:t>
      </w:r>
      <w:r w:rsidRPr="003015FD">
        <w:t>local</w:t>
      </w:r>
      <w:r w:rsidR="00975895" w:rsidRPr="003015FD">
        <w:t xml:space="preserve"> </w:t>
      </w:r>
      <w:r w:rsidRPr="003015FD">
        <w:t>councils</w:t>
      </w:r>
      <w:r w:rsidR="00975895" w:rsidRPr="003015FD">
        <w:t xml:space="preserve"> </w:t>
      </w:r>
      <w:r w:rsidRPr="003015FD">
        <w:t>(21</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large</w:t>
      </w:r>
      <w:r w:rsidR="00975895" w:rsidRPr="003015FD">
        <w:t xml:space="preserve"> </w:t>
      </w:r>
      <w:r w:rsidRPr="003015FD">
        <w:t>agencies</w:t>
      </w:r>
      <w:r w:rsidR="00975895" w:rsidRPr="003015FD">
        <w:t xml:space="preserve"> </w:t>
      </w:r>
      <w:r w:rsidRPr="003015FD">
        <w:t>(11</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p>
    <w:p w14:paraId="6E329596" w14:textId="75A805FE" w:rsidR="008E0945" w:rsidRPr="003015FD" w:rsidRDefault="008E0945" w:rsidP="0002642E">
      <w:r w:rsidRPr="003015FD">
        <w:t>The</w:t>
      </w:r>
      <w:r w:rsidR="00975895" w:rsidRPr="003015FD">
        <w:t xml:space="preserve"> </w:t>
      </w:r>
      <w:r w:rsidRPr="003015FD">
        <w:t>Commission</w:t>
      </w:r>
      <w:r w:rsidR="00975895" w:rsidRPr="003015FD">
        <w:t xml:space="preserve"> </w:t>
      </w:r>
      <w:r w:rsidR="00471362" w:rsidRPr="003015FD">
        <w:t>expects</w:t>
      </w:r>
      <w:r w:rsidR="00975895" w:rsidRPr="003015FD">
        <w:t xml:space="preserve"> </w:t>
      </w:r>
      <w:r w:rsidR="00471362" w:rsidRPr="003015FD">
        <w:t>organisations</w:t>
      </w:r>
      <w:r w:rsidR="00975895" w:rsidRPr="003015FD">
        <w:t xml:space="preserve"> </w:t>
      </w:r>
      <w:r w:rsidR="00471362" w:rsidRPr="003015FD">
        <w:t>to</w:t>
      </w:r>
      <w:r w:rsidR="00975895" w:rsidRPr="003015FD">
        <w:t xml:space="preserve"> </w:t>
      </w:r>
      <w:r w:rsidR="00471362" w:rsidRPr="003015FD">
        <w:t>provide</w:t>
      </w:r>
      <w:r w:rsidR="00975895" w:rsidRPr="003015FD">
        <w:t xml:space="preserve"> </w:t>
      </w:r>
      <w:r w:rsidR="00471362" w:rsidRPr="003015FD">
        <w:t>education</w:t>
      </w:r>
      <w:r w:rsidR="00975895" w:rsidRPr="003015FD">
        <w:t xml:space="preserve"> </w:t>
      </w:r>
      <w:r w:rsidR="00471362" w:rsidRPr="003015FD">
        <w:t>on</w:t>
      </w:r>
      <w:r w:rsidR="00975895" w:rsidRPr="003015FD">
        <w:t xml:space="preserve"> </w:t>
      </w:r>
      <w:r w:rsidR="00471362" w:rsidRPr="003015FD">
        <w:t>the</w:t>
      </w:r>
      <w:r w:rsidR="00975895" w:rsidRPr="003015FD">
        <w:t xml:space="preserve"> </w:t>
      </w:r>
      <w:r w:rsidR="00471362" w:rsidRPr="003015FD">
        <w:t>Charter</w:t>
      </w:r>
      <w:r w:rsidR="00975895" w:rsidRPr="003015FD">
        <w:t xml:space="preserve"> </w:t>
      </w:r>
      <w:r w:rsidR="00471362" w:rsidRPr="003015FD">
        <w:t>during</w:t>
      </w:r>
      <w:r w:rsidR="00975895" w:rsidRPr="003015FD">
        <w:t xml:space="preserve"> </w:t>
      </w:r>
      <w:r w:rsidR="00471362" w:rsidRPr="003015FD">
        <w:t>induction</w:t>
      </w:r>
      <w:r w:rsidR="00975895" w:rsidRPr="003015FD">
        <w:t xml:space="preserve"> </w:t>
      </w:r>
      <w:r w:rsidR="00471362" w:rsidRPr="003015FD">
        <w:t>of</w:t>
      </w:r>
      <w:r w:rsidR="00975895" w:rsidRPr="003015FD">
        <w:t xml:space="preserve"> </w:t>
      </w:r>
      <w:r w:rsidR="00471362" w:rsidRPr="003015FD">
        <w:t>new</w:t>
      </w:r>
      <w:r w:rsidR="00975895" w:rsidRPr="003015FD">
        <w:t xml:space="preserve"> </w:t>
      </w:r>
      <w:r w:rsidR="00471362" w:rsidRPr="003015FD">
        <w:t>staff,</w:t>
      </w:r>
      <w:r w:rsidR="00975895" w:rsidRPr="003015FD">
        <w:t xml:space="preserve"> </w:t>
      </w:r>
      <w:r w:rsidR="00471362" w:rsidRPr="003015FD">
        <w:t>as</w:t>
      </w:r>
      <w:r w:rsidR="00975895" w:rsidRPr="003015FD">
        <w:t xml:space="preserve"> </w:t>
      </w:r>
      <w:r w:rsidR="00471362" w:rsidRPr="003015FD">
        <w:t>well</w:t>
      </w:r>
      <w:r w:rsidR="00975895" w:rsidRPr="003015FD">
        <w:t xml:space="preserve"> </w:t>
      </w:r>
      <w:r w:rsidR="00471362" w:rsidRPr="003015FD">
        <w:t>as</w:t>
      </w:r>
      <w:r w:rsidR="00975895" w:rsidRPr="003015FD">
        <w:t xml:space="preserve"> </w:t>
      </w:r>
      <w:r w:rsidR="00471362" w:rsidRPr="003015FD">
        <w:t>ongoing</w:t>
      </w:r>
      <w:r w:rsidR="00975895" w:rsidRPr="003015FD">
        <w:t xml:space="preserve"> </w:t>
      </w:r>
      <w:r w:rsidR="00471362" w:rsidRPr="003015FD">
        <w:t>professional</w:t>
      </w:r>
      <w:r w:rsidR="00975895" w:rsidRPr="003015FD">
        <w:t xml:space="preserve"> </w:t>
      </w:r>
      <w:r w:rsidR="00471362" w:rsidRPr="003015FD">
        <w:t>develop</w:t>
      </w:r>
      <w:r w:rsidR="00975895" w:rsidRPr="003015FD">
        <w:t xml:space="preserve"> </w:t>
      </w:r>
      <w:r w:rsidR="00471362" w:rsidRPr="003015FD">
        <w:t>of</w:t>
      </w:r>
      <w:r w:rsidR="00975895" w:rsidRPr="003015FD">
        <w:t xml:space="preserve"> </w:t>
      </w:r>
      <w:r w:rsidR="00471362" w:rsidRPr="003015FD">
        <w:t>staff</w:t>
      </w:r>
      <w:r w:rsidR="00975895" w:rsidRPr="003015FD">
        <w:t xml:space="preserve"> </w:t>
      </w:r>
      <w:r w:rsidR="00471362" w:rsidRPr="003015FD">
        <w:t>commensurate</w:t>
      </w:r>
      <w:r w:rsidR="00975895" w:rsidRPr="003015FD">
        <w:t xml:space="preserve"> </w:t>
      </w:r>
      <w:r w:rsidR="00471362" w:rsidRPr="003015FD">
        <w:t>with</w:t>
      </w:r>
      <w:r w:rsidR="00975895" w:rsidRPr="003015FD">
        <w:t xml:space="preserve"> </w:t>
      </w:r>
      <w:r w:rsidR="00471362" w:rsidRPr="003015FD">
        <w:t>their</w:t>
      </w:r>
      <w:r w:rsidR="00975895" w:rsidRPr="003015FD">
        <w:t xml:space="preserve"> </w:t>
      </w:r>
      <w:r w:rsidR="00471362" w:rsidRPr="003015FD">
        <w:t>role</w:t>
      </w:r>
      <w:r w:rsidR="00975895" w:rsidRPr="003015FD">
        <w:t xml:space="preserve"> </w:t>
      </w:r>
      <w:r w:rsidR="00471362" w:rsidRPr="003015FD">
        <w:t>and</w:t>
      </w:r>
      <w:r w:rsidR="00975895" w:rsidRPr="003015FD">
        <w:t xml:space="preserve"> </w:t>
      </w:r>
      <w:r w:rsidR="00471362" w:rsidRPr="003015FD">
        <w:t>duties.</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will</w:t>
      </w:r>
      <w:r w:rsidR="00975895" w:rsidRPr="003015FD">
        <w:t xml:space="preserve"> </w:t>
      </w:r>
      <w:r w:rsidRPr="003015FD">
        <w:t>track</w:t>
      </w:r>
      <w:r w:rsidR="00975895" w:rsidRPr="003015FD">
        <w:t xml:space="preserve"> </w:t>
      </w:r>
      <w:r w:rsidR="00471362" w:rsidRPr="003015FD">
        <w:t>the</w:t>
      </w:r>
      <w:r w:rsidR="00975895" w:rsidRPr="003015FD">
        <w:t xml:space="preserve"> </w:t>
      </w:r>
      <w:r w:rsidR="00471362" w:rsidRPr="003015FD">
        <w:t>percentage</w:t>
      </w:r>
      <w:r w:rsidR="00975895" w:rsidRPr="003015FD">
        <w:t xml:space="preserve"> </w:t>
      </w:r>
      <w:r w:rsidR="00471362" w:rsidRPr="003015FD">
        <w:t>of</w:t>
      </w:r>
      <w:r w:rsidR="00975895" w:rsidRPr="003015FD">
        <w:t xml:space="preserve"> </w:t>
      </w:r>
      <w:r w:rsidR="00471362" w:rsidRPr="003015FD">
        <w:t>staff</w:t>
      </w:r>
      <w:r w:rsidR="00975895" w:rsidRPr="003015FD">
        <w:t xml:space="preserve"> </w:t>
      </w:r>
      <w:r w:rsidR="00471362" w:rsidRPr="003015FD">
        <w:t>educated</w:t>
      </w:r>
      <w:r w:rsidR="00975895" w:rsidRPr="003015FD">
        <w:t xml:space="preserve"> </w:t>
      </w:r>
      <w:r w:rsidR="00471362" w:rsidRPr="003015FD">
        <w:t>on</w:t>
      </w:r>
      <w:r w:rsidR="00975895" w:rsidRPr="003015FD">
        <w:t xml:space="preserve"> </w:t>
      </w:r>
      <w:r w:rsidR="00471362" w:rsidRPr="003015FD">
        <w:t>the</w:t>
      </w:r>
      <w:r w:rsidR="00975895" w:rsidRPr="003015FD">
        <w:t xml:space="preserve"> </w:t>
      </w:r>
      <w:r w:rsidR="00471362" w:rsidRPr="003015FD">
        <w:t>Charter</w:t>
      </w:r>
      <w:r w:rsidR="00975895" w:rsidRPr="003015FD">
        <w:t xml:space="preserve"> </w:t>
      </w:r>
      <w:r w:rsidRPr="003015FD">
        <w:t>over</w:t>
      </w:r>
      <w:r w:rsidR="00975895" w:rsidRPr="003015FD">
        <w:t xml:space="preserve"> </w:t>
      </w:r>
      <w:r w:rsidRPr="003015FD">
        <w:t>time.</w:t>
      </w:r>
    </w:p>
    <w:p w14:paraId="25A19387" w14:textId="49FAD616" w:rsidR="008E0945" w:rsidRPr="003015FD" w:rsidRDefault="008E0945" w:rsidP="0002642E">
      <w:r w:rsidRPr="003015FD">
        <w:t>Examples</w:t>
      </w:r>
      <w:r w:rsidR="00975895" w:rsidRPr="003015FD">
        <w:t xml:space="preserve"> </w:t>
      </w:r>
      <w:r w:rsidRPr="003015FD">
        <w:t>of</w:t>
      </w:r>
      <w:r w:rsidR="00975895" w:rsidRPr="003015FD">
        <w:t xml:space="preserve"> </w:t>
      </w:r>
      <w:r w:rsidRPr="003015FD">
        <w:t>Charter</w:t>
      </w:r>
      <w:r w:rsidR="00975895" w:rsidRPr="003015FD">
        <w:t xml:space="preserve"> </w:t>
      </w:r>
      <w:r w:rsidR="00471362" w:rsidRPr="003015FD">
        <w:t>education</w:t>
      </w:r>
      <w:r w:rsidR="00975895" w:rsidRPr="003015FD">
        <w:t xml:space="preserve"> </w:t>
      </w:r>
      <w:r w:rsidRPr="003015FD">
        <w:t>completed</w:t>
      </w:r>
      <w:r w:rsidR="00975895" w:rsidRPr="003015FD">
        <w:t xml:space="preserve"> </w:t>
      </w:r>
      <w:r w:rsidRPr="003015FD">
        <w:t>by</w:t>
      </w:r>
      <w:r w:rsidR="00975895" w:rsidRPr="003015FD">
        <w:t xml:space="preserve"> </w:t>
      </w:r>
      <w:r w:rsidRPr="003015FD">
        <w:t>staff</w:t>
      </w:r>
      <w:r w:rsidR="00975895" w:rsidRPr="003015FD">
        <w:t xml:space="preserve"> </w:t>
      </w:r>
      <w:r w:rsidRPr="003015FD">
        <w:t>comprised</w:t>
      </w:r>
      <w:r w:rsidR="00975895" w:rsidRPr="003015FD">
        <w:t xml:space="preserve"> </w:t>
      </w:r>
      <w:r w:rsidRPr="003015FD">
        <w:t>training</w:t>
      </w:r>
      <w:r w:rsidR="00975895" w:rsidRPr="003015FD">
        <w:t xml:space="preserve"> </w:t>
      </w:r>
      <w:r w:rsidRPr="003015FD">
        <w:t>delivered</w:t>
      </w:r>
      <w:r w:rsidR="00975895" w:rsidRPr="003015FD">
        <w:t xml:space="preserve"> </w:t>
      </w:r>
      <w:r w:rsidRPr="003015FD">
        <w:t>by</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and</w:t>
      </w:r>
      <w:r w:rsidR="00975895" w:rsidRPr="003015FD">
        <w:t xml:space="preserve"> </w:t>
      </w:r>
      <w:r w:rsidRPr="003015FD">
        <w:t>internally</w:t>
      </w:r>
      <w:r w:rsidR="00975895" w:rsidRPr="003015FD">
        <w:t xml:space="preserve"> </w:t>
      </w:r>
      <w:r w:rsidRPr="003015FD">
        <w:t>by</w:t>
      </w:r>
      <w:r w:rsidR="00975895" w:rsidRPr="003015FD">
        <w:t xml:space="preserve"> </w:t>
      </w:r>
      <w:r w:rsidRPr="003015FD">
        <w:t>the</w:t>
      </w:r>
      <w:r w:rsidR="00975895" w:rsidRPr="003015FD">
        <w:t xml:space="preserve"> </w:t>
      </w:r>
      <w:r w:rsidRPr="003015FD">
        <w:t>organisation.</w:t>
      </w:r>
      <w:r w:rsidR="00975895" w:rsidRPr="003015FD">
        <w:t xml:space="preserve"> </w:t>
      </w:r>
      <w:r w:rsidRPr="003015FD">
        <w:t>Training</w:t>
      </w:r>
      <w:r w:rsidR="00975895" w:rsidRPr="003015FD">
        <w:t xml:space="preserve"> </w:t>
      </w:r>
      <w:r w:rsidRPr="003015FD">
        <w:t>was</w:t>
      </w:r>
      <w:r w:rsidR="00975895" w:rsidRPr="003015FD">
        <w:t xml:space="preserve"> </w:t>
      </w:r>
      <w:r w:rsidRPr="003015FD">
        <w:t>delivered</w:t>
      </w:r>
      <w:r w:rsidR="00975895" w:rsidRPr="003015FD">
        <w:t xml:space="preserve"> </w:t>
      </w:r>
      <w:r w:rsidRPr="003015FD">
        <w:t>through</w:t>
      </w:r>
      <w:r w:rsidR="00975895" w:rsidRPr="003015FD">
        <w:t xml:space="preserve"> </w:t>
      </w:r>
      <w:r w:rsidRPr="003015FD">
        <w:t>a</w:t>
      </w:r>
      <w:r w:rsidR="00975895" w:rsidRPr="003015FD">
        <w:t xml:space="preserve"> </w:t>
      </w:r>
      <w:r w:rsidRPr="003015FD">
        <w:t>range</w:t>
      </w:r>
      <w:r w:rsidR="00975895" w:rsidRPr="003015FD">
        <w:t xml:space="preserve"> </w:t>
      </w:r>
      <w:r w:rsidRPr="003015FD">
        <w:t>of</w:t>
      </w:r>
      <w:r w:rsidR="00975895" w:rsidRPr="003015FD">
        <w:t xml:space="preserve"> </w:t>
      </w:r>
      <w:r w:rsidRPr="003015FD">
        <w:t>channels</w:t>
      </w:r>
      <w:r w:rsidR="00975895" w:rsidRPr="003015FD">
        <w:t xml:space="preserve"> </w:t>
      </w:r>
      <w:r w:rsidRPr="003015FD">
        <w:t>including</w:t>
      </w:r>
      <w:r w:rsidR="00975895" w:rsidRPr="003015FD">
        <w:t xml:space="preserve"> </w:t>
      </w:r>
      <w:r w:rsidRPr="003015FD">
        <w:t>face-to-face</w:t>
      </w:r>
      <w:r w:rsidR="00975895" w:rsidRPr="003015FD">
        <w:t xml:space="preserve"> </w:t>
      </w:r>
      <w:r w:rsidRPr="003015FD">
        <w:t>training,</w:t>
      </w:r>
      <w:r w:rsidR="00975895" w:rsidRPr="003015FD">
        <w:t xml:space="preserve"> </w:t>
      </w:r>
      <w:r w:rsidRPr="003015FD">
        <w:t>seminars,</w:t>
      </w:r>
      <w:r w:rsidR="00975895" w:rsidRPr="003015FD">
        <w:t xml:space="preserve"> </w:t>
      </w:r>
      <w:r w:rsidRPr="003015FD">
        <w:t>workshops</w:t>
      </w:r>
      <w:r w:rsidR="00975895" w:rsidRPr="003015FD">
        <w:t xml:space="preserve"> </w:t>
      </w:r>
      <w:r w:rsidRPr="003015FD">
        <w:t>and</w:t>
      </w:r>
      <w:r w:rsidR="00975895" w:rsidRPr="003015FD">
        <w:t xml:space="preserve"> </w:t>
      </w:r>
      <w:r w:rsidRPr="003015FD">
        <w:t>online</w:t>
      </w:r>
      <w:r w:rsidR="00975895" w:rsidRPr="003015FD">
        <w:t xml:space="preserve"> </w:t>
      </w:r>
      <w:r w:rsidRPr="003015FD">
        <w:t>modules.</w:t>
      </w:r>
    </w:p>
    <w:p w14:paraId="42A57B95" w14:textId="50BFBE0D"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11:</w:t>
      </w:r>
      <w:r w:rsidR="00975895" w:rsidRPr="0002642E">
        <w:rPr>
          <w:rStyle w:val="Characterbold"/>
        </w:rPr>
        <w:t xml:space="preserve"> </w:t>
      </w:r>
      <w:r w:rsidRPr="0002642E">
        <w:rPr>
          <w:rStyle w:val="Characterbold"/>
        </w:rPr>
        <w:t>Percentage</w:t>
      </w:r>
      <w:r w:rsidR="00975895" w:rsidRPr="0002642E">
        <w:rPr>
          <w:rStyle w:val="Characterbold"/>
        </w:rPr>
        <w:t xml:space="preserve"> </w:t>
      </w:r>
      <w:r w:rsidRPr="0002642E">
        <w:rPr>
          <w:rStyle w:val="Characterbold"/>
        </w:rPr>
        <w:t>of</w:t>
      </w:r>
      <w:r w:rsidR="00975895" w:rsidRPr="0002642E">
        <w:rPr>
          <w:rStyle w:val="Characterbold"/>
        </w:rPr>
        <w:t xml:space="preserve"> </w:t>
      </w:r>
      <w:r w:rsidRPr="0002642E">
        <w:rPr>
          <w:rStyle w:val="Characterbold"/>
        </w:rPr>
        <w:t>staff</w:t>
      </w:r>
      <w:r w:rsidR="00975895" w:rsidRPr="0002642E">
        <w:rPr>
          <w:rStyle w:val="Characterbold"/>
        </w:rPr>
        <w:t xml:space="preserve"> </w:t>
      </w:r>
      <w:r w:rsidRPr="0002642E">
        <w:rPr>
          <w:rStyle w:val="Characterbold"/>
        </w:rPr>
        <w:t>who</w:t>
      </w:r>
      <w:r w:rsidR="00975895" w:rsidRPr="0002642E">
        <w:rPr>
          <w:rStyle w:val="Characterbold"/>
        </w:rPr>
        <w:t xml:space="preserve"> </w:t>
      </w:r>
      <w:r w:rsidRPr="0002642E">
        <w:rPr>
          <w:rStyle w:val="Characterbold"/>
        </w:rPr>
        <w:t>completed</w:t>
      </w:r>
      <w:r w:rsidR="00975895" w:rsidRPr="0002642E">
        <w:rPr>
          <w:rStyle w:val="Characterbold"/>
        </w:rPr>
        <w:t xml:space="preserve"> </w:t>
      </w:r>
      <w:r w:rsidRPr="0002642E">
        <w:rPr>
          <w:rStyle w:val="Characterbold"/>
        </w:rPr>
        <w:t>Charter</w:t>
      </w:r>
      <w:r w:rsidR="00975895" w:rsidRPr="0002642E">
        <w:rPr>
          <w:rStyle w:val="Characterbold"/>
        </w:rPr>
        <w:t xml:space="preserve"> </w:t>
      </w:r>
      <w:r w:rsidR="00471362" w:rsidRPr="0002642E">
        <w:rPr>
          <w:rStyle w:val="Characterbold"/>
        </w:rPr>
        <w:t>education</w:t>
      </w:r>
      <w:r w:rsidR="00975895" w:rsidRPr="0002642E">
        <w:rPr>
          <w:rStyle w:val="Characterbold"/>
        </w:rPr>
        <w:t xml:space="preserve"> </w:t>
      </w:r>
      <w:r w:rsidRPr="0002642E">
        <w:rPr>
          <w:rStyle w:val="Characterbold"/>
        </w:rPr>
        <w:t>programs</w:t>
      </w:r>
      <w:r w:rsidR="00975895" w:rsidRPr="0002642E">
        <w:rPr>
          <w:rStyle w:val="Characterbold"/>
        </w:rPr>
        <w:t xml:space="preserve"> </w:t>
      </w:r>
      <w:r w:rsidRPr="0002642E">
        <w:rPr>
          <w:rStyle w:val="Characterbold"/>
        </w:rPr>
        <w:t>in</w:t>
      </w:r>
      <w:r w:rsidR="00975895" w:rsidRPr="0002642E">
        <w:rPr>
          <w:rStyle w:val="Characterbold"/>
        </w:rPr>
        <w:t xml:space="preserve"> </w:t>
      </w:r>
      <w:r w:rsidRPr="0002642E">
        <w:rPr>
          <w:rStyle w:val="Characterbold"/>
        </w:rPr>
        <w:t>the</w:t>
      </w:r>
      <w:r w:rsidR="00975895" w:rsidRPr="0002642E">
        <w:rPr>
          <w:rStyle w:val="Characterbold"/>
        </w:rPr>
        <w:t xml:space="preserve"> </w:t>
      </w:r>
      <w:r w:rsidRPr="0002642E">
        <w:rPr>
          <w:rStyle w:val="Characterbold"/>
        </w:rPr>
        <w:t>2018</w:t>
      </w:r>
      <w:r w:rsidR="00975895" w:rsidRPr="0002642E">
        <w:rPr>
          <w:rStyle w:val="Characterbold"/>
        </w:rPr>
        <w:t xml:space="preserve"> </w:t>
      </w:r>
      <w:r w:rsidRPr="0002642E">
        <w:rPr>
          <w:rStyle w:val="Characterbold"/>
        </w:rPr>
        <w:t>calendar</w:t>
      </w:r>
      <w:r w:rsidR="00975895" w:rsidRPr="0002642E">
        <w:rPr>
          <w:rStyle w:val="Characterbold"/>
        </w:rPr>
        <w:t xml:space="preserve"> </w:t>
      </w:r>
      <w:r w:rsidRPr="0002642E">
        <w:rPr>
          <w:rStyle w:val="Characterbold"/>
        </w:rPr>
        <w:t>year</w:t>
      </w:r>
    </w:p>
    <w:p w14:paraId="6182DF4A" w14:textId="451FF90D"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74BD03C1" w14:textId="77777777" w:rsidR="008E0945" w:rsidRPr="003015FD" w:rsidRDefault="008E0945" w:rsidP="008E0945">
      <w:pPr>
        <w:pStyle w:val="MediumGrid21"/>
        <w:jc w:val="center"/>
        <w:rPr>
          <w:rFonts w:ascii="Arial" w:hAnsi="Arial" w:cs="Arial"/>
          <w:lang w:val="en-GB"/>
        </w:rPr>
      </w:pPr>
      <w:r w:rsidRPr="0002642E">
        <w:rPr>
          <w:rFonts w:ascii="Arial" w:hAnsi="Arial" w:cs="Arial"/>
          <w:noProof/>
          <w:lang w:val="en-GB" w:eastAsia="en-GB"/>
        </w:rPr>
        <w:drawing>
          <wp:inline distT="0" distB="0" distL="0" distR="0" wp14:anchorId="5B5F9413" wp14:editId="7CC086B3">
            <wp:extent cx="4827762" cy="210024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rotWithShape="1">
                    <a:blip r:embed="rId29">
                      <a:extLst>
                        <a:ext uri="{28A0092B-C50C-407E-A947-70E740481C1C}">
                          <a14:useLocalDpi xmlns:a14="http://schemas.microsoft.com/office/drawing/2010/main" val="0"/>
                        </a:ext>
                      </a:extLst>
                    </a:blip>
                    <a:srcRect t="6687"/>
                    <a:stretch/>
                  </pic:blipFill>
                  <pic:spPr bwMode="auto">
                    <a:xfrm>
                      <a:off x="0" y="0"/>
                      <a:ext cx="4832353" cy="2102240"/>
                    </a:xfrm>
                    <a:prstGeom prst="rect">
                      <a:avLst/>
                    </a:prstGeom>
                    <a:noFill/>
                    <a:ln>
                      <a:noFill/>
                    </a:ln>
                    <a:extLst>
                      <a:ext uri="{53640926-AAD7-44D8-BBD7-CCE9431645EC}">
                        <a14:shadowObscured xmlns:a14="http://schemas.microsoft.com/office/drawing/2010/main"/>
                      </a:ext>
                    </a:extLst>
                  </pic:spPr>
                </pic:pic>
              </a:graphicData>
            </a:graphic>
          </wp:inline>
        </w:drawing>
      </w:r>
    </w:p>
    <w:p w14:paraId="486FEDD0" w14:textId="227F62D9" w:rsidR="00BA5314" w:rsidRPr="003015FD" w:rsidRDefault="00392D74" w:rsidP="0002642E">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Commission</w:t>
      </w:r>
      <w:r w:rsidR="000C5726">
        <w:t>'</w:t>
      </w:r>
      <w:r w:rsidRPr="003015FD">
        <w:t>s</w:t>
      </w:r>
      <w:r w:rsidR="00975895" w:rsidRPr="003015FD">
        <w:t xml:space="preserve"> </w:t>
      </w:r>
      <w:r w:rsidRPr="003015FD">
        <w:t>People</w:t>
      </w:r>
      <w:r w:rsidR="00975895" w:rsidRPr="003015FD">
        <w:t xml:space="preserve"> </w:t>
      </w:r>
      <w:r w:rsidRPr="003015FD">
        <w:t>Matter</w:t>
      </w:r>
      <w:r w:rsidR="00975895" w:rsidRPr="003015FD">
        <w:t xml:space="preserve"> </w:t>
      </w:r>
      <w:r w:rsidRPr="003015FD">
        <w:t>Survey</w:t>
      </w:r>
      <w:r w:rsidR="00975895" w:rsidRPr="003015FD">
        <w:t xml:space="preserve"> </w:t>
      </w:r>
      <w:r w:rsidRPr="003015FD">
        <w:t>includes</w:t>
      </w:r>
      <w:r w:rsidR="00975895" w:rsidRPr="003015FD">
        <w:t xml:space="preserve"> </w:t>
      </w:r>
      <w:r w:rsidR="001D73FD">
        <w:t>the</w:t>
      </w:r>
      <w:r w:rsidR="00975895" w:rsidRPr="003015FD">
        <w:t xml:space="preserve"> </w:t>
      </w:r>
      <w:r w:rsidRPr="003015FD">
        <w:t>question</w:t>
      </w:r>
      <w:r w:rsidR="001D73FD">
        <w:t>,</w:t>
      </w:r>
      <w:r w:rsidR="00975895" w:rsidRPr="003015FD">
        <w:t xml:space="preserve"> </w:t>
      </w:r>
      <w:r w:rsidR="001D73FD">
        <w:t>"</w:t>
      </w:r>
      <w:r w:rsidRPr="003015FD">
        <w:t>I</w:t>
      </w:r>
      <w:r w:rsidR="00975895" w:rsidRPr="003015FD">
        <w:t xml:space="preserve"> </w:t>
      </w:r>
      <w:r w:rsidRPr="003015FD">
        <w:t>understand</w:t>
      </w:r>
      <w:r w:rsidR="00975895" w:rsidRPr="003015FD">
        <w:t xml:space="preserve"> </w:t>
      </w:r>
      <w:r w:rsidRPr="003015FD">
        <w:t>how</w:t>
      </w:r>
      <w:r w:rsidR="00975895" w:rsidRPr="003015FD">
        <w:t xml:space="preserve"> </w:t>
      </w:r>
      <w:r w:rsidRPr="003015FD">
        <w:t>the</w:t>
      </w:r>
      <w:r w:rsidR="00975895" w:rsidRPr="003015FD">
        <w:t xml:space="preserve"> </w:t>
      </w:r>
      <w:r w:rsidRPr="003015FD">
        <w:t>Charter</w:t>
      </w:r>
      <w:r w:rsidR="00975895" w:rsidRPr="003015FD">
        <w:t xml:space="preserve"> </w:t>
      </w:r>
      <w:r w:rsidRPr="003015FD">
        <w:t>applies</w:t>
      </w:r>
      <w:r w:rsidR="00975895" w:rsidRPr="003015FD">
        <w:t xml:space="preserve"> </w:t>
      </w:r>
      <w:r w:rsidRPr="003015FD">
        <w:t>to</w:t>
      </w:r>
      <w:r w:rsidR="00975895" w:rsidRPr="003015FD">
        <w:t xml:space="preserve"> </w:t>
      </w:r>
      <w:r w:rsidRPr="003015FD">
        <w:t>my</w:t>
      </w:r>
      <w:r w:rsidR="00975895" w:rsidRPr="003015FD">
        <w:t xml:space="preserve"> </w:t>
      </w:r>
      <w:r w:rsidRPr="003015FD">
        <w:t>work</w:t>
      </w:r>
      <w:r w:rsidR="001D73FD">
        <w:t>"</w:t>
      </w:r>
      <w:r w:rsidRPr="003015FD">
        <w:t>.</w:t>
      </w:r>
      <w:r w:rsidR="00975895" w:rsidRPr="003015FD">
        <w:t xml:space="preserve"> </w:t>
      </w:r>
      <w:r w:rsidR="0046602E" w:rsidRPr="003015FD">
        <w:t>The</w:t>
      </w:r>
      <w:r w:rsidR="00975895" w:rsidRPr="003015FD">
        <w:t xml:space="preserve"> </w:t>
      </w:r>
      <w:r w:rsidR="0046602E" w:rsidRPr="003015FD">
        <w:t>result</w:t>
      </w:r>
      <w:r w:rsidR="00975895" w:rsidRPr="003015FD">
        <w:t xml:space="preserve"> </w:t>
      </w:r>
      <w:r w:rsidR="0046602E" w:rsidRPr="003015FD">
        <w:t>to</w:t>
      </w:r>
      <w:r w:rsidR="00975895" w:rsidRPr="003015FD">
        <w:t xml:space="preserve"> </w:t>
      </w:r>
      <w:r w:rsidRPr="003015FD">
        <w:t>this</w:t>
      </w:r>
      <w:r w:rsidR="00975895" w:rsidRPr="003015FD">
        <w:t xml:space="preserve"> </w:t>
      </w:r>
      <w:r w:rsidRPr="003015FD">
        <w:lastRenderedPageBreak/>
        <w:t>question</w:t>
      </w:r>
      <w:r w:rsidR="00975895" w:rsidRPr="003015FD">
        <w:t xml:space="preserve"> </w:t>
      </w:r>
      <w:r w:rsidRPr="003015FD">
        <w:t>can</w:t>
      </w:r>
      <w:r w:rsidR="00975895" w:rsidRPr="003015FD">
        <w:t xml:space="preserve"> </w:t>
      </w:r>
      <w:r w:rsidRPr="003015FD">
        <w:t>indicate</w:t>
      </w:r>
      <w:r w:rsidR="00975895" w:rsidRPr="003015FD">
        <w:t xml:space="preserve"> </w:t>
      </w:r>
      <w:r w:rsidRPr="003015FD">
        <w:t>the</w:t>
      </w:r>
      <w:r w:rsidR="00975895" w:rsidRPr="003015FD">
        <w:t xml:space="preserve"> </w:t>
      </w:r>
      <w:r w:rsidRPr="003015FD">
        <w:t>level</w:t>
      </w:r>
      <w:r w:rsidR="00975895" w:rsidRPr="003015FD">
        <w:t xml:space="preserve"> </w:t>
      </w:r>
      <w:r w:rsidRPr="003015FD">
        <w:t>of</w:t>
      </w:r>
      <w:r w:rsidR="00975895" w:rsidRPr="003015FD">
        <w:t xml:space="preserve"> </w:t>
      </w:r>
      <w:r w:rsidRPr="003015FD">
        <w:t>knowledge</w:t>
      </w:r>
      <w:r w:rsidR="00975895" w:rsidRPr="003015FD">
        <w:t xml:space="preserve"> </w:t>
      </w:r>
      <w:r w:rsidRPr="003015FD">
        <w:t>and</w:t>
      </w:r>
      <w:r w:rsidR="00975895" w:rsidRPr="003015FD">
        <w:t xml:space="preserve"> </w:t>
      </w:r>
      <w:r w:rsidRPr="003015FD">
        <w:t>skills</w:t>
      </w:r>
      <w:r w:rsidR="00975895" w:rsidRPr="003015FD">
        <w:t xml:space="preserve"> </w:t>
      </w:r>
      <w:r w:rsidRPr="003015FD">
        <w:t>of</w:t>
      </w:r>
      <w:r w:rsidR="00975895" w:rsidRPr="003015FD">
        <w:t xml:space="preserve"> </w:t>
      </w:r>
      <w:r w:rsidRPr="003015FD">
        <w:t>staff</w:t>
      </w:r>
      <w:r w:rsidR="00975895" w:rsidRPr="003015FD">
        <w:t xml:space="preserve"> </w:t>
      </w:r>
      <w:r w:rsidR="0046602E" w:rsidRPr="003015FD">
        <w:t>in</w:t>
      </w:r>
      <w:r w:rsidR="00975895" w:rsidRPr="003015FD">
        <w:t xml:space="preserve"> </w:t>
      </w:r>
      <w:r w:rsidR="0046602E" w:rsidRPr="003015FD">
        <w:t>respect</w:t>
      </w:r>
      <w:r w:rsidR="00975895" w:rsidRPr="003015FD">
        <w:t xml:space="preserve"> </w:t>
      </w:r>
      <w:r w:rsidR="0046602E" w:rsidRPr="003015FD">
        <w:t>of</w:t>
      </w:r>
      <w:r w:rsidR="00975895" w:rsidRPr="003015FD">
        <w:t xml:space="preserve"> </w:t>
      </w:r>
      <w:r w:rsidR="0046602E" w:rsidRPr="003015FD">
        <w:t>the</w:t>
      </w:r>
      <w:r w:rsidR="00975895" w:rsidRPr="003015FD">
        <w:t xml:space="preserve"> </w:t>
      </w:r>
      <w:r w:rsidR="0046602E" w:rsidRPr="003015FD">
        <w:t>Charter</w:t>
      </w:r>
      <w:r w:rsidRPr="003015FD">
        <w:t>.</w:t>
      </w:r>
      <w:r w:rsidR="00975895" w:rsidRPr="003015FD">
        <w:t xml:space="preserve"> </w:t>
      </w:r>
    </w:p>
    <w:p w14:paraId="571F8DAF" w14:textId="20D8E508" w:rsidR="00BA5314" w:rsidRPr="003015FD" w:rsidRDefault="00BA5314" w:rsidP="0002642E">
      <w:r w:rsidRPr="003015FD">
        <w:t>In</w:t>
      </w:r>
      <w:r w:rsidR="00975895" w:rsidRPr="003015FD">
        <w:t xml:space="preserve"> </w:t>
      </w:r>
      <w:r w:rsidRPr="003015FD">
        <w:t>2018,</w:t>
      </w:r>
      <w:r w:rsidR="00975895" w:rsidRPr="003015FD">
        <w:t xml:space="preserve"> </w:t>
      </w:r>
      <w:r w:rsidRPr="003015FD">
        <w:t>in</w:t>
      </w:r>
      <w:r w:rsidR="00975895" w:rsidRPr="003015FD">
        <w:t xml:space="preserve"> </w:t>
      </w:r>
      <w:r w:rsidRPr="003015FD">
        <w:t>response</w:t>
      </w:r>
      <w:r w:rsidR="00975895" w:rsidRPr="003015FD">
        <w:t xml:space="preserve"> </w:t>
      </w:r>
      <w:r w:rsidRPr="003015FD">
        <w:t>to</w:t>
      </w:r>
      <w:r w:rsidR="00975895" w:rsidRPr="003015FD">
        <w:t xml:space="preserve"> </w:t>
      </w:r>
      <w:r w:rsidRPr="003015FD">
        <w:t>the</w:t>
      </w:r>
      <w:r w:rsidR="00975895" w:rsidRPr="003015FD">
        <w:t xml:space="preserve"> </w:t>
      </w:r>
      <w:r w:rsidRPr="003015FD">
        <w:t>People</w:t>
      </w:r>
      <w:r w:rsidR="00975895" w:rsidRPr="003015FD">
        <w:t xml:space="preserve"> </w:t>
      </w:r>
      <w:r w:rsidRPr="003015FD">
        <w:t>Matter</w:t>
      </w:r>
      <w:r w:rsidR="00975895" w:rsidRPr="003015FD">
        <w:t xml:space="preserve"> </w:t>
      </w:r>
      <w:r w:rsidRPr="003015FD">
        <w:t>Survey,</w:t>
      </w:r>
      <w:r w:rsidR="00975895" w:rsidRPr="003015FD">
        <w:t xml:space="preserve"> </w:t>
      </w:r>
      <w:r w:rsidRPr="003015FD">
        <w:t>across</w:t>
      </w:r>
      <w:r w:rsidR="00975895" w:rsidRPr="003015FD">
        <w:t xml:space="preserve"> </w:t>
      </w:r>
      <w:r w:rsidRPr="003015FD">
        <w:t>the</w:t>
      </w:r>
      <w:r w:rsidR="00975895" w:rsidRPr="003015FD">
        <w:t xml:space="preserve"> </w:t>
      </w:r>
      <w:r w:rsidRPr="003015FD">
        <w:t>whole</w:t>
      </w:r>
      <w:r w:rsidR="00975895" w:rsidRPr="003015FD">
        <w:t xml:space="preserve"> </w:t>
      </w:r>
      <w:r w:rsidRPr="003015FD">
        <w:t>of</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76.2</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agreed</w:t>
      </w:r>
      <w:r w:rsidR="00975895" w:rsidRPr="003015FD">
        <w:t xml:space="preserve"> </w:t>
      </w:r>
      <w:r w:rsidRPr="003015FD">
        <w:t>or</w:t>
      </w:r>
      <w:r w:rsidR="00975895" w:rsidRPr="003015FD">
        <w:t xml:space="preserve"> </w:t>
      </w:r>
      <w:r w:rsidRPr="003015FD">
        <w:t>strongly</w:t>
      </w:r>
      <w:r w:rsidR="00975895" w:rsidRPr="003015FD">
        <w:t xml:space="preserve"> </w:t>
      </w:r>
      <w:r w:rsidRPr="003015FD">
        <w:t>agreed</w:t>
      </w:r>
      <w:r w:rsidR="00975895" w:rsidRPr="003015FD">
        <w:t xml:space="preserve"> </w:t>
      </w:r>
      <w:r w:rsidRPr="003015FD">
        <w:t>to</w:t>
      </w:r>
      <w:r w:rsidR="00975895" w:rsidRPr="003015FD">
        <w:t xml:space="preserve"> </w:t>
      </w:r>
      <w:r w:rsidRPr="003015FD">
        <w:t>the</w:t>
      </w:r>
      <w:r w:rsidR="00975895" w:rsidRPr="003015FD">
        <w:t xml:space="preserve"> </w:t>
      </w:r>
      <w:r w:rsidRPr="003015FD">
        <w:t>statement</w:t>
      </w:r>
      <w:r w:rsidR="001D73FD">
        <w:t>,</w:t>
      </w:r>
      <w:r w:rsidR="00975895" w:rsidRPr="003015FD">
        <w:t xml:space="preserve"> </w:t>
      </w:r>
      <w:r w:rsidR="001D73FD">
        <w:t>"</w:t>
      </w:r>
      <w:r w:rsidRPr="003015FD">
        <w:t>I</w:t>
      </w:r>
      <w:r w:rsidR="00975895" w:rsidRPr="003015FD">
        <w:t xml:space="preserve"> </w:t>
      </w:r>
      <w:r w:rsidRPr="003015FD">
        <w:t>understand</w:t>
      </w:r>
      <w:r w:rsidR="00975895" w:rsidRPr="003015FD">
        <w:t xml:space="preserve"> </w:t>
      </w:r>
      <w:r w:rsidRPr="003015FD">
        <w:t>how</w:t>
      </w:r>
      <w:r w:rsidR="00975895" w:rsidRPr="003015FD">
        <w:t xml:space="preserve"> </w:t>
      </w:r>
      <w:r w:rsidRPr="003015FD">
        <w:t>the</w:t>
      </w:r>
      <w:r w:rsidR="00975895" w:rsidRPr="003015FD">
        <w:t xml:space="preserve"> </w:t>
      </w:r>
      <w:r w:rsidRPr="003015FD">
        <w:t>Charter</w:t>
      </w:r>
      <w:r w:rsidR="00975895" w:rsidRPr="003015FD">
        <w:t xml:space="preserve"> </w:t>
      </w:r>
      <w:r w:rsidRPr="003015FD">
        <w:t>applies</w:t>
      </w:r>
      <w:r w:rsidR="00975895" w:rsidRPr="003015FD">
        <w:t xml:space="preserve"> </w:t>
      </w:r>
      <w:r w:rsidRPr="003015FD">
        <w:t>to</w:t>
      </w:r>
      <w:r w:rsidR="00975895" w:rsidRPr="003015FD">
        <w:t xml:space="preserve"> </w:t>
      </w:r>
      <w:r w:rsidRPr="003015FD">
        <w:t>my</w:t>
      </w:r>
      <w:r w:rsidR="00975895" w:rsidRPr="003015FD">
        <w:t xml:space="preserve"> </w:t>
      </w:r>
      <w:r w:rsidRPr="003015FD">
        <w:t>work</w:t>
      </w:r>
      <w:r w:rsidR="001D73FD">
        <w:t>"</w:t>
      </w:r>
      <w:r w:rsidRPr="003015FD">
        <w:t>.</w:t>
      </w:r>
      <w:r w:rsidR="00975895" w:rsidRPr="003015FD">
        <w:t xml:space="preserve"> </w:t>
      </w:r>
      <w:r w:rsidRPr="003015FD">
        <w:t>These</w:t>
      </w:r>
      <w:r w:rsidR="00975895" w:rsidRPr="003015FD">
        <w:t xml:space="preserve"> </w:t>
      </w:r>
      <w:r w:rsidRPr="003015FD">
        <w:t>results</w:t>
      </w:r>
      <w:r w:rsidR="00975895" w:rsidRPr="003015FD">
        <w:t xml:space="preserve"> </w:t>
      </w:r>
      <w:r w:rsidRPr="003015FD">
        <w:t>were</w:t>
      </w:r>
      <w:r w:rsidR="00975895" w:rsidRPr="003015FD">
        <w:t xml:space="preserve"> </w:t>
      </w:r>
      <w:r w:rsidRPr="003015FD">
        <w:t>a</w:t>
      </w:r>
      <w:r w:rsidR="00975895" w:rsidRPr="003015FD">
        <w:t xml:space="preserve"> </w:t>
      </w:r>
      <w:r w:rsidRPr="003015FD">
        <w:t>significant</w:t>
      </w:r>
      <w:r w:rsidR="00975895" w:rsidRPr="003015FD">
        <w:t xml:space="preserve"> </w:t>
      </w:r>
      <w:r w:rsidRPr="003015FD">
        <w:t>15</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increase</w:t>
      </w:r>
      <w:r w:rsidR="00975895" w:rsidRPr="003015FD">
        <w:t xml:space="preserve"> </w:t>
      </w:r>
      <w:r w:rsidRPr="003015FD">
        <w:t>from</w:t>
      </w:r>
      <w:r w:rsidR="00975895" w:rsidRPr="003015FD">
        <w:t xml:space="preserve"> </w:t>
      </w:r>
      <w:r w:rsidRPr="003015FD">
        <w:t>the</w:t>
      </w:r>
      <w:r w:rsidR="00975895" w:rsidRPr="003015FD">
        <w:t xml:space="preserve"> </w:t>
      </w:r>
      <w:r w:rsidRPr="003015FD">
        <w:t>previous</w:t>
      </w:r>
      <w:r w:rsidR="00975895" w:rsidRPr="003015FD">
        <w:t xml:space="preserve"> </w:t>
      </w:r>
      <w:r w:rsidRPr="003015FD">
        <w:t>year,</w:t>
      </w:r>
      <w:r w:rsidR="00975895" w:rsidRPr="003015FD">
        <w:t xml:space="preserve"> </w:t>
      </w:r>
      <w:r w:rsidRPr="003015FD">
        <w:t>61.2</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in</w:t>
      </w:r>
      <w:r w:rsidR="00975895" w:rsidRPr="003015FD">
        <w:t xml:space="preserve"> </w:t>
      </w:r>
      <w:r w:rsidRPr="003015FD">
        <w:t>2017.</w:t>
      </w:r>
    </w:p>
    <w:p w14:paraId="4D08B0C6" w14:textId="52F54700" w:rsidR="003E7497" w:rsidRDefault="00DC5DAF" w:rsidP="0002642E">
      <w:r w:rsidRPr="003015FD">
        <w:t>Regarding</w:t>
      </w:r>
      <w:r w:rsidR="00975895" w:rsidRPr="003015FD">
        <w:t xml:space="preserve"> </w:t>
      </w:r>
      <w:r w:rsidR="00BA5314" w:rsidRPr="003015FD">
        <w:t>the</w:t>
      </w:r>
      <w:r w:rsidR="00975895" w:rsidRPr="003015FD">
        <w:t xml:space="preserve"> </w:t>
      </w:r>
      <w:r w:rsidR="00BA5314" w:rsidRPr="003015FD">
        <w:t>Commission</w:t>
      </w:r>
      <w:r w:rsidR="000C5726">
        <w:t>'</w:t>
      </w:r>
      <w:r w:rsidR="00BA5314" w:rsidRPr="003015FD">
        <w:t>s</w:t>
      </w:r>
      <w:r w:rsidR="00975895" w:rsidRPr="003015FD">
        <w:t xml:space="preserve"> </w:t>
      </w:r>
      <w:r w:rsidR="00BA5314" w:rsidRPr="003015FD">
        <w:t>survey,</w:t>
      </w:r>
      <w:r w:rsidR="00975895" w:rsidRPr="003015FD">
        <w:t xml:space="preserve"> </w:t>
      </w:r>
      <w:r w:rsidR="00310B8B" w:rsidRPr="003015FD">
        <w:t>43</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00310B8B" w:rsidRPr="003015FD">
        <w:t>of</w:t>
      </w:r>
      <w:r w:rsidR="00975895" w:rsidRPr="003015FD">
        <w:t xml:space="preserve"> </w:t>
      </w:r>
      <w:r w:rsidR="008E0945" w:rsidRPr="003015FD">
        <w:t>small</w:t>
      </w:r>
      <w:r w:rsidR="00975895" w:rsidRPr="003015FD">
        <w:t xml:space="preserve"> </w:t>
      </w:r>
      <w:r w:rsidR="008E0945" w:rsidRPr="003015FD">
        <w:t>agencies</w:t>
      </w:r>
      <w:r w:rsidR="00975895" w:rsidRPr="003015FD">
        <w:t xml:space="preserve"> </w:t>
      </w:r>
      <w:r w:rsidR="008E0945" w:rsidRPr="003015FD">
        <w:t>and</w:t>
      </w:r>
      <w:r w:rsidR="00975895" w:rsidRPr="003015FD">
        <w:t xml:space="preserve"> </w:t>
      </w:r>
      <w:r w:rsidR="00310B8B" w:rsidRPr="003015FD">
        <w:t>57</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00310B8B" w:rsidRPr="003015FD">
        <w:t>of</w:t>
      </w:r>
      <w:r w:rsidR="00975895" w:rsidRPr="003015FD">
        <w:t xml:space="preserve"> </w:t>
      </w:r>
      <w:r w:rsidR="008E0945" w:rsidRPr="003015FD">
        <w:t>government</w:t>
      </w:r>
      <w:r w:rsidR="00975895" w:rsidRPr="003015FD">
        <w:t xml:space="preserve"> </w:t>
      </w:r>
      <w:r w:rsidR="008E0945" w:rsidRPr="003015FD">
        <w:t>departments</w:t>
      </w:r>
      <w:r w:rsidR="00975895" w:rsidRPr="003015FD">
        <w:t xml:space="preserve"> </w:t>
      </w:r>
      <w:r w:rsidR="00310B8B" w:rsidRPr="003015FD">
        <w:t>confirmed</w:t>
      </w:r>
      <w:r w:rsidR="00975895" w:rsidRPr="003015FD">
        <w:t xml:space="preserve"> </w:t>
      </w:r>
      <w:r w:rsidR="00310B8B" w:rsidRPr="003015FD">
        <w:t>their</w:t>
      </w:r>
      <w:r w:rsidR="00975895" w:rsidRPr="003015FD">
        <w:t xml:space="preserve"> </w:t>
      </w:r>
      <w:r w:rsidR="00310B8B" w:rsidRPr="003015FD">
        <w:t>organisation</w:t>
      </w:r>
      <w:r w:rsidR="00975895" w:rsidRPr="003015FD">
        <w:t xml:space="preserve"> </w:t>
      </w:r>
      <w:r w:rsidR="00310B8B" w:rsidRPr="003015FD">
        <w:t>increased</w:t>
      </w:r>
      <w:r w:rsidR="00975895" w:rsidRPr="003015FD">
        <w:t xml:space="preserve"> </w:t>
      </w:r>
      <w:r w:rsidR="00310B8B" w:rsidRPr="003015FD">
        <w:t>in</w:t>
      </w:r>
      <w:r w:rsidR="00975895" w:rsidRPr="003015FD">
        <w:t xml:space="preserve"> </w:t>
      </w:r>
      <w:r w:rsidR="00310B8B" w:rsidRPr="003015FD">
        <w:t>positive</w:t>
      </w:r>
      <w:r w:rsidR="00975895" w:rsidRPr="003015FD">
        <w:t xml:space="preserve"> </w:t>
      </w:r>
      <w:r w:rsidR="00310B8B" w:rsidRPr="003015FD">
        <w:t>responses</w:t>
      </w:r>
      <w:r w:rsidR="00975895" w:rsidRPr="003015FD">
        <w:t xml:space="preserve"> </w:t>
      </w:r>
      <w:r w:rsidR="00310B8B" w:rsidRPr="003015FD">
        <w:t>to</w:t>
      </w:r>
      <w:r w:rsidR="00975895" w:rsidRPr="003015FD">
        <w:t xml:space="preserve"> </w:t>
      </w:r>
      <w:r w:rsidR="00310B8B" w:rsidRPr="003015FD">
        <w:t>the</w:t>
      </w:r>
      <w:r w:rsidR="00975895" w:rsidRPr="003015FD">
        <w:t xml:space="preserve"> </w:t>
      </w:r>
      <w:r w:rsidR="00310B8B" w:rsidRPr="003015FD">
        <w:t>PMS</w:t>
      </w:r>
      <w:r w:rsidR="00975895" w:rsidRPr="003015FD">
        <w:t xml:space="preserve"> </w:t>
      </w:r>
      <w:r w:rsidR="00310B8B" w:rsidRPr="003015FD">
        <w:t>statement.</w:t>
      </w:r>
      <w:r w:rsidR="00975895" w:rsidRPr="003015FD">
        <w:t xml:space="preserve"> </w:t>
      </w:r>
      <w:r w:rsidR="008E0945" w:rsidRPr="003015FD">
        <w:t>Conversely,</w:t>
      </w:r>
      <w:r w:rsidR="00975895" w:rsidRPr="003015FD">
        <w:t xml:space="preserve"> </w:t>
      </w:r>
      <w:r w:rsidR="008E0945" w:rsidRPr="003015FD">
        <w:t>one</w:t>
      </w:r>
      <w:r w:rsidR="00975895" w:rsidRPr="003015FD">
        <w:t xml:space="preserve"> </w:t>
      </w:r>
      <w:r w:rsidR="008E0945" w:rsidRPr="003015FD">
        <w:t>third</w:t>
      </w:r>
      <w:r w:rsidR="00975895" w:rsidRPr="003015FD">
        <w:t xml:space="preserve"> </w:t>
      </w:r>
      <w:r w:rsidR="008E0945" w:rsidRPr="003015FD">
        <w:t>(33</w:t>
      </w:r>
      <w:r w:rsidR="00975895" w:rsidRPr="003015FD">
        <w:t xml:space="preserve"> </w:t>
      </w:r>
      <w:r w:rsidR="000B73B9" w:rsidRPr="003015FD">
        <w:t>per</w:t>
      </w:r>
      <w:r w:rsidR="00975895" w:rsidRPr="003015FD">
        <w:t xml:space="preserve"> </w:t>
      </w:r>
      <w:r w:rsidR="000B73B9" w:rsidRPr="003015FD">
        <w:t>cent</w:t>
      </w:r>
      <w:r w:rsidR="008E0945" w:rsidRPr="003015FD">
        <w:t>)</w:t>
      </w:r>
      <w:r w:rsidR="00975895" w:rsidRPr="003015FD">
        <w:t xml:space="preserve"> </w:t>
      </w:r>
      <w:r w:rsidR="008E0945" w:rsidRPr="003015FD">
        <w:t>of</w:t>
      </w:r>
      <w:r w:rsidR="00975895" w:rsidRPr="003015FD">
        <w:t xml:space="preserve"> </w:t>
      </w:r>
      <w:r w:rsidR="008E0945" w:rsidRPr="003015FD">
        <w:t>large</w:t>
      </w:r>
      <w:r w:rsidR="00975895" w:rsidRPr="003015FD">
        <w:t xml:space="preserve"> </w:t>
      </w:r>
      <w:r w:rsidR="008E0945" w:rsidRPr="003015FD">
        <w:t>agencies</w:t>
      </w:r>
      <w:r w:rsidR="00975895" w:rsidRPr="003015FD">
        <w:t xml:space="preserve"> </w:t>
      </w:r>
      <w:r w:rsidR="008E0945" w:rsidRPr="003015FD">
        <w:t>reported</w:t>
      </w:r>
      <w:r w:rsidR="00975895" w:rsidRPr="003015FD">
        <w:t xml:space="preserve"> </w:t>
      </w:r>
      <w:r w:rsidR="008E0945" w:rsidRPr="003015FD">
        <w:t>results</w:t>
      </w:r>
      <w:r w:rsidR="00975895" w:rsidRPr="003015FD">
        <w:t xml:space="preserve"> </w:t>
      </w:r>
      <w:r w:rsidR="00392D74" w:rsidRPr="003015FD">
        <w:t>that</w:t>
      </w:r>
      <w:r w:rsidR="00975895" w:rsidRPr="003015FD">
        <w:t xml:space="preserve"> </w:t>
      </w:r>
      <w:r w:rsidR="00392D74" w:rsidRPr="003015FD">
        <w:t>were</w:t>
      </w:r>
      <w:r w:rsidR="00975895" w:rsidRPr="003015FD">
        <w:t xml:space="preserve"> </w:t>
      </w:r>
      <w:r w:rsidR="00392D74" w:rsidRPr="003015FD">
        <w:t>lower</w:t>
      </w:r>
      <w:r w:rsidR="00975895" w:rsidRPr="003015FD">
        <w:t xml:space="preserve"> </w:t>
      </w:r>
      <w:r w:rsidR="00392D74" w:rsidRPr="003015FD">
        <w:t>than</w:t>
      </w:r>
      <w:r w:rsidR="00975895" w:rsidRPr="003015FD">
        <w:t xml:space="preserve"> </w:t>
      </w:r>
      <w:r w:rsidR="00392D74" w:rsidRPr="003015FD">
        <w:t>the</w:t>
      </w:r>
      <w:r w:rsidR="00975895" w:rsidRPr="003015FD">
        <w:t xml:space="preserve"> </w:t>
      </w:r>
      <w:r w:rsidR="00392D74" w:rsidRPr="003015FD">
        <w:t>Victorian</w:t>
      </w:r>
      <w:r w:rsidR="00975895" w:rsidRPr="003015FD">
        <w:t xml:space="preserve"> </w:t>
      </w:r>
      <w:r w:rsidR="00392D74" w:rsidRPr="003015FD">
        <w:t>public</w:t>
      </w:r>
      <w:r w:rsidR="00975895" w:rsidRPr="003015FD">
        <w:t xml:space="preserve"> </w:t>
      </w:r>
      <w:r w:rsidR="00392D74" w:rsidRPr="003015FD">
        <w:t>sector</w:t>
      </w:r>
      <w:r w:rsidR="00975895" w:rsidRPr="003015FD">
        <w:t xml:space="preserve"> </w:t>
      </w:r>
      <w:r w:rsidR="00392D74" w:rsidRPr="003015FD">
        <w:t>average</w:t>
      </w:r>
      <w:r w:rsidR="00975895" w:rsidRPr="003015FD">
        <w:t xml:space="preserve"> </w:t>
      </w:r>
      <w:r w:rsidR="008E0945" w:rsidRPr="003015FD">
        <w:t>on</w:t>
      </w:r>
      <w:r w:rsidR="00975895" w:rsidRPr="003015FD">
        <w:t xml:space="preserve"> </w:t>
      </w:r>
      <w:r w:rsidR="008E0945" w:rsidRPr="003015FD">
        <w:t>this</w:t>
      </w:r>
      <w:r w:rsidR="00975895" w:rsidRPr="003015FD">
        <w:t xml:space="preserve"> </w:t>
      </w:r>
      <w:r w:rsidR="008E0945" w:rsidRPr="003015FD">
        <w:t>aspect.</w:t>
      </w:r>
    </w:p>
    <w:p w14:paraId="7940D01F" w14:textId="3CBF313D" w:rsidR="008E0945" w:rsidRPr="003015FD" w:rsidRDefault="008E0945" w:rsidP="0002642E">
      <w:pPr>
        <w:pStyle w:val="Heading4"/>
      </w:pPr>
      <w:r w:rsidRPr="003015FD">
        <w:t>B.</w:t>
      </w:r>
      <w:r w:rsidR="00975895" w:rsidRPr="003015FD">
        <w:t xml:space="preserve"> </w:t>
      </w:r>
      <w:r w:rsidRPr="003015FD">
        <w:t>Raising</w:t>
      </w:r>
      <w:r w:rsidR="00975895" w:rsidRPr="003015FD">
        <w:t xml:space="preserve"> </w:t>
      </w:r>
      <w:r w:rsidRPr="003015FD">
        <w:t>awareness</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p>
    <w:p w14:paraId="467D3C82" w14:textId="26B1BF84" w:rsidR="008E0945" w:rsidRDefault="008E0945" w:rsidP="0002642E">
      <w:r w:rsidRPr="003015FD">
        <w:t>Nearly</w:t>
      </w:r>
      <w:r w:rsidR="00975895" w:rsidRPr="003015FD">
        <w:t xml:space="preserve"> </w:t>
      </w:r>
      <w:r w:rsidRPr="003015FD">
        <w:t>all</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(97</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had</w:t>
      </w:r>
      <w:r w:rsidR="00975895" w:rsidRPr="003015FD">
        <w:t xml:space="preserve"> </w:t>
      </w:r>
      <w:r w:rsidRPr="003015FD">
        <w:t>raised</w:t>
      </w:r>
      <w:r w:rsidR="00975895" w:rsidRPr="003015FD">
        <w:t xml:space="preserve"> </w:t>
      </w:r>
      <w:r w:rsidRPr="003015FD">
        <w:t>awareness</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among</w:t>
      </w:r>
      <w:r w:rsidR="00975895" w:rsidRPr="003015FD">
        <w:t xml:space="preserve"> </w:t>
      </w:r>
      <w:r w:rsidRPr="003015FD">
        <w:t>staff</w:t>
      </w:r>
      <w:r w:rsidR="00975895" w:rsidRPr="003015FD">
        <w:t xml:space="preserve"> </w:t>
      </w:r>
      <w:r w:rsidRPr="003015FD">
        <w:t>in</w:t>
      </w:r>
      <w:r w:rsidR="00975895" w:rsidRPr="003015FD">
        <w:t xml:space="preserve"> </w:t>
      </w:r>
      <w:r w:rsidRPr="003015FD">
        <w:t>2018,</w:t>
      </w:r>
      <w:r w:rsidR="00975895" w:rsidRPr="003015FD">
        <w:t xml:space="preserve"> </w:t>
      </w:r>
      <w:r w:rsidRPr="003015FD">
        <w:t>most</w:t>
      </w:r>
      <w:r w:rsidR="00975895" w:rsidRPr="003015FD">
        <w:t xml:space="preserve"> </w:t>
      </w:r>
      <w:r w:rsidRPr="003015FD">
        <w:t>commonly</w:t>
      </w:r>
      <w:r w:rsidR="00975895" w:rsidRPr="003015FD">
        <w:t xml:space="preserve"> </w:t>
      </w:r>
      <w:r w:rsidRPr="003015FD">
        <w:t>through</w:t>
      </w:r>
      <w:r w:rsidR="00975895" w:rsidRPr="003015FD">
        <w:t xml:space="preserve"> </w:t>
      </w:r>
      <w:r w:rsidRPr="003015FD">
        <w:t>celebrating</w:t>
      </w:r>
      <w:r w:rsidR="00975895" w:rsidRPr="003015FD">
        <w:t xml:space="preserve"> </w:t>
      </w:r>
      <w:r w:rsidRPr="003015FD">
        <w:t>significant</w:t>
      </w:r>
      <w:r w:rsidR="00975895" w:rsidRPr="003015FD">
        <w:t xml:space="preserve"> </w:t>
      </w:r>
      <w:r w:rsidRPr="003015FD">
        <w:t>human</w:t>
      </w:r>
      <w:r w:rsidR="00975895" w:rsidRPr="003015FD">
        <w:t xml:space="preserve"> </w:t>
      </w:r>
      <w:r w:rsidRPr="003015FD">
        <w:t>rights</w:t>
      </w:r>
      <w:r w:rsidR="00975895" w:rsidRPr="003015FD">
        <w:t xml:space="preserve"> </w:t>
      </w:r>
      <w:r w:rsidRPr="003015FD">
        <w:t>days</w:t>
      </w:r>
      <w:r w:rsidR="00975895" w:rsidRPr="003015FD">
        <w:t xml:space="preserve"> </w:t>
      </w:r>
      <w:r w:rsidRPr="003015FD">
        <w:t>(89</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Examples</w:t>
      </w:r>
      <w:r w:rsidR="00975895" w:rsidRPr="003015FD">
        <w:t xml:space="preserve"> </w:t>
      </w:r>
      <w:r w:rsidRPr="003015FD">
        <w:t>includes</w:t>
      </w:r>
      <w:r w:rsidR="00975895" w:rsidRPr="003015FD">
        <w:t xml:space="preserve"> </w:t>
      </w:r>
      <w:r w:rsidRPr="003015FD">
        <w:t>International</w:t>
      </w:r>
      <w:r w:rsidR="00975895" w:rsidRPr="003015FD">
        <w:t xml:space="preserve"> </w:t>
      </w:r>
      <w:r w:rsidRPr="003015FD">
        <w:t>Women</w:t>
      </w:r>
      <w:r w:rsidR="000C5726">
        <w:t>'</w:t>
      </w:r>
      <w:r w:rsidRPr="003015FD">
        <w:t>s</w:t>
      </w:r>
      <w:r w:rsidR="00975895" w:rsidRPr="003015FD">
        <w:t xml:space="preserve"> </w:t>
      </w:r>
      <w:r w:rsidRPr="003015FD">
        <w:t>Day,</w:t>
      </w:r>
      <w:r w:rsidR="00975895" w:rsidRPr="003015FD">
        <w:t xml:space="preserve"> </w:t>
      </w:r>
      <w:r w:rsidRPr="003015FD">
        <w:t>White</w:t>
      </w:r>
      <w:r w:rsidR="00975895" w:rsidRPr="003015FD">
        <w:t xml:space="preserve"> </w:t>
      </w:r>
      <w:r w:rsidRPr="003015FD">
        <w:t>Ribbon</w:t>
      </w:r>
      <w:r w:rsidR="00975895" w:rsidRPr="003015FD">
        <w:t xml:space="preserve"> </w:t>
      </w:r>
      <w:r w:rsidRPr="003015FD">
        <w:t>Day,</w:t>
      </w:r>
      <w:r w:rsidR="00975895" w:rsidRPr="003015FD">
        <w:t xml:space="preserve"> </w:t>
      </w:r>
      <w:r w:rsidRPr="003015FD">
        <w:t>National</w:t>
      </w:r>
      <w:r w:rsidR="00975895" w:rsidRPr="003015FD">
        <w:t xml:space="preserve"> </w:t>
      </w:r>
      <w:r w:rsidRPr="003015FD">
        <w:t>Sorry</w:t>
      </w:r>
      <w:r w:rsidR="00975895" w:rsidRPr="003015FD">
        <w:t xml:space="preserve"> </w:t>
      </w:r>
      <w:r w:rsidRPr="003015FD">
        <w:t>Day,</w:t>
      </w:r>
      <w:r w:rsidR="00975895" w:rsidRPr="003015FD">
        <w:t xml:space="preserve"> </w:t>
      </w:r>
      <w:r w:rsidRPr="003015FD">
        <w:t>Pride</w:t>
      </w:r>
      <w:r w:rsidR="00975895" w:rsidRPr="003015FD">
        <w:t xml:space="preserve"> </w:t>
      </w:r>
      <w:r w:rsidRPr="003015FD">
        <w:t>March</w:t>
      </w:r>
      <w:r w:rsidR="00975895" w:rsidRPr="003015FD">
        <w:t xml:space="preserve"> </w:t>
      </w:r>
      <w:r w:rsidRPr="003015FD">
        <w:t>and</w:t>
      </w:r>
      <w:r w:rsidR="00975895" w:rsidRPr="003015FD">
        <w:t xml:space="preserve"> </w:t>
      </w:r>
      <w:r w:rsidRPr="003015FD">
        <w:t>Harmony</w:t>
      </w:r>
      <w:r w:rsidR="00975895" w:rsidRPr="003015FD">
        <w:t xml:space="preserve"> </w:t>
      </w:r>
      <w:r w:rsidRPr="003015FD">
        <w:t>Day.</w:t>
      </w:r>
      <w:r w:rsidR="00975895" w:rsidRPr="003015FD">
        <w:t xml:space="preserve"> </w:t>
      </w:r>
      <w:r w:rsidRPr="003015FD">
        <w:t>Many</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used</w:t>
      </w:r>
      <w:r w:rsidR="00975895" w:rsidRPr="003015FD">
        <w:t xml:space="preserve"> </w:t>
      </w:r>
      <w:r w:rsidRPr="003015FD">
        <w:t>a</w:t>
      </w:r>
      <w:r w:rsidR="00975895" w:rsidRPr="003015FD">
        <w:t xml:space="preserve"> </w:t>
      </w:r>
      <w:r w:rsidRPr="003015FD">
        <w:t>combination</w:t>
      </w:r>
      <w:r w:rsidR="00975895" w:rsidRPr="003015FD">
        <w:t xml:space="preserve"> </w:t>
      </w:r>
      <w:r w:rsidRPr="003015FD">
        <w:t>of</w:t>
      </w:r>
      <w:r w:rsidR="00975895" w:rsidRPr="003015FD">
        <w:t xml:space="preserve"> </w:t>
      </w:r>
      <w:r w:rsidRPr="003015FD">
        <w:t>channels</w:t>
      </w:r>
      <w:r w:rsidR="00975895" w:rsidRPr="003015FD">
        <w:t xml:space="preserve"> </w:t>
      </w:r>
      <w:r w:rsidRPr="003015FD">
        <w:t>such</w:t>
      </w:r>
      <w:r w:rsidR="00975895" w:rsidRPr="003015FD">
        <w:t xml:space="preserve"> </w:t>
      </w:r>
      <w:r w:rsidRPr="003015FD">
        <w:t>as</w:t>
      </w:r>
      <w:r w:rsidR="00975895" w:rsidRPr="003015FD">
        <w:t xml:space="preserve"> </w:t>
      </w:r>
      <w:r w:rsidRPr="003015FD">
        <w:t>internal</w:t>
      </w:r>
      <w:r w:rsidR="00975895" w:rsidRPr="003015FD">
        <w:t xml:space="preserve"> </w:t>
      </w:r>
      <w:r w:rsidRPr="003015FD">
        <w:t>communications</w:t>
      </w:r>
      <w:r w:rsidR="00975895" w:rsidRPr="003015FD">
        <w:t xml:space="preserve"> </w:t>
      </w:r>
      <w:r w:rsidRPr="003015FD">
        <w:t>campaigns,</w:t>
      </w:r>
      <w:r w:rsidR="00975895" w:rsidRPr="003015FD">
        <w:t xml:space="preserve"> </w:t>
      </w:r>
      <w:r w:rsidRPr="003015FD">
        <w:t>staff-wide</w:t>
      </w:r>
      <w:r w:rsidR="00975895" w:rsidRPr="003015FD">
        <w:t xml:space="preserve"> </w:t>
      </w:r>
      <w:r w:rsidRPr="003015FD">
        <w:t>events</w:t>
      </w:r>
      <w:r w:rsidR="00975895" w:rsidRPr="003015FD">
        <w:t xml:space="preserve"> </w:t>
      </w:r>
      <w:r w:rsidRPr="003015FD">
        <w:t>and</w:t>
      </w:r>
      <w:r w:rsidR="00975895" w:rsidRPr="003015FD">
        <w:t xml:space="preserve"> </w:t>
      </w:r>
      <w:r w:rsidRPr="003015FD">
        <w:t>newsletter</w:t>
      </w:r>
      <w:r w:rsidR="00975895" w:rsidRPr="003015FD">
        <w:t xml:space="preserve"> </w:t>
      </w:r>
      <w:r w:rsidRPr="003015FD">
        <w:t>articles</w:t>
      </w:r>
      <w:r w:rsidR="00975895" w:rsidRPr="003015FD">
        <w:t xml:space="preserve"> </w:t>
      </w:r>
      <w:r w:rsidRPr="003015FD">
        <w:t>to</w:t>
      </w:r>
      <w:r w:rsidR="00975895" w:rsidRPr="003015FD">
        <w:t xml:space="preserve"> </w:t>
      </w:r>
      <w:r w:rsidRPr="003015FD">
        <w:t>support</w:t>
      </w:r>
      <w:r w:rsidR="00975895" w:rsidRPr="003015FD">
        <w:t xml:space="preserve"> </w:t>
      </w:r>
      <w:r w:rsidRPr="003015FD">
        <w:t>and</w:t>
      </w:r>
      <w:r w:rsidR="00975895" w:rsidRPr="003015FD">
        <w:t xml:space="preserve"> </w:t>
      </w:r>
      <w:r w:rsidRPr="003015FD">
        <w:t>promote</w:t>
      </w:r>
      <w:r w:rsidR="00975895" w:rsidRPr="003015FD">
        <w:t xml:space="preserve"> </w:t>
      </w:r>
      <w:r w:rsidRPr="003015FD">
        <w:t>these</w:t>
      </w:r>
      <w:r w:rsidR="00975895" w:rsidRPr="003015FD">
        <w:t xml:space="preserve"> </w:t>
      </w:r>
      <w:r w:rsidRPr="003015FD">
        <w:t>celebrations.</w:t>
      </w:r>
      <w:r w:rsidR="00975895" w:rsidRPr="003015FD">
        <w:t xml:space="preserve"> </w:t>
      </w:r>
    </w:p>
    <w:p w14:paraId="58788624" w14:textId="77777777" w:rsidR="00ED5327" w:rsidRDefault="00ED5327" w:rsidP="00ED5327"/>
    <w:tbl>
      <w:tblPr>
        <w:tblStyle w:val="CustomTablebreakoutbox"/>
        <w:tblW w:w="0" w:type="auto"/>
        <w:tblLook w:val="04A0" w:firstRow="1" w:lastRow="0" w:firstColumn="1" w:lastColumn="0" w:noHBand="0" w:noVBand="1"/>
      </w:tblPr>
      <w:tblGrid>
        <w:gridCol w:w="9061"/>
      </w:tblGrid>
      <w:tr w:rsidR="00ED5327" w14:paraId="021484A5" w14:textId="77777777" w:rsidTr="00947A97">
        <w:tc>
          <w:tcPr>
            <w:tcW w:w="9061" w:type="dxa"/>
          </w:tcPr>
          <w:p w14:paraId="22BEE5A7" w14:textId="33227AFD" w:rsidR="00ED5327" w:rsidRPr="003E33DC" w:rsidRDefault="00ED5327" w:rsidP="00947A97">
            <w:pPr>
              <w:pStyle w:val="BodyText"/>
              <w:rPr>
                <w:rStyle w:val="Characterbold"/>
              </w:rPr>
            </w:pPr>
            <w:r w:rsidRPr="00ED5327">
              <w:rPr>
                <w:rStyle w:val="Characterbold"/>
              </w:rPr>
              <w:t>Examples of how public authorities promoted human rights</w:t>
            </w:r>
            <w:r>
              <w:rPr>
                <w:rStyle w:val="Characterbold"/>
              </w:rPr>
              <w:t>:</w:t>
            </w:r>
          </w:p>
          <w:p w14:paraId="42BC269D" w14:textId="77777777" w:rsidR="00ED5327" w:rsidRPr="003015FD" w:rsidRDefault="00ED5327" w:rsidP="00ED5327">
            <w:pPr>
              <w:pStyle w:val="ListBullet"/>
              <w:spacing w:before="0"/>
            </w:pPr>
            <w:r w:rsidRPr="003015FD">
              <w:t>The Department of Health and Human Services, Community Services Operations conducted cultural competence training and invited guest speakers to raise awareness about the importance of cultural competency and safety</w:t>
            </w:r>
            <w:r>
              <w:t>.</w:t>
            </w:r>
          </w:p>
          <w:p w14:paraId="47221E51" w14:textId="6BF07409" w:rsidR="00ED5327" w:rsidRPr="003015FD" w:rsidRDefault="00ED5327" w:rsidP="00ED5327">
            <w:pPr>
              <w:pStyle w:val="ListBullet"/>
            </w:pPr>
            <w:r w:rsidRPr="003015FD">
              <w:t xml:space="preserve">Court Services Victoria held numerous activities in support of human rights days, such as hosting morning teas, stories on its intranet, links to online human rights campaigns and e-learning modules. </w:t>
            </w:r>
          </w:p>
          <w:p w14:paraId="6774ACC2" w14:textId="4F5DA95F" w:rsidR="00ED5327" w:rsidRDefault="00ED5327" w:rsidP="00ED5327">
            <w:pPr>
              <w:pStyle w:val="ListBullet"/>
            </w:pPr>
            <w:r w:rsidRPr="003015FD">
              <w:t>Port Phillip City Council participated in the 16 Days of Activism around family violence</w:t>
            </w:r>
            <w:r w:rsidR="008D4BCE">
              <w:t xml:space="preserve"> and lit up its town hall in rainbow colours in support of marriage equality</w:t>
            </w:r>
            <w:r>
              <w:t>.</w:t>
            </w:r>
          </w:p>
        </w:tc>
      </w:tr>
    </w:tbl>
    <w:p w14:paraId="5E55C24A" w14:textId="5FCA4789" w:rsidR="008E0945" w:rsidRPr="003015FD" w:rsidRDefault="008E0945" w:rsidP="0002642E">
      <w:r w:rsidRPr="003015FD">
        <w:t>A</w:t>
      </w:r>
      <w:r w:rsidR="00975895" w:rsidRPr="003015FD">
        <w:t xml:space="preserve"> </w:t>
      </w:r>
      <w:r w:rsidRPr="003015FD">
        <w:t>small</w:t>
      </w:r>
      <w:r w:rsidR="00975895" w:rsidRPr="003015FD">
        <w:t xml:space="preserve"> </w:t>
      </w:r>
      <w:r w:rsidRPr="003015FD">
        <w:t>minority</w:t>
      </w:r>
      <w:r w:rsidR="00975895" w:rsidRPr="003015FD">
        <w:t xml:space="preserve"> </w:t>
      </w:r>
      <w:r w:rsidRPr="003015FD">
        <w:t>(13</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of</w:t>
      </w:r>
      <w:r w:rsidR="00975895" w:rsidRPr="003015FD">
        <w:t xml:space="preserve"> </w:t>
      </w:r>
      <w:r w:rsidRPr="003015FD">
        <w:t>large</w:t>
      </w:r>
      <w:r w:rsidR="00975895" w:rsidRPr="003015FD">
        <w:t xml:space="preserve"> </w:t>
      </w:r>
      <w:r w:rsidRPr="003015FD">
        <w:t>agencies)</w:t>
      </w:r>
      <w:r w:rsidR="00975895" w:rsidRPr="003015FD">
        <w:t xml:space="preserve"> </w:t>
      </w:r>
      <w:r w:rsidRPr="003015FD">
        <w:t>had</w:t>
      </w:r>
      <w:r w:rsidR="00975895" w:rsidRPr="003015FD">
        <w:t xml:space="preserve"> </w:t>
      </w:r>
      <w:r w:rsidRPr="003015FD">
        <w:t>not</w:t>
      </w:r>
      <w:r w:rsidR="00975895" w:rsidRPr="003015FD">
        <w:t xml:space="preserve"> </w:t>
      </w:r>
      <w:r w:rsidRPr="003015FD">
        <w:t>raised</w:t>
      </w:r>
      <w:r w:rsidR="00975895" w:rsidRPr="003015FD">
        <w:t xml:space="preserve"> </w:t>
      </w:r>
      <w:r w:rsidRPr="003015FD">
        <w:t>awareness</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among</w:t>
      </w:r>
      <w:r w:rsidR="00975895" w:rsidRPr="003015FD">
        <w:t xml:space="preserve"> </w:t>
      </w:r>
      <w:r w:rsidRPr="003015FD">
        <w:t>staff</w:t>
      </w:r>
      <w:r w:rsidR="00975895" w:rsidRPr="003015FD">
        <w:t xml:space="preserve"> </w:t>
      </w:r>
      <w:r w:rsidRPr="003015FD">
        <w:t>through</w:t>
      </w:r>
      <w:r w:rsidR="00975895" w:rsidRPr="003015FD">
        <w:t xml:space="preserve"> </w:t>
      </w:r>
      <w:r w:rsidRPr="003015FD">
        <w:t>any</w:t>
      </w:r>
      <w:r w:rsidR="00975895" w:rsidRPr="003015FD">
        <w:t xml:space="preserve"> </w:t>
      </w:r>
      <w:r w:rsidRPr="003015FD">
        <w:t>channels.</w:t>
      </w:r>
    </w:p>
    <w:p w14:paraId="1B0B8819" w14:textId="72541268"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12:</w:t>
      </w:r>
      <w:r w:rsidR="00975895" w:rsidRPr="0002642E">
        <w:rPr>
          <w:rStyle w:val="Characterbold"/>
        </w:rPr>
        <w:t xml:space="preserve"> </w:t>
      </w:r>
      <w:r w:rsidRPr="0002642E">
        <w:rPr>
          <w:rStyle w:val="Characterbold"/>
        </w:rPr>
        <w:t>Channels</w:t>
      </w:r>
      <w:r w:rsidR="00975895" w:rsidRPr="0002642E">
        <w:rPr>
          <w:rStyle w:val="Characterbold"/>
        </w:rPr>
        <w:t xml:space="preserve"> </w:t>
      </w:r>
      <w:r w:rsidRPr="0002642E">
        <w:rPr>
          <w:rStyle w:val="Characterbold"/>
        </w:rPr>
        <w:t>used</w:t>
      </w:r>
      <w:r w:rsidR="00975895" w:rsidRPr="0002642E">
        <w:rPr>
          <w:rStyle w:val="Characterbold"/>
        </w:rPr>
        <w:t xml:space="preserve"> </w:t>
      </w:r>
      <w:r w:rsidRPr="0002642E">
        <w:rPr>
          <w:rStyle w:val="Characterbold"/>
        </w:rPr>
        <w:t>to</w:t>
      </w:r>
      <w:r w:rsidR="00975895" w:rsidRPr="0002642E">
        <w:rPr>
          <w:rStyle w:val="Characterbold"/>
        </w:rPr>
        <w:t xml:space="preserve"> </w:t>
      </w:r>
      <w:r w:rsidRPr="0002642E">
        <w:rPr>
          <w:rStyle w:val="Characterbold"/>
        </w:rPr>
        <w:t>raise</w:t>
      </w:r>
      <w:r w:rsidR="00975895" w:rsidRPr="0002642E">
        <w:rPr>
          <w:rStyle w:val="Characterbold"/>
        </w:rPr>
        <w:t xml:space="preserve"> </w:t>
      </w:r>
      <w:r w:rsidRPr="0002642E">
        <w:rPr>
          <w:rStyle w:val="Characterbold"/>
        </w:rPr>
        <w:t>awareness</w:t>
      </w:r>
      <w:r w:rsidR="00975895" w:rsidRPr="0002642E">
        <w:rPr>
          <w:rStyle w:val="Characterbold"/>
        </w:rPr>
        <w:t xml:space="preserve"> </w:t>
      </w:r>
      <w:r w:rsidRPr="0002642E">
        <w:rPr>
          <w:rStyle w:val="Characterbold"/>
        </w:rPr>
        <w:t>of</w:t>
      </w:r>
      <w:r w:rsidR="00975895" w:rsidRPr="0002642E">
        <w:rPr>
          <w:rStyle w:val="Characterbold"/>
        </w:rPr>
        <w:t xml:space="preserve"> </w:t>
      </w:r>
      <w:r w:rsidRPr="0002642E">
        <w:rPr>
          <w:rStyle w:val="Characterbold"/>
        </w:rPr>
        <w:t>human</w:t>
      </w:r>
      <w:r w:rsidR="00975895" w:rsidRPr="0002642E">
        <w:rPr>
          <w:rStyle w:val="Characterbold"/>
        </w:rPr>
        <w:t xml:space="preserve"> </w:t>
      </w:r>
      <w:r w:rsidRPr="0002642E">
        <w:rPr>
          <w:rStyle w:val="Characterbold"/>
        </w:rPr>
        <w:t>rights</w:t>
      </w:r>
      <w:r w:rsidR="00975895" w:rsidRPr="0002642E">
        <w:rPr>
          <w:rStyle w:val="Characterbold"/>
        </w:rPr>
        <w:t xml:space="preserve"> </w:t>
      </w:r>
      <w:r w:rsidRPr="0002642E">
        <w:rPr>
          <w:rStyle w:val="Characterbold"/>
        </w:rPr>
        <w:t>among</w:t>
      </w:r>
      <w:r w:rsidR="00975895" w:rsidRPr="0002642E">
        <w:rPr>
          <w:rStyle w:val="Characterbold"/>
        </w:rPr>
        <w:t xml:space="preserve"> </w:t>
      </w:r>
      <w:r w:rsidRPr="0002642E">
        <w:rPr>
          <w:rStyle w:val="Characterbold"/>
        </w:rPr>
        <w:t>staff</w:t>
      </w:r>
    </w:p>
    <w:p w14:paraId="2470DA2F" w14:textId="068A0BDE"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186F1245" w14:textId="189849CE" w:rsidR="008E0945" w:rsidRDefault="008E0945" w:rsidP="005B74F5">
      <w:r w:rsidRPr="003015FD">
        <w:rPr>
          <w:noProof/>
          <w:lang w:val="en-GB" w:eastAsia="en-GB"/>
        </w:rPr>
        <w:lastRenderedPageBreak/>
        <w:drawing>
          <wp:inline distT="0" distB="0" distL="0" distR="0" wp14:anchorId="00FC6D27" wp14:editId="6EF428D6">
            <wp:extent cx="5400000" cy="383449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rotWithShape="1">
                    <a:blip r:embed="rId30">
                      <a:extLst>
                        <a:ext uri="{28A0092B-C50C-407E-A947-70E740481C1C}">
                          <a14:useLocalDpi xmlns:a14="http://schemas.microsoft.com/office/drawing/2010/main" val="0"/>
                        </a:ext>
                      </a:extLst>
                    </a:blip>
                    <a:srcRect t="3489"/>
                    <a:stretch/>
                  </pic:blipFill>
                  <pic:spPr bwMode="auto">
                    <a:xfrm>
                      <a:off x="0" y="0"/>
                      <a:ext cx="5400000" cy="3834497"/>
                    </a:xfrm>
                    <a:prstGeom prst="rect">
                      <a:avLst/>
                    </a:prstGeom>
                    <a:noFill/>
                    <a:ln>
                      <a:noFill/>
                    </a:ln>
                    <a:extLst>
                      <a:ext uri="{53640926-AAD7-44D8-BBD7-CCE9431645EC}">
                        <a14:shadowObscured xmlns:a14="http://schemas.microsoft.com/office/drawing/2010/main"/>
                      </a:ext>
                    </a:extLst>
                  </pic:spPr>
                </pic:pic>
              </a:graphicData>
            </a:graphic>
          </wp:inline>
        </w:drawing>
      </w:r>
    </w:p>
    <w:p w14:paraId="536895C3" w14:textId="08A41587" w:rsidR="008E0945" w:rsidRPr="003015FD" w:rsidRDefault="008E0945" w:rsidP="0002642E">
      <w:pPr>
        <w:pStyle w:val="Heading4"/>
      </w:pPr>
      <w:r w:rsidRPr="003015FD">
        <w:t>C.</w:t>
      </w:r>
      <w:r w:rsidR="00975895" w:rsidRPr="003015FD">
        <w:t xml:space="preserve"> </w:t>
      </w:r>
      <w:r w:rsidRPr="003015FD">
        <w:t>Resources</w:t>
      </w:r>
      <w:r w:rsidR="00975895" w:rsidRPr="003015FD">
        <w:t xml:space="preserve"> </w:t>
      </w:r>
      <w:r w:rsidRPr="003015FD">
        <w:t>for</w:t>
      </w:r>
      <w:r w:rsidR="00975895" w:rsidRPr="003015FD">
        <w:t xml:space="preserve"> </w:t>
      </w:r>
      <w:r w:rsidRPr="003015FD">
        <w:t>embedding</w:t>
      </w:r>
      <w:r w:rsidR="00975895" w:rsidRPr="003015FD">
        <w:t xml:space="preserve"> </w:t>
      </w:r>
      <w:r w:rsidRPr="003015FD">
        <w:t>a</w:t>
      </w:r>
      <w:r w:rsidR="00975895" w:rsidRPr="003015FD">
        <w:t xml:space="preserve"> </w:t>
      </w:r>
      <w:r w:rsidRPr="003015FD">
        <w:t>positive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p>
    <w:p w14:paraId="6E464AC1" w14:textId="7C17BA7B" w:rsidR="008E0945" w:rsidRDefault="008E0945" w:rsidP="0002642E">
      <w:r w:rsidRPr="003015FD">
        <w:t>The</w:t>
      </w:r>
      <w:r w:rsidR="00975895" w:rsidRPr="003015FD">
        <w:t xml:space="preserve"> </w:t>
      </w:r>
      <w:r w:rsidRPr="003015FD">
        <w:t>majority</w:t>
      </w:r>
      <w:r w:rsidR="00975895" w:rsidRPr="003015FD">
        <w:t xml:space="preserve"> </w:t>
      </w:r>
      <w:r w:rsidRPr="003015FD">
        <w:t>(79</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had</w:t>
      </w:r>
      <w:r w:rsidR="00975895" w:rsidRPr="003015FD">
        <w:t xml:space="preserve"> </w:t>
      </w:r>
      <w:r w:rsidRPr="003015FD">
        <w:t>dedicated</w:t>
      </w:r>
      <w:r w:rsidR="00975895" w:rsidRPr="003015FD">
        <w:t xml:space="preserve"> </w:t>
      </w:r>
      <w:r w:rsidRPr="003015FD">
        <w:t>resources</w:t>
      </w:r>
      <w:r w:rsidR="00975895" w:rsidRPr="003015FD">
        <w:t xml:space="preserve"> </w:t>
      </w:r>
      <w:r w:rsidRPr="003015FD">
        <w:t>for</w:t>
      </w:r>
      <w:r w:rsidR="00975895" w:rsidRPr="003015FD">
        <w:t xml:space="preserve"> </w:t>
      </w:r>
      <w:r w:rsidRPr="003015FD">
        <w:t>embedding</w:t>
      </w:r>
      <w:r w:rsidR="00975895" w:rsidRPr="003015FD">
        <w:t xml:space="preserve"> </w:t>
      </w:r>
      <w:r w:rsidRPr="003015FD">
        <w:t>a</w:t>
      </w:r>
      <w:r w:rsidR="00975895" w:rsidRPr="003015FD">
        <w:t xml:space="preserve"> </w:t>
      </w:r>
      <w:r w:rsidRPr="003015FD">
        <w:t>positive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Large</w:t>
      </w:r>
      <w:r w:rsidR="00975895" w:rsidRPr="003015FD">
        <w:t xml:space="preserve"> </w:t>
      </w:r>
      <w:r w:rsidRPr="003015FD">
        <w:t>agencies</w:t>
      </w:r>
      <w:r w:rsidR="00975895" w:rsidRPr="003015FD">
        <w:t xml:space="preserve"> </w:t>
      </w:r>
      <w:r w:rsidRPr="003015FD">
        <w:t>were</w:t>
      </w:r>
      <w:r w:rsidR="00975895" w:rsidRPr="003015FD">
        <w:t xml:space="preserve"> </w:t>
      </w:r>
      <w:r w:rsidRPr="003015FD">
        <w:t>least</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dedicated</w:t>
      </w:r>
      <w:r w:rsidR="00975895" w:rsidRPr="003015FD">
        <w:t xml:space="preserve"> </w:t>
      </w:r>
      <w:r w:rsidRPr="003015FD">
        <w:t>resources</w:t>
      </w:r>
      <w:r w:rsidR="00975895" w:rsidRPr="003015FD">
        <w:t xml:space="preserve"> </w:t>
      </w:r>
      <w:r w:rsidRPr="003015FD">
        <w:t>for</w:t>
      </w:r>
      <w:r w:rsidR="00975895" w:rsidRPr="003015FD">
        <w:t xml:space="preserve"> </w:t>
      </w:r>
      <w:r w:rsidRPr="003015FD">
        <w:t>embedding</w:t>
      </w:r>
      <w:r w:rsidR="00975895" w:rsidRPr="003015FD">
        <w:t xml:space="preserve"> </w:t>
      </w:r>
      <w:r w:rsidRPr="003015FD">
        <w:t>a</w:t>
      </w:r>
      <w:r w:rsidR="00975895" w:rsidRPr="003015FD">
        <w:t xml:space="preserve"> </w:t>
      </w:r>
      <w:r w:rsidRPr="003015FD">
        <w:t>positive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(29</w:t>
      </w:r>
      <w:r w:rsidR="00975895" w:rsidRPr="003015FD">
        <w:t xml:space="preserve"> </w:t>
      </w:r>
      <w:r w:rsidR="000B73B9" w:rsidRPr="003015FD">
        <w:t>per</w:t>
      </w:r>
      <w:r w:rsidR="00975895" w:rsidRPr="003015FD">
        <w:t xml:space="preserve"> </w:t>
      </w:r>
      <w:r w:rsidR="000B73B9" w:rsidRPr="003015FD">
        <w:t>cent</w:t>
      </w:r>
      <w:r w:rsidRPr="003015FD">
        <w:t>).</w:t>
      </w:r>
    </w:p>
    <w:tbl>
      <w:tblPr>
        <w:tblStyle w:val="CustomTablebreakoutbox"/>
        <w:tblW w:w="0" w:type="auto"/>
        <w:tblLook w:val="04A0" w:firstRow="1" w:lastRow="0" w:firstColumn="1" w:lastColumn="0" w:noHBand="0" w:noVBand="1"/>
      </w:tblPr>
      <w:tblGrid>
        <w:gridCol w:w="9061"/>
      </w:tblGrid>
      <w:tr w:rsidR="00CF666C" w14:paraId="182EF37D" w14:textId="77777777" w:rsidTr="00CF666C">
        <w:tc>
          <w:tcPr>
            <w:tcW w:w="9061" w:type="dxa"/>
          </w:tcPr>
          <w:p w14:paraId="750AE6E0" w14:textId="48C8D865" w:rsidR="00CF666C" w:rsidRPr="003E33DC" w:rsidRDefault="00CF666C" w:rsidP="00CF666C">
            <w:pPr>
              <w:pStyle w:val="BodyText"/>
              <w:rPr>
                <w:rStyle w:val="Characterbold"/>
              </w:rPr>
            </w:pPr>
            <w:r>
              <w:rPr>
                <w:rStyle w:val="Characterbold"/>
              </w:rPr>
              <w:t>Examples of resources available included:</w:t>
            </w:r>
          </w:p>
          <w:p w14:paraId="4ABE2D8D" w14:textId="77777777" w:rsidR="00CF666C" w:rsidRPr="003015FD" w:rsidRDefault="00CF666C" w:rsidP="00CF666C">
            <w:pPr>
              <w:pStyle w:val="ListBullet"/>
            </w:pPr>
            <w:r w:rsidRPr="003015FD">
              <w:t>funding for staff to undertake training and awareness raising activities</w:t>
            </w:r>
          </w:p>
          <w:p w14:paraId="7CE64E83" w14:textId="77777777" w:rsidR="00CF666C" w:rsidRPr="003015FD" w:rsidRDefault="00CF666C" w:rsidP="00CF666C">
            <w:pPr>
              <w:pStyle w:val="ListBullet"/>
            </w:pPr>
            <w:r w:rsidRPr="003015FD">
              <w:t>allowance of time to consider and incorporate human rights in key work</w:t>
            </w:r>
          </w:p>
          <w:p w14:paraId="3D8F3AF2" w14:textId="77777777" w:rsidR="00CF666C" w:rsidRDefault="00CF666C" w:rsidP="00CF666C">
            <w:pPr>
              <w:pStyle w:val="ListBullet"/>
            </w:pPr>
            <w:r w:rsidRPr="003015FD">
              <w:t>designated staff members responsible for promoting human rights</w:t>
            </w:r>
          </w:p>
          <w:p w14:paraId="53BD172D" w14:textId="47A5C54F" w:rsidR="00CF666C" w:rsidRDefault="00CF666C" w:rsidP="00CF666C">
            <w:pPr>
              <w:pStyle w:val="ListBullet"/>
            </w:pPr>
            <w:r w:rsidRPr="003015FD">
              <w:t>strategies and guides that outline how human rights and the Charter are incorporated in their organisation</w:t>
            </w:r>
            <w:r>
              <w:t>'</w:t>
            </w:r>
            <w:r w:rsidRPr="003015FD">
              <w:t>s work</w:t>
            </w:r>
            <w:r>
              <w:t>.</w:t>
            </w:r>
          </w:p>
        </w:tc>
      </w:tr>
    </w:tbl>
    <w:p w14:paraId="244DAEE3" w14:textId="4D76D993"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13:</w:t>
      </w:r>
      <w:r w:rsidR="00975895" w:rsidRPr="0002642E">
        <w:rPr>
          <w:rStyle w:val="Characterbold"/>
        </w:rPr>
        <w:t xml:space="preserve"> </w:t>
      </w:r>
      <w:r w:rsidRPr="0002642E">
        <w:rPr>
          <w:rStyle w:val="Characterbold"/>
        </w:rPr>
        <w:t>Dedicated</w:t>
      </w:r>
      <w:r w:rsidR="00975895" w:rsidRPr="0002642E">
        <w:rPr>
          <w:rStyle w:val="Characterbold"/>
        </w:rPr>
        <w:t xml:space="preserve"> </w:t>
      </w:r>
      <w:r w:rsidRPr="0002642E">
        <w:rPr>
          <w:rStyle w:val="Characterbold"/>
        </w:rPr>
        <w:t>resources</w:t>
      </w:r>
      <w:r w:rsidR="00975895" w:rsidRPr="0002642E">
        <w:rPr>
          <w:rStyle w:val="Characterbold"/>
        </w:rPr>
        <w:t xml:space="preserve"> </w:t>
      </w:r>
      <w:r w:rsidRPr="0002642E">
        <w:rPr>
          <w:rStyle w:val="Characterbold"/>
        </w:rPr>
        <w:t>responsible</w:t>
      </w:r>
      <w:r w:rsidR="00975895" w:rsidRPr="0002642E">
        <w:rPr>
          <w:rStyle w:val="Characterbold"/>
        </w:rPr>
        <w:t xml:space="preserve"> </w:t>
      </w:r>
      <w:r w:rsidRPr="0002642E">
        <w:rPr>
          <w:rStyle w:val="Characterbold"/>
        </w:rPr>
        <w:t>for</w:t>
      </w:r>
      <w:r w:rsidR="00975895" w:rsidRPr="0002642E">
        <w:rPr>
          <w:rStyle w:val="Characterbold"/>
        </w:rPr>
        <w:t xml:space="preserve"> </w:t>
      </w:r>
      <w:r w:rsidRPr="0002642E">
        <w:rPr>
          <w:rStyle w:val="Characterbold"/>
        </w:rPr>
        <w:t>embedding</w:t>
      </w:r>
      <w:r w:rsidR="00975895" w:rsidRPr="0002642E">
        <w:rPr>
          <w:rStyle w:val="Characterbold"/>
        </w:rPr>
        <w:t xml:space="preserve"> </w:t>
      </w:r>
      <w:r w:rsidRPr="0002642E">
        <w:rPr>
          <w:rStyle w:val="Characterbold"/>
        </w:rPr>
        <w:t>a</w:t>
      </w:r>
      <w:r w:rsidR="00975895" w:rsidRPr="0002642E">
        <w:rPr>
          <w:rStyle w:val="Characterbold"/>
        </w:rPr>
        <w:t xml:space="preserve"> </w:t>
      </w:r>
      <w:r w:rsidRPr="0002642E">
        <w:rPr>
          <w:rStyle w:val="Characterbold"/>
        </w:rPr>
        <w:t>positive</w:t>
      </w:r>
      <w:r w:rsidR="00975895" w:rsidRPr="0002642E">
        <w:rPr>
          <w:rStyle w:val="Characterbold"/>
        </w:rPr>
        <w:t xml:space="preserve"> </w:t>
      </w:r>
      <w:r w:rsidRPr="0002642E">
        <w:rPr>
          <w:rStyle w:val="Characterbold"/>
        </w:rPr>
        <w:t>human</w:t>
      </w:r>
      <w:r w:rsidR="00975895" w:rsidRPr="0002642E">
        <w:rPr>
          <w:rStyle w:val="Characterbold"/>
        </w:rPr>
        <w:t xml:space="preserve"> </w:t>
      </w:r>
      <w:r w:rsidRPr="0002642E">
        <w:rPr>
          <w:rStyle w:val="Characterbold"/>
        </w:rPr>
        <w:t>rights</w:t>
      </w:r>
      <w:r w:rsidR="00975895" w:rsidRPr="0002642E">
        <w:rPr>
          <w:rStyle w:val="Characterbold"/>
        </w:rPr>
        <w:t xml:space="preserve"> </w:t>
      </w:r>
      <w:r w:rsidRPr="0002642E">
        <w:rPr>
          <w:rStyle w:val="Characterbold"/>
        </w:rPr>
        <w:t>culture</w:t>
      </w:r>
    </w:p>
    <w:p w14:paraId="533AEEC4" w14:textId="6B606574"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55B68707" w14:textId="781E93D0" w:rsidR="003E7497" w:rsidRDefault="008E0945" w:rsidP="0002642E">
      <w:r w:rsidRPr="0002642E">
        <w:rPr>
          <w:noProof/>
          <w:lang w:val="en-GB" w:eastAsia="en-GB"/>
        </w:rPr>
        <w:lastRenderedPageBreak/>
        <w:drawing>
          <wp:inline distT="0" distB="0" distL="0" distR="0" wp14:anchorId="27CF9860" wp14:editId="4F3A734D">
            <wp:extent cx="5005538" cy="2333625"/>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4402" cy="2342419"/>
                    </a:xfrm>
                    <a:prstGeom prst="rect">
                      <a:avLst/>
                    </a:prstGeom>
                    <a:noFill/>
                    <a:ln>
                      <a:noFill/>
                    </a:ln>
                  </pic:spPr>
                </pic:pic>
              </a:graphicData>
            </a:graphic>
          </wp:inline>
        </w:drawing>
      </w:r>
    </w:p>
    <w:p w14:paraId="219739EF" w14:textId="290121B7" w:rsidR="008E0945" w:rsidRPr="003015FD" w:rsidRDefault="008E0945" w:rsidP="0002642E">
      <w:pPr>
        <w:pStyle w:val="Heading4"/>
      </w:pPr>
      <w:r w:rsidRPr="003015FD">
        <w:t>D.</w:t>
      </w:r>
      <w:r w:rsidR="00975895" w:rsidRPr="003015FD">
        <w:t xml:space="preserve"> </w:t>
      </w:r>
      <w:r w:rsidRPr="003015FD">
        <w:t>Professional</w:t>
      </w:r>
      <w:r w:rsidR="00975895" w:rsidRPr="003015FD">
        <w:t xml:space="preserve"> </w:t>
      </w:r>
      <w:r w:rsidRPr="003015FD">
        <w:t>development</w:t>
      </w:r>
      <w:r w:rsidR="00975895" w:rsidRPr="003015FD">
        <w:t xml:space="preserve"> </w:t>
      </w:r>
      <w:r w:rsidRPr="003015FD">
        <w:t>activities</w:t>
      </w:r>
    </w:p>
    <w:p w14:paraId="52B75D6A" w14:textId="1E1A1E43" w:rsidR="00CF666C" w:rsidRDefault="008E0945" w:rsidP="0002642E">
      <w:r w:rsidRPr="003015FD">
        <w:t>Two</w:t>
      </w:r>
      <w:r w:rsidR="00975895" w:rsidRPr="003015FD">
        <w:t xml:space="preserve"> </w:t>
      </w:r>
      <w:r w:rsidRPr="003015FD">
        <w:t>thirds</w:t>
      </w:r>
      <w:r w:rsidR="00975895" w:rsidRPr="003015FD">
        <w:t xml:space="preserve"> </w:t>
      </w:r>
      <w:r w:rsidRPr="003015FD">
        <w:t>(66</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had</w:t>
      </w:r>
      <w:r w:rsidR="00975895" w:rsidRPr="003015FD">
        <w:t xml:space="preserve"> </w:t>
      </w:r>
      <w:r w:rsidRPr="003015FD">
        <w:t>human</w:t>
      </w:r>
      <w:r w:rsidR="00975895" w:rsidRPr="003015FD">
        <w:t xml:space="preserve"> </w:t>
      </w:r>
      <w:r w:rsidRPr="003015FD">
        <w:t>rights</w:t>
      </w:r>
      <w:r w:rsidR="00975895" w:rsidRPr="003015FD">
        <w:t xml:space="preserve"> </w:t>
      </w:r>
      <w:r w:rsidRPr="003015FD">
        <w:t>and</w:t>
      </w:r>
      <w:r w:rsidR="00975895" w:rsidRPr="003015FD">
        <w:t xml:space="preserve"> </w:t>
      </w:r>
      <w:r w:rsidRPr="003015FD">
        <w:t>the</w:t>
      </w:r>
      <w:r w:rsidR="00975895" w:rsidRPr="003015FD">
        <w:t xml:space="preserve"> </w:t>
      </w:r>
      <w:r w:rsidRPr="003015FD">
        <w:t>Charter</w:t>
      </w:r>
      <w:r w:rsidR="00975895" w:rsidRPr="003015FD">
        <w:t xml:space="preserve"> </w:t>
      </w:r>
      <w:r w:rsidRPr="003015FD">
        <w:t>embedded</w:t>
      </w:r>
      <w:r w:rsidR="00975895" w:rsidRPr="003015FD">
        <w:t xml:space="preserve"> </w:t>
      </w:r>
      <w:r w:rsidRPr="003015FD">
        <w:t>in</w:t>
      </w:r>
      <w:r w:rsidR="00975895" w:rsidRPr="003015FD">
        <w:t xml:space="preserve"> </w:t>
      </w:r>
      <w:r w:rsidRPr="003015FD">
        <w:t>general</w:t>
      </w:r>
      <w:r w:rsidR="00975895" w:rsidRPr="003015FD">
        <w:t xml:space="preserve"> </w:t>
      </w:r>
      <w:r w:rsidRPr="003015FD">
        <w:t>professional</w:t>
      </w:r>
      <w:r w:rsidR="00975895" w:rsidRPr="003015FD">
        <w:t xml:space="preserve"> </w:t>
      </w:r>
      <w:r w:rsidRPr="003015FD">
        <w:t>development</w:t>
      </w:r>
      <w:r w:rsidR="00975895" w:rsidRPr="003015FD">
        <w:t xml:space="preserve"> </w:t>
      </w:r>
      <w:r w:rsidRPr="003015FD">
        <w:t>activities.</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(86</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were</w:t>
      </w:r>
      <w:r w:rsidR="00975895" w:rsidRPr="003015FD">
        <w:t xml:space="preserve"> </w:t>
      </w:r>
      <w:r w:rsidRPr="003015FD">
        <w:t>most</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embedded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and</w:t>
      </w:r>
      <w:r w:rsidR="00975895" w:rsidRPr="003015FD">
        <w:t xml:space="preserve"> </w:t>
      </w:r>
      <w:r w:rsidRPr="003015FD">
        <w:t>the</w:t>
      </w:r>
      <w:r w:rsidR="00975895" w:rsidRPr="003015FD">
        <w:t xml:space="preserve"> </w:t>
      </w:r>
      <w:r w:rsidRPr="003015FD">
        <w:t>Charter.</w:t>
      </w:r>
    </w:p>
    <w:tbl>
      <w:tblPr>
        <w:tblStyle w:val="CustomTablebreakoutbox"/>
        <w:tblW w:w="0" w:type="auto"/>
        <w:tblLook w:val="04A0" w:firstRow="1" w:lastRow="0" w:firstColumn="1" w:lastColumn="0" w:noHBand="0" w:noVBand="1"/>
      </w:tblPr>
      <w:tblGrid>
        <w:gridCol w:w="9061"/>
      </w:tblGrid>
      <w:tr w:rsidR="00CF666C" w14:paraId="6E546D4D" w14:textId="77777777" w:rsidTr="00CF666C">
        <w:tc>
          <w:tcPr>
            <w:tcW w:w="9061" w:type="dxa"/>
          </w:tcPr>
          <w:p w14:paraId="5F87814D" w14:textId="0C5A0EE8" w:rsidR="00CF666C" w:rsidRPr="003E33DC" w:rsidRDefault="00CF666C" w:rsidP="00CF666C">
            <w:pPr>
              <w:pStyle w:val="BodyText"/>
              <w:rPr>
                <w:rStyle w:val="Characterbold"/>
              </w:rPr>
            </w:pPr>
            <w:r>
              <w:rPr>
                <w:rStyle w:val="Characterbold"/>
              </w:rPr>
              <w:t>Ways human rights and the Charter were embedded in professional development activities included:</w:t>
            </w:r>
          </w:p>
          <w:p w14:paraId="37A097CA" w14:textId="77777777" w:rsidR="00CF666C" w:rsidRPr="003015FD" w:rsidRDefault="00CF666C" w:rsidP="00CF666C">
            <w:pPr>
              <w:pStyle w:val="ListBullet"/>
            </w:pPr>
            <w:r w:rsidRPr="003015FD">
              <w:t>performance review metrics</w:t>
            </w:r>
          </w:p>
          <w:p w14:paraId="26EBEF36" w14:textId="77777777" w:rsidR="00CF666C" w:rsidRPr="003015FD" w:rsidRDefault="00CF666C" w:rsidP="00CF666C">
            <w:pPr>
              <w:pStyle w:val="ListBullet"/>
            </w:pPr>
            <w:r w:rsidRPr="003015FD">
              <w:t>promoting or hosting events and seminars related to human rights</w:t>
            </w:r>
          </w:p>
          <w:p w14:paraId="2A9A0C87" w14:textId="77777777" w:rsidR="00CF666C" w:rsidRDefault="00CF666C" w:rsidP="00CF666C">
            <w:pPr>
              <w:pStyle w:val="ListBullet"/>
            </w:pPr>
            <w:r w:rsidRPr="003015FD">
              <w:t xml:space="preserve">various forms of diversity and inclusion training </w:t>
            </w:r>
          </w:p>
          <w:p w14:paraId="76427376" w14:textId="45ECDAFE" w:rsidR="00CF666C" w:rsidRDefault="00CF666C" w:rsidP="00CF666C">
            <w:pPr>
              <w:pStyle w:val="ListBullet"/>
            </w:pPr>
            <w:r w:rsidRPr="003015FD">
              <w:t>including human rights and the Charter in induction training</w:t>
            </w:r>
            <w:r>
              <w:t>.</w:t>
            </w:r>
          </w:p>
        </w:tc>
      </w:tr>
    </w:tbl>
    <w:p w14:paraId="490C98C5" w14:textId="1E69801D"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14:</w:t>
      </w:r>
      <w:r w:rsidR="00975895" w:rsidRPr="0002642E">
        <w:rPr>
          <w:rStyle w:val="Characterbold"/>
        </w:rPr>
        <w:t xml:space="preserve"> </w:t>
      </w:r>
      <w:r w:rsidRPr="0002642E">
        <w:rPr>
          <w:rStyle w:val="Characterbold"/>
        </w:rPr>
        <w:t>Human</w:t>
      </w:r>
      <w:r w:rsidR="00975895" w:rsidRPr="0002642E">
        <w:rPr>
          <w:rStyle w:val="Characterbold"/>
        </w:rPr>
        <w:t xml:space="preserve"> </w:t>
      </w:r>
      <w:r w:rsidRPr="0002642E">
        <w:rPr>
          <w:rStyle w:val="Characterbold"/>
        </w:rPr>
        <w:t>rights</w:t>
      </w:r>
      <w:r w:rsidR="00975895" w:rsidRPr="0002642E">
        <w:rPr>
          <w:rStyle w:val="Characterbold"/>
        </w:rPr>
        <w:t xml:space="preserve"> </w:t>
      </w:r>
      <w:r w:rsidRPr="0002642E">
        <w:rPr>
          <w:rStyle w:val="Characterbold"/>
        </w:rPr>
        <w:t>and</w:t>
      </w:r>
      <w:r w:rsidR="00975895" w:rsidRPr="0002642E">
        <w:rPr>
          <w:rStyle w:val="Characterbold"/>
        </w:rPr>
        <w:t xml:space="preserve"> </w:t>
      </w:r>
      <w:r w:rsidRPr="0002642E">
        <w:rPr>
          <w:rStyle w:val="Characterbold"/>
        </w:rPr>
        <w:t>the</w:t>
      </w:r>
      <w:r w:rsidR="00975895" w:rsidRPr="0002642E">
        <w:rPr>
          <w:rStyle w:val="Characterbold"/>
        </w:rPr>
        <w:t xml:space="preserve"> </w:t>
      </w:r>
      <w:r w:rsidRPr="0002642E">
        <w:rPr>
          <w:rStyle w:val="Characterbold"/>
        </w:rPr>
        <w:t>Charter</w:t>
      </w:r>
      <w:r w:rsidR="00975895" w:rsidRPr="0002642E">
        <w:rPr>
          <w:rStyle w:val="Characterbold"/>
        </w:rPr>
        <w:t xml:space="preserve"> </w:t>
      </w:r>
      <w:r w:rsidRPr="0002642E">
        <w:rPr>
          <w:rStyle w:val="Characterbold"/>
        </w:rPr>
        <w:t>embedded</w:t>
      </w:r>
      <w:r w:rsidR="00975895" w:rsidRPr="0002642E">
        <w:rPr>
          <w:rStyle w:val="Characterbold"/>
        </w:rPr>
        <w:t xml:space="preserve"> </w:t>
      </w:r>
      <w:r w:rsidRPr="0002642E">
        <w:rPr>
          <w:rStyle w:val="Characterbold"/>
        </w:rPr>
        <w:t>in</w:t>
      </w:r>
      <w:r w:rsidR="00975895" w:rsidRPr="0002642E">
        <w:rPr>
          <w:rStyle w:val="Characterbold"/>
        </w:rPr>
        <w:t xml:space="preserve"> </w:t>
      </w:r>
      <w:r w:rsidRPr="0002642E">
        <w:rPr>
          <w:rStyle w:val="Characterbold"/>
        </w:rPr>
        <w:t>general</w:t>
      </w:r>
      <w:r w:rsidR="00975895" w:rsidRPr="0002642E">
        <w:rPr>
          <w:rStyle w:val="Characterbold"/>
        </w:rPr>
        <w:t xml:space="preserve"> </w:t>
      </w:r>
      <w:r w:rsidRPr="0002642E">
        <w:rPr>
          <w:rStyle w:val="Characterbold"/>
        </w:rPr>
        <w:t>professional</w:t>
      </w:r>
      <w:r w:rsidR="00975895" w:rsidRPr="0002642E">
        <w:rPr>
          <w:rStyle w:val="Characterbold"/>
        </w:rPr>
        <w:t xml:space="preserve"> </w:t>
      </w:r>
      <w:r w:rsidRPr="0002642E">
        <w:rPr>
          <w:rStyle w:val="Characterbold"/>
        </w:rPr>
        <w:t>development</w:t>
      </w:r>
      <w:r w:rsidR="00975895" w:rsidRPr="0002642E">
        <w:rPr>
          <w:rStyle w:val="Characterbold"/>
        </w:rPr>
        <w:t xml:space="preserve"> </w:t>
      </w:r>
      <w:r w:rsidRPr="0002642E">
        <w:rPr>
          <w:rStyle w:val="Characterbold"/>
        </w:rPr>
        <w:t>activities</w:t>
      </w:r>
    </w:p>
    <w:p w14:paraId="034D96CF" w14:textId="2F39FF7F"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529F437D" w14:textId="4BE9FFE9" w:rsidR="008E0945" w:rsidRDefault="008E0945" w:rsidP="0002642E">
      <w:r w:rsidRPr="0002642E">
        <w:rPr>
          <w:noProof/>
          <w:lang w:val="en-GB" w:eastAsia="en-GB"/>
        </w:rPr>
        <w:drawing>
          <wp:inline distT="0" distB="0" distL="0" distR="0" wp14:anchorId="67FE1242" wp14:editId="190F6C3C">
            <wp:extent cx="3769263" cy="1757263"/>
            <wp:effectExtent l="0" t="0" r="317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3185" cy="1759091"/>
                    </a:xfrm>
                    <a:prstGeom prst="rect">
                      <a:avLst/>
                    </a:prstGeom>
                    <a:noFill/>
                    <a:ln>
                      <a:noFill/>
                    </a:ln>
                  </pic:spPr>
                </pic:pic>
              </a:graphicData>
            </a:graphic>
          </wp:inline>
        </w:drawing>
      </w:r>
    </w:p>
    <w:p w14:paraId="30AD44CA" w14:textId="77777777" w:rsidR="003E7497" w:rsidRDefault="003E7497" w:rsidP="0002642E"/>
    <w:p w14:paraId="661FB3D6" w14:textId="3A57503F" w:rsidR="008E0945" w:rsidRPr="003015FD" w:rsidRDefault="008E0945" w:rsidP="0002642E">
      <w:pPr>
        <w:pStyle w:val="Heading4"/>
      </w:pPr>
      <w:r w:rsidRPr="003015FD">
        <w:t>E.</w:t>
      </w:r>
      <w:r w:rsidR="00975895" w:rsidRPr="003015FD">
        <w:t xml:space="preserve"> </w:t>
      </w:r>
      <w:r w:rsidRPr="003015FD">
        <w:t>Staff</w:t>
      </w:r>
      <w:r w:rsidR="00975895" w:rsidRPr="003015FD">
        <w:t xml:space="preserve"> </w:t>
      </w:r>
      <w:r w:rsidRPr="003015FD">
        <w:t>performance</w:t>
      </w:r>
      <w:r w:rsidR="00975895" w:rsidRPr="003015FD">
        <w:t xml:space="preserve"> </w:t>
      </w:r>
      <w:r w:rsidRPr="003015FD">
        <w:t>reviews</w:t>
      </w:r>
    </w:p>
    <w:p w14:paraId="6942F6C6" w14:textId="4069D213" w:rsidR="008E0945" w:rsidRPr="003015FD" w:rsidRDefault="008E0945" w:rsidP="0002642E">
      <w:r w:rsidRPr="003015FD">
        <w:t>Around</w:t>
      </w:r>
      <w:r w:rsidR="00975895" w:rsidRPr="003015FD">
        <w:t xml:space="preserve"> </w:t>
      </w:r>
      <w:r w:rsidRPr="003015FD">
        <w:t>half</w:t>
      </w:r>
      <w:r w:rsidR="00975895" w:rsidRPr="003015FD">
        <w:t xml:space="preserve"> </w:t>
      </w:r>
      <w:r w:rsidRPr="003015FD">
        <w:t>(51</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had</w:t>
      </w:r>
      <w:r w:rsidR="00975895" w:rsidRPr="003015FD">
        <w:t xml:space="preserve"> </w:t>
      </w:r>
      <w:r w:rsidRPr="003015FD">
        <w:t>metrics</w:t>
      </w:r>
      <w:r w:rsidR="00975895" w:rsidRPr="003015FD">
        <w:t xml:space="preserve"> </w:t>
      </w:r>
      <w:r w:rsidRPr="003015FD">
        <w:t>related</w:t>
      </w:r>
      <w:r w:rsidR="00975895" w:rsidRPr="003015FD">
        <w:t xml:space="preserve"> </w:t>
      </w:r>
      <w:r w:rsidRPr="003015FD">
        <w:t>to</w:t>
      </w:r>
      <w:r w:rsidR="00975895" w:rsidRPr="003015FD">
        <w:t xml:space="preserve"> </w:t>
      </w:r>
      <w:r w:rsidRPr="003015FD">
        <w:t>protecting</w:t>
      </w:r>
      <w:r w:rsidR="00975895" w:rsidRPr="003015FD">
        <w:t xml:space="preserve"> </w:t>
      </w:r>
      <w:r w:rsidRPr="003015FD">
        <w:t>and</w:t>
      </w:r>
      <w:r w:rsidR="00975895" w:rsidRPr="003015FD">
        <w:t xml:space="preserve"> </w:t>
      </w:r>
      <w:r w:rsidRPr="003015FD">
        <w:t>promoting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included</w:t>
      </w:r>
      <w:r w:rsidR="00975895" w:rsidRPr="003015FD">
        <w:t xml:space="preserve"> </w:t>
      </w:r>
      <w:r w:rsidRPr="003015FD">
        <w:t>in</w:t>
      </w:r>
      <w:r w:rsidR="00975895" w:rsidRPr="003015FD">
        <w:t xml:space="preserve"> </w:t>
      </w:r>
      <w:r w:rsidRPr="003015FD">
        <w:t>staff</w:t>
      </w:r>
      <w:r w:rsidR="00975895" w:rsidRPr="003015FD">
        <w:t xml:space="preserve"> </w:t>
      </w:r>
      <w:r w:rsidRPr="003015FD">
        <w:t>performance</w:t>
      </w:r>
      <w:r w:rsidR="00975895" w:rsidRPr="003015FD">
        <w:t xml:space="preserve"> </w:t>
      </w:r>
      <w:r w:rsidRPr="003015FD">
        <w:t>review</w:t>
      </w:r>
      <w:r w:rsidR="00975895" w:rsidRPr="003015FD">
        <w:t xml:space="preserve"> </w:t>
      </w:r>
      <w:r w:rsidRPr="003015FD">
        <w:t>documents.</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(86</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(70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were</w:t>
      </w:r>
      <w:r w:rsidR="00975895" w:rsidRPr="003015FD">
        <w:t xml:space="preserve"> </w:t>
      </w:r>
      <w:r w:rsidRPr="003015FD">
        <w:t>more</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metrics</w:t>
      </w:r>
      <w:r w:rsidR="00975895" w:rsidRPr="003015FD">
        <w:t xml:space="preserve"> </w:t>
      </w:r>
      <w:r w:rsidRPr="003015FD">
        <w:t>included.</w:t>
      </w:r>
      <w:r w:rsidR="00975895" w:rsidRPr="003015FD">
        <w:t xml:space="preserve"> </w:t>
      </w:r>
      <w:r w:rsidRPr="003015FD">
        <w:t>Large</w:t>
      </w:r>
      <w:r w:rsidR="00975895" w:rsidRPr="003015FD">
        <w:t xml:space="preserve"> </w:t>
      </w:r>
      <w:r w:rsidRPr="003015FD">
        <w:t>agencies</w:t>
      </w:r>
      <w:r w:rsidR="00975895" w:rsidRPr="003015FD">
        <w:t xml:space="preserve"> </w:t>
      </w:r>
      <w:r w:rsidRPr="003015FD">
        <w:t>were</w:t>
      </w:r>
      <w:r w:rsidR="00975895" w:rsidRPr="003015FD">
        <w:t xml:space="preserve"> </w:t>
      </w:r>
      <w:r w:rsidR="001706A9">
        <w:t xml:space="preserve">the </w:t>
      </w:r>
      <w:r w:rsidRPr="003015FD">
        <w:t>least</w:t>
      </w:r>
      <w:r w:rsidR="00975895" w:rsidRPr="003015FD">
        <w:t xml:space="preserve"> </w:t>
      </w:r>
      <w:r w:rsidRPr="003015FD">
        <w:t>likely</w:t>
      </w:r>
      <w:r w:rsidR="00975895" w:rsidRPr="003015FD">
        <w:t xml:space="preserve"> </w:t>
      </w:r>
      <w:r w:rsidRPr="003015FD">
        <w:t>(13</w:t>
      </w:r>
      <w:r w:rsidR="00975895" w:rsidRPr="003015FD">
        <w:t xml:space="preserve"> </w:t>
      </w:r>
      <w:r w:rsidR="000B73B9" w:rsidRPr="003015FD">
        <w:t>per</w:t>
      </w:r>
      <w:r w:rsidR="00975895" w:rsidRPr="003015FD">
        <w:t xml:space="preserve"> </w:t>
      </w:r>
      <w:r w:rsidR="000B73B9" w:rsidRPr="003015FD">
        <w:t>cent</w:t>
      </w:r>
      <w:r w:rsidRPr="003015FD">
        <w:t>).</w:t>
      </w:r>
    </w:p>
    <w:p w14:paraId="4902088F" w14:textId="269C68DC" w:rsidR="008E0945" w:rsidRPr="0002642E" w:rsidRDefault="008E0945" w:rsidP="0002642E">
      <w:r w:rsidRPr="003015FD">
        <w:lastRenderedPageBreak/>
        <w:t>Most</w:t>
      </w:r>
      <w:r w:rsidR="00975895" w:rsidRPr="003015FD">
        <w:t xml:space="preserve"> </w:t>
      </w:r>
      <w:r w:rsidRPr="003015FD">
        <w:t>examples</w:t>
      </w:r>
      <w:r w:rsidR="00975895" w:rsidRPr="003015FD">
        <w:t xml:space="preserve"> </w:t>
      </w:r>
      <w:r w:rsidRPr="003015FD">
        <w:t>of</w:t>
      </w:r>
      <w:r w:rsidR="00975895" w:rsidRPr="003015FD">
        <w:t xml:space="preserve"> </w:t>
      </w:r>
      <w:r w:rsidRPr="003015FD">
        <w:t>metrics</w:t>
      </w:r>
      <w:r w:rsidR="00975895" w:rsidRPr="003015FD">
        <w:t xml:space="preserve"> </w:t>
      </w:r>
      <w:r w:rsidRPr="003015FD">
        <w:t>included</w:t>
      </w:r>
      <w:r w:rsidR="00975895" w:rsidRPr="003015FD">
        <w:t xml:space="preserve"> </w:t>
      </w:r>
      <w:r w:rsidRPr="003015FD">
        <w:t>in</w:t>
      </w:r>
      <w:r w:rsidR="00975895" w:rsidRPr="003015FD">
        <w:t xml:space="preserve"> </w:t>
      </w:r>
      <w:r w:rsidRPr="003015FD">
        <w:t>staff</w:t>
      </w:r>
      <w:r w:rsidR="00975895" w:rsidRPr="003015FD">
        <w:t xml:space="preserve"> </w:t>
      </w:r>
      <w:r w:rsidRPr="003015FD">
        <w:t>performance</w:t>
      </w:r>
      <w:r w:rsidR="00975895" w:rsidRPr="003015FD">
        <w:t xml:space="preserve"> </w:t>
      </w:r>
      <w:r w:rsidRPr="003015FD">
        <w:t>review</w:t>
      </w:r>
      <w:r w:rsidR="00975895" w:rsidRPr="003015FD">
        <w:t xml:space="preserve"> </w:t>
      </w:r>
      <w:r w:rsidRPr="003015FD">
        <w:t>documents</w:t>
      </w:r>
      <w:r w:rsidR="00975895" w:rsidRPr="003015FD">
        <w:t xml:space="preserve"> </w:t>
      </w:r>
      <w:r w:rsidRPr="003015FD">
        <w:t>related</w:t>
      </w:r>
      <w:r w:rsidR="00975895" w:rsidRPr="003015FD">
        <w:t xml:space="preserve"> </w:t>
      </w:r>
      <w:r w:rsidRPr="003015FD">
        <w:t>to</w:t>
      </w:r>
      <w:r w:rsidR="00975895" w:rsidRPr="003015FD">
        <w:t xml:space="preserve"> </w:t>
      </w:r>
      <w:r w:rsidRPr="003015FD">
        <w:t>staff</w:t>
      </w:r>
      <w:r w:rsidR="00975895" w:rsidRPr="003015FD">
        <w:t xml:space="preserve"> </w:t>
      </w:r>
      <w:r w:rsidRPr="003015FD">
        <w:t>performing</w:t>
      </w:r>
      <w:r w:rsidR="00975895" w:rsidRPr="003015FD">
        <w:t xml:space="preserve"> </w:t>
      </w:r>
      <w:r w:rsidRPr="003015FD">
        <w:t>their</w:t>
      </w:r>
      <w:r w:rsidR="00975895" w:rsidRPr="003015FD">
        <w:t xml:space="preserve"> </w:t>
      </w:r>
      <w:r w:rsidRPr="003015FD">
        <w:t>role</w:t>
      </w:r>
      <w:r w:rsidR="00975895" w:rsidRPr="003015FD">
        <w:t xml:space="preserve"> </w:t>
      </w:r>
      <w:r w:rsidRPr="003015FD">
        <w:t>in</w:t>
      </w:r>
      <w:r w:rsidR="00975895" w:rsidRPr="003015FD">
        <w:t xml:space="preserve"> </w:t>
      </w:r>
      <w:r w:rsidRPr="003015FD">
        <w:t>line</w:t>
      </w:r>
      <w:r w:rsidR="00975895" w:rsidRPr="003015FD">
        <w:t xml:space="preserve"> </w:t>
      </w:r>
      <w:r w:rsidRPr="003015FD">
        <w:t>with</w:t>
      </w:r>
      <w:r w:rsidR="00975895" w:rsidRPr="003015FD">
        <w:t xml:space="preserve"> </w:t>
      </w:r>
      <w:r w:rsidRPr="003015FD">
        <w:t>the</w:t>
      </w:r>
      <w:r w:rsidR="00975895" w:rsidRPr="003015FD">
        <w:t xml:space="preserve"> </w:t>
      </w:r>
      <w:r w:rsidRPr="003015FD">
        <w:t>values</w:t>
      </w:r>
      <w:r w:rsidR="00975895" w:rsidRPr="003015FD">
        <w:t xml:space="preserve"> </w:t>
      </w:r>
      <w:r w:rsidRPr="003015FD">
        <w:t>of</w:t>
      </w:r>
      <w:r w:rsidR="00975895" w:rsidRPr="003015FD">
        <w:t xml:space="preserve"> </w:t>
      </w:r>
      <w:r w:rsidRPr="003015FD">
        <w:t>their</w:t>
      </w:r>
      <w:r w:rsidR="00975895" w:rsidRPr="003015FD">
        <w:t xml:space="preserve"> </w:t>
      </w:r>
      <w:r w:rsidRPr="003015FD">
        <w:t>organisation,</w:t>
      </w:r>
      <w:r w:rsidR="00975895" w:rsidRPr="003015FD">
        <w:t xml:space="preserve"> </w:t>
      </w:r>
      <w:r w:rsidRPr="003015FD">
        <w:t>which</w:t>
      </w:r>
      <w:r w:rsidR="00975895" w:rsidRPr="003015FD">
        <w:t xml:space="preserve"> </w:t>
      </w:r>
      <w:r w:rsidRPr="003015FD">
        <w:t>include</w:t>
      </w:r>
      <w:r w:rsidR="00975895" w:rsidRPr="003015FD">
        <w:t xml:space="preserve"> </w:t>
      </w:r>
      <w:r w:rsidRPr="003015FD">
        <w:t>values</w:t>
      </w:r>
      <w:r w:rsidR="00975895" w:rsidRPr="003015FD">
        <w:t xml:space="preserve"> </w:t>
      </w:r>
      <w:r w:rsidRPr="003015FD">
        <w:t>related</w:t>
      </w:r>
      <w:r w:rsidR="00975895" w:rsidRPr="003015FD">
        <w:t xml:space="preserve"> </w:t>
      </w:r>
      <w:r w:rsidRPr="003015FD">
        <w:t>to</w:t>
      </w:r>
      <w:r w:rsidR="00975895" w:rsidRPr="003015FD">
        <w:t xml:space="preserve"> </w:t>
      </w:r>
      <w:r w:rsidRPr="003015FD">
        <w:t>human</w:t>
      </w:r>
      <w:r w:rsidR="00975895" w:rsidRPr="003015FD">
        <w:t xml:space="preserve"> </w:t>
      </w:r>
      <w:r w:rsidRPr="003015FD">
        <w:t>rights.</w:t>
      </w:r>
    </w:p>
    <w:p w14:paraId="6E0F2EBD" w14:textId="69391C4C"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15:</w:t>
      </w:r>
      <w:r w:rsidR="00975895" w:rsidRPr="0002642E">
        <w:rPr>
          <w:rStyle w:val="Characterbold"/>
        </w:rPr>
        <w:t xml:space="preserve"> </w:t>
      </w:r>
      <w:r w:rsidRPr="0002642E">
        <w:rPr>
          <w:rStyle w:val="Characterbold"/>
        </w:rPr>
        <w:t>Metrics</w:t>
      </w:r>
      <w:r w:rsidR="00975895" w:rsidRPr="0002642E">
        <w:rPr>
          <w:rStyle w:val="Characterbold"/>
        </w:rPr>
        <w:t xml:space="preserve"> </w:t>
      </w:r>
      <w:r w:rsidRPr="0002642E">
        <w:rPr>
          <w:rStyle w:val="Characterbold"/>
        </w:rPr>
        <w:t>related</w:t>
      </w:r>
      <w:r w:rsidR="00975895" w:rsidRPr="0002642E">
        <w:rPr>
          <w:rStyle w:val="Characterbold"/>
        </w:rPr>
        <w:t xml:space="preserve"> </w:t>
      </w:r>
      <w:r w:rsidRPr="0002642E">
        <w:rPr>
          <w:rStyle w:val="Characterbold"/>
        </w:rPr>
        <w:t>to</w:t>
      </w:r>
      <w:r w:rsidR="00975895" w:rsidRPr="0002642E">
        <w:rPr>
          <w:rStyle w:val="Characterbold"/>
        </w:rPr>
        <w:t xml:space="preserve"> </w:t>
      </w:r>
      <w:r w:rsidRPr="0002642E">
        <w:rPr>
          <w:rStyle w:val="Characterbold"/>
        </w:rPr>
        <w:t>promoting</w:t>
      </w:r>
      <w:r w:rsidR="00975895" w:rsidRPr="0002642E">
        <w:rPr>
          <w:rStyle w:val="Characterbold"/>
        </w:rPr>
        <w:t xml:space="preserve"> </w:t>
      </w:r>
      <w:r w:rsidRPr="0002642E">
        <w:rPr>
          <w:rStyle w:val="Characterbold"/>
        </w:rPr>
        <w:t>and</w:t>
      </w:r>
      <w:r w:rsidR="00975895" w:rsidRPr="0002642E">
        <w:rPr>
          <w:rStyle w:val="Characterbold"/>
        </w:rPr>
        <w:t xml:space="preserve"> </w:t>
      </w:r>
      <w:r w:rsidRPr="0002642E">
        <w:rPr>
          <w:rStyle w:val="Characterbold"/>
        </w:rPr>
        <w:t>protecting</w:t>
      </w:r>
      <w:r w:rsidR="00975895" w:rsidRPr="0002642E">
        <w:rPr>
          <w:rStyle w:val="Characterbold"/>
        </w:rPr>
        <w:t xml:space="preserve"> </w:t>
      </w:r>
      <w:r w:rsidRPr="0002642E">
        <w:rPr>
          <w:rStyle w:val="Characterbold"/>
        </w:rPr>
        <w:t>human</w:t>
      </w:r>
      <w:r w:rsidR="00975895" w:rsidRPr="0002642E">
        <w:rPr>
          <w:rStyle w:val="Characterbold"/>
        </w:rPr>
        <w:t xml:space="preserve"> </w:t>
      </w:r>
      <w:r w:rsidRPr="0002642E">
        <w:rPr>
          <w:rStyle w:val="Characterbold"/>
        </w:rPr>
        <w:t>rights</w:t>
      </w:r>
      <w:r w:rsidR="00975895" w:rsidRPr="0002642E">
        <w:rPr>
          <w:rStyle w:val="Characterbold"/>
        </w:rPr>
        <w:t xml:space="preserve"> </w:t>
      </w:r>
      <w:r w:rsidRPr="0002642E">
        <w:rPr>
          <w:rStyle w:val="Characterbold"/>
        </w:rPr>
        <w:t>included</w:t>
      </w:r>
      <w:r w:rsidR="00975895" w:rsidRPr="0002642E">
        <w:rPr>
          <w:rStyle w:val="Characterbold"/>
        </w:rPr>
        <w:t xml:space="preserve"> </w:t>
      </w:r>
      <w:r w:rsidRPr="0002642E">
        <w:rPr>
          <w:rStyle w:val="Characterbold"/>
        </w:rPr>
        <w:t>in</w:t>
      </w:r>
      <w:r w:rsidR="00975895" w:rsidRPr="0002642E">
        <w:rPr>
          <w:rStyle w:val="Characterbold"/>
        </w:rPr>
        <w:t xml:space="preserve"> </w:t>
      </w:r>
      <w:r w:rsidRPr="0002642E">
        <w:rPr>
          <w:rStyle w:val="Characterbold"/>
        </w:rPr>
        <w:t>staff</w:t>
      </w:r>
      <w:r w:rsidR="00975895" w:rsidRPr="0002642E">
        <w:rPr>
          <w:rStyle w:val="Characterbold"/>
        </w:rPr>
        <w:t xml:space="preserve"> </w:t>
      </w:r>
      <w:r w:rsidRPr="0002642E">
        <w:rPr>
          <w:rStyle w:val="Characterbold"/>
        </w:rPr>
        <w:t>performance</w:t>
      </w:r>
      <w:r w:rsidR="00975895" w:rsidRPr="0002642E">
        <w:rPr>
          <w:rStyle w:val="Characterbold"/>
        </w:rPr>
        <w:t xml:space="preserve"> </w:t>
      </w:r>
      <w:r w:rsidRPr="0002642E">
        <w:rPr>
          <w:rStyle w:val="Characterbold"/>
        </w:rPr>
        <w:t>review</w:t>
      </w:r>
      <w:r w:rsidR="00975895" w:rsidRPr="0002642E">
        <w:rPr>
          <w:rStyle w:val="Characterbold"/>
        </w:rPr>
        <w:t xml:space="preserve"> </w:t>
      </w:r>
      <w:r w:rsidRPr="0002642E">
        <w:rPr>
          <w:rStyle w:val="Characterbold"/>
        </w:rPr>
        <w:t>documents</w:t>
      </w:r>
    </w:p>
    <w:p w14:paraId="5780EBDD" w14:textId="52574F5F"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07E56A03" w14:textId="4EC053C9" w:rsidR="008E0945" w:rsidRDefault="008E0945" w:rsidP="005B74F5">
      <w:r w:rsidRPr="003015FD">
        <w:rPr>
          <w:noProof/>
          <w:lang w:val="en-GB" w:eastAsia="en-GB"/>
        </w:rPr>
        <w:drawing>
          <wp:inline distT="0" distB="0" distL="0" distR="0" wp14:anchorId="7FB7EFBE" wp14:editId="4E7543D5">
            <wp:extent cx="5321935" cy="256191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25691" cy="2563719"/>
                    </a:xfrm>
                    <a:prstGeom prst="rect">
                      <a:avLst/>
                    </a:prstGeom>
                    <a:noFill/>
                    <a:ln>
                      <a:noFill/>
                    </a:ln>
                  </pic:spPr>
                </pic:pic>
              </a:graphicData>
            </a:graphic>
          </wp:inline>
        </w:drawing>
      </w:r>
    </w:p>
    <w:p w14:paraId="7DBD9D36" w14:textId="4E685664" w:rsidR="00406914" w:rsidRPr="0002642E" w:rsidRDefault="00BB63F5" w:rsidP="0002642E">
      <w:pPr>
        <w:pStyle w:val="Heading3"/>
        <w:rPr>
          <w:b/>
          <w:sz w:val="24"/>
        </w:rPr>
      </w:pPr>
      <w:bookmarkStart w:id="74" w:name="_Toc15045116"/>
      <w:r w:rsidRPr="001D418D">
        <w:rPr>
          <w:b/>
          <w:sz w:val="24"/>
        </w:rPr>
        <w:t>Tips on p</w:t>
      </w:r>
      <w:r w:rsidR="00406914" w:rsidRPr="001D418D">
        <w:rPr>
          <w:b/>
          <w:sz w:val="24"/>
        </w:rPr>
        <w:t>utting this into practice</w:t>
      </w:r>
      <w:r w:rsidR="00406914" w:rsidRPr="00406914">
        <w:rPr>
          <w:b/>
          <w:sz w:val="24"/>
          <w:szCs w:val="21"/>
        </w:rPr>
        <w:t>…</w:t>
      </w:r>
    </w:p>
    <w:p w14:paraId="70B933C3" w14:textId="772D44BC" w:rsidR="00BB63F5" w:rsidRDefault="00BB63F5" w:rsidP="0002642E">
      <w:r>
        <w:t xml:space="preserve">Some ways the framework shows to improve </w:t>
      </w:r>
      <w:r w:rsidRPr="00BB63F5">
        <w:rPr>
          <w:lang w:eastAsia="en-AU"/>
        </w:rPr>
        <w:t>operational capability</w:t>
      </w:r>
      <w:r>
        <w:t xml:space="preserve"> are to:</w:t>
      </w:r>
    </w:p>
    <w:p w14:paraId="39232B32" w14:textId="2E2951C3" w:rsidR="00406914" w:rsidRPr="00735BA6" w:rsidRDefault="00406914" w:rsidP="0002642E">
      <w:pPr>
        <w:pStyle w:val="BodyText"/>
        <w:numPr>
          <w:ilvl w:val="0"/>
          <w:numId w:val="98"/>
        </w:numPr>
        <w:rPr>
          <w:lang w:eastAsia="en-AU"/>
        </w:rPr>
      </w:pPr>
      <w:r>
        <w:rPr>
          <w:lang w:eastAsia="en-AU"/>
        </w:rPr>
        <w:t>g</w:t>
      </w:r>
      <w:r w:rsidRPr="00735BA6">
        <w:rPr>
          <w:lang w:eastAsia="en-AU"/>
        </w:rPr>
        <w:t>ive specific staff members responsibilities and support to promote human rights</w:t>
      </w:r>
    </w:p>
    <w:p w14:paraId="153CE852" w14:textId="0232683B" w:rsidR="00406914" w:rsidRPr="00735BA6" w:rsidRDefault="00406914" w:rsidP="0002642E">
      <w:pPr>
        <w:pStyle w:val="BodyText"/>
        <w:numPr>
          <w:ilvl w:val="0"/>
          <w:numId w:val="98"/>
        </w:numPr>
        <w:rPr>
          <w:lang w:eastAsia="en-AU"/>
        </w:rPr>
      </w:pPr>
      <w:r>
        <w:rPr>
          <w:lang w:eastAsia="en-AU"/>
        </w:rPr>
        <w:t>i</w:t>
      </w:r>
      <w:r w:rsidRPr="00735BA6">
        <w:rPr>
          <w:lang w:eastAsia="en-AU"/>
        </w:rPr>
        <w:t>nclude human rights impact assessments in project and policy templates</w:t>
      </w:r>
    </w:p>
    <w:p w14:paraId="340FB14B" w14:textId="62D5505C" w:rsidR="008E0945" w:rsidRPr="003015FD" w:rsidRDefault="007206F8" w:rsidP="0002642E">
      <w:pPr>
        <w:pStyle w:val="Heading3"/>
      </w:pPr>
      <w:r w:rsidRPr="003015FD">
        <w:t>2.7.7</w:t>
      </w:r>
      <w:r w:rsidRPr="003015FD">
        <w:tab/>
      </w:r>
      <w:r w:rsidR="008E0945" w:rsidRPr="003015FD">
        <w:t>Systems</w:t>
      </w:r>
      <w:r w:rsidR="00975895" w:rsidRPr="003015FD">
        <w:t xml:space="preserve"> </w:t>
      </w:r>
      <w:r w:rsidR="008E0945" w:rsidRPr="003015FD">
        <w:t>and</w:t>
      </w:r>
      <w:r w:rsidR="00975895" w:rsidRPr="003015FD">
        <w:t xml:space="preserve"> </w:t>
      </w:r>
      <w:r w:rsidR="008E0945" w:rsidRPr="003015FD">
        <w:t>processes</w:t>
      </w:r>
      <w:bookmarkEnd w:id="74"/>
      <w:r w:rsidR="00975895" w:rsidRPr="003015FD">
        <w:t xml:space="preserve"> </w:t>
      </w:r>
    </w:p>
    <w:p w14:paraId="3F901C80" w14:textId="4278B38E" w:rsidR="00340A87" w:rsidRDefault="00F063CA" w:rsidP="0002642E">
      <w:r w:rsidRPr="003015FD">
        <w:t>The</w:t>
      </w:r>
      <w:r w:rsidR="00975895" w:rsidRPr="003015FD">
        <w:t xml:space="preserve"> </w:t>
      </w:r>
      <w:r w:rsidRPr="003015FD">
        <w:t>final</w:t>
      </w:r>
      <w:r w:rsidR="00975895" w:rsidRPr="003015FD">
        <w:t xml:space="preserve"> </w:t>
      </w:r>
      <w:r w:rsidRPr="003015FD">
        <w:t>influence</w:t>
      </w:r>
      <w:r w:rsidR="00975895" w:rsidRPr="003015FD">
        <w:t xml:space="preserve"> </w:t>
      </w:r>
      <w:r w:rsidRPr="003015FD">
        <w:t>on</w:t>
      </w:r>
      <w:r w:rsidR="00975895" w:rsidRPr="003015FD">
        <w:t xml:space="preserve"> </w:t>
      </w:r>
      <w:r w:rsidRPr="003015FD">
        <w:t>a</w:t>
      </w:r>
      <w:r w:rsidR="00975895" w:rsidRPr="003015FD">
        <w:t xml:space="preserve"> </w:t>
      </w:r>
      <w:r w:rsidRPr="003015FD">
        <w:t>culture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w:t>
      </w:r>
      <w:r w:rsidR="00975895" w:rsidRPr="003015FD">
        <w:t xml:space="preserve"> </w:t>
      </w:r>
      <w:r w:rsidRPr="003015FD">
        <w:t>an</w:t>
      </w:r>
      <w:r w:rsidR="00975895" w:rsidRPr="003015FD">
        <w:t xml:space="preserve"> </w:t>
      </w:r>
      <w:r w:rsidRPr="003015FD">
        <w:t>organisation</w:t>
      </w:r>
      <w:r w:rsidR="000C5726">
        <w:t>'</w:t>
      </w:r>
      <w:r w:rsidRPr="003015FD">
        <w:t>s</w:t>
      </w:r>
      <w:r w:rsidR="00975895" w:rsidRPr="003015FD">
        <w:t xml:space="preserve"> </w:t>
      </w:r>
      <w:r w:rsidRPr="003015FD">
        <w:t>systems</w:t>
      </w:r>
      <w:r w:rsidR="00975895" w:rsidRPr="003015FD">
        <w:t xml:space="preserve"> </w:t>
      </w:r>
      <w:r w:rsidRPr="003015FD">
        <w:t>and</w:t>
      </w:r>
      <w:r w:rsidR="00975895" w:rsidRPr="003015FD">
        <w:t xml:space="preserve"> </w:t>
      </w:r>
      <w:r w:rsidRPr="003015FD">
        <w:t>processes.</w:t>
      </w:r>
      <w:r w:rsidR="00975895" w:rsidRPr="003015FD">
        <w:t xml:space="preserve"> </w:t>
      </w:r>
      <w:r w:rsidRPr="003015FD">
        <w:t>A</w:t>
      </w:r>
      <w:r w:rsidR="00975895" w:rsidRPr="003015FD">
        <w:t xml:space="preserve"> </w:t>
      </w:r>
      <w:r w:rsidRPr="003015FD">
        <w:t>strong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is</w:t>
      </w:r>
      <w:r w:rsidR="00975895" w:rsidRPr="003015FD">
        <w:t xml:space="preserve"> </w:t>
      </w:r>
      <w:r w:rsidRPr="003015FD">
        <w:t>one</w:t>
      </w:r>
      <w:r w:rsidR="00975895" w:rsidRPr="003015FD">
        <w:t xml:space="preserve"> </w:t>
      </w:r>
      <w:r w:rsidRPr="003015FD">
        <w:t>where</w:t>
      </w:r>
      <w:r w:rsidR="00975895" w:rsidRPr="003015FD">
        <w:t xml:space="preserve"> </w:t>
      </w:r>
      <w:r w:rsidRPr="003015FD">
        <w:t>human</w:t>
      </w:r>
      <w:r w:rsidR="00975895" w:rsidRPr="003015FD">
        <w:t xml:space="preserve"> </w:t>
      </w:r>
      <w:r w:rsidRPr="003015FD">
        <w:t>rights</w:t>
      </w:r>
      <w:r w:rsidR="00975895" w:rsidRPr="003015FD">
        <w:t xml:space="preserve"> </w:t>
      </w:r>
      <w:r w:rsidRPr="003015FD">
        <w:t>are</w:t>
      </w:r>
      <w:r w:rsidR="00975895" w:rsidRPr="003015FD">
        <w:t xml:space="preserve"> </w:t>
      </w:r>
      <w:r w:rsidRPr="003015FD">
        <w:t>embedded</w:t>
      </w:r>
      <w:r w:rsidR="00975895" w:rsidRPr="003015FD">
        <w:t xml:space="preserve"> </w:t>
      </w:r>
      <w:r w:rsidR="007F5813" w:rsidRPr="003015FD">
        <w:t>in</w:t>
      </w:r>
      <w:r w:rsidR="00975895" w:rsidRPr="003015FD">
        <w:t xml:space="preserve"> </w:t>
      </w:r>
      <w:r w:rsidRPr="003015FD">
        <w:t>systems</w:t>
      </w:r>
      <w:r w:rsidR="00975895" w:rsidRPr="003015FD">
        <w:t xml:space="preserve"> </w:t>
      </w:r>
      <w:r w:rsidRPr="003015FD">
        <w:t>and</w:t>
      </w:r>
      <w:r w:rsidR="00975895" w:rsidRPr="003015FD">
        <w:t xml:space="preserve"> </w:t>
      </w:r>
      <w:r w:rsidRPr="003015FD">
        <w:t>processes</w:t>
      </w:r>
      <w:r w:rsidR="00975895" w:rsidRPr="003015FD">
        <w:t xml:space="preserve"> </w:t>
      </w:r>
      <w:r w:rsidRPr="003015FD">
        <w:t>such</w:t>
      </w:r>
      <w:r w:rsidR="00975895" w:rsidRPr="003015FD">
        <w:t xml:space="preserve"> </w:t>
      </w:r>
      <w:r w:rsidRPr="003015FD">
        <w:t>as:</w:t>
      </w:r>
      <w:r w:rsidR="00975895" w:rsidRPr="003015FD">
        <w:t xml:space="preserve"> </w:t>
      </w:r>
    </w:p>
    <w:p w14:paraId="2F61E2C0" w14:textId="160E2140" w:rsidR="00CA27D5" w:rsidRDefault="00F063CA" w:rsidP="0002642E">
      <w:pPr>
        <w:pStyle w:val="ListBullet"/>
        <w:spacing w:before="0"/>
      </w:pPr>
      <w:r w:rsidRPr="003015FD">
        <w:t>legal</w:t>
      </w:r>
      <w:r w:rsidR="00975895" w:rsidRPr="003015FD">
        <w:t xml:space="preserve"> </w:t>
      </w:r>
      <w:r w:rsidRPr="003015FD">
        <w:t>compliance</w:t>
      </w:r>
      <w:r w:rsidR="00975895" w:rsidRPr="003015FD">
        <w:t xml:space="preserve"> </w:t>
      </w:r>
      <w:r w:rsidRPr="003015FD">
        <w:t>frameworks</w:t>
      </w:r>
    </w:p>
    <w:p w14:paraId="19B1F0AD" w14:textId="219E0621" w:rsidR="00CA27D5" w:rsidRDefault="00F063CA" w:rsidP="0002642E">
      <w:pPr>
        <w:pStyle w:val="ListBullet"/>
        <w:spacing w:before="0"/>
      </w:pPr>
      <w:r w:rsidRPr="003015FD">
        <w:t>complaints</w:t>
      </w:r>
      <w:r w:rsidR="00975895" w:rsidRPr="003015FD">
        <w:t xml:space="preserve"> </w:t>
      </w:r>
      <w:r w:rsidRPr="003015FD">
        <w:t>policies</w:t>
      </w:r>
    </w:p>
    <w:p w14:paraId="5133B5E4" w14:textId="77777777" w:rsidR="00CA27D5" w:rsidRDefault="00F063CA" w:rsidP="0002642E">
      <w:pPr>
        <w:pStyle w:val="ListBullet"/>
        <w:spacing w:before="0"/>
      </w:pPr>
      <w:r w:rsidRPr="003015FD">
        <w:t>planning</w:t>
      </w:r>
      <w:r w:rsidR="00975895" w:rsidRPr="003015FD">
        <w:t xml:space="preserve"> </w:t>
      </w:r>
      <w:r w:rsidRPr="003015FD">
        <w:t>documents</w:t>
      </w:r>
    </w:p>
    <w:p w14:paraId="44EE39B6" w14:textId="77CBA533" w:rsidR="00CA27D5" w:rsidRDefault="00F063CA" w:rsidP="0002642E">
      <w:pPr>
        <w:pStyle w:val="ListBullet"/>
        <w:spacing w:before="0"/>
      </w:pPr>
      <w:r w:rsidRPr="003015FD">
        <w:t>codes</w:t>
      </w:r>
      <w:r w:rsidR="00975895" w:rsidRPr="003015FD">
        <w:t xml:space="preserve"> </w:t>
      </w:r>
      <w:r w:rsidRPr="003015FD">
        <w:t>of</w:t>
      </w:r>
      <w:r w:rsidR="00975895" w:rsidRPr="003015FD">
        <w:t xml:space="preserve"> </w:t>
      </w:r>
      <w:r w:rsidRPr="003015FD">
        <w:t>conduct</w:t>
      </w:r>
    </w:p>
    <w:p w14:paraId="7300125D" w14:textId="77777777" w:rsidR="00CA27D5" w:rsidRDefault="00F063CA" w:rsidP="0002642E">
      <w:pPr>
        <w:pStyle w:val="ListBullet"/>
        <w:spacing w:before="0"/>
      </w:pPr>
      <w:r w:rsidRPr="003015FD">
        <w:t>employment</w:t>
      </w:r>
      <w:r w:rsidR="00975895" w:rsidRPr="003015FD">
        <w:t xml:space="preserve"> </w:t>
      </w:r>
      <w:r w:rsidRPr="003015FD">
        <w:t>standards</w:t>
      </w:r>
    </w:p>
    <w:p w14:paraId="19F08460" w14:textId="272912F5" w:rsidR="00CA27D5" w:rsidRDefault="00F063CA" w:rsidP="0002642E">
      <w:pPr>
        <w:pStyle w:val="ListBullet"/>
        <w:spacing w:before="0"/>
      </w:pPr>
      <w:r w:rsidRPr="003015FD">
        <w:t>risk</w:t>
      </w:r>
      <w:r w:rsidR="00975895" w:rsidRPr="003015FD">
        <w:t xml:space="preserve"> </w:t>
      </w:r>
      <w:r w:rsidRPr="003015FD">
        <w:t>management</w:t>
      </w:r>
      <w:r w:rsidR="00975895" w:rsidRPr="003015FD">
        <w:t xml:space="preserve"> </w:t>
      </w:r>
      <w:r w:rsidRPr="003015FD">
        <w:t>plans</w:t>
      </w:r>
    </w:p>
    <w:p w14:paraId="55E212CE" w14:textId="553A779C" w:rsidR="00CA27D5" w:rsidRDefault="00F063CA" w:rsidP="0002642E">
      <w:pPr>
        <w:pStyle w:val="ListBullet"/>
        <w:spacing w:before="0"/>
      </w:pPr>
      <w:r w:rsidRPr="003015FD">
        <w:t>internal</w:t>
      </w:r>
      <w:r w:rsidR="00975895" w:rsidRPr="003015FD">
        <w:t xml:space="preserve"> </w:t>
      </w:r>
      <w:r w:rsidRPr="003015FD">
        <w:t>grievance</w:t>
      </w:r>
      <w:r w:rsidR="00975895" w:rsidRPr="003015FD">
        <w:t xml:space="preserve"> </w:t>
      </w:r>
      <w:r w:rsidRPr="003015FD">
        <w:t>systems</w:t>
      </w:r>
      <w:r w:rsidR="00975895" w:rsidRPr="003015FD">
        <w:t xml:space="preserve"> </w:t>
      </w:r>
      <w:r w:rsidRPr="003015FD">
        <w:t>and</w:t>
      </w:r>
      <w:r w:rsidR="00975895" w:rsidRPr="003015FD">
        <w:t xml:space="preserve"> </w:t>
      </w:r>
      <w:r w:rsidRPr="003015FD">
        <w:t>processes</w:t>
      </w:r>
    </w:p>
    <w:p w14:paraId="7BA506E6" w14:textId="54C10C81" w:rsidR="00CA27D5" w:rsidRDefault="00F063CA" w:rsidP="0002642E">
      <w:pPr>
        <w:pStyle w:val="ListBullet"/>
        <w:spacing w:before="0"/>
      </w:pPr>
      <w:r w:rsidRPr="003015FD">
        <w:t>position</w:t>
      </w:r>
      <w:r w:rsidR="00975895" w:rsidRPr="003015FD">
        <w:t xml:space="preserve"> </w:t>
      </w:r>
      <w:r w:rsidRPr="003015FD">
        <w:t>descriptions</w:t>
      </w:r>
    </w:p>
    <w:p w14:paraId="03E09D40" w14:textId="401EE0DB" w:rsidR="00F063CA" w:rsidRPr="003015FD" w:rsidRDefault="00F063CA" w:rsidP="0002642E">
      <w:pPr>
        <w:pStyle w:val="ListBullet"/>
        <w:spacing w:before="0"/>
      </w:pPr>
      <w:r w:rsidRPr="003015FD">
        <w:t>performance</w:t>
      </w:r>
      <w:r w:rsidR="00975895" w:rsidRPr="003015FD">
        <w:t xml:space="preserve"> </w:t>
      </w:r>
      <w:r w:rsidRPr="003015FD">
        <w:t>reviews.</w:t>
      </w:r>
    </w:p>
    <w:p w14:paraId="59116BA7" w14:textId="5905E3D4" w:rsidR="008E0945" w:rsidRPr="003015FD" w:rsidRDefault="008E0945" w:rsidP="0002642E">
      <w:r w:rsidRPr="003015FD">
        <w:t>Overall,</w:t>
      </w:r>
      <w:r w:rsidR="00975895" w:rsidRPr="003015FD">
        <w:t xml:space="preserve"> </w:t>
      </w:r>
      <w:r w:rsidRPr="003015FD">
        <w:t>local</w:t>
      </w:r>
      <w:r w:rsidR="00975895" w:rsidRPr="003015FD">
        <w:t xml:space="preserve"> </w:t>
      </w:r>
      <w:r w:rsidRPr="003015FD">
        <w:t>councils</w:t>
      </w:r>
      <w:r w:rsidR="00975895" w:rsidRPr="003015FD">
        <w:t xml:space="preserve"> </w:t>
      </w:r>
      <w:r w:rsidRPr="003015FD">
        <w:t>(66.7</w:t>
      </w:r>
      <w:r w:rsidR="00975895" w:rsidRPr="003015FD">
        <w:t xml:space="preserve"> </w:t>
      </w:r>
      <w:r w:rsidRPr="003015FD">
        <w:t>points)</w:t>
      </w:r>
      <w:r w:rsidR="00975895" w:rsidRPr="003015FD">
        <w:t xml:space="preserve"> </w:t>
      </w:r>
      <w:r w:rsidRPr="003015FD">
        <w:t>reported</w:t>
      </w:r>
      <w:r w:rsidR="00975895" w:rsidRPr="003015FD">
        <w:t xml:space="preserve"> </w:t>
      </w:r>
      <w:r w:rsidRPr="003015FD">
        <w:t>embedd</w:t>
      </w:r>
      <w:r w:rsidR="00DC5DAF">
        <w:t>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into</w:t>
      </w:r>
      <w:r w:rsidR="00975895" w:rsidRPr="003015FD">
        <w:t xml:space="preserve"> </w:t>
      </w:r>
      <w:r w:rsidRPr="003015FD">
        <w:t>systems</w:t>
      </w:r>
      <w:r w:rsidR="00975895" w:rsidRPr="003015FD">
        <w:t xml:space="preserve"> </w:t>
      </w:r>
      <w:r w:rsidRPr="003015FD">
        <w:t>and</w:t>
      </w:r>
      <w:r w:rsidR="00975895" w:rsidRPr="003015FD">
        <w:t xml:space="preserve"> </w:t>
      </w:r>
      <w:r w:rsidRPr="003015FD">
        <w:t>processes</w:t>
      </w:r>
      <w:r w:rsidR="00975895" w:rsidRPr="003015FD">
        <w:t xml:space="preserve"> </w:t>
      </w:r>
      <w:r w:rsidRPr="003015FD">
        <w:t>to</w:t>
      </w:r>
      <w:r w:rsidR="00975895" w:rsidRPr="003015FD">
        <w:t xml:space="preserve"> </w:t>
      </w:r>
      <w:r w:rsidRPr="003015FD">
        <w:t>a</w:t>
      </w:r>
      <w:r w:rsidR="00975895" w:rsidRPr="003015FD">
        <w:t xml:space="preserve"> </w:t>
      </w:r>
      <w:r w:rsidRPr="003015FD">
        <w:t>greater</w:t>
      </w:r>
      <w:r w:rsidR="00975895" w:rsidRPr="003015FD">
        <w:t xml:space="preserve"> </w:t>
      </w:r>
      <w:r w:rsidRPr="003015FD">
        <w:t>extent</w:t>
      </w:r>
      <w:r w:rsidR="00975895" w:rsidRPr="003015FD">
        <w:t xml:space="preserve"> </w:t>
      </w:r>
      <w:r w:rsidRPr="003015FD">
        <w:t>than</w:t>
      </w:r>
      <w:r w:rsidR="00975895" w:rsidRPr="003015FD">
        <w:t xml:space="preserve"> </w:t>
      </w:r>
      <w:r w:rsidRPr="003015FD">
        <w:t>other</w:t>
      </w:r>
      <w:r w:rsidR="00975895" w:rsidRPr="003015FD">
        <w:t xml:space="preserve"> </w:t>
      </w:r>
      <w:r w:rsidRPr="003015FD">
        <w:t>organisation</w:t>
      </w:r>
      <w:r w:rsidR="00975895" w:rsidRPr="003015FD">
        <w:t xml:space="preserve"> </w:t>
      </w:r>
      <w:r w:rsidRPr="003015FD">
        <w:t>types.</w:t>
      </w:r>
    </w:p>
    <w:p w14:paraId="0C5BC49B" w14:textId="600A1E24"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16:</w:t>
      </w:r>
      <w:r w:rsidR="00975895" w:rsidRPr="0002642E">
        <w:rPr>
          <w:rStyle w:val="Characterbold"/>
        </w:rPr>
        <w:t xml:space="preserve"> </w:t>
      </w:r>
      <w:r w:rsidRPr="0002642E">
        <w:rPr>
          <w:rStyle w:val="Characterbold"/>
        </w:rPr>
        <w:t>Overall</w:t>
      </w:r>
      <w:r w:rsidR="00975895" w:rsidRPr="0002642E">
        <w:rPr>
          <w:rStyle w:val="Characterbold"/>
        </w:rPr>
        <w:t xml:space="preserve"> </w:t>
      </w:r>
      <w:r w:rsidRPr="0002642E">
        <w:rPr>
          <w:rStyle w:val="Characterbold"/>
        </w:rPr>
        <w:t>performance</w:t>
      </w:r>
      <w:r w:rsidR="00975895" w:rsidRPr="0002642E">
        <w:rPr>
          <w:rStyle w:val="Characterbold"/>
        </w:rPr>
        <w:t xml:space="preserve"> </w:t>
      </w:r>
      <w:r w:rsidRPr="0002642E">
        <w:rPr>
          <w:rStyle w:val="Characterbold"/>
        </w:rPr>
        <w:t>–</w:t>
      </w:r>
      <w:r w:rsidR="00975895" w:rsidRPr="0002642E">
        <w:rPr>
          <w:rStyle w:val="Characterbold"/>
        </w:rPr>
        <w:t xml:space="preserve"> </w:t>
      </w:r>
      <w:r w:rsidRPr="0002642E">
        <w:rPr>
          <w:rStyle w:val="Characterbold"/>
        </w:rPr>
        <w:t>Systems</w:t>
      </w:r>
      <w:r w:rsidR="00975895" w:rsidRPr="0002642E">
        <w:rPr>
          <w:rStyle w:val="Characterbold"/>
        </w:rPr>
        <w:t xml:space="preserve"> </w:t>
      </w:r>
      <w:r w:rsidRPr="0002642E">
        <w:rPr>
          <w:rStyle w:val="Characterbold"/>
        </w:rPr>
        <w:t>and</w:t>
      </w:r>
      <w:r w:rsidR="00975895" w:rsidRPr="0002642E">
        <w:rPr>
          <w:rStyle w:val="Characterbold"/>
        </w:rPr>
        <w:t xml:space="preserve"> </w:t>
      </w:r>
      <w:r w:rsidRPr="0002642E">
        <w:rPr>
          <w:rStyle w:val="Characterbold"/>
        </w:rPr>
        <w:t>processes</w:t>
      </w:r>
    </w:p>
    <w:p w14:paraId="3792271B" w14:textId="5DD5369C"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7CF30481" w14:textId="77777777" w:rsidR="008E0945" w:rsidRPr="003015FD" w:rsidRDefault="008E0945" w:rsidP="008E0945">
      <w:pPr>
        <w:pStyle w:val="MediumGrid21"/>
        <w:jc w:val="center"/>
        <w:rPr>
          <w:rFonts w:ascii="Arial" w:hAnsi="Arial" w:cs="Arial"/>
          <w:lang w:val="en-GB"/>
        </w:rPr>
      </w:pPr>
      <w:r w:rsidRPr="0002642E">
        <w:rPr>
          <w:rFonts w:ascii="Arial" w:hAnsi="Arial" w:cs="Arial"/>
          <w:noProof/>
          <w:lang w:val="en-GB" w:eastAsia="en-GB"/>
        </w:rPr>
        <w:lastRenderedPageBreak/>
        <w:drawing>
          <wp:inline distT="0" distB="0" distL="0" distR="0" wp14:anchorId="03B82D4E" wp14:editId="4BAEC487">
            <wp:extent cx="5400000" cy="232667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4">
                      <a:extLst>
                        <a:ext uri="{28A0092B-C50C-407E-A947-70E740481C1C}">
                          <a14:useLocalDpi xmlns:a14="http://schemas.microsoft.com/office/drawing/2010/main" val="0"/>
                        </a:ext>
                      </a:extLst>
                    </a:blip>
                    <a:srcRect t="14226"/>
                    <a:stretch/>
                  </pic:blipFill>
                  <pic:spPr bwMode="auto">
                    <a:xfrm>
                      <a:off x="0" y="0"/>
                      <a:ext cx="5400000" cy="2326678"/>
                    </a:xfrm>
                    <a:prstGeom prst="rect">
                      <a:avLst/>
                    </a:prstGeom>
                    <a:noFill/>
                    <a:ln>
                      <a:noFill/>
                    </a:ln>
                    <a:extLst>
                      <a:ext uri="{53640926-AAD7-44D8-BBD7-CCE9431645EC}">
                        <a14:shadowObscured xmlns:a14="http://schemas.microsoft.com/office/drawing/2010/main"/>
                      </a:ext>
                    </a:extLst>
                  </pic:spPr>
                </pic:pic>
              </a:graphicData>
            </a:graphic>
          </wp:inline>
        </w:drawing>
      </w:r>
    </w:p>
    <w:p w14:paraId="1200D6EE" w14:textId="34D7451F" w:rsidR="008E0945" w:rsidRPr="003015FD" w:rsidRDefault="008E0945" w:rsidP="0002642E">
      <w:pPr>
        <w:pStyle w:val="Heading4"/>
      </w:pPr>
      <w:r w:rsidRPr="003015FD">
        <w:t>A.</w:t>
      </w:r>
      <w:r w:rsidR="00975895" w:rsidRPr="003015FD">
        <w:t xml:space="preserve"> </w:t>
      </w:r>
      <w:r w:rsidRPr="003015FD">
        <w:t>Processes</w:t>
      </w:r>
      <w:r w:rsidR="00975895" w:rsidRPr="003015FD">
        <w:t xml:space="preserve"> </w:t>
      </w:r>
      <w:r w:rsidRPr="003015FD">
        <w:t>and</w:t>
      </w:r>
      <w:r w:rsidR="00975895" w:rsidRPr="003015FD">
        <w:t xml:space="preserve"> </w:t>
      </w:r>
      <w:r w:rsidRPr="003015FD">
        <w:t>tools</w:t>
      </w:r>
    </w:p>
    <w:p w14:paraId="45422AEC" w14:textId="544879F9" w:rsidR="008E0945" w:rsidRPr="003015FD" w:rsidRDefault="008E0945" w:rsidP="0002642E">
      <w:r w:rsidRPr="003015FD">
        <w:t>On</w:t>
      </w:r>
      <w:r w:rsidR="00975895" w:rsidRPr="003015FD">
        <w:t xml:space="preserve"> </w:t>
      </w:r>
      <w:r w:rsidRPr="003015FD">
        <w:t>average,</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had</w:t>
      </w:r>
      <w:r w:rsidR="00975895" w:rsidRPr="003015FD">
        <w:t xml:space="preserve"> </w:t>
      </w:r>
      <w:r w:rsidRPr="003015FD">
        <w:t>embedded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into</w:t>
      </w:r>
      <w:r w:rsidR="00975895" w:rsidRPr="003015FD">
        <w:t xml:space="preserve"> </w:t>
      </w:r>
      <w:r w:rsidRPr="003015FD">
        <w:t>processes</w:t>
      </w:r>
      <w:r w:rsidR="00975895" w:rsidRPr="003015FD">
        <w:t xml:space="preserve"> </w:t>
      </w:r>
      <w:r w:rsidRPr="003015FD">
        <w:t>and</w:t>
      </w:r>
      <w:r w:rsidR="00975895" w:rsidRPr="003015FD">
        <w:t xml:space="preserve"> </w:t>
      </w:r>
      <w:r w:rsidRPr="003015FD">
        <w:t>tools</w:t>
      </w:r>
      <w:r w:rsidR="00975895" w:rsidRPr="003015FD">
        <w:t xml:space="preserve"> </w:t>
      </w:r>
      <w:r w:rsidRPr="003015FD">
        <w:t>to</w:t>
      </w:r>
      <w:r w:rsidR="00975895" w:rsidRPr="003015FD">
        <w:t xml:space="preserve"> </w:t>
      </w:r>
      <w:r w:rsidRPr="003015FD">
        <w:t>a</w:t>
      </w:r>
      <w:r w:rsidR="00975895" w:rsidRPr="003015FD">
        <w:t xml:space="preserve"> </w:t>
      </w:r>
      <w:r w:rsidRPr="003015FD">
        <w:t>moderate</w:t>
      </w:r>
      <w:r w:rsidR="00975895" w:rsidRPr="003015FD">
        <w:t xml:space="preserve"> </w:t>
      </w:r>
      <w:r w:rsidRPr="003015FD">
        <w:t>extent.</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and</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had</w:t>
      </w:r>
      <w:r w:rsidR="00975895" w:rsidRPr="003015FD">
        <w:t xml:space="preserve"> </w:t>
      </w:r>
      <w:r w:rsidRPr="003015FD">
        <w:t>human</w:t>
      </w:r>
      <w:r w:rsidR="00975895" w:rsidRPr="003015FD">
        <w:t xml:space="preserve"> </w:t>
      </w:r>
      <w:r w:rsidRPr="003015FD">
        <w:t>rights</w:t>
      </w:r>
      <w:r w:rsidR="00975895" w:rsidRPr="003015FD">
        <w:t xml:space="preserve"> </w:t>
      </w:r>
      <w:r w:rsidRPr="003015FD">
        <w:t>embedded</w:t>
      </w:r>
      <w:r w:rsidR="00975895" w:rsidRPr="003015FD">
        <w:t xml:space="preserve"> </w:t>
      </w:r>
      <w:r w:rsidRPr="003015FD">
        <w:t>into</w:t>
      </w:r>
      <w:r w:rsidR="00975895" w:rsidRPr="003015FD">
        <w:t xml:space="preserve"> </w:t>
      </w:r>
      <w:r w:rsidRPr="003015FD">
        <w:t>processes</w:t>
      </w:r>
      <w:r w:rsidR="00975895" w:rsidRPr="003015FD">
        <w:t xml:space="preserve"> </w:t>
      </w:r>
      <w:r w:rsidRPr="003015FD">
        <w:t>and</w:t>
      </w:r>
      <w:r w:rsidR="00975895" w:rsidRPr="003015FD">
        <w:t xml:space="preserve"> </w:t>
      </w:r>
      <w:r w:rsidRPr="003015FD">
        <w:t>tools</w:t>
      </w:r>
      <w:r w:rsidR="00975895" w:rsidRPr="003015FD">
        <w:t xml:space="preserve"> </w:t>
      </w:r>
      <w:r w:rsidRPr="003015FD">
        <w:t>to</w:t>
      </w:r>
      <w:r w:rsidR="00975895" w:rsidRPr="003015FD">
        <w:t xml:space="preserve"> </w:t>
      </w:r>
      <w:r w:rsidRPr="003015FD">
        <w:t>a</w:t>
      </w:r>
      <w:r w:rsidR="00975895" w:rsidRPr="003015FD">
        <w:t xml:space="preserve"> </w:t>
      </w:r>
      <w:r w:rsidRPr="003015FD">
        <w:t>larger</w:t>
      </w:r>
      <w:r w:rsidR="00975895" w:rsidRPr="003015FD">
        <w:t xml:space="preserve"> </w:t>
      </w:r>
      <w:r w:rsidRPr="003015FD">
        <w:t>degree</w:t>
      </w:r>
      <w:r w:rsidR="00975895" w:rsidRPr="003015FD">
        <w:t xml:space="preserve"> </w:t>
      </w:r>
      <w:r w:rsidRPr="003015FD">
        <w:t>than</w:t>
      </w:r>
      <w:r w:rsidR="00975895" w:rsidRPr="003015FD">
        <w:t xml:space="preserve"> </w:t>
      </w:r>
      <w:r w:rsidRPr="003015FD">
        <w:t>local</w:t>
      </w:r>
      <w:r w:rsidR="00975895" w:rsidRPr="003015FD">
        <w:t xml:space="preserve"> </w:t>
      </w:r>
      <w:r w:rsidRPr="003015FD">
        <w:t>councils</w:t>
      </w:r>
      <w:r w:rsidR="00975895" w:rsidRPr="003015FD">
        <w:t xml:space="preserve"> </w:t>
      </w:r>
      <w:r w:rsidRPr="003015FD">
        <w:t>and</w:t>
      </w:r>
      <w:r w:rsidR="00975895" w:rsidRPr="003015FD">
        <w:t xml:space="preserve"> </w:t>
      </w:r>
      <w:r w:rsidRPr="003015FD">
        <w:t>large</w:t>
      </w:r>
      <w:r w:rsidR="00975895" w:rsidRPr="003015FD">
        <w:t xml:space="preserve"> </w:t>
      </w:r>
      <w:r w:rsidRPr="003015FD">
        <w:t>agencies.</w:t>
      </w:r>
      <w:r w:rsidR="00975895" w:rsidRPr="003015FD">
        <w:t xml:space="preserve"> </w:t>
      </w:r>
    </w:p>
    <w:p w14:paraId="16757DFF" w14:textId="1476A0EC" w:rsidR="008E0945" w:rsidRPr="003015FD" w:rsidRDefault="008E0945" w:rsidP="0002642E">
      <w:r w:rsidRPr="003015FD">
        <w:t>Public</w:t>
      </w:r>
      <w:r w:rsidR="00975895" w:rsidRPr="003015FD">
        <w:t xml:space="preserve"> </w:t>
      </w:r>
      <w:r w:rsidRPr="003015FD">
        <w:t>authorities</w:t>
      </w:r>
      <w:r w:rsidR="00975895" w:rsidRPr="003015FD">
        <w:t xml:space="preserve"> </w:t>
      </w:r>
      <w:r w:rsidRPr="003015FD">
        <w:t>reported</w:t>
      </w:r>
      <w:r w:rsidR="00975895" w:rsidRPr="003015FD">
        <w:t xml:space="preserve"> </w:t>
      </w:r>
      <w:r w:rsidRPr="003015FD">
        <w:t>embedding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to</w:t>
      </w:r>
      <w:r w:rsidR="00975895" w:rsidRPr="003015FD">
        <w:t xml:space="preserve"> </w:t>
      </w:r>
      <w:r w:rsidRPr="003015FD">
        <w:t>a</w:t>
      </w:r>
      <w:r w:rsidR="00975895" w:rsidRPr="003015FD">
        <w:t xml:space="preserve"> </w:t>
      </w:r>
      <w:r w:rsidRPr="003015FD">
        <w:t>greater</w:t>
      </w:r>
      <w:r w:rsidR="00975895" w:rsidRPr="003015FD">
        <w:t xml:space="preserve"> </w:t>
      </w:r>
      <w:r w:rsidRPr="003015FD">
        <w:t>extent</w:t>
      </w:r>
      <w:r w:rsidR="00975895" w:rsidRPr="003015FD">
        <w:t xml:space="preserve"> </w:t>
      </w:r>
      <w:r w:rsidRPr="003015FD">
        <w:t>in</w:t>
      </w:r>
      <w:r w:rsidR="00975895" w:rsidRPr="003015FD">
        <w:t xml:space="preserve"> </w:t>
      </w:r>
      <w:r w:rsidRPr="003015FD">
        <w:t>policies,</w:t>
      </w:r>
      <w:r w:rsidR="00975895" w:rsidRPr="003015FD">
        <w:t xml:space="preserve"> </w:t>
      </w:r>
      <w:r w:rsidRPr="003015FD">
        <w:t>recruitment</w:t>
      </w:r>
      <w:r w:rsidR="00975895" w:rsidRPr="003015FD">
        <w:t xml:space="preserve"> </w:t>
      </w:r>
      <w:r w:rsidRPr="003015FD">
        <w:t>or</w:t>
      </w:r>
      <w:r w:rsidR="00975895" w:rsidRPr="003015FD">
        <w:t xml:space="preserve"> </w:t>
      </w:r>
      <w:r w:rsidRPr="003015FD">
        <w:t>other</w:t>
      </w:r>
      <w:r w:rsidR="00975895" w:rsidRPr="003015FD">
        <w:t xml:space="preserve"> </w:t>
      </w:r>
      <w:r w:rsidRPr="003015FD">
        <w:t>human</w:t>
      </w:r>
      <w:r w:rsidR="00975895" w:rsidRPr="003015FD">
        <w:t xml:space="preserve"> </w:t>
      </w:r>
      <w:r w:rsidRPr="003015FD">
        <w:t>resources</w:t>
      </w:r>
      <w:r w:rsidR="00975895" w:rsidRPr="003015FD">
        <w:t xml:space="preserve"> </w:t>
      </w:r>
      <w:r w:rsidRPr="003015FD">
        <w:t>processes</w:t>
      </w:r>
      <w:r w:rsidR="00975895" w:rsidRPr="003015FD">
        <w:t xml:space="preserve"> </w:t>
      </w:r>
      <w:r w:rsidRPr="003015FD">
        <w:t>and</w:t>
      </w:r>
      <w:r w:rsidR="00975895" w:rsidRPr="003015FD">
        <w:t xml:space="preserve"> </w:t>
      </w:r>
      <w:r w:rsidRPr="003015FD">
        <w:t>legal</w:t>
      </w:r>
      <w:r w:rsidR="00975895" w:rsidRPr="003015FD">
        <w:t xml:space="preserve"> </w:t>
      </w:r>
      <w:r w:rsidRPr="003015FD">
        <w:t>compliance</w:t>
      </w:r>
      <w:r w:rsidR="00975895" w:rsidRPr="003015FD">
        <w:t xml:space="preserve"> </w:t>
      </w:r>
      <w:r w:rsidRPr="003015FD">
        <w:t>frameworks</w:t>
      </w:r>
      <w:r w:rsidR="00975895" w:rsidRPr="003015FD">
        <w:t xml:space="preserve"> </w:t>
      </w:r>
      <w:r w:rsidRPr="003015FD">
        <w:t>compared</w:t>
      </w:r>
      <w:r w:rsidR="00975895" w:rsidRPr="003015FD">
        <w:t xml:space="preserve"> </w:t>
      </w:r>
      <w:r w:rsidRPr="003015FD">
        <w:t>to</w:t>
      </w:r>
      <w:r w:rsidR="00975895" w:rsidRPr="003015FD">
        <w:t xml:space="preserve"> </w:t>
      </w:r>
      <w:r w:rsidRPr="003015FD">
        <w:t>other</w:t>
      </w:r>
      <w:r w:rsidR="00975895" w:rsidRPr="003015FD">
        <w:t xml:space="preserve"> </w:t>
      </w:r>
      <w:r w:rsidRPr="003015FD">
        <w:t>tools</w:t>
      </w:r>
      <w:r w:rsidR="00975895" w:rsidRPr="003015FD">
        <w:t xml:space="preserve"> </w:t>
      </w:r>
      <w:r w:rsidRPr="003015FD">
        <w:t>and</w:t>
      </w:r>
      <w:r w:rsidR="00975895" w:rsidRPr="003015FD">
        <w:t xml:space="preserve"> </w:t>
      </w:r>
      <w:r w:rsidRPr="003015FD">
        <w:t>processes.</w:t>
      </w:r>
      <w:r w:rsidR="00975895" w:rsidRPr="003015FD">
        <w:t xml:space="preserve"> </w:t>
      </w:r>
    </w:p>
    <w:p w14:paraId="30DE6A77" w14:textId="72BFC377" w:rsidR="00CF666C" w:rsidRDefault="003B428A" w:rsidP="0002642E">
      <w:r>
        <w:t>Figure 18</w:t>
      </w:r>
      <w:r w:rsidR="00975895" w:rsidRPr="003015FD">
        <w:t xml:space="preserve"> </w:t>
      </w:r>
      <w:r w:rsidR="008E0945" w:rsidRPr="003015FD">
        <w:t>shows</w:t>
      </w:r>
      <w:r w:rsidR="00975895" w:rsidRPr="003015FD">
        <w:t xml:space="preserve"> </w:t>
      </w:r>
      <w:r w:rsidR="008E0945" w:rsidRPr="003015FD">
        <w:t>the</w:t>
      </w:r>
      <w:r w:rsidR="00975895" w:rsidRPr="003015FD">
        <w:t xml:space="preserve"> </w:t>
      </w:r>
      <w:r w:rsidR="008E0945" w:rsidRPr="003015FD">
        <w:t>full</w:t>
      </w:r>
      <w:r w:rsidR="00975895" w:rsidRPr="003015FD">
        <w:t xml:space="preserve"> </w:t>
      </w:r>
      <w:r w:rsidR="008E0945" w:rsidRPr="003015FD">
        <w:t>breakdown</w:t>
      </w:r>
      <w:r w:rsidR="00975895" w:rsidRPr="003015FD">
        <w:t xml:space="preserve"> </w:t>
      </w:r>
      <w:r w:rsidR="008E0945" w:rsidRPr="003015FD">
        <w:t>of</w:t>
      </w:r>
      <w:r w:rsidR="00975895" w:rsidRPr="003015FD">
        <w:t xml:space="preserve"> </w:t>
      </w:r>
      <w:r w:rsidR="008E0945" w:rsidRPr="003015FD">
        <w:t>the</w:t>
      </w:r>
      <w:r w:rsidR="00975895" w:rsidRPr="003015FD">
        <w:t xml:space="preserve"> </w:t>
      </w:r>
      <w:r w:rsidR="008E0945" w:rsidRPr="003015FD">
        <w:t>extent</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were</w:t>
      </w:r>
      <w:r w:rsidR="00975895" w:rsidRPr="003015FD">
        <w:t xml:space="preserve"> </w:t>
      </w:r>
      <w:r w:rsidR="008E0945" w:rsidRPr="003015FD">
        <w:t>embedded</w:t>
      </w:r>
      <w:r w:rsidR="00975895" w:rsidRPr="003015FD">
        <w:t xml:space="preserve"> </w:t>
      </w:r>
      <w:r w:rsidR="008E0945" w:rsidRPr="003015FD">
        <w:t>into</w:t>
      </w:r>
      <w:r w:rsidR="00975895" w:rsidRPr="003015FD">
        <w:t xml:space="preserve"> </w:t>
      </w:r>
      <w:r w:rsidR="008E0945" w:rsidRPr="003015FD">
        <w:t>each</w:t>
      </w:r>
      <w:r w:rsidR="00975895" w:rsidRPr="003015FD">
        <w:t xml:space="preserve"> </w:t>
      </w:r>
      <w:r w:rsidR="008E0945" w:rsidRPr="003015FD">
        <w:t>process</w:t>
      </w:r>
      <w:r w:rsidR="00975895" w:rsidRPr="003015FD">
        <w:t xml:space="preserve"> </w:t>
      </w:r>
      <w:r w:rsidR="008E0945" w:rsidRPr="003015FD">
        <w:t>and</w:t>
      </w:r>
      <w:r w:rsidR="00975895" w:rsidRPr="003015FD">
        <w:t xml:space="preserve"> </w:t>
      </w:r>
      <w:r w:rsidR="008E0945" w:rsidRPr="003015FD">
        <w:t>tool</w:t>
      </w:r>
      <w:r w:rsidR="00975895" w:rsidRPr="003015FD">
        <w:t xml:space="preserve"> </w:t>
      </w:r>
      <w:r w:rsidR="008E0945" w:rsidRPr="003015FD">
        <w:t>for</w:t>
      </w:r>
      <w:r w:rsidR="00975895" w:rsidRPr="003015FD">
        <w:t xml:space="preserve"> </w:t>
      </w:r>
      <w:r w:rsidR="008E0945" w:rsidRPr="003015FD">
        <w:t>each</w:t>
      </w:r>
      <w:r w:rsidR="00975895" w:rsidRPr="003015FD">
        <w:t xml:space="preserve"> </w:t>
      </w:r>
      <w:r w:rsidR="008E0945" w:rsidRPr="003015FD">
        <w:t>organisation</w:t>
      </w:r>
      <w:r w:rsidR="00975895" w:rsidRPr="003015FD">
        <w:t xml:space="preserve"> </w:t>
      </w:r>
      <w:r w:rsidR="008E0945" w:rsidRPr="003015FD">
        <w:t>type.</w:t>
      </w:r>
    </w:p>
    <w:tbl>
      <w:tblPr>
        <w:tblStyle w:val="CustomTablebreakoutbox"/>
        <w:tblW w:w="0" w:type="auto"/>
        <w:tblLook w:val="04A0" w:firstRow="1" w:lastRow="0" w:firstColumn="1" w:lastColumn="0" w:noHBand="0" w:noVBand="1"/>
      </w:tblPr>
      <w:tblGrid>
        <w:gridCol w:w="9061"/>
      </w:tblGrid>
      <w:tr w:rsidR="00CF666C" w14:paraId="0E06C489" w14:textId="77777777" w:rsidTr="00CF666C">
        <w:tc>
          <w:tcPr>
            <w:tcW w:w="9061" w:type="dxa"/>
          </w:tcPr>
          <w:p w14:paraId="5FA7278D" w14:textId="4EA79D65" w:rsidR="00CF666C" w:rsidRPr="003E33DC" w:rsidRDefault="00CF666C" w:rsidP="00CF666C">
            <w:pPr>
              <w:pStyle w:val="BodyText"/>
              <w:rPr>
                <w:rStyle w:val="Characterbold"/>
              </w:rPr>
            </w:pPr>
            <w:r w:rsidRPr="005B572A">
              <w:rPr>
                <w:rStyle w:val="Characterbold"/>
                <w:lang w:val="en-GB"/>
              </w:rPr>
              <w:t>Examples of how public authorities used the Charter in developing work, practices, programs or policy positions</w:t>
            </w:r>
            <w:r>
              <w:rPr>
                <w:rStyle w:val="Characterbold"/>
                <w:lang w:val="en-GB"/>
              </w:rPr>
              <w:t>:</w:t>
            </w:r>
          </w:p>
          <w:p w14:paraId="2CEB755B" w14:textId="77777777" w:rsidR="00CF666C" w:rsidRPr="003015FD" w:rsidRDefault="00CF666C" w:rsidP="00CF666C">
            <w:pPr>
              <w:pStyle w:val="ListBullet"/>
            </w:pPr>
            <w:r>
              <w:t>T</w:t>
            </w:r>
            <w:r w:rsidRPr="003015FD">
              <w:t>he Victorian Multicultural Commission used the Charter for community consultations to build discussion topics around a wellbeing framework</w:t>
            </w:r>
            <w:r>
              <w:t>.</w:t>
            </w:r>
          </w:p>
          <w:p w14:paraId="6001E22C" w14:textId="77777777" w:rsidR="00CF666C" w:rsidRPr="003015FD" w:rsidRDefault="00CF666C" w:rsidP="00CF666C">
            <w:pPr>
              <w:pStyle w:val="ListBullet"/>
            </w:pPr>
            <w:r w:rsidRPr="003015FD">
              <w:t>Port Phillip City Council used the Charter to develop an initiative to tackle rough sleeping in the city</w:t>
            </w:r>
            <w:r>
              <w:t>.</w:t>
            </w:r>
          </w:p>
          <w:p w14:paraId="79C17732" w14:textId="4CEC5862" w:rsidR="00CF666C" w:rsidRDefault="00CF666C" w:rsidP="002F3427">
            <w:pPr>
              <w:pStyle w:val="ListBullet"/>
            </w:pPr>
            <w:r>
              <w:t>T</w:t>
            </w:r>
            <w:r w:rsidRPr="003015FD">
              <w:t>he Department of Justice and Community Safety built Charter considerations into practices for community and custodial staff, with many procedures requiring Charter considerations to be documented as part of a decision</w:t>
            </w:r>
            <w:r>
              <w:t>.</w:t>
            </w:r>
          </w:p>
        </w:tc>
      </w:tr>
    </w:tbl>
    <w:p w14:paraId="5B043805" w14:textId="65EB7C9F"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17:</w:t>
      </w:r>
      <w:r w:rsidR="00975895" w:rsidRPr="0002642E">
        <w:rPr>
          <w:rStyle w:val="Characterbold"/>
        </w:rPr>
        <w:t xml:space="preserve"> </w:t>
      </w:r>
      <w:r w:rsidRPr="0002642E">
        <w:rPr>
          <w:rStyle w:val="Characterbold"/>
        </w:rPr>
        <w:t>Average</w:t>
      </w:r>
      <w:r w:rsidR="00975895" w:rsidRPr="0002642E">
        <w:rPr>
          <w:rStyle w:val="Characterbold"/>
        </w:rPr>
        <w:t xml:space="preserve"> </w:t>
      </w:r>
      <w:r w:rsidRPr="0002642E">
        <w:rPr>
          <w:rStyle w:val="Characterbold"/>
        </w:rPr>
        <w:t>extent</w:t>
      </w:r>
      <w:r w:rsidR="00975895" w:rsidRPr="0002642E">
        <w:rPr>
          <w:rStyle w:val="Characterbold"/>
        </w:rPr>
        <w:t xml:space="preserve"> </w:t>
      </w:r>
      <w:r w:rsidRPr="0002642E">
        <w:rPr>
          <w:rStyle w:val="Characterbold"/>
        </w:rPr>
        <w:t>to</w:t>
      </w:r>
      <w:r w:rsidR="00975895" w:rsidRPr="0002642E">
        <w:rPr>
          <w:rStyle w:val="Characterbold"/>
        </w:rPr>
        <w:t xml:space="preserve"> </w:t>
      </w:r>
      <w:r w:rsidRPr="0002642E">
        <w:rPr>
          <w:rStyle w:val="Characterbold"/>
        </w:rPr>
        <w:t>which</w:t>
      </w:r>
      <w:r w:rsidR="00975895" w:rsidRPr="0002642E">
        <w:rPr>
          <w:rStyle w:val="Characterbold"/>
        </w:rPr>
        <w:t xml:space="preserve"> </w:t>
      </w:r>
      <w:r w:rsidRPr="0002642E">
        <w:rPr>
          <w:rStyle w:val="Characterbold"/>
        </w:rPr>
        <w:t>human</w:t>
      </w:r>
      <w:r w:rsidR="00975895" w:rsidRPr="0002642E">
        <w:rPr>
          <w:rStyle w:val="Characterbold"/>
        </w:rPr>
        <w:t xml:space="preserve"> </w:t>
      </w:r>
      <w:r w:rsidRPr="0002642E">
        <w:rPr>
          <w:rStyle w:val="Characterbold"/>
        </w:rPr>
        <w:t>rights</w:t>
      </w:r>
      <w:r w:rsidR="00975895" w:rsidRPr="0002642E">
        <w:rPr>
          <w:rStyle w:val="Characterbold"/>
        </w:rPr>
        <w:t xml:space="preserve"> </w:t>
      </w:r>
      <w:r w:rsidRPr="0002642E">
        <w:rPr>
          <w:rStyle w:val="Characterbold"/>
        </w:rPr>
        <w:t>are</w:t>
      </w:r>
      <w:r w:rsidR="00975895" w:rsidRPr="0002642E">
        <w:rPr>
          <w:rStyle w:val="Characterbold"/>
        </w:rPr>
        <w:t xml:space="preserve"> </w:t>
      </w:r>
      <w:r w:rsidRPr="0002642E">
        <w:rPr>
          <w:rStyle w:val="Characterbold"/>
        </w:rPr>
        <w:t>embedded</w:t>
      </w:r>
      <w:r w:rsidR="00975895" w:rsidRPr="0002642E">
        <w:rPr>
          <w:rStyle w:val="Characterbold"/>
        </w:rPr>
        <w:t xml:space="preserve"> </w:t>
      </w:r>
      <w:r w:rsidRPr="0002642E">
        <w:rPr>
          <w:rStyle w:val="Characterbold"/>
        </w:rPr>
        <w:t>into</w:t>
      </w:r>
      <w:r w:rsidR="00975895" w:rsidRPr="0002642E">
        <w:rPr>
          <w:rStyle w:val="Characterbold"/>
        </w:rPr>
        <w:t xml:space="preserve"> </w:t>
      </w:r>
      <w:r w:rsidRPr="0002642E">
        <w:rPr>
          <w:rStyle w:val="Characterbold"/>
        </w:rPr>
        <w:t>processes</w:t>
      </w:r>
      <w:r w:rsidR="00975895" w:rsidRPr="0002642E">
        <w:rPr>
          <w:rStyle w:val="Characterbold"/>
        </w:rPr>
        <w:t xml:space="preserve"> </w:t>
      </w:r>
      <w:r w:rsidRPr="0002642E">
        <w:rPr>
          <w:rStyle w:val="Characterbold"/>
        </w:rPr>
        <w:t>and</w:t>
      </w:r>
      <w:r w:rsidR="00975895" w:rsidRPr="0002642E">
        <w:rPr>
          <w:rStyle w:val="Characterbold"/>
        </w:rPr>
        <w:t xml:space="preserve"> </w:t>
      </w:r>
      <w:r w:rsidRPr="0002642E">
        <w:rPr>
          <w:rStyle w:val="Characterbold"/>
        </w:rPr>
        <w:t>tools</w:t>
      </w:r>
    </w:p>
    <w:p w14:paraId="4BE5F95F" w14:textId="6AEEE7ED"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509C9E62" w14:textId="77777777" w:rsidR="008E0945" w:rsidRPr="003015FD" w:rsidRDefault="008E0945" w:rsidP="008E0945">
      <w:pPr>
        <w:pStyle w:val="MediumGrid21"/>
        <w:jc w:val="center"/>
        <w:rPr>
          <w:rFonts w:ascii="Arial" w:hAnsi="Arial" w:cs="Arial"/>
          <w:lang w:val="en-GB"/>
        </w:rPr>
      </w:pPr>
      <w:r w:rsidRPr="0002642E">
        <w:rPr>
          <w:rFonts w:ascii="Arial" w:hAnsi="Arial" w:cs="Arial"/>
          <w:noProof/>
          <w:lang w:val="en-GB" w:eastAsia="en-GB"/>
        </w:rPr>
        <w:drawing>
          <wp:inline distT="0" distB="0" distL="0" distR="0" wp14:anchorId="0AB65BEB" wp14:editId="10F0F6EE">
            <wp:extent cx="4596765" cy="184906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5">
                      <a:extLst>
                        <a:ext uri="{28A0092B-C50C-407E-A947-70E740481C1C}">
                          <a14:useLocalDpi xmlns:a14="http://schemas.microsoft.com/office/drawing/2010/main" val="0"/>
                        </a:ext>
                      </a:extLst>
                    </a:blip>
                    <a:srcRect t="11018" b="2577"/>
                    <a:stretch/>
                  </pic:blipFill>
                  <pic:spPr bwMode="auto">
                    <a:xfrm>
                      <a:off x="0" y="0"/>
                      <a:ext cx="4612969" cy="1855585"/>
                    </a:xfrm>
                    <a:prstGeom prst="rect">
                      <a:avLst/>
                    </a:prstGeom>
                    <a:noFill/>
                    <a:ln>
                      <a:noFill/>
                    </a:ln>
                    <a:extLst>
                      <a:ext uri="{53640926-AAD7-44D8-BBD7-CCE9431645EC}">
                        <a14:shadowObscured xmlns:a14="http://schemas.microsoft.com/office/drawing/2010/main"/>
                      </a:ext>
                    </a:extLst>
                  </pic:spPr>
                </pic:pic>
              </a:graphicData>
            </a:graphic>
          </wp:inline>
        </w:drawing>
      </w:r>
    </w:p>
    <w:p w14:paraId="2374EC85" w14:textId="2D2EC96D" w:rsidR="008E0945" w:rsidRPr="0002642E" w:rsidRDefault="008E0945" w:rsidP="0002642E">
      <w:pPr>
        <w:pStyle w:val="Caption"/>
        <w:rPr>
          <w:rStyle w:val="Characterbold"/>
        </w:rPr>
      </w:pPr>
      <w:bookmarkStart w:id="75" w:name="_Ref9508330"/>
      <w:r w:rsidRPr="0002642E">
        <w:rPr>
          <w:rStyle w:val="Characterbold"/>
        </w:rPr>
        <w:lastRenderedPageBreak/>
        <w:t>Figure</w:t>
      </w:r>
      <w:r w:rsidR="00975895" w:rsidRPr="0002642E">
        <w:rPr>
          <w:rStyle w:val="Characterbold"/>
        </w:rPr>
        <w:t xml:space="preserve"> </w:t>
      </w:r>
      <w:r w:rsidR="003B428A">
        <w:rPr>
          <w:rStyle w:val="HRVBold"/>
        </w:rPr>
        <w:t>18:</w:t>
      </w:r>
      <w:bookmarkEnd w:id="75"/>
      <w:r w:rsidR="00975895" w:rsidRPr="0002642E">
        <w:rPr>
          <w:rStyle w:val="Characterbold"/>
        </w:rPr>
        <w:t xml:space="preserve"> </w:t>
      </w:r>
      <w:r w:rsidRPr="0002642E">
        <w:rPr>
          <w:rStyle w:val="Characterbold"/>
        </w:rPr>
        <w:t>Extent</w:t>
      </w:r>
      <w:r w:rsidR="00975895" w:rsidRPr="0002642E">
        <w:rPr>
          <w:rStyle w:val="Characterbold"/>
        </w:rPr>
        <w:t xml:space="preserve"> </w:t>
      </w:r>
      <w:r w:rsidRPr="0002642E">
        <w:rPr>
          <w:rStyle w:val="Characterbold"/>
        </w:rPr>
        <w:t>human</w:t>
      </w:r>
      <w:r w:rsidR="00975895" w:rsidRPr="0002642E">
        <w:rPr>
          <w:rStyle w:val="Characterbold"/>
        </w:rPr>
        <w:t xml:space="preserve"> </w:t>
      </w:r>
      <w:r w:rsidRPr="0002642E">
        <w:rPr>
          <w:rStyle w:val="Characterbold"/>
        </w:rPr>
        <w:t>rights</w:t>
      </w:r>
      <w:r w:rsidR="00975895" w:rsidRPr="0002642E">
        <w:rPr>
          <w:rStyle w:val="Characterbold"/>
        </w:rPr>
        <w:t xml:space="preserve"> </w:t>
      </w:r>
      <w:r w:rsidRPr="0002642E">
        <w:rPr>
          <w:rStyle w:val="Characterbold"/>
        </w:rPr>
        <w:t>are</w:t>
      </w:r>
      <w:r w:rsidR="00975895" w:rsidRPr="0002642E">
        <w:rPr>
          <w:rStyle w:val="Characterbold"/>
        </w:rPr>
        <w:t xml:space="preserve"> </w:t>
      </w:r>
      <w:r w:rsidRPr="0002642E">
        <w:rPr>
          <w:rStyle w:val="Characterbold"/>
        </w:rPr>
        <w:t>embedded</w:t>
      </w:r>
      <w:r w:rsidR="00975895" w:rsidRPr="0002642E">
        <w:rPr>
          <w:rStyle w:val="Characterbold"/>
        </w:rPr>
        <w:t xml:space="preserve"> </w:t>
      </w:r>
      <w:r w:rsidRPr="0002642E">
        <w:rPr>
          <w:rStyle w:val="Characterbold"/>
        </w:rPr>
        <w:t>into</w:t>
      </w:r>
      <w:r w:rsidR="00975895" w:rsidRPr="0002642E">
        <w:rPr>
          <w:rStyle w:val="Characterbold"/>
        </w:rPr>
        <w:t xml:space="preserve"> </w:t>
      </w:r>
      <w:r w:rsidRPr="0002642E">
        <w:rPr>
          <w:rStyle w:val="Characterbold"/>
        </w:rPr>
        <w:t>processes</w:t>
      </w:r>
      <w:r w:rsidR="00975895" w:rsidRPr="0002642E">
        <w:rPr>
          <w:rStyle w:val="Characterbold"/>
        </w:rPr>
        <w:t xml:space="preserve"> </w:t>
      </w:r>
      <w:r w:rsidRPr="0002642E">
        <w:rPr>
          <w:rStyle w:val="Characterbold"/>
        </w:rPr>
        <w:t>and</w:t>
      </w:r>
      <w:r w:rsidR="00975895" w:rsidRPr="0002642E">
        <w:rPr>
          <w:rStyle w:val="Characterbold"/>
        </w:rPr>
        <w:t xml:space="preserve"> </w:t>
      </w:r>
      <w:r w:rsidRPr="0002642E">
        <w:rPr>
          <w:rStyle w:val="Characterbold"/>
        </w:rPr>
        <w:t>tools</w:t>
      </w:r>
    </w:p>
    <w:p w14:paraId="57A278C4" w14:textId="14A7DC96"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0EFFD7DD" w14:textId="77777777" w:rsidR="008E0945" w:rsidRPr="003015FD" w:rsidRDefault="008E0945" w:rsidP="008E0945">
      <w:pPr>
        <w:pStyle w:val="MediumGrid21"/>
        <w:ind w:left="-142"/>
        <w:rPr>
          <w:rFonts w:ascii="Arial" w:hAnsi="Arial" w:cs="Arial"/>
          <w:lang w:val="en-GB"/>
        </w:rPr>
      </w:pPr>
      <w:r w:rsidRPr="0002642E">
        <w:rPr>
          <w:rFonts w:ascii="Arial" w:hAnsi="Arial" w:cs="Arial"/>
          <w:noProof/>
          <w:lang w:val="en-GB" w:eastAsia="en-GB"/>
        </w:rPr>
        <w:drawing>
          <wp:inline distT="0" distB="0" distL="0" distR="0" wp14:anchorId="073DB08D" wp14:editId="4659EF66">
            <wp:extent cx="4962525" cy="564143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rotWithShape="1">
                    <a:blip r:embed="rId36">
                      <a:extLst>
                        <a:ext uri="{28A0092B-C50C-407E-A947-70E740481C1C}">
                          <a14:useLocalDpi xmlns:a14="http://schemas.microsoft.com/office/drawing/2010/main" val="0"/>
                        </a:ext>
                      </a:extLst>
                    </a:blip>
                    <a:srcRect t="2054"/>
                    <a:stretch/>
                  </pic:blipFill>
                  <pic:spPr bwMode="auto">
                    <a:xfrm>
                      <a:off x="0" y="0"/>
                      <a:ext cx="4973809" cy="5654266"/>
                    </a:xfrm>
                    <a:prstGeom prst="rect">
                      <a:avLst/>
                    </a:prstGeom>
                    <a:noFill/>
                    <a:ln>
                      <a:noFill/>
                    </a:ln>
                    <a:extLst>
                      <a:ext uri="{53640926-AAD7-44D8-BBD7-CCE9431645EC}">
                        <a14:shadowObscured xmlns:a14="http://schemas.microsoft.com/office/drawing/2010/main"/>
                      </a:ext>
                    </a:extLst>
                  </pic:spPr>
                </pic:pic>
              </a:graphicData>
            </a:graphic>
          </wp:inline>
        </w:drawing>
      </w:r>
    </w:p>
    <w:p w14:paraId="0808F8E7" w14:textId="23383254" w:rsidR="008E0945" w:rsidRPr="0002642E" w:rsidRDefault="008E0945" w:rsidP="0002642E">
      <w:r w:rsidRPr="003015FD">
        <w:t>Among</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that</w:t>
      </w:r>
      <w:r w:rsidR="00975895" w:rsidRPr="003015FD">
        <w:t xml:space="preserve"> </w:t>
      </w:r>
      <w:r w:rsidRPr="003015FD">
        <w:t>had</w:t>
      </w:r>
      <w:r w:rsidR="00975895" w:rsidRPr="003015FD">
        <w:t xml:space="preserve"> </w:t>
      </w:r>
      <w:r w:rsidRPr="003015FD">
        <w:t>a</w:t>
      </w:r>
      <w:r w:rsidR="00975895" w:rsidRPr="003015FD">
        <w:t xml:space="preserve"> </w:t>
      </w:r>
      <w:r w:rsidRPr="003015FD">
        <w:t>legal</w:t>
      </w:r>
      <w:r w:rsidR="00975895" w:rsidRPr="003015FD">
        <w:t xml:space="preserve"> </w:t>
      </w:r>
      <w:r w:rsidRPr="003015FD">
        <w:t>compliance</w:t>
      </w:r>
      <w:r w:rsidR="00975895" w:rsidRPr="003015FD">
        <w:t xml:space="preserve"> </w:t>
      </w:r>
      <w:r w:rsidRPr="003015FD">
        <w:t>framework,</w:t>
      </w:r>
      <w:r w:rsidR="00975895" w:rsidRPr="003015FD">
        <w:t xml:space="preserve"> </w:t>
      </w:r>
      <w:r w:rsidRPr="003015FD">
        <w:t>the</w:t>
      </w:r>
      <w:r w:rsidR="00975895" w:rsidRPr="003015FD">
        <w:t xml:space="preserve"> </w:t>
      </w:r>
      <w:r w:rsidRPr="003015FD">
        <w:t>majority</w:t>
      </w:r>
      <w:r w:rsidR="00975895" w:rsidRPr="003015FD">
        <w:t xml:space="preserve"> </w:t>
      </w:r>
      <w:r w:rsidRPr="003015FD">
        <w:t>(71</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included</w:t>
      </w:r>
      <w:r w:rsidR="00975895" w:rsidRPr="003015FD">
        <w:t xml:space="preserve"> </w:t>
      </w:r>
      <w:r w:rsidRPr="003015FD">
        <w:t>the</w:t>
      </w:r>
      <w:r w:rsidR="00975895" w:rsidRPr="003015FD">
        <w:t xml:space="preserve"> </w:t>
      </w:r>
      <w:r w:rsidRPr="003015FD">
        <w:t>Charter</w:t>
      </w:r>
      <w:r w:rsidR="00975895" w:rsidRPr="003015FD">
        <w:t xml:space="preserve"> </w:t>
      </w:r>
      <w:r w:rsidRPr="003015FD">
        <w:t>as</w:t>
      </w:r>
      <w:r w:rsidR="00975895" w:rsidRPr="003015FD">
        <w:t xml:space="preserve"> </w:t>
      </w:r>
      <w:r w:rsidRPr="003015FD">
        <w:t>a</w:t>
      </w:r>
      <w:r w:rsidR="00975895" w:rsidRPr="003015FD">
        <w:t xml:space="preserve"> </w:t>
      </w:r>
      <w:r w:rsidRPr="003015FD">
        <w:t>relevant</w:t>
      </w:r>
      <w:r w:rsidR="00975895" w:rsidRPr="003015FD">
        <w:t xml:space="preserve"> </w:t>
      </w:r>
      <w:r w:rsidRPr="003015FD">
        <w:t>law.</w:t>
      </w:r>
      <w:r w:rsidR="00975895" w:rsidRPr="003015FD">
        <w:t xml:space="preserve"> </w:t>
      </w:r>
      <w:r w:rsidRPr="003015FD">
        <w:t>All</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and</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and</w:t>
      </w:r>
      <w:r w:rsidR="00975895" w:rsidRPr="003015FD">
        <w:t xml:space="preserve"> </w:t>
      </w:r>
      <w:r w:rsidRPr="003015FD">
        <w:t>around</w:t>
      </w:r>
      <w:r w:rsidR="00975895" w:rsidRPr="003015FD">
        <w:t xml:space="preserve"> </w:t>
      </w:r>
      <w:r w:rsidRPr="003015FD">
        <w:t>half</w:t>
      </w:r>
      <w:r w:rsidR="00975895" w:rsidRPr="003015FD">
        <w:t xml:space="preserve"> </w:t>
      </w:r>
      <w:r w:rsidRPr="003015FD">
        <w:t>of</w:t>
      </w:r>
      <w:r w:rsidR="00975895" w:rsidRPr="003015FD">
        <w:t xml:space="preserve"> </w:t>
      </w:r>
      <w:r w:rsidRPr="003015FD">
        <w:t>local</w:t>
      </w:r>
      <w:r w:rsidR="00975895" w:rsidRPr="003015FD">
        <w:t xml:space="preserve"> </w:t>
      </w:r>
      <w:r w:rsidRPr="003015FD">
        <w:t>councils</w:t>
      </w:r>
      <w:r w:rsidR="00975895" w:rsidRPr="003015FD">
        <w:t xml:space="preserve"> </w:t>
      </w:r>
      <w:r w:rsidRPr="003015FD">
        <w:t>(56</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large</w:t>
      </w:r>
      <w:r w:rsidR="00975895" w:rsidRPr="003015FD">
        <w:t xml:space="preserve"> </w:t>
      </w:r>
      <w:r w:rsidRPr="003015FD">
        <w:t>agencies</w:t>
      </w:r>
      <w:r w:rsidR="00975895" w:rsidRPr="003015FD">
        <w:t xml:space="preserve"> </w:t>
      </w:r>
      <w:r w:rsidRPr="003015FD">
        <w:t>(50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included</w:t>
      </w:r>
      <w:r w:rsidR="00975895" w:rsidRPr="003015FD">
        <w:t xml:space="preserve"> </w:t>
      </w:r>
      <w:r w:rsidRPr="003015FD">
        <w:t>the</w:t>
      </w:r>
      <w:r w:rsidR="00975895" w:rsidRPr="003015FD">
        <w:t xml:space="preserve"> </w:t>
      </w:r>
      <w:r w:rsidRPr="003015FD">
        <w:t>Charter</w:t>
      </w:r>
      <w:r w:rsidR="003B428A">
        <w:t xml:space="preserve"> in their legal compliance framework</w:t>
      </w:r>
      <w:r w:rsidRPr="003015FD">
        <w:t>.</w:t>
      </w:r>
      <w:r w:rsidR="00975895" w:rsidRPr="003015FD">
        <w:t xml:space="preserve"> </w:t>
      </w:r>
    </w:p>
    <w:p w14:paraId="5B41718F" w14:textId="278F19F2"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19:</w:t>
      </w:r>
      <w:r w:rsidR="00975895" w:rsidRPr="0002642E">
        <w:rPr>
          <w:rStyle w:val="Characterbold"/>
        </w:rPr>
        <w:t xml:space="preserve"> </w:t>
      </w:r>
      <w:r w:rsidRPr="0002642E">
        <w:rPr>
          <w:rStyle w:val="Characterbold"/>
        </w:rPr>
        <w:t>Inclusion</w:t>
      </w:r>
      <w:r w:rsidR="00975895" w:rsidRPr="0002642E">
        <w:rPr>
          <w:rStyle w:val="Characterbold"/>
        </w:rPr>
        <w:t xml:space="preserve"> </w:t>
      </w:r>
      <w:r w:rsidRPr="0002642E">
        <w:rPr>
          <w:rStyle w:val="Characterbold"/>
        </w:rPr>
        <w:t>of</w:t>
      </w:r>
      <w:r w:rsidR="00975895" w:rsidRPr="0002642E">
        <w:rPr>
          <w:rStyle w:val="Characterbold"/>
        </w:rPr>
        <w:t xml:space="preserve"> </w:t>
      </w:r>
      <w:r w:rsidRPr="0002642E">
        <w:rPr>
          <w:rStyle w:val="Characterbold"/>
        </w:rPr>
        <w:t>the</w:t>
      </w:r>
      <w:r w:rsidR="00975895" w:rsidRPr="0002642E">
        <w:rPr>
          <w:rStyle w:val="Characterbold"/>
        </w:rPr>
        <w:t xml:space="preserve"> </w:t>
      </w:r>
      <w:r w:rsidRPr="0002642E">
        <w:rPr>
          <w:rStyle w:val="Characterbold"/>
        </w:rPr>
        <w:t>Charter</w:t>
      </w:r>
      <w:r w:rsidR="00975895" w:rsidRPr="0002642E">
        <w:rPr>
          <w:rStyle w:val="Characterbold"/>
        </w:rPr>
        <w:t xml:space="preserve"> </w:t>
      </w:r>
      <w:r w:rsidRPr="0002642E">
        <w:rPr>
          <w:rStyle w:val="Characterbold"/>
        </w:rPr>
        <w:t>in</w:t>
      </w:r>
      <w:r w:rsidR="00975895" w:rsidRPr="0002642E">
        <w:rPr>
          <w:rStyle w:val="Characterbold"/>
        </w:rPr>
        <w:t xml:space="preserve"> </w:t>
      </w:r>
      <w:r w:rsidRPr="0002642E">
        <w:rPr>
          <w:rStyle w:val="Characterbold"/>
        </w:rPr>
        <w:t>legal</w:t>
      </w:r>
      <w:r w:rsidR="00975895" w:rsidRPr="0002642E">
        <w:rPr>
          <w:rStyle w:val="Characterbold"/>
        </w:rPr>
        <w:t xml:space="preserve"> </w:t>
      </w:r>
      <w:r w:rsidRPr="0002642E">
        <w:rPr>
          <w:rStyle w:val="Characterbold"/>
        </w:rPr>
        <w:t>compliance</w:t>
      </w:r>
      <w:r w:rsidR="00975895" w:rsidRPr="0002642E">
        <w:rPr>
          <w:rStyle w:val="Characterbold"/>
        </w:rPr>
        <w:t xml:space="preserve"> </w:t>
      </w:r>
      <w:r w:rsidRPr="0002642E">
        <w:rPr>
          <w:rStyle w:val="Characterbold"/>
        </w:rPr>
        <w:t>framework</w:t>
      </w:r>
    </w:p>
    <w:p w14:paraId="78AE6B43" w14:textId="7C94041A" w:rsidR="008E0945" w:rsidRPr="003015FD" w:rsidRDefault="008E0945" w:rsidP="0002642E">
      <w:r w:rsidRPr="003015FD">
        <w:t>(Base:</w:t>
      </w:r>
      <w:r w:rsidR="00975895" w:rsidRPr="003015FD">
        <w:t xml:space="preserve"> </w:t>
      </w:r>
      <w:r w:rsidRPr="003015FD">
        <w:t>Respondents</w:t>
      </w:r>
      <w:r w:rsidR="00975895" w:rsidRPr="003015FD">
        <w:t xml:space="preserve"> </w:t>
      </w:r>
      <w:r w:rsidRPr="003015FD">
        <w:t>with</w:t>
      </w:r>
      <w:r w:rsidR="00975895" w:rsidRPr="003015FD">
        <w:t xml:space="preserve"> </w:t>
      </w:r>
      <w:r w:rsidRPr="003015FD">
        <w:t>a</w:t>
      </w:r>
      <w:r w:rsidR="00975895" w:rsidRPr="003015FD">
        <w:t xml:space="preserve"> </w:t>
      </w:r>
      <w:r w:rsidRPr="003015FD">
        <w:t>legal</w:t>
      </w:r>
      <w:r w:rsidR="00975895" w:rsidRPr="003015FD">
        <w:t xml:space="preserve"> </w:t>
      </w:r>
      <w:r w:rsidRPr="003015FD">
        <w:t>compliance</w:t>
      </w:r>
      <w:r w:rsidR="00975895" w:rsidRPr="003015FD">
        <w:t xml:space="preserve"> </w:t>
      </w:r>
      <w:r w:rsidRPr="003015FD">
        <w:t>framework)</w:t>
      </w:r>
    </w:p>
    <w:p w14:paraId="5655F442" w14:textId="77777777" w:rsidR="008E0945" w:rsidRPr="0002642E" w:rsidRDefault="008E0945" w:rsidP="0002642E">
      <w:pPr>
        <w:pStyle w:val="MediumGrid21"/>
        <w:jc w:val="center"/>
        <w:rPr>
          <w:rFonts w:ascii="Arial" w:hAnsi="Arial"/>
        </w:rPr>
      </w:pPr>
      <w:r w:rsidRPr="0002642E">
        <w:rPr>
          <w:rFonts w:ascii="Arial" w:hAnsi="Arial" w:cs="Arial"/>
          <w:noProof/>
          <w:lang w:val="en-GB" w:eastAsia="en-GB"/>
        </w:rPr>
        <w:lastRenderedPageBreak/>
        <w:drawing>
          <wp:inline distT="0" distB="0" distL="0" distR="0" wp14:anchorId="074E6CEF" wp14:editId="66B5C877">
            <wp:extent cx="4543425" cy="211818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54916" cy="2123541"/>
                    </a:xfrm>
                    <a:prstGeom prst="rect">
                      <a:avLst/>
                    </a:prstGeom>
                    <a:noFill/>
                    <a:ln>
                      <a:noFill/>
                    </a:ln>
                  </pic:spPr>
                </pic:pic>
              </a:graphicData>
            </a:graphic>
          </wp:inline>
        </w:drawing>
      </w:r>
    </w:p>
    <w:p w14:paraId="01242A11" w14:textId="37E3209F" w:rsidR="003E7497" w:rsidRDefault="008E0945" w:rsidP="0002642E">
      <w:r w:rsidRPr="003015FD">
        <w:t>Among</w:t>
      </w:r>
      <w:r w:rsidR="00975895" w:rsidRPr="003015FD">
        <w:t xml:space="preserve"> </w:t>
      </w:r>
      <w:r w:rsidRPr="003015FD">
        <w:t>those</w:t>
      </w:r>
      <w:r w:rsidR="00975895" w:rsidRPr="003015FD">
        <w:t xml:space="preserve"> </w:t>
      </w:r>
      <w:r w:rsidRPr="003015FD">
        <w:t>with</w:t>
      </w:r>
      <w:r w:rsidR="00975895" w:rsidRPr="003015FD">
        <w:t xml:space="preserve"> </w:t>
      </w:r>
      <w:r w:rsidRPr="003015FD">
        <w:t>a</w:t>
      </w:r>
      <w:r w:rsidR="00975895" w:rsidRPr="003015FD">
        <w:t xml:space="preserve"> </w:t>
      </w:r>
      <w:r w:rsidRPr="003015FD">
        <w:t>risk</w:t>
      </w:r>
      <w:r w:rsidR="00975895" w:rsidRPr="003015FD">
        <w:t xml:space="preserve"> </w:t>
      </w:r>
      <w:r w:rsidRPr="003015FD">
        <w:t>management</w:t>
      </w:r>
      <w:r w:rsidR="00975895" w:rsidRPr="003015FD">
        <w:t xml:space="preserve"> </w:t>
      </w:r>
      <w:r w:rsidRPr="003015FD">
        <w:t>register,</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recorded</w:t>
      </w:r>
      <w:r w:rsidR="00975895" w:rsidRPr="003015FD">
        <w:t xml:space="preserve"> </w:t>
      </w:r>
      <w:r w:rsidRPr="003015FD">
        <w:t>the</w:t>
      </w:r>
      <w:r w:rsidR="00975895" w:rsidRPr="003015FD">
        <w:t xml:space="preserve"> </w:t>
      </w:r>
      <w:r w:rsidRPr="003015FD">
        <w:t>highest</w:t>
      </w:r>
      <w:r w:rsidR="00975895" w:rsidRPr="003015FD">
        <w:t xml:space="preserve"> </w:t>
      </w:r>
      <w:r w:rsidRPr="003015FD">
        <w:t>number</w:t>
      </w:r>
      <w:r w:rsidR="00975895" w:rsidRPr="003015FD">
        <w:t xml:space="preserve"> </w:t>
      </w:r>
      <w:r w:rsidRPr="003015FD">
        <w:t>of</w:t>
      </w:r>
      <w:r w:rsidR="00975895" w:rsidRPr="003015FD">
        <w:t xml:space="preserve"> </w:t>
      </w:r>
      <w:r w:rsidRPr="003015FD">
        <w:t>risks</w:t>
      </w:r>
      <w:r w:rsidR="00975895" w:rsidRPr="003015FD">
        <w:t xml:space="preserve"> </w:t>
      </w:r>
      <w:r w:rsidRPr="003015FD">
        <w:t>on</w:t>
      </w:r>
      <w:r w:rsidR="00975895" w:rsidRPr="003015FD">
        <w:t xml:space="preserve"> </w:t>
      </w:r>
      <w:r w:rsidRPr="003015FD">
        <w:t>average</w:t>
      </w:r>
      <w:r w:rsidR="00975895" w:rsidRPr="003015FD">
        <w:t xml:space="preserve"> </w:t>
      </w:r>
      <w:r w:rsidRPr="003015FD">
        <w:t>compared</w:t>
      </w:r>
      <w:r w:rsidR="00975895" w:rsidRPr="003015FD">
        <w:t xml:space="preserve"> </w:t>
      </w:r>
      <w:r w:rsidRPr="003015FD">
        <w:t>to</w:t>
      </w:r>
      <w:r w:rsidR="00975895" w:rsidRPr="003015FD">
        <w:t xml:space="preserve"> </w:t>
      </w:r>
      <w:r w:rsidRPr="003015FD">
        <w:t>other</w:t>
      </w:r>
      <w:r w:rsidR="00975895" w:rsidRPr="003015FD">
        <w:t xml:space="preserve"> </w:t>
      </w:r>
      <w:r w:rsidRPr="003015FD">
        <w:t>organisation</w:t>
      </w:r>
      <w:r w:rsidR="00975895" w:rsidRPr="003015FD">
        <w:t xml:space="preserve"> </w:t>
      </w:r>
      <w:r w:rsidRPr="003015FD">
        <w:t>types.</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will</w:t>
      </w:r>
      <w:r w:rsidR="00975895" w:rsidRPr="003015FD">
        <w:t xml:space="preserve"> </w:t>
      </w:r>
      <w:r w:rsidRPr="003015FD">
        <w:t>track</w:t>
      </w:r>
      <w:r w:rsidR="00975895" w:rsidRPr="003015FD">
        <w:t xml:space="preserve"> </w:t>
      </w:r>
      <w:r w:rsidRPr="003015FD">
        <w:t>these</w:t>
      </w:r>
      <w:r w:rsidR="00975895" w:rsidRPr="003015FD">
        <w:t xml:space="preserve"> </w:t>
      </w:r>
      <w:r w:rsidRPr="003015FD">
        <w:t>results</w:t>
      </w:r>
      <w:r w:rsidR="00975895" w:rsidRPr="003015FD">
        <w:t xml:space="preserve"> </w:t>
      </w:r>
      <w:r w:rsidRPr="003015FD">
        <w:t>over</w:t>
      </w:r>
      <w:r w:rsidR="00975895" w:rsidRPr="003015FD">
        <w:t xml:space="preserve"> </w:t>
      </w:r>
      <w:r w:rsidRPr="003015FD">
        <w:t>time</w:t>
      </w:r>
      <w:r w:rsidR="00975895" w:rsidRPr="003015FD">
        <w:t xml:space="preserve"> </w:t>
      </w:r>
      <w:r w:rsidRPr="003015FD">
        <w:t>to</w:t>
      </w:r>
      <w:r w:rsidR="00975895" w:rsidRPr="003015FD">
        <w:t xml:space="preserve"> </w:t>
      </w:r>
      <w:r w:rsidRPr="003015FD">
        <w:t>identify</w:t>
      </w:r>
      <w:r w:rsidR="00975895" w:rsidRPr="003015FD">
        <w:t xml:space="preserve"> </w:t>
      </w:r>
      <w:r w:rsidRPr="003015FD">
        <w:t>trends</w:t>
      </w:r>
      <w:r w:rsidR="00975895" w:rsidRPr="003015FD">
        <w:t xml:space="preserve"> </w:t>
      </w:r>
      <w:r w:rsidRPr="003015FD">
        <w:t>or</w:t>
      </w:r>
      <w:r w:rsidR="00975895" w:rsidRPr="003015FD">
        <w:t xml:space="preserve"> </w:t>
      </w:r>
      <w:r w:rsidRPr="003015FD">
        <w:t>themes.</w:t>
      </w:r>
      <w:r w:rsidR="00975895" w:rsidRPr="003015FD">
        <w:t xml:space="preserve"> </w:t>
      </w:r>
    </w:p>
    <w:p w14:paraId="5E79531F" w14:textId="0EF53667" w:rsidR="008E0945" w:rsidRPr="0002642E" w:rsidRDefault="008E0945" w:rsidP="0002642E">
      <w:pPr>
        <w:pStyle w:val="Heading4"/>
      </w:pPr>
      <w:r w:rsidRPr="0002642E">
        <w:t>B.</w:t>
      </w:r>
      <w:r w:rsidR="00975895" w:rsidRPr="0002642E">
        <w:t xml:space="preserve"> </w:t>
      </w:r>
      <w:r w:rsidRPr="0002642E">
        <w:t>Investigations,</w:t>
      </w:r>
      <w:r w:rsidR="00975895" w:rsidRPr="0002642E">
        <w:t xml:space="preserve"> </w:t>
      </w:r>
      <w:r w:rsidRPr="0002642E">
        <w:t>inquiries</w:t>
      </w:r>
      <w:r w:rsidR="00975895" w:rsidRPr="0002642E">
        <w:t xml:space="preserve"> </w:t>
      </w:r>
      <w:r w:rsidRPr="0002642E">
        <w:t>and</w:t>
      </w:r>
      <w:r w:rsidR="00975895" w:rsidRPr="0002642E">
        <w:t xml:space="preserve"> </w:t>
      </w:r>
      <w:r w:rsidRPr="0002642E">
        <w:t>audits</w:t>
      </w:r>
    </w:p>
    <w:p w14:paraId="6F76A3C7" w14:textId="669C49E1" w:rsidR="008E0945" w:rsidRPr="003015FD" w:rsidRDefault="008E0945" w:rsidP="0002642E">
      <w:r w:rsidRPr="003015FD">
        <w:t>Government</w:t>
      </w:r>
      <w:r w:rsidR="00975895" w:rsidRPr="003015FD">
        <w:t xml:space="preserve"> </w:t>
      </w:r>
      <w:r w:rsidRPr="003015FD">
        <w:t>departments</w:t>
      </w:r>
      <w:r w:rsidR="00975895" w:rsidRPr="003015FD">
        <w:t xml:space="preserve"> </w:t>
      </w:r>
      <w:r w:rsidRPr="003015FD">
        <w:t>reported</w:t>
      </w:r>
      <w:r w:rsidR="00975895" w:rsidRPr="003015FD">
        <w:t xml:space="preserve"> </w:t>
      </w:r>
      <w:r w:rsidRPr="003015FD">
        <w:t>the</w:t>
      </w:r>
      <w:r w:rsidR="00975895" w:rsidRPr="003015FD">
        <w:t xml:space="preserve"> </w:t>
      </w:r>
      <w:r w:rsidRPr="003015FD">
        <w:t>highest</w:t>
      </w:r>
      <w:r w:rsidR="00975895" w:rsidRPr="003015FD">
        <w:t xml:space="preserve"> </w:t>
      </w:r>
      <w:r w:rsidRPr="003015FD">
        <w:t>average</w:t>
      </w:r>
      <w:r w:rsidR="00975895" w:rsidRPr="003015FD">
        <w:t xml:space="preserve"> </w:t>
      </w:r>
      <w:r w:rsidRPr="003015FD">
        <w:t>number</w:t>
      </w:r>
      <w:r w:rsidR="00975895" w:rsidRPr="003015FD">
        <w:t xml:space="preserve"> </w:t>
      </w:r>
      <w:r w:rsidRPr="003015FD">
        <w:t>of</w:t>
      </w:r>
      <w:r w:rsidR="00975895" w:rsidRPr="003015FD">
        <w:t xml:space="preserve"> </w:t>
      </w:r>
      <w:r w:rsidRPr="003015FD">
        <w:t>investigations,</w:t>
      </w:r>
      <w:r w:rsidR="00975895" w:rsidRPr="003015FD">
        <w:t xml:space="preserve"> </w:t>
      </w:r>
      <w:r w:rsidRPr="003015FD">
        <w:t>inquiries</w:t>
      </w:r>
      <w:r w:rsidR="00975895" w:rsidRPr="003015FD">
        <w:t xml:space="preserve"> </w:t>
      </w:r>
      <w:r w:rsidRPr="003015FD">
        <w:t>or</w:t>
      </w:r>
      <w:r w:rsidR="00975895" w:rsidRPr="003015FD">
        <w:t xml:space="preserve"> </w:t>
      </w:r>
      <w:r w:rsidRPr="003015FD">
        <w:t>audits</w:t>
      </w:r>
      <w:r w:rsidR="00975895" w:rsidRPr="003015FD">
        <w:t xml:space="preserve"> </w:t>
      </w:r>
      <w:r w:rsidRPr="003015FD">
        <w:t>related</w:t>
      </w:r>
      <w:r w:rsidR="00975895" w:rsidRPr="003015FD">
        <w:t xml:space="preserve"> </w:t>
      </w:r>
      <w:r w:rsidRPr="003015FD">
        <w:t>to</w:t>
      </w:r>
      <w:r w:rsidR="00975895" w:rsidRPr="003015FD">
        <w:t xml:space="preserve"> </w:t>
      </w:r>
      <w:r w:rsidRPr="003015FD">
        <w:t>human</w:t>
      </w:r>
      <w:r w:rsidR="00975895" w:rsidRPr="003015FD">
        <w:t xml:space="preserve"> </w:t>
      </w:r>
      <w:r w:rsidRPr="003015FD">
        <w:t>rights</w:t>
      </w:r>
      <w:r w:rsidR="00975895" w:rsidRPr="003015FD">
        <w:t xml:space="preserve"> </w:t>
      </w:r>
      <w:r w:rsidRPr="003015FD">
        <w:t>undertaken</w:t>
      </w:r>
      <w:r w:rsidR="00975895" w:rsidRPr="003015FD">
        <w:t xml:space="preserve"> </w:t>
      </w:r>
      <w:r w:rsidRPr="003015FD">
        <w:t>by</w:t>
      </w:r>
      <w:r w:rsidR="00975895" w:rsidRPr="003015FD">
        <w:t xml:space="preserve"> </w:t>
      </w:r>
      <w:r w:rsidRPr="003015FD">
        <w:t>external</w:t>
      </w:r>
      <w:r w:rsidR="00975895" w:rsidRPr="003015FD">
        <w:t xml:space="preserve"> </w:t>
      </w:r>
      <w:r w:rsidRPr="003015FD">
        <w:t>independent</w:t>
      </w:r>
      <w:r w:rsidR="00975895" w:rsidRPr="003015FD">
        <w:t xml:space="preserve"> </w:t>
      </w:r>
      <w:r w:rsidRPr="003015FD">
        <w:t>bodies</w:t>
      </w:r>
      <w:r w:rsidR="00975895" w:rsidRPr="003015FD">
        <w:t xml:space="preserve"> </w:t>
      </w:r>
      <w:r w:rsidRPr="003015FD">
        <w:t>into</w:t>
      </w:r>
      <w:r w:rsidR="00975895" w:rsidRPr="003015FD">
        <w:t xml:space="preserve"> </w:t>
      </w:r>
      <w:r w:rsidRPr="003015FD">
        <w:t>their</w:t>
      </w:r>
      <w:r w:rsidR="00975895" w:rsidRPr="003015FD">
        <w:t xml:space="preserve"> </w:t>
      </w:r>
      <w:r w:rsidRPr="003015FD">
        <w:t>organisation</w:t>
      </w:r>
      <w:r w:rsidR="00975895" w:rsidRPr="003015FD">
        <w:t xml:space="preserve"> </w:t>
      </w:r>
      <w:r w:rsidRPr="003015FD">
        <w:t>in</w:t>
      </w:r>
      <w:r w:rsidR="00975895" w:rsidRPr="003015FD">
        <w:t xml:space="preserve"> </w:t>
      </w:r>
      <w:r w:rsidRPr="003015FD">
        <w:t>2018</w:t>
      </w:r>
      <w:r w:rsidR="009A5C92" w:rsidRPr="003015FD">
        <w:t>,</w:t>
      </w:r>
      <w:r w:rsidR="00975895" w:rsidRPr="003015FD">
        <w:t xml:space="preserve"> </w:t>
      </w:r>
      <w:r w:rsidR="009A5C92" w:rsidRPr="003015FD">
        <w:t>compared</w:t>
      </w:r>
      <w:r w:rsidR="00975895" w:rsidRPr="003015FD">
        <w:t xml:space="preserve"> </w:t>
      </w:r>
      <w:r w:rsidR="009A5C92" w:rsidRPr="003015FD">
        <w:t>to</w:t>
      </w:r>
      <w:r w:rsidR="00975895" w:rsidRPr="003015FD">
        <w:t xml:space="preserve"> </w:t>
      </w:r>
      <w:r w:rsidR="009A5C92" w:rsidRPr="003015FD">
        <w:t>agencies</w:t>
      </w:r>
      <w:r w:rsidR="00975895" w:rsidRPr="003015FD">
        <w:t xml:space="preserve"> </w:t>
      </w:r>
      <w:r w:rsidR="009A5C92" w:rsidRPr="003015FD">
        <w:t>and</w:t>
      </w:r>
      <w:r w:rsidR="00975895" w:rsidRPr="003015FD">
        <w:t xml:space="preserve"> </w:t>
      </w:r>
      <w:r w:rsidR="009A5C92" w:rsidRPr="003015FD">
        <w:t>local</w:t>
      </w:r>
      <w:r w:rsidR="00975895" w:rsidRPr="003015FD">
        <w:t xml:space="preserve"> </w:t>
      </w:r>
      <w:r w:rsidR="009A5C92" w:rsidRPr="003015FD">
        <w:t>councils</w:t>
      </w:r>
      <w:r w:rsidRPr="003015FD">
        <w:t>.</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will</w:t>
      </w:r>
      <w:r w:rsidR="00975895" w:rsidRPr="003015FD">
        <w:t xml:space="preserve"> </w:t>
      </w:r>
      <w:r w:rsidRPr="003015FD">
        <w:t>track</w:t>
      </w:r>
      <w:r w:rsidR="00975895" w:rsidRPr="003015FD">
        <w:t xml:space="preserve"> </w:t>
      </w:r>
      <w:r w:rsidRPr="003015FD">
        <w:t>these</w:t>
      </w:r>
      <w:r w:rsidR="00975895" w:rsidRPr="003015FD">
        <w:t xml:space="preserve"> </w:t>
      </w:r>
      <w:r w:rsidRPr="003015FD">
        <w:t>results</w:t>
      </w:r>
      <w:r w:rsidR="00975895" w:rsidRPr="003015FD">
        <w:t xml:space="preserve"> </w:t>
      </w:r>
      <w:r w:rsidRPr="003015FD">
        <w:t>over</w:t>
      </w:r>
      <w:r w:rsidR="00975895" w:rsidRPr="003015FD">
        <w:t xml:space="preserve"> </w:t>
      </w:r>
      <w:r w:rsidRPr="003015FD">
        <w:t>time</w:t>
      </w:r>
      <w:r w:rsidR="00975895" w:rsidRPr="003015FD">
        <w:t xml:space="preserve"> </w:t>
      </w:r>
      <w:r w:rsidRPr="003015FD">
        <w:t>to</w:t>
      </w:r>
      <w:r w:rsidR="00975895" w:rsidRPr="003015FD">
        <w:t xml:space="preserve"> </w:t>
      </w:r>
      <w:r w:rsidRPr="003015FD">
        <w:t>identify</w:t>
      </w:r>
      <w:r w:rsidR="00975895" w:rsidRPr="003015FD">
        <w:t xml:space="preserve"> </w:t>
      </w:r>
      <w:r w:rsidRPr="003015FD">
        <w:t>trends</w:t>
      </w:r>
      <w:r w:rsidR="00975895" w:rsidRPr="003015FD">
        <w:t xml:space="preserve"> </w:t>
      </w:r>
      <w:r w:rsidRPr="003015FD">
        <w:t>or</w:t>
      </w:r>
      <w:r w:rsidR="00975895" w:rsidRPr="003015FD">
        <w:t xml:space="preserve"> </w:t>
      </w:r>
      <w:r w:rsidRPr="003015FD">
        <w:t>themes.</w:t>
      </w:r>
    </w:p>
    <w:p w14:paraId="3575E921" w14:textId="26857AF0" w:rsidR="008E0945" w:rsidRPr="0002642E" w:rsidRDefault="008E0945" w:rsidP="0002642E">
      <w:pPr>
        <w:pStyle w:val="Heading4"/>
      </w:pPr>
      <w:r w:rsidRPr="0002642E">
        <w:t>C.</w:t>
      </w:r>
      <w:r w:rsidR="00975895" w:rsidRPr="0002642E">
        <w:t xml:space="preserve"> </w:t>
      </w:r>
      <w:r w:rsidRPr="0002642E">
        <w:t>Complaints</w:t>
      </w:r>
    </w:p>
    <w:p w14:paraId="077D56C2" w14:textId="2A42BB86" w:rsidR="008E0945" w:rsidRPr="003015FD" w:rsidRDefault="008E0945" w:rsidP="0002642E">
      <w:pPr>
        <w:rPr>
          <w:rFonts w:cs="Arial"/>
        </w:rPr>
      </w:pPr>
      <w:r w:rsidRPr="003015FD">
        <w:t>Most</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(88</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had</w:t>
      </w:r>
      <w:r w:rsidR="00975895" w:rsidRPr="003015FD">
        <w:t xml:space="preserve"> </w:t>
      </w:r>
      <w:r w:rsidRPr="003015FD">
        <w:t>a</w:t>
      </w:r>
      <w:r w:rsidR="00975895" w:rsidRPr="003015FD">
        <w:t xml:space="preserve"> </w:t>
      </w:r>
      <w:r w:rsidRPr="003015FD">
        <w:t>complaints</w:t>
      </w:r>
      <w:r w:rsidR="00975895" w:rsidRPr="003015FD">
        <w:t xml:space="preserve"> </w:t>
      </w:r>
      <w:r w:rsidRPr="003015FD">
        <w:t>policy,</w:t>
      </w:r>
      <w:r w:rsidR="00975895" w:rsidRPr="003015FD">
        <w:t xml:space="preserve"> </w:t>
      </w:r>
      <w:r w:rsidRPr="003015FD">
        <w:t>including</w:t>
      </w:r>
      <w:r w:rsidR="00975895" w:rsidRPr="003015FD">
        <w:t xml:space="preserve"> </w:t>
      </w:r>
      <w:r w:rsidRPr="003015FD">
        <w:t>76</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00CA27D5">
        <w:t>that</w:t>
      </w:r>
      <w:r w:rsidR="00CA27D5" w:rsidRPr="003015FD">
        <w:t xml:space="preserve"> </w:t>
      </w:r>
      <w:r w:rsidRPr="003015FD">
        <w:t>made</w:t>
      </w:r>
      <w:r w:rsidR="00975895" w:rsidRPr="003015FD">
        <w:t xml:space="preserve"> </w:t>
      </w:r>
      <w:r w:rsidRPr="003015FD">
        <w:t>their</w:t>
      </w:r>
      <w:r w:rsidR="00975895" w:rsidRPr="003015FD">
        <w:t xml:space="preserve"> </w:t>
      </w:r>
      <w:r w:rsidRPr="003015FD">
        <w:t>complaints</w:t>
      </w:r>
      <w:r w:rsidR="00975895" w:rsidRPr="003015FD">
        <w:t xml:space="preserve"> </w:t>
      </w:r>
      <w:r w:rsidRPr="003015FD">
        <w:t>policy</w:t>
      </w:r>
      <w:r w:rsidR="00975895" w:rsidRPr="003015FD">
        <w:t xml:space="preserve"> </w:t>
      </w:r>
      <w:r w:rsidRPr="003015FD">
        <w:t>publicly</w:t>
      </w:r>
      <w:r w:rsidR="00975895" w:rsidRPr="003015FD">
        <w:t xml:space="preserve"> </w:t>
      </w:r>
      <w:r w:rsidRPr="003015FD">
        <w:t>available.</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were</w:t>
      </w:r>
      <w:r w:rsidR="00975895" w:rsidRPr="003015FD">
        <w:t xml:space="preserve"> </w:t>
      </w:r>
      <w:r w:rsidRPr="003015FD">
        <w:t>least</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a</w:t>
      </w:r>
      <w:r w:rsidR="00975895" w:rsidRPr="003015FD">
        <w:t xml:space="preserve"> </w:t>
      </w:r>
      <w:r w:rsidRPr="003015FD">
        <w:t>complaints</w:t>
      </w:r>
      <w:r w:rsidR="00975895" w:rsidRPr="003015FD">
        <w:t xml:space="preserve"> </w:t>
      </w:r>
      <w:r w:rsidRPr="003015FD">
        <w:t>policy</w:t>
      </w:r>
      <w:r w:rsidR="00975895" w:rsidRPr="003015FD">
        <w:t xml:space="preserve"> </w:t>
      </w:r>
      <w:r w:rsidRPr="003015FD">
        <w:t>(60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p>
    <w:p w14:paraId="6E75F3B1" w14:textId="581EC9DE"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20:</w:t>
      </w:r>
      <w:r w:rsidR="00975895" w:rsidRPr="0002642E">
        <w:rPr>
          <w:rStyle w:val="Characterbold"/>
        </w:rPr>
        <w:t xml:space="preserve"> </w:t>
      </w:r>
      <w:r w:rsidRPr="0002642E">
        <w:rPr>
          <w:rStyle w:val="Characterbold"/>
        </w:rPr>
        <w:t>Organisational</w:t>
      </w:r>
      <w:r w:rsidR="00975895" w:rsidRPr="0002642E">
        <w:rPr>
          <w:rStyle w:val="Characterbold"/>
        </w:rPr>
        <w:t xml:space="preserve"> </w:t>
      </w:r>
      <w:r w:rsidRPr="0002642E">
        <w:rPr>
          <w:rStyle w:val="Characterbold"/>
        </w:rPr>
        <w:t>complaints</w:t>
      </w:r>
      <w:r w:rsidR="00975895" w:rsidRPr="0002642E">
        <w:rPr>
          <w:rStyle w:val="Characterbold"/>
        </w:rPr>
        <w:t xml:space="preserve"> </w:t>
      </w:r>
      <w:r w:rsidRPr="0002642E">
        <w:rPr>
          <w:rStyle w:val="Characterbold"/>
        </w:rPr>
        <w:t>policy</w:t>
      </w:r>
    </w:p>
    <w:p w14:paraId="3E12B560" w14:textId="30183086"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6EC50940" w14:textId="77777777" w:rsidR="008E0945" w:rsidRPr="003015FD" w:rsidRDefault="008E0945" w:rsidP="008E0945">
      <w:pPr>
        <w:pStyle w:val="MediumGrid21"/>
        <w:rPr>
          <w:rFonts w:ascii="Arial" w:hAnsi="Arial" w:cs="Arial"/>
          <w:lang w:val="en-GB"/>
        </w:rPr>
      </w:pPr>
      <w:r w:rsidRPr="0002642E">
        <w:rPr>
          <w:rFonts w:ascii="Arial" w:hAnsi="Arial" w:cs="Arial"/>
          <w:noProof/>
          <w:lang w:val="en-GB" w:eastAsia="en-GB"/>
        </w:rPr>
        <w:drawing>
          <wp:inline distT="0" distB="0" distL="0" distR="0" wp14:anchorId="66D86D8C" wp14:editId="17EF786A">
            <wp:extent cx="4364542" cy="19869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65565" cy="1987381"/>
                    </a:xfrm>
                    <a:prstGeom prst="rect">
                      <a:avLst/>
                    </a:prstGeom>
                    <a:noFill/>
                    <a:ln>
                      <a:noFill/>
                    </a:ln>
                  </pic:spPr>
                </pic:pic>
              </a:graphicData>
            </a:graphic>
          </wp:inline>
        </w:drawing>
      </w:r>
    </w:p>
    <w:p w14:paraId="1800D33D" w14:textId="0848AAB3" w:rsidR="008E0945" w:rsidRPr="003015FD" w:rsidRDefault="008E0945" w:rsidP="0002642E">
      <w:r w:rsidRPr="003015FD">
        <w:t>Among</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that</w:t>
      </w:r>
      <w:r w:rsidR="00975895" w:rsidRPr="003015FD">
        <w:t xml:space="preserve"> </w:t>
      </w:r>
      <w:r w:rsidRPr="003015FD">
        <w:t>had</w:t>
      </w:r>
      <w:r w:rsidR="00975895" w:rsidRPr="003015FD">
        <w:t xml:space="preserve"> </w:t>
      </w:r>
      <w:r w:rsidRPr="003015FD">
        <w:t>a</w:t>
      </w:r>
      <w:r w:rsidR="00975895" w:rsidRPr="003015FD">
        <w:t xml:space="preserve"> </w:t>
      </w:r>
      <w:r w:rsidRPr="003015FD">
        <w:t>complaints</w:t>
      </w:r>
      <w:r w:rsidR="00975895" w:rsidRPr="003015FD">
        <w:t xml:space="preserve"> </w:t>
      </w:r>
      <w:r w:rsidRPr="003015FD">
        <w:t>policy,</w:t>
      </w:r>
      <w:r w:rsidR="00975895" w:rsidRPr="003015FD">
        <w:t xml:space="preserve"> </w:t>
      </w:r>
      <w:r w:rsidRPr="003015FD">
        <w:t>around</w:t>
      </w:r>
      <w:r w:rsidR="00975895" w:rsidRPr="003015FD">
        <w:t xml:space="preserve"> </w:t>
      </w:r>
      <w:r w:rsidRPr="003015FD">
        <w:t>59</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indicated</w:t>
      </w:r>
      <w:r w:rsidR="00975895" w:rsidRPr="003015FD">
        <w:t xml:space="preserve"> </w:t>
      </w:r>
      <w:r w:rsidRPr="003015FD">
        <w:t>their</w:t>
      </w:r>
      <w:r w:rsidR="00975895" w:rsidRPr="003015FD">
        <w:t xml:space="preserve"> </w:t>
      </w:r>
      <w:r w:rsidRPr="003015FD">
        <w:t>complaints</w:t>
      </w:r>
      <w:r w:rsidR="00975895" w:rsidRPr="003015FD">
        <w:t xml:space="preserve"> </w:t>
      </w:r>
      <w:r w:rsidRPr="003015FD">
        <w:t>policy</w:t>
      </w:r>
      <w:r w:rsidR="00975895" w:rsidRPr="003015FD">
        <w:t xml:space="preserve"> </w:t>
      </w:r>
      <w:r w:rsidRPr="003015FD">
        <w:t>prompts</w:t>
      </w:r>
      <w:r w:rsidR="00975895" w:rsidRPr="003015FD">
        <w:t xml:space="preserve"> </w:t>
      </w:r>
      <w:r w:rsidRPr="003015FD">
        <w:t>staff</w:t>
      </w:r>
      <w:r w:rsidR="00975895" w:rsidRPr="003015FD">
        <w:t xml:space="preserve"> </w:t>
      </w:r>
      <w:r w:rsidRPr="003015FD">
        <w:t>to</w:t>
      </w:r>
      <w:r w:rsidR="00975895" w:rsidRPr="003015FD">
        <w:t xml:space="preserve"> </w:t>
      </w:r>
      <w:r w:rsidRPr="003015FD">
        <w:t>consider</w:t>
      </w:r>
      <w:r w:rsidR="00975895" w:rsidRPr="003015FD">
        <w:t xml:space="preserve"> </w:t>
      </w:r>
      <w:r w:rsidRPr="003015FD">
        <w:t>whether</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of</w:t>
      </w:r>
      <w:r w:rsidR="00975895" w:rsidRPr="003015FD">
        <w:t xml:space="preserve"> </w:t>
      </w:r>
      <w:r w:rsidRPr="003015FD">
        <w:t>the</w:t>
      </w:r>
      <w:r w:rsidR="00975895" w:rsidRPr="003015FD">
        <w:t xml:space="preserve"> </w:t>
      </w:r>
      <w:r w:rsidRPr="003015FD">
        <w:t>complainant</w:t>
      </w:r>
      <w:r w:rsidR="00975895" w:rsidRPr="003015FD">
        <w:t xml:space="preserve"> </w:t>
      </w:r>
      <w:r w:rsidRPr="003015FD">
        <w:t>have</w:t>
      </w:r>
      <w:r w:rsidR="00975895" w:rsidRPr="003015FD">
        <w:t xml:space="preserve"> </w:t>
      </w:r>
      <w:r w:rsidRPr="003015FD">
        <w:t>been</w:t>
      </w:r>
      <w:r w:rsidR="00975895" w:rsidRPr="003015FD">
        <w:t xml:space="preserve"> </w:t>
      </w:r>
      <w:r w:rsidRPr="003015FD">
        <w:t>engaged.</w:t>
      </w:r>
      <w:r w:rsidR="00975895" w:rsidRPr="003015FD">
        <w:t xml:space="preserve"> </w:t>
      </w:r>
      <w:r w:rsidRPr="003015FD">
        <w:t>Local</w:t>
      </w:r>
      <w:r w:rsidR="00975895" w:rsidRPr="003015FD">
        <w:t xml:space="preserve"> </w:t>
      </w:r>
      <w:r w:rsidRPr="003015FD">
        <w:t>councils</w:t>
      </w:r>
      <w:r w:rsidR="00975895" w:rsidRPr="003015FD">
        <w:t xml:space="preserve"> </w:t>
      </w:r>
      <w:r w:rsidRPr="003015FD">
        <w:t>were</w:t>
      </w:r>
      <w:r w:rsidR="00975895" w:rsidRPr="003015FD">
        <w:t xml:space="preserve"> </w:t>
      </w:r>
      <w:r w:rsidRPr="003015FD">
        <w:t>most</w:t>
      </w:r>
      <w:r w:rsidR="00975895" w:rsidRPr="003015FD">
        <w:t xml:space="preserve"> </w:t>
      </w:r>
      <w:r w:rsidRPr="003015FD">
        <w:t>likely</w:t>
      </w:r>
      <w:r w:rsidR="00975895" w:rsidRPr="003015FD">
        <w:t xml:space="preserve"> </w:t>
      </w:r>
      <w:r w:rsidRPr="003015FD">
        <w:t>to</w:t>
      </w:r>
      <w:r w:rsidR="00975895" w:rsidRPr="003015FD">
        <w:t xml:space="preserve"> </w:t>
      </w:r>
      <w:r w:rsidRPr="003015FD">
        <w:t>prompt</w:t>
      </w:r>
      <w:r w:rsidR="00975895" w:rsidRPr="003015FD">
        <w:t xml:space="preserve"> </w:t>
      </w:r>
      <w:r w:rsidRPr="003015FD">
        <w:t>staff</w:t>
      </w:r>
      <w:r w:rsidR="00975895" w:rsidRPr="003015FD">
        <w:t xml:space="preserve"> </w:t>
      </w:r>
      <w:r w:rsidRPr="003015FD">
        <w:t>to</w:t>
      </w:r>
      <w:r w:rsidR="00975895" w:rsidRPr="003015FD">
        <w:t xml:space="preserve"> </w:t>
      </w:r>
      <w:r w:rsidRPr="003015FD">
        <w:t>consider</w:t>
      </w:r>
      <w:r w:rsidR="00975895" w:rsidRPr="003015FD">
        <w:t xml:space="preserve"> </w:t>
      </w:r>
      <w:r w:rsidRPr="003015FD">
        <w:t>human</w:t>
      </w:r>
      <w:r w:rsidR="00975895" w:rsidRPr="003015FD">
        <w:t xml:space="preserve"> </w:t>
      </w:r>
      <w:r w:rsidRPr="003015FD">
        <w:t>rights</w:t>
      </w:r>
      <w:r w:rsidR="00975895" w:rsidRPr="003015FD">
        <w:t xml:space="preserve"> </w:t>
      </w:r>
      <w:r w:rsidRPr="003015FD">
        <w:t>in</w:t>
      </w:r>
      <w:r w:rsidR="00975895" w:rsidRPr="003015FD">
        <w:t xml:space="preserve"> </w:t>
      </w:r>
      <w:r w:rsidRPr="003015FD">
        <w:t>their</w:t>
      </w:r>
      <w:r w:rsidR="00975895" w:rsidRPr="003015FD">
        <w:t xml:space="preserve"> </w:t>
      </w:r>
      <w:r w:rsidRPr="003015FD">
        <w:t>complaints</w:t>
      </w:r>
      <w:r w:rsidR="00975895" w:rsidRPr="003015FD">
        <w:t xml:space="preserve"> </w:t>
      </w:r>
      <w:r w:rsidRPr="003015FD">
        <w:t>policy</w:t>
      </w:r>
      <w:r w:rsidR="00975895" w:rsidRPr="003015FD">
        <w:t xml:space="preserve"> </w:t>
      </w:r>
      <w:r w:rsidRPr="003015FD">
        <w:t>(90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Conversely,</w:t>
      </w:r>
      <w:r w:rsidR="00975895" w:rsidRPr="003015FD">
        <w:t xml:space="preserve"> </w:t>
      </w:r>
      <w:r w:rsidRPr="003015FD">
        <w:t>no</w:t>
      </w:r>
      <w:r w:rsidR="00975895" w:rsidRPr="003015FD">
        <w:t xml:space="preserve"> </w:t>
      </w:r>
      <w:r w:rsidRPr="003015FD">
        <w:t>large</w:t>
      </w:r>
      <w:r w:rsidR="00975895" w:rsidRPr="003015FD">
        <w:t xml:space="preserve"> </w:t>
      </w:r>
      <w:r w:rsidRPr="003015FD">
        <w:t>agencies</w:t>
      </w:r>
      <w:r w:rsidR="00975895" w:rsidRPr="003015FD">
        <w:t xml:space="preserve"> </w:t>
      </w:r>
      <w:r w:rsidRPr="003015FD">
        <w:t>reported</w:t>
      </w:r>
      <w:r w:rsidR="00975895" w:rsidRPr="003015FD">
        <w:t xml:space="preserve"> </w:t>
      </w:r>
      <w:r w:rsidRPr="003015FD">
        <w:t>their</w:t>
      </w:r>
      <w:r w:rsidR="00975895" w:rsidRPr="003015FD">
        <w:t xml:space="preserve"> </w:t>
      </w:r>
      <w:r w:rsidRPr="003015FD">
        <w:t>complaints</w:t>
      </w:r>
      <w:r w:rsidR="00975895" w:rsidRPr="003015FD">
        <w:t xml:space="preserve"> </w:t>
      </w:r>
      <w:r w:rsidRPr="003015FD">
        <w:t>policy</w:t>
      </w:r>
      <w:r w:rsidR="00975895" w:rsidRPr="003015FD">
        <w:t xml:space="preserve"> </w:t>
      </w:r>
      <w:r w:rsidRPr="003015FD">
        <w:t>prompted</w:t>
      </w:r>
      <w:r w:rsidR="00975895" w:rsidRPr="003015FD">
        <w:t xml:space="preserve"> </w:t>
      </w:r>
      <w:r w:rsidRPr="003015FD">
        <w:t>staff</w:t>
      </w:r>
      <w:r w:rsidR="00975895" w:rsidRPr="003015FD">
        <w:t xml:space="preserve"> </w:t>
      </w:r>
      <w:r w:rsidRPr="003015FD">
        <w:t>to</w:t>
      </w:r>
      <w:r w:rsidR="00975895" w:rsidRPr="003015FD">
        <w:t xml:space="preserve"> </w:t>
      </w:r>
      <w:r w:rsidRPr="003015FD">
        <w:t>do</w:t>
      </w:r>
      <w:r w:rsidR="00975895" w:rsidRPr="003015FD">
        <w:t xml:space="preserve"> </w:t>
      </w:r>
      <w:r w:rsidRPr="003015FD">
        <w:t>this.</w:t>
      </w:r>
    </w:p>
    <w:p w14:paraId="72B48FB7" w14:textId="55A288A7"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21:</w:t>
      </w:r>
      <w:r w:rsidR="00975895" w:rsidRPr="0002642E">
        <w:rPr>
          <w:rStyle w:val="Characterbold"/>
        </w:rPr>
        <w:t xml:space="preserve"> </w:t>
      </w:r>
      <w:r w:rsidRPr="0002642E">
        <w:rPr>
          <w:rStyle w:val="Characterbold"/>
        </w:rPr>
        <w:t>Complaints</w:t>
      </w:r>
      <w:r w:rsidR="00975895" w:rsidRPr="0002642E">
        <w:rPr>
          <w:rStyle w:val="Characterbold"/>
        </w:rPr>
        <w:t xml:space="preserve"> </w:t>
      </w:r>
      <w:r w:rsidRPr="0002642E">
        <w:rPr>
          <w:rStyle w:val="Characterbold"/>
        </w:rPr>
        <w:t>policy</w:t>
      </w:r>
      <w:r w:rsidR="00975895" w:rsidRPr="0002642E">
        <w:rPr>
          <w:rStyle w:val="Characterbold"/>
        </w:rPr>
        <w:t xml:space="preserve"> </w:t>
      </w:r>
      <w:r w:rsidRPr="0002642E">
        <w:rPr>
          <w:rStyle w:val="Characterbold"/>
        </w:rPr>
        <w:t>prompts</w:t>
      </w:r>
      <w:r w:rsidR="00975895" w:rsidRPr="0002642E">
        <w:rPr>
          <w:rStyle w:val="Characterbold"/>
        </w:rPr>
        <w:t xml:space="preserve"> </w:t>
      </w:r>
      <w:r w:rsidRPr="0002642E">
        <w:rPr>
          <w:rStyle w:val="Characterbold"/>
        </w:rPr>
        <w:t>staff</w:t>
      </w:r>
      <w:r w:rsidR="00975895" w:rsidRPr="0002642E">
        <w:rPr>
          <w:rStyle w:val="Characterbold"/>
        </w:rPr>
        <w:t xml:space="preserve"> </w:t>
      </w:r>
      <w:r w:rsidRPr="0002642E">
        <w:rPr>
          <w:rStyle w:val="Characterbold"/>
        </w:rPr>
        <w:t>to</w:t>
      </w:r>
      <w:r w:rsidR="00975895" w:rsidRPr="0002642E">
        <w:rPr>
          <w:rStyle w:val="Characterbold"/>
        </w:rPr>
        <w:t xml:space="preserve"> </w:t>
      </w:r>
      <w:r w:rsidRPr="0002642E">
        <w:rPr>
          <w:rStyle w:val="Characterbold"/>
        </w:rPr>
        <w:t>consider</w:t>
      </w:r>
      <w:r w:rsidR="00975895" w:rsidRPr="0002642E">
        <w:rPr>
          <w:rStyle w:val="Characterbold"/>
        </w:rPr>
        <w:t xml:space="preserve"> </w:t>
      </w:r>
      <w:r w:rsidRPr="0002642E">
        <w:rPr>
          <w:rStyle w:val="Characterbold"/>
        </w:rPr>
        <w:t>whether</w:t>
      </w:r>
      <w:r w:rsidR="00975895" w:rsidRPr="0002642E">
        <w:rPr>
          <w:rStyle w:val="Characterbold"/>
        </w:rPr>
        <w:t xml:space="preserve"> </w:t>
      </w:r>
      <w:r w:rsidRPr="0002642E">
        <w:rPr>
          <w:rStyle w:val="Characterbold"/>
        </w:rPr>
        <w:t>the</w:t>
      </w:r>
      <w:r w:rsidR="00975895" w:rsidRPr="0002642E">
        <w:rPr>
          <w:rStyle w:val="Characterbold"/>
        </w:rPr>
        <w:t xml:space="preserve"> </w:t>
      </w:r>
      <w:r w:rsidRPr="0002642E">
        <w:rPr>
          <w:rStyle w:val="Characterbold"/>
        </w:rPr>
        <w:t>human</w:t>
      </w:r>
      <w:r w:rsidR="00975895" w:rsidRPr="0002642E">
        <w:rPr>
          <w:rStyle w:val="Characterbold"/>
        </w:rPr>
        <w:t xml:space="preserve"> </w:t>
      </w:r>
      <w:r w:rsidRPr="0002642E">
        <w:rPr>
          <w:rStyle w:val="Characterbold"/>
        </w:rPr>
        <w:t>rights</w:t>
      </w:r>
      <w:r w:rsidR="00975895" w:rsidRPr="0002642E">
        <w:rPr>
          <w:rStyle w:val="Characterbold"/>
        </w:rPr>
        <w:t xml:space="preserve"> </w:t>
      </w:r>
      <w:r w:rsidRPr="0002642E">
        <w:rPr>
          <w:rStyle w:val="Characterbold"/>
        </w:rPr>
        <w:t>of</w:t>
      </w:r>
      <w:r w:rsidR="00975895" w:rsidRPr="0002642E">
        <w:rPr>
          <w:rStyle w:val="Characterbold"/>
        </w:rPr>
        <w:t xml:space="preserve"> </w:t>
      </w:r>
      <w:r w:rsidRPr="0002642E">
        <w:rPr>
          <w:rStyle w:val="Characterbold"/>
        </w:rPr>
        <w:t>complainant</w:t>
      </w:r>
      <w:r w:rsidR="00975895" w:rsidRPr="0002642E">
        <w:rPr>
          <w:rStyle w:val="Characterbold"/>
        </w:rPr>
        <w:t xml:space="preserve"> </w:t>
      </w:r>
      <w:r w:rsidRPr="0002642E">
        <w:rPr>
          <w:rStyle w:val="Characterbold"/>
        </w:rPr>
        <w:t>have</w:t>
      </w:r>
      <w:r w:rsidR="00975895" w:rsidRPr="0002642E">
        <w:rPr>
          <w:rStyle w:val="Characterbold"/>
        </w:rPr>
        <w:t xml:space="preserve"> </w:t>
      </w:r>
      <w:r w:rsidRPr="0002642E">
        <w:rPr>
          <w:rStyle w:val="Characterbold"/>
        </w:rPr>
        <w:t>been</w:t>
      </w:r>
      <w:r w:rsidR="00975895" w:rsidRPr="0002642E">
        <w:rPr>
          <w:rStyle w:val="Characterbold"/>
        </w:rPr>
        <w:t xml:space="preserve"> </w:t>
      </w:r>
      <w:r w:rsidRPr="0002642E">
        <w:rPr>
          <w:rStyle w:val="Characterbold"/>
        </w:rPr>
        <w:t>engaged</w:t>
      </w:r>
    </w:p>
    <w:p w14:paraId="13FA6767" w14:textId="4115775E" w:rsidR="008E0945" w:rsidRPr="003015FD" w:rsidRDefault="008E0945" w:rsidP="0002642E">
      <w:r w:rsidRPr="003015FD">
        <w:t>(Base:</w:t>
      </w:r>
      <w:r w:rsidR="00975895" w:rsidRPr="003015FD">
        <w:t xml:space="preserve"> </w:t>
      </w:r>
      <w:r w:rsidRPr="003015FD">
        <w:t>Respondents</w:t>
      </w:r>
      <w:r w:rsidR="00975895" w:rsidRPr="003015FD">
        <w:t xml:space="preserve"> </w:t>
      </w:r>
      <w:r w:rsidRPr="003015FD">
        <w:t>with</w:t>
      </w:r>
      <w:r w:rsidR="00975895" w:rsidRPr="003015FD">
        <w:t xml:space="preserve"> </w:t>
      </w:r>
      <w:r w:rsidRPr="003015FD">
        <w:t>a</w:t>
      </w:r>
      <w:r w:rsidR="00975895" w:rsidRPr="003015FD">
        <w:t xml:space="preserve"> </w:t>
      </w:r>
      <w:r w:rsidRPr="003015FD">
        <w:t>complaints</w:t>
      </w:r>
      <w:r w:rsidR="00975895" w:rsidRPr="003015FD">
        <w:t xml:space="preserve"> </w:t>
      </w:r>
      <w:r w:rsidRPr="003015FD">
        <w:t>policy)</w:t>
      </w:r>
    </w:p>
    <w:p w14:paraId="085DA114" w14:textId="77777777" w:rsidR="008E0945" w:rsidRPr="003015FD" w:rsidRDefault="008E0945" w:rsidP="008E0945">
      <w:pPr>
        <w:pStyle w:val="MediumGrid21"/>
        <w:jc w:val="center"/>
        <w:rPr>
          <w:rFonts w:ascii="Arial" w:hAnsi="Arial" w:cs="Arial"/>
          <w:lang w:val="en-GB"/>
        </w:rPr>
      </w:pPr>
      <w:r w:rsidRPr="0002642E">
        <w:rPr>
          <w:rFonts w:ascii="Arial" w:hAnsi="Arial" w:cs="Arial"/>
          <w:noProof/>
          <w:lang w:val="en-GB" w:eastAsia="en-GB"/>
        </w:rPr>
        <w:lastRenderedPageBreak/>
        <w:drawing>
          <wp:inline distT="0" distB="0" distL="0" distR="0" wp14:anchorId="58EB4B34" wp14:editId="55B0FBC8">
            <wp:extent cx="5400000" cy="251752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00000" cy="2517527"/>
                    </a:xfrm>
                    <a:prstGeom prst="rect">
                      <a:avLst/>
                    </a:prstGeom>
                    <a:noFill/>
                    <a:ln>
                      <a:noFill/>
                    </a:ln>
                  </pic:spPr>
                </pic:pic>
              </a:graphicData>
            </a:graphic>
          </wp:inline>
        </w:drawing>
      </w:r>
    </w:p>
    <w:p w14:paraId="164FEAB0" w14:textId="11154130" w:rsidR="008E0945" w:rsidRPr="003015FD" w:rsidRDefault="008E0945" w:rsidP="0002642E">
      <w:r w:rsidRPr="003015FD">
        <w:t>Three</w:t>
      </w:r>
      <w:r w:rsidR="00975895" w:rsidRPr="003015FD">
        <w:t xml:space="preserve"> </w:t>
      </w:r>
      <w:r w:rsidRPr="003015FD">
        <w:t>quarters</w:t>
      </w:r>
      <w:r w:rsidR="00975895" w:rsidRPr="003015FD">
        <w:t xml:space="preserve"> </w:t>
      </w:r>
      <w:r w:rsidRPr="003015FD">
        <w:t>(75</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overall</w:t>
      </w:r>
      <w:r w:rsidR="00975895" w:rsidRPr="003015FD">
        <w:t xml:space="preserve"> </w:t>
      </w:r>
      <w:r w:rsidRPr="003015FD">
        <w:t>reported</w:t>
      </w:r>
      <w:r w:rsidR="00975895" w:rsidRPr="003015FD">
        <w:t xml:space="preserve"> </w:t>
      </w:r>
      <w:r w:rsidRPr="003015FD">
        <w:t>they</w:t>
      </w:r>
      <w:r w:rsidR="00975895" w:rsidRPr="003015FD">
        <w:t xml:space="preserve"> </w:t>
      </w:r>
      <w:r w:rsidRPr="003015FD">
        <w:t>had</w:t>
      </w:r>
      <w:r w:rsidR="00975895" w:rsidRPr="003015FD">
        <w:t xml:space="preserve"> </w:t>
      </w:r>
      <w:r w:rsidRPr="003015FD">
        <w:t>a</w:t>
      </w:r>
      <w:r w:rsidR="00975895" w:rsidRPr="003015FD">
        <w:t xml:space="preserve"> </w:t>
      </w:r>
      <w:r w:rsidRPr="003015FD">
        <w:t>timeframe</w:t>
      </w:r>
      <w:r w:rsidR="00975895" w:rsidRPr="003015FD">
        <w:t xml:space="preserve"> </w:t>
      </w:r>
      <w:r w:rsidRPr="003015FD">
        <w:t>for</w:t>
      </w:r>
      <w:r w:rsidR="00975895" w:rsidRPr="003015FD">
        <w:t xml:space="preserve"> </w:t>
      </w:r>
      <w:r w:rsidRPr="003015FD">
        <w:t>resolving</w:t>
      </w:r>
      <w:r w:rsidR="00975895" w:rsidRPr="003015FD">
        <w:t xml:space="preserve"> </w:t>
      </w:r>
      <w:r w:rsidRPr="003015FD">
        <w:t>complaints</w:t>
      </w:r>
      <w:r w:rsidR="00975895" w:rsidRPr="003015FD">
        <w:t xml:space="preserve"> </w:t>
      </w:r>
      <w:r w:rsidRPr="003015FD">
        <w:t>as</w:t>
      </w:r>
      <w:r w:rsidR="00975895" w:rsidRPr="003015FD">
        <w:t xml:space="preserve"> </w:t>
      </w:r>
      <w:r w:rsidRPr="003015FD">
        <w:t>part</w:t>
      </w:r>
      <w:r w:rsidR="00975895" w:rsidRPr="003015FD">
        <w:t xml:space="preserve"> </w:t>
      </w:r>
      <w:r w:rsidRPr="003015FD">
        <w:t>of</w:t>
      </w:r>
      <w:r w:rsidR="00975895" w:rsidRPr="003015FD">
        <w:t xml:space="preserve"> </w:t>
      </w:r>
      <w:r w:rsidRPr="003015FD">
        <w:t>their</w:t>
      </w:r>
      <w:r w:rsidR="00975895" w:rsidRPr="003015FD">
        <w:t xml:space="preserve"> </w:t>
      </w:r>
      <w:r w:rsidRPr="003015FD">
        <w:t>complaints</w:t>
      </w:r>
      <w:r w:rsidR="00975895" w:rsidRPr="003015FD">
        <w:t xml:space="preserve"> </w:t>
      </w:r>
      <w:r w:rsidRPr="003015FD">
        <w:t>policy.</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were</w:t>
      </w:r>
      <w:r w:rsidR="00975895" w:rsidRPr="003015FD">
        <w:t xml:space="preserve"> </w:t>
      </w:r>
      <w:r w:rsidRPr="003015FD">
        <w:t>less</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this</w:t>
      </w:r>
      <w:r w:rsidR="00975895" w:rsidRPr="003015FD">
        <w:t xml:space="preserve"> </w:t>
      </w:r>
      <w:r w:rsidRPr="003015FD">
        <w:t>(40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p>
    <w:p w14:paraId="12EB1CFC" w14:textId="59320403"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22:</w:t>
      </w:r>
      <w:r w:rsidR="00975895" w:rsidRPr="0002642E">
        <w:rPr>
          <w:rStyle w:val="Characterbold"/>
        </w:rPr>
        <w:t xml:space="preserve"> </w:t>
      </w:r>
      <w:r w:rsidRPr="0002642E">
        <w:rPr>
          <w:rStyle w:val="Characterbold"/>
        </w:rPr>
        <w:t>Timeframe</w:t>
      </w:r>
      <w:r w:rsidR="00975895" w:rsidRPr="0002642E">
        <w:rPr>
          <w:rStyle w:val="Characterbold"/>
        </w:rPr>
        <w:t xml:space="preserve"> </w:t>
      </w:r>
      <w:r w:rsidRPr="0002642E">
        <w:rPr>
          <w:rStyle w:val="Characterbold"/>
        </w:rPr>
        <w:t>for</w:t>
      </w:r>
      <w:r w:rsidR="00975895" w:rsidRPr="0002642E">
        <w:rPr>
          <w:rStyle w:val="Characterbold"/>
        </w:rPr>
        <w:t xml:space="preserve"> </w:t>
      </w:r>
      <w:r w:rsidRPr="0002642E">
        <w:rPr>
          <w:rStyle w:val="Characterbold"/>
        </w:rPr>
        <w:t>resolving</w:t>
      </w:r>
      <w:r w:rsidR="00975895" w:rsidRPr="0002642E">
        <w:rPr>
          <w:rStyle w:val="Characterbold"/>
        </w:rPr>
        <w:t xml:space="preserve"> </w:t>
      </w:r>
      <w:r w:rsidRPr="0002642E">
        <w:rPr>
          <w:rStyle w:val="Characterbold"/>
        </w:rPr>
        <w:t>complaints</w:t>
      </w:r>
    </w:p>
    <w:p w14:paraId="60C3A81E" w14:textId="21E543B8" w:rsidR="008E0945" w:rsidRPr="003015FD" w:rsidRDefault="008E0945" w:rsidP="0002642E">
      <w:r w:rsidRPr="003015FD">
        <w:t>(Base:</w:t>
      </w:r>
      <w:r w:rsidR="00975895" w:rsidRPr="003015FD">
        <w:t xml:space="preserve"> </w:t>
      </w:r>
      <w:r w:rsidRPr="003015FD">
        <w:t>Respondents</w:t>
      </w:r>
      <w:r w:rsidR="00975895" w:rsidRPr="003015FD">
        <w:t xml:space="preserve"> </w:t>
      </w:r>
      <w:r w:rsidRPr="003015FD">
        <w:t>with</w:t>
      </w:r>
      <w:r w:rsidR="00975895" w:rsidRPr="003015FD">
        <w:t xml:space="preserve"> </w:t>
      </w:r>
      <w:r w:rsidRPr="003015FD">
        <w:t>a</w:t>
      </w:r>
      <w:r w:rsidR="00975895" w:rsidRPr="003015FD">
        <w:t xml:space="preserve"> </w:t>
      </w:r>
      <w:r w:rsidRPr="003015FD">
        <w:t>complaints</w:t>
      </w:r>
      <w:r w:rsidR="00975895" w:rsidRPr="003015FD">
        <w:t xml:space="preserve"> </w:t>
      </w:r>
      <w:r w:rsidRPr="003015FD">
        <w:t>policy)</w:t>
      </w:r>
    </w:p>
    <w:p w14:paraId="4D15660F" w14:textId="77777777" w:rsidR="008E0945" w:rsidRPr="003015FD" w:rsidRDefault="008E0945" w:rsidP="008E0945">
      <w:pPr>
        <w:pStyle w:val="MediumGrid21"/>
        <w:jc w:val="center"/>
        <w:rPr>
          <w:rFonts w:ascii="Arial" w:hAnsi="Arial" w:cs="Arial"/>
          <w:lang w:val="en-GB"/>
        </w:rPr>
      </w:pPr>
      <w:r w:rsidRPr="0002642E">
        <w:rPr>
          <w:rFonts w:ascii="Arial" w:hAnsi="Arial" w:cs="Arial"/>
          <w:noProof/>
          <w:lang w:val="en-GB" w:eastAsia="en-GB"/>
        </w:rPr>
        <w:drawing>
          <wp:inline distT="0" distB="0" distL="0" distR="0" wp14:anchorId="01B80519" wp14:editId="0BA8309B">
            <wp:extent cx="5400000" cy="251752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0000" cy="2517527"/>
                    </a:xfrm>
                    <a:prstGeom prst="rect">
                      <a:avLst/>
                    </a:prstGeom>
                    <a:noFill/>
                    <a:ln>
                      <a:noFill/>
                    </a:ln>
                  </pic:spPr>
                </pic:pic>
              </a:graphicData>
            </a:graphic>
          </wp:inline>
        </w:drawing>
      </w:r>
    </w:p>
    <w:p w14:paraId="48F91B26" w14:textId="50F4A368" w:rsidR="008E0945" w:rsidRPr="003015FD" w:rsidRDefault="008E0945" w:rsidP="0002642E">
      <w:r w:rsidRPr="003015FD">
        <w:t>Most</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(84</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had</w:t>
      </w:r>
      <w:r w:rsidR="00975895" w:rsidRPr="003015FD">
        <w:t xml:space="preserve"> </w:t>
      </w:r>
      <w:r w:rsidRPr="003015FD">
        <w:t>received</w:t>
      </w:r>
      <w:r w:rsidR="00975895" w:rsidRPr="003015FD">
        <w:t xml:space="preserve"> </w:t>
      </w:r>
      <w:r w:rsidRPr="003015FD">
        <w:t>a</w:t>
      </w:r>
      <w:r w:rsidR="00975895" w:rsidRPr="003015FD">
        <w:t xml:space="preserve"> </w:t>
      </w:r>
      <w:r w:rsidRPr="003015FD">
        <w:t>complaint</w:t>
      </w:r>
      <w:r w:rsidR="00975895" w:rsidRPr="003015FD">
        <w:t xml:space="preserve"> </w:t>
      </w:r>
      <w:r w:rsidRPr="003015FD">
        <w:t>from</w:t>
      </w:r>
      <w:r w:rsidR="00975895" w:rsidRPr="003015FD">
        <w:t xml:space="preserve"> </w:t>
      </w:r>
      <w:r w:rsidRPr="003015FD">
        <w:t>the</w:t>
      </w:r>
      <w:r w:rsidR="00975895" w:rsidRPr="003015FD">
        <w:t xml:space="preserve"> </w:t>
      </w:r>
      <w:r w:rsidRPr="003015FD">
        <w:t>public</w:t>
      </w:r>
      <w:r w:rsidR="00975895" w:rsidRPr="003015FD">
        <w:t xml:space="preserve"> </w:t>
      </w:r>
      <w:r w:rsidRPr="003015FD">
        <w:t>about</w:t>
      </w:r>
      <w:r w:rsidR="00975895" w:rsidRPr="003015FD">
        <w:t xml:space="preserve"> </w:t>
      </w:r>
      <w:r w:rsidRPr="003015FD">
        <w:t>their</w:t>
      </w:r>
      <w:r w:rsidR="00975895" w:rsidRPr="003015FD">
        <w:t xml:space="preserve"> </w:t>
      </w:r>
      <w:r w:rsidRPr="003015FD">
        <w:t>organisation</w:t>
      </w:r>
      <w:r w:rsidR="00975895" w:rsidRPr="003015FD">
        <w:t xml:space="preserve"> </w:t>
      </w:r>
      <w:r w:rsidRPr="003015FD">
        <w:t>during</w:t>
      </w:r>
      <w:r w:rsidR="00975895" w:rsidRPr="003015FD">
        <w:t xml:space="preserve"> </w:t>
      </w:r>
      <w:r w:rsidRPr="003015FD">
        <w:t>the</w:t>
      </w:r>
      <w:r w:rsidR="00975895" w:rsidRPr="003015FD">
        <w:t xml:space="preserve"> </w:t>
      </w:r>
      <w:r w:rsidRPr="003015FD">
        <w:t>2018</w:t>
      </w:r>
      <w:r w:rsidR="00975895" w:rsidRPr="003015FD">
        <w:t xml:space="preserve"> </w:t>
      </w:r>
      <w:r w:rsidRPr="003015FD">
        <w:t>calendar</w:t>
      </w:r>
      <w:r w:rsidR="00975895" w:rsidRPr="003015FD">
        <w:t xml:space="preserve"> </w:t>
      </w:r>
      <w:r w:rsidRPr="003015FD">
        <w:t>year.</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does</w:t>
      </w:r>
      <w:r w:rsidR="00975895" w:rsidRPr="003015FD">
        <w:t xml:space="preserve"> </w:t>
      </w:r>
      <w:r w:rsidRPr="003015FD">
        <w:t>not</w:t>
      </w:r>
      <w:r w:rsidR="00975895" w:rsidRPr="003015FD">
        <w:t xml:space="preserve"> </w:t>
      </w:r>
      <w:r w:rsidRPr="003015FD">
        <w:t>have</w:t>
      </w:r>
      <w:r w:rsidR="00975895" w:rsidRPr="003015FD">
        <w:t xml:space="preserve"> </w:t>
      </w:r>
      <w:r w:rsidRPr="003015FD">
        <w:t>a</w:t>
      </w:r>
      <w:r w:rsidR="00975895" w:rsidRPr="003015FD">
        <w:t xml:space="preserve"> </w:t>
      </w:r>
      <w:r w:rsidRPr="003015FD">
        <w:t>position</w:t>
      </w:r>
      <w:r w:rsidR="00975895" w:rsidRPr="003015FD">
        <w:t xml:space="preserve"> </w:t>
      </w:r>
      <w:r w:rsidRPr="003015FD">
        <w:t>on</w:t>
      </w:r>
      <w:r w:rsidR="00975895" w:rsidRPr="003015FD">
        <w:t xml:space="preserve"> </w:t>
      </w:r>
      <w:r w:rsidRPr="003015FD">
        <w:t>whether</w:t>
      </w:r>
      <w:r w:rsidR="00975895" w:rsidRPr="003015FD">
        <w:t xml:space="preserve"> </w:t>
      </w:r>
      <w:r w:rsidRPr="003015FD">
        <w:t>these</w:t>
      </w:r>
      <w:r w:rsidR="00975895" w:rsidRPr="003015FD">
        <w:t xml:space="preserve"> </w:t>
      </w:r>
      <w:r w:rsidRPr="003015FD">
        <w:t>results</w:t>
      </w:r>
      <w:r w:rsidR="00975895" w:rsidRPr="003015FD">
        <w:t xml:space="preserve"> </w:t>
      </w:r>
      <w:r w:rsidRPr="003015FD">
        <w:t>are</w:t>
      </w:r>
      <w:r w:rsidR="00975895" w:rsidRPr="003015FD">
        <w:t xml:space="preserve"> </w:t>
      </w:r>
      <w:r w:rsidRPr="003015FD">
        <w:t>indicative</w:t>
      </w:r>
      <w:r w:rsidR="00975895" w:rsidRPr="003015FD">
        <w:t xml:space="preserve"> </w:t>
      </w:r>
      <w:r w:rsidRPr="003015FD">
        <w:t>of</w:t>
      </w:r>
      <w:r w:rsidR="00975895" w:rsidRPr="003015FD">
        <w:t xml:space="preserve"> </w:t>
      </w:r>
      <w:r w:rsidRPr="003015FD">
        <w:t>a</w:t>
      </w:r>
      <w:r w:rsidR="00975895" w:rsidRPr="003015FD">
        <w:t xml:space="preserve"> </w:t>
      </w:r>
      <w:r w:rsidRPr="003015FD">
        <w:t>positive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While</w:t>
      </w:r>
      <w:r w:rsidR="00975895" w:rsidRPr="003015FD">
        <w:t xml:space="preserve"> </w:t>
      </w:r>
      <w:r w:rsidRPr="003015FD">
        <w:t>a</w:t>
      </w:r>
      <w:r w:rsidR="00975895" w:rsidRPr="003015FD">
        <w:t xml:space="preserve"> </w:t>
      </w:r>
      <w:r w:rsidRPr="003015FD">
        <w:t>high</w:t>
      </w:r>
      <w:r w:rsidR="00975895" w:rsidRPr="003015FD">
        <w:t xml:space="preserve"> </w:t>
      </w:r>
      <w:r w:rsidRPr="003015FD">
        <w:t>level</w:t>
      </w:r>
      <w:r w:rsidR="00975895" w:rsidRPr="003015FD">
        <w:t xml:space="preserve"> </w:t>
      </w:r>
      <w:r w:rsidRPr="003015FD">
        <w:t>of</w:t>
      </w:r>
      <w:r w:rsidR="00975895" w:rsidRPr="003015FD">
        <w:t xml:space="preserve"> </w:t>
      </w:r>
      <w:r w:rsidRPr="003015FD">
        <w:t>complaints</w:t>
      </w:r>
      <w:r w:rsidR="00975895" w:rsidRPr="003015FD">
        <w:t xml:space="preserve"> </w:t>
      </w:r>
      <w:r w:rsidRPr="003015FD">
        <w:t>can</w:t>
      </w:r>
      <w:r w:rsidR="00975895" w:rsidRPr="003015FD">
        <w:t xml:space="preserve"> </w:t>
      </w:r>
      <w:r w:rsidRPr="003015FD">
        <w:t>indicate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compliance</w:t>
      </w:r>
      <w:r w:rsidR="00975895" w:rsidRPr="003015FD">
        <w:t xml:space="preserve"> </w:t>
      </w:r>
      <w:r w:rsidRPr="003015FD">
        <w:t>problems,</w:t>
      </w:r>
      <w:r w:rsidR="00975895" w:rsidRPr="003015FD">
        <w:t xml:space="preserve"> </w:t>
      </w:r>
      <w:r w:rsidRPr="003015FD">
        <w:t>it</w:t>
      </w:r>
      <w:r w:rsidR="00975895" w:rsidRPr="003015FD">
        <w:t xml:space="preserve"> </w:t>
      </w:r>
      <w:r w:rsidRPr="003015FD">
        <w:t>can</w:t>
      </w:r>
      <w:r w:rsidR="00975895" w:rsidRPr="003015FD">
        <w:t xml:space="preserve"> </w:t>
      </w:r>
      <w:r w:rsidRPr="003015FD">
        <w:t>equally</w:t>
      </w:r>
      <w:r w:rsidR="00975895" w:rsidRPr="003015FD">
        <w:t xml:space="preserve"> </w:t>
      </w:r>
      <w:r w:rsidRPr="003015FD">
        <w:t>be</w:t>
      </w:r>
      <w:r w:rsidR="00975895" w:rsidRPr="003015FD">
        <w:t xml:space="preserve"> </w:t>
      </w:r>
      <w:r w:rsidRPr="003015FD">
        <w:t>evidence</w:t>
      </w:r>
      <w:r w:rsidR="00975895" w:rsidRPr="003015FD">
        <w:t xml:space="preserve"> </w:t>
      </w:r>
      <w:r w:rsidRPr="003015FD">
        <w:t>of</w:t>
      </w:r>
      <w:r w:rsidR="00975895" w:rsidRPr="003015FD">
        <w:t xml:space="preserve"> </w:t>
      </w:r>
      <w:r w:rsidRPr="003015FD">
        <w:t>an</w:t>
      </w:r>
      <w:r w:rsidR="00975895" w:rsidRPr="003015FD">
        <w:t xml:space="preserve"> </w:t>
      </w:r>
      <w:r w:rsidRPr="003015FD">
        <w:t>effective</w:t>
      </w:r>
      <w:r w:rsidR="00975895" w:rsidRPr="003015FD">
        <w:t xml:space="preserve"> </w:t>
      </w:r>
      <w:r w:rsidRPr="003015FD">
        <w:t>and</w:t>
      </w:r>
      <w:r w:rsidR="00975895" w:rsidRPr="003015FD">
        <w:t xml:space="preserve"> </w:t>
      </w:r>
      <w:r w:rsidRPr="003015FD">
        <w:t>accessible</w:t>
      </w:r>
      <w:r w:rsidR="00975895" w:rsidRPr="003015FD">
        <w:t xml:space="preserve"> </w:t>
      </w:r>
      <w:r w:rsidRPr="003015FD">
        <w:t>complaints</w:t>
      </w:r>
      <w:r w:rsidR="00975895" w:rsidRPr="003015FD">
        <w:t xml:space="preserve"> </w:t>
      </w:r>
      <w:r w:rsidRPr="003015FD">
        <w:t>policy.</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will</w:t>
      </w:r>
      <w:r w:rsidR="00975895" w:rsidRPr="003015FD">
        <w:t xml:space="preserve"> </w:t>
      </w:r>
      <w:r w:rsidRPr="003015FD">
        <w:t>track</w:t>
      </w:r>
      <w:r w:rsidR="00975895" w:rsidRPr="003015FD">
        <w:t xml:space="preserve"> </w:t>
      </w:r>
      <w:r w:rsidRPr="003015FD">
        <w:t>these</w:t>
      </w:r>
      <w:r w:rsidR="00975895" w:rsidRPr="003015FD">
        <w:t xml:space="preserve"> </w:t>
      </w:r>
      <w:r w:rsidRPr="003015FD">
        <w:t>results</w:t>
      </w:r>
      <w:r w:rsidR="00975895" w:rsidRPr="003015FD">
        <w:t xml:space="preserve"> </w:t>
      </w:r>
      <w:r w:rsidRPr="003015FD">
        <w:t>over</w:t>
      </w:r>
      <w:r w:rsidR="00975895" w:rsidRPr="003015FD">
        <w:t xml:space="preserve"> </w:t>
      </w:r>
      <w:r w:rsidRPr="003015FD">
        <w:t>time</w:t>
      </w:r>
      <w:r w:rsidR="00975895" w:rsidRPr="003015FD">
        <w:t xml:space="preserve"> </w:t>
      </w:r>
      <w:r w:rsidRPr="003015FD">
        <w:t>to</w:t>
      </w:r>
      <w:r w:rsidR="00975895" w:rsidRPr="003015FD">
        <w:t xml:space="preserve"> </w:t>
      </w:r>
      <w:r w:rsidRPr="003015FD">
        <w:t>identify</w:t>
      </w:r>
      <w:r w:rsidR="00975895" w:rsidRPr="003015FD">
        <w:t xml:space="preserve"> </w:t>
      </w:r>
      <w:r w:rsidRPr="003015FD">
        <w:t>trends</w:t>
      </w:r>
      <w:r w:rsidR="00975895" w:rsidRPr="003015FD">
        <w:t xml:space="preserve"> </w:t>
      </w:r>
      <w:r w:rsidRPr="003015FD">
        <w:t>or</w:t>
      </w:r>
      <w:r w:rsidR="00975895" w:rsidRPr="003015FD">
        <w:t xml:space="preserve"> </w:t>
      </w:r>
      <w:r w:rsidRPr="003015FD">
        <w:t>themes.</w:t>
      </w:r>
    </w:p>
    <w:p w14:paraId="17936882" w14:textId="7663B32C"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23:</w:t>
      </w:r>
      <w:r w:rsidR="00975895" w:rsidRPr="0002642E">
        <w:rPr>
          <w:rStyle w:val="Characterbold"/>
        </w:rPr>
        <w:t xml:space="preserve"> </w:t>
      </w:r>
      <w:r w:rsidRPr="0002642E">
        <w:rPr>
          <w:rStyle w:val="Characterbold"/>
        </w:rPr>
        <w:t>Whether</w:t>
      </w:r>
      <w:r w:rsidR="00975895" w:rsidRPr="0002642E">
        <w:rPr>
          <w:rStyle w:val="Characterbold"/>
        </w:rPr>
        <w:t xml:space="preserve"> </w:t>
      </w:r>
      <w:r w:rsidRPr="0002642E">
        <w:rPr>
          <w:rStyle w:val="Characterbold"/>
        </w:rPr>
        <w:t>any</w:t>
      </w:r>
      <w:r w:rsidR="00975895" w:rsidRPr="0002642E">
        <w:rPr>
          <w:rStyle w:val="Characterbold"/>
        </w:rPr>
        <w:t xml:space="preserve"> </w:t>
      </w:r>
      <w:r w:rsidRPr="0002642E">
        <w:rPr>
          <w:rStyle w:val="Characterbold"/>
        </w:rPr>
        <w:t>complaints</w:t>
      </w:r>
      <w:r w:rsidR="00975895" w:rsidRPr="0002642E">
        <w:rPr>
          <w:rStyle w:val="Characterbold"/>
        </w:rPr>
        <w:t xml:space="preserve"> </w:t>
      </w:r>
      <w:r w:rsidR="003B428A">
        <w:rPr>
          <w:rStyle w:val="HRVBold"/>
        </w:rPr>
        <w:t xml:space="preserve">were </w:t>
      </w:r>
      <w:r w:rsidRPr="0002642E">
        <w:rPr>
          <w:rStyle w:val="Characterbold"/>
        </w:rPr>
        <w:t>received</w:t>
      </w:r>
      <w:r w:rsidR="00975895" w:rsidRPr="0002642E">
        <w:rPr>
          <w:rStyle w:val="Characterbold"/>
        </w:rPr>
        <w:t xml:space="preserve"> </w:t>
      </w:r>
      <w:r w:rsidRPr="0002642E">
        <w:rPr>
          <w:rStyle w:val="Characterbold"/>
        </w:rPr>
        <w:t>from</w:t>
      </w:r>
      <w:r w:rsidR="00975895" w:rsidRPr="0002642E">
        <w:rPr>
          <w:rStyle w:val="Characterbold"/>
        </w:rPr>
        <w:t xml:space="preserve"> </w:t>
      </w:r>
      <w:r w:rsidRPr="0002642E">
        <w:rPr>
          <w:rStyle w:val="Characterbold"/>
        </w:rPr>
        <w:t>the</w:t>
      </w:r>
      <w:r w:rsidR="00975895" w:rsidRPr="0002642E">
        <w:rPr>
          <w:rStyle w:val="Characterbold"/>
        </w:rPr>
        <w:t xml:space="preserve"> </w:t>
      </w:r>
      <w:r w:rsidRPr="0002642E">
        <w:rPr>
          <w:rStyle w:val="Characterbold"/>
        </w:rPr>
        <w:t>public</w:t>
      </w:r>
    </w:p>
    <w:p w14:paraId="0D1D05B1" w14:textId="32AD0A06" w:rsidR="008E0945" w:rsidRPr="003015FD" w:rsidRDefault="008E0945" w:rsidP="0002642E">
      <w:r w:rsidRPr="003015FD">
        <w:t>(Base:</w:t>
      </w:r>
      <w:r w:rsidR="00975895" w:rsidRPr="003015FD">
        <w:t xml:space="preserve"> </w:t>
      </w:r>
      <w:r w:rsidRPr="003015FD">
        <w:t>all</w:t>
      </w:r>
      <w:r w:rsidR="00975895" w:rsidRPr="003015FD">
        <w:t xml:space="preserve"> </w:t>
      </w:r>
      <w:r w:rsidRPr="003015FD">
        <w:t>respondents)</w:t>
      </w:r>
    </w:p>
    <w:p w14:paraId="2D700F33" w14:textId="77777777" w:rsidR="008E0945" w:rsidRPr="003015FD" w:rsidRDefault="008E0945" w:rsidP="008E0945">
      <w:pPr>
        <w:pStyle w:val="MediumGrid21"/>
        <w:jc w:val="center"/>
        <w:rPr>
          <w:rFonts w:ascii="Arial" w:hAnsi="Arial" w:cs="Arial"/>
          <w:lang w:val="en-GB"/>
        </w:rPr>
      </w:pPr>
      <w:r w:rsidRPr="0002642E">
        <w:rPr>
          <w:rFonts w:ascii="Arial" w:hAnsi="Arial" w:cs="Arial"/>
          <w:noProof/>
          <w:lang w:val="en-GB" w:eastAsia="en-GB"/>
        </w:rPr>
        <w:lastRenderedPageBreak/>
        <w:drawing>
          <wp:inline distT="0" distB="0" distL="0" distR="0" wp14:anchorId="4E5D5758" wp14:editId="6DEC9BCE">
            <wp:extent cx="4724955" cy="220281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28669" cy="2204547"/>
                    </a:xfrm>
                    <a:prstGeom prst="rect">
                      <a:avLst/>
                    </a:prstGeom>
                    <a:noFill/>
                    <a:ln>
                      <a:noFill/>
                    </a:ln>
                  </pic:spPr>
                </pic:pic>
              </a:graphicData>
            </a:graphic>
          </wp:inline>
        </w:drawing>
      </w:r>
    </w:p>
    <w:p w14:paraId="3F03DE56" w14:textId="77777777" w:rsidR="008E0945" w:rsidRPr="0002642E" w:rsidRDefault="008E0945" w:rsidP="0002642E">
      <w:pPr>
        <w:pStyle w:val="MediumGrid21"/>
        <w:rPr>
          <w:rFonts w:ascii="Arial" w:hAnsi="Arial"/>
        </w:rPr>
      </w:pPr>
    </w:p>
    <w:p w14:paraId="127555AC" w14:textId="30C6C507" w:rsidR="008E0945" w:rsidRPr="003015FD" w:rsidRDefault="008E0945" w:rsidP="0002642E">
      <w:r w:rsidRPr="003015FD">
        <w:t>Among</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that</w:t>
      </w:r>
      <w:r w:rsidR="00975895" w:rsidRPr="003015FD">
        <w:t xml:space="preserve"> </w:t>
      </w:r>
      <w:r w:rsidRPr="003015FD">
        <w:t>had</w:t>
      </w:r>
      <w:r w:rsidR="00975895" w:rsidRPr="003015FD">
        <w:t xml:space="preserve"> </w:t>
      </w:r>
      <w:r w:rsidRPr="003015FD">
        <w:t>received</w:t>
      </w:r>
      <w:r w:rsidR="00975895" w:rsidRPr="003015FD">
        <w:t xml:space="preserve"> </w:t>
      </w:r>
      <w:r w:rsidRPr="003015FD">
        <w:t>a</w:t>
      </w:r>
      <w:r w:rsidR="00975895" w:rsidRPr="003015FD">
        <w:t xml:space="preserve"> </w:t>
      </w:r>
      <w:r w:rsidRPr="003015FD">
        <w:t>complaint</w:t>
      </w:r>
      <w:r w:rsidR="00975895" w:rsidRPr="003015FD">
        <w:t xml:space="preserve"> </w:t>
      </w:r>
      <w:r w:rsidRPr="003015FD">
        <w:t>about</w:t>
      </w:r>
      <w:r w:rsidR="00975895" w:rsidRPr="003015FD">
        <w:t xml:space="preserve"> </w:t>
      </w:r>
      <w:r w:rsidRPr="003015FD">
        <w:t>their</w:t>
      </w:r>
      <w:r w:rsidR="00975895" w:rsidRPr="003015FD">
        <w:t xml:space="preserve"> </w:t>
      </w:r>
      <w:r w:rsidRPr="003015FD">
        <w:t>organisation</w:t>
      </w:r>
      <w:r w:rsidR="00CA27D5">
        <w:t>,</w:t>
      </w:r>
      <w:r w:rsidR="00975895" w:rsidRPr="003015FD">
        <w:t xml:space="preserve"> </w:t>
      </w:r>
      <w:r w:rsidRPr="003015FD">
        <w:t>and</w:t>
      </w:r>
      <w:r w:rsidR="00975895" w:rsidRPr="003015FD">
        <w:t xml:space="preserve"> </w:t>
      </w:r>
      <w:r w:rsidRPr="003015FD">
        <w:t>whose</w:t>
      </w:r>
      <w:r w:rsidR="00975895" w:rsidRPr="003015FD">
        <w:t xml:space="preserve"> </w:t>
      </w:r>
      <w:r w:rsidRPr="003015FD">
        <w:t>complaints</w:t>
      </w:r>
      <w:r w:rsidR="00975895" w:rsidRPr="003015FD">
        <w:t xml:space="preserve"> </w:t>
      </w:r>
      <w:r w:rsidRPr="003015FD">
        <w:t>policy</w:t>
      </w:r>
      <w:r w:rsidR="00975895" w:rsidRPr="003015FD">
        <w:t xml:space="preserve"> </w:t>
      </w:r>
      <w:r w:rsidRPr="003015FD">
        <w:t>prompts</w:t>
      </w:r>
      <w:r w:rsidR="00975895" w:rsidRPr="003015FD">
        <w:t xml:space="preserve"> </w:t>
      </w:r>
      <w:r w:rsidRPr="003015FD">
        <w:t>staff</w:t>
      </w:r>
      <w:r w:rsidR="00975895" w:rsidRPr="003015FD">
        <w:t xml:space="preserve"> </w:t>
      </w:r>
      <w:r w:rsidRPr="003015FD">
        <w:t>to</w:t>
      </w:r>
      <w:r w:rsidR="00975895" w:rsidRPr="003015FD">
        <w:t xml:space="preserve"> </w:t>
      </w:r>
      <w:r w:rsidRPr="003015FD">
        <w:t>consider</w:t>
      </w:r>
      <w:r w:rsidR="00975895" w:rsidRPr="003015FD">
        <w:t xml:space="preserve"> </w:t>
      </w:r>
      <w:r w:rsidRPr="003015FD">
        <w:t>whether</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of</w:t>
      </w:r>
      <w:r w:rsidR="00975895" w:rsidRPr="003015FD">
        <w:t xml:space="preserve"> </w:t>
      </w:r>
      <w:r w:rsidRPr="003015FD">
        <w:t>the</w:t>
      </w:r>
      <w:r w:rsidR="00975895" w:rsidRPr="003015FD">
        <w:t xml:space="preserve"> </w:t>
      </w:r>
      <w:r w:rsidRPr="003015FD">
        <w:t>complainant</w:t>
      </w:r>
      <w:r w:rsidR="00975895" w:rsidRPr="003015FD">
        <w:t xml:space="preserve"> </w:t>
      </w:r>
      <w:r w:rsidRPr="003015FD">
        <w:t>were</w:t>
      </w:r>
      <w:r w:rsidR="00975895" w:rsidRPr="003015FD">
        <w:t xml:space="preserve"> </w:t>
      </w:r>
      <w:r w:rsidRPr="003015FD">
        <w:t>engaged,</w:t>
      </w:r>
      <w:r w:rsidR="00975895" w:rsidRPr="003015FD">
        <w:t xml:space="preserve"> </w:t>
      </w:r>
      <w:r w:rsidRPr="003015FD">
        <w:t>60</w:t>
      </w:r>
      <w:r w:rsidR="00975895" w:rsidRPr="003015FD">
        <w:t xml:space="preserve"> </w:t>
      </w:r>
      <w:r w:rsidR="000B73B9" w:rsidRPr="003015FD">
        <w:t>per</w:t>
      </w:r>
      <w:r w:rsidR="00975895" w:rsidRPr="003015FD">
        <w:t xml:space="preserve"> </w:t>
      </w:r>
      <w:r w:rsidR="000B73B9" w:rsidRPr="003015FD">
        <w:t>cent</w:t>
      </w:r>
      <w:r w:rsidR="00975895" w:rsidRPr="003015FD">
        <w:t xml:space="preserve"> </w:t>
      </w:r>
      <w:r w:rsidRPr="003015FD">
        <w:t>recorded</w:t>
      </w:r>
      <w:r w:rsidR="00975895" w:rsidRPr="003015FD">
        <w:t xml:space="preserve"> </w:t>
      </w:r>
      <w:r w:rsidRPr="003015FD">
        <w:t>whether</w:t>
      </w:r>
      <w:r w:rsidR="00975895" w:rsidRPr="003015FD">
        <w:t xml:space="preserve"> </w:t>
      </w:r>
      <w:r w:rsidRPr="003015FD">
        <w:t>complaints</w:t>
      </w:r>
      <w:r w:rsidR="00975895" w:rsidRPr="003015FD">
        <w:t xml:space="preserve"> </w:t>
      </w:r>
      <w:r w:rsidRPr="003015FD">
        <w:t>involved</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w:t>
      </w:r>
      <w:r w:rsidR="00975895" w:rsidRPr="003015FD">
        <w:t xml:space="preserve"> </w:t>
      </w:r>
    </w:p>
    <w:p w14:paraId="3A646573" w14:textId="17E6EE99"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24:</w:t>
      </w:r>
      <w:r w:rsidR="00975895" w:rsidRPr="0002642E">
        <w:rPr>
          <w:rStyle w:val="Characterbold"/>
        </w:rPr>
        <w:t xml:space="preserve"> </w:t>
      </w:r>
      <w:r w:rsidRPr="0002642E">
        <w:rPr>
          <w:rStyle w:val="Characterbold"/>
        </w:rPr>
        <w:t>Record</w:t>
      </w:r>
      <w:r w:rsidR="00975895" w:rsidRPr="0002642E">
        <w:rPr>
          <w:rStyle w:val="Characterbold"/>
        </w:rPr>
        <w:t xml:space="preserve"> </w:t>
      </w:r>
      <w:r w:rsidRPr="0002642E">
        <w:rPr>
          <w:rStyle w:val="Characterbold"/>
        </w:rPr>
        <w:t>whether</w:t>
      </w:r>
      <w:r w:rsidR="00975895" w:rsidRPr="0002642E">
        <w:rPr>
          <w:rStyle w:val="Characterbold"/>
        </w:rPr>
        <w:t xml:space="preserve"> </w:t>
      </w:r>
      <w:r w:rsidRPr="0002642E">
        <w:rPr>
          <w:rStyle w:val="Characterbold"/>
        </w:rPr>
        <w:t>complaints</w:t>
      </w:r>
      <w:r w:rsidR="00975895" w:rsidRPr="0002642E">
        <w:rPr>
          <w:rStyle w:val="Characterbold"/>
        </w:rPr>
        <w:t xml:space="preserve"> </w:t>
      </w:r>
      <w:r w:rsidRPr="0002642E">
        <w:rPr>
          <w:rStyle w:val="Characterbold"/>
        </w:rPr>
        <w:t>involve</w:t>
      </w:r>
      <w:r w:rsidR="00975895" w:rsidRPr="0002642E">
        <w:rPr>
          <w:rStyle w:val="Characterbold"/>
        </w:rPr>
        <w:t xml:space="preserve"> </w:t>
      </w:r>
      <w:r w:rsidRPr="0002642E">
        <w:rPr>
          <w:rStyle w:val="Characterbold"/>
        </w:rPr>
        <w:t>a</w:t>
      </w:r>
      <w:r w:rsidR="00975895" w:rsidRPr="0002642E">
        <w:rPr>
          <w:rStyle w:val="Characterbold"/>
        </w:rPr>
        <w:t xml:space="preserve"> </w:t>
      </w:r>
      <w:r w:rsidRPr="0002642E">
        <w:rPr>
          <w:rStyle w:val="Characterbold"/>
        </w:rPr>
        <w:t>human</w:t>
      </w:r>
      <w:r w:rsidR="00975895" w:rsidRPr="0002642E">
        <w:rPr>
          <w:rStyle w:val="Characterbold"/>
        </w:rPr>
        <w:t xml:space="preserve"> </w:t>
      </w:r>
      <w:r w:rsidRPr="0002642E">
        <w:rPr>
          <w:rStyle w:val="Characterbold"/>
        </w:rPr>
        <w:t>rights</w:t>
      </w:r>
      <w:r w:rsidR="00975895" w:rsidRPr="0002642E">
        <w:rPr>
          <w:rStyle w:val="Characterbold"/>
        </w:rPr>
        <w:t xml:space="preserve"> </w:t>
      </w:r>
      <w:r w:rsidRPr="0002642E">
        <w:rPr>
          <w:rStyle w:val="Characterbold"/>
        </w:rPr>
        <w:t>issue</w:t>
      </w:r>
    </w:p>
    <w:p w14:paraId="3894CEEF" w14:textId="115C2513" w:rsidR="008E0945" w:rsidRPr="003015FD" w:rsidRDefault="008E0945" w:rsidP="0002642E">
      <w:r w:rsidRPr="003015FD">
        <w:t>(Base:</w:t>
      </w:r>
      <w:r w:rsidR="00975895" w:rsidRPr="003015FD">
        <w:t xml:space="preserve"> </w:t>
      </w:r>
      <w:r w:rsidRPr="003015FD">
        <w:t>respondents</w:t>
      </w:r>
      <w:r w:rsidR="00975895" w:rsidRPr="003015FD">
        <w:t xml:space="preserve"> </w:t>
      </w:r>
      <w:r w:rsidRPr="003015FD">
        <w:t>who</w:t>
      </w:r>
      <w:r w:rsidR="00975895" w:rsidRPr="003015FD">
        <w:t xml:space="preserve"> </w:t>
      </w:r>
      <w:r w:rsidRPr="003015FD">
        <w:t>received</w:t>
      </w:r>
      <w:r w:rsidR="00975895" w:rsidRPr="003015FD">
        <w:t xml:space="preserve"> </w:t>
      </w:r>
      <w:r w:rsidRPr="003015FD">
        <w:t>a</w:t>
      </w:r>
      <w:r w:rsidR="00975895" w:rsidRPr="003015FD">
        <w:t xml:space="preserve"> </w:t>
      </w:r>
      <w:r w:rsidRPr="003015FD">
        <w:t>complaint</w:t>
      </w:r>
      <w:r w:rsidR="00975895" w:rsidRPr="003015FD">
        <w:t xml:space="preserve"> </w:t>
      </w:r>
      <w:r w:rsidRPr="003015FD">
        <w:t>about</w:t>
      </w:r>
      <w:r w:rsidR="00975895" w:rsidRPr="003015FD">
        <w:t xml:space="preserve"> </w:t>
      </w:r>
      <w:r w:rsidRPr="003015FD">
        <w:t>their</w:t>
      </w:r>
      <w:r w:rsidR="00975895" w:rsidRPr="003015FD">
        <w:t xml:space="preserve"> </w:t>
      </w:r>
      <w:r w:rsidRPr="003015FD">
        <w:t>organisation</w:t>
      </w:r>
      <w:r w:rsidR="00975895" w:rsidRPr="003015FD">
        <w:t xml:space="preserve"> </w:t>
      </w:r>
      <w:r w:rsidRPr="003015FD">
        <w:t>and</w:t>
      </w:r>
      <w:r w:rsidR="00975895" w:rsidRPr="003015FD">
        <w:t xml:space="preserve"> </w:t>
      </w:r>
      <w:r w:rsidRPr="003015FD">
        <w:t>whose</w:t>
      </w:r>
      <w:r w:rsidR="00975895" w:rsidRPr="003015FD">
        <w:t xml:space="preserve"> </w:t>
      </w:r>
      <w:r w:rsidRPr="003015FD">
        <w:t>complaints</w:t>
      </w:r>
      <w:r w:rsidR="00975895" w:rsidRPr="003015FD">
        <w:t xml:space="preserve"> </w:t>
      </w:r>
      <w:r w:rsidRPr="003015FD">
        <w:t>policy</w:t>
      </w:r>
      <w:r w:rsidR="00975895" w:rsidRPr="003015FD">
        <w:t xml:space="preserve"> </w:t>
      </w:r>
      <w:r w:rsidRPr="003015FD">
        <w:t>prompts</w:t>
      </w:r>
      <w:r w:rsidR="00975895" w:rsidRPr="003015FD">
        <w:t xml:space="preserve"> </w:t>
      </w:r>
      <w:r w:rsidRPr="003015FD">
        <w:t>staff</w:t>
      </w:r>
      <w:r w:rsidR="00975895" w:rsidRPr="003015FD">
        <w:t xml:space="preserve"> </w:t>
      </w:r>
      <w:r w:rsidRPr="003015FD">
        <w:t>to</w:t>
      </w:r>
      <w:r w:rsidR="00975895" w:rsidRPr="003015FD">
        <w:t xml:space="preserve"> </w:t>
      </w:r>
      <w:r w:rsidRPr="003015FD">
        <w:t>consider</w:t>
      </w:r>
      <w:r w:rsidR="00975895" w:rsidRPr="003015FD">
        <w:t xml:space="preserve"> </w:t>
      </w:r>
      <w:r w:rsidRPr="003015FD">
        <w:t>human</w:t>
      </w:r>
      <w:r w:rsidR="00975895" w:rsidRPr="003015FD">
        <w:t xml:space="preserve"> </w:t>
      </w:r>
      <w:r w:rsidRPr="003015FD">
        <w:t>rights)</w:t>
      </w:r>
    </w:p>
    <w:p w14:paraId="3FD37EB7" w14:textId="77777777" w:rsidR="008E0945" w:rsidRPr="0002642E" w:rsidRDefault="008E0945" w:rsidP="0002642E">
      <w:pPr>
        <w:pStyle w:val="MediumGrid21"/>
        <w:jc w:val="center"/>
        <w:rPr>
          <w:rFonts w:ascii="Arial" w:hAnsi="Arial"/>
          <w:lang w:val="en-GB"/>
        </w:rPr>
      </w:pPr>
      <w:r w:rsidRPr="0002642E">
        <w:rPr>
          <w:rFonts w:ascii="Arial" w:hAnsi="Arial" w:cs="Arial"/>
          <w:noProof/>
          <w:lang w:val="en-GB" w:eastAsia="en-GB"/>
        </w:rPr>
        <w:drawing>
          <wp:inline distT="0" distB="0" distL="0" distR="0" wp14:anchorId="29221E61" wp14:editId="1CF4427C">
            <wp:extent cx="4808620" cy="224182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13164" cy="2243938"/>
                    </a:xfrm>
                    <a:prstGeom prst="rect">
                      <a:avLst/>
                    </a:prstGeom>
                    <a:noFill/>
                    <a:ln>
                      <a:noFill/>
                    </a:ln>
                  </pic:spPr>
                </pic:pic>
              </a:graphicData>
            </a:graphic>
          </wp:inline>
        </w:drawing>
      </w:r>
    </w:p>
    <w:p w14:paraId="2FB10ECB" w14:textId="1706F3F1" w:rsidR="008E0945" w:rsidRPr="003015FD" w:rsidRDefault="008E0945" w:rsidP="0002642E">
      <w:r w:rsidRPr="003015FD">
        <w:t>Among</w:t>
      </w:r>
      <w:r w:rsidR="00975895" w:rsidRPr="003015FD">
        <w:t xml:space="preserve"> </w:t>
      </w:r>
      <w:r w:rsidRPr="003015FD">
        <w:t>those</w:t>
      </w:r>
      <w:r w:rsidR="00975895" w:rsidRPr="003015FD">
        <w:t xml:space="preserve"> </w:t>
      </w:r>
      <w:r w:rsidRPr="003015FD">
        <w:t>that</w:t>
      </w:r>
      <w:r w:rsidR="00975895" w:rsidRPr="003015FD">
        <w:t xml:space="preserve"> </w:t>
      </w:r>
      <w:r w:rsidRPr="003015FD">
        <w:t>had</w:t>
      </w:r>
      <w:r w:rsidR="00975895" w:rsidRPr="003015FD">
        <w:t xml:space="preserve"> </w:t>
      </w:r>
      <w:r w:rsidRPr="003015FD">
        <w:t>received</w:t>
      </w:r>
      <w:r w:rsidR="00975895" w:rsidRPr="003015FD">
        <w:t xml:space="preserve"> </w:t>
      </w:r>
      <w:r w:rsidRPr="003015FD">
        <w:t>a</w:t>
      </w:r>
      <w:r w:rsidR="00975895" w:rsidRPr="003015FD">
        <w:t xml:space="preserve"> </w:t>
      </w:r>
      <w:r w:rsidRPr="003015FD">
        <w:t>complaint</w:t>
      </w:r>
      <w:r w:rsidR="00975895" w:rsidRPr="003015FD">
        <w:t xml:space="preserve"> </w:t>
      </w:r>
      <w:r w:rsidRPr="003015FD">
        <w:t>about</w:t>
      </w:r>
      <w:r w:rsidR="00975895" w:rsidRPr="003015FD">
        <w:t xml:space="preserve"> </w:t>
      </w:r>
      <w:r w:rsidRPr="003015FD">
        <w:t>their</w:t>
      </w:r>
      <w:r w:rsidR="00975895" w:rsidRPr="003015FD">
        <w:t xml:space="preserve"> </w:t>
      </w:r>
      <w:r w:rsidRPr="003015FD">
        <w:t>organisation,</w:t>
      </w:r>
      <w:r w:rsidR="00975895" w:rsidRPr="003015FD">
        <w:t xml:space="preserve"> </w:t>
      </w:r>
      <w:r w:rsidRPr="003015FD">
        <w:t>most</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(71</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recorded</w:t>
      </w:r>
      <w:r w:rsidR="00975895" w:rsidRPr="003015FD">
        <w:t xml:space="preserve"> </w:t>
      </w:r>
      <w:r w:rsidRPr="003015FD">
        <w:t>whether</w:t>
      </w:r>
      <w:r w:rsidR="00975895" w:rsidRPr="003015FD">
        <w:t xml:space="preserve"> </w:t>
      </w:r>
      <w:r w:rsidRPr="003015FD">
        <w:t>service</w:t>
      </w:r>
      <w:r w:rsidR="00975895" w:rsidRPr="003015FD">
        <w:t xml:space="preserve"> </w:t>
      </w:r>
      <w:r w:rsidRPr="003015FD">
        <w:t>improvements</w:t>
      </w:r>
      <w:r w:rsidR="00975895" w:rsidRPr="003015FD">
        <w:t xml:space="preserve"> </w:t>
      </w:r>
      <w:r w:rsidRPr="003015FD">
        <w:t>were</w:t>
      </w:r>
      <w:r w:rsidR="00975895" w:rsidRPr="003015FD">
        <w:t xml:space="preserve"> </w:t>
      </w:r>
      <w:r w:rsidRPr="003015FD">
        <w:t>made</w:t>
      </w:r>
      <w:r w:rsidR="00975895" w:rsidRPr="003015FD">
        <w:t xml:space="preserve"> </w:t>
      </w:r>
      <w:r w:rsidRPr="003015FD">
        <w:t>in</w:t>
      </w:r>
      <w:r w:rsidR="00975895" w:rsidRPr="003015FD">
        <w:t xml:space="preserve"> </w:t>
      </w:r>
      <w:r w:rsidRPr="003015FD">
        <w:t>response</w:t>
      </w:r>
      <w:r w:rsidR="00975895" w:rsidRPr="003015FD">
        <w:t xml:space="preserve"> </w:t>
      </w:r>
      <w:r w:rsidRPr="003015FD">
        <w:t>to</w:t>
      </w:r>
      <w:r w:rsidR="00975895" w:rsidRPr="003015FD">
        <w:t xml:space="preserve"> </w:t>
      </w:r>
      <w:r w:rsidRPr="003015FD">
        <w:t>complaints.</w:t>
      </w:r>
    </w:p>
    <w:p w14:paraId="1824C121" w14:textId="3D18FCD0" w:rsidR="00CF666C" w:rsidRDefault="008E0945" w:rsidP="0002642E">
      <w:r w:rsidRPr="003015FD">
        <w:t>Around</w:t>
      </w:r>
      <w:r w:rsidR="00975895" w:rsidRPr="003015FD">
        <w:t xml:space="preserve"> </w:t>
      </w:r>
      <w:r w:rsidRPr="003015FD">
        <w:t>half</w:t>
      </w:r>
      <w:r w:rsidR="00975895" w:rsidRPr="003015FD">
        <w:t xml:space="preserve"> </w:t>
      </w:r>
      <w:r w:rsidRPr="003015FD">
        <w:t>(54</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of</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who</w:t>
      </w:r>
      <w:r w:rsidR="00975895" w:rsidRPr="003015FD">
        <w:t xml:space="preserve"> </w:t>
      </w:r>
      <w:r w:rsidRPr="003015FD">
        <w:t>received</w:t>
      </w:r>
      <w:r w:rsidR="00975895" w:rsidRPr="003015FD">
        <w:t xml:space="preserve"> </w:t>
      </w:r>
      <w:r w:rsidRPr="003015FD">
        <w:t>a</w:t>
      </w:r>
      <w:r w:rsidR="00975895" w:rsidRPr="003015FD">
        <w:t xml:space="preserve"> </w:t>
      </w:r>
      <w:r w:rsidRPr="003015FD">
        <w:t>complaint</w:t>
      </w:r>
      <w:r w:rsidR="00975895" w:rsidRPr="003015FD">
        <w:t xml:space="preserve"> </w:t>
      </w:r>
      <w:r w:rsidRPr="003015FD">
        <w:t>involving</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w:t>
      </w:r>
      <w:r w:rsidR="00975895" w:rsidRPr="003015FD">
        <w:t xml:space="preserve"> </w:t>
      </w:r>
      <w:r w:rsidRPr="003015FD">
        <w:t>made</w:t>
      </w:r>
      <w:r w:rsidR="00975895" w:rsidRPr="003015FD">
        <w:t xml:space="preserve"> </w:t>
      </w:r>
      <w:r w:rsidRPr="003015FD">
        <w:t>a</w:t>
      </w:r>
      <w:r w:rsidR="00975895" w:rsidRPr="003015FD">
        <w:t xml:space="preserve"> </w:t>
      </w:r>
      <w:r w:rsidRPr="003015FD">
        <w:t>service</w:t>
      </w:r>
      <w:r w:rsidR="00975895" w:rsidRPr="003015FD">
        <w:t xml:space="preserve"> </w:t>
      </w:r>
      <w:r w:rsidRPr="003015FD">
        <w:t>improvement</w:t>
      </w:r>
      <w:r w:rsidR="00975895" w:rsidRPr="003015FD">
        <w:t xml:space="preserve"> </w:t>
      </w:r>
      <w:r w:rsidRPr="003015FD">
        <w:t>in</w:t>
      </w:r>
      <w:r w:rsidR="00975895" w:rsidRPr="003015FD">
        <w:t xml:space="preserve"> </w:t>
      </w:r>
      <w:r w:rsidRPr="003015FD">
        <w:t>response.</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(100</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and</w:t>
      </w:r>
      <w:r w:rsidR="00975895" w:rsidRPr="003015FD">
        <w:t xml:space="preserve"> </w:t>
      </w:r>
      <w:r w:rsidRPr="003015FD">
        <w:t>small</w:t>
      </w:r>
      <w:r w:rsidR="00975895" w:rsidRPr="003015FD">
        <w:t xml:space="preserve"> </w:t>
      </w:r>
      <w:r w:rsidRPr="003015FD">
        <w:t>agencies</w:t>
      </w:r>
      <w:r w:rsidR="00975895" w:rsidRPr="003015FD">
        <w:t xml:space="preserve"> </w:t>
      </w:r>
      <w:r w:rsidRPr="003015FD">
        <w:t>(83</w:t>
      </w:r>
      <w:r w:rsidR="00975895" w:rsidRPr="003015FD">
        <w:t xml:space="preserve"> </w:t>
      </w:r>
      <w:r w:rsidR="000B73B9" w:rsidRPr="003015FD">
        <w:t>per</w:t>
      </w:r>
      <w:r w:rsidR="00975895" w:rsidRPr="003015FD">
        <w:t xml:space="preserve"> </w:t>
      </w:r>
      <w:r w:rsidR="000B73B9" w:rsidRPr="003015FD">
        <w:t>cent</w:t>
      </w:r>
      <w:r w:rsidRPr="003015FD">
        <w:t>)</w:t>
      </w:r>
      <w:r w:rsidR="00975895" w:rsidRPr="003015FD">
        <w:t xml:space="preserve"> </w:t>
      </w:r>
      <w:r w:rsidRPr="003015FD">
        <w:t>were</w:t>
      </w:r>
      <w:r w:rsidR="00975895" w:rsidRPr="003015FD">
        <w:t xml:space="preserve"> </w:t>
      </w:r>
      <w:r w:rsidRPr="003015FD">
        <w:t>most</w:t>
      </w:r>
      <w:r w:rsidR="00975895" w:rsidRPr="003015FD">
        <w:t xml:space="preserve"> </w:t>
      </w:r>
      <w:r w:rsidRPr="003015FD">
        <w:t>likely</w:t>
      </w:r>
      <w:r w:rsidR="00975895" w:rsidRPr="003015FD">
        <w:t xml:space="preserve"> </w:t>
      </w:r>
      <w:r w:rsidRPr="003015FD">
        <w:t>to</w:t>
      </w:r>
      <w:r w:rsidR="00975895" w:rsidRPr="003015FD">
        <w:t xml:space="preserve"> </w:t>
      </w:r>
      <w:r w:rsidRPr="003015FD">
        <w:t>have</w:t>
      </w:r>
      <w:r w:rsidR="00975895" w:rsidRPr="003015FD">
        <w:t xml:space="preserve"> </w:t>
      </w:r>
      <w:r w:rsidRPr="003015FD">
        <w:t>made</w:t>
      </w:r>
      <w:r w:rsidR="00975895" w:rsidRPr="003015FD">
        <w:t xml:space="preserve"> </w:t>
      </w:r>
      <w:r w:rsidRPr="003015FD">
        <w:t>a</w:t>
      </w:r>
      <w:r w:rsidR="00975895" w:rsidRPr="003015FD">
        <w:t xml:space="preserve"> </w:t>
      </w:r>
      <w:r w:rsidRPr="003015FD">
        <w:t>service</w:t>
      </w:r>
      <w:r w:rsidR="00975895" w:rsidRPr="003015FD">
        <w:t xml:space="preserve"> </w:t>
      </w:r>
      <w:r w:rsidRPr="003015FD">
        <w:t>improvement.</w:t>
      </w:r>
    </w:p>
    <w:tbl>
      <w:tblPr>
        <w:tblStyle w:val="CustomTablebreakoutbox"/>
        <w:tblW w:w="0" w:type="auto"/>
        <w:tblLook w:val="04A0" w:firstRow="1" w:lastRow="0" w:firstColumn="1" w:lastColumn="0" w:noHBand="0" w:noVBand="1"/>
      </w:tblPr>
      <w:tblGrid>
        <w:gridCol w:w="9061"/>
      </w:tblGrid>
      <w:tr w:rsidR="00CF666C" w14:paraId="0D77BE81" w14:textId="77777777" w:rsidTr="00CF666C">
        <w:tc>
          <w:tcPr>
            <w:tcW w:w="9061" w:type="dxa"/>
          </w:tcPr>
          <w:p w14:paraId="5511CB88" w14:textId="70D4E06F" w:rsidR="00CF666C" w:rsidRPr="003E33DC" w:rsidRDefault="00CF666C" w:rsidP="00CF666C">
            <w:pPr>
              <w:pStyle w:val="BodyText"/>
              <w:rPr>
                <w:rStyle w:val="Characterbold"/>
              </w:rPr>
            </w:pPr>
            <w:r w:rsidRPr="005B572A">
              <w:rPr>
                <w:rStyle w:val="Characterbold"/>
                <w:lang w:val="en-GB"/>
              </w:rPr>
              <w:t>Examples of service improvements</w:t>
            </w:r>
            <w:r>
              <w:rPr>
                <w:rStyle w:val="Characterbold"/>
                <w:lang w:val="en-GB"/>
              </w:rPr>
              <w:t>:</w:t>
            </w:r>
          </w:p>
          <w:p w14:paraId="21CDBBD5" w14:textId="2207990C" w:rsidR="00CF666C" w:rsidRPr="003015FD" w:rsidRDefault="00CF666C" w:rsidP="00CF666C">
            <w:pPr>
              <w:pStyle w:val="ListBullet"/>
            </w:pPr>
            <w:r>
              <w:t>T</w:t>
            </w:r>
            <w:r w:rsidRPr="003015FD">
              <w:t xml:space="preserve">he Independent </w:t>
            </w:r>
            <w:r>
              <w:t>b</w:t>
            </w:r>
            <w:r w:rsidRPr="003015FD">
              <w:t xml:space="preserve">road-based </w:t>
            </w:r>
            <w:r>
              <w:t>a</w:t>
            </w:r>
            <w:r w:rsidRPr="003015FD">
              <w:t xml:space="preserve">nti-corruption </w:t>
            </w:r>
            <w:r>
              <w:t>c</w:t>
            </w:r>
            <w:r w:rsidRPr="003015FD">
              <w:t xml:space="preserve">ommission </w:t>
            </w:r>
            <w:r w:rsidR="001177DE" w:rsidRPr="001177DE">
              <w:t>took steps to address welfare risks associated with some private examinations in late 2018, including providing witnesses with access to a welfare service</w:t>
            </w:r>
            <w:r>
              <w:t>.</w:t>
            </w:r>
          </w:p>
          <w:p w14:paraId="1539713B" w14:textId="77777777" w:rsidR="00CF666C" w:rsidRDefault="00CF666C" w:rsidP="00CF666C">
            <w:pPr>
              <w:pStyle w:val="ListBullet"/>
            </w:pPr>
            <w:r>
              <w:t>T</w:t>
            </w:r>
            <w:r w:rsidRPr="003015FD">
              <w:t>he Department of Health and Human Services reduced restrictive practices in secure welfare service</w:t>
            </w:r>
            <w:r>
              <w:t>.</w:t>
            </w:r>
          </w:p>
          <w:p w14:paraId="4A99E875" w14:textId="188714FD" w:rsidR="00CF666C" w:rsidRDefault="00CF666C" w:rsidP="00CF666C">
            <w:pPr>
              <w:pStyle w:val="ListBullet"/>
            </w:pPr>
            <w:r>
              <w:lastRenderedPageBreak/>
              <w:t>T</w:t>
            </w:r>
            <w:r w:rsidRPr="003015FD">
              <w:t xml:space="preserve">he Office of the Victorian Information Commissioner </w:t>
            </w:r>
            <w:r w:rsidR="002F3427" w:rsidRPr="002F3427">
              <w:t>changed how it</w:t>
            </w:r>
            <w:r w:rsidR="002F3427">
              <w:t xml:space="preserve"> </w:t>
            </w:r>
            <w:r w:rsidR="002F3427" w:rsidRPr="002F3427">
              <w:t>processed freedom of information complaints to decrease response times and improve engagement with complainants</w:t>
            </w:r>
            <w:r>
              <w:t>.</w:t>
            </w:r>
          </w:p>
        </w:tc>
      </w:tr>
    </w:tbl>
    <w:p w14:paraId="4C8E158B" w14:textId="35DAA4E8" w:rsidR="008E0945" w:rsidRPr="0002642E" w:rsidRDefault="008E0945" w:rsidP="0002642E">
      <w:pPr>
        <w:pStyle w:val="Caption"/>
        <w:rPr>
          <w:rStyle w:val="Characterbold"/>
        </w:rPr>
      </w:pPr>
      <w:r w:rsidRPr="0002642E">
        <w:rPr>
          <w:rStyle w:val="Characterbold"/>
        </w:rPr>
        <w:lastRenderedPageBreak/>
        <w:t>Figure</w:t>
      </w:r>
      <w:r w:rsidR="00975895" w:rsidRPr="0002642E">
        <w:rPr>
          <w:rStyle w:val="Characterbold"/>
        </w:rPr>
        <w:t xml:space="preserve"> </w:t>
      </w:r>
      <w:r w:rsidR="003B428A">
        <w:rPr>
          <w:rStyle w:val="HRVBold"/>
        </w:rPr>
        <w:t>25:</w:t>
      </w:r>
      <w:r w:rsidR="00975895" w:rsidRPr="0002642E">
        <w:rPr>
          <w:rStyle w:val="Characterbold"/>
        </w:rPr>
        <w:t xml:space="preserve"> </w:t>
      </w:r>
      <w:r w:rsidRPr="0002642E">
        <w:rPr>
          <w:rStyle w:val="Characterbold"/>
        </w:rPr>
        <w:t>Record</w:t>
      </w:r>
      <w:r w:rsidR="00975895" w:rsidRPr="0002642E">
        <w:rPr>
          <w:rStyle w:val="Characterbold"/>
        </w:rPr>
        <w:t xml:space="preserve"> </w:t>
      </w:r>
      <w:r w:rsidRPr="0002642E">
        <w:rPr>
          <w:rStyle w:val="Characterbold"/>
        </w:rPr>
        <w:t>whether</w:t>
      </w:r>
      <w:r w:rsidR="00975895" w:rsidRPr="0002642E">
        <w:rPr>
          <w:rStyle w:val="Characterbold"/>
        </w:rPr>
        <w:t xml:space="preserve"> </w:t>
      </w:r>
      <w:r w:rsidRPr="0002642E">
        <w:rPr>
          <w:rStyle w:val="Characterbold"/>
        </w:rPr>
        <w:t>service</w:t>
      </w:r>
      <w:r w:rsidR="00975895" w:rsidRPr="0002642E">
        <w:rPr>
          <w:rStyle w:val="Characterbold"/>
        </w:rPr>
        <w:t xml:space="preserve"> </w:t>
      </w:r>
      <w:r w:rsidRPr="0002642E">
        <w:rPr>
          <w:rStyle w:val="Characterbold"/>
        </w:rPr>
        <w:t>improvements</w:t>
      </w:r>
      <w:r w:rsidR="00975895" w:rsidRPr="0002642E">
        <w:rPr>
          <w:rStyle w:val="Characterbold"/>
        </w:rPr>
        <w:t xml:space="preserve"> </w:t>
      </w:r>
      <w:r w:rsidRPr="0002642E">
        <w:rPr>
          <w:rStyle w:val="Characterbold"/>
        </w:rPr>
        <w:t>are</w:t>
      </w:r>
      <w:r w:rsidR="00975895" w:rsidRPr="0002642E">
        <w:rPr>
          <w:rStyle w:val="Characterbold"/>
        </w:rPr>
        <w:t xml:space="preserve"> </w:t>
      </w:r>
      <w:r w:rsidRPr="0002642E">
        <w:rPr>
          <w:rStyle w:val="Characterbold"/>
        </w:rPr>
        <w:t>made</w:t>
      </w:r>
      <w:r w:rsidR="00975895" w:rsidRPr="0002642E">
        <w:rPr>
          <w:rStyle w:val="Characterbold"/>
        </w:rPr>
        <w:t xml:space="preserve"> </w:t>
      </w:r>
      <w:r w:rsidRPr="0002642E">
        <w:rPr>
          <w:rStyle w:val="Characterbold"/>
        </w:rPr>
        <w:t>in</w:t>
      </w:r>
      <w:r w:rsidR="00975895" w:rsidRPr="0002642E">
        <w:rPr>
          <w:rStyle w:val="Characterbold"/>
        </w:rPr>
        <w:t xml:space="preserve"> </w:t>
      </w:r>
      <w:r w:rsidRPr="0002642E">
        <w:rPr>
          <w:rStyle w:val="Characterbold"/>
        </w:rPr>
        <w:t>response</w:t>
      </w:r>
      <w:r w:rsidR="00975895" w:rsidRPr="0002642E">
        <w:rPr>
          <w:rStyle w:val="Characterbold"/>
        </w:rPr>
        <w:t xml:space="preserve"> </w:t>
      </w:r>
      <w:r w:rsidRPr="0002642E">
        <w:rPr>
          <w:rStyle w:val="Characterbold"/>
        </w:rPr>
        <w:t>to</w:t>
      </w:r>
      <w:r w:rsidR="00975895" w:rsidRPr="0002642E">
        <w:rPr>
          <w:rStyle w:val="Characterbold"/>
        </w:rPr>
        <w:t xml:space="preserve"> </w:t>
      </w:r>
      <w:r w:rsidRPr="0002642E">
        <w:rPr>
          <w:rStyle w:val="Characterbold"/>
        </w:rPr>
        <w:t>complaints</w:t>
      </w:r>
    </w:p>
    <w:p w14:paraId="01DD4A0F" w14:textId="5A9EF69D" w:rsidR="008E0945" w:rsidRPr="003015FD" w:rsidRDefault="008E0945" w:rsidP="0002642E">
      <w:r w:rsidRPr="003015FD">
        <w:t>(Base:</w:t>
      </w:r>
      <w:r w:rsidR="00975895" w:rsidRPr="003015FD">
        <w:t xml:space="preserve"> </w:t>
      </w:r>
      <w:r w:rsidRPr="003015FD">
        <w:t>respondents</w:t>
      </w:r>
      <w:r w:rsidR="00975895" w:rsidRPr="003015FD">
        <w:t xml:space="preserve"> </w:t>
      </w:r>
      <w:r w:rsidRPr="003015FD">
        <w:t>who</w:t>
      </w:r>
      <w:r w:rsidR="00975895" w:rsidRPr="003015FD">
        <w:t xml:space="preserve"> </w:t>
      </w:r>
      <w:r w:rsidRPr="003015FD">
        <w:t>received</w:t>
      </w:r>
      <w:r w:rsidR="00975895" w:rsidRPr="003015FD">
        <w:t xml:space="preserve"> </w:t>
      </w:r>
      <w:r w:rsidRPr="003015FD">
        <w:t>a</w:t>
      </w:r>
      <w:r w:rsidR="00975895" w:rsidRPr="003015FD">
        <w:t xml:space="preserve"> </w:t>
      </w:r>
      <w:r w:rsidRPr="003015FD">
        <w:t>complaint</w:t>
      </w:r>
      <w:r w:rsidR="00975895" w:rsidRPr="003015FD">
        <w:t xml:space="preserve"> </w:t>
      </w:r>
      <w:r w:rsidRPr="003015FD">
        <w:t>about</w:t>
      </w:r>
      <w:r w:rsidR="00975895" w:rsidRPr="003015FD">
        <w:t xml:space="preserve"> </w:t>
      </w:r>
      <w:r w:rsidRPr="003015FD">
        <w:t>their</w:t>
      </w:r>
      <w:r w:rsidR="00975895" w:rsidRPr="003015FD">
        <w:t xml:space="preserve"> </w:t>
      </w:r>
      <w:r w:rsidRPr="003015FD">
        <w:t>organisation)</w:t>
      </w:r>
    </w:p>
    <w:p w14:paraId="216EC112" w14:textId="77777777" w:rsidR="008E0945" w:rsidRPr="0002642E" w:rsidRDefault="008E0945" w:rsidP="0002642E">
      <w:pPr>
        <w:pStyle w:val="MediumGrid21"/>
        <w:jc w:val="center"/>
        <w:rPr>
          <w:rFonts w:ascii="Arial" w:hAnsi="Arial"/>
          <w:lang w:val="en-GB"/>
        </w:rPr>
      </w:pPr>
      <w:r w:rsidRPr="0002642E">
        <w:rPr>
          <w:rFonts w:ascii="Arial" w:hAnsi="Arial" w:cs="Arial"/>
          <w:noProof/>
          <w:lang w:val="en-GB" w:eastAsia="en-GB"/>
        </w:rPr>
        <w:drawing>
          <wp:inline distT="0" distB="0" distL="0" distR="0" wp14:anchorId="61A76151" wp14:editId="6D4D4B32">
            <wp:extent cx="4150600" cy="1935046"/>
            <wp:effectExtent l="0" t="0" r="2540"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59043" cy="1938982"/>
                    </a:xfrm>
                    <a:prstGeom prst="rect">
                      <a:avLst/>
                    </a:prstGeom>
                    <a:noFill/>
                    <a:ln>
                      <a:noFill/>
                    </a:ln>
                  </pic:spPr>
                </pic:pic>
              </a:graphicData>
            </a:graphic>
          </wp:inline>
        </w:drawing>
      </w:r>
    </w:p>
    <w:p w14:paraId="3FFC2DEF" w14:textId="7561AE46" w:rsidR="008E0945" w:rsidRPr="0002642E" w:rsidRDefault="008E0945" w:rsidP="0002642E">
      <w:pPr>
        <w:pStyle w:val="Caption"/>
        <w:rPr>
          <w:rStyle w:val="Characterbold"/>
        </w:rPr>
      </w:pPr>
      <w:r w:rsidRPr="0002642E">
        <w:rPr>
          <w:rStyle w:val="Characterbold"/>
        </w:rPr>
        <w:t>Figure</w:t>
      </w:r>
      <w:r w:rsidR="00975895" w:rsidRPr="0002642E">
        <w:rPr>
          <w:rStyle w:val="Characterbold"/>
        </w:rPr>
        <w:t xml:space="preserve"> </w:t>
      </w:r>
      <w:r w:rsidR="003B428A">
        <w:rPr>
          <w:rStyle w:val="HRVBold"/>
        </w:rPr>
        <w:t>26:</w:t>
      </w:r>
      <w:r w:rsidR="00975895" w:rsidRPr="0002642E">
        <w:rPr>
          <w:rStyle w:val="Characterbold"/>
        </w:rPr>
        <w:t xml:space="preserve"> </w:t>
      </w:r>
      <w:r w:rsidRPr="0002642E">
        <w:rPr>
          <w:rStyle w:val="Characterbold"/>
        </w:rPr>
        <w:t>Service</w:t>
      </w:r>
      <w:r w:rsidR="00975895" w:rsidRPr="0002642E">
        <w:rPr>
          <w:rStyle w:val="Characterbold"/>
        </w:rPr>
        <w:t xml:space="preserve"> </w:t>
      </w:r>
      <w:r w:rsidRPr="0002642E">
        <w:rPr>
          <w:rStyle w:val="Characterbold"/>
        </w:rPr>
        <w:t>improvements</w:t>
      </w:r>
      <w:r w:rsidR="00975895" w:rsidRPr="0002642E">
        <w:rPr>
          <w:rStyle w:val="Characterbold"/>
        </w:rPr>
        <w:t xml:space="preserve"> </w:t>
      </w:r>
      <w:r w:rsidRPr="0002642E">
        <w:rPr>
          <w:rStyle w:val="Characterbold"/>
        </w:rPr>
        <w:t>made</w:t>
      </w:r>
      <w:r w:rsidR="00975895" w:rsidRPr="0002642E">
        <w:rPr>
          <w:rStyle w:val="Characterbold"/>
        </w:rPr>
        <w:t xml:space="preserve"> </w:t>
      </w:r>
      <w:r w:rsidRPr="0002642E">
        <w:rPr>
          <w:rStyle w:val="Characterbold"/>
        </w:rPr>
        <w:t>in</w:t>
      </w:r>
      <w:r w:rsidR="00975895" w:rsidRPr="0002642E">
        <w:rPr>
          <w:rStyle w:val="Characterbold"/>
        </w:rPr>
        <w:t xml:space="preserve"> </w:t>
      </w:r>
      <w:r w:rsidRPr="0002642E">
        <w:rPr>
          <w:rStyle w:val="Characterbold"/>
        </w:rPr>
        <w:t>response</w:t>
      </w:r>
      <w:r w:rsidR="00975895" w:rsidRPr="0002642E">
        <w:rPr>
          <w:rStyle w:val="Characterbold"/>
        </w:rPr>
        <w:t xml:space="preserve"> </w:t>
      </w:r>
      <w:r w:rsidRPr="0002642E">
        <w:rPr>
          <w:rStyle w:val="Characterbold"/>
        </w:rPr>
        <w:t>to</w:t>
      </w:r>
      <w:r w:rsidR="00975895" w:rsidRPr="0002642E">
        <w:rPr>
          <w:rStyle w:val="Characterbold"/>
        </w:rPr>
        <w:t xml:space="preserve"> </w:t>
      </w:r>
      <w:r w:rsidRPr="0002642E">
        <w:rPr>
          <w:rStyle w:val="Characterbold"/>
        </w:rPr>
        <w:t>complaints</w:t>
      </w:r>
      <w:r w:rsidR="00975895" w:rsidRPr="0002642E">
        <w:rPr>
          <w:rStyle w:val="Characterbold"/>
        </w:rPr>
        <w:t xml:space="preserve"> </w:t>
      </w:r>
      <w:r w:rsidRPr="0002642E">
        <w:rPr>
          <w:rStyle w:val="Characterbold"/>
        </w:rPr>
        <w:t>involving</w:t>
      </w:r>
      <w:r w:rsidR="00975895" w:rsidRPr="0002642E">
        <w:rPr>
          <w:rStyle w:val="Characterbold"/>
        </w:rPr>
        <w:t xml:space="preserve"> </w:t>
      </w:r>
      <w:r w:rsidRPr="0002642E">
        <w:rPr>
          <w:rStyle w:val="Characterbold"/>
        </w:rPr>
        <w:t>a</w:t>
      </w:r>
      <w:r w:rsidR="00975895" w:rsidRPr="0002642E">
        <w:rPr>
          <w:rStyle w:val="Characterbold"/>
        </w:rPr>
        <w:t xml:space="preserve"> </w:t>
      </w:r>
      <w:r w:rsidRPr="0002642E">
        <w:rPr>
          <w:rStyle w:val="Characterbold"/>
        </w:rPr>
        <w:t>human</w:t>
      </w:r>
      <w:r w:rsidR="00975895" w:rsidRPr="0002642E">
        <w:rPr>
          <w:rStyle w:val="Characterbold"/>
        </w:rPr>
        <w:t xml:space="preserve"> </w:t>
      </w:r>
      <w:r w:rsidRPr="0002642E">
        <w:rPr>
          <w:rStyle w:val="Characterbold"/>
        </w:rPr>
        <w:t>rights</w:t>
      </w:r>
      <w:r w:rsidR="00975895" w:rsidRPr="0002642E">
        <w:rPr>
          <w:rStyle w:val="Characterbold"/>
        </w:rPr>
        <w:t xml:space="preserve"> </w:t>
      </w:r>
      <w:r w:rsidRPr="0002642E">
        <w:rPr>
          <w:rStyle w:val="Characterbold"/>
        </w:rPr>
        <w:t>issue</w:t>
      </w:r>
    </w:p>
    <w:p w14:paraId="487AFECB" w14:textId="0CC8853F" w:rsidR="008E0945" w:rsidRPr="003015FD" w:rsidRDefault="008E0945" w:rsidP="0002642E">
      <w:r w:rsidRPr="003015FD">
        <w:t>(Base:</w:t>
      </w:r>
      <w:r w:rsidR="00975895" w:rsidRPr="003015FD">
        <w:t xml:space="preserve"> </w:t>
      </w:r>
      <w:r w:rsidRPr="003015FD">
        <w:t>respondents</w:t>
      </w:r>
      <w:r w:rsidR="00975895" w:rsidRPr="003015FD">
        <w:t xml:space="preserve"> </w:t>
      </w:r>
      <w:r w:rsidRPr="003015FD">
        <w:t>who</w:t>
      </w:r>
      <w:r w:rsidR="00975895" w:rsidRPr="003015FD">
        <w:t xml:space="preserve"> </w:t>
      </w:r>
      <w:r w:rsidRPr="003015FD">
        <w:t>received</w:t>
      </w:r>
      <w:r w:rsidR="00975895" w:rsidRPr="003015FD">
        <w:t xml:space="preserve"> </w:t>
      </w:r>
      <w:r w:rsidRPr="003015FD">
        <w:t>a</w:t>
      </w:r>
      <w:r w:rsidR="00975895" w:rsidRPr="003015FD">
        <w:t xml:space="preserve"> </w:t>
      </w:r>
      <w:r w:rsidRPr="003015FD">
        <w:t>complaint</w:t>
      </w:r>
      <w:r w:rsidR="00975895" w:rsidRPr="003015FD">
        <w:t xml:space="preserve"> </w:t>
      </w:r>
      <w:r w:rsidRPr="003015FD">
        <w:t>about</w:t>
      </w:r>
      <w:r w:rsidR="00975895" w:rsidRPr="003015FD">
        <w:t xml:space="preserve"> </w:t>
      </w:r>
      <w:r w:rsidRPr="003015FD">
        <w:t>their</w:t>
      </w:r>
      <w:r w:rsidR="00975895" w:rsidRPr="003015FD">
        <w:t xml:space="preserve"> </w:t>
      </w:r>
      <w:r w:rsidRPr="003015FD">
        <w:t>organisation)</w:t>
      </w:r>
    </w:p>
    <w:p w14:paraId="318D8AD6" w14:textId="66FB2D94" w:rsidR="008E0945" w:rsidRDefault="008E0945" w:rsidP="008E0945">
      <w:pPr>
        <w:pStyle w:val="MediumGrid21"/>
        <w:jc w:val="center"/>
        <w:rPr>
          <w:rFonts w:ascii="Arial" w:hAnsi="Arial" w:cs="Arial"/>
          <w:lang w:val="en-GB"/>
        </w:rPr>
      </w:pPr>
      <w:r w:rsidRPr="0002642E">
        <w:rPr>
          <w:rFonts w:ascii="Arial" w:hAnsi="Arial" w:cs="Arial"/>
          <w:noProof/>
          <w:lang w:val="en-GB" w:eastAsia="en-GB"/>
        </w:rPr>
        <w:drawing>
          <wp:inline distT="0" distB="0" distL="0" distR="0" wp14:anchorId="494AB726" wp14:editId="5260FB8E">
            <wp:extent cx="4500686" cy="2095268"/>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87728" cy="2135790"/>
                    </a:xfrm>
                    <a:prstGeom prst="rect">
                      <a:avLst/>
                    </a:prstGeom>
                    <a:noFill/>
                    <a:ln>
                      <a:noFill/>
                    </a:ln>
                  </pic:spPr>
                </pic:pic>
              </a:graphicData>
            </a:graphic>
          </wp:inline>
        </w:drawing>
      </w:r>
    </w:p>
    <w:tbl>
      <w:tblPr>
        <w:tblStyle w:val="CustomTablebreakoutbox"/>
        <w:tblW w:w="0" w:type="auto"/>
        <w:tblLook w:val="04A0" w:firstRow="1" w:lastRow="0" w:firstColumn="1" w:lastColumn="0" w:noHBand="0" w:noVBand="1"/>
      </w:tblPr>
      <w:tblGrid>
        <w:gridCol w:w="9061"/>
      </w:tblGrid>
      <w:tr w:rsidR="00CF666C" w14:paraId="45EE82E5" w14:textId="77777777" w:rsidTr="00CF666C">
        <w:tc>
          <w:tcPr>
            <w:tcW w:w="9061" w:type="dxa"/>
          </w:tcPr>
          <w:p w14:paraId="30D8B396" w14:textId="391A0871" w:rsidR="00CF666C" w:rsidRPr="003E33DC" w:rsidRDefault="00591BFC" w:rsidP="00CF666C">
            <w:pPr>
              <w:pStyle w:val="BodyText"/>
              <w:rPr>
                <w:rStyle w:val="Characterbold"/>
              </w:rPr>
            </w:pPr>
            <w:r>
              <w:rPr>
                <w:rStyle w:val="Characterbold"/>
              </w:rPr>
              <w:t>Reflections from community interviews</w:t>
            </w:r>
          </w:p>
          <w:p w14:paraId="29EF0E68" w14:textId="77777777" w:rsidR="00CF666C" w:rsidRPr="003015FD" w:rsidRDefault="00CF666C" w:rsidP="00CF666C">
            <w:r w:rsidRPr="003015FD">
              <w:t>No community organisation participants reported they had made a complaint against a public authority on behalf on their clients or stakeholders. However, some indicated they had supported members of the community to make their own complaints. Most participants felt they were confident they would be able to make a complaint on somebody</w:t>
            </w:r>
            <w:r>
              <w:t>'</w:t>
            </w:r>
            <w:r w:rsidRPr="003015FD">
              <w:t>s behalf should they ever need to.</w:t>
            </w:r>
          </w:p>
          <w:p w14:paraId="530882B2" w14:textId="77777777" w:rsidR="00CF666C" w:rsidRPr="003015FD" w:rsidRDefault="00CF666C" w:rsidP="00CF666C">
            <w:r w:rsidRPr="003015FD">
              <w:t>Participants provided suggestions to improve public authorities</w:t>
            </w:r>
            <w:r>
              <w:t>'</w:t>
            </w:r>
            <w:r w:rsidRPr="003015FD">
              <w:t xml:space="preserve"> complaints processes, including:</w:t>
            </w:r>
          </w:p>
          <w:p w14:paraId="088ADB7B" w14:textId="77777777" w:rsidR="00CF666C" w:rsidRPr="003015FD" w:rsidRDefault="00CF666C" w:rsidP="00CF666C">
            <w:pPr>
              <w:pStyle w:val="ListBullet"/>
            </w:pPr>
            <w:r w:rsidRPr="003015FD">
              <w:t xml:space="preserve">provide an expected timeframe for a response </w:t>
            </w:r>
          </w:p>
          <w:p w14:paraId="5212B7FA" w14:textId="27DE3BDB" w:rsidR="00CF666C" w:rsidRPr="00CF666C" w:rsidRDefault="00CF666C" w:rsidP="00CF666C">
            <w:pPr>
              <w:pStyle w:val="ListBullet"/>
              <w:rPr>
                <w:b/>
              </w:rPr>
            </w:pPr>
            <w:r w:rsidRPr="003015FD">
              <w:t>ensure complainants are not treated unfairly as a result</w:t>
            </w:r>
          </w:p>
          <w:p w14:paraId="3736A1EB" w14:textId="3328D7CC" w:rsidR="00CF666C" w:rsidRPr="00CF666C" w:rsidRDefault="00CF666C" w:rsidP="00CF666C">
            <w:pPr>
              <w:pStyle w:val="ListBullet"/>
              <w:rPr>
                <w:b/>
              </w:rPr>
            </w:pPr>
            <w:r w:rsidRPr="003015FD">
              <w:t>make the complaints process accessible to everyone in the community</w:t>
            </w:r>
            <w:r>
              <w:t>.</w:t>
            </w:r>
          </w:p>
        </w:tc>
      </w:tr>
    </w:tbl>
    <w:p w14:paraId="158FE8E4" w14:textId="60A8ED8C" w:rsidR="003E7497" w:rsidRPr="0002642E" w:rsidRDefault="00CD538F" w:rsidP="0002642E">
      <w:pPr>
        <w:rPr>
          <w:b/>
        </w:rPr>
      </w:pPr>
      <w:bookmarkStart w:id="76" w:name="_Toc8224941"/>
      <w:r w:rsidRPr="0002642E">
        <w:rPr>
          <w:b/>
        </w:rPr>
        <w:t>Tips on putting this into practice</w:t>
      </w:r>
    </w:p>
    <w:p w14:paraId="1F430172" w14:textId="154333D0" w:rsidR="00CD538F" w:rsidRPr="00735BA6" w:rsidRDefault="00CD538F" w:rsidP="0002642E">
      <w:pPr>
        <w:pStyle w:val="BodyText"/>
        <w:rPr>
          <w:lang w:eastAsia="en-AU"/>
        </w:rPr>
      </w:pPr>
      <w:r>
        <w:t xml:space="preserve">Some ways the framework shows to improve </w:t>
      </w:r>
      <w:r w:rsidRPr="0002642E">
        <w:rPr>
          <w:b/>
        </w:rPr>
        <w:t>systems and processes</w:t>
      </w:r>
      <w:r w:rsidRPr="00735BA6">
        <w:rPr>
          <w:lang w:eastAsia="en-AU"/>
        </w:rPr>
        <w:t>:</w:t>
      </w:r>
    </w:p>
    <w:p w14:paraId="689B432F" w14:textId="77777777" w:rsidR="00CD538F" w:rsidRPr="00735BA6" w:rsidRDefault="00CD538F" w:rsidP="0002642E">
      <w:pPr>
        <w:pStyle w:val="BodyText"/>
        <w:numPr>
          <w:ilvl w:val="0"/>
          <w:numId w:val="98"/>
        </w:numPr>
        <w:rPr>
          <w:lang w:eastAsia="en-AU"/>
        </w:rPr>
      </w:pPr>
      <w:r>
        <w:rPr>
          <w:lang w:eastAsia="en-AU"/>
        </w:rPr>
        <w:lastRenderedPageBreak/>
        <w:t>i</w:t>
      </w:r>
      <w:r w:rsidRPr="00735BA6">
        <w:rPr>
          <w:lang w:eastAsia="en-AU"/>
        </w:rPr>
        <w:t xml:space="preserve">nclude the Charter in any organisational legal compliance frameworks </w:t>
      </w:r>
    </w:p>
    <w:p w14:paraId="32E5B2E9" w14:textId="5976CB50" w:rsidR="00CD538F" w:rsidRDefault="00CD538F" w:rsidP="00CD538F">
      <w:pPr>
        <w:pStyle w:val="ListParagraph"/>
        <w:numPr>
          <w:ilvl w:val="0"/>
          <w:numId w:val="98"/>
        </w:numPr>
        <w:rPr>
          <w:lang w:eastAsia="en-AU"/>
        </w:rPr>
      </w:pPr>
      <w:r>
        <w:rPr>
          <w:lang w:eastAsia="en-AU"/>
        </w:rPr>
        <w:t>h</w:t>
      </w:r>
      <w:r w:rsidRPr="00735BA6">
        <w:rPr>
          <w:lang w:eastAsia="en-AU"/>
        </w:rPr>
        <w:t>ave a publicly available complaints policy</w:t>
      </w:r>
      <w:r>
        <w:rPr>
          <w:rStyle w:val="FootnoteReference"/>
          <w:lang w:eastAsia="en-AU"/>
        </w:rPr>
        <w:footnoteReference w:id="20"/>
      </w:r>
    </w:p>
    <w:p w14:paraId="5F152630" w14:textId="150C4AC7" w:rsidR="008E0945" w:rsidRPr="003015FD" w:rsidRDefault="007206F8" w:rsidP="0002642E">
      <w:pPr>
        <w:pStyle w:val="Heading2"/>
      </w:pPr>
      <w:bookmarkStart w:id="77" w:name="_Toc15045117"/>
      <w:bookmarkStart w:id="78" w:name="_Toc22011532"/>
      <w:r w:rsidRPr="003015FD">
        <w:t>2.8</w:t>
      </w:r>
      <w:r w:rsidRPr="003015FD">
        <w:tab/>
      </w:r>
      <w:r w:rsidR="008E0945" w:rsidRPr="003015FD">
        <w:t>Growing</w:t>
      </w:r>
      <w:r w:rsidR="00975895" w:rsidRPr="003015FD">
        <w:t xml:space="preserve"> </w:t>
      </w:r>
      <w:r w:rsidR="008E0945" w:rsidRPr="003015FD">
        <w:t>a</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culture</w:t>
      </w:r>
      <w:r w:rsidR="00975895" w:rsidRPr="003015FD">
        <w:t xml:space="preserve"> </w:t>
      </w:r>
      <w:r w:rsidR="008E0945" w:rsidRPr="003015FD">
        <w:t>in</w:t>
      </w:r>
      <w:r w:rsidR="00975895" w:rsidRPr="003015FD">
        <w:t xml:space="preserve"> </w:t>
      </w:r>
      <w:r w:rsidR="008E0945" w:rsidRPr="003015FD">
        <w:t>practice</w:t>
      </w:r>
      <w:r w:rsidR="00975895" w:rsidRPr="003015FD">
        <w:t xml:space="preserve"> </w:t>
      </w:r>
      <w:r w:rsidR="008E0945" w:rsidRPr="003015FD">
        <w:t>–</w:t>
      </w:r>
      <w:r w:rsidR="00975895" w:rsidRPr="003015FD">
        <w:t xml:space="preserve"> </w:t>
      </w:r>
      <w:r w:rsidR="008E0945" w:rsidRPr="003015FD">
        <w:t>case</w:t>
      </w:r>
      <w:r w:rsidR="00975895" w:rsidRPr="003015FD">
        <w:t xml:space="preserve"> </w:t>
      </w:r>
      <w:r w:rsidR="008E0945" w:rsidRPr="003015FD">
        <w:t>studies</w:t>
      </w:r>
      <w:bookmarkEnd w:id="76"/>
      <w:bookmarkEnd w:id="77"/>
      <w:bookmarkEnd w:id="78"/>
    </w:p>
    <w:p w14:paraId="4966F513" w14:textId="139D77BB" w:rsidR="008E0945" w:rsidRPr="003015FD" w:rsidRDefault="008E0945" w:rsidP="0002642E">
      <w:bookmarkStart w:id="79" w:name="_Hlk10472336"/>
      <w:r w:rsidRPr="003015FD">
        <w:t>This</w:t>
      </w:r>
      <w:r w:rsidR="00975895" w:rsidRPr="003015FD">
        <w:t xml:space="preserve"> </w:t>
      </w:r>
      <w:r w:rsidR="00F063CA" w:rsidRPr="003015FD">
        <w:t>section</w:t>
      </w:r>
      <w:r w:rsidR="00975895" w:rsidRPr="003015FD">
        <w:t xml:space="preserve"> </w:t>
      </w:r>
      <w:r w:rsidRPr="003015FD">
        <w:t>profiles</w:t>
      </w:r>
      <w:r w:rsidR="00975895" w:rsidRPr="003015FD">
        <w:t xml:space="preserve"> </w:t>
      </w:r>
      <w:r w:rsidRPr="003015FD">
        <w:t>two</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that</w:t>
      </w:r>
      <w:r w:rsidR="00975895" w:rsidRPr="003015FD">
        <w:t xml:space="preserve"> </w:t>
      </w:r>
      <w:r w:rsidRPr="003015FD">
        <w:t>are</w:t>
      </w:r>
      <w:r w:rsidR="00975895" w:rsidRPr="003015FD">
        <w:t xml:space="preserve"> </w:t>
      </w:r>
      <w:r w:rsidRPr="003015FD">
        <w:t>working</w:t>
      </w:r>
      <w:r w:rsidR="00975895" w:rsidRPr="003015FD">
        <w:t xml:space="preserve"> </w:t>
      </w:r>
      <w:r w:rsidRPr="003015FD">
        <w:t>to</w:t>
      </w:r>
      <w:r w:rsidR="00975895" w:rsidRPr="003015FD">
        <w:t xml:space="preserve"> </w:t>
      </w:r>
      <w:r w:rsidRPr="003015FD">
        <w:t>embed</w:t>
      </w:r>
      <w:r w:rsidR="00975895" w:rsidRPr="003015FD">
        <w:t xml:space="preserve"> </w:t>
      </w:r>
      <w:r w:rsidRPr="003015FD">
        <w:t>a</w:t>
      </w:r>
      <w:r w:rsidR="00975895" w:rsidRPr="003015FD">
        <w:t xml:space="preserve"> </w:t>
      </w:r>
      <w:r w:rsidRPr="003015FD">
        <w:t>positive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in</w:t>
      </w:r>
      <w:r w:rsidR="00975895" w:rsidRPr="003015FD">
        <w:t xml:space="preserve"> </w:t>
      </w:r>
      <w:r w:rsidRPr="003015FD">
        <w:t>their</w:t>
      </w:r>
      <w:r w:rsidR="00975895" w:rsidRPr="003015FD">
        <w:t xml:space="preserve"> </w:t>
      </w:r>
      <w:r w:rsidRPr="003015FD">
        <w:t>respective</w:t>
      </w:r>
      <w:r w:rsidR="00975895" w:rsidRPr="003015FD">
        <w:t xml:space="preserve"> </w:t>
      </w:r>
      <w:r w:rsidRPr="003015FD">
        <w:t>organisations:</w:t>
      </w:r>
      <w:r w:rsidR="00975895" w:rsidRPr="003015FD">
        <w:t xml:space="preserve"> </w:t>
      </w:r>
    </w:p>
    <w:p w14:paraId="0DD4BA7D" w14:textId="1B0706B2" w:rsidR="008E0945" w:rsidRPr="003015FD" w:rsidRDefault="008E0945" w:rsidP="0002642E">
      <w:pPr>
        <w:pStyle w:val="ListBullet"/>
      </w:pPr>
      <w:r w:rsidRPr="003015FD">
        <w:t>Corrections</w:t>
      </w:r>
      <w:r w:rsidR="00975895" w:rsidRPr="003015FD">
        <w:t xml:space="preserve"> </w:t>
      </w:r>
      <w:r w:rsidRPr="003015FD">
        <w:t>Victoria,</w:t>
      </w:r>
      <w:r w:rsidR="00975895" w:rsidRPr="003015FD">
        <w:t xml:space="preserve"> </w:t>
      </w:r>
      <w:r w:rsidRPr="003015FD">
        <w:t>through</w:t>
      </w:r>
      <w:r w:rsidR="00975895" w:rsidRPr="003015FD">
        <w:t xml:space="preserve"> </w:t>
      </w:r>
      <w:r w:rsidRPr="003015FD">
        <w:t>the</w:t>
      </w:r>
      <w:r w:rsidR="00975895" w:rsidRPr="003015FD">
        <w:t xml:space="preserve"> </w:t>
      </w:r>
      <w:r w:rsidRPr="003015FD">
        <w:t>lens</w:t>
      </w:r>
      <w:r w:rsidR="00975895" w:rsidRPr="003015FD">
        <w:t xml:space="preserve"> </w:t>
      </w:r>
      <w:r w:rsidRPr="003015FD">
        <w:t>of</w:t>
      </w:r>
      <w:r w:rsidR="00975895" w:rsidRPr="003015FD">
        <w:t xml:space="preserve"> </w:t>
      </w:r>
      <w:r w:rsidRPr="003015FD">
        <w:t>a</w:t>
      </w:r>
      <w:r w:rsidR="00975895" w:rsidRPr="003015FD">
        <w:t xml:space="preserve"> </w:t>
      </w:r>
      <w:r w:rsidRPr="003015FD">
        <w:t>Barwon</w:t>
      </w:r>
      <w:r w:rsidR="00975895" w:rsidRPr="003015FD">
        <w:t xml:space="preserve"> </w:t>
      </w:r>
      <w:r w:rsidRPr="003015FD">
        <w:t>Prison</w:t>
      </w:r>
      <w:r w:rsidR="00975895" w:rsidRPr="003015FD">
        <w:t xml:space="preserve"> </w:t>
      </w:r>
      <w:r w:rsidRPr="003015FD">
        <w:t>Operations</w:t>
      </w:r>
      <w:r w:rsidR="00975895" w:rsidRPr="003015FD">
        <w:t xml:space="preserve"> </w:t>
      </w:r>
      <w:r w:rsidRPr="003015FD">
        <w:t>Manager</w:t>
      </w:r>
      <w:r w:rsidR="00975895" w:rsidRPr="003015FD">
        <w:t xml:space="preserve"> </w:t>
      </w:r>
    </w:p>
    <w:p w14:paraId="3503060F" w14:textId="25E4466A" w:rsidR="008E0945" w:rsidRPr="003015FD" w:rsidRDefault="008E0945" w:rsidP="0002642E">
      <w:pPr>
        <w:pStyle w:val="ListBullet"/>
      </w:pP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Commission</w:t>
      </w:r>
    </w:p>
    <w:p w14:paraId="500C2D36" w14:textId="332FE5A3" w:rsidR="008E0945" w:rsidRPr="003015FD" w:rsidRDefault="008E0945" w:rsidP="0002642E">
      <w:r w:rsidRPr="003015FD">
        <w:t>The</w:t>
      </w:r>
      <w:r w:rsidR="00975895" w:rsidRPr="003015FD">
        <w:t xml:space="preserve"> </w:t>
      </w:r>
      <w:r w:rsidRPr="003015FD">
        <w:t>case</w:t>
      </w:r>
      <w:r w:rsidR="00975895" w:rsidRPr="003015FD">
        <w:t xml:space="preserve"> </w:t>
      </w:r>
      <w:r w:rsidRPr="003015FD">
        <w:t>studies</w:t>
      </w:r>
      <w:r w:rsidR="00975895" w:rsidRPr="003015FD">
        <w:t xml:space="preserve"> </w:t>
      </w:r>
      <w:r w:rsidRPr="003015FD">
        <w:t>have</w:t>
      </w:r>
      <w:r w:rsidR="00975895" w:rsidRPr="003015FD">
        <w:t xml:space="preserve"> </w:t>
      </w:r>
      <w:r w:rsidRPr="003015FD">
        <w:t>been</w:t>
      </w:r>
      <w:r w:rsidR="00975895" w:rsidRPr="003015FD">
        <w:t xml:space="preserve"> </w:t>
      </w:r>
      <w:r w:rsidRPr="003015FD">
        <w:t>provided</w:t>
      </w:r>
      <w:r w:rsidR="00975895" w:rsidRPr="003015FD">
        <w:t xml:space="preserve"> </w:t>
      </w:r>
      <w:r w:rsidRPr="003015FD">
        <w:t>by</w:t>
      </w:r>
      <w:r w:rsidR="00975895" w:rsidRPr="003015FD">
        <w:t xml:space="preserve"> </w:t>
      </w:r>
      <w:r w:rsidRPr="003015FD">
        <w:t>these</w:t>
      </w:r>
      <w:r w:rsidR="00975895" w:rsidRPr="003015FD">
        <w:t xml:space="preserve"> </w:t>
      </w:r>
      <w:r w:rsidRPr="003015FD">
        <w:t>authorities.</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commends</w:t>
      </w:r>
      <w:r w:rsidR="00975895" w:rsidRPr="003015FD">
        <w:t xml:space="preserve"> </w:t>
      </w:r>
      <w:r w:rsidRPr="003015FD">
        <w:t>these</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for</w:t>
      </w:r>
      <w:r w:rsidR="00975895" w:rsidRPr="003015FD">
        <w:t xml:space="preserve"> </w:t>
      </w:r>
      <w:r w:rsidRPr="003015FD">
        <w:t>their</w:t>
      </w:r>
      <w:r w:rsidR="00975895" w:rsidRPr="003015FD">
        <w:t xml:space="preserve"> </w:t>
      </w:r>
      <w:r w:rsidRPr="003015FD">
        <w:t>efforts</w:t>
      </w:r>
      <w:r w:rsidR="00975895" w:rsidRPr="003015FD">
        <w:t xml:space="preserve"> </w:t>
      </w:r>
      <w:r w:rsidRPr="003015FD">
        <w:t>to</w:t>
      </w:r>
      <w:r w:rsidR="00975895" w:rsidRPr="003015FD">
        <w:t xml:space="preserve"> </w:t>
      </w:r>
      <w:r w:rsidRPr="003015FD">
        <w:t>grow</w:t>
      </w:r>
      <w:r w:rsidR="00975895" w:rsidRPr="003015FD">
        <w:t xml:space="preserve"> </w:t>
      </w:r>
      <w:r w:rsidRPr="003015FD">
        <w:t>their</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in</w:t>
      </w:r>
      <w:r w:rsidR="00975895" w:rsidRPr="003015FD">
        <w:t xml:space="preserve"> </w:t>
      </w:r>
      <w:r w:rsidRPr="003015FD">
        <w:t>2018</w:t>
      </w:r>
      <w:r w:rsidR="00975895" w:rsidRPr="003015FD">
        <w:t xml:space="preserve"> </w:t>
      </w:r>
      <w:r w:rsidRPr="003015FD">
        <w:t>and</w:t>
      </w:r>
      <w:r w:rsidR="00975895" w:rsidRPr="003015FD">
        <w:t xml:space="preserve"> </w:t>
      </w:r>
      <w:r w:rsidRPr="003015FD">
        <w:t>hopes</w:t>
      </w:r>
      <w:r w:rsidR="00975895" w:rsidRPr="003015FD">
        <w:t xml:space="preserve"> </w:t>
      </w:r>
      <w:r w:rsidRPr="003015FD">
        <w:t>their</w:t>
      </w:r>
      <w:r w:rsidR="00975895" w:rsidRPr="003015FD">
        <w:t xml:space="preserve"> </w:t>
      </w:r>
      <w:r w:rsidRPr="003015FD">
        <w:t>experiences</w:t>
      </w:r>
      <w:r w:rsidR="00975895" w:rsidRPr="003015FD">
        <w:t xml:space="preserve"> </w:t>
      </w:r>
      <w:r w:rsidRPr="003015FD">
        <w:t>serve</w:t>
      </w:r>
      <w:r w:rsidR="00975895" w:rsidRPr="003015FD">
        <w:t xml:space="preserve"> </w:t>
      </w:r>
      <w:r w:rsidRPr="003015FD">
        <w:t>as</w:t>
      </w:r>
      <w:r w:rsidR="00975895" w:rsidRPr="003015FD">
        <w:t xml:space="preserve"> </w:t>
      </w:r>
      <w:r w:rsidRPr="003015FD">
        <w:t>inspiration</w:t>
      </w:r>
      <w:r w:rsidR="00975895" w:rsidRPr="003015FD">
        <w:t xml:space="preserve"> </w:t>
      </w:r>
      <w:r w:rsidRPr="003015FD">
        <w:t>for</w:t>
      </w:r>
      <w:r w:rsidR="00975895" w:rsidRPr="003015FD">
        <w:t xml:space="preserve"> </w:t>
      </w:r>
      <w:r w:rsidRPr="003015FD">
        <w:t>other</w:t>
      </w:r>
      <w:r w:rsidR="00975895" w:rsidRPr="003015FD">
        <w:t xml:space="preserve"> </w:t>
      </w:r>
      <w:r w:rsidRPr="003015FD">
        <w:t>public</w:t>
      </w:r>
      <w:r w:rsidR="00975895" w:rsidRPr="003015FD">
        <w:t xml:space="preserve"> </w:t>
      </w:r>
      <w:r w:rsidRPr="003015FD">
        <w:t>authorities.</w:t>
      </w:r>
    </w:p>
    <w:p w14:paraId="7E2F608E" w14:textId="68483D53" w:rsidR="008E0945" w:rsidRPr="003015FD" w:rsidRDefault="007206F8" w:rsidP="0002642E">
      <w:pPr>
        <w:pStyle w:val="Heading3"/>
      </w:pPr>
      <w:bookmarkStart w:id="80" w:name="_Toc15045118"/>
      <w:bookmarkEnd w:id="79"/>
      <w:r w:rsidRPr="003015FD">
        <w:t>2.8.1</w:t>
      </w:r>
      <w:r w:rsidRPr="003015FD">
        <w:tab/>
      </w:r>
      <w:r w:rsidR="008E0945" w:rsidRPr="003015FD">
        <w:t>Case</w:t>
      </w:r>
      <w:r w:rsidR="00975895" w:rsidRPr="003015FD">
        <w:t xml:space="preserve"> </w:t>
      </w:r>
      <w:r w:rsidR="008E0945" w:rsidRPr="003015FD">
        <w:t>study</w:t>
      </w:r>
      <w:r w:rsidR="00975895" w:rsidRPr="003015FD">
        <w:t xml:space="preserve"> </w:t>
      </w:r>
      <w:r w:rsidR="008E0945" w:rsidRPr="003015FD">
        <w:t>1:</w:t>
      </w:r>
      <w:r w:rsidR="00975895" w:rsidRPr="003015FD">
        <w:t xml:space="preserve"> </w:t>
      </w:r>
      <w:r w:rsidR="008E0945" w:rsidRPr="003015FD">
        <w:t>Barwon</w:t>
      </w:r>
      <w:r w:rsidR="00975895" w:rsidRPr="003015FD">
        <w:t xml:space="preserve"> </w:t>
      </w:r>
      <w:r w:rsidR="008E0945" w:rsidRPr="003015FD">
        <w:t>Prison</w:t>
      </w:r>
      <w:r w:rsidR="00975895" w:rsidRPr="003015FD">
        <w:t xml:space="preserve"> </w:t>
      </w:r>
      <w:r w:rsidR="008E0945" w:rsidRPr="003015FD">
        <w:t>Operations</w:t>
      </w:r>
      <w:r w:rsidR="00975895" w:rsidRPr="003015FD">
        <w:t xml:space="preserve"> </w:t>
      </w:r>
      <w:r w:rsidR="008E0945" w:rsidRPr="003015FD">
        <w:t>Manager</w:t>
      </w:r>
      <w:bookmarkEnd w:id="80"/>
    </w:p>
    <w:p w14:paraId="7A983605" w14:textId="474100BE" w:rsidR="008E0945" w:rsidRPr="003015FD" w:rsidRDefault="008E0945" w:rsidP="0002642E">
      <w:r w:rsidRPr="003015FD">
        <w:t>Mr</w:t>
      </w:r>
      <w:r w:rsidR="00975895" w:rsidRPr="003015FD">
        <w:t xml:space="preserve"> </w:t>
      </w:r>
      <w:r w:rsidRPr="003015FD">
        <w:t>Anthony</w:t>
      </w:r>
      <w:r w:rsidR="00975895" w:rsidRPr="003015FD">
        <w:t xml:space="preserve"> </w:t>
      </w:r>
      <w:r w:rsidRPr="003015FD">
        <w:t>Murphy</w:t>
      </w:r>
      <w:r w:rsidR="00975895" w:rsidRPr="003015FD">
        <w:t xml:space="preserve"> </w:t>
      </w:r>
      <w:r w:rsidRPr="003015FD">
        <w:t>is</w:t>
      </w:r>
      <w:r w:rsidR="00975895" w:rsidRPr="003015FD">
        <w:t xml:space="preserve"> </w:t>
      </w:r>
      <w:r w:rsidRPr="003015FD">
        <w:t>an</w:t>
      </w:r>
      <w:r w:rsidR="00975895" w:rsidRPr="003015FD">
        <w:t xml:space="preserve"> </w:t>
      </w:r>
      <w:r w:rsidRPr="003015FD">
        <w:t>Operations</w:t>
      </w:r>
      <w:r w:rsidR="00975895" w:rsidRPr="003015FD">
        <w:t xml:space="preserve"> </w:t>
      </w:r>
      <w:r w:rsidRPr="003015FD">
        <w:t>Manager</w:t>
      </w:r>
      <w:r w:rsidR="00975895" w:rsidRPr="003015FD">
        <w:t xml:space="preserve"> </w:t>
      </w:r>
      <w:r w:rsidRPr="003015FD">
        <w:t>at</w:t>
      </w:r>
      <w:r w:rsidR="00975895" w:rsidRPr="003015FD">
        <w:t xml:space="preserve"> </w:t>
      </w:r>
      <w:r w:rsidRPr="003015FD">
        <w:t>Barwon</w:t>
      </w:r>
      <w:r w:rsidR="00975895" w:rsidRPr="003015FD">
        <w:t xml:space="preserve"> </w:t>
      </w:r>
      <w:r w:rsidRPr="003015FD">
        <w:t>Prison.</w:t>
      </w:r>
      <w:r w:rsidR="00975895" w:rsidRPr="003015FD">
        <w:t xml:space="preserve"> </w:t>
      </w:r>
    </w:p>
    <w:p w14:paraId="3C5D698F" w14:textId="4F52EE75" w:rsidR="008E0945" w:rsidRPr="003015FD" w:rsidRDefault="008E0945" w:rsidP="0002642E">
      <w:pPr>
        <w:pStyle w:val="Heading4"/>
      </w:pPr>
      <w:r w:rsidRPr="003015FD">
        <w:t>What</w:t>
      </w:r>
      <w:r w:rsidR="00975895" w:rsidRPr="003015FD">
        <w:t xml:space="preserve"> </w:t>
      </w:r>
      <w:r w:rsidRPr="003015FD">
        <w:t>Charter</w:t>
      </w:r>
      <w:r w:rsidR="00975895" w:rsidRPr="003015FD">
        <w:t xml:space="preserve"> </w:t>
      </w:r>
      <w:r w:rsidR="00471362" w:rsidRPr="003015FD">
        <w:t>education</w:t>
      </w:r>
      <w:r w:rsidR="00975895" w:rsidRPr="003015FD">
        <w:t xml:space="preserve"> </w:t>
      </w:r>
      <w:r w:rsidRPr="003015FD">
        <w:t>did</w:t>
      </w:r>
      <w:r w:rsidR="00975895" w:rsidRPr="003015FD">
        <w:t xml:space="preserve"> </w:t>
      </w:r>
      <w:r w:rsidRPr="003015FD">
        <w:t>you</w:t>
      </w:r>
      <w:r w:rsidR="00975895" w:rsidRPr="003015FD">
        <w:t xml:space="preserve"> </w:t>
      </w:r>
      <w:r w:rsidRPr="003015FD">
        <w:t>undertake?</w:t>
      </w:r>
    </w:p>
    <w:p w14:paraId="66A763A5" w14:textId="7C155C1C" w:rsidR="008E0945" w:rsidRPr="003015FD" w:rsidRDefault="008E0945" w:rsidP="0002642E">
      <w:r w:rsidRPr="003015FD">
        <w:t>I</w:t>
      </w:r>
      <w:r w:rsidR="00975895" w:rsidRPr="003015FD">
        <w:t xml:space="preserve"> </w:t>
      </w:r>
      <w:r w:rsidRPr="003015FD">
        <w:t>received</w:t>
      </w:r>
      <w:r w:rsidR="00975895" w:rsidRPr="003015FD">
        <w:t xml:space="preserve"> </w:t>
      </w:r>
      <w:r w:rsidRPr="003015FD">
        <w:t>Charter</w:t>
      </w:r>
      <w:r w:rsidR="00975895" w:rsidRPr="003015FD">
        <w:t xml:space="preserve"> </w:t>
      </w:r>
      <w:r w:rsidR="00471362" w:rsidRPr="003015FD">
        <w:t>education</w:t>
      </w:r>
      <w:r w:rsidR="00975895" w:rsidRPr="003015FD">
        <w:t xml:space="preserve"> </w:t>
      </w:r>
      <w:r w:rsidRPr="003015FD">
        <w:t>from</w:t>
      </w:r>
      <w:r w:rsidR="00975895" w:rsidRPr="003015FD">
        <w:t xml:space="preserve"> </w:t>
      </w:r>
      <w:r w:rsidRPr="003015FD">
        <w:t>the</w:t>
      </w:r>
      <w:r w:rsidR="00975895" w:rsidRPr="003015FD">
        <w:t xml:space="preserve"> </w:t>
      </w:r>
      <w:r w:rsidRPr="003015FD">
        <w:t>Victorian</w:t>
      </w:r>
      <w:r w:rsidR="00975895" w:rsidRPr="003015FD">
        <w:t xml:space="preserve"> </w:t>
      </w:r>
      <w:r w:rsidRPr="003015FD">
        <w:t>Equal</w:t>
      </w:r>
      <w:r w:rsidR="00975895" w:rsidRPr="003015FD">
        <w:t xml:space="preserve"> </w:t>
      </w:r>
      <w:r w:rsidRPr="003015FD">
        <w:t>Opportunity</w:t>
      </w:r>
      <w:r w:rsidR="00975895" w:rsidRPr="003015FD">
        <w:t xml:space="preserve"> </w:t>
      </w:r>
      <w:r w:rsidRPr="003015FD">
        <w:t>and</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Commission.</w:t>
      </w:r>
      <w:r w:rsidR="00975895" w:rsidRPr="003015FD">
        <w:t xml:space="preserve"> </w:t>
      </w:r>
      <w:r w:rsidRPr="003015FD">
        <w:t>First,</w:t>
      </w:r>
      <w:r w:rsidR="00975895" w:rsidRPr="003015FD">
        <w:t xml:space="preserve"> </w:t>
      </w:r>
      <w:r w:rsidRPr="003015FD">
        <w:t>we</w:t>
      </w:r>
      <w:r w:rsidR="00975895" w:rsidRPr="003015FD">
        <w:t xml:space="preserve"> </w:t>
      </w:r>
      <w:r w:rsidRPr="003015FD">
        <w:t>had</w:t>
      </w:r>
      <w:r w:rsidR="00975895" w:rsidRPr="003015FD">
        <w:t xml:space="preserve"> </w:t>
      </w:r>
      <w:r w:rsidRPr="003015FD">
        <w:t>a</w:t>
      </w:r>
      <w:r w:rsidR="00975895" w:rsidRPr="003015FD">
        <w:t xml:space="preserve"> </w:t>
      </w:r>
      <w:r w:rsidRPr="003015FD">
        <w:t>training</w:t>
      </w:r>
      <w:r w:rsidR="00975895" w:rsidRPr="003015FD">
        <w:t xml:space="preserve"> </w:t>
      </w:r>
      <w:r w:rsidRPr="003015FD">
        <w:t>session</w:t>
      </w:r>
      <w:r w:rsidR="00975895" w:rsidRPr="003015FD">
        <w:t xml:space="preserve"> </w:t>
      </w:r>
      <w:r w:rsidRPr="003015FD">
        <w:t>for</w:t>
      </w:r>
      <w:r w:rsidR="00975895" w:rsidRPr="003015FD">
        <w:t xml:space="preserve"> </w:t>
      </w:r>
      <w:r w:rsidRPr="003015FD">
        <w:t>all</w:t>
      </w:r>
      <w:r w:rsidR="00975895" w:rsidRPr="003015FD">
        <w:t xml:space="preserve"> </w:t>
      </w:r>
      <w:r w:rsidRPr="003015FD">
        <w:t>Barwon</w:t>
      </w:r>
      <w:r w:rsidR="00975895" w:rsidRPr="003015FD">
        <w:t xml:space="preserve"> </w:t>
      </w:r>
      <w:r w:rsidRPr="003015FD">
        <w:t>staff.</w:t>
      </w:r>
      <w:r w:rsidR="00975895" w:rsidRPr="003015FD">
        <w:t xml:space="preserve"> </w:t>
      </w:r>
      <w:r w:rsidRPr="003015FD">
        <w:t>I</w:t>
      </w:r>
      <w:r w:rsidR="00975895" w:rsidRPr="003015FD">
        <w:t xml:space="preserve"> </w:t>
      </w:r>
      <w:r w:rsidRPr="003015FD">
        <w:t>then</w:t>
      </w:r>
      <w:r w:rsidR="00975895" w:rsidRPr="003015FD">
        <w:t xml:space="preserve"> </w:t>
      </w:r>
      <w:r w:rsidRPr="003015FD">
        <w:t>received</w:t>
      </w:r>
      <w:r w:rsidR="00975895" w:rsidRPr="003015FD">
        <w:t xml:space="preserve"> </w:t>
      </w:r>
      <w:r w:rsidRPr="003015FD">
        <w:t>a</w:t>
      </w:r>
      <w:r w:rsidR="00975895" w:rsidRPr="003015FD">
        <w:t xml:space="preserve"> </w:t>
      </w:r>
      <w:r w:rsidRPr="003015FD">
        <w:t>more</w:t>
      </w:r>
      <w:r w:rsidR="00975895" w:rsidRPr="003015FD">
        <w:t xml:space="preserve"> </w:t>
      </w:r>
      <w:r w:rsidRPr="003015FD">
        <w:t>tailored</w:t>
      </w:r>
      <w:r w:rsidR="00975895" w:rsidRPr="003015FD">
        <w:t xml:space="preserve"> </w:t>
      </w:r>
      <w:r w:rsidRPr="003015FD">
        <w:t>training</w:t>
      </w:r>
      <w:r w:rsidR="00975895" w:rsidRPr="003015FD">
        <w:t xml:space="preserve"> </w:t>
      </w:r>
      <w:r w:rsidRPr="003015FD">
        <w:t>session</w:t>
      </w:r>
      <w:r w:rsidR="00975895" w:rsidRPr="003015FD">
        <w:t xml:space="preserve"> </w:t>
      </w:r>
      <w:r w:rsidRPr="003015FD">
        <w:t>for</w:t>
      </w:r>
      <w:r w:rsidR="00975895" w:rsidRPr="003015FD">
        <w:t xml:space="preserve"> </w:t>
      </w:r>
      <w:r w:rsidRPr="003015FD">
        <w:t>the</w:t>
      </w:r>
      <w:r w:rsidR="00975895" w:rsidRPr="003015FD">
        <w:t xml:space="preserve"> </w:t>
      </w:r>
      <w:r w:rsidRPr="003015FD">
        <w:t>executive</w:t>
      </w:r>
      <w:r w:rsidR="00975895" w:rsidRPr="003015FD">
        <w:t xml:space="preserve"> </w:t>
      </w:r>
      <w:r w:rsidRPr="003015FD">
        <w:t>team</w:t>
      </w:r>
      <w:r w:rsidR="00975895" w:rsidRPr="003015FD">
        <w:t xml:space="preserve"> </w:t>
      </w:r>
      <w:r w:rsidRPr="003015FD">
        <w:t>at</w:t>
      </w:r>
      <w:r w:rsidR="00975895" w:rsidRPr="003015FD">
        <w:t xml:space="preserve"> </w:t>
      </w:r>
      <w:r w:rsidRPr="003015FD">
        <w:t>Barwon,</w:t>
      </w:r>
      <w:r w:rsidR="00975895" w:rsidRPr="003015FD">
        <w:t xml:space="preserve"> </w:t>
      </w:r>
      <w:r w:rsidRPr="003015FD">
        <w:t>which</w:t>
      </w:r>
      <w:r w:rsidR="00975895" w:rsidRPr="003015FD">
        <w:t xml:space="preserve"> </w:t>
      </w:r>
      <w:r w:rsidRPr="003015FD">
        <w:t>was</w:t>
      </w:r>
      <w:r w:rsidR="00975895" w:rsidRPr="003015FD">
        <w:t xml:space="preserve"> </w:t>
      </w:r>
      <w:r w:rsidRPr="003015FD">
        <w:t>focused</w:t>
      </w:r>
      <w:r w:rsidR="00975895" w:rsidRPr="003015FD">
        <w:t xml:space="preserve"> </w:t>
      </w:r>
      <w:r w:rsidRPr="003015FD">
        <w:t>on</w:t>
      </w:r>
      <w:r w:rsidR="00975895" w:rsidRPr="003015FD">
        <w:t xml:space="preserve"> </w:t>
      </w:r>
      <w:r w:rsidRPr="003015FD">
        <w:t>our</w:t>
      </w:r>
      <w:r w:rsidR="00975895" w:rsidRPr="003015FD">
        <w:t xml:space="preserve"> </w:t>
      </w:r>
      <w:r w:rsidRPr="003015FD">
        <w:t>role</w:t>
      </w:r>
      <w:r w:rsidR="00975895" w:rsidRPr="003015FD">
        <w:t xml:space="preserve"> </w:t>
      </w:r>
      <w:r w:rsidRPr="003015FD">
        <w:t>as</w:t>
      </w:r>
      <w:r w:rsidR="00975895" w:rsidRPr="003015FD">
        <w:t xml:space="preserve"> </w:t>
      </w:r>
      <w:r w:rsidRPr="003015FD">
        <w:t>managers</w:t>
      </w:r>
      <w:r w:rsidR="00975895" w:rsidRPr="003015FD">
        <w:t xml:space="preserve"> </w:t>
      </w:r>
      <w:r w:rsidRPr="003015FD">
        <w:t>and</w:t>
      </w:r>
      <w:r w:rsidR="00975895" w:rsidRPr="003015FD">
        <w:t xml:space="preserve"> </w:t>
      </w:r>
      <w:r w:rsidRPr="003015FD">
        <w:t>was</w:t>
      </w:r>
      <w:r w:rsidR="00975895" w:rsidRPr="003015FD">
        <w:t xml:space="preserve"> </w:t>
      </w:r>
      <w:r w:rsidRPr="003015FD">
        <w:t>designed</w:t>
      </w:r>
      <w:r w:rsidR="00975895" w:rsidRPr="003015FD">
        <w:t xml:space="preserve"> </w:t>
      </w:r>
      <w:r w:rsidRPr="003015FD">
        <w:t>to</w:t>
      </w:r>
      <w:r w:rsidR="00975895" w:rsidRPr="003015FD">
        <w:t xml:space="preserve"> </w:t>
      </w:r>
      <w:r w:rsidRPr="003015FD">
        <w:t>help</w:t>
      </w:r>
      <w:r w:rsidR="00975895" w:rsidRPr="003015FD">
        <w:t xml:space="preserve"> </w:t>
      </w:r>
      <w:r w:rsidRPr="003015FD">
        <w:t>us</w:t>
      </w:r>
      <w:r w:rsidR="00975895" w:rsidRPr="003015FD">
        <w:t xml:space="preserve"> </w:t>
      </w:r>
      <w:r w:rsidRPr="003015FD">
        <w:t>effectively</w:t>
      </w:r>
      <w:r w:rsidR="00975895" w:rsidRPr="003015FD">
        <w:t xml:space="preserve"> </w:t>
      </w:r>
      <w:r w:rsidRPr="003015FD">
        <w:t>deliver</w:t>
      </w:r>
      <w:r w:rsidR="00975895" w:rsidRPr="003015FD">
        <w:t xml:space="preserve"> </w:t>
      </w:r>
      <w:r w:rsidRPr="003015FD">
        <w:t>the</w:t>
      </w:r>
      <w:r w:rsidR="00975895" w:rsidRPr="003015FD">
        <w:t xml:space="preserve"> </w:t>
      </w:r>
      <w:r w:rsidRPr="003015FD">
        <w:t>message</w:t>
      </w:r>
      <w:r w:rsidR="00975895" w:rsidRPr="003015FD">
        <w:t xml:space="preserve"> </w:t>
      </w:r>
      <w:r w:rsidRPr="003015FD">
        <w:t>to</w:t>
      </w:r>
      <w:r w:rsidR="00975895" w:rsidRPr="003015FD">
        <w:t xml:space="preserve"> </w:t>
      </w:r>
      <w:r w:rsidRPr="003015FD">
        <w:t>the</w:t>
      </w:r>
      <w:r w:rsidR="00975895" w:rsidRPr="003015FD">
        <w:t xml:space="preserve"> </w:t>
      </w:r>
      <w:r w:rsidRPr="003015FD">
        <w:t>prison</w:t>
      </w:r>
      <w:r w:rsidR="00975895" w:rsidRPr="003015FD">
        <w:t xml:space="preserve"> </w:t>
      </w:r>
      <w:r w:rsidR="00602EE4">
        <w:t>officers</w:t>
      </w:r>
      <w:r w:rsidR="00602EE4" w:rsidRPr="003015FD">
        <w:t xml:space="preserve"> </w:t>
      </w:r>
      <w:r w:rsidRPr="003015FD">
        <w:t>on</w:t>
      </w:r>
      <w:r w:rsidR="00975895" w:rsidRPr="003015FD">
        <w:t xml:space="preserve"> </w:t>
      </w:r>
      <w:r w:rsidRPr="003015FD">
        <w:t>the</w:t>
      </w:r>
      <w:r w:rsidR="00975895" w:rsidRPr="003015FD">
        <w:t xml:space="preserve"> </w:t>
      </w:r>
      <w:r w:rsidRPr="003015FD">
        <w:t>ground.</w:t>
      </w:r>
      <w:r w:rsidR="00975895" w:rsidRPr="003015FD">
        <w:t xml:space="preserve"> </w:t>
      </w:r>
    </w:p>
    <w:p w14:paraId="3EA6A2D5" w14:textId="6E896DC1" w:rsidR="008E0945" w:rsidRPr="003015FD" w:rsidRDefault="008E0945" w:rsidP="0002642E">
      <w:r w:rsidRPr="003015FD">
        <w:t>Everyone</w:t>
      </w:r>
      <w:r w:rsidR="00975895" w:rsidRPr="003015FD">
        <w:t xml:space="preserve"> </w:t>
      </w:r>
      <w:r w:rsidRPr="003015FD">
        <w:t>hears</w:t>
      </w:r>
      <w:r w:rsidR="00975895" w:rsidRPr="003015FD">
        <w:t xml:space="preserve"> </w:t>
      </w:r>
      <w:r w:rsidRPr="003015FD">
        <w:t>about</w:t>
      </w:r>
      <w:r w:rsidR="00975895" w:rsidRPr="003015FD">
        <w:t xml:space="preserve"> </w:t>
      </w:r>
      <w:r w:rsidR="000C5726">
        <w:t>'</w:t>
      </w:r>
      <w:r w:rsidRPr="003015FD">
        <w:t>human</w:t>
      </w:r>
      <w:r w:rsidR="00975895" w:rsidRPr="003015FD">
        <w:t xml:space="preserve"> </w:t>
      </w:r>
      <w:r w:rsidRPr="003015FD">
        <w:t>rights</w:t>
      </w:r>
      <w:r w:rsidR="000C5726">
        <w:t>'</w:t>
      </w:r>
      <w:r w:rsidRPr="003015FD">
        <w:t>,</w:t>
      </w:r>
      <w:r w:rsidR="00975895" w:rsidRPr="003015FD">
        <w:t xml:space="preserve"> </w:t>
      </w:r>
      <w:r w:rsidRPr="003015FD">
        <w:t>but</w:t>
      </w:r>
      <w:r w:rsidR="00975895" w:rsidRPr="003015FD">
        <w:t xml:space="preserve"> </w:t>
      </w:r>
      <w:r w:rsidRPr="003015FD">
        <w:t>after</w:t>
      </w:r>
      <w:r w:rsidR="00975895" w:rsidRPr="003015FD">
        <w:t xml:space="preserve"> </w:t>
      </w:r>
      <w:r w:rsidRPr="003015FD">
        <w:t>the</w:t>
      </w:r>
      <w:r w:rsidR="00975895" w:rsidRPr="003015FD">
        <w:t xml:space="preserve"> </w:t>
      </w:r>
      <w:r w:rsidRPr="003015FD">
        <w:t>training</w:t>
      </w:r>
      <w:r w:rsidR="00975895" w:rsidRPr="003015FD">
        <w:t xml:space="preserve"> </w:t>
      </w:r>
      <w:r w:rsidRPr="003015FD">
        <w:t>we</w:t>
      </w:r>
      <w:r w:rsidR="00975895" w:rsidRPr="003015FD">
        <w:t xml:space="preserve"> </w:t>
      </w:r>
      <w:r w:rsidRPr="003015FD">
        <w:t>had</w:t>
      </w:r>
      <w:r w:rsidR="00975895" w:rsidRPr="003015FD">
        <w:t xml:space="preserve"> </w:t>
      </w:r>
      <w:r w:rsidRPr="003015FD">
        <w:t>a</w:t>
      </w:r>
      <w:r w:rsidR="00975895" w:rsidRPr="003015FD">
        <w:t xml:space="preserve"> </w:t>
      </w:r>
      <w:r w:rsidRPr="003015FD">
        <w:t>much</w:t>
      </w:r>
      <w:r w:rsidR="00975895" w:rsidRPr="003015FD">
        <w:t xml:space="preserve"> </w:t>
      </w:r>
      <w:r w:rsidRPr="003015FD">
        <w:t>better</w:t>
      </w:r>
      <w:r w:rsidR="00975895" w:rsidRPr="003015FD">
        <w:t xml:space="preserve"> </w:t>
      </w:r>
      <w:r w:rsidRPr="003015FD">
        <w:t>understanding</w:t>
      </w:r>
      <w:r w:rsidR="00975895" w:rsidRPr="003015FD">
        <w:t xml:space="preserve"> </w:t>
      </w:r>
      <w:r w:rsidRPr="003015FD">
        <w:t>about</w:t>
      </w:r>
      <w:r w:rsidR="00975895" w:rsidRPr="003015FD">
        <w:t xml:space="preserve"> </w:t>
      </w:r>
      <w:r w:rsidRPr="003015FD">
        <w:t>what</w:t>
      </w:r>
      <w:r w:rsidR="00975895" w:rsidRPr="003015FD">
        <w:t xml:space="preserve"> </w:t>
      </w:r>
      <w:r w:rsidRPr="003015FD">
        <w:t>we</w:t>
      </w:r>
      <w:r w:rsidR="00975895" w:rsidRPr="003015FD">
        <w:t xml:space="preserve"> </w:t>
      </w:r>
      <w:r w:rsidRPr="003015FD">
        <w:t>are</w:t>
      </w:r>
      <w:r w:rsidR="00975895" w:rsidRPr="003015FD">
        <w:t xml:space="preserve"> </w:t>
      </w:r>
      <w:r w:rsidRPr="003015FD">
        <w:t>required</w:t>
      </w:r>
      <w:r w:rsidR="00975895" w:rsidRPr="003015FD">
        <w:t xml:space="preserve"> </w:t>
      </w:r>
      <w:r w:rsidRPr="003015FD">
        <w:t>to</w:t>
      </w:r>
      <w:r w:rsidR="00975895" w:rsidRPr="003015FD">
        <w:t xml:space="preserve"> </w:t>
      </w:r>
      <w:r w:rsidRPr="003015FD">
        <w:t>do.</w:t>
      </w:r>
      <w:r w:rsidR="00975895" w:rsidRPr="003015FD">
        <w:t xml:space="preserve"> </w:t>
      </w:r>
    </w:p>
    <w:p w14:paraId="19C1A2D1" w14:textId="490C4F35" w:rsidR="008E0945" w:rsidRPr="003015FD" w:rsidRDefault="008E0945" w:rsidP="0002642E">
      <w:pPr>
        <w:pStyle w:val="Heading4"/>
      </w:pPr>
      <w:r w:rsidRPr="003015FD">
        <w:t>What</w:t>
      </w:r>
      <w:r w:rsidR="00975895" w:rsidRPr="003015FD">
        <w:t xml:space="preserve"> </w:t>
      </w:r>
      <w:r w:rsidRPr="003015FD">
        <w:t>are</w:t>
      </w:r>
      <w:r w:rsidR="00975895" w:rsidRPr="003015FD">
        <w:t xml:space="preserve"> </w:t>
      </w:r>
      <w:r w:rsidRPr="003015FD">
        <w:t>the</w:t>
      </w:r>
      <w:r w:rsidR="00975895" w:rsidRPr="003015FD">
        <w:t xml:space="preserve"> </w:t>
      </w:r>
      <w:r w:rsidRPr="003015FD">
        <w:t>key</w:t>
      </w:r>
      <w:r w:rsidR="00975895" w:rsidRPr="003015FD">
        <w:t xml:space="preserve"> </w:t>
      </w:r>
      <w:r w:rsidRPr="003015FD">
        <w:t>messages</w:t>
      </w:r>
      <w:r w:rsidR="00975895" w:rsidRPr="003015FD">
        <w:t xml:space="preserve"> </w:t>
      </w:r>
      <w:r w:rsidRPr="003015FD">
        <w:t>that</w:t>
      </w:r>
      <w:r w:rsidR="00975895" w:rsidRPr="003015FD">
        <w:t xml:space="preserve"> </w:t>
      </w:r>
      <w:r w:rsidRPr="003015FD">
        <w:t>influenced</w:t>
      </w:r>
      <w:r w:rsidR="00975895" w:rsidRPr="003015FD">
        <w:t xml:space="preserve"> </w:t>
      </w:r>
      <w:r w:rsidRPr="003015FD">
        <w:t>you</w:t>
      </w:r>
      <w:r w:rsidR="00975895" w:rsidRPr="003015FD">
        <w:t xml:space="preserve"> </w:t>
      </w:r>
      <w:r w:rsidRPr="003015FD">
        <w:t>going</w:t>
      </w:r>
      <w:r w:rsidR="00975895" w:rsidRPr="003015FD">
        <w:t xml:space="preserve"> </w:t>
      </w:r>
      <w:r w:rsidRPr="003015FD">
        <w:t>forward?</w:t>
      </w:r>
    </w:p>
    <w:p w14:paraId="348FF2CF" w14:textId="135C6E14" w:rsidR="008E0945" w:rsidRPr="003015FD" w:rsidRDefault="008E0945" w:rsidP="0002642E">
      <w:r w:rsidRPr="003015FD">
        <w:t>The</w:t>
      </w:r>
      <w:r w:rsidR="00975895" w:rsidRPr="003015FD">
        <w:t xml:space="preserve"> </w:t>
      </w:r>
      <w:r w:rsidRPr="003015FD">
        <w:t>biggest</w:t>
      </w:r>
      <w:r w:rsidR="00975895" w:rsidRPr="003015FD">
        <w:t xml:space="preserve"> </w:t>
      </w:r>
      <w:r w:rsidRPr="003015FD">
        <w:t>message</w:t>
      </w:r>
      <w:r w:rsidR="00975895" w:rsidRPr="003015FD">
        <w:t xml:space="preserve"> </w:t>
      </w:r>
      <w:r w:rsidRPr="003015FD">
        <w:t>for</w:t>
      </w:r>
      <w:r w:rsidR="00975895" w:rsidRPr="003015FD">
        <w:t xml:space="preserve"> </w:t>
      </w:r>
      <w:r w:rsidRPr="003015FD">
        <w:t>me</w:t>
      </w:r>
      <w:r w:rsidR="00975895" w:rsidRPr="003015FD">
        <w:t xml:space="preserve"> </w:t>
      </w:r>
      <w:r w:rsidRPr="003015FD">
        <w:t>is</w:t>
      </w:r>
      <w:r w:rsidR="00975895" w:rsidRPr="003015FD">
        <w:t xml:space="preserve"> </w:t>
      </w:r>
      <w:r w:rsidRPr="003015FD">
        <w:t>how</w:t>
      </w:r>
      <w:r w:rsidR="00975895" w:rsidRPr="003015FD">
        <w:t xml:space="preserve"> </w:t>
      </w:r>
      <w:r w:rsidRPr="003015FD">
        <w:t>amazingly</w:t>
      </w:r>
      <w:r w:rsidR="00975895" w:rsidRPr="003015FD">
        <w:t xml:space="preserve"> </w:t>
      </w:r>
      <w:r w:rsidRPr="003015FD">
        <w:t>simple</w:t>
      </w:r>
      <w:r w:rsidR="00975895" w:rsidRPr="003015FD">
        <w:t xml:space="preserve"> </w:t>
      </w:r>
      <w:r w:rsidRPr="003015FD">
        <w:t>it</w:t>
      </w:r>
      <w:r w:rsidR="00975895" w:rsidRPr="003015FD">
        <w:t xml:space="preserve"> </w:t>
      </w:r>
      <w:r w:rsidRPr="003015FD">
        <w:t>is.</w:t>
      </w:r>
      <w:r w:rsidR="00975895" w:rsidRPr="003015FD">
        <w:t xml:space="preserve"> </w:t>
      </w:r>
      <w:r w:rsidRPr="003015FD">
        <w:t>We</w:t>
      </w:r>
      <w:r w:rsidR="00975895" w:rsidRPr="003015FD">
        <w:t xml:space="preserve"> </w:t>
      </w:r>
      <w:r w:rsidRPr="003015FD">
        <w:t>need</w:t>
      </w:r>
      <w:r w:rsidR="00975895" w:rsidRPr="003015FD">
        <w:t xml:space="preserve"> </w:t>
      </w:r>
      <w:r w:rsidRPr="003015FD">
        <w:t>to</w:t>
      </w:r>
      <w:r w:rsidR="00975895" w:rsidRPr="003015FD">
        <w:t xml:space="preserve"> </w:t>
      </w:r>
      <w:r w:rsidRPr="003015FD">
        <w:t>consider</w:t>
      </w:r>
      <w:r w:rsidR="00975895" w:rsidRPr="003015FD">
        <w:t xml:space="preserve"> </w:t>
      </w:r>
      <w:r w:rsidRPr="003015FD">
        <w:t>human</w:t>
      </w:r>
      <w:r w:rsidR="00975895" w:rsidRPr="003015FD">
        <w:t xml:space="preserve"> </w:t>
      </w:r>
      <w:r w:rsidRPr="003015FD">
        <w:t>rights</w:t>
      </w:r>
      <w:r w:rsidR="00975895" w:rsidRPr="003015FD">
        <w:t xml:space="preserve"> </w:t>
      </w:r>
      <w:r w:rsidRPr="003015FD">
        <w:t>in</w:t>
      </w:r>
      <w:r w:rsidR="00975895" w:rsidRPr="003015FD">
        <w:t xml:space="preserve"> </w:t>
      </w:r>
      <w:r w:rsidRPr="003015FD">
        <w:t>our</w:t>
      </w:r>
      <w:r w:rsidR="00975895" w:rsidRPr="003015FD">
        <w:t xml:space="preserve"> </w:t>
      </w:r>
      <w:r w:rsidRPr="003015FD">
        <w:t>decisions</w:t>
      </w:r>
      <w:r w:rsidR="00975895" w:rsidRPr="003015FD">
        <w:t xml:space="preserve"> </w:t>
      </w:r>
      <w:r w:rsidRPr="003015FD">
        <w:t>and</w:t>
      </w:r>
      <w:r w:rsidR="00975895" w:rsidRPr="003015FD">
        <w:t xml:space="preserve"> </w:t>
      </w:r>
      <w:r w:rsidRPr="003015FD">
        <w:t>be</w:t>
      </w:r>
      <w:r w:rsidR="00975895" w:rsidRPr="003015FD">
        <w:t xml:space="preserve"> </w:t>
      </w:r>
      <w:r w:rsidRPr="003015FD">
        <w:t>able</w:t>
      </w:r>
      <w:r w:rsidR="00975895" w:rsidRPr="003015FD">
        <w:t xml:space="preserve"> </w:t>
      </w:r>
      <w:r w:rsidRPr="003015FD">
        <w:t>to</w:t>
      </w:r>
      <w:r w:rsidR="00975895" w:rsidRPr="003015FD">
        <w:t xml:space="preserve"> </w:t>
      </w:r>
      <w:r w:rsidRPr="003015FD">
        <w:t>demonstrate</w:t>
      </w:r>
      <w:r w:rsidR="00975895" w:rsidRPr="003015FD">
        <w:t xml:space="preserve"> </w:t>
      </w:r>
      <w:r w:rsidRPr="003015FD">
        <w:t>we</w:t>
      </w:r>
      <w:r w:rsidR="000C5726">
        <w:t>'</w:t>
      </w:r>
      <w:r w:rsidRPr="003015FD">
        <w:t>ve</w:t>
      </w:r>
      <w:r w:rsidR="00975895" w:rsidRPr="003015FD">
        <w:t xml:space="preserve"> </w:t>
      </w:r>
      <w:r w:rsidRPr="003015FD">
        <w:t>done</w:t>
      </w:r>
      <w:r w:rsidR="00975895" w:rsidRPr="003015FD">
        <w:t xml:space="preserve"> </w:t>
      </w:r>
      <w:r w:rsidRPr="003015FD">
        <w:t>that.</w:t>
      </w:r>
      <w:r w:rsidR="00975895" w:rsidRPr="003015FD">
        <w:t xml:space="preserve"> </w:t>
      </w:r>
      <w:r w:rsidRPr="003015FD">
        <w:t>If</w:t>
      </w:r>
      <w:r w:rsidR="00975895" w:rsidRPr="003015FD">
        <w:t xml:space="preserve"> </w:t>
      </w:r>
      <w:r w:rsidRPr="003015FD">
        <w:t>we</w:t>
      </w:r>
      <w:r w:rsidR="000C5726">
        <w:t>'</w:t>
      </w:r>
      <w:r w:rsidRPr="003015FD">
        <w:t>re</w:t>
      </w:r>
      <w:r w:rsidR="00975895" w:rsidRPr="003015FD">
        <w:t xml:space="preserve"> </w:t>
      </w:r>
      <w:r w:rsidRPr="003015FD">
        <w:t>not</w:t>
      </w:r>
      <w:r w:rsidR="00975895" w:rsidRPr="003015FD">
        <w:t xml:space="preserve"> </w:t>
      </w:r>
      <w:r w:rsidRPr="003015FD">
        <w:t>considering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at</w:t>
      </w:r>
      <w:r w:rsidR="00975895" w:rsidRPr="003015FD">
        <w:t xml:space="preserve"> </w:t>
      </w:r>
      <w:r w:rsidRPr="003015FD">
        <w:t>all,</w:t>
      </w:r>
      <w:r w:rsidR="00975895" w:rsidRPr="003015FD">
        <w:t xml:space="preserve"> </w:t>
      </w:r>
      <w:r w:rsidRPr="003015FD">
        <w:t>with</w:t>
      </w:r>
      <w:r w:rsidR="00975895" w:rsidRPr="003015FD">
        <w:t xml:space="preserve"> </w:t>
      </w:r>
      <w:r w:rsidRPr="003015FD">
        <w:t>the</w:t>
      </w:r>
      <w:r w:rsidR="00975895" w:rsidRPr="003015FD">
        <w:t xml:space="preserve"> </w:t>
      </w:r>
      <w:r w:rsidRPr="003015FD">
        <w:t>Charter</w:t>
      </w:r>
      <w:r w:rsidR="00975895" w:rsidRPr="003015FD">
        <w:t xml:space="preserve"> </w:t>
      </w:r>
      <w:r w:rsidRPr="003015FD">
        <w:t>in</w:t>
      </w:r>
      <w:r w:rsidR="00975895" w:rsidRPr="003015FD">
        <w:t xml:space="preserve"> </w:t>
      </w:r>
      <w:r w:rsidRPr="003015FD">
        <w:t>mind,</w:t>
      </w:r>
      <w:r w:rsidR="00975895" w:rsidRPr="003015FD">
        <w:t xml:space="preserve"> </w:t>
      </w:r>
      <w:r w:rsidRPr="003015FD">
        <w:t>then</w:t>
      </w:r>
      <w:r w:rsidR="00975895" w:rsidRPr="003015FD">
        <w:t xml:space="preserve"> </w:t>
      </w:r>
      <w:r w:rsidRPr="003015FD">
        <w:t>we</w:t>
      </w:r>
      <w:r w:rsidR="00975895" w:rsidRPr="003015FD">
        <w:t xml:space="preserve"> </w:t>
      </w:r>
      <w:r w:rsidRPr="003015FD">
        <w:t>won</w:t>
      </w:r>
      <w:r w:rsidR="000C5726">
        <w:t>'</w:t>
      </w:r>
      <w:r w:rsidRPr="003015FD">
        <w:t>t</w:t>
      </w:r>
      <w:r w:rsidR="00975895" w:rsidRPr="003015FD">
        <w:t xml:space="preserve"> </w:t>
      </w:r>
      <w:r w:rsidRPr="003015FD">
        <w:t>be</w:t>
      </w:r>
      <w:r w:rsidR="00975895" w:rsidRPr="003015FD">
        <w:t xml:space="preserve"> </w:t>
      </w:r>
      <w:r w:rsidRPr="003015FD">
        <w:t>making</w:t>
      </w:r>
      <w:r w:rsidR="00975895" w:rsidRPr="003015FD">
        <w:t xml:space="preserve"> </w:t>
      </w:r>
      <w:r w:rsidRPr="003015FD">
        <w:t>the</w:t>
      </w:r>
      <w:r w:rsidR="00975895" w:rsidRPr="003015FD">
        <w:t xml:space="preserve"> </w:t>
      </w:r>
      <w:r w:rsidRPr="003015FD">
        <w:t>best</w:t>
      </w:r>
      <w:r w:rsidR="00975895" w:rsidRPr="003015FD">
        <w:t xml:space="preserve"> </w:t>
      </w:r>
      <w:r w:rsidRPr="003015FD">
        <w:t>decisions.</w:t>
      </w:r>
      <w:r w:rsidR="00975895" w:rsidRPr="003015FD">
        <w:t xml:space="preserve"> </w:t>
      </w:r>
    </w:p>
    <w:p w14:paraId="1162C299" w14:textId="57A463FD" w:rsidR="008E0945" w:rsidRPr="003015FD" w:rsidRDefault="008E0945" w:rsidP="0002642E">
      <w:pPr>
        <w:pStyle w:val="Heading4"/>
      </w:pPr>
      <w:r w:rsidRPr="003015FD">
        <w:t>How</w:t>
      </w:r>
      <w:r w:rsidR="00975895" w:rsidRPr="003015FD">
        <w:t xml:space="preserve"> </w:t>
      </w:r>
      <w:r w:rsidRPr="003015FD">
        <w:t>did</w:t>
      </w:r>
      <w:r w:rsidR="00975895" w:rsidRPr="003015FD">
        <w:t xml:space="preserve"> </w:t>
      </w:r>
      <w:r w:rsidRPr="003015FD">
        <w:t>this</w:t>
      </w:r>
      <w:r w:rsidR="00975895" w:rsidRPr="003015FD">
        <w:t xml:space="preserve"> </w:t>
      </w:r>
      <w:r w:rsidRPr="003015FD">
        <w:t>change</w:t>
      </w:r>
      <w:r w:rsidR="00975895" w:rsidRPr="003015FD">
        <w:t xml:space="preserve"> </w:t>
      </w:r>
      <w:r w:rsidRPr="003015FD">
        <w:t>your</w:t>
      </w:r>
      <w:r w:rsidR="00975895" w:rsidRPr="003015FD">
        <w:t xml:space="preserve"> </w:t>
      </w:r>
      <w:r w:rsidRPr="003015FD">
        <w:t>day-to-day</w:t>
      </w:r>
      <w:r w:rsidR="00975895" w:rsidRPr="003015FD">
        <w:t xml:space="preserve"> </w:t>
      </w:r>
      <w:r w:rsidRPr="003015FD">
        <w:t>work?</w:t>
      </w:r>
    </w:p>
    <w:p w14:paraId="14D0216E" w14:textId="45E66025" w:rsidR="008E0945" w:rsidRPr="003015FD" w:rsidRDefault="008E0945" w:rsidP="0002642E">
      <w:r w:rsidRPr="003015FD">
        <w:t>One</w:t>
      </w:r>
      <w:r w:rsidR="00975895" w:rsidRPr="003015FD">
        <w:t xml:space="preserve"> </w:t>
      </w:r>
      <w:r w:rsidRPr="003015FD">
        <w:t>of</w:t>
      </w:r>
      <w:r w:rsidR="00975895" w:rsidRPr="003015FD">
        <w:t xml:space="preserve"> </w:t>
      </w:r>
      <w:r w:rsidRPr="003015FD">
        <w:t>the</w:t>
      </w:r>
      <w:r w:rsidR="00975895" w:rsidRPr="003015FD">
        <w:t xml:space="preserve"> </w:t>
      </w:r>
      <w:r w:rsidRPr="003015FD">
        <w:t>most</w:t>
      </w:r>
      <w:r w:rsidR="00975895" w:rsidRPr="003015FD">
        <w:t xml:space="preserve"> </w:t>
      </w:r>
      <w:r w:rsidRPr="003015FD">
        <w:t>telling</w:t>
      </w:r>
      <w:r w:rsidR="00975895" w:rsidRPr="003015FD">
        <w:t xml:space="preserve"> </w:t>
      </w:r>
      <w:r w:rsidRPr="003015FD">
        <w:t>moments</w:t>
      </w:r>
      <w:r w:rsidR="00975895" w:rsidRPr="003015FD">
        <w:t xml:space="preserve"> </w:t>
      </w:r>
      <w:r w:rsidRPr="003015FD">
        <w:t>for</w:t>
      </w:r>
      <w:r w:rsidR="00975895" w:rsidRPr="003015FD">
        <w:t xml:space="preserve"> </w:t>
      </w:r>
      <w:r w:rsidRPr="003015FD">
        <w:t>me</w:t>
      </w:r>
      <w:r w:rsidR="00975895" w:rsidRPr="003015FD">
        <w:t xml:space="preserve"> </w:t>
      </w:r>
      <w:r w:rsidRPr="003015FD">
        <w:t>was</w:t>
      </w:r>
      <w:r w:rsidR="00975895" w:rsidRPr="003015FD">
        <w:t xml:space="preserve"> </w:t>
      </w:r>
      <w:r w:rsidRPr="003015FD">
        <w:t>when</w:t>
      </w:r>
      <w:r w:rsidR="00975895" w:rsidRPr="003015FD">
        <w:t xml:space="preserve"> </w:t>
      </w:r>
      <w:r w:rsidRPr="003015FD">
        <w:t>I</w:t>
      </w:r>
      <w:r w:rsidR="00975895" w:rsidRPr="003015FD">
        <w:t xml:space="preserve"> </w:t>
      </w:r>
      <w:r w:rsidRPr="003015FD">
        <w:t>realised</w:t>
      </w:r>
      <w:r w:rsidR="00975895" w:rsidRPr="003015FD">
        <w:t xml:space="preserve"> </w:t>
      </w:r>
      <w:r w:rsidRPr="003015FD">
        <w:t>that</w:t>
      </w:r>
      <w:r w:rsidR="00975895" w:rsidRPr="003015FD">
        <w:t xml:space="preserve"> </w:t>
      </w:r>
      <w:r w:rsidRPr="003015FD">
        <w:t>I</w:t>
      </w:r>
      <w:r w:rsidR="000C5726">
        <w:t>'</w:t>
      </w:r>
      <w:r w:rsidRPr="003015FD">
        <w:t>m</w:t>
      </w:r>
      <w:r w:rsidR="00975895" w:rsidRPr="003015FD">
        <w:t xml:space="preserve"> </w:t>
      </w:r>
      <w:r w:rsidRPr="003015FD">
        <w:t>not</w:t>
      </w:r>
      <w:r w:rsidR="00975895" w:rsidRPr="003015FD">
        <w:t xml:space="preserve"> </w:t>
      </w:r>
      <w:r w:rsidRPr="003015FD">
        <w:t>hamstrung</w:t>
      </w:r>
      <w:r w:rsidR="00975895" w:rsidRPr="003015FD">
        <w:t xml:space="preserve"> </w:t>
      </w:r>
      <w:r w:rsidRPr="003015FD">
        <w:t>or</w:t>
      </w:r>
      <w:r w:rsidR="00975895" w:rsidRPr="003015FD">
        <w:t xml:space="preserve"> </w:t>
      </w:r>
      <w:r w:rsidRPr="003015FD">
        <w:t>hindered</w:t>
      </w:r>
      <w:r w:rsidR="00975895" w:rsidRPr="003015FD">
        <w:t xml:space="preserve"> </w:t>
      </w:r>
      <w:r w:rsidRPr="003015FD">
        <w:t>if</w:t>
      </w:r>
      <w:r w:rsidR="00975895" w:rsidRPr="003015FD">
        <w:t xml:space="preserve"> </w:t>
      </w:r>
      <w:r w:rsidRPr="003015FD">
        <w:t>I</w:t>
      </w:r>
      <w:r w:rsidR="00975895" w:rsidRPr="003015FD">
        <w:t xml:space="preserve"> </w:t>
      </w:r>
      <w:r w:rsidRPr="003015FD">
        <w:t>use</w:t>
      </w:r>
      <w:r w:rsidR="00975895" w:rsidRPr="003015FD">
        <w:t xml:space="preserve"> </w:t>
      </w:r>
      <w:r w:rsidRPr="003015FD">
        <w:t>the</w:t>
      </w:r>
      <w:r w:rsidR="00975895" w:rsidRPr="003015FD">
        <w:t xml:space="preserve"> </w:t>
      </w:r>
      <w:r w:rsidRPr="003015FD">
        <w:t>Charter</w:t>
      </w:r>
      <w:r w:rsidR="00975895" w:rsidRPr="003015FD">
        <w:t xml:space="preserve"> </w:t>
      </w:r>
      <w:r w:rsidRPr="003015FD">
        <w:t>in</w:t>
      </w:r>
      <w:r w:rsidR="00975895" w:rsidRPr="003015FD">
        <w:t xml:space="preserve"> </w:t>
      </w:r>
      <w:r w:rsidRPr="003015FD">
        <w:t>my</w:t>
      </w:r>
      <w:r w:rsidR="00975895" w:rsidRPr="003015FD">
        <w:t xml:space="preserve"> </w:t>
      </w:r>
      <w:r w:rsidRPr="003015FD">
        <w:t>job.</w:t>
      </w:r>
      <w:r w:rsidR="00975895" w:rsidRPr="003015FD">
        <w:t xml:space="preserve"> </w:t>
      </w:r>
      <w:r w:rsidRPr="003015FD">
        <w:t>This</w:t>
      </w:r>
      <w:r w:rsidR="00975895" w:rsidRPr="003015FD">
        <w:t xml:space="preserve"> </w:t>
      </w:r>
      <w:r w:rsidRPr="003015FD">
        <w:t>is</w:t>
      </w:r>
      <w:r w:rsidR="00975895" w:rsidRPr="003015FD">
        <w:t xml:space="preserve"> </w:t>
      </w:r>
      <w:r w:rsidRPr="003015FD">
        <w:t>something</w:t>
      </w:r>
      <w:r w:rsidR="00975895" w:rsidRPr="003015FD">
        <w:t xml:space="preserve"> </w:t>
      </w:r>
      <w:r w:rsidRPr="003015FD">
        <w:t>people</w:t>
      </w:r>
      <w:r w:rsidR="00975895" w:rsidRPr="003015FD">
        <w:t xml:space="preserve"> </w:t>
      </w:r>
      <w:r w:rsidRPr="003015FD">
        <w:t>worry</w:t>
      </w:r>
      <w:r w:rsidR="00975895" w:rsidRPr="003015FD">
        <w:t xml:space="preserve"> </w:t>
      </w:r>
      <w:r w:rsidRPr="003015FD">
        <w:t>about.</w:t>
      </w:r>
      <w:r w:rsidR="00975895" w:rsidRPr="003015FD">
        <w:t xml:space="preserve"> </w:t>
      </w:r>
    </w:p>
    <w:p w14:paraId="0F9F3522" w14:textId="32034B6D" w:rsidR="008E0945" w:rsidRPr="003015FD" w:rsidRDefault="008E0945" w:rsidP="0002642E">
      <w:r w:rsidRPr="003015FD">
        <w:t>For</w:t>
      </w:r>
      <w:r w:rsidR="00975895" w:rsidRPr="003015FD">
        <w:t xml:space="preserve"> </w:t>
      </w:r>
      <w:r w:rsidRPr="003015FD">
        <w:t>example,</w:t>
      </w:r>
      <w:r w:rsidR="00975895" w:rsidRPr="003015FD">
        <w:t xml:space="preserve"> </w:t>
      </w:r>
      <w:r w:rsidRPr="003015FD">
        <w:t>I</w:t>
      </w:r>
      <w:r w:rsidR="00975895" w:rsidRPr="003015FD">
        <w:t xml:space="preserve"> </w:t>
      </w:r>
      <w:r w:rsidRPr="003015FD">
        <w:t>got</w:t>
      </w:r>
      <w:r w:rsidR="00975895" w:rsidRPr="003015FD">
        <w:t xml:space="preserve"> </w:t>
      </w:r>
      <w:r w:rsidRPr="003015FD">
        <w:t>a</w:t>
      </w:r>
      <w:r w:rsidR="00975895" w:rsidRPr="003015FD">
        <w:t xml:space="preserve"> </w:t>
      </w:r>
      <w:r w:rsidRPr="003015FD">
        <w:t>chance</w:t>
      </w:r>
      <w:r w:rsidR="00975895" w:rsidRPr="003015FD">
        <w:t xml:space="preserve"> </w:t>
      </w:r>
      <w:r w:rsidRPr="003015FD">
        <w:t>to</w:t>
      </w:r>
      <w:r w:rsidR="00975895" w:rsidRPr="003015FD">
        <w:t xml:space="preserve"> </w:t>
      </w:r>
      <w:r w:rsidRPr="003015FD">
        <w:t>use</w:t>
      </w:r>
      <w:r w:rsidR="00975895" w:rsidRPr="003015FD">
        <w:t xml:space="preserve"> </w:t>
      </w:r>
      <w:r w:rsidRPr="003015FD">
        <w:t>the</w:t>
      </w:r>
      <w:r w:rsidR="00975895" w:rsidRPr="003015FD">
        <w:t xml:space="preserve"> </w:t>
      </w:r>
      <w:r w:rsidRPr="003015FD">
        <w:t>Charter</w:t>
      </w:r>
      <w:r w:rsidR="00975895" w:rsidRPr="003015FD">
        <w:t xml:space="preserve"> </w:t>
      </w:r>
      <w:r w:rsidRPr="003015FD">
        <w:t>on</w:t>
      </w:r>
      <w:r w:rsidR="00975895" w:rsidRPr="003015FD">
        <w:t xml:space="preserve"> </w:t>
      </w:r>
      <w:r w:rsidRPr="003015FD">
        <w:t>the</w:t>
      </w:r>
      <w:r w:rsidR="00975895" w:rsidRPr="003015FD">
        <w:t xml:space="preserve"> </w:t>
      </w:r>
      <w:r w:rsidRPr="003015FD">
        <w:t>same</w:t>
      </w:r>
      <w:r w:rsidR="00975895" w:rsidRPr="003015FD">
        <w:t xml:space="preserve"> </w:t>
      </w:r>
      <w:r w:rsidRPr="003015FD">
        <w:t>day</w:t>
      </w:r>
      <w:r w:rsidR="00975895" w:rsidRPr="003015FD">
        <w:t xml:space="preserve"> </w:t>
      </w:r>
      <w:r w:rsidRPr="003015FD">
        <w:t>I</w:t>
      </w:r>
      <w:r w:rsidR="00975895" w:rsidRPr="003015FD">
        <w:t xml:space="preserve"> </w:t>
      </w:r>
      <w:r w:rsidRPr="003015FD">
        <w:t>received</w:t>
      </w:r>
      <w:r w:rsidR="00975895" w:rsidRPr="003015FD">
        <w:t xml:space="preserve"> </w:t>
      </w:r>
      <w:r w:rsidRPr="003015FD">
        <w:t>the</w:t>
      </w:r>
      <w:r w:rsidR="00975895" w:rsidRPr="003015FD">
        <w:t xml:space="preserve"> </w:t>
      </w:r>
      <w:r w:rsidRPr="003015FD">
        <w:t>Charter</w:t>
      </w:r>
      <w:r w:rsidR="00975895" w:rsidRPr="003015FD">
        <w:t xml:space="preserve"> </w:t>
      </w:r>
      <w:r w:rsidR="00471362" w:rsidRPr="003015FD">
        <w:t>education</w:t>
      </w:r>
      <w:r w:rsidRPr="003015FD">
        <w:t>,</w:t>
      </w:r>
      <w:r w:rsidR="00975895" w:rsidRPr="003015FD">
        <w:t xml:space="preserve"> </w:t>
      </w:r>
      <w:r w:rsidRPr="003015FD">
        <w:t>and</w:t>
      </w:r>
      <w:r w:rsidR="00975895" w:rsidRPr="003015FD">
        <w:t xml:space="preserve"> </w:t>
      </w:r>
      <w:r w:rsidRPr="003015FD">
        <w:t>it</w:t>
      </w:r>
      <w:r w:rsidR="00975895" w:rsidRPr="003015FD">
        <w:t xml:space="preserve"> </w:t>
      </w:r>
      <w:r w:rsidRPr="003015FD">
        <w:t>led</w:t>
      </w:r>
      <w:r w:rsidR="00975895" w:rsidRPr="003015FD">
        <w:t xml:space="preserve"> </w:t>
      </w:r>
      <w:r w:rsidRPr="003015FD">
        <w:t>to</w:t>
      </w:r>
      <w:r w:rsidR="00975895" w:rsidRPr="003015FD">
        <w:t xml:space="preserve"> </w:t>
      </w:r>
      <w:r w:rsidRPr="003015FD">
        <w:t>a</w:t>
      </w:r>
      <w:r w:rsidR="00975895" w:rsidRPr="003015FD">
        <w:t xml:space="preserve"> </w:t>
      </w:r>
      <w:r w:rsidRPr="003015FD">
        <w:t>positive</w:t>
      </w:r>
      <w:r w:rsidR="00975895" w:rsidRPr="003015FD">
        <w:t xml:space="preserve"> </w:t>
      </w:r>
      <w:r w:rsidRPr="003015FD">
        <w:t>outcome.</w:t>
      </w:r>
      <w:r w:rsidR="00975895" w:rsidRPr="003015FD">
        <w:t xml:space="preserve"> </w:t>
      </w:r>
    </w:p>
    <w:p w14:paraId="69C6075B" w14:textId="5E09ACDF" w:rsidR="008E0945" w:rsidRPr="003015FD" w:rsidRDefault="008E0945" w:rsidP="0002642E">
      <w:r w:rsidRPr="003015FD">
        <w:t>We</w:t>
      </w:r>
      <w:r w:rsidR="00975895" w:rsidRPr="003015FD">
        <w:t xml:space="preserve"> </w:t>
      </w:r>
      <w:r w:rsidRPr="003015FD">
        <w:t>had</w:t>
      </w:r>
      <w:r w:rsidR="00975895" w:rsidRPr="003015FD">
        <w:t xml:space="preserve"> </w:t>
      </w:r>
      <w:r w:rsidRPr="003015FD">
        <w:t>a</w:t>
      </w:r>
      <w:r w:rsidR="00975895" w:rsidRPr="003015FD">
        <w:t xml:space="preserve"> </w:t>
      </w:r>
      <w:r w:rsidRPr="003015FD">
        <w:t>challenging</w:t>
      </w:r>
      <w:r w:rsidR="00975895" w:rsidRPr="003015FD">
        <w:t xml:space="preserve"> </w:t>
      </w:r>
      <w:r w:rsidRPr="003015FD">
        <w:t>prisoner</w:t>
      </w:r>
      <w:r w:rsidR="00975895" w:rsidRPr="003015FD">
        <w:t xml:space="preserve"> </w:t>
      </w:r>
      <w:r w:rsidRPr="003015FD">
        <w:t>who</w:t>
      </w:r>
      <w:r w:rsidR="00975895" w:rsidRPr="003015FD">
        <w:t xml:space="preserve"> </w:t>
      </w:r>
      <w:r w:rsidRPr="003015FD">
        <w:t>was</w:t>
      </w:r>
      <w:r w:rsidR="00975895" w:rsidRPr="003015FD">
        <w:t xml:space="preserve"> </w:t>
      </w:r>
      <w:r w:rsidRPr="003015FD">
        <w:t>very</w:t>
      </w:r>
      <w:r w:rsidR="00975895" w:rsidRPr="003015FD">
        <w:t xml:space="preserve"> </w:t>
      </w:r>
      <w:r w:rsidRPr="003015FD">
        <w:t>aware</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and</w:t>
      </w:r>
      <w:r w:rsidR="00975895" w:rsidRPr="003015FD">
        <w:t xml:space="preserve"> </w:t>
      </w:r>
      <w:r w:rsidRPr="003015FD">
        <w:t>his</w:t>
      </w:r>
      <w:r w:rsidR="00975895" w:rsidRPr="003015FD">
        <w:t xml:space="preserve"> </w:t>
      </w:r>
      <w:r w:rsidRPr="003015FD">
        <w:t>human</w:t>
      </w:r>
      <w:r w:rsidR="00975895" w:rsidRPr="003015FD">
        <w:t xml:space="preserve"> </w:t>
      </w:r>
      <w:r w:rsidRPr="003015FD">
        <w:t>rights,</w:t>
      </w:r>
      <w:r w:rsidR="00975895" w:rsidRPr="003015FD">
        <w:t xml:space="preserve"> </w:t>
      </w:r>
      <w:r w:rsidRPr="003015FD">
        <w:t>as</w:t>
      </w:r>
      <w:r w:rsidR="00975895" w:rsidRPr="003015FD">
        <w:t xml:space="preserve"> </w:t>
      </w:r>
      <w:r w:rsidRPr="003015FD">
        <w:t>a</w:t>
      </w:r>
      <w:r w:rsidR="00975895" w:rsidRPr="003015FD">
        <w:t xml:space="preserve"> </w:t>
      </w:r>
      <w:r w:rsidRPr="003015FD">
        <w:t>lot</w:t>
      </w:r>
      <w:r w:rsidR="00975895" w:rsidRPr="003015FD">
        <w:t xml:space="preserve"> </w:t>
      </w:r>
      <w:r w:rsidRPr="003015FD">
        <w:t>of</w:t>
      </w:r>
      <w:r w:rsidR="00975895" w:rsidRPr="003015FD">
        <w:t xml:space="preserve"> </w:t>
      </w:r>
      <w:r w:rsidRPr="003015FD">
        <w:t>prisoners</w:t>
      </w:r>
      <w:r w:rsidR="00975895" w:rsidRPr="003015FD">
        <w:t xml:space="preserve"> </w:t>
      </w:r>
      <w:r w:rsidRPr="003015FD">
        <w:t>are.</w:t>
      </w:r>
      <w:r w:rsidR="00975895" w:rsidRPr="003015FD">
        <w:t xml:space="preserve"> </w:t>
      </w:r>
      <w:r w:rsidRPr="003015FD">
        <w:t>He</w:t>
      </w:r>
      <w:r w:rsidR="00975895" w:rsidRPr="003015FD">
        <w:t xml:space="preserve"> </w:t>
      </w:r>
      <w:r w:rsidRPr="003015FD">
        <w:t>was</w:t>
      </w:r>
      <w:r w:rsidR="00975895" w:rsidRPr="003015FD">
        <w:t xml:space="preserve"> </w:t>
      </w:r>
      <w:r w:rsidRPr="003015FD">
        <w:t>in</w:t>
      </w:r>
      <w:r w:rsidR="00975895" w:rsidRPr="003015FD">
        <w:t xml:space="preserve"> </w:t>
      </w:r>
      <w:r w:rsidRPr="003015FD">
        <w:t>a</w:t>
      </w:r>
      <w:r w:rsidR="00975895" w:rsidRPr="003015FD">
        <w:t xml:space="preserve"> </w:t>
      </w:r>
      <w:r w:rsidRPr="003015FD">
        <w:t>holding</w:t>
      </w:r>
      <w:r w:rsidR="00975895" w:rsidRPr="003015FD">
        <w:t xml:space="preserve"> </w:t>
      </w:r>
      <w:r w:rsidRPr="003015FD">
        <w:t>cell</w:t>
      </w:r>
      <w:r w:rsidR="00975895" w:rsidRPr="003015FD">
        <w:t xml:space="preserve"> </w:t>
      </w:r>
      <w:r w:rsidRPr="003015FD">
        <w:t>and</w:t>
      </w:r>
      <w:r w:rsidR="00975895" w:rsidRPr="003015FD">
        <w:t xml:space="preserve"> </w:t>
      </w:r>
      <w:r w:rsidRPr="003015FD">
        <w:t>was</w:t>
      </w:r>
      <w:r w:rsidR="00975895" w:rsidRPr="003015FD">
        <w:t xml:space="preserve"> </w:t>
      </w:r>
      <w:r w:rsidRPr="003015FD">
        <w:t>required</w:t>
      </w:r>
      <w:r w:rsidR="00975895" w:rsidRPr="003015FD">
        <w:t xml:space="preserve"> </w:t>
      </w:r>
      <w:r w:rsidRPr="003015FD">
        <w:t>to</w:t>
      </w:r>
      <w:r w:rsidR="00975895" w:rsidRPr="003015FD">
        <w:t xml:space="preserve"> </w:t>
      </w:r>
      <w:r w:rsidRPr="003015FD">
        <w:t>produce</w:t>
      </w:r>
      <w:r w:rsidR="00975895" w:rsidRPr="003015FD">
        <w:t xml:space="preserve"> </w:t>
      </w:r>
      <w:r w:rsidRPr="003015FD">
        <w:lastRenderedPageBreak/>
        <w:t>a</w:t>
      </w:r>
      <w:r w:rsidR="00975895" w:rsidRPr="003015FD">
        <w:t xml:space="preserve"> </w:t>
      </w:r>
      <w:r w:rsidRPr="003015FD">
        <w:t>urine</w:t>
      </w:r>
      <w:r w:rsidR="00975895" w:rsidRPr="003015FD">
        <w:t xml:space="preserve"> </w:t>
      </w:r>
      <w:r w:rsidRPr="003015FD">
        <w:t>sample.</w:t>
      </w:r>
      <w:r w:rsidR="00975895" w:rsidRPr="003015FD">
        <w:t xml:space="preserve"> </w:t>
      </w:r>
      <w:r w:rsidRPr="003015FD">
        <w:t>However,</w:t>
      </w:r>
      <w:r w:rsidR="00975895" w:rsidRPr="003015FD">
        <w:t xml:space="preserve"> </w:t>
      </w:r>
      <w:r w:rsidRPr="003015FD">
        <w:t>he</w:t>
      </w:r>
      <w:r w:rsidR="00975895" w:rsidRPr="003015FD">
        <w:t xml:space="preserve"> </w:t>
      </w:r>
      <w:r w:rsidRPr="003015FD">
        <w:t>was</w:t>
      </w:r>
      <w:r w:rsidR="00975895" w:rsidRPr="003015FD">
        <w:t xml:space="preserve"> </w:t>
      </w:r>
      <w:r w:rsidRPr="003015FD">
        <w:t>demanding</w:t>
      </w:r>
      <w:r w:rsidR="00975895" w:rsidRPr="003015FD">
        <w:t xml:space="preserve"> </w:t>
      </w:r>
      <w:r w:rsidRPr="003015FD">
        <w:t>to</w:t>
      </w:r>
      <w:r w:rsidR="00975895" w:rsidRPr="003015FD">
        <w:t xml:space="preserve"> </w:t>
      </w:r>
      <w:r w:rsidRPr="003015FD">
        <w:t>the</w:t>
      </w:r>
      <w:r w:rsidR="00975895" w:rsidRPr="003015FD">
        <w:t xml:space="preserve"> </w:t>
      </w:r>
      <w:r w:rsidRPr="003015FD">
        <w:t>prison</w:t>
      </w:r>
      <w:r w:rsidR="00975895" w:rsidRPr="003015FD">
        <w:t xml:space="preserve"> </w:t>
      </w:r>
      <w:r w:rsidRPr="003015FD">
        <w:t>staff</w:t>
      </w:r>
      <w:r w:rsidR="00975895" w:rsidRPr="003015FD">
        <w:t xml:space="preserve"> </w:t>
      </w:r>
      <w:r w:rsidRPr="003015FD">
        <w:t>that</w:t>
      </w:r>
      <w:r w:rsidR="00975895" w:rsidRPr="003015FD">
        <w:t xml:space="preserve"> </w:t>
      </w:r>
      <w:r w:rsidRPr="003015FD">
        <w:t>he</w:t>
      </w:r>
      <w:r w:rsidR="00975895" w:rsidRPr="003015FD">
        <w:t xml:space="preserve"> </w:t>
      </w:r>
      <w:r w:rsidRPr="003015FD">
        <w:t>wanted</w:t>
      </w:r>
      <w:r w:rsidR="00975895" w:rsidRPr="003015FD">
        <w:t xml:space="preserve"> </w:t>
      </w:r>
      <w:r w:rsidRPr="003015FD">
        <w:t>his</w:t>
      </w:r>
      <w:r w:rsidR="00975895" w:rsidRPr="003015FD">
        <w:t xml:space="preserve"> </w:t>
      </w:r>
      <w:r w:rsidRPr="003015FD">
        <w:t>lunch,</w:t>
      </w:r>
      <w:r w:rsidR="00975895" w:rsidRPr="003015FD">
        <w:t xml:space="preserve"> </w:t>
      </w:r>
      <w:r w:rsidRPr="003015FD">
        <w:t>and</w:t>
      </w:r>
      <w:r w:rsidR="00975895" w:rsidRPr="003015FD">
        <w:t xml:space="preserve"> </w:t>
      </w:r>
      <w:r w:rsidRPr="003015FD">
        <w:t>that</w:t>
      </w:r>
      <w:r w:rsidR="00975895" w:rsidRPr="003015FD">
        <w:t xml:space="preserve"> </w:t>
      </w:r>
      <w:r w:rsidRPr="003015FD">
        <w:t>it</w:t>
      </w:r>
      <w:r w:rsidR="00975895" w:rsidRPr="003015FD">
        <w:t xml:space="preserve"> </w:t>
      </w:r>
      <w:r w:rsidRPr="003015FD">
        <w:t>was</w:t>
      </w:r>
      <w:r w:rsidR="00975895" w:rsidRPr="003015FD">
        <w:t xml:space="preserve"> </w:t>
      </w:r>
      <w:r w:rsidRPr="003015FD">
        <w:t>against</w:t>
      </w:r>
      <w:r w:rsidR="00975895" w:rsidRPr="003015FD">
        <w:t xml:space="preserve"> </w:t>
      </w:r>
      <w:r w:rsidRPr="003015FD">
        <w:t>his</w:t>
      </w:r>
      <w:r w:rsidR="00975895" w:rsidRPr="003015FD">
        <w:t xml:space="preserve"> </w:t>
      </w:r>
      <w:r w:rsidRPr="003015FD">
        <w:t>human</w:t>
      </w:r>
      <w:r w:rsidR="00975895" w:rsidRPr="003015FD">
        <w:t xml:space="preserve"> </w:t>
      </w:r>
      <w:r w:rsidRPr="003015FD">
        <w:t>rights</w:t>
      </w:r>
      <w:r w:rsidR="00975895" w:rsidRPr="003015FD">
        <w:t xml:space="preserve"> </w:t>
      </w:r>
      <w:r w:rsidRPr="003015FD">
        <w:t>not</w:t>
      </w:r>
      <w:r w:rsidR="00975895" w:rsidRPr="003015FD">
        <w:t xml:space="preserve"> </w:t>
      </w:r>
      <w:r w:rsidRPr="003015FD">
        <w:t>to</w:t>
      </w:r>
      <w:r w:rsidR="00975895" w:rsidRPr="003015FD">
        <w:t xml:space="preserve"> </w:t>
      </w:r>
      <w:r w:rsidRPr="003015FD">
        <w:t>give</w:t>
      </w:r>
      <w:r w:rsidR="00975895" w:rsidRPr="003015FD">
        <w:t xml:space="preserve"> </w:t>
      </w:r>
      <w:r w:rsidRPr="003015FD">
        <w:t>it</w:t>
      </w:r>
      <w:r w:rsidR="00975895" w:rsidRPr="003015FD">
        <w:t xml:space="preserve"> </w:t>
      </w:r>
      <w:r w:rsidRPr="003015FD">
        <w:t>to</w:t>
      </w:r>
      <w:r w:rsidR="00975895" w:rsidRPr="003015FD">
        <w:t xml:space="preserve"> </w:t>
      </w:r>
      <w:r w:rsidRPr="003015FD">
        <w:t>him.</w:t>
      </w:r>
      <w:r w:rsidR="00975895" w:rsidRPr="003015FD">
        <w:t xml:space="preserve"> </w:t>
      </w:r>
    </w:p>
    <w:p w14:paraId="6D151C20" w14:textId="0BBA3FA8" w:rsidR="008E0945" w:rsidRPr="003015FD" w:rsidRDefault="008E0945" w:rsidP="0002642E">
      <w:r w:rsidRPr="003015FD">
        <w:t>We</w:t>
      </w:r>
      <w:r w:rsidR="00975895" w:rsidRPr="003015FD">
        <w:t xml:space="preserve"> </w:t>
      </w:r>
      <w:r w:rsidRPr="003015FD">
        <w:t>identified</w:t>
      </w:r>
      <w:r w:rsidR="00975895" w:rsidRPr="003015FD">
        <w:t xml:space="preserve"> </w:t>
      </w:r>
      <w:r w:rsidRPr="003015FD">
        <w:t>that</w:t>
      </w:r>
      <w:r w:rsidR="00975895" w:rsidRPr="003015FD">
        <w:t xml:space="preserve"> </w:t>
      </w:r>
      <w:r w:rsidRPr="003015FD">
        <w:t>the</w:t>
      </w:r>
      <w:r w:rsidR="00975895" w:rsidRPr="003015FD">
        <w:t xml:space="preserve"> </w:t>
      </w:r>
      <w:r w:rsidRPr="003015FD">
        <w:t>prisoner</w:t>
      </w:r>
      <w:r w:rsidR="000C5726">
        <w:t>'</w:t>
      </w:r>
      <w:r w:rsidRPr="003015FD">
        <w:t>s</w:t>
      </w:r>
      <w:r w:rsidR="00975895" w:rsidRPr="003015FD">
        <w:t xml:space="preserve"> </w:t>
      </w:r>
      <w:r w:rsidRPr="003015FD">
        <w:t>human</w:t>
      </w:r>
      <w:r w:rsidR="00975895" w:rsidRPr="003015FD">
        <w:t xml:space="preserve"> </w:t>
      </w:r>
      <w:r w:rsidRPr="003015FD">
        <w:t>rights</w:t>
      </w:r>
      <w:r w:rsidR="00975895" w:rsidRPr="003015FD">
        <w:t xml:space="preserve"> </w:t>
      </w:r>
      <w:r w:rsidRPr="003015FD">
        <w:t>were</w:t>
      </w:r>
      <w:r w:rsidR="00975895" w:rsidRPr="003015FD">
        <w:t xml:space="preserve"> </w:t>
      </w:r>
      <w:r w:rsidRPr="003015FD">
        <w:t>engaged</w:t>
      </w:r>
      <w:r w:rsidR="00975895" w:rsidRPr="003015FD">
        <w:t xml:space="preserve"> </w:t>
      </w:r>
      <w:r w:rsidRPr="003015FD">
        <w:t>–</w:t>
      </w:r>
      <w:r w:rsidR="00975895" w:rsidRPr="003015FD">
        <w:t xml:space="preserve"> </w:t>
      </w:r>
      <w:r w:rsidRPr="003015FD">
        <w:t>he</w:t>
      </w:r>
      <w:r w:rsidR="00975895" w:rsidRPr="003015FD">
        <w:t xml:space="preserve"> </w:t>
      </w:r>
      <w:r w:rsidRPr="003015FD">
        <w:t>was</w:t>
      </w:r>
      <w:r w:rsidR="00975895" w:rsidRPr="003015FD">
        <w:t xml:space="preserve"> </w:t>
      </w:r>
      <w:r w:rsidRPr="003015FD">
        <w:t>hungry</w:t>
      </w:r>
      <w:r w:rsidR="00975895" w:rsidRPr="003015FD">
        <w:t xml:space="preserve"> </w:t>
      </w:r>
      <w:r w:rsidRPr="003015FD">
        <w:t>and</w:t>
      </w:r>
      <w:r w:rsidR="00975895" w:rsidRPr="003015FD">
        <w:t xml:space="preserve"> </w:t>
      </w:r>
      <w:r w:rsidRPr="003015FD">
        <w:t>had</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be</w:t>
      </w:r>
      <w:r w:rsidR="00975895" w:rsidRPr="003015FD">
        <w:t xml:space="preserve"> </w:t>
      </w:r>
      <w:r w:rsidRPr="003015FD">
        <w:t>treated</w:t>
      </w:r>
      <w:r w:rsidR="00975895" w:rsidRPr="003015FD">
        <w:t xml:space="preserve"> </w:t>
      </w:r>
      <w:r w:rsidRPr="003015FD">
        <w:t>with</w:t>
      </w:r>
      <w:r w:rsidR="00975895" w:rsidRPr="003015FD">
        <w:t xml:space="preserve"> </w:t>
      </w:r>
      <w:r w:rsidRPr="003015FD">
        <w:t>dignity</w:t>
      </w:r>
      <w:r w:rsidR="00975895" w:rsidRPr="003015FD">
        <w:t xml:space="preserve"> </w:t>
      </w:r>
      <w:r w:rsidRPr="003015FD">
        <w:t>as</w:t>
      </w:r>
      <w:r w:rsidR="00975895" w:rsidRPr="003015FD">
        <w:t xml:space="preserve"> </w:t>
      </w:r>
      <w:r w:rsidRPr="003015FD">
        <w:t>a</w:t>
      </w:r>
      <w:r w:rsidR="00975895" w:rsidRPr="003015FD">
        <w:t xml:space="preserve"> </w:t>
      </w:r>
      <w:r w:rsidRPr="003015FD">
        <w:t>person.</w:t>
      </w:r>
      <w:r w:rsidR="00975895" w:rsidRPr="003015FD">
        <w:t xml:space="preserve"> </w:t>
      </w:r>
      <w:r w:rsidRPr="003015FD">
        <w:t>However,</w:t>
      </w:r>
      <w:r w:rsidR="00975895" w:rsidRPr="003015FD">
        <w:t xml:space="preserve"> </w:t>
      </w:r>
      <w:r w:rsidRPr="003015FD">
        <w:t>in</w:t>
      </w:r>
      <w:r w:rsidR="00975895" w:rsidRPr="003015FD">
        <w:t xml:space="preserve"> </w:t>
      </w:r>
      <w:r w:rsidRPr="003015FD">
        <w:t>this</w:t>
      </w:r>
      <w:r w:rsidR="00975895" w:rsidRPr="003015FD">
        <w:t xml:space="preserve"> </w:t>
      </w:r>
      <w:r w:rsidRPr="003015FD">
        <w:t>situation,</w:t>
      </w:r>
      <w:r w:rsidR="00975895" w:rsidRPr="003015FD">
        <w:t xml:space="preserve"> </w:t>
      </w:r>
      <w:r w:rsidRPr="003015FD">
        <w:t>providing</w:t>
      </w:r>
      <w:r w:rsidR="00975895" w:rsidRPr="003015FD">
        <w:t xml:space="preserve"> </w:t>
      </w:r>
      <w:r w:rsidRPr="003015FD">
        <w:t>him</w:t>
      </w:r>
      <w:r w:rsidR="00975895" w:rsidRPr="003015FD">
        <w:t xml:space="preserve"> </w:t>
      </w:r>
      <w:r w:rsidRPr="003015FD">
        <w:t>lunch</w:t>
      </w:r>
      <w:r w:rsidR="00975895" w:rsidRPr="003015FD">
        <w:t xml:space="preserve"> </w:t>
      </w:r>
      <w:r w:rsidRPr="003015FD">
        <w:t>would</w:t>
      </w:r>
      <w:r w:rsidR="00975895" w:rsidRPr="003015FD">
        <w:t xml:space="preserve"> </w:t>
      </w:r>
      <w:r w:rsidRPr="003015FD">
        <w:t>compromise</w:t>
      </w:r>
      <w:r w:rsidR="00975895" w:rsidRPr="003015FD">
        <w:t xml:space="preserve"> </w:t>
      </w:r>
      <w:r w:rsidRPr="003015FD">
        <w:t>the</w:t>
      </w:r>
      <w:r w:rsidR="00975895" w:rsidRPr="003015FD">
        <w:t xml:space="preserve"> </w:t>
      </w:r>
      <w:r w:rsidRPr="003015FD">
        <w:t>process,</w:t>
      </w:r>
      <w:r w:rsidR="00975895" w:rsidRPr="003015FD">
        <w:t xml:space="preserve"> </w:t>
      </w:r>
      <w:r w:rsidRPr="003015FD">
        <w:t>and</w:t>
      </w:r>
      <w:r w:rsidR="00975895" w:rsidRPr="003015FD">
        <w:t xml:space="preserve"> </w:t>
      </w:r>
      <w:r w:rsidRPr="003015FD">
        <w:t>we</w:t>
      </w:r>
      <w:r w:rsidR="00975895" w:rsidRPr="003015FD">
        <w:t xml:space="preserve"> </w:t>
      </w:r>
      <w:r w:rsidRPr="003015FD">
        <w:t>would</w:t>
      </w:r>
      <w:r w:rsidR="00975895" w:rsidRPr="003015FD">
        <w:t xml:space="preserve"> </w:t>
      </w:r>
      <w:r w:rsidRPr="003015FD">
        <w:t>only</w:t>
      </w:r>
      <w:r w:rsidR="00975895" w:rsidRPr="003015FD">
        <w:t xml:space="preserve"> </w:t>
      </w:r>
      <w:r w:rsidRPr="003015FD">
        <w:t>be</w:t>
      </w:r>
      <w:r w:rsidR="00975895" w:rsidRPr="003015FD">
        <w:t xml:space="preserve"> </w:t>
      </w:r>
      <w:r w:rsidRPr="003015FD">
        <w:t>delaying</w:t>
      </w:r>
      <w:r w:rsidR="00975895" w:rsidRPr="003015FD">
        <w:t xml:space="preserve"> </w:t>
      </w:r>
      <w:r w:rsidRPr="003015FD">
        <w:t>his</w:t>
      </w:r>
      <w:r w:rsidR="00975895" w:rsidRPr="003015FD">
        <w:t xml:space="preserve"> </w:t>
      </w:r>
      <w:r w:rsidRPr="003015FD">
        <w:t>lunch</w:t>
      </w:r>
      <w:r w:rsidR="00975895" w:rsidRPr="003015FD">
        <w:t xml:space="preserve"> </w:t>
      </w:r>
      <w:r w:rsidRPr="003015FD">
        <w:t>for</w:t>
      </w:r>
      <w:r w:rsidR="00975895" w:rsidRPr="003015FD">
        <w:t xml:space="preserve"> </w:t>
      </w:r>
      <w:r w:rsidRPr="003015FD">
        <w:t>a</w:t>
      </w:r>
      <w:r w:rsidR="00975895" w:rsidRPr="003015FD">
        <w:t xml:space="preserve"> </w:t>
      </w:r>
      <w:r w:rsidRPr="003015FD">
        <w:t>short</w:t>
      </w:r>
      <w:r w:rsidR="00975895" w:rsidRPr="003015FD">
        <w:t xml:space="preserve"> </w:t>
      </w:r>
      <w:r w:rsidRPr="003015FD">
        <w:t>time.</w:t>
      </w:r>
      <w:r w:rsidR="00975895" w:rsidRPr="003015FD">
        <w:t xml:space="preserve"> </w:t>
      </w:r>
      <w:r w:rsidRPr="003015FD">
        <w:t>We</w:t>
      </w:r>
      <w:r w:rsidR="00975895" w:rsidRPr="003015FD">
        <w:t xml:space="preserve"> </w:t>
      </w:r>
      <w:r w:rsidRPr="003015FD">
        <w:t>communicated</w:t>
      </w:r>
      <w:r w:rsidR="00975895" w:rsidRPr="003015FD">
        <w:t xml:space="preserve"> </w:t>
      </w:r>
      <w:r w:rsidRPr="003015FD">
        <w:t>to</w:t>
      </w:r>
      <w:r w:rsidR="00975895" w:rsidRPr="003015FD">
        <w:t xml:space="preserve"> </w:t>
      </w:r>
      <w:r w:rsidRPr="003015FD">
        <w:t>the</w:t>
      </w:r>
      <w:r w:rsidR="00975895" w:rsidRPr="003015FD">
        <w:t xml:space="preserve"> </w:t>
      </w:r>
      <w:r w:rsidRPr="003015FD">
        <w:t>prisoner</w:t>
      </w:r>
      <w:r w:rsidR="00975895" w:rsidRPr="003015FD">
        <w:t xml:space="preserve"> </w:t>
      </w:r>
      <w:r w:rsidRPr="003015FD">
        <w:t>that</w:t>
      </w:r>
      <w:r w:rsidR="00975895" w:rsidRPr="003015FD">
        <w:t xml:space="preserve"> </w:t>
      </w:r>
      <w:r w:rsidRPr="003015FD">
        <w:t>we</w:t>
      </w:r>
      <w:r w:rsidR="000C5726">
        <w:t>'</w:t>
      </w:r>
      <w:r w:rsidRPr="003015FD">
        <w:t>d</w:t>
      </w:r>
      <w:r w:rsidR="00975895" w:rsidRPr="003015FD">
        <w:t xml:space="preserve"> </w:t>
      </w:r>
      <w:r w:rsidRPr="003015FD">
        <w:t>considered</w:t>
      </w:r>
      <w:r w:rsidR="00975895" w:rsidRPr="003015FD">
        <w:t xml:space="preserve"> </w:t>
      </w:r>
      <w:r w:rsidRPr="003015FD">
        <w:t>his</w:t>
      </w:r>
      <w:r w:rsidR="00975895" w:rsidRPr="003015FD">
        <w:t xml:space="preserve"> </w:t>
      </w:r>
      <w:r w:rsidRPr="003015FD">
        <w:t>human</w:t>
      </w:r>
      <w:r w:rsidR="00975895" w:rsidRPr="003015FD">
        <w:t xml:space="preserve"> </w:t>
      </w:r>
      <w:r w:rsidRPr="003015FD">
        <w:t>rights</w:t>
      </w:r>
      <w:r w:rsidR="00975895" w:rsidRPr="003015FD">
        <w:t xml:space="preserve"> </w:t>
      </w:r>
      <w:r w:rsidRPr="003015FD">
        <w:t>but</w:t>
      </w:r>
      <w:r w:rsidR="00975895" w:rsidRPr="003015FD">
        <w:t xml:space="preserve"> </w:t>
      </w:r>
      <w:r w:rsidRPr="003015FD">
        <w:t>had</w:t>
      </w:r>
      <w:r w:rsidR="00975895" w:rsidRPr="003015FD">
        <w:t xml:space="preserve"> </w:t>
      </w:r>
      <w:r w:rsidRPr="003015FD">
        <w:t>decided</w:t>
      </w:r>
      <w:r w:rsidR="00975895" w:rsidRPr="003015FD">
        <w:t xml:space="preserve"> </w:t>
      </w:r>
      <w:r w:rsidRPr="003015FD">
        <w:t>it</w:t>
      </w:r>
      <w:r w:rsidR="00975895" w:rsidRPr="003015FD">
        <w:t xml:space="preserve"> </w:t>
      </w:r>
      <w:r w:rsidRPr="003015FD">
        <w:t>was</w:t>
      </w:r>
      <w:r w:rsidR="00975895" w:rsidRPr="003015FD">
        <w:t xml:space="preserve"> </w:t>
      </w:r>
      <w:r w:rsidRPr="003015FD">
        <w:t>justified</w:t>
      </w:r>
      <w:r w:rsidR="00975895" w:rsidRPr="003015FD">
        <w:t xml:space="preserve"> </w:t>
      </w:r>
      <w:r w:rsidRPr="003015FD">
        <w:t>to</w:t>
      </w:r>
      <w:r w:rsidR="00975895" w:rsidRPr="003015FD">
        <w:t xml:space="preserve"> </w:t>
      </w:r>
      <w:r w:rsidRPr="003015FD">
        <w:t>limit</w:t>
      </w:r>
      <w:r w:rsidR="00975895" w:rsidRPr="003015FD">
        <w:t xml:space="preserve"> </w:t>
      </w:r>
      <w:r w:rsidRPr="003015FD">
        <w:t>them</w:t>
      </w:r>
      <w:r w:rsidR="00975895" w:rsidRPr="003015FD">
        <w:t xml:space="preserve"> </w:t>
      </w:r>
      <w:r w:rsidRPr="003015FD">
        <w:t>in</w:t>
      </w:r>
      <w:r w:rsidR="00975895" w:rsidRPr="003015FD">
        <w:t xml:space="preserve"> </w:t>
      </w:r>
      <w:r w:rsidRPr="003015FD">
        <w:t>these</w:t>
      </w:r>
      <w:r w:rsidR="00975895" w:rsidRPr="003015FD">
        <w:t xml:space="preserve"> </w:t>
      </w:r>
      <w:r w:rsidRPr="003015FD">
        <w:t>circumstances.</w:t>
      </w:r>
      <w:r w:rsidR="00975895" w:rsidRPr="003015FD">
        <w:t xml:space="preserve"> </w:t>
      </w:r>
      <w:r w:rsidRPr="003015FD">
        <w:t>The</w:t>
      </w:r>
      <w:r w:rsidR="00975895" w:rsidRPr="003015FD">
        <w:t xml:space="preserve"> </w:t>
      </w:r>
      <w:r w:rsidRPr="003015FD">
        <w:t>prison</w:t>
      </w:r>
      <w:r w:rsidR="00975895" w:rsidRPr="003015FD">
        <w:t xml:space="preserve"> </w:t>
      </w:r>
      <w:r w:rsidRPr="003015FD">
        <w:t>staff</w:t>
      </w:r>
      <w:r w:rsidR="00975895" w:rsidRPr="003015FD">
        <w:t xml:space="preserve"> </w:t>
      </w:r>
      <w:r w:rsidRPr="003015FD">
        <w:t>rang</w:t>
      </w:r>
      <w:r w:rsidR="00975895" w:rsidRPr="003015FD">
        <w:t xml:space="preserve"> </w:t>
      </w:r>
      <w:r w:rsidRPr="003015FD">
        <w:t>me</w:t>
      </w:r>
      <w:r w:rsidR="00975895" w:rsidRPr="003015FD">
        <w:t xml:space="preserve"> </w:t>
      </w:r>
      <w:r w:rsidRPr="003015FD">
        <w:t>later</w:t>
      </w:r>
      <w:r w:rsidR="00975895" w:rsidRPr="003015FD">
        <w:t xml:space="preserve"> </w:t>
      </w:r>
      <w:r w:rsidRPr="003015FD">
        <w:t>and</w:t>
      </w:r>
      <w:r w:rsidR="00975895" w:rsidRPr="003015FD">
        <w:t xml:space="preserve"> </w:t>
      </w:r>
      <w:r w:rsidRPr="003015FD">
        <w:t>they</w:t>
      </w:r>
      <w:r w:rsidR="00975895" w:rsidRPr="003015FD">
        <w:t xml:space="preserve"> </w:t>
      </w:r>
      <w:r w:rsidRPr="003015FD">
        <w:t>told</w:t>
      </w:r>
      <w:r w:rsidR="00975895" w:rsidRPr="003015FD">
        <w:t xml:space="preserve"> </w:t>
      </w:r>
      <w:r w:rsidRPr="003015FD">
        <w:t>me</w:t>
      </w:r>
      <w:r w:rsidR="00975895" w:rsidRPr="003015FD">
        <w:t xml:space="preserve"> </w:t>
      </w:r>
      <w:r w:rsidRPr="003015FD">
        <w:t>that</w:t>
      </w:r>
      <w:r w:rsidR="00975895" w:rsidRPr="003015FD">
        <w:t xml:space="preserve"> </w:t>
      </w:r>
      <w:r w:rsidRPr="003015FD">
        <w:t>they</w:t>
      </w:r>
      <w:r w:rsidR="00975895" w:rsidRPr="003015FD">
        <w:t xml:space="preserve"> </w:t>
      </w:r>
      <w:r w:rsidRPr="003015FD">
        <w:t>couldn</w:t>
      </w:r>
      <w:r w:rsidR="000C5726">
        <w:t>'</w:t>
      </w:r>
      <w:r w:rsidRPr="003015FD">
        <w:t>t</w:t>
      </w:r>
      <w:r w:rsidR="00975895" w:rsidRPr="003015FD">
        <w:t xml:space="preserve"> </w:t>
      </w:r>
      <w:r w:rsidRPr="003015FD">
        <w:t>believe</w:t>
      </w:r>
      <w:r w:rsidR="00975895" w:rsidRPr="003015FD">
        <w:t xml:space="preserve"> </w:t>
      </w:r>
      <w:r w:rsidRPr="003015FD">
        <w:t>how</w:t>
      </w:r>
      <w:r w:rsidR="00975895" w:rsidRPr="003015FD">
        <w:t xml:space="preserve"> </w:t>
      </w:r>
      <w:r w:rsidRPr="003015FD">
        <w:t>willingly</w:t>
      </w:r>
      <w:r w:rsidR="00975895" w:rsidRPr="003015FD">
        <w:t xml:space="preserve"> </w:t>
      </w:r>
      <w:r w:rsidRPr="003015FD">
        <w:t>the</w:t>
      </w:r>
      <w:r w:rsidR="00975895" w:rsidRPr="003015FD">
        <w:t xml:space="preserve"> </w:t>
      </w:r>
      <w:r w:rsidRPr="003015FD">
        <w:t>prisoner</w:t>
      </w:r>
      <w:r w:rsidR="00975895" w:rsidRPr="003015FD">
        <w:t xml:space="preserve"> </w:t>
      </w:r>
      <w:r w:rsidRPr="003015FD">
        <w:t>accepted</w:t>
      </w:r>
      <w:r w:rsidR="00975895" w:rsidRPr="003015FD">
        <w:t xml:space="preserve"> </w:t>
      </w:r>
      <w:r w:rsidRPr="003015FD">
        <w:t>the</w:t>
      </w:r>
      <w:r w:rsidR="00975895" w:rsidRPr="003015FD">
        <w:t xml:space="preserve"> </w:t>
      </w:r>
      <w:r w:rsidRPr="003015FD">
        <w:t>decision</w:t>
      </w:r>
      <w:r w:rsidR="00975895" w:rsidRPr="003015FD">
        <w:t xml:space="preserve"> </w:t>
      </w:r>
      <w:r w:rsidRPr="003015FD">
        <w:t>after</w:t>
      </w:r>
      <w:r w:rsidR="00975895" w:rsidRPr="003015FD">
        <w:t xml:space="preserve"> </w:t>
      </w:r>
      <w:r w:rsidRPr="003015FD">
        <w:t>that</w:t>
      </w:r>
      <w:r w:rsidR="00975895" w:rsidRPr="003015FD">
        <w:t xml:space="preserve"> </w:t>
      </w:r>
      <w:r w:rsidRPr="003015FD">
        <w:t>had</w:t>
      </w:r>
      <w:r w:rsidR="00975895" w:rsidRPr="003015FD">
        <w:t xml:space="preserve"> </w:t>
      </w:r>
      <w:r w:rsidRPr="003015FD">
        <w:t>been</w:t>
      </w:r>
      <w:r w:rsidR="00975895" w:rsidRPr="003015FD">
        <w:t xml:space="preserve"> </w:t>
      </w:r>
      <w:r w:rsidRPr="003015FD">
        <w:t>communicated</w:t>
      </w:r>
      <w:r w:rsidR="00975895" w:rsidRPr="003015FD">
        <w:t xml:space="preserve"> </w:t>
      </w:r>
      <w:r w:rsidRPr="003015FD">
        <w:t>to</w:t>
      </w:r>
      <w:r w:rsidR="00975895" w:rsidRPr="003015FD">
        <w:t xml:space="preserve"> </w:t>
      </w:r>
      <w:r w:rsidRPr="003015FD">
        <w:t>him.</w:t>
      </w:r>
    </w:p>
    <w:p w14:paraId="5DE4F14F" w14:textId="173C9E6F" w:rsidR="008E0945" w:rsidRPr="003015FD" w:rsidRDefault="008E0945" w:rsidP="0002642E">
      <w:r w:rsidRPr="003015FD">
        <w:t>Considering</w:t>
      </w:r>
      <w:r w:rsidR="00975895" w:rsidRPr="003015FD">
        <w:t xml:space="preserve"> </w:t>
      </w:r>
      <w:r w:rsidRPr="003015FD">
        <w:t>the</w:t>
      </w:r>
      <w:r w:rsidR="00975895" w:rsidRPr="003015FD">
        <w:t xml:space="preserve"> </w:t>
      </w:r>
      <w:r w:rsidRPr="003015FD">
        <w:t>prisoner</w:t>
      </w:r>
      <w:r w:rsidR="000C5726">
        <w:t>'</w:t>
      </w:r>
      <w:r w:rsidRPr="003015FD">
        <w:t>s</w:t>
      </w:r>
      <w:r w:rsidR="00975895" w:rsidRPr="003015FD">
        <w:t xml:space="preserve"> </w:t>
      </w:r>
      <w:r w:rsidRPr="003015FD">
        <w:t>human</w:t>
      </w:r>
      <w:r w:rsidR="00975895" w:rsidRPr="003015FD">
        <w:t xml:space="preserve"> </w:t>
      </w:r>
      <w:r w:rsidRPr="003015FD">
        <w:t>rights</w:t>
      </w:r>
      <w:r w:rsidR="00975895" w:rsidRPr="003015FD">
        <w:t xml:space="preserve"> </w:t>
      </w:r>
      <w:r w:rsidRPr="003015FD">
        <w:t>absolutely</w:t>
      </w:r>
      <w:r w:rsidR="00975895" w:rsidRPr="003015FD">
        <w:t xml:space="preserve"> </w:t>
      </w:r>
      <w:r w:rsidRPr="003015FD">
        <w:t>changed</w:t>
      </w:r>
      <w:r w:rsidR="00975895" w:rsidRPr="003015FD">
        <w:t xml:space="preserve"> </w:t>
      </w:r>
      <w:r w:rsidRPr="003015FD">
        <w:t>the</w:t>
      </w:r>
      <w:r w:rsidR="00975895" w:rsidRPr="003015FD">
        <w:t xml:space="preserve"> </w:t>
      </w:r>
      <w:r w:rsidRPr="003015FD">
        <w:t>situation</w:t>
      </w:r>
      <w:r w:rsidR="00975895" w:rsidRPr="003015FD">
        <w:t xml:space="preserve"> </w:t>
      </w:r>
      <w:r w:rsidRPr="003015FD">
        <w:t>for</w:t>
      </w:r>
      <w:r w:rsidR="00975895" w:rsidRPr="003015FD">
        <w:t xml:space="preserve"> </w:t>
      </w:r>
      <w:r w:rsidRPr="003015FD">
        <w:t>the</w:t>
      </w:r>
      <w:r w:rsidR="00975895" w:rsidRPr="003015FD">
        <w:t xml:space="preserve"> </w:t>
      </w:r>
      <w:r w:rsidRPr="003015FD">
        <w:t>better.</w:t>
      </w:r>
      <w:r w:rsidR="00975895" w:rsidRPr="003015FD">
        <w:t xml:space="preserve"> </w:t>
      </w:r>
      <w:r w:rsidRPr="003015FD">
        <w:t>I</w:t>
      </w:r>
      <w:r w:rsidR="000C5726">
        <w:t>'</w:t>
      </w:r>
      <w:r w:rsidRPr="003015FD">
        <w:t>ve</w:t>
      </w:r>
      <w:r w:rsidR="00975895" w:rsidRPr="003015FD">
        <w:t xml:space="preserve"> </w:t>
      </w:r>
      <w:r w:rsidRPr="003015FD">
        <w:t>always</w:t>
      </w:r>
      <w:r w:rsidR="00975895" w:rsidRPr="003015FD">
        <w:t xml:space="preserve"> </w:t>
      </w:r>
      <w:r w:rsidRPr="003015FD">
        <w:t>been</w:t>
      </w:r>
      <w:r w:rsidR="00975895" w:rsidRPr="003015FD">
        <w:t xml:space="preserve"> </w:t>
      </w:r>
      <w:r w:rsidRPr="003015FD">
        <w:t>about</w:t>
      </w:r>
      <w:r w:rsidR="00975895" w:rsidRPr="003015FD">
        <w:t xml:space="preserve"> </w:t>
      </w:r>
      <w:r w:rsidRPr="003015FD">
        <w:t>fairness</w:t>
      </w:r>
      <w:r w:rsidR="00975895" w:rsidRPr="003015FD">
        <w:t xml:space="preserve"> </w:t>
      </w:r>
      <w:r w:rsidRPr="003015FD">
        <w:t>and</w:t>
      </w:r>
      <w:r w:rsidR="00975895" w:rsidRPr="003015FD">
        <w:t xml:space="preserve"> </w:t>
      </w:r>
      <w:r w:rsidRPr="003015FD">
        <w:t>equality</w:t>
      </w:r>
      <w:r w:rsidR="00975895" w:rsidRPr="003015FD">
        <w:t xml:space="preserve"> </w:t>
      </w:r>
      <w:r w:rsidRPr="003015FD">
        <w:t>anyway,</w:t>
      </w:r>
      <w:r w:rsidR="00975895" w:rsidRPr="003015FD">
        <w:t xml:space="preserve"> </w:t>
      </w:r>
      <w:r w:rsidRPr="003015FD">
        <w:t>as</w:t>
      </w:r>
      <w:r w:rsidR="00975895" w:rsidRPr="003015FD">
        <w:t xml:space="preserve"> </w:t>
      </w:r>
      <w:r w:rsidRPr="003015FD">
        <w:t>a</w:t>
      </w:r>
      <w:r w:rsidR="00975895" w:rsidRPr="003015FD">
        <w:t xml:space="preserve"> </w:t>
      </w:r>
      <w:r w:rsidRPr="003015FD">
        <w:t>person.</w:t>
      </w:r>
      <w:r w:rsidR="00975895" w:rsidRPr="003015FD">
        <w:t xml:space="preserve"> </w:t>
      </w:r>
      <w:r w:rsidRPr="003015FD">
        <w:t>But</w:t>
      </w:r>
      <w:r w:rsidR="00975895" w:rsidRPr="003015FD">
        <w:t xml:space="preserve"> </w:t>
      </w:r>
      <w:r w:rsidRPr="003015FD">
        <w:t>that</w:t>
      </w:r>
      <w:r w:rsidR="00975895" w:rsidRPr="003015FD">
        <w:t xml:space="preserve"> </w:t>
      </w:r>
      <w:r w:rsidRPr="003015FD">
        <w:t>gave</w:t>
      </w:r>
      <w:r w:rsidR="00975895" w:rsidRPr="003015FD">
        <w:t xml:space="preserve"> </w:t>
      </w:r>
      <w:r w:rsidRPr="003015FD">
        <w:t>me</w:t>
      </w:r>
      <w:r w:rsidR="00975895" w:rsidRPr="003015FD">
        <w:t xml:space="preserve"> </w:t>
      </w:r>
      <w:r w:rsidRPr="003015FD">
        <w:t>a</w:t>
      </w:r>
      <w:r w:rsidR="00975895" w:rsidRPr="003015FD">
        <w:t xml:space="preserve"> </w:t>
      </w:r>
      <w:r w:rsidRPr="003015FD">
        <w:t>real</w:t>
      </w:r>
      <w:r w:rsidR="00975895" w:rsidRPr="003015FD">
        <w:t xml:space="preserve"> </w:t>
      </w:r>
      <w:r w:rsidRPr="003015FD">
        <w:t>insight</w:t>
      </w:r>
      <w:r w:rsidR="00975895" w:rsidRPr="003015FD">
        <w:t xml:space="preserve"> </w:t>
      </w:r>
      <w:r w:rsidRPr="003015FD">
        <w:t>into</w:t>
      </w:r>
      <w:r w:rsidR="00975895" w:rsidRPr="003015FD">
        <w:t xml:space="preserve"> </w:t>
      </w:r>
      <w:r w:rsidRPr="003015FD">
        <w:t>what</w:t>
      </w:r>
      <w:r w:rsidR="00975895" w:rsidRPr="003015FD">
        <w:t xml:space="preserve"> </w:t>
      </w:r>
      <w:r w:rsidRPr="003015FD">
        <w:t>we</w:t>
      </w:r>
      <w:r w:rsidR="00975895" w:rsidRPr="003015FD">
        <w:t xml:space="preserve"> </w:t>
      </w:r>
      <w:r w:rsidRPr="003015FD">
        <w:t>are</w:t>
      </w:r>
      <w:r w:rsidR="00975895" w:rsidRPr="003015FD">
        <w:t xml:space="preserve"> </w:t>
      </w:r>
      <w:r w:rsidRPr="003015FD">
        <w:t>required</w:t>
      </w:r>
      <w:r w:rsidR="00975895" w:rsidRPr="003015FD">
        <w:t xml:space="preserve"> </w:t>
      </w:r>
      <w:r w:rsidRPr="003015FD">
        <w:t>to</w:t>
      </w:r>
      <w:r w:rsidR="00975895" w:rsidRPr="003015FD">
        <w:t xml:space="preserve"> </w:t>
      </w:r>
      <w:r w:rsidRPr="003015FD">
        <w:t>do</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00975895" w:rsidRPr="003015FD">
        <w:t xml:space="preserve"> </w:t>
      </w:r>
      <w:r w:rsidRPr="003015FD">
        <w:t>The</w:t>
      </w:r>
      <w:r w:rsidR="00975895" w:rsidRPr="003015FD">
        <w:t xml:space="preserve"> </w:t>
      </w:r>
      <w:r w:rsidRPr="003015FD">
        <w:t>reality</w:t>
      </w:r>
      <w:r w:rsidR="00975895" w:rsidRPr="003015FD">
        <w:t xml:space="preserve"> </w:t>
      </w:r>
      <w:r w:rsidRPr="003015FD">
        <w:t>is</w:t>
      </w:r>
      <w:r w:rsidR="00975895" w:rsidRPr="003015FD">
        <w:t xml:space="preserve"> </w:t>
      </w:r>
      <w:r w:rsidRPr="003015FD">
        <w:t>that</w:t>
      </w:r>
      <w:r w:rsidR="00975895" w:rsidRPr="003015FD">
        <w:t xml:space="preserve"> </w:t>
      </w:r>
      <w:r w:rsidRPr="003015FD">
        <w:t>we</w:t>
      </w:r>
      <w:r w:rsidR="00975895" w:rsidRPr="003015FD">
        <w:t xml:space="preserve"> </w:t>
      </w:r>
      <w:r w:rsidRPr="003015FD">
        <w:t>work</w:t>
      </w:r>
      <w:r w:rsidR="00975895" w:rsidRPr="003015FD">
        <w:t xml:space="preserve"> </w:t>
      </w:r>
      <w:r w:rsidRPr="003015FD">
        <w:t>in</w:t>
      </w:r>
      <w:r w:rsidR="00975895" w:rsidRPr="003015FD">
        <w:t xml:space="preserve"> </w:t>
      </w:r>
      <w:r w:rsidRPr="003015FD">
        <w:t>an</w:t>
      </w:r>
      <w:r w:rsidR="00975895" w:rsidRPr="003015FD">
        <w:t xml:space="preserve"> </w:t>
      </w:r>
      <w:r w:rsidRPr="003015FD">
        <w:t>environment</w:t>
      </w:r>
      <w:r w:rsidR="00975895" w:rsidRPr="003015FD">
        <w:t xml:space="preserve"> </w:t>
      </w:r>
      <w:r w:rsidRPr="003015FD">
        <w:t>where</w:t>
      </w:r>
      <w:r w:rsidR="00975895" w:rsidRPr="003015FD">
        <w:t xml:space="preserve"> </w:t>
      </w:r>
      <w:r w:rsidRPr="003015FD">
        <w:t>we</w:t>
      </w:r>
      <w:r w:rsidR="00975895" w:rsidRPr="003015FD">
        <w:t xml:space="preserve"> </w:t>
      </w:r>
      <w:r w:rsidRPr="003015FD">
        <w:t>have</w:t>
      </w:r>
      <w:r w:rsidR="00975895" w:rsidRPr="003015FD">
        <w:t xml:space="preserve"> </w:t>
      </w:r>
      <w:r w:rsidRPr="003015FD">
        <w:t>to</w:t>
      </w:r>
      <w:r w:rsidR="00975895" w:rsidRPr="003015FD">
        <w:t xml:space="preserve"> </w:t>
      </w:r>
      <w:r w:rsidRPr="003015FD">
        <w:t>limit</w:t>
      </w:r>
      <w:r w:rsidR="00975895" w:rsidRPr="003015FD">
        <w:t xml:space="preserve"> </w:t>
      </w:r>
      <w:r w:rsidRPr="003015FD">
        <w:t>a</w:t>
      </w:r>
      <w:r w:rsidR="00975895" w:rsidRPr="003015FD">
        <w:t xml:space="preserve"> </w:t>
      </w:r>
      <w:r w:rsidRPr="003015FD">
        <w:t>prisoner</w:t>
      </w:r>
      <w:r w:rsidR="000C5726">
        <w:t>'</w:t>
      </w:r>
      <w:r w:rsidRPr="003015FD">
        <w:t>s</w:t>
      </w:r>
      <w:r w:rsidR="00975895" w:rsidRPr="003015FD">
        <w:t xml:space="preserve"> </w:t>
      </w:r>
      <w:r w:rsidRPr="003015FD">
        <w:t>human</w:t>
      </w:r>
      <w:r w:rsidR="00975895" w:rsidRPr="003015FD">
        <w:t xml:space="preserve"> </w:t>
      </w:r>
      <w:r w:rsidRPr="003015FD">
        <w:t>rights</w:t>
      </w:r>
      <w:r w:rsidR="00975895" w:rsidRPr="003015FD">
        <w:t xml:space="preserve"> </w:t>
      </w:r>
      <w:r w:rsidRPr="003015FD">
        <w:t>from</w:t>
      </w:r>
      <w:r w:rsidR="00975895" w:rsidRPr="003015FD">
        <w:t xml:space="preserve"> </w:t>
      </w:r>
      <w:r w:rsidRPr="003015FD">
        <w:t>time</w:t>
      </w:r>
      <w:r w:rsidR="00975895" w:rsidRPr="003015FD">
        <w:t xml:space="preserve"> </w:t>
      </w:r>
      <w:r w:rsidRPr="003015FD">
        <w:t>to</w:t>
      </w:r>
      <w:r w:rsidR="00975895" w:rsidRPr="003015FD">
        <w:t xml:space="preserve"> </w:t>
      </w:r>
      <w:r w:rsidRPr="003015FD">
        <w:t>time.</w:t>
      </w:r>
      <w:r w:rsidR="00975895" w:rsidRPr="003015FD">
        <w:t xml:space="preserve"> </w:t>
      </w:r>
    </w:p>
    <w:p w14:paraId="330A3CF1" w14:textId="0B96B403" w:rsidR="008E0945" w:rsidRPr="003015FD" w:rsidRDefault="008E0945" w:rsidP="0002642E">
      <w:r w:rsidRPr="003015FD">
        <w:t>Another</w:t>
      </w:r>
      <w:r w:rsidR="00975895" w:rsidRPr="003015FD">
        <w:t xml:space="preserve"> </w:t>
      </w:r>
      <w:r w:rsidRPr="003015FD">
        <w:t>example</w:t>
      </w:r>
      <w:r w:rsidR="00975895" w:rsidRPr="003015FD">
        <w:t xml:space="preserve"> </w:t>
      </w:r>
      <w:r w:rsidRPr="003015FD">
        <w:t>when</w:t>
      </w:r>
      <w:r w:rsidR="00975895" w:rsidRPr="003015FD">
        <w:t xml:space="preserve"> </w:t>
      </w:r>
      <w:r w:rsidRPr="003015FD">
        <w:t>the</w:t>
      </w:r>
      <w:r w:rsidR="00975895" w:rsidRPr="003015FD">
        <w:t xml:space="preserve"> </w:t>
      </w:r>
      <w:r w:rsidRPr="003015FD">
        <w:t>Charter</w:t>
      </w:r>
      <w:r w:rsidR="00975895" w:rsidRPr="003015FD">
        <w:t xml:space="preserve"> </w:t>
      </w:r>
      <w:r w:rsidRPr="003015FD">
        <w:t>was</w:t>
      </w:r>
      <w:r w:rsidR="00975895" w:rsidRPr="003015FD">
        <w:t xml:space="preserve"> </w:t>
      </w:r>
      <w:r w:rsidRPr="003015FD">
        <w:t>helpful</w:t>
      </w:r>
      <w:r w:rsidR="00975895" w:rsidRPr="003015FD">
        <w:t xml:space="preserve"> </w:t>
      </w:r>
      <w:r w:rsidRPr="003015FD">
        <w:t>was</w:t>
      </w:r>
      <w:r w:rsidR="00975895" w:rsidRPr="003015FD">
        <w:t xml:space="preserve"> </w:t>
      </w:r>
      <w:r w:rsidRPr="003015FD">
        <w:t>in</w:t>
      </w:r>
      <w:r w:rsidR="00975895" w:rsidRPr="003015FD">
        <w:t xml:space="preserve"> </w:t>
      </w:r>
      <w:r w:rsidRPr="003015FD">
        <w:t>a</w:t>
      </w:r>
      <w:r w:rsidR="00975895" w:rsidRPr="003015FD">
        <w:t xml:space="preserve"> </w:t>
      </w:r>
      <w:r w:rsidRPr="003015FD">
        <w:t>situation</w:t>
      </w:r>
      <w:r w:rsidR="00975895" w:rsidRPr="003015FD">
        <w:t xml:space="preserve"> </w:t>
      </w:r>
      <w:r w:rsidRPr="003015FD">
        <w:t>that</w:t>
      </w:r>
      <w:r w:rsidR="00975895" w:rsidRPr="003015FD">
        <w:t xml:space="preserve"> </w:t>
      </w:r>
      <w:r w:rsidRPr="003015FD">
        <w:t>arose</w:t>
      </w:r>
      <w:r w:rsidR="00975895" w:rsidRPr="003015FD">
        <w:t xml:space="preserve"> </w:t>
      </w:r>
      <w:r w:rsidRPr="003015FD">
        <w:t>with</w:t>
      </w:r>
      <w:r w:rsidR="00975895" w:rsidRPr="003015FD">
        <w:t xml:space="preserve"> </w:t>
      </w:r>
      <w:r w:rsidRPr="003015FD">
        <w:t>a</w:t>
      </w:r>
      <w:r w:rsidR="00975895" w:rsidRPr="003015FD">
        <w:t xml:space="preserve"> </w:t>
      </w:r>
      <w:r w:rsidRPr="003015FD">
        <w:t>religious</w:t>
      </w:r>
      <w:r w:rsidR="00975895" w:rsidRPr="003015FD">
        <w:t xml:space="preserve"> </w:t>
      </w:r>
      <w:r w:rsidRPr="003015FD">
        <w:t>Muslim</w:t>
      </w:r>
      <w:r w:rsidR="00975895" w:rsidRPr="003015FD">
        <w:t xml:space="preserve"> </w:t>
      </w:r>
      <w:r w:rsidRPr="003015FD">
        <w:t>prisoner</w:t>
      </w:r>
      <w:r w:rsidR="00975895" w:rsidRPr="003015FD">
        <w:t xml:space="preserve"> </w:t>
      </w:r>
      <w:r w:rsidRPr="003015FD">
        <w:t>who</w:t>
      </w:r>
      <w:r w:rsidR="00975895" w:rsidRPr="003015FD">
        <w:t xml:space="preserve"> </w:t>
      </w:r>
      <w:r w:rsidRPr="003015FD">
        <w:t>was</w:t>
      </w:r>
      <w:r w:rsidR="00975895" w:rsidRPr="003015FD">
        <w:t xml:space="preserve"> </w:t>
      </w:r>
      <w:r w:rsidRPr="003015FD">
        <w:t>being</w:t>
      </w:r>
      <w:r w:rsidR="00975895" w:rsidRPr="003015FD">
        <w:t xml:space="preserve"> </w:t>
      </w:r>
      <w:r w:rsidRPr="003015FD">
        <w:t>held</w:t>
      </w:r>
      <w:r w:rsidR="00975895" w:rsidRPr="003015FD">
        <w:t xml:space="preserve"> </w:t>
      </w:r>
      <w:r w:rsidRPr="003015FD">
        <w:t>in</w:t>
      </w:r>
      <w:r w:rsidR="00975895" w:rsidRPr="003015FD">
        <w:t xml:space="preserve"> </w:t>
      </w:r>
      <w:r w:rsidRPr="003015FD">
        <w:t>a</w:t>
      </w:r>
      <w:r w:rsidR="00975895" w:rsidRPr="003015FD">
        <w:t xml:space="preserve"> </w:t>
      </w:r>
      <w:r w:rsidRPr="003015FD">
        <w:t>high</w:t>
      </w:r>
      <w:r w:rsidR="00975895" w:rsidRPr="003015FD">
        <w:t xml:space="preserve"> </w:t>
      </w:r>
      <w:r w:rsidRPr="003015FD">
        <w:t>security</w:t>
      </w:r>
      <w:r w:rsidR="00975895" w:rsidRPr="003015FD">
        <w:t xml:space="preserve"> </w:t>
      </w:r>
      <w:r w:rsidRPr="003015FD">
        <w:t>cell.</w:t>
      </w:r>
      <w:r w:rsidR="00975895" w:rsidRPr="003015FD">
        <w:t xml:space="preserve"> </w:t>
      </w:r>
      <w:r w:rsidRPr="003015FD">
        <w:t>We</w:t>
      </w:r>
      <w:r w:rsidR="00975895" w:rsidRPr="003015FD">
        <w:t xml:space="preserve"> </w:t>
      </w:r>
      <w:r w:rsidRPr="003015FD">
        <w:t>have</w:t>
      </w:r>
      <w:r w:rsidR="00975895" w:rsidRPr="003015FD">
        <w:t xml:space="preserve"> </w:t>
      </w:r>
      <w:r w:rsidRPr="003015FD">
        <w:t>prisoners</w:t>
      </w:r>
      <w:r w:rsidR="00975895" w:rsidRPr="003015FD">
        <w:t xml:space="preserve"> </w:t>
      </w:r>
      <w:r w:rsidRPr="003015FD">
        <w:t>of</w:t>
      </w:r>
      <w:r w:rsidR="00975895" w:rsidRPr="003015FD">
        <w:t xml:space="preserve"> </w:t>
      </w:r>
      <w:r w:rsidRPr="003015FD">
        <w:t>all</w:t>
      </w:r>
      <w:r w:rsidR="00975895" w:rsidRPr="003015FD">
        <w:t xml:space="preserve"> </w:t>
      </w:r>
      <w:r w:rsidRPr="003015FD">
        <w:t>different</w:t>
      </w:r>
      <w:r w:rsidR="00975895" w:rsidRPr="003015FD">
        <w:t xml:space="preserve"> </w:t>
      </w:r>
      <w:r w:rsidRPr="003015FD">
        <w:t>religions</w:t>
      </w:r>
      <w:r w:rsidR="00975895" w:rsidRPr="003015FD">
        <w:t xml:space="preserve"> </w:t>
      </w:r>
      <w:r w:rsidRPr="003015FD">
        <w:t>and</w:t>
      </w:r>
      <w:r w:rsidR="00975895" w:rsidRPr="003015FD">
        <w:t xml:space="preserve"> </w:t>
      </w:r>
      <w:r w:rsidRPr="003015FD">
        <w:t>cultures.</w:t>
      </w:r>
      <w:r w:rsidR="00975895" w:rsidRPr="003015FD">
        <w:t xml:space="preserve"> </w:t>
      </w:r>
      <w:r w:rsidRPr="003015FD">
        <w:t>At</w:t>
      </w:r>
      <w:r w:rsidR="00975895" w:rsidRPr="003015FD">
        <w:t xml:space="preserve"> </w:t>
      </w:r>
      <w:r w:rsidRPr="003015FD">
        <w:t>a</w:t>
      </w:r>
      <w:r w:rsidR="00975895" w:rsidRPr="003015FD">
        <w:t xml:space="preserve"> </w:t>
      </w:r>
      <w:r w:rsidRPr="003015FD">
        <w:t>certain</w:t>
      </w:r>
      <w:r w:rsidR="00975895" w:rsidRPr="003015FD">
        <w:t xml:space="preserve"> </w:t>
      </w:r>
      <w:r w:rsidRPr="003015FD">
        <w:t>time</w:t>
      </w:r>
      <w:r w:rsidR="00975895" w:rsidRPr="003015FD">
        <w:t xml:space="preserve"> </w:t>
      </w:r>
      <w:r w:rsidRPr="003015FD">
        <w:t>of</w:t>
      </w:r>
      <w:r w:rsidR="00975895" w:rsidRPr="003015FD">
        <w:t xml:space="preserve"> </w:t>
      </w:r>
      <w:r w:rsidRPr="003015FD">
        <w:t>year,</w:t>
      </w:r>
      <w:r w:rsidR="00975895" w:rsidRPr="003015FD">
        <w:t xml:space="preserve"> </w:t>
      </w:r>
      <w:r w:rsidRPr="003015FD">
        <w:t>the</w:t>
      </w:r>
      <w:r w:rsidR="00975895" w:rsidRPr="003015FD">
        <w:t xml:space="preserve"> </w:t>
      </w:r>
      <w:r w:rsidRPr="003015FD">
        <w:t>Muslim</w:t>
      </w:r>
      <w:r w:rsidR="00975895" w:rsidRPr="003015FD">
        <w:t xml:space="preserve"> </w:t>
      </w:r>
      <w:r w:rsidRPr="003015FD">
        <w:t>prayer</w:t>
      </w:r>
      <w:r w:rsidR="00975895" w:rsidRPr="003015FD">
        <w:t xml:space="preserve"> </w:t>
      </w:r>
      <w:r w:rsidRPr="003015FD">
        <w:t>times</w:t>
      </w:r>
      <w:r w:rsidR="00975895" w:rsidRPr="003015FD">
        <w:t xml:space="preserve"> </w:t>
      </w:r>
      <w:r w:rsidRPr="003015FD">
        <w:t>were</w:t>
      </w:r>
      <w:r w:rsidR="00975895" w:rsidRPr="003015FD">
        <w:t xml:space="preserve"> </w:t>
      </w:r>
      <w:r w:rsidRPr="003015FD">
        <w:t>at</w:t>
      </w:r>
      <w:r w:rsidR="00975895" w:rsidRPr="003015FD">
        <w:t xml:space="preserve"> </w:t>
      </w:r>
      <w:r w:rsidRPr="003015FD">
        <w:t>the</w:t>
      </w:r>
      <w:r w:rsidR="00975895" w:rsidRPr="003015FD">
        <w:t xml:space="preserve"> </w:t>
      </w:r>
      <w:r w:rsidRPr="003015FD">
        <w:t>same</w:t>
      </w:r>
      <w:r w:rsidR="00975895" w:rsidRPr="003015FD">
        <w:t xml:space="preserve"> </w:t>
      </w:r>
      <w:r w:rsidRPr="003015FD">
        <w:t>time</w:t>
      </w:r>
      <w:r w:rsidR="00975895" w:rsidRPr="003015FD">
        <w:t xml:space="preserve"> </w:t>
      </w:r>
      <w:r w:rsidRPr="003015FD">
        <w:t>as</w:t>
      </w:r>
      <w:r w:rsidR="00975895" w:rsidRPr="003015FD">
        <w:t xml:space="preserve"> </w:t>
      </w:r>
      <w:r w:rsidRPr="003015FD">
        <w:t>the</w:t>
      </w:r>
      <w:r w:rsidR="00975895" w:rsidRPr="003015FD">
        <w:t xml:space="preserve"> </w:t>
      </w:r>
      <w:r w:rsidRPr="003015FD">
        <w:t>prisoner</w:t>
      </w:r>
      <w:r w:rsidR="00975895" w:rsidRPr="003015FD">
        <w:t xml:space="preserve"> </w:t>
      </w:r>
      <w:r w:rsidR="000C5726">
        <w:t>'</w:t>
      </w:r>
      <w:r w:rsidRPr="003015FD">
        <w:t>count</w:t>
      </w:r>
      <w:r w:rsidR="000C5726">
        <w:t>'</w:t>
      </w:r>
      <w:r w:rsidRPr="003015FD">
        <w:t>.</w:t>
      </w:r>
      <w:r w:rsidR="00975895" w:rsidRPr="003015FD">
        <w:t xml:space="preserve"> </w:t>
      </w:r>
      <w:r w:rsidRPr="003015FD">
        <w:t>This</w:t>
      </w:r>
      <w:r w:rsidR="00975895" w:rsidRPr="003015FD">
        <w:t xml:space="preserve"> </w:t>
      </w:r>
      <w:r w:rsidRPr="003015FD">
        <w:t>was</w:t>
      </w:r>
      <w:r w:rsidR="00975895" w:rsidRPr="003015FD">
        <w:t xml:space="preserve"> </w:t>
      </w:r>
      <w:r w:rsidRPr="003015FD">
        <w:t>a</w:t>
      </w:r>
      <w:r w:rsidR="00975895" w:rsidRPr="003015FD">
        <w:t xml:space="preserve"> </w:t>
      </w:r>
      <w:r w:rsidRPr="003015FD">
        <w:t>source</w:t>
      </w:r>
      <w:r w:rsidR="00975895" w:rsidRPr="003015FD">
        <w:t xml:space="preserve"> </w:t>
      </w:r>
      <w:r w:rsidRPr="003015FD">
        <w:t>of</w:t>
      </w:r>
      <w:r w:rsidR="00975895" w:rsidRPr="003015FD">
        <w:t xml:space="preserve"> </w:t>
      </w:r>
      <w:r w:rsidRPr="003015FD">
        <w:t>tension,</w:t>
      </w:r>
      <w:r w:rsidR="00975895" w:rsidRPr="003015FD">
        <w:t xml:space="preserve"> </w:t>
      </w:r>
      <w:r w:rsidRPr="003015FD">
        <w:t>because</w:t>
      </w:r>
      <w:r w:rsidR="00975895" w:rsidRPr="003015FD">
        <w:t xml:space="preserve"> </w:t>
      </w:r>
      <w:r w:rsidRPr="003015FD">
        <w:t>when</w:t>
      </w:r>
      <w:r w:rsidR="00975895" w:rsidRPr="003015FD">
        <w:t xml:space="preserve"> </w:t>
      </w:r>
      <w:r w:rsidRPr="003015FD">
        <w:t>the</w:t>
      </w:r>
      <w:r w:rsidR="00975895" w:rsidRPr="003015FD">
        <w:t xml:space="preserve"> </w:t>
      </w:r>
      <w:r w:rsidR="00602EE4">
        <w:t>prison officers</w:t>
      </w:r>
      <w:r w:rsidR="00602EE4" w:rsidRPr="003015FD">
        <w:t xml:space="preserve"> </w:t>
      </w:r>
      <w:r w:rsidRPr="003015FD">
        <w:t>were</w:t>
      </w:r>
      <w:r w:rsidR="00975895" w:rsidRPr="003015FD">
        <w:t xml:space="preserve"> </w:t>
      </w:r>
      <w:r w:rsidRPr="003015FD">
        <w:t>doing</w:t>
      </w:r>
      <w:r w:rsidR="00975895" w:rsidRPr="003015FD">
        <w:t xml:space="preserve"> </w:t>
      </w:r>
      <w:r w:rsidRPr="003015FD">
        <w:t>their</w:t>
      </w:r>
      <w:r w:rsidR="00975895" w:rsidRPr="003015FD">
        <w:t xml:space="preserve"> </w:t>
      </w:r>
      <w:r w:rsidRPr="003015FD">
        <w:t>count</w:t>
      </w:r>
      <w:r w:rsidR="00975895" w:rsidRPr="003015FD">
        <w:t xml:space="preserve"> </w:t>
      </w:r>
      <w:r w:rsidRPr="003015FD">
        <w:t>they</w:t>
      </w:r>
      <w:r w:rsidR="00975895" w:rsidRPr="003015FD">
        <w:t xml:space="preserve"> </w:t>
      </w:r>
      <w:r w:rsidRPr="003015FD">
        <w:t>would</w:t>
      </w:r>
      <w:r w:rsidR="00975895" w:rsidRPr="003015FD">
        <w:t xml:space="preserve"> </w:t>
      </w:r>
      <w:r w:rsidRPr="003015FD">
        <w:t>ask</w:t>
      </w:r>
      <w:r w:rsidR="00975895" w:rsidRPr="003015FD">
        <w:t xml:space="preserve"> </w:t>
      </w:r>
      <w:r w:rsidRPr="003015FD">
        <w:t>the</w:t>
      </w:r>
      <w:r w:rsidR="00975895" w:rsidRPr="003015FD">
        <w:t xml:space="preserve"> </w:t>
      </w:r>
      <w:r w:rsidRPr="003015FD">
        <w:t>prisoner</w:t>
      </w:r>
      <w:r w:rsidR="00975895" w:rsidRPr="003015FD">
        <w:t xml:space="preserve"> </w:t>
      </w:r>
      <w:r w:rsidRPr="003015FD">
        <w:t>to</w:t>
      </w:r>
      <w:r w:rsidR="00975895" w:rsidRPr="003015FD">
        <w:t xml:space="preserve"> </w:t>
      </w:r>
      <w:r w:rsidRPr="003015FD">
        <w:t>stand</w:t>
      </w:r>
      <w:r w:rsidR="00975895" w:rsidRPr="003015FD">
        <w:t xml:space="preserve"> </w:t>
      </w:r>
      <w:r w:rsidRPr="003015FD">
        <w:t>up</w:t>
      </w:r>
      <w:r w:rsidR="00975895" w:rsidRPr="003015FD">
        <w:t xml:space="preserve"> </w:t>
      </w:r>
      <w:r w:rsidRPr="003015FD">
        <w:t>so</w:t>
      </w:r>
      <w:r w:rsidR="00975895" w:rsidRPr="003015FD">
        <w:t xml:space="preserve"> </w:t>
      </w:r>
      <w:r w:rsidRPr="003015FD">
        <w:t>that</w:t>
      </w:r>
      <w:r w:rsidR="00975895" w:rsidRPr="003015FD">
        <w:t xml:space="preserve"> </w:t>
      </w:r>
      <w:r w:rsidRPr="003015FD">
        <w:t>they</w:t>
      </w:r>
      <w:r w:rsidR="00975895" w:rsidRPr="003015FD">
        <w:t xml:space="preserve"> </w:t>
      </w:r>
      <w:r w:rsidRPr="003015FD">
        <w:t>could</w:t>
      </w:r>
      <w:r w:rsidR="00975895" w:rsidRPr="003015FD">
        <w:t xml:space="preserve"> </w:t>
      </w:r>
      <w:r w:rsidRPr="003015FD">
        <w:t>see</w:t>
      </w:r>
      <w:r w:rsidR="00975895" w:rsidRPr="003015FD">
        <w:t xml:space="preserve"> </w:t>
      </w:r>
      <w:r w:rsidRPr="003015FD">
        <w:t>him</w:t>
      </w:r>
      <w:r w:rsidR="00975895" w:rsidRPr="003015FD">
        <w:t xml:space="preserve"> </w:t>
      </w:r>
      <w:r w:rsidRPr="003015FD">
        <w:t>and</w:t>
      </w:r>
      <w:r w:rsidR="00975895" w:rsidRPr="003015FD">
        <w:t xml:space="preserve"> </w:t>
      </w:r>
      <w:r w:rsidRPr="003015FD">
        <w:t>make</w:t>
      </w:r>
      <w:r w:rsidR="00975895" w:rsidRPr="003015FD">
        <w:t xml:space="preserve"> </w:t>
      </w:r>
      <w:r w:rsidRPr="003015FD">
        <w:t>sure</w:t>
      </w:r>
      <w:r w:rsidR="00975895" w:rsidRPr="003015FD">
        <w:t xml:space="preserve"> </w:t>
      </w:r>
      <w:r w:rsidRPr="003015FD">
        <w:t>he</w:t>
      </w:r>
      <w:r w:rsidR="00975895" w:rsidRPr="003015FD">
        <w:t xml:space="preserve"> </w:t>
      </w:r>
      <w:r w:rsidRPr="003015FD">
        <w:t>was</w:t>
      </w:r>
      <w:r w:rsidR="00975895" w:rsidRPr="003015FD">
        <w:t xml:space="preserve"> </w:t>
      </w:r>
      <w:r w:rsidRPr="003015FD">
        <w:t>OK.</w:t>
      </w:r>
      <w:r w:rsidR="00975895" w:rsidRPr="003015FD">
        <w:t xml:space="preserve"> </w:t>
      </w:r>
      <w:r w:rsidRPr="003015FD">
        <w:t>The</w:t>
      </w:r>
      <w:r w:rsidR="00975895" w:rsidRPr="003015FD">
        <w:t xml:space="preserve"> </w:t>
      </w:r>
      <w:r w:rsidRPr="003015FD">
        <w:t>prisoner</w:t>
      </w:r>
      <w:r w:rsidR="00975895" w:rsidRPr="003015FD">
        <w:t xml:space="preserve"> </w:t>
      </w:r>
      <w:r w:rsidRPr="003015FD">
        <w:t>was</w:t>
      </w:r>
      <w:r w:rsidR="00975895" w:rsidRPr="003015FD">
        <w:t xml:space="preserve"> </w:t>
      </w:r>
      <w:r w:rsidRPr="003015FD">
        <w:t>upset</w:t>
      </w:r>
      <w:r w:rsidR="00975895" w:rsidRPr="003015FD">
        <w:t xml:space="preserve"> </w:t>
      </w:r>
      <w:r w:rsidRPr="003015FD">
        <w:t>about</w:t>
      </w:r>
      <w:r w:rsidR="00975895" w:rsidRPr="003015FD">
        <w:t xml:space="preserve"> </w:t>
      </w:r>
      <w:r w:rsidRPr="003015FD">
        <w:t>our</w:t>
      </w:r>
      <w:r w:rsidR="00975895" w:rsidRPr="003015FD">
        <w:t xml:space="preserve"> </w:t>
      </w:r>
      <w:r w:rsidRPr="003015FD">
        <w:t>interruptions</w:t>
      </w:r>
      <w:r w:rsidR="00975895" w:rsidRPr="003015FD">
        <w:t xml:space="preserve"> </w:t>
      </w:r>
      <w:r w:rsidRPr="003015FD">
        <w:t>during</w:t>
      </w:r>
      <w:r w:rsidR="00975895" w:rsidRPr="003015FD">
        <w:t xml:space="preserve"> </w:t>
      </w:r>
      <w:r w:rsidRPr="003015FD">
        <w:t>his</w:t>
      </w:r>
      <w:r w:rsidR="00975895" w:rsidRPr="003015FD">
        <w:t xml:space="preserve"> </w:t>
      </w:r>
      <w:r w:rsidRPr="003015FD">
        <w:t>prayer</w:t>
      </w:r>
      <w:r w:rsidR="00975895" w:rsidRPr="003015FD">
        <w:t xml:space="preserve"> </w:t>
      </w:r>
      <w:r w:rsidRPr="003015FD">
        <w:t>time.</w:t>
      </w:r>
    </w:p>
    <w:p w14:paraId="2AD0A9D7" w14:textId="0A2C5535" w:rsidR="008E0945" w:rsidRPr="003015FD" w:rsidRDefault="008E0945" w:rsidP="0002642E">
      <w:r w:rsidRPr="003015FD">
        <w:t>We</w:t>
      </w:r>
      <w:r w:rsidR="00975895" w:rsidRPr="003015FD">
        <w:t xml:space="preserve"> </w:t>
      </w:r>
      <w:r w:rsidRPr="003015FD">
        <w:t>identified</w:t>
      </w:r>
      <w:r w:rsidR="00975895" w:rsidRPr="003015FD">
        <w:t xml:space="preserve"> </w:t>
      </w:r>
      <w:r w:rsidRPr="003015FD">
        <w:t>that</w:t>
      </w:r>
      <w:r w:rsidR="00975895" w:rsidRPr="003015FD">
        <w:t xml:space="preserve"> </w:t>
      </w:r>
      <w:r w:rsidRPr="003015FD">
        <w:t>the</w:t>
      </w:r>
      <w:r w:rsidR="00975895" w:rsidRPr="003015FD">
        <w:t xml:space="preserve"> </w:t>
      </w:r>
      <w:r w:rsidRPr="003015FD">
        <w:t>prisoner</w:t>
      </w:r>
      <w:r w:rsidR="00975895" w:rsidRPr="003015FD">
        <w:t xml:space="preserve"> </w:t>
      </w:r>
      <w:r w:rsidRPr="003015FD">
        <w:t>had</w:t>
      </w:r>
      <w:r w:rsidR="00975895" w:rsidRPr="003015FD">
        <w:t xml:space="preserve"> </w:t>
      </w:r>
      <w:r w:rsidRPr="003015FD">
        <w:t>a</w:t>
      </w:r>
      <w:r w:rsidR="00975895" w:rsidRPr="003015FD">
        <w:t xml:space="preserve"> </w:t>
      </w:r>
      <w:r w:rsidRPr="003015FD">
        <w:t>right</w:t>
      </w:r>
      <w:r w:rsidR="00975895" w:rsidRPr="003015FD">
        <w:t xml:space="preserve"> </w:t>
      </w:r>
      <w:r w:rsidRPr="003015FD">
        <w:t>of</w:t>
      </w:r>
      <w:r w:rsidR="00975895" w:rsidRPr="003015FD">
        <w:t xml:space="preserve"> </w:t>
      </w:r>
      <w:r w:rsidRPr="003015FD">
        <w:t>his</w:t>
      </w:r>
      <w:r w:rsidR="00975895" w:rsidRPr="003015FD">
        <w:t xml:space="preserve"> </w:t>
      </w:r>
      <w:r w:rsidRPr="003015FD">
        <w:t>religious</w:t>
      </w:r>
      <w:r w:rsidR="00975895" w:rsidRPr="003015FD">
        <w:t xml:space="preserve"> </w:t>
      </w:r>
      <w:r w:rsidRPr="003015FD">
        <w:t>belief</w:t>
      </w:r>
      <w:r w:rsidR="00975895" w:rsidRPr="003015FD">
        <w:t xml:space="preserve"> </w:t>
      </w:r>
      <w:r w:rsidRPr="003015FD">
        <w:t>and</w:t>
      </w:r>
      <w:r w:rsidR="00975895" w:rsidRPr="003015FD">
        <w:t xml:space="preserve"> </w:t>
      </w:r>
      <w:r w:rsidRPr="003015FD">
        <w:t>to</w:t>
      </w:r>
      <w:r w:rsidR="00975895" w:rsidRPr="003015FD">
        <w:t xml:space="preserve"> </w:t>
      </w:r>
      <w:r w:rsidRPr="003015FD">
        <w:t>pray</w:t>
      </w:r>
      <w:r w:rsidR="00975895" w:rsidRPr="003015FD">
        <w:t xml:space="preserve"> </w:t>
      </w:r>
      <w:r w:rsidRPr="003015FD">
        <w:t>and</w:t>
      </w:r>
      <w:r w:rsidR="00975895" w:rsidRPr="003015FD">
        <w:t xml:space="preserve"> </w:t>
      </w:r>
      <w:r w:rsidRPr="003015FD">
        <w:t>we</w:t>
      </w:r>
      <w:r w:rsidR="00975895" w:rsidRPr="003015FD">
        <w:t xml:space="preserve"> </w:t>
      </w:r>
      <w:r w:rsidRPr="003015FD">
        <w:t>needed</w:t>
      </w:r>
      <w:r w:rsidR="00975895" w:rsidRPr="003015FD">
        <w:t xml:space="preserve"> </w:t>
      </w:r>
      <w:r w:rsidRPr="003015FD">
        <w:t>to</w:t>
      </w:r>
      <w:r w:rsidR="00975895" w:rsidRPr="003015FD">
        <w:t xml:space="preserve"> </w:t>
      </w:r>
      <w:r w:rsidRPr="003015FD">
        <w:t>be</w:t>
      </w:r>
      <w:r w:rsidR="00975895" w:rsidRPr="003015FD">
        <w:t xml:space="preserve"> </w:t>
      </w:r>
      <w:r w:rsidRPr="003015FD">
        <w:t>respectful</w:t>
      </w:r>
      <w:r w:rsidR="00975895" w:rsidRPr="003015FD">
        <w:t xml:space="preserve"> </w:t>
      </w:r>
      <w:r w:rsidRPr="003015FD">
        <w:t>of</w:t>
      </w:r>
      <w:r w:rsidR="00975895" w:rsidRPr="003015FD">
        <w:t xml:space="preserve"> </w:t>
      </w:r>
      <w:r w:rsidRPr="003015FD">
        <w:t>that.</w:t>
      </w:r>
      <w:r w:rsidR="00975895" w:rsidRPr="003015FD">
        <w:t xml:space="preserve"> </w:t>
      </w:r>
      <w:r w:rsidRPr="003015FD">
        <w:t>We</w:t>
      </w:r>
      <w:r w:rsidR="00975895" w:rsidRPr="003015FD">
        <w:t xml:space="preserve"> </w:t>
      </w:r>
      <w:r w:rsidRPr="003015FD">
        <w:t>brought</w:t>
      </w:r>
      <w:r w:rsidR="00975895" w:rsidRPr="003015FD">
        <w:t xml:space="preserve"> </w:t>
      </w:r>
      <w:r w:rsidRPr="003015FD">
        <w:t>in</w:t>
      </w:r>
      <w:r w:rsidR="00975895" w:rsidRPr="003015FD">
        <w:t xml:space="preserve"> </w:t>
      </w:r>
      <w:r w:rsidRPr="003015FD">
        <w:t>the</w:t>
      </w:r>
      <w:r w:rsidR="00975895" w:rsidRPr="003015FD">
        <w:t xml:space="preserve"> </w:t>
      </w:r>
      <w:r w:rsidRPr="003015FD">
        <w:t>Muslim</w:t>
      </w:r>
      <w:r w:rsidR="00975895" w:rsidRPr="003015FD">
        <w:t xml:space="preserve"> </w:t>
      </w:r>
      <w:r w:rsidRPr="003015FD">
        <w:t>chaplain</w:t>
      </w:r>
      <w:r w:rsidR="00975895" w:rsidRPr="003015FD">
        <w:t xml:space="preserve"> </w:t>
      </w:r>
      <w:r w:rsidRPr="003015FD">
        <w:t>to</w:t>
      </w:r>
      <w:r w:rsidR="00975895" w:rsidRPr="003015FD">
        <w:t xml:space="preserve"> </w:t>
      </w:r>
      <w:r w:rsidRPr="003015FD">
        <w:t>assist.</w:t>
      </w:r>
      <w:r w:rsidR="00975895" w:rsidRPr="003015FD">
        <w:t xml:space="preserve"> </w:t>
      </w:r>
      <w:r w:rsidRPr="003015FD">
        <w:t>We</w:t>
      </w:r>
      <w:r w:rsidR="00975895" w:rsidRPr="003015FD">
        <w:t xml:space="preserve"> </w:t>
      </w:r>
      <w:r w:rsidRPr="003015FD">
        <w:t>went</w:t>
      </w:r>
      <w:r w:rsidR="00975895" w:rsidRPr="003015FD">
        <w:t xml:space="preserve"> </w:t>
      </w:r>
      <w:r w:rsidRPr="003015FD">
        <w:t>through</w:t>
      </w:r>
      <w:r w:rsidR="00975895" w:rsidRPr="003015FD">
        <w:t xml:space="preserve"> </w:t>
      </w:r>
      <w:r w:rsidRPr="003015FD">
        <w:t>the</w:t>
      </w:r>
      <w:r w:rsidR="00975895" w:rsidRPr="003015FD">
        <w:t xml:space="preserve"> </w:t>
      </w:r>
      <w:r w:rsidRPr="003015FD">
        <w:t>Muslim</w:t>
      </w:r>
      <w:r w:rsidR="00975895" w:rsidRPr="003015FD">
        <w:t xml:space="preserve"> </w:t>
      </w:r>
      <w:r w:rsidRPr="003015FD">
        <w:t>prayer</w:t>
      </w:r>
      <w:r w:rsidR="00975895" w:rsidRPr="003015FD">
        <w:t xml:space="preserve"> </w:t>
      </w:r>
      <w:r w:rsidRPr="003015FD">
        <w:t>calendar,</w:t>
      </w:r>
      <w:r w:rsidR="00975895" w:rsidRPr="003015FD">
        <w:t xml:space="preserve"> </w:t>
      </w:r>
      <w:r w:rsidRPr="003015FD">
        <w:t>and</w:t>
      </w:r>
      <w:r w:rsidR="00975895" w:rsidRPr="003015FD">
        <w:t xml:space="preserve"> </w:t>
      </w:r>
      <w:r w:rsidRPr="003015FD">
        <w:t>identified</w:t>
      </w:r>
      <w:r w:rsidR="00975895" w:rsidRPr="003015FD">
        <w:t xml:space="preserve"> </w:t>
      </w:r>
      <w:r w:rsidRPr="003015FD">
        <w:t>that</w:t>
      </w:r>
      <w:r w:rsidR="00975895" w:rsidRPr="003015FD">
        <w:t xml:space="preserve"> </w:t>
      </w:r>
      <w:r w:rsidRPr="003015FD">
        <w:t>for</w:t>
      </w:r>
      <w:r w:rsidR="00975895" w:rsidRPr="003015FD">
        <w:t xml:space="preserve"> </w:t>
      </w:r>
      <w:r w:rsidRPr="003015FD">
        <w:t>certain</w:t>
      </w:r>
      <w:r w:rsidR="00975895" w:rsidRPr="003015FD">
        <w:t xml:space="preserve"> </w:t>
      </w:r>
      <w:r w:rsidRPr="003015FD">
        <w:t>times</w:t>
      </w:r>
      <w:r w:rsidR="00975895" w:rsidRPr="003015FD">
        <w:t xml:space="preserve"> </w:t>
      </w:r>
      <w:r w:rsidRPr="003015FD">
        <w:t>of</w:t>
      </w:r>
      <w:r w:rsidR="00975895" w:rsidRPr="003015FD">
        <w:t xml:space="preserve"> </w:t>
      </w:r>
      <w:r w:rsidRPr="003015FD">
        <w:t>the</w:t>
      </w:r>
      <w:r w:rsidR="00975895" w:rsidRPr="003015FD">
        <w:t xml:space="preserve"> </w:t>
      </w:r>
      <w:r w:rsidRPr="003015FD">
        <w:t>year,</w:t>
      </w:r>
      <w:r w:rsidR="00975895" w:rsidRPr="003015FD">
        <w:t xml:space="preserve"> </w:t>
      </w:r>
      <w:r w:rsidRPr="003015FD">
        <w:t>prayer</w:t>
      </w:r>
      <w:r w:rsidR="00975895" w:rsidRPr="003015FD">
        <w:t xml:space="preserve"> </w:t>
      </w:r>
      <w:r w:rsidRPr="003015FD">
        <w:t>time</w:t>
      </w:r>
      <w:r w:rsidR="00975895" w:rsidRPr="003015FD">
        <w:t xml:space="preserve"> </w:t>
      </w:r>
      <w:r w:rsidRPr="003015FD">
        <w:t>and</w:t>
      </w:r>
      <w:r w:rsidR="00975895" w:rsidRPr="003015FD">
        <w:t xml:space="preserve"> </w:t>
      </w:r>
      <w:r w:rsidR="000C5726">
        <w:t>'</w:t>
      </w:r>
      <w:r w:rsidRPr="003015FD">
        <w:t>count</w:t>
      </w:r>
      <w:r w:rsidR="000C5726">
        <w:t>'</w:t>
      </w:r>
      <w:r w:rsidR="00975895" w:rsidRPr="003015FD">
        <w:t xml:space="preserve"> </w:t>
      </w:r>
      <w:r w:rsidRPr="003015FD">
        <w:t>time</w:t>
      </w:r>
      <w:r w:rsidR="00975895" w:rsidRPr="003015FD">
        <w:t xml:space="preserve"> </w:t>
      </w:r>
      <w:r w:rsidRPr="003015FD">
        <w:t>would</w:t>
      </w:r>
      <w:r w:rsidR="00975895" w:rsidRPr="003015FD">
        <w:t xml:space="preserve"> </w:t>
      </w:r>
      <w:r w:rsidRPr="003015FD">
        <w:t>clash.</w:t>
      </w:r>
      <w:r w:rsidR="00975895" w:rsidRPr="003015FD">
        <w:t xml:space="preserve"> </w:t>
      </w:r>
      <w:r w:rsidRPr="003015FD">
        <w:t>We</w:t>
      </w:r>
      <w:r w:rsidR="00975895" w:rsidRPr="003015FD">
        <w:t xml:space="preserve"> </w:t>
      </w:r>
      <w:r w:rsidRPr="003015FD">
        <w:t>had</w:t>
      </w:r>
      <w:r w:rsidR="00975895" w:rsidRPr="003015FD">
        <w:t xml:space="preserve"> </w:t>
      </w:r>
      <w:r w:rsidRPr="003015FD">
        <w:t>discussions</w:t>
      </w:r>
      <w:r w:rsidR="00975895" w:rsidRPr="003015FD">
        <w:t xml:space="preserve"> </w:t>
      </w:r>
      <w:r w:rsidRPr="003015FD">
        <w:t>with</w:t>
      </w:r>
      <w:r w:rsidR="00975895" w:rsidRPr="003015FD">
        <w:t xml:space="preserve"> </w:t>
      </w:r>
      <w:r w:rsidRPr="003015FD">
        <w:t>the</w:t>
      </w:r>
      <w:r w:rsidR="00975895" w:rsidRPr="003015FD">
        <w:t xml:space="preserve"> </w:t>
      </w:r>
      <w:r w:rsidRPr="003015FD">
        <w:t>prisoner</w:t>
      </w:r>
      <w:r w:rsidR="00975895" w:rsidRPr="003015FD">
        <w:t xml:space="preserve"> </w:t>
      </w:r>
      <w:r w:rsidRPr="003015FD">
        <w:t>and</w:t>
      </w:r>
      <w:r w:rsidR="00975895" w:rsidRPr="003015FD">
        <w:t xml:space="preserve"> </w:t>
      </w:r>
      <w:r w:rsidRPr="003015FD">
        <w:t>came</w:t>
      </w:r>
      <w:r w:rsidR="00975895" w:rsidRPr="003015FD">
        <w:t xml:space="preserve"> </w:t>
      </w:r>
      <w:r w:rsidRPr="003015FD">
        <w:t>to</w:t>
      </w:r>
      <w:r w:rsidR="00975895" w:rsidRPr="003015FD">
        <w:t xml:space="preserve"> </w:t>
      </w:r>
      <w:r w:rsidRPr="003015FD">
        <w:t>an</w:t>
      </w:r>
      <w:r w:rsidR="00975895" w:rsidRPr="003015FD">
        <w:t xml:space="preserve"> </w:t>
      </w:r>
      <w:r w:rsidRPr="003015FD">
        <w:t>agreement</w:t>
      </w:r>
      <w:r w:rsidR="00975895" w:rsidRPr="003015FD">
        <w:t xml:space="preserve"> </w:t>
      </w:r>
      <w:r w:rsidRPr="003015FD">
        <w:t>that</w:t>
      </w:r>
      <w:r w:rsidR="00975895" w:rsidRPr="003015FD">
        <w:t xml:space="preserve"> </w:t>
      </w:r>
      <w:r w:rsidRPr="003015FD">
        <w:t>we</w:t>
      </w:r>
      <w:r w:rsidR="000C5726">
        <w:t>'</w:t>
      </w:r>
      <w:r w:rsidRPr="003015FD">
        <w:t>d</w:t>
      </w:r>
      <w:r w:rsidR="00975895" w:rsidRPr="003015FD">
        <w:t xml:space="preserve"> </w:t>
      </w:r>
      <w:r w:rsidRPr="003015FD">
        <w:t>let</w:t>
      </w:r>
      <w:r w:rsidR="00975895" w:rsidRPr="003015FD">
        <w:t xml:space="preserve"> </w:t>
      </w:r>
      <w:r w:rsidRPr="003015FD">
        <w:t>him</w:t>
      </w:r>
      <w:r w:rsidR="00975895" w:rsidRPr="003015FD">
        <w:t xml:space="preserve"> </w:t>
      </w:r>
      <w:r w:rsidRPr="003015FD">
        <w:t>pray</w:t>
      </w:r>
      <w:r w:rsidR="00975895" w:rsidRPr="003015FD">
        <w:t xml:space="preserve"> </w:t>
      </w:r>
      <w:r w:rsidRPr="003015FD">
        <w:t>at</w:t>
      </w:r>
      <w:r w:rsidR="00975895" w:rsidRPr="003015FD">
        <w:t xml:space="preserve"> </w:t>
      </w:r>
      <w:r w:rsidRPr="003015FD">
        <w:t>that</w:t>
      </w:r>
      <w:r w:rsidR="00975895" w:rsidRPr="003015FD">
        <w:t xml:space="preserve"> </w:t>
      </w:r>
      <w:r w:rsidRPr="003015FD">
        <w:t>time,</w:t>
      </w:r>
      <w:r w:rsidR="00975895" w:rsidRPr="003015FD">
        <w:t xml:space="preserve"> </w:t>
      </w:r>
      <w:r w:rsidRPr="003015FD">
        <w:t>but</w:t>
      </w:r>
      <w:r w:rsidR="00975895" w:rsidRPr="003015FD">
        <w:t xml:space="preserve"> </w:t>
      </w:r>
      <w:r w:rsidRPr="003015FD">
        <w:t>that</w:t>
      </w:r>
      <w:r w:rsidR="00975895" w:rsidRPr="003015FD">
        <w:t xml:space="preserve"> </w:t>
      </w:r>
      <w:r w:rsidRPr="003015FD">
        <w:t>when</w:t>
      </w:r>
      <w:r w:rsidR="00975895" w:rsidRPr="003015FD">
        <w:t xml:space="preserve"> </w:t>
      </w:r>
      <w:r w:rsidRPr="003015FD">
        <w:t>the</w:t>
      </w:r>
      <w:r w:rsidR="00975895" w:rsidRPr="003015FD">
        <w:t xml:space="preserve"> </w:t>
      </w:r>
      <w:r w:rsidRPr="003015FD">
        <w:t>staff</w:t>
      </w:r>
      <w:r w:rsidR="00975895" w:rsidRPr="003015FD">
        <w:t xml:space="preserve"> </w:t>
      </w:r>
      <w:r w:rsidRPr="003015FD">
        <w:t>came</w:t>
      </w:r>
      <w:r w:rsidR="00975895" w:rsidRPr="003015FD">
        <w:t xml:space="preserve"> </w:t>
      </w:r>
      <w:r w:rsidRPr="003015FD">
        <w:t>around</w:t>
      </w:r>
      <w:r w:rsidR="00975895" w:rsidRPr="003015FD">
        <w:t xml:space="preserve"> </w:t>
      </w:r>
      <w:r w:rsidRPr="003015FD">
        <w:t>to</w:t>
      </w:r>
      <w:r w:rsidR="00975895" w:rsidRPr="003015FD">
        <w:t xml:space="preserve"> </w:t>
      </w:r>
      <w:r w:rsidRPr="003015FD">
        <w:t>his</w:t>
      </w:r>
      <w:r w:rsidR="00975895" w:rsidRPr="003015FD">
        <w:t xml:space="preserve"> </w:t>
      </w:r>
      <w:r w:rsidRPr="003015FD">
        <w:t>cell,</w:t>
      </w:r>
      <w:r w:rsidR="00975895" w:rsidRPr="003015FD">
        <w:t xml:space="preserve"> </w:t>
      </w:r>
      <w:r w:rsidRPr="003015FD">
        <w:t>they</w:t>
      </w:r>
      <w:r w:rsidR="00975895" w:rsidRPr="003015FD">
        <w:t xml:space="preserve"> </w:t>
      </w:r>
      <w:r w:rsidRPr="003015FD">
        <w:t>would</w:t>
      </w:r>
      <w:r w:rsidR="00975895" w:rsidRPr="003015FD">
        <w:t xml:space="preserve"> </w:t>
      </w:r>
      <w:r w:rsidRPr="003015FD">
        <w:t>interrupt</w:t>
      </w:r>
      <w:r w:rsidR="00975895" w:rsidRPr="003015FD">
        <w:t xml:space="preserve"> </w:t>
      </w:r>
      <w:r w:rsidRPr="003015FD">
        <w:t>him</w:t>
      </w:r>
      <w:r w:rsidR="00975895" w:rsidRPr="003015FD">
        <w:t xml:space="preserve"> </w:t>
      </w:r>
      <w:r w:rsidRPr="003015FD">
        <w:t>by</w:t>
      </w:r>
      <w:r w:rsidR="00975895" w:rsidRPr="003015FD">
        <w:t xml:space="preserve"> </w:t>
      </w:r>
      <w:r w:rsidRPr="003015FD">
        <w:t>lifting</w:t>
      </w:r>
      <w:r w:rsidR="00975895" w:rsidRPr="003015FD">
        <w:t xml:space="preserve"> </w:t>
      </w:r>
      <w:r w:rsidRPr="003015FD">
        <w:t>the</w:t>
      </w:r>
      <w:r w:rsidR="00975895" w:rsidRPr="003015FD">
        <w:t xml:space="preserve"> </w:t>
      </w:r>
      <w:r w:rsidRPr="003015FD">
        <w:t>curtain</w:t>
      </w:r>
      <w:r w:rsidR="00975895" w:rsidRPr="003015FD">
        <w:t xml:space="preserve"> </w:t>
      </w:r>
      <w:r w:rsidRPr="003015FD">
        <w:t>and</w:t>
      </w:r>
      <w:r w:rsidR="00975895" w:rsidRPr="003015FD">
        <w:t xml:space="preserve"> </w:t>
      </w:r>
      <w:r w:rsidRPr="003015FD">
        <w:t>looking</w:t>
      </w:r>
      <w:r w:rsidR="00975895" w:rsidRPr="003015FD">
        <w:t xml:space="preserve"> </w:t>
      </w:r>
      <w:r w:rsidRPr="003015FD">
        <w:t>in.</w:t>
      </w:r>
      <w:r w:rsidR="00975895" w:rsidRPr="003015FD">
        <w:t xml:space="preserve"> </w:t>
      </w:r>
      <w:r w:rsidRPr="003015FD">
        <w:t>We</w:t>
      </w:r>
      <w:r w:rsidR="00975895" w:rsidRPr="003015FD">
        <w:t xml:space="preserve"> </w:t>
      </w:r>
      <w:r w:rsidRPr="003015FD">
        <w:t>found</w:t>
      </w:r>
      <w:r w:rsidR="00975895" w:rsidRPr="003015FD">
        <w:t xml:space="preserve"> </w:t>
      </w:r>
      <w:r w:rsidRPr="003015FD">
        <w:t>a</w:t>
      </w:r>
      <w:r w:rsidR="00975895" w:rsidRPr="003015FD">
        <w:t xml:space="preserve"> </w:t>
      </w:r>
      <w:r w:rsidRPr="003015FD">
        <w:t>solution</w:t>
      </w:r>
      <w:r w:rsidR="00975895" w:rsidRPr="003015FD">
        <w:t xml:space="preserve"> </w:t>
      </w:r>
      <w:r w:rsidRPr="003015FD">
        <w:t>that</w:t>
      </w:r>
      <w:r w:rsidR="00975895" w:rsidRPr="003015FD">
        <w:t xml:space="preserve"> </w:t>
      </w:r>
      <w:r w:rsidRPr="003015FD">
        <w:t>least</w:t>
      </w:r>
      <w:r w:rsidR="00975895" w:rsidRPr="003015FD">
        <w:t xml:space="preserve"> </w:t>
      </w:r>
      <w:r w:rsidRPr="003015FD">
        <w:t>restricted</w:t>
      </w:r>
      <w:r w:rsidR="00975895" w:rsidRPr="003015FD">
        <w:t xml:space="preserve"> </w:t>
      </w:r>
      <w:r w:rsidRPr="003015FD">
        <w:t>his</w:t>
      </w:r>
      <w:r w:rsidR="00975895" w:rsidRPr="003015FD">
        <w:t xml:space="preserve"> </w:t>
      </w:r>
      <w:r w:rsidRPr="003015FD">
        <w:t>human</w:t>
      </w:r>
      <w:r w:rsidR="00975895" w:rsidRPr="003015FD">
        <w:t xml:space="preserve"> </w:t>
      </w:r>
      <w:r w:rsidRPr="003015FD">
        <w:t>rights</w:t>
      </w:r>
      <w:r w:rsidR="00975895" w:rsidRPr="003015FD">
        <w:t xml:space="preserve"> </w:t>
      </w:r>
      <w:r w:rsidRPr="003015FD">
        <w:t>but</w:t>
      </w:r>
      <w:r w:rsidR="00975895" w:rsidRPr="003015FD">
        <w:t xml:space="preserve"> </w:t>
      </w:r>
      <w:r w:rsidRPr="003015FD">
        <w:t>still</w:t>
      </w:r>
      <w:r w:rsidR="00975895" w:rsidRPr="003015FD">
        <w:t xml:space="preserve"> </w:t>
      </w:r>
      <w:r w:rsidRPr="003015FD">
        <w:t>achieved</w:t>
      </w:r>
      <w:r w:rsidR="00975895" w:rsidRPr="003015FD">
        <w:t xml:space="preserve"> </w:t>
      </w:r>
      <w:r w:rsidRPr="003015FD">
        <w:t>our</w:t>
      </w:r>
      <w:r w:rsidR="00975895" w:rsidRPr="003015FD">
        <w:t xml:space="preserve"> </w:t>
      </w:r>
      <w:r w:rsidRPr="003015FD">
        <w:t>objectives.</w:t>
      </w:r>
      <w:r w:rsidR="00975895" w:rsidRPr="003015FD">
        <w:t xml:space="preserve"> </w:t>
      </w:r>
      <w:r w:rsidRPr="003015FD">
        <w:t>Working</w:t>
      </w:r>
      <w:r w:rsidR="00975895" w:rsidRPr="003015FD">
        <w:t xml:space="preserve"> </w:t>
      </w:r>
      <w:r w:rsidRPr="003015FD">
        <w:t>together</w:t>
      </w:r>
      <w:r w:rsidR="00975895" w:rsidRPr="003015FD">
        <w:t xml:space="preserve"> </w:t>
      </w:r>
      <w:r w:rsidRPr="003015FD">
        <w:t>we</w:t>
      </w:r>
      <w:r w:rsidR="00975895" w:rsidRPr="003015FD">
        <w:t xml:space="preserve"> </w:t>
      </w:r>
      <w:r w:rsidRPr="003015FD">
        <w:t>came</w:t>
      </w:r>
      <w:r w:rsidR="00975895" w:rsidRPr="003015FD">
        <w:t xml:space="preserve"> </w:t>
      </w:r>
      <w:r w:rsidRPr="003015FD">
        <w:t>to</w:t>
      </w:r>
      <w:r w:rsidR="00975895" w:rsidRPr="003015FD">
        <w:t xml:space="preserve"> </w:t>
      </w:r>
      <w:r w:rsidRPr="003015FD">
        <w:t>a</w:t>
      </w:r>
      <w:r w:rsidR="00975895" w:rsidRPr="003015FD">
        <w:t xml:space="preserve"> </w:t>
      </w:r>
      <w:r w:rsidRPr="003015FD">
        <w:t>solution</w:t>
      </w:r>
      <w:r w:rsidR="00975895" w:rsidRPr="003015FD">
        <w:t xml:space="preserve"> </w:t>
      </w:r>
      <w:r w:rsidRPr="003015FD">
        <w:t>that</w:t>
      </w:r>
      <w:r w:rsidR="00975895" w:rsidRPr="003015FD">
        <w:t xml:space="preserve"> </w:t>
      </w:r>
      <w:r w:rsidRPr="003015FD">
        <w:t>worked</w:t>
      </w:r>
      <w:r w:rsidR="00975895" w:rsidRPr="003015FD">
        <w:t xml:space="preserve"> </w:t>
      </w:r>
      <w:r w:rsidRPr="003015FD">
        <w:t>for</w:t>
      </w:r>
      <w:r w:rsidR="00975895" w:rsidRPr="003015FD">
        <w:t xml:space="preserve"> </w:t>
      </w:r>
      <w:r w:rsidRPr="003015FD">
        <w:t>us</w:t>
      </w:r>
      <w:r w:rsidR="00975895" w:rsidRPr="003015FD">
        <w:t xml:space="preserve"> </w:t>
      </w:r>
      <w:r w:rsidRPr="003015FD">
        <w:t>and</w:t>
      </w:r>
      <w:r w:rsidR="00975895" w:rsidRPr="003015FD">
        <w:t xml:space="preserve"> </w:t>
      </w:r>
      <w:r w:rsidRPr="003015FD">
        <w:t>worked</w:t>
      </w:r>
      <w:r w:rsidR="00975895" w:rsidRPr="003015FD">
        <w:t xml:space="preserve"> </w:t>
      </w:r>
      <w:r w:rsidRPr="003015FD">
        <w:t>for</w:t>
      </w:r>
      <w:r w:rsidR="00975895" w:rsidRPr="003015FD">
        <w:t xml:space="preserve"> </w:t>
      </w:r>
      <w:r w:rsidRPr="003015FD">
        <w:t>the</w:t>
      </w:r>
      <w:r w:rsidR="00975895" w:rsidRPr="003015FD">
        <w:t xml:space="preserve"> </w:t>
      </w:r>
      <w:r w:rsidRPr="003015FD">
        <w:t>prisoner.</w:t>
      </w:r>
    </w:p>
    <w:p w14:paraId="2210711A" w14:textId="2A355CBD" w:rsidR="008E0945" w:rsidRPr="003015FD" w:rsidRDefault="008E0945" w:rsidP="0002642E">
      <w:pPr>
        <w:pStyle w:val="Heading4"/>
      </w:pPr>
      <w:r w:rsidRPr="003015FD">
        <w:t>What</w:t>
      </w:r>
      <w:r w:rsidR="00975895" w:rsidRPr="003015FD">
        <w:t xml:space="preserve"> </w:t>
      </w:r>
      <w:r w:rsidRPr="003015FD">
        <w:t>is</w:t>
      </w:r>
      <w:r w:rsidR="00975895" w:rsidRPr="003015FD">
        <w:t xml:space="preserve"> </w:t>
      </w:r>
      <w:r w:rsidRPr="003015FD">
        <w:t>the</w:t>
      </w:r>
      <w:r w:rsidR="00975895" w:rsidRPr="003015FD">
        <w:t xml:space="preserve"> </w:t>
      </w:r>
      <w:r w:rsidRPr="003015FD">
        <w:t>impact</w:t>
      </w:r>
      <w:r w:rsidR="00975895" w:rsidRPr="003015FD">
        <w:t xml:space="preserve"> </w:t>
      </w:r>
      <w:r w:rsidRPr="003015FD">
        <w:t>of</w:t>
      </w:r>
      <w:r w:rsidR="00975895" w:rsidRPr="003015FD">
        <w:t xml:space="preserve"> </w:t>
      </w:r>
      <w:r w:rsidRPr="003015FD">
        <w:t>that</w:t>
      </w:r>
      <w:r w:rsidR="00975895" w:rsidRPr="003015FD">
        <w:t xml:space="preserve"> </w:t>
      </w:r>
      <w:r w:rsidRPr="003015FD">
        <w:t>change</w:t>
      </w:r>
      <w:r w:rsidR="00975895" w:rsidRPr="003015FD">
        <w:t xml:space="preserve"> </w:t>
      </w:r>
      <w:r w:rsidRPr="003015FD">
        <w:t>on</w:t>
      </w:r>
      <w:r w:rsidR="00975895" w:rsidRPr="003015FD">
        <w:t xml:space="preserve"> </w:t>
      </w:r>
      <w:r w:rsidRPr="003015FD">
        <w:t>those</w:t>
      </w:r>
      <w:r w:rsidR="00975895" w:rsidRPr="003015FD">
        <w:t xml:space="preserve"> </w:t>
      </w:r>
      <w:r w:rsidRPr="003015FD">
        <w:t>around</w:t>
      </w:r>
      <w:r w:rsidR="00975895" w:rsidRPr="003015FD">
        <w:t xml:space="preserve"> </w:t>
      </w:r>
      <w:r w:rsidRPr="003015FD">
        <w:t>you?</w:t>
      </w:r>
    </w:p>
    <w:p w14:paraId="6BCFBDAC" w14:textId="0CF3923B" w:rsidR="008E0945" w:rsidRPr="003015FD" w:rsidRDefault="008E0945" w:rsidP="0002642E">
      <w:r w:rsidRPr="003015FD">
        <w:t>I</w:t>
      </w:r>
      <w:r w:rsidR="00975895" w:rsidRPr="003015FD">
        <w:t xml:space="preserve"> </w:t>
      </w:r>
      <w:r w:rsidRPr="003015FD">
        <w:t>think</w:t>
      </w:r>
      <w:r w:rsidR="00975895" w:rsidRPr="003015FD">
        <w:t xml:space="preserve"> </w:t>
      </w:r>
      <w:r w:rsidRPr="003015FD">
        <w:t>my</w:t>
      </w:r>
      <w:r w:rsidR="00975895" w:rsidRPr="003015FD">
        <w:t xml:space="preserve"> </w:t>
      </w:r>
      <w:r w:rsidRPr="003015FD">
        <w:t>staff</w:t>
      </w:r>
      <w:r w:rsidR="00975895" w:rsidRPr="003015FD">
        <w:t xml:space="preserve"> </w:t>
      </w:r>
      <w:r w:rsidRPr="003015FD">
        <w:t>are</w:t>
      </w:r>
      <w:r w:rsidR="00975895" w:rsidRPr="003015FD">
        <w:t xml:space="preserve"> </w:t>
      </w:r>
      <w:r w:rsidRPr="003015FD">
        <w:t>more</w:t>
      </w:r>
      <w:r w:rsidR="00975895" w:rsidRPr="003015FD">
        <w:t xml:space="preserve"> </w:t>
      </w:r>
      <w:r w:rsidRPr="003015FD">
        <w:t>aware</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and</w:t>
      </w:r>
      <w:r w:rsidR="00975895" w:rsidRPr="003015FD">
        <w:t xml:space="preserve"> </w:t>
      </w:r>
      <w:r w:rsidRPr="003015FD">
        <w:t>are</w:t>
      </w:r>
      <w:r w:rsidR="00975895" w:rsidRPr="003015FD">
        <w:t xml:space="preserve"> </w:t>
      </w:r>
      <w:r w:rsidRPr="003015FD">
        <w:t>getting</w:t>
      </w:r>
      <w:r w:rsidR="00975895" w:rsidRPr="003015FD">
        <w:t xml:space="preserve"> </w:t>
      </w:r>
      <w:r w:rsidRPr="003015FD">
        <w:t>better</w:t>
      </w:r>
      <w:r w:rsidR="00975895" w:rsidRPr="003015FD">
        <w:t xml:space="preserve"> </w:t>
      </w:r>
      <w:r w:rsidRPr="003015FD">
        <w:t>at</w:t>
      </w:r>
      <w:r w:rsidR="00975895" w:rsidRPr="003015FD">
        <w:t xml:space="preserve"> </w:t>
      </w:r>
      <w:r w:rsidRPr="003015FD">
        <w:t>recognising</w:t>
      </w:r>
      <w:r w:rsidR="00975895" w:rsidRPr="003015FD">
        <w:t xml:space="preserve"> </w:t>
      </w:r>
      <w:r w:rsidRPr="003015FD">
        <w:t>it.</w:t>
      </w:r>
      <w:r w:rsidR="00975895" w:rsidRPr="003015FD">
        <w:t xml:space="preserve"> </w:t>
      </w:r>
      <w:r w:rsidRPr="003015FD">
        <w:t>My</w:t>
      </w:r>
      <w:r w:rsidR="00975895" w:rsidRPr="003015FD">
        <w:t xml:space="preserve"> </w:t>
      </w:r>
      <w:r w:rsidRPr="003015FD">
        <w:t>team</w:t>
      </w:r>
      <w:r w:rsidR="00975895" w:rsidRPr="003015FD">
        <w:t xml:space="preserve"> </w:t>
      </w:r>
      <w:r w:rsidRPr="003015FD">
        <w:t>are</w:t>
      </w:r>
      <w:r w:rsidR="00975895" w:rsidRPr="003015FD">
        <w:t xml:space="preserve"> </w:t>
      </w:r>
      <w:r w:rsidRPr="003015FD">
        <w:t>seeing</w:t>
      </w:r>
      <w:r w:rsidR="00975895" w:rsidRPr="003015FD">
        <w:t xml:space="preserve"> </w:t>
      </w:r>
      <w:r w:rsidRPr="003015FD">
        <w:t>the</w:t>
      </w:r>
      <w:r w:rsidR="00975895" w:rsidRPr="003015FD">
        <w:t xml:space="preserve"> </w:t>
      </w:r>
      <w:r w:rsidRPr="003015FD">
        <w:t>benefits</w:t>
      </w:r>
      <w:r w:rsidR="00975895" w:rsidRPr="003015FD">
        <w:t xml:space="preserve"> </w:t>
      </w:r>
      <w:r w:rsidRPr="003015FD">
        <w:t>because</w:t>
      </w:r>
      <w:r w:rsidR="00975895" w:rsidRPr="003015FD">
        <w:t xml:space="preserve"> </w:t>
      </w:r>
      <w:r w:rsidRPr="003015FD">
        <w:t>we</w:t>
      </w:r>
      <w:r w:rsidR="00975895" w:rsidRPr="003015FD">
        <w:t xml:space="preserve"> </w:t>
      </w:r>
      <w:r w:rsidRPr="003015FD">
        <w:t>are</w:t>
      </w:r>
      <w:r w:rsidR="00975895" w:rsidRPr="003015FD">
        <w:t xml:space="preserve"> </w:t>
      </w:r>
      <w:r w:rsidRPr="003015FD">
        <w:t>making</w:t>
      </w:r>
      <w:r w:rsidR="00975895" w:rsidRPr="003015FD">
        <w:t xml:space="preserve"> </w:t>
      </w:r>
      <w:r w:rsidRPr="003015FD">
        <w:t>it</w:t>
      </w:r>
      <w:r w:rsidR="00975895" w:rsidRPr="003015FD">
        <w:t xml:space="preserve"> </w:t>
      </w:r>
      <w:r w:rsidRPr="003015FD">
        <w:t>clear</w:t>
      </w:r>
      <w:r w:rsidR="00975895" w:rsidRPr="003015FD">
        <w:t xml:space="preserve"> </w:t>
      </w:r>
      <w:r w:rsidRPr="003015FD">
        <w:t>for</w:t>
      </w:r>
      <w:r w:rsidR="00975895" w:rsidRPr="003015FD">
        <w:t xml:space="preserve"> </w:t>
      </w:r>
      <w:r w:rsidRPr="003015FD">
        <w:t>them.</w:t>
      </w:r>
      <w:r w:rsidR="00975895" w:rsidRPr="003015FD">
        <w:t xml:space="preserve"> </w:t>
      </w:r>
    </w:p>
    <w:p w14:paraId="1BAC576A" w14:textId="129D2F86" w:rsidR="008E0945" w:rsidRPr="003015FD" w:rsidRDefault="008E0945" w:rsidP="0002642E">
      <w:r w:rsidRPr="003015FD">
        <w:t>People</w:t>
      </w:r>
      <w:r w:rsidR="00975895" w:rsidRPr="003015FD">
        <w:t xml:space="preserve"> </w:t>
      </w:r>
      <w:r w:rsidRPr="003015FD">
        <w:t>think</w:t>
      </w:r>
      <w:r w:rsidR="00975895" w:rsidRPr="003015FD">
        <w:t xml:space="preserve"> </w:t>
      </w:r>
      <w:r w:rsidRPr="003015FD">
        <w:t>you</w:t>
      </w:r>
      <w:r w:rsidR="00975895" w:rsidRPr="003015FD">
        <w:t xml:space="preserve"> </w:t>
      </w:r>
      <w:r w:rsidRPr="003015FD">
        <w:t>go</w:t>
      </w:r>
      <w:r w:rsidR="00975895" w:rsidRPr="003015FD">
        <w:t xml:space="preserve"> </w:t>
      </w:r>
      <w:r w:rsidRPr="003015FD">
        <w:t>to</w:t>
      </w:r>
      <w:r w:rsidR="00975895" w:rsidRPr="003015FD">
        <w:t xml:space="preserve"> </w:t>
      </w:r>
      <w:r w:rsidRPr="003015FD">
        <w:t>prison</w:t>
      </w:r>
      <w:r w:rsidR="00975895" w:rsidRPr="003015FD">
        <w:t xml:space="preserve"> </w:t>
      </w:r>
      <w:r w:rsidRPr="003015FD">
        <w:t>and</w:t>
      </w:r>
      <w:r w:rsidR="00975895" w:rsidRPr="003015FD">
        <w:t xml:space="preserve"> </w:t>
      </w:r>
      <w:r w:rsidRPr="003015FD">
        <w:t>you</w:t>
      </w:r>
      <w:r w:rsidR="00975895" w:rsidRPr="003015FD">
        <w:t xml:space="preserve"> </w:t>
      </w:r>
      <w:r w:rsidRPr="003015FD">
        <w:t>lose</w:t>
      </w:r>
      <w:r w:rsidR="00975895" w:rsidRPr="003015FD">
        <w:t xml:space="preserve"> </w:t>
      </w:r>
      <w:r w:rsidRPr="003015FD">
        <w:t>all</w:t>
      </w:r>
      <w:r w:rsidR="00975895" w:rsidRPr="003015FD">
        <w:t xml:space="preserve"> </w:t>
      </w:r>
      <w:r w:rsidRPr="003015FD">
        <w:t>your</w:t>
      </w:r>
      <w:r w:rsidR="00975895" w:rsidRPr="003015FD">
        <w:t xml:space="preserve"> </w:t>
      </w:r>
      <w:r w:rsidRPr="003015FD">
        <w:t>human</w:t>
      </w:r>
      <w:r w:rsidR="00975895" w:rsidRPr="003015FD">
        <w:t xml:space="preserve"> </w:t>
      </w:r>
      <w:r w:rsidRPr="003015FD">
        <w:t>rights,</w:t>
      </w:r>
      <w:r w:rsidR="00975895" w:rsidRPr="003015FD">
        <w:t xml:space="preserve"> </w:t>
      </w:r>
      <w:r w:rsidRPr="003015FD">
        <w:t>but</w:t>
      </w:r>
      <w:r w:rsidR="00975895" w:rsidRPr="003015FD">
        <w:t xml:space="preserve"> </w:t>
      </w:r>
      <w:r w:rsidRPr="003015FD">
        <w:t>that</w:t>
      </w:r>
      <w:r w:rsidR="000C5726">
        <w:t>'</w:t>
      </w:r>
      <w:r w:rsidRPr="003015FD">
        <w:t>s</w:t>
      </w:r>
      <w:r w:rsidR="00975895" w:rsidRPr="003015FD">
        <w:t xml:space="preserve"> </w:t>
      </w:r>
      <w:r w:rsidRPr="003015FD">
        <w:t>not</w:t>
      </w:r>
      <w:r w:rsidR="00975895" w:rsidRPr="003015FD">
        <w:t xml:space="preserve"> </w:t>
      </w:r>
      <w:r w:rsidRPr="003015FD">
        <w:t>the</w:t>
      </w:r>
      <w:r w:rsidR="00975895" w:rsidRPr="003015FD">
        <w:t xml:space="preserve"> </w:t>
      </w:r>
      <w:r w:rsidRPr="003015FD">
        <w:t>case.</w:t>
      </w:r>
      <w:r w:rsidR="00975895" w:rsidRPr="003015FD">
        <w:t xml:space="preserve"> </w:t>
      </w:r>
      <w:r w:rsidRPr="003015FD">
        <w:t>We</w:t>
      </w:r>
      <w:r w:rsidR="00975895" w:rsidRPr="003015FD">
        <w:t xml:space="preserve"> </w:t>
      </w:r>
      <w:r w:rsidRPr="003015FD">
        <w:t>educate</w:t>
      </w:r>
      <w:r w:rsidR="00975895" w:rsidRPr="003015FD">
        <w:t xml:space="preserve"> </w:t>
      </w:r>
      <w:r w:rsidRPr="003015FD">
        <w:t>our</w:t>
      </w:r>
      <w:r w:rsidR="00975895" w:rsidRPr="003015FD">
        <w:t xml:space="preserve"> </w:t>
      </w:r>
      <w:r w:rsidRPr="003015FD">
        <w:t>staff</w:t>
      </w:r>
      <w:r w:rsidR="00975895" w:rsidRPr="003015FD">
        <w:t xml:space="preserve"> </w:t>
      </w:r>
      <w:r w:rsidRPr="003015FD">
        <w:t>to</w:t>
      </w:r>
      <w:r w:rsidR="00975895" w:rsidRPr="003015FD">
        <w:t xml:space="preserve"> </w:t>
      </w:r>
      <w:r w:rsidRPr="003015FD">
        <w:t>consider</w:t>
      </w:r>
      <w:r w:rsidR="00975895" w:rsidRPr="003015FD">
        <w:t xml:space="preserve"> </w:t>
      </w:r>
      <w:r w:rsidRPr="003015FD">
        <w:t>a</w:t>
      </w:r>
      <w:r w:rsidR="00975895" w:rsidRPr="003015FD">
        <w:t xml:space="preserve"> </w:t>
      </w:r>
      <w:r w:rsidRPr="003015FD">
        <w:t>prisoner</w:t>
      </w:r>
      <w:r w:rsidR="000C5726">
        <w:t>'</w:t>
      </w:r>
      <w:r w:rsidRPr="003015FD">
        <w:t>s</w:t>
      </w:r>
      <w:r w:rsidR="00975895" w:rsidRPr="003015FD">
        <w:t xml:space="preserve"> </w:t>
      </w:r>
      <w:r w:rsidRPr="003015FD">
        <w:t>human</w:t>
      </w:r>
      <w:r w:rsidR="00975895" w:rsidRPr="003015FD">
        <w:t xml:space="preserve"> </w:t>
      </w:r>
      <w:r w:rsidRPr="003015FD">
        <w:t>rights</w:t>
      </w:r>
      <w:r w:rsidR="00975895" w:rsidRPr="003015FD">
        <w:t xml:space="preserve"> </w:t>
      </w:r>
      <w:r w:rsidRPr="003015FD">
        <w:t>while</w:t>
      </w:r>
      <w:r w:rsidR="00975895" w:rsidRPr="003015FD">
        <w:t xml:space="preserve"> </w:t>
      </w:r>
      <w:r w:rsidRPr="003015FD">
        <w:t>in</w:t>
      </w:r>
      <w:r w:rsidR="00975895" w:rsidRPr="003015FD">
        <w:t xml:space="preserve"> </w:t>
      </w:r>
      <w:r w:rsidRPr="003015FD">
        <w:t>jail,</w:t>
      </w:r>
      <w:r w:rsidR="00975895" w:rsidRPr="003015FD">
        <w:t xml:space="preserve"> </w:t>
      </w:r>
      <w:r w:rsidRPr="003015FD">
        <w:t>and</w:t>
      </w:r>
      <w:r w:rsidR="00975895" w:rsidRPr="003015FD">
        <w:t xml:space="preserve"> </w:t>
      </w:r>
      <w:r w:rsidRPr="003015FD">
        <w:t>to</w:t>
      </w:r>
      <w:r w:rsidR="00975895" w:rsidRPr="003015FD">
        <w:t xml:space="preserve"> </w:t>
      </w:r>
      <w:r w:rsidRPr="003015FD">
        <w:t>use</w:t>
      </w:r>
      <w:r w:rsidR="00975895" w:rsidRPr="003015FD">
        <w:t xml:space="preserve"> </w:t>
      </w:r>
      <w:r w:rsidRPr="003015FD">
        <w:t>empathy</w:t>
      </w:r>
      <w:r w:rsidR="00975895" w:rsidRPr="003015FD">
        <w:t xml:space="preserve"> </w:t>
      </w:r>
      <w:r w:rsidRPr="003015FD">
        <w:t>–</w:t>
      </w:r>
      <w:r w:rsidR="00975895" w:rsidRPr="003015FD">
        <w:t xml:space="preserve"> </w:t>
      </w:r>
      <w:r w:rsidRPr="003015FD">
        <w:t>what</w:t>
      </w:r>
      <w:r w:rsidR="00975895" w:rsidRPr="003015FD">
        <w:t xml:space="preserve"> </w:t>
      </w:r>
      <w:r w:rsidRPr="003015FD">
        <w:t>if</w:t>
      </w:r>
      <w:r w:rsidR="00975895" w:rsidRPr="003015FD">
        <w:t xml:space="preserve"> </w:t>
      </w:r>
      <w:r w:rsidRPr="003015FD">
        <w:t>it</w:t>
      </w:r>
      <w:r w:rsidR="00975895" w:rsidRPr="003015FD">
        <w:t xml:space="preserve"> </w:t>
      </w:r>
      <w:r w:rsidRPr="003015FD">
        <w:t>were</w:t>
      </w:r>
      <w:r w:rsidR="00975895" w:rsidRPr="003015FD">
        <w:t xml:space="preserve"> </w:t>
      </w:r>
      <w:r w:rsidRPr="003015FD">
        <w:t>you?</w:t>
      </w:r>
      <w:r w:rsidR="00975895" w:rsidRPr="003015FD">
        <w:t xml:space="preserve"> </w:t>
      </w:r>
      <w:r w:rsidRPr="003015FD">
        <w:t>How</w:t>
      </w:r>
      <w:r w:rsidR="00975895" w:rsidRPr="003015FD">
        <w:t xml:space="preserve"> </w:t>
      </w:r>
      <w:r w:rsidRPr="003015FD">
        <w:t>would</w:t>
      </w:r>
      <w:r w:rsidR="00975895" w:rsidRPr="003015FD">
        <w:t xml:space="preserve"> </w:t>
      </w:r>
      <w:r w:rsidRPr="003015FD">
        <w:t>you</w:t>
      </w:r>
      <w:r w:rsidR="00975895" w:rsidRPr="003015FD">
        <w:t xml:space="preserve"> </w:t>
      </w:r>
      <w:r w:rsidRPr="003015FD">
        <w:t>expect</w:t>
      </w:r>
      <w:r w:rsidR="00975895" w:rsidRPr="003015FD">
        <w:t xml:space="preserve"> </w:t>
      </w:r>
      <w:r w:rsidRPr="003015FD">
        <w:t>to</w:t>
      </w:r>
      <w:r w:rsidR="00975895" w:rsidRPr="003015FD">
        <w:t xml:space="preserve"> </w:t>
      </w:r>
      <w:r w:rsidRPr="003015FD">
        <w:t>be</w:t>
      </w:r>
      <w:r w:rsidR="00975895" w:rsidRPr="003015FD">
        <w:t xml:space="preserve"> </w:t>
      </w:r>
      <w:r w:rsidRPr="003015FD">
        <w:t>treated?</w:t>
      </w:r>
      <w:r w:rsidR="00975895" w:rsidRPr="003015FD">
        <w:t xml:space="preserve"> </w:t>
      </w:r>
      <w:r w:rsidRPr="003015FD">
        <w:t>The</w:t>
      </w:r>
      <w:r w:rsidR="00975895" w:rsidRPr="003015FD">
        <w:t xml:space="preserve"> </w:t>
      </w:r>
      <w:r w:rsidRPr="003015FD">
        <w:t>benefit</w:t>
      </w:r>
      <w:r w:rsidR="00975895" w:rsidRPr="003015FD">
        <w:t xml:space="preserve"> </w:t>
      </w:r>
      <w:r w:rsidRPr="003015FD">
        <w:t>is</w:t>
      </w:r>
      <w:r w:rsidR="00975895" w:rsidRPr="003015FD">
        <w:t xml:space="preserve"> </w:t>
      </w:r>
      <w:r w:rsidRPr="003015FD">
        <w:t>that</w:t>
      </w:r>
      <w:r w:rsidR="00975895" w:rsidRPr="003015FD">
        <w:t xml:space="preserve"> </w:t>
      </w:r>
      <w:r w:rsidRPr="003015FD">
        <w:t>you</w:t>
      </w:r>
      <w:r w:rsidR="00975895" w:rsidRPr="003015FD">
        <w:t xml:space="preserve"> </w:t>
      </w:r>
      <w:r w:rsidRPr="003015FD">
        <w:t>end</w:t>
      </w:r>
      <w:r w:rsidR="00975895" w:rsidRPr="003015FD">
        <w:t xml:space="preserve"> </w:t>
      </w:r>
      <w:r w:rsidRPr="003015FD">
        <w:t>up</w:t>
      </w:r>
      <w:r w:rsidR="00975895" w:rsidRPr="003015FD">
        <w:t xml:space="preserve"> </w:t>
      </w:r>
      <w:r w:rsidRPr="003015FD">
        <w:t>with</w:t>
      </w:r>
      <w:r w:rsidR="00975895" w:rsidRPr="003015FD">
        <w:t xml:space="preserve"> </w:t>
      </w:r>
      <w:r w:rsidRPr="003015FD">
        <w:t>better</w:t>
      </w:r>
      <w:r w:rsidR="00975895" w:rsidRPr="003015FD">
        <w:t xml:space="preserve"> </w:t>
      </w:r>
      <w:r w:rsidRPr="003015FD">
        <w:t>relationships</w:t>
      </w:r>
      <w:r w:rsidR="00975895" w:rsidRPr="003015FD">
        <w:t xml:space="preserve"> </w:t>
      </w:r>
      <w:r w:rsidRPr="003015FD">
        <w:t>with</w:t>
      </w:r>
      <w:r w:rsidR="00975895" w:rsidRPr="003015FD">
        <w:t xml:space="preserve"> </w:t>
      </w:r>
      <w:r w:rsidRPr="003015FD">
        <w:t>the</w:t>
      </w:r>
      <w:r w:rsidR="00975895" w:rsidRPr="003015FD">
        <w:t xml:space="preserve"> </w:t>
      </w:r>
      <w:r w:rsidRPr="003015FD">
        <w:t>prisoners.</w:t>
      </w:r>
      <w:r w:rsidR="00975895" w:rsidRPr="003015FD">
        <w:t xml:space="preserve"> </w:t>
      </w:r>
      <w:r w:rsidRPr="003015FD">
        <w:t>You</w:t>
      </w:r>
      <w:r w:rsidR="00975895" w:rsidRPr="003015FD">
        <w:t xml:space="preserve"> </w:t>
      </w:r>
      <w:r w:rsidRPr="003015FD">
        <w:t>end</w:t>
      </w:r>
      <w:r w:rsidR="00975895" w:rsidRPr="003015FD">
        <w:t xml:space="preserve"> </w:t>
      </w:r>
      <w:r w:rsidRPr="003015FD">
        <w:t>up</w:t>
      </w:r>
      <w:r w:rsidR="00975895" w:rsidRPr="003015FD">
        <w:t xml:space="preserve"> </w:t>
      </w:r>
      <w:r w:rsidRPr="003015FD">
        <w:t>with</w:t>
      </w:r>
      <w:r w:rsidR="00975895" w:rsidRPr="003015FD">
        <w:t xml:space="preserve"> </w:t>
      </w:r>
      <w:r w:rsidRPr="003015FD">
        <w:t>more</w:t>
      </w:r>
      <w:r w:rsidR="00975895" w:rsidRPr="003015FD">
        <w:t xml:space="preserve"> </w:t>
      </w:r>
      <w:r w:rsidRPr="003015FD">
        <w:t>positive</w:t>
      </w:r>
      <w:r w:rsidR="00975895" w:rsidRPr="003015FD">
        <w:t xml:space="preserve"> </w:t>
      </w:r>
      <w:r w:rsidRPr="003015FD">
        <w:t>outcomes,</w:t>
      </w:r>
      <w:r w:rsidR="00975895" w:rsidRPr="003015FD">
        <w:t xml:space="preserve"> </w:t>
      </w:r>
      <w:r w:rsidRPr="003015FD">
        <w:t>when</w:t>
      </w:r>
      <w:r w:rsidR="00975895" w:rsidRPr="003015FD">
        <w:t xml:space="preserve"> </w:t>
      </w:r>
      <w:r w:rsidRPr="003015FD">
        <w:t>the</w:t>
      </w:r>
      <w:r w:rsidR="00975895" w:rsidRPr="003015FD">
        <w:t xml:space="preserve"> </w:t>
      </w:r>
      <w:r w:rsidRPr="003015FD">
        <w:t>prisoners</w:t>
      </w:r>
      <w:r w:rsidR="00975895" w:rsidRPr="003015FD">
        <w:t xml:space="preserve"> </w:t>
      </w:r>
      <w:r w:rsidRPr="003015FD">
        <w:t>know</w:t>
      </w:r>
      <w:r w:rsidR="00975895" w:rsidRPr="003015FD">
        <w:t xml:space="preserve"> </w:t>
      </w:r>
      <w:r w:rsidRPr="003015FD">
        <w:t>you</w:t>
      </w:r>
      <w:r w:rsidR="00975895" w:rsidRPr="003015FD">
        <w:t xml:space="preserve"> </w:t>
      </w:r>
      <w:r w:rsidRPr="003015FD">
        <w:t>see</w:t>
      </w:r>
      <w:r w:rsidR="00975895" w:rsidRPr="003015FD">
        <w:t xml:space="preserve"> </w:t>
      </w:r>
      <w:r w:rsidRPr="003015FD">
        <w:t>them</w:t>
      </w:r>
      <w:r w:rsidR="00975895" w:rsidRPr="003015FD">
        <w:t xml:space="preserve"> </w:t>
      </w:r>
      <w:r w:rsidRPr="003015FD">
        <w:t>as</w:t>
      </w:r>
      <w:r w:rsidR="00975895" w:rsidRPr="003015FD">
        <w:t xml:space="preserve"> </w:t>
      </w:r>
      <w:r w:rsidRPr="003015FD">
        <w:t>a</w:t>
      </w:r>
      <w:r w:rsidR="00975895" w:rsidRPr="003015FD">
        <w:t xml:space="preserve"> </w:t>
      </w:r>
      <w:r w:rsidRPr="003015FD">
        <w:t>person</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We</w:t>
      </w:r>
      <w:r w:rsidR="00975895" w:rsidRPr="003015FD">
        <w:t xml:space="preserve"> </w:t>
      </w:r>
      <w:r w:rsidRPr="003015FD">
        <w:t>need</w:t>
      </w:r>
      <w:r w:rsidR="00975895" w:rsidRPr="003015FD">
        <w:t xml:space="preserve"> </w:t>
      </w:r>
      <w:r w:rsidRPr="003015FD">
        <w:t>to</w:t>
      </w:r>
      <w:r w:rsidR="00975895" w:rsidRPr="003015FD">
        <w:t xml:space="preserve"> </w:t>
      </w:r>
      <w:r w:rsidRPr="003015FD">
        <w:t>consider</w:t>
      </w:r>
      <w:r w:rsidR="00975895" w:rsidRPr="003015FD">
        <w:t xml:space="preserve"> </w:t>
      </w:r>
      <w:r w:rsidRPr="003015FD">
        <w:t>them</w:t>
      </w:r>
      <w:r w:rsidR="00975895" w:rsidRPr="003015FD">
        <w:t xml:space="preserve"> </w:t>
      </w:r>
      <w:r w:rsidRPr="003015FD">
        <w:t>as</w:t>
      </w:r>
      <w:r w:rsidR="00975895" w:rsidRPr="003015FD">
        <w:t xml:space="preserve"> </w:t>
      </w:r>
      <w:r w:rsidRPr="003015FD">
        <w:t>people</w:t>
      </w:r>
      <w:r w:rsidR="00975895" w:rsidRPr="003015FD">
        <w:t xml:space="preserve"> </w:t>
      </w:r>
      <w:r w:rsidRPr="003015FD">
        <w:t>regardless</w:t>
      </w:r>
      <w:r w:rsidR="00975895" w:rsidRPr="003015FD">
        <w:t xml:space="preserve"> </w:t>
      </w:r>
      <w:r w:rsidRPr="003015FD">
        <w:t>of</w:t>
      </w:r>
      <w:r w:rsidR="00975895" w:rsidRPr="003015FD">
        <w:t xml:space="preserve"> </w:t>
      </w:r>
      <w:r w:rsidRPr="003015FD">
        <w:t>what</w:t>
      </w:r>
      <w:r w:rsidR="00975895" w:rsidRPr="003015FD">
        <w:t xml:space="preserve"> </w:t>
      </w:r>
      <w:r w:rsidRPr="003015FD">
        <w:t>they</w:t>
      </w:r>
      <w:r w:rsidR="000C5726">
        <w:t>'</w:t>
      </w:r>
      <w:r w:rsidRPr="003015FD">
        <w:t>ve</w:t>
      </w:r>
      <w:r w:rsidR="00975895" w:rsidRPr="003015FD">
        <w:t xml:space="preserve"> </w:t>
      </w:r>
      <w:r w:rsidRPr="003015FD">
        <w:t>done.</w:t>
      </w:r>
      <w:r w:rsidR="00975895" w:rsidRPr="003015FD">
        <w:t xml:space="preserve"> </w:t>
      </w:r>
      <w:r w:rsidRPr="003015FD">
        <w:t>My</w:t>
      </w:r>
      <w:r w:rsidR="00975895" w:rsidRPr="003015FD">
        <w:t xml:space="preserve"> </w:t>
      </w:r>
      <w:r w:rsidRPr="003015FD">
        <w:t>team</w:t>
      </w:r>
      <w:r w:rsidR="00975895" w:rsidRPr="003015FD">
        <w:t xml:space="preserve"> </w:t>
      </w:r>
      <w:r w:rsidRPr="003015FD">
        <w:t>has</w:t>
      </w:r>
      <w:r w:rsidR="00975895" w:rsidRPr="003015FD">
        <w:t xml:space="preserve"> </w:t>
      </w:r>
      <w:r w:rsidRPr="003015FD">
        <w:t>taken</w:t>
      </w:r>
      <w:r w:rsidR="00975895" w:rsidRPr="003015FD">
        <w:t xml:space="preserve"> </w:t>
      </w:r>
      <w:r w:rsidRPr="003015FD">
        <w:t>that</w:t>
      </w:r>
      <w:r w:rsidR="00975895" w:rsidRPr="003015FD">
        <w:t xml:space="preserve"> </w:t>
      </w:r>
      <w:r w:rsidRPr="003015FD">
        <w:t>on</w:t>
      </w:r>
      <w:r w:rsidR="00975895" w:rsidRPr="003015FD">
        <w:t xml:space="preserve"> </w:t>
      </w:r>
      <w:r w:rsidRPr="003015FD">
        <w:t>board.</w:t>
      </w:r>
      <w:r w:rsidR="00975895" w:rsidRPr="003015FD">
        <w:t xml:space="preserve"> </w:t>
      </w:r>
    </w:p>
    <w:p w14:paraId="3DA22E96" w14:textId="1DD37D61" w:rsidR="008E0945" w:rsidRPr="003015FD" w:rsidRDefault="008E0945" w:rsidP="0002642E">
      <w:r w:rsidRPr="003015FD">
        <w:t>We</w:t>
      </w:r>
      <w:r w:rsidR="00975895" w:rsidRPr="003015FD">
        <w:t xml:space="preserve"> </w:t>
      </w:r>
      <w:r w:rsidRPr="003015FD">
        <w:t>are</w:t>
      </w:r>
      <w:r w:rsidR="00975895" w:rsidRPr="003015FD">
        <w:t xml:space="preserve"> </w:t>
      </w:r>
      <w:r w:rsidRPr="003015FD">
        <w:t>also</w:t>
      </w:r>
      <w:r w:rsidR="00975895" w:rsidRPr="003015FD">
        <w:t xml:space="preserve"> </w:t>
      </w:r>
      <w:r w:rsidRPr="003015FD">
        <w:t>educating</w:t>
      </w:r>
      <w:r w:rsidR="00975895" w:rsidRPr="003015FD">
        <w:t xml:space="preserve"> </w:t>
      </w:r>
      <w:r w:rsidRPr="003015FD">
        <w:t>the</w:t>
      </w:r>
      <w:r w:rsidR="00975895" w:rsidRPr="003015FD">
        <w:t xml:space="preserve"> </w:t>
      </w:r>
      <w:r w:rsidRPr="003015FD">
        <w:t>team</w:t>
      </w:r>
      <w:r w:rsidR="00975895" w:rsidRPr="003015FD">
        <w:t xml:space="preserve"> </w:t>
      </w:r>
      <w:r w:rsidRPr="003015FD">
        <w:t>that</w:t>
      </w:r>
      <w:r w:rsidR="00975895" w:rsidRPr="003015FD">
        <w:t xml:space="preserve"> </w:t>
      </w:r>
      <w:r w:rsidRPr="003015FD">
        <w:t>the</w:t>
      </w:r>
      <w:r w:rsidR="00975895" w:rsidRPr="003015FD">
        <w:t xml:space="preserve"> </w:t>
      </w:r>
      <w:r w:rsidRPr="003015FD">
        <w:t>Charter</w:t>
      </w:r>
      <w:r w:rsidR="00975895" w:rsidRPr="003015FD">
        <w:t xml:space="preserve"> </w:t>
      </w:r>
      <w:r w:rsidRPr="003015FD">
        <w:t>doesn</w:t>
      </w:r>
      <w:r w:rsidR="000C5726">
        <w:t>'</w:t>
      </w:r>
      <w:r w:rsidRPr="003015FD">
        <w:t>t</w:t>
      </w:r>
      <w:r w:rsidR="00975895" w:rsidRPr="003015FD">
        <w:t xml:space="preserve"> </w:t>
      </w:r>
      <w:r w:rsidRPr="003015FD">
        <w:t>mean</w:t>
      </w:r>
      <w:r w:rsidR="00975895" w:rsidRPr="003015FD">
        <w:t xml:space="preserve"> </w:t>
      </w:r>
      <w:r w:rsidRPr="003015FD">
        <w:t>you</w:t>
      </w:r>
      <w:r w:rsidR="00975895" w:rsidRPr="003015FD">
        <w:t xml:space="preserve"> </w:t>
      </w:r>
      <w:r w:rsidRPr="003015FD">
        <w:t>can</w:t>
      </w:r>
      <w:r w:rsidR="00975895" w:rsidRPr="003015FD">
        <w:t xml:space="preserve"> </w:t>
      </w:r>
      <w:r w:rsidRPr="003015FD">
        <w:t>never</w:t>
      </w:r>
      <w:r w:rsidR="00975895" w:rsidRPr="003015FD">
        <w:t xml:space="preserve"> </w:t>
      </w:r>
      <w:r w:rsidRPr="003015FD">
        <w:t>limit</w:t>
      </w:r>
      <w:r w:rsidR="00975895" w:rsidRPr="003015FD">
        <w:t xml:space="preserve"> </w:t>
      </w:r>
      <w:r w:rsidRPr="003015FD">
        <w:t>a</w:t>
      </w:r>
      <w:r w:rsidR="00975895" w:rsidRPr="003015FD">
        <w:t xml:space="preserve"> </w:t>
      </w:r>
      <w:r w:rsidRPr="003015FD">
        <w:t>prisoner</w:t>
      </w:r>
      <w:r w:rsidR="000C5726">
        <w:t>'</w:t>
      </w:r>
      <w:r w:rsidRPr="003015FD">
        <w:t>s</w:t>
      </w:r>
      <w:r w:rsidR="00975895" w:rsidRPr="003015FD">
        <w:t xml:space="preserve"> </w:t>
      </w:r>
      <w:r w:rsidRPr="003015FD">
        <w:t>human</w:t>
      </w:r>
      <w:r w:rsidR="00975895" w:rsidRPr="003015FD">
        <w:t xml:space="preserve"> </w:t>
      </w:r>
      <w:r w:rsidRPr="003015FD">
        <w:t>rights.</w:t>
      </w:r>
      <w:r w:rsidR="00975895" w:rsidRPr="003015FD">
        <w:t xml:space="preserve"> </w:t>
      </w:r>
      <w:r w:rsidRPr="003015FD">
        <w:t>One</w:t>
      </w:r>
      <w:r w:rsidR="00975895" w:rsidRPr="003015FD">
        <w:t xml:space="preserve"> </w:t>
      </w:r>
      <w:r w:rsidRPr="003015FD">
        <w:t>of</w:t>
      </w:r>
      <w:r w:rsidR="00975895" w:rsidRPr="003015FD">
        <w:t xml:space="preserve"> </w:t>
      </w:r>
      <w:r w:rsidRPr="003015FD">
        <w:t>the</w:t>
      </w:r>
      <w:r w:rsidR="00975895" w:rsidRPr="003015FD">
        <w:t xml:space="preserve"> </w:t>
      </w:r>
      <w:r w:rsidRPr="003015FD">
        <w:t>biggest</w:t>
      </w:r>
      <w:r w:rsidR="00975895" w:rsidRPr="003015FD">
        <w:t xml:space="preserve"> </w:t>
      </w:r>
      <w:r w:rsidRPr="003015FD">
        <w:t>fears</w:t>
      </w:r>
      <w:r w:rsidR="00975895" w:rsidRPr="003015FD">
        <w:t xml:space="preserve"> </w:t>
      </w:r>
      <w:r w:rsidRPr="003015FD">
        <w:t>or</w:t>
      </w:r>
      <w:r w:rsidR="00975895" w:rsidRPr="003015FD">
        <w:t xml:space="preserve"> </w:t>
      </w:r>
      <w:r w:rsidRPr="003015FD">
        <w:t>misconceptions</w:t>
      </w:r>
      <w:r w:rsidR="00975895" w:rsidRPr="003015FD">
        <w:t xml:space="preserve"> </w:t>
      </w:r>
      <w:r w:rsidRPr="003015FD">
        <w:t>is</w:t>
      </w:r>
      <w:r w:rsidR="00975895" w:rsidRPr="003015FD">
        <w:t xml:space="preserve"> </w:t>
      </w:r>
      <w:r w:rsidRPr="003015FD">
        <w:t>that</w:t>
      </w:r>
      <w:r w:rsidR="00975895" w:rsidRPr="003015FD">
        <w:t xml:space="preserve"> </w:t>
      </w:r>
      <w:r w:rsidRPr="003015FD">
        <w:t>because</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a</w:t>
      </w:r>
      <w:r w:rsidR="00975895" w:rsidRPr="003015FD">
        <w:t xml:space="preserve"> </w:t>
      </w:r>
      <w:r w:rsidRPr="003015FD">
        <w:t>prisoner</w:t>
      </w:r>
      <w:r w:rsidR="00975895" w:rsidRPr="003015FD">
        <w:t xml:space="preserve"> </w:t>
      </w:r>
      <w:r w:rsidRPr="003015FD">
        <w:t>can</w:t>
      </w:r>
      <w:r w:rsidR="00975895" w:rsidRPr="003015FD">
        <w:t xml:space="preserve"> </w:t>
      </w:r>
      <w:r w:rsidRPr="003015FD">
        <w:t>get</w:t>
      </w:r>
      <w:r w:rsidR="00975895" w:rsidRPr="003015FD">
        <w:t xml:space="preserve"> </w:t>
      </w:r>
      <w:r w:rsidRPr="003015FD">
        <w:t>everything</w:t>
      </w:r>
      <w:r w:rsidR="00975895" w:rsidRPr="003015FD">
        <w:t xml:space="preserve"> </w:t>
      </w:r>
      <w:r w:rsidRPr="003015FD">
        <w:t>they</w:t>
      </w:r>
      <w:r w:rsidR="00975895" w:rsidRPr="003015FD">
        <w:t xml:space="preserve"> </w:t>
      </w:r>
      <w:r w:rsidRPr="003015FD">
        <w:t>want,</w:t>
      </w:r>
      <w:r w:rsidR="00975895" w:rsidRPr="003015FD">
        <w:t xml:space="preserve"> </w:t>
      </w:r>
      <w:r w:rsidRPr="003015FD">
        <w:t>but</w:t>
      </w:r>
      <w:r w:rsidR="00975895" w:rsidRPr="003015FD">
        <w:t xml:space="preserve"> </w:t>
      </w:r>
      <w:r w:rsidRPr="003015FD">
        <w:t>that</w:t>
      </w:r>
      <w:r w:rsidR="000C5726">
        <w:t>'</w:t>
      </w:r>
      <w:r w:rsidRPr="003015FD">
        <w:t>s</w:t>
      </w:r>
      <w:r w:rsidR="00975895" w:rsidRPr="003015FD">
        <w:t xml:space="preserve"> </w:t>
      </w:r>
      <w:r w:rsidRPr="003015FD">
        <w:t>not</w:t>
      </w:r>
      <w:r w:rsidR="00975895" w:rsidRPr="003015FD">
        <w:t xml:space="preserve"> </w:t>
      </w:r>
      <w:r w:rsidRPr="003015FD">
        <w:t>the</w:t>
      </w:r>
      <w:r w:rsidR="00975895" w:rsidRPr="003015FD">
        <w:t xml:space="preserve"> </w:t>
      </w:r>
      <w:r w:rsidRPr="003015FD">
        <w:t>case.</w:t>
      </w:r>
      <w:r w:rsidR="00975895" w:rsidRPr="003015FD">
        <w:t xml:space="preserve"> </w:t>
      </w:r>
      <w:r w:rsidRPr="003015FD">
        <w:t>Once</w:t>
      </w:r>
      <w:r w:rsidR="00975895" w:rsidRPr="003015FD">
        <w:t xml:space="preserve"> </w:t>
      </w:r>
      <w:r w:rsidRPr="003015FD">
        <w:t>you</w:t>
      </w:r>
      <w:r w:rsidR="00975895" w:rsidRPr="003015FD">
        <w:t xml:space="preserve"> </w:t>
      </w:r>
      <w:r w:rsidRPr="003015FD">
        <w:t>alleviate</w:t>
      </w:r>
      <w:r w:rsidR="00975895" w:rsidRPr="003015FD">
        <w:t xml:space="preserve"> </w:t>
      </w:r>
      <w:r w:rsidRPr="003015FD">
        <w:t>that</w:t>
      </w:r>
      <w:r w:rsidR="00975895" w:rsidRPr="003015FD">
        <w:t xml:space="preserve"> </w:t>
      </w:r>
      <w:r w:rsidRPr="003015FD">
        <w:t>fear,</w:t>
      </w:r>
      <w:r w:rsidR="00975895" w:rsidRPr="003015FD">
        <w:t xml:space="preserve"> </w:t>
      </w:r>
      <w:r w:rsidRPr="003015FD">
        <w:t>prison</w:t>
      </w:r>
      <w:r w:rsidR="00975895" w:rsidRPr="003015FD">
        <w:t xml:space="preserve"> </w:t>
      </w:r>
      <w:r w:rsidRPr="003015FD">
        <w:t>staff</w:t>
      </w:r>
      <w:r w:rsidR="00975895" w:rsidRPr="003015FD">
        <w:t xml:space="preserve"> </w:t>
      </w:r>
      <w:r w:rsidRPr="003015FD">
        <w:t>become</w:t>
      </w:r>
      <w:r w:rsidR="00975895" w:rsidRPr="003015FD">
        <w:t xml:space="preserve"> </w:t>
      </w:r>
      <w:r w:rsidRPr="003015FD">
        <w:t>more</w:t>
      </w:r>
      <w:r w:rsidR="00975895" w:rsidRPr="003015FD">
        <w:t xml:space="preserve"> </w:t>
      </w:r>
      <w:r w:rsidRPr="003015FD">
        <w:t>confident</w:t>
      </w:r>
      <w:r w:rsidR="00975895" w:rsidRPr="003015FD">
        <w:t xml:space="preserve"> </w:t>
      </w:r>
      <w:r w:rsidRPr="003015FD">
        <w:t>to</w:t>
      </w:r>
      <w:r w:rsidR="00975895" w:rsidRPr="003015FD">
        <w:t xml:space="preserve"> </w:t>
      </w:r>
      <w:r w:rsidRPr="003015FD">
        <w:t>deal</w:t>
      </w:r>
      <w:r w:rsidR="00975895" w:rsidRPr="003015FD">
        <w:t xml:space="preserve"> </w:t>
      </w:r>
      <w:r w:rsidRPr="003015FD">
        <w:t>with</w:t>
      </w:r>
      <w:r w:rsidR="00975895" w:rsidRPr="003015FD">
        <w:t xml:space="preserve"> </w:t>
      </w:r>
      <w:r w:rsidRPr="003015FD">
        <w:t>the</w:t>
      </w:r>
      <w:r w:rsidR="00975895" w:rsidRPr="003015FD">
        <w:t xml:space="preserve"> </w:t>
      </w:r>
      <w:r w:rsidRPr="003015FD">
        <w:t>prisoners</w:t>
      </w:r>
      <w:r w:rsidR="00975895" w:rsidRPr="003015FD">
        <w:t xml:space="preserve"> </w:t>
      </w:r>
      <w:r w:rsidRPr="003015FD">
        <w:t>and</w:t>
      </w:r>
      <w:r w:rsidR="00975895" w:rsidRPr="003015FD">
        <w:t xml:space="preserve"> </w:t>
      </w:r>
      <w:r w:rsidRPr="003015FD">
        <w:t>genuinely</w:t>
      </w:r>
      <w:r w:rsidR="00975895" w:rsidRPr="003015FD">
        <w:t xml:space="preserve"> </w:t>
      </w:r>
      <w:r w:rsidRPr="003015FD">
        <w:t>consider</w:t>
      </w:r>
      <w:r w:rsidR="00975895" w:rsidRPr="003015FD">
        <w:t xml:space="preserve"> </w:t>
      </w:r>
      <w:r w:rsidRPr="003015FD">
        <w:t>their</w:t>
      </w:r>
      <w:r w:rsidR="00975895" w:rsidRPr="003015FD">
        <w:t xml:space="preserve"> </w:t>
      </w:r>
      <w:r w:rsidRPr="003015FD">
        <w:t>human</w:t>
      </w:r>
      <w:r w:rsidR="00975895" w:rsidRPr="003015FD">
        <w:t xml:space="preserve"> </w:t>
      </w:r>
      <w:r w:rsidRPr="003015FD">
        <w:t>rights</w:t>
      </w:r>
      <w:r w:rsidR="00975895" w:rsidRPr="003015FD">
        <w:t xml:space="preserve"> </w:t>
      </w:r>
      <w:r w:rsidRPr="003015FD">
        <w:t>to</w:t>
      </w:r>
      <w:r w:rsidR="00975895" w:rsidRPr="003015FD">
        <w:t xml:space="preserve"> </w:t>
      </w:r>
      <w:r w:rsidRPr="003015FD">
        <w:t>make</w:t>
      </w:r>
      <w:r w:rsidR="00975895" w:rsidRPr="003015FD">
        <w:t xml:space="preserve"> </w:t>
      </w:r>
      <w:r w:rsidRPr="003015FD">
        <w:t>the</w:t>
      </w:r>
      <w:r w:rsidR="00975895" w:rsidRPr="003015FD">
        <w:t xml:space="preserve"> </w:t>
      </w:r>
      <w:r w:rsidRPr="003015FD">
        <w:t>best</w:t>
      </w:r>
      <w:r w:rsidR="00975895" w:rsidRPr="003015FD">
        <w:t xml:space="preserve"> </w:t>
      </w:r>
      <w:r w:rsidRPr="003015FD">
        <w:t>decision</w:t>
      </w:r>
      <w:r w:rsidR="00975895" w:rsidRPr="003015FD">
        <w:t xml:space="preserve"> </w:t>
      </w:r>
      <w:r w:rsidRPr="003015FD">
        <w:t>in</w:t>
      </w:r>
      <w:r w:rsidR="00975895" w:rsidRPr="003015FD">
        <w:t xml:space="preserve"> </w:t>
      </w:r>
      <w:r w:rsidRPr="003015FD">
        <w:t>the</w:t>
      </w:r>
      <w:r w:rsidR="00975895" w:rsidRPr="003015FD">
        <w:t xml:space="preserve"> </w:t>
      </w:r>
      <w:r w:rsidRPr="003015FD">
        <w:t>circumstances.</w:t>
      </w:r>
    </w:p>
    <w:p w14:paraId="11E2095C" w14:textId="209654EE" w:rsidR="008E0945" w:rsidRPr="003015FD" w:rsidRDefault="008E0945" w:rsidP="0002642E">
      <w:pPr>
        <w:pStyle w:val="Heading4"/>
      </w:pPr>
      <w:r w:rsidRPr="003015FD">
        <w:lastRenderedPageBreak/>
        <w:t>What</w:t>
      </w:r>
      <w:r w:rsidR="00975895" w:rsidRPr="003015FD">
        <w:t xml:space="preserve"> </w:t>
      </w:r>
      <w:r w:rsidRPr="003015FD">
        <w:t>are</w:t>
      </w:r>
      <w:r w:rsidR="00975895" w:rsidRPr="003015FD">
        <w:t xml:space="preserve"> </w:t>
      </w:r>
      <w:r w:rsidRPr="003015FD">
        <w:t>your</w:t>
      </w:r>
      <w:r w:rsidR="00975895" w:rsidRPr="003015FD">
        <w:t xml:space="preserve"> </w:t>
      </w:r>
      <w:r w:rsidRPr="003015FD">
        <w:t>next</w:t>
      </w:r>
      <w:r w:rsidR="00975895" w:rsidRPr="003015FD">
        <w:t xml:space="preserve"> </w:t>
      </w:r>
      <w:r w:rsidRPr="003015FD">
        <w:t>steps?</w:t>
      </w:r>
      <w:r w:rsidR="00975895" w:rsidRPr="003015FD">
        <w:t xml:space="preserve"> </w:t>
      </w:r>
    </w:p>
    <w:p w14:paraId="278DD23C" w14:textId="5195C047" w:rsidR="008E0945" w:rsidRPr="003015FD" w:rsidRDefault="008E0945" w:rsidP="0002642E">
      <w:r w:rsidRPr="003015FD">
        <w:t>I</w:t>
      </w:r>
      <w:r w:rsidR="00975895" w:rsidRPr="003015FD">
        <w:t xml:space="preserve"> </w:t>
      </w:r>
      <w:r w:rsidRPr="003015FD">
        <w:t>think</w:t>
      </w:r>
      <w:r w:rsidR="00975895" w:rsidRPr="003015FD">
        <w:t xml:space="preserve"> </w:t>
      </w:r>
      <w:r w:rsidRPr="003015FD">
        <w:t>there</w:t>
      </w:r>
      <w:r w:rsidR="000C5726">
        <w:t>'</w:t>
      </w:r>
      <w:r w:rsidRPr="003015FD">
        <w:t>s</w:t>
      </w:r>
      <w:r w:rsidR="00975895" w:rsidRPr="003015FD">
        <w:t xml:space="preserve"> </w:t>
      </w:r>
      <w:r w:rsidRPr="003015FD">
        <w:t>still</w:t>
      </w:r>
      <w:r w:rsidR="00975895" w:rsidRPr="003015FD">
        <w:t xml:space="preserve"> </w:t>
      </w:r>
      <w:r w:rsidRPr="003015FD">
        <w:t>a</w:t>
      </w:r>
      <w:r w:rsidR="00975895" w:rsidRPr="003015FD">
        <w:t xml:space="preserve"> </w:t>
      </w:r>
      <w:r w:rsidRPr="003015FD">
        <w:t>lot</w:t>
      </w:r>
      <w:r w:rsidR="00975895" w:rsidRPr="003015FD">
        <w:t xml:space="preserve"> </w:t>
      </w:r>
      <w:r w:rsidRPr="003015FD">
        <w:t>of</w:t>
      </w:r>
      <w:r w:rsidR="00975895" w:rsidRPr="003015FD">
        <w:t xml:space="preserve"> </w:t>
      </w:r>
      <w:r w:rsidRPr="003015FD">
        <w:t>education</w:t>
      </w:r>
      <w:r w:rsidR="00975895" w:rsidRPr="003015FD">
        <w:t xml:space="preserve"> </w:t>
      </w:r>
      <w:r w:rsidRPr="003015FD">
        <w:t>to</w:t>
      </w:r>
      <w:r w:rsidR="00975895" w:rsidRPr="003015FD">
        <w:t xml:space="preserve"> </w:t>
      </w:r>
      <w:r w:rsidRPr="003015FD">
        <w:t>be</w:t>
      </w:r>
      <w:r w:rsidR="00975895" w:rsidRPr="003015FD">
        <w:t xml:space="preserve"> </w:t>
      </w:r>
      <w:r w:rsidRPr="003015FD">
        <w:t>done</w:t>
      </w:r>
      <w:r w:rsidR="00975895" w:rsidRPr="003015FD">
        <w:t xml:space="preserve"> </w:t>
      </w:r>
      <w:r w:rsidRPr="003015FD">
        <w:t>with</w:t>
      </w:r>
      <w:r w:rsidR="00975895" w:rsidRPr="003015FD">
        <w:t xml:space="preserve"> </w:t>
      </w:r>
      <w:r w:rsidRPr="003015FD">
        <w:t>frontline</w:t>
      </w:r>
      <w:r w:rsidR="00975895" w:rsidRPr="003015FD">
        <w:t xml:space="preserve"> </w:t>
      </w:r>
      <w:r w:rsidRPr="003015FD">
        <w:t>staff,</w:t>
      </w:r>
      <w:r w:rsidR="00975895" w:rsidRPr="003015FD">
        <w:t xml:space="preserve"> </w:t>
      </w:r>
      <w:r w:rsidRPr="003015FD">
        <w:t>which</w:t>
      </w:r>
      <w:r w:rsidR="00975895" w:rsidRPr="003015FD">
        <w:t xml:space="preserve"> </w:t>
      </w:r>
      <w:r w:rsidRPr="003015FD">
        <w:t>is</w:t>
      </w:r>
      <w:r w:rsidR="00975895" w:rsidRPr="003015FD">
        <w:t xml:space="preserve"> </w:t>
      </w:r>
      <w:r w:rsidRPr="003015FD">
        <w:t>why</w:t>
      </w:r>
      <w:r w:rsidR="00975895" w:rsidRPr="003015FD">
        <w:t xml:space="preserve"> </w:t>
      </w:r>
      <w:r w:rsidRPr="003015FD">
        <w:t>we</w:t>
      </w:r>
      <w:r w:rsidR="000C5726">
        <w:t>'</w:t>
      </w:r>
      <w:r w:rsidRPr="003015FD">
        <w:t>ve</w:t>
      </w:r>
      <w:r w:rsidR="00975895" w:rsidRPr="003015FD">
        <w:t xml:space="preserve"> </w:t>
      </w:r>
      <w:r w:rsidRPr="003015FD">
        <w:t>been</w:t>
      </w:r>
      <w:r w:rsidR="00975895" w:rsidRPr="003015FD">
        <w:t xml:space="preserve"> </w:t>
      </w:r>
      <w:r w:rsidRPr="003015FD">
        <w:t>working</w:t>
      </w:r>
      <w:r w:rsidR="00975895" w:rsidRPr="003015FD">
        <w:t xml:space="preserve"> </w:t>
      </w:r>
      <w:r w:rsidRPr="003015FD">
        <w:t>with</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on</w:t>
      </w:r>
      <w:r w:rsidR="00975895" w:rsidRPr="003015FD">
        <w:t xml:space="preserve"> </w:t>
      </w:r>
      <w:r w:rsidRPr="003015FD">
        <w:t>designing</w:t>
      </w:r>
      <w:r w:rsidR="00975895" w:rsidRPr="003015FD">
        <w:t xml:space="preserve"> </w:t>
      </w:r>
      <w:r w:rsidRPr="003015FD">
        <w:t>tailored</w:t>
      </w:r>
      <w:r w:rsidR="00975895" w:rsidRPr="003015FD">
        <w:t xml:space="preserve"> </w:t>
      </w:r>
      <w:r w:rsidRPr="003015FD">
        <w:t>training</w:t>
      </w:r>
      <w:r w:rsidR="00975895" w:rsidRPr="003015FD">
        <w:t xml:space="preserve"> </w:t>
      </w:r>
      <w:r w:rsidRPr="003015FD">
        <w:t>for</w:t>
      </w:r>
      <w:r w:rsidR="00975895" w:rsidRPr="003015FD">
        <w:t xml:space="preserve"> </w:t>
      </w:r>
      <w:r w:rsidRPr="003015FD">
        <w:t>them.</w:t>
      </w:r>
      <w:r w:rsidR="00975895" w:rsidRPr="003015FD">
        <w:t xml:space="preserve"> </w:t>
      </w:r>
    </w:p>
    <w:p w14:paraId="06C70A0A" w14:textId="1940D6DD" w:rsidR="008E0945" w:rsidRPr="003015FD" w:rsidRDefault="008E0945" w:rsidP="0002642E">
      <w:r w:rsidRPr="003015FD">
        <w:t>It</w:t>
      </w:r>
      <w:r w:rsidR="000C5726">
        <w:t>'</w:t>
      </w:r>
      <w:r w:rsidRPr="003015FD">
        <w:t>s</w:t>
      </w:r>
      <w:r w:rsidR="00975895" w:rsidRPr="003015FD">
        <w:t xml:space="preserve"> </w:t>
      </w:r>
      <w:r w:rsidRPr="003015FD">
        <w:t>really</w:t>
      </w:r>
      <w:r w:rsidR="00975895" w:rsidRPr="003015FD">
        <w:t xml:space="preserve"> </w:t>
      </w:r>
      <w:r w:rsidRPr="003015FD">
        <w:t>the</w:t>
      </w:r>
      <w:r w:rsidR="00975895" w:rsidRPr="003015FD">
        <w:t xml:space="preserve"> </w:t>
      </w:r>
      <w:r w:rsidRPr="003015FD">
        <w:t>frontline</w:t>
      </w:r>
      <w:r w:rsidR="00975895" w:rsidRPr="003015FD">
        <w:t xml:space="preserve"> </w:t>
      </w:r>
      <w:r w:rsidRPr="003015FD">
        <w:t>staff</w:t>
      </w:r>
      <w:r w:rsidR="00975895" w:rsidRPr="003015FD">
        <w:t xml:space="preserve"> </w:t>
      </w:r>
      <w:r w:rsidRPr="003015FD">
        <w:t>who</w:t>
      </w:r>
      <w:r w:rsidR="00975895" w:rsidRPr="003015FD">
        <w:t xml:space="preserve"> </w:t>
      </w:r>
      <w:r w:rsidRPr="003015FD">
        <w:t>get</w:t>
      </w:r>
      <w:r w:rsidR="00975895" w:rsidRPr="003015FD">
        <w:t xml:space="preserve"> </w:t>
      </w:r>
      <w:r w:rsidRPr="003015FD">
        <w:t>bombarded</w:t>
      </w:r>
      <w:r w:rsidR="00975895" w:rsidRPr="003015FD">
        <w:t xml:space="preserve"> </w:t>
      </w:r>
      <w:r w:rsidRPr="003015FD">
        <w:t>with</w:t>
      </w:r>
      <w:r w:rsidR="00975895" w:rsidRPr="003015FD">
        <w:t xml:space="preserve"> </w:t>
      </w:r>
      <w:r w:rsidRPr="003015FD">
        <w:t>questions</w:t>
      </w:r>
      <w:r w:rsidR="00975895" w:rsidRPr="003015FD">
        <w:t xml:space="preserve"> </w:t>
      </w:r>
      <w:r w:rsidRPr="003015FD">
        <w:t>from</w:t>
      </w:r>
      <w:r w:rsidR="00975895" w:rsidRPr="003015FD">
        <w:t xml:space="preserve"> </w:t>
      </w:r>
      <w:r w:rsidRPr="003015FD">
        <w:t>prisoners.</w:t>
      </w:r>
      <w:r w:rsidR="00975895" w:rsidRPr="003015FD">
        <w:t xml:space="preserve"> </w:t>
      </w:r>
      <w:r w:rsidRPr="003015FD">
        <w:t>It</w:t>
      </w:r>
      <w:r w:rsidR="000C5726">
        <w:t>'</w:t>
      </w:r>
      <w:r w:rsidRPr="003015FD">
        <w:t>s</w:t>
      </w:r>
      <w:r w:rsidR="00975895" w:rsidRPr="003015FD">
        <w:t xml:space="preserve"> </w:t>
      </w:r>
      <w:r w:rsidRPr="003015FD">
        <w:t>a</w:t>
      </w:r>
      <w:r w:rsidR="00975895" w:rsidRPr="003015FD">
        <w:t xml:space="preserve"> </w:t>
      </w:r>
      <w:r w:rsidRPr="003015FD">
        <w:t>little</w:t>
      </w:r>
      <w:r w:rsidR="00975895" w:rsidRPr="003015FD">
        <w:t xml:space="preserve"> </w:t>
      </w:r>
      <w:r w:rsidRPr="003015FD">
        <w:t>easier</w:t>
      </w:r>
      <w:r w:rsidR="00975895" w:rsidRPr="003015FD">
        <w:t xml:space="preserve"> </w:t>
      </w:r>
      <w:r w:rsidRPr="003015FD">
        <w:t>for</w:t>
      </w:r>
      <w:r w:rsidR="00975895" w:rsidRPr="003015FD">
        <w:t xml:space="preserve"> </w:t>
      </w:r>
      <w:r w:rsidRPr="003015FD">
        <w:t>me</w:t>
      </w:r>
      <w:r w:rsidR="00975895" w:rsidRPr="003015FD">
        <w:t xml:space="preserve"> </w:t>
      </w:r>
      <w:r w:rsidRPr="003015FD">
        <w:t>as</w:t>
      </w:r>
      <w:r w:rsidR="00975895" w:rsidRPr="003015FD">
        <w:t xml:space="preserve"> </w:t>
      </w:r>
      <w:r w:rsidRPr="003015FD">
        <w:t>a</w:t>
      </w:r>
      <w:r w:rsidR="00975895" w:rsidRPr="003015FD">
        <w:t xml:space="preserve"> </w:t>
      </w:r>
      <w:r w:rsidRPr="003015FD">
        <w:t>manager</w:t>
      </w:r>
      <w:r w:rsidR="00975895" w:rsidRPr="003015FD">
        <w:t xml:space="preserve"> </w:t>
      </w:r>
      <w:r w:rsidRPr="003015FD">
        <w:t>because</w:t>
      </w:r>
      <w:r w:rsidR="00975895" w:rsidRPr="003015FD">
        <w:t xml:space="preserve"> </w:t>
      </w:r>
      <w:r w:rsidRPr="003015FD">
        <w:t>by</w:t>
      </w:r>
      <w:r w:rsidR="00975895" w:rsidRPr="003015FD">
        <w:t xml:space="preserve"> </w:t>
      </w:r>
      <w:r w:rsidRPr="003015FD">
        <w:t>the</w:t>
      </w:r>
      <w:r w:rsidR="00975895" w:rsidRPr="003015FD">
        <w:t xml:space="preserve"> </w:t>
      </w:r>
      <w:r w:rsidRPr="003015FD">
        <w:t>time</w:t>
      </w:r>
      <w:r w:rsidR="00975895" w:rsidRPr="003015FD">
        <w:t xml:space="preserve"> </w:t>
      </w:r>
      <w:r w:rsidRPr="003015FD">
        <w:t>it</w:t>
      </w:r>
      <w:r w:rsidR="00975895" w:rsidRPr="003015FD">
        <w:t xml:space="preserve"> </w:t>
      </w:r>
      <w:r w:rsidRPr="003015FD">
        <w:t>gets</w:t>
      </w:r>
      <w:r w:rsidR="00975895" w:rsidRPr="003015FD">
        <w:t xml:space="preserve"> </w:t>
      </w:r>
      <w:r w:rsidRPr="003015FD">
        <w:t>to</w:t>
      </w:r>
      <w:r w:rsidR="00975895" w:rsidRPr="003015FD">
        <w:t xml:space="preserve"> </w:t>
      </w:r>
      <w:r w:rsidRPr="003015FD">
        <w:t>me</w:t>
      </w:r>
      <w:r w:rsidR="00975895" w:rsidRPr="003015FD">
        <w:t xml:space="preserve"> </w:t>
      </w:r>
      <w:r w:rsidRPr="003015FD">
        <w:t>I</w:t>
      </w:r>
      <w:r w:rsidR="00975895" w:rsidRPr="003015FD">
        <w:t xml:space="preserve"> </w:t>
      </w:r>
      <w:r w:rsidRPr="003015FD">
        <w:t>have</w:t>
      </w:r>
      <w:r w:rsidR="00975895" w:rsidRPr="003015FD">
        <w:t xml:space="preserve"> </w:t>
      </w:r>
      <w:r w:rsidRPr="003015FD">
        <w:t>more</w:t>
      </w:r>
      <w:r w:rsidR="00975895" w:rsidRPr="003015FD">
        <w:t xml:space="preserve"> </w:t>
      </w:r>
      <w:r w:rsidRPr="003015FD">
        <w:t>time</w:t>
      </w:r>
      <w:r w:rsidR="00975895" w:rsidRPr="003015FD">
        <w:t xml:space="preserve"> </w:t>
      </w:r>
      <w:r w:rsidRPr="003015FD">
        <w:t>to</w:t>
      </w:r>
      <w:r w:rsidR="00975895" w:rsidRPr="003015FD">
        <w:t xml:space="preserve"> </w:t>
      </w:r>
      <w:r w:rsidRPr="003015FD">
        <w:t>consider</w:t>
      </w:r>
      <w:r w:rsidR="00975895" w:rsidRPr="003015FD">
        <w:t xml:space="preserve"> </w:t>
      </w:r>
      <w:r w:rsidRPr="003015FD">
        <w:t>my</w:t>
      </w:r>
      <w:r w:rsidR="00975895" w:rsidRPr="003015FD">
        <w:t xml:space="preserve"> </w:t>
      </w:r>
      <w:r w:rsidRPr="003015FD">
        <w:t>decisions.</w:t>
      </w:r>
      <w:r w:rsidR="00975895" w:rsidRPr="003015FD">
        <w:t xml:space="preserve"> </w:t>
      </w:r>
    </w:p>
    <w:p w14:paraId="1CD8C4A0" w14:textId="0973A97B" w:rsidR="008E0945" w:rsidRPr="003015FD" w:rsidRDefault="008E0945" w:rsidP="0002642E">
      <w:pPr>
        <w:pStyle w:val="Heading4"/>
      </w:pPr>
      <w:r w:rsidRPr="003015FD">
        <w:t>What</w:t>
      </w:r>
      <w:r w:rsidR="00975895" w:rsidRPr="003015FD">
        <w:t xml:space="preserve"> </w:t>
      </w:r>
      <w:r w:rsidRPr="003015FD">
        <w:t>advice</w:t>
      </w:r>
      <w:r w:rsidR="00975895" w:rsidRPr="003015FD">
        <w:t xml:space="preserve"> </w:t>
      </w:r>
      <w:r w:rsidRPr="003015FD">
        <w:t>would</w:t>
      </w:r>
      <w:r w:rsidR="00975895" w:rsidRPr="003015FD">
        <w:t xml:space="preserve"> </w:t>
      </w:r>
      <w:r w:rsidRPr="003015FD">
        <w:t>you</w:t>
      </w:r>
      <w:r w:rsidR="00975895" w:rsidRPr="003015FD">
        <w:t xml:space="preserve"> </w:t>
      </w:r>
      <w:r w:rsidRPr="003015FD">
        <w:t>have</w:t>
      </w:r>
      <w:r w:rsidR="00975895" w:rsidRPr="003015FD">
        <w:t xml:space="preserve"> </w:t>
      </w:r>
      <w:r w:rsidRPr="003015FD">
        <w:t>for</w:t>
      </w:r>
      <w:r w:rsidR="00975895" w:rsidRPr="003015FD">
        <w:t xml:space="preserve"> </w:t>
      </w:r>
      <w:r w:rsidRPr="003015FD">
        <w:t>other</w:t>
      </w:r>
      <w:r w:rsidR="00975895" w:rsidRPr="003015FD">
        <w:t xml:space="preserve"> </w:t>
      </w:r>
      <w:r w:rsidRPr="003015FD">
        <w:t>prisons</w:t>
      </w:r>
      <w:r w:rsidR="00975895" w:rsidRPr="003015FD">
        <w:t xml:space="preserve"> </w:t>
      </w:r>
      <w:r w:rsidRPr="003015FD">
        <w:t>and/or</w:t>
      </w:r>
      <w:r w:rsidR="00975895" w:rsidRPr="003015FD">
        <w:t xml:space="preserve"> </w:t>
      </w:r>
      <w:r w:rsidRPr="003015FD">
        <w:t>prison</w:t>
      </w:r>
      <w:r w:rsidR="00975895" w:rsidRPr="003015FD">
        <w:t xml:space="preserve"> </w:t>
      </w:r>
      <w:r w:rsidRPr="003015FD">
        <w:t>officers</w:t>
      </w:r>
      <w:r w:rsidR="003B428A">
        <w:t>?</w:t>
      </w:r>
    </w:p>
    <w:p w14:paraId="29659941" w14:textId="26E5990B" w:rsidR="008D0C75" w:rsidRPr="00727143" w:rsidRDefault="008E0945" w:rsidP="0002642E">
      <w:r w:rsidRPr="003015FD">
        <w:t>My</w:t>
      </w:r>
      <w:r w:rsidR="00975895" w:rsidRPr="003015FD">
        <w:t xml:space="preserve"> </w:t>
      </w:r>
      <w:r w:rsidRPr="003015FD">
        <w:t>advice</w:t>
      </w:r>
      <w:r w:rsidR="00975895" w:rsidRPr="003015FD">
        <w:t xml:space="preserve"> </w:t>
      </w:r>
      <w:r w:rsidRPr="003015FD">
        <w:t>would</w:t>
      </w:r>
      <w:r w:rsidR="00975895" w:rsidRPr="003015FD">
        <w:t xml:space="preserve"> </w:t>
      </w:r>
      <w:r w:rsidRPr="003015FD">
        <w:t>be</w:t>
      </w:r>
      <w:r w:rsidR="00975895" w:rsidRPr="003015FD">
        <w:t xml:space="preserve"> </w:t>
      </w:r>
      <w:r w:rsidRPr="003015FD">
        <w:t>to</w:t>
      </w:r>
      <w:r w:rsidR="00975895" w:rsidRPr="003015FD">
        <w:t xml:space="preserve"> </w:t>
      </w:r>
      <w:r w:rsidRPr="003015FD">
        <w:t>take</w:t>
      </w:r>
      <w:r w:rsidR="00975895" w:rsidRPr="003015FD">
        <w:t xml:space="preserve"> </w:t>
      </w:r>
      <w:r w:rsidRPr="003015FD">
        <w:t>the</w:t>
      </w:r>
      <w:r w:rsidR="00975895" w:rsidRPr="003015FD">
        <w:t xml:space="preserve"> </w:t>
      </w:r>
      <w:r w:rsidRPr="003015FD">
        <w:t>time</w:t>
      </w:r>
      <w:r w:rsidR="00975895" w:rsidRPr="003015FD">
        <w:t xml:space="preserve"> </w:t>
      </w:r>
      <w:r w:rsidRPr="003015FD">
        <w:t>to</w:t>
      </w:r>
      <w:r w:rsidR="00975895" w:rsidRPr="003015FD">
        <w:t xml:space="preserve"> </w:t>
      </w:r>
      <w:r w:rsidRPr="003015FD">
        <w:t>understand</w:t>
      </w:r>
      <w:r w:rsidR="00975895" w:rsidRPr="003015FD">
        <w:t xml:space="preserve"> </w:t>
      </w:r>
      <w:r w:rsidRPr="003015FD">
        <w:t>the</w:t>
      </w:r>
      <w:r w:rsidR="00975895" w:rsidRPr="003015FD">
        <w:t xml:space="preserve"> </w:t>
      </w:r>
      <w:r w:rsidRPr="003015FD">
        <w:t>Charter.</w:t>
      </w:r>
      <w:r w:rsidR="00975895" w:rsidRPr="003015FD">
        <w:t xml:space="preserve"> </w:t>
      </w:r>
      <w:r w:rsidRPr="003015FD">
        <w:t>Don</w:t>
      </w:r>
      <w:r w:rsidR="000C5726">
        <w:t>'</w:t>
      </w:r>
      <w:r w:rsidRPr="003015FD">
        <w:t>t</w:t>
      </w:r>
      <w:r w:rsidR="00975895" w:rsidRPr="003015FD">
        <w:t xml:space="preserve"> </w:t>
      </w:r>
      <w:r w:rsidRPr="003015FD">
        <w:t>surmise,</w:t>
      </w:r>
      <w:r w:rsidR="00975895" w:rsidRPr="003015FD">
        <w:t xml:space="preserve"> </w:t>
      </w:r>
      <w:r w:rsidRPr="003015FD">
        <w:t>or</w:t>
      </w:r>
      <w:r w:rsidR="00975895" w:rsidRPr="003015FD">
        <w:t xml:space="preserve"> </w:t>
      </w:r>
      <w:r w:rsidRPr="003015FD">
        <w:t>guess.</w:t>
      </w:r>
      <w:r w:rsidR="00975895" w:rsidRPr="003015FD">
        <w:t xml:space="preserve"> </w:t>
      </w:r>
      <w:r w:rsidRPr="003015FD">
        <w:t>Understand</w:t>
      </w:r>
      <w:r w:rsidR="00975895" w:rsidRPr="003015FD">
        <w:t xml:space="preserve"> </w:t>
      </w:r>
      <w:r w:rsidRPr="003015FD">
        <w:t>yourself</w:t>
      </w:r>
      <w:r w:rsidR="00975895" w:rsidRPr="003015FD">
        <w:t xml:space="preserve"> </w:t>
      </w:r>
      <w:r w:rsidRPr="003015FD">
        <w:t>what</w:t>
      </w:r>
      <w:r w:rsidR="00975895" w:rsidRPr="003015FD">
        <w:t xml:space="preserve"> </w:t>
      </w:r>
      <w:r w:rsidRPr="003015FD">
        <w:t>the</w:t>
      </w:r>
      <w:r w:rsidR="00975895" w:rsidRPr="003015FD">
        <w:t xml:space="preserve"> </w:t>
      </w:r>
      <w:r w:rsidRPr="003015FD">
        <w:t>Charter</w:t>
      </w:r>
      <w:r w:rsidR="00975895" w:rsidRPr="003015FD">
        <w:t xml:space="preserve"> </w:t>
      </w:r>
      <w:r w:rsidRPr="003015FD">
        <w:t>means</w:t>
      </w:r>
      <w:r w:rsidR="00975895" w:rsidRPr="003015FD">
        <w:t xml:space="preserve"> </w:t>
      </w:r>
      <w:r w:rsidRPr="003015FD">
        <w:t>and</w:t>
      </w:r>
      <w:r w:rsidR="00975895" w:rsidRPr="003015FD">
        <w:t xml:space="preserve"> </w:t>
      </w:r>
      <w:r w:rsidRPr="003015FD">
        <w:t>you</w:t>
      </w:r>
      <w:r w:rsidR="000C5726">
        <w:t>'</w:t>
      </w:r>
      <w:r w:rsidRPr="003015FD">
        <w:t>ll</w:t>
      </w:r>
      <w:r w:rsidR="00975895" w:rsidRPr="003015FD">
        <w:t xml:space="preserve"> </w:t>
      </w:r>
      <w:r w:rsidRPr="003015FD">
        <w:t>be</w:t>
      </w:r>
      <w:r w:rsidR="00975895" w:rsidRPr="003015FD">
        <w:t xml:space="preserve"> </w:t>
      </w:r>
      <w:r w:rsidRPr="003015FD">
        <w:t>more</w:t>
      </w:r>
      <w:r w:rsidR="00975895" w:rsidRPr="003015FD">
        <w:t xml:space="preserve"> </w:t>
      </w:r>
      <w:r w:rsidRPr="003015FD">
        <w:t>effective.</w:t>
      </w:r>
      <w:r w:rsidR="00975895" w:rsidRPr="003015FD">
        <w:t xml:space="preserve"> </w:t>
      </w:r>
      <w:bookmarkStart w:id="81" w:name="_Toc15045119"/>
    </w:p>
    <w:p w14:paraId="58CA8BE9" w14:textId="47C4BB97" w:rsidR="008E0945" w:rsidRPr="003015FD" w:rsidRDefault="007206F8" w:rsidP="0002642E">
      <w:pPr>
        <w:pStyle w:val="Heading3"/>
      </w:pPr>
      <w:r w:rsidRPr="003015FD">
        <w:t>2.8.2</w:t>
      </w:r>
      <w:r w:rsidRPr="003015FD">
        <w:tab/>
      </w:r>
      <w:r w:rsidR="008E0945" w:rsidRPr="003015FD">
        <w:t>Case</w:t>
      </w:r>
      <w:r w:rsidR="00975895" w:rsidRPr="003015FD">
        <w:t xml:space="preserve"> </w:t>
      </w:r>
      <w:r w:rsidR="008E0945" w:rsidRPr="003015FD">
        <w:t>study</w:t>
      </w:r>
      <w:r w:rsidR="00975895" w:rsidRPr="003015FD">
        <w:t xml:space="preserve"> </w:t>
      </w:r>
      <w:r w:rsidR="008E0945" w:rsidRPr="003015FD">
        <w:t>2:</w:t>
      </w:r>
      <w:r w:rsidR="00975895" w:rsidRPr="003015FD">
        <w:t xml:space="preserve"> </w:t>
      </w:r>
      <w:r w:rsidR="008E0945" w:rsidRPr="003015FD">
        <w:t>Victorian</w:t>
      </w:r>
      <w:r w:rsidR="00975895" w:rsidRPr="003015FD">
        <w:t xml:space="preserve"> </w:t>
      </w:r>
      <w:r w:rsidR="008E0945" w:rsidRPr="003015FD">
        <w:t>Public</w:t>
      </w:r>
      <w:r w:rsidR="00975895" w:rsidRPr="003015FD">
        <w:t xml:space="preserve"> </w:t>
      </w:r>
      <w:r w:rsidR="008E0945" w:rsidRPr="003015FD">
        <w:t>Sector</w:t>
      </w:r>
      <w:r w:rsidR="00975895" w:rsidRPr="003015FD">
        <w:t xml:space="preserve"> </w:t>
      </w:r>
      <w:r w:rsidR="008E0945" w:rsidRPr="003015FD">
        <w:t>Commission</w:t>
      </w:r>
      <w:bookmarkEnd w:id="81"/>
    </w:p>
    <w:p w14:paraId="6D665889" w14:textId="5035F3DF" w:rsidR="008E0945" w:rsidRPr="003015FD" w:rsidRDefault="008E0945" w:rsidP="0002642E">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Commission</w:t>
      </w:r>
      <w:r w:rsidR="00975895" w:rsidRPr="003015FD">
        <w:t xml:space="preserve"> </w:t>
      </w:r>
      <w:r w:rsidRPr="003015FD">
        <w:t>works</w:t>
      </w:r>
      <w:r w:rsidR="00975895" w:rsidRPr="003015FD">
        <w:t xml:space="preserve"> </w:t>
      </w:r>
      <w:r w:rsidRPr="003015FD">
        <w:t>closely</w:t>
      </w:r>
      <w:r w:rsidR="00975895" w:rsidRPr="003015FD">
        <w:t xml:space="preserve"> </w:t>
      </w:r>
      <w:r w:rsidRPr="003015FD">
        <w:t>with</w:t>
      </w:r>
      <w:r w:rsidR="00975895" w:rsidRPr="003015FD">
        <w:t xml:space="preserve"> </w:t>
      </w:r>
      <w:r w:rsidRPr="003015FD">
        <w:t>government</w:t>
      </w:r>
      <w:r w:rsidR="00975895" w:rsidRPr="003015FD">
        <w:t xml:space="preserve"> </w:t>
      </w:r>
      <w:r w:rsidRPr="003015FD">
        <w:t>departments</w:t>
      </w:r>
      <w:r w:rsidR="00975895" w:rsidRPr="003015FD">
        <w:t xml:space="preserve"> </w:t>
      </w:r>
      <w:r w:rsidRPr="003015FD">
        <w:t>and</w:t>
      </w:r>
      <w:r w:rsidR="00975895" w:rsidRPr="003015FD">
        <w:t xml:space="preserve"> </w:t>
      </w:r>
      <w:r w:rsidRPr="003015FD">
        <w:t>public</w:t>
      </w:r>
      <w:r w:rsidR="00975895" w:rsidRPr="003015FD">
        <w:t xml:space="preserve"> </w:t>
      </w:r>
      <w:r w:rsidRPr="003015FD">
        <w:t>entities</w:t>
      </w:r>
      <w:r w:rsidR="00975895" w:rsidRPr="003015FD">
        <w:t xml:space="preserve"> </w:t>
      </w:r>
      <w:r w:rsidRPr="003015FD">
        <w:t>to</w:t>
      </w:r>
      <w:r w:rsidR="00975895" w:rsidRPr="003015FD">
        <w:t xml:space="preserve"> </w:t>
      </w:r>
      <w:r w:rsidRPr="003015FD">
        <w:t>promote</w:t>
      </w:r>
      <w:r w:rsidR="00975895" w:rsidRPr="003015FD">
        <w:t xml:space="preserve"> </w:t>
      </w:r>
      <w:r w:rsidRPr="003015FD">
        <w:t>public</w:t>
      </w:r>
      <w:r w:rsidR="00975895" w:rsidRPr="003015FD">
        <w:t xml:space="preserve"> </w:t>
      </w:r>
      <w:r w:rsidRPr="003015FD">
        <w:t>sector</w:t>
      </w:r>
      <w:r w:rsidR="00975895" w:rsidRPr="003015FD">
        <w:t xml:space="preserve"> </w:t>
      </w:r>
      <w:r w:rsidRPr="003015FD">
        <w:t>professionalism,</w:t>
      </w:r>
      <w:r w:rsidR="00975895" w:rsidRPr="003015FD">
        <w:t xml:space="preserve"> </w:t>
      </w:r>
      <w:r w:rsidRPr="003015FD">
        <w:t>integrity</w:t>
      </w:r>
      <w:r w:rsidR="00975895" w:rsidRPr="003015FD">
        <w:t xml:space="preserve"> </w:t>
      </w:r>
      <w:r w:rsidRPr="003015FD">
        <w:t>and</w:t>
      </w:r>
      <w:r w:rsidR="00975895" w:rsidRPr="003015FD">
        <w:t xml:space="preserve"> </w:t>
      </w:r>
      <w:r w:rsidRPr="003015FD">
        <w:t>capability.</w:t>
      </w:r>
      <w:r w:rsidR="00975895" w:rsidRPr="003015FD">
        <w:t xml:space="preserve"> </w:t>
      </w:r>
    </w:p>
    <w:p w14:paraId="0A5F7962" w14:textId="36A7C510" w:rsidR="008E0945" w:rsidRPr="003015FD" w:rsidRDefault="008E0945" w:rsidP="0002642E">
      <w:pPr>
        <w:pStyle w:val="Heading4"/>
      </w:pPr>
      <w:r w:rsidRPr="003015FD">
        <w:t>Why</w:t>
      </w:r>
      <w:r w:rsidR="00975895" w:rsidRPr="003015FD">
        <w:t xml:space="preserve"> </w:t>
      </w:r>
      <w:r w:rsidRPr="003015FD">
        <w:t>did</w:t>
      </w:r>
      <w:r w:rsidR="00975895" w:rsidRPr="003015FD">
        <w:t xml:space="preserve"> </w:t>
      </w:r>
      <w:r w:rsidRPr="003015FD">
        <w:t>you</w:t>
      </w:r>
      <w:r w:rsidR="00975895" w:rsidRPr="003015FD">
        <w:t xml:space="preserve"> </w:t>
      </w:r>
      <w:r w:rsidRPr="003015FD">
        <w:t>decide</w:t>
      </w:r>
      <w:r w:rsidR="00975895" w:rsidRPr="003015FD">
        <w:t xml:space="preserve"> </w:t>
      </w:r>
      <w:r w:rsidRPr="003015FD">
        <w:t>to</w:t>
      </w:r>
      <w:r w:rsidR="00975895" w:rsidRPr="003015FD">
        <w:t xml:space="preserve"> </w:t>
      </w:r>
      <w:r w:rsidRPr="003015FD">
        <w:t>engage</w:t>
      </w:r>
      <w:r w:rsidR="00975895" w:rsidRPr="003015FD">
        <w:t xml:space="preserve"> </w:t>
      </w:r>
      <w:r w:rsidRPr="003015FD">
        <w:t>with</w:t>
      </w:r>
      <w:r w:rsidR="00975895" w:rsidRPr="003015FD">
        <w:t xml:space="preserve"> </w:t>
      </w:r>
      <w:r w:rsidRPr="003015FD">
        <w:t>the</w:t>
      </w:r>
      <w:r w:rsidR="00975895" w:rsidRPr="003015FD">
        <w:t xml:space="preserve"> </w:t>
      </w:r>
      <w:r w:rsidRPr="003015FD">
        <w:t>Charter</w:t>
      </w:r>
      <w:r w:rsidR="00975895" w:rsidRPr="003015FD">
        <w:t xml:space="preserve"> </w:t>
      </w:r>
      <w:r w:rsidRPr="003015FD">
        <w:t>Education</w:t>
      </w:r>
      <w:r w:rsidR="00975895" w:rsidRPr="003015FD">
        <w:t xml:space="preserve"> </w:t>
      </w:r>
      <w:r w:rsidRPr="003015FD">
        <w:t>Program?</w:t>
      </w:r>
      <w:r w:rsidR="00975895" w:rsidRPr="003015FD">
        <w:t xml:space="preserve"> </w:t>
      </w:r>
    </w:p>
    <w:p w14:paraId="0BC05097" w14:textId="591B541B" w:rsidR="008E0945" w:rsidRPr="003015FD" w:rsidRDefault="008E0945" w:rsidP="0002642E">
      <w:r w:rsidRPr="003015FD">
        <w:t>Human</w:t>
      </w:r>
      <w:r w:rsidR="00975895" w:rsidRPr="003015FD">
        <w:t xml:space="preserve"> </w:t>
      </w:r>
      <w:r w:rsidRPr="003015FD">
        <w:t>rights</w:t>
      </w:r>
      <w:r w:rsidR="00975895" w:rsidRPr="003015FD">
        <w:t xml:space="preserve"> </w:t>
      </w:r>
      <w:proofErr w:type="gramStart"/>
      <w:r w:rsidRPr="003015FD">
        <w:t>is</w:t>
      </w:r>
      <w:proofErr w:type="gramEnd"/>
      <w:r w:rsidR="00975895" w:rsidRPr="003015FD">
        <w:t xml:space="preserve"> </w:t>
      </w:r>
      <w:r w:rsidRPr="003015FD">
        <w:t>both</w:t>
      </w:r>
      <w:r w:rsidR="00975895" w:rsidRPr="003015FD">
        <w:t xml:space="preserve"> </w:t>
      </w:r>
      <w:r w:rsidRPr="003015FD">
        <w:t>a</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value</w:t>
      </w:r>
      <w:r w:rsidR="00975895" w:rsidRPr="003015FD">
        <w:t xml:space="preserve"> </w:t>
      </w:r>
      <w:r w:rsidRPr="003015FD">
        <w:t>and</w:t>
      </w:r>
      <w:r w:rsidR="00975895" w:rsidRPr="003015FD">
        <w:t xml:space="preserve"> </w:t>
      </w:r>
      <w:r w:rsidRPr="003015FD">
        <w:t>employment</w:t>
      </w:r>
      <w:r w:rsidR="00975895" w:rsidRPr="003015FD">
        <w:t xml:space="preserve"> </w:t>
      </w:r>
      <w:r w:rsidRPr="003015FD">
        <w:t>principle.</w:t>
      </w:r>
      <w:r w:rsidR="00975895" w:rsidRPr="003015FD">
        <w:t xml:space="preserve"> </w:t>
      </w:r>
      <w:r w:rsidRPr="003015FD">
        <w:t>We</w:t>
      </w:r>
      <w:r w:rsidR="00975895" w:rsidRPr="003015FD">
        <w:t xml:space="preserve"> </w:t>
      </w:r>
      <w:r w:rsidRPr="003015FD">
        <w:t>have</w:t>
      </w:r>
      <w:r w:rsidR="00975895" w:rsidRPr="003015FD">
        <w:t xml:space="preserve"> </w:t>
      </w:r>
      <w:r w:rsidRPr="003015FD">
        <w:t>an</w:t>
      </w:r>
      <w:r w:rsidR="00975895" w:rsidRPr="003015FD">
        <w:t xml:space="preserve"> </w:t>
      </w:r>
      <w:r w:rsidRPr="003015FD">
        <w:t>important</w:t>
      </w:r>
      <w:r w:rsidR="00975895" w:rsidRPr="003015FD">
        <w:t xml:space="preserve"> </w:t>
      </w:r>
      <w:r w:rsidRPr="003015FD">
        <w:t>role</w:t>
      </w:r>
      <w:r w:rsidR="00975895" w:rsidRPr="003015FD">
        <w:t xml:space="preserve"> </w:t>
      </w:r>
      <w:r w:rsidRPr="003015FD">
        <w:t>to</w:t>
      </w:r>
      <w:r w:rsidR="00975895" w:rsidRPr="003015FD">
        <w:t xml:space="preserve"> </w:t>
      </w:r>
      <w:r w:rsidRPr="003015FD">
        <w:t>play</w:t>
      </w:r>
      <w:r w:rsidR="00975895" w:rsidRPr="003015FD">
        <w:t xml:space="preserve"> </w:t>
      </w:r>
      <w:r w:rsidRPr="003015FD">
        <w:t>in</w:t>
      </w:r>
      <w:r w:rsidR="00975895" w:rsidRPr="003015FD">
        <w:t xml:space="preserve"> </w:t>
      </w:r>
      <w:r w:rsidRPr="003015FD">
        <w:t>promoting</w:t>
      </w:r>
      <w:r w:rsidR="00975895" w:rsidRPr="003015FD">
        <w:t xml:space="preserve"> </w:t>
      </w:r>
      <w:r w:rsidRPr="003015FD">
        <w:t>behaviour</w:t>
      </w:r>
      <w:r w:rsidR="00975895" w:rsidRPr="003015FD">
        <w:t xml:space="preserve"> </w:t>
      </w:r>
      <w:r w:rsidRPr="003015FD">
        <w:t>that</w:t>
      </w:r>
      <w:r w:rsidR="00975895" w:rsidRPr="003015FD">
        <w:t xml:space="preserve"> </w:t>
      </w:r>
      <w:r w:rsidRPr="003015FD">
        <w:t>is</w:t>
      </w:r>
      <w:r w:rsidR="00975895" w:rsidRPr="003015FD">
        <w:t xml:space="preserve"> </w:t>
      </w:r>
      <w:r w:rsidRPr="003015FD">
        <w:t>consistent</w:t>
      </w:r>
      <w:r w:rsidR="00975895" w:rsidRPr="003015FD">
        <w:t xml:space="preserve"> </w:t>
      </w:r>
      <w:r w:rsidRPr="003015FD">
        <w:t>with</w:t>
      </w:r>
      <w:r w:rsidR="00975895" w:rsidRPr="003015FD">
        <w:t xml:space="preserve"> </w:t>
      </w:r>
      <w:r w:rsidRPr="003015FD">
        <w:t>the</w:t>
      </w:r>
      <w:r w:rsidR="00975895" w:rsidRPr="003015FD">
        <w:t xml:space="preserve"> </w:t>
      </w:r>
      <w:r w:rsidRPr="003015FD">
        <w:t>values</w:t>
      </w:r>
      <w:r w:rsidR="00975895" w:rsidRPr="003015FD">
        <w:t xml:space="preserve"> </w:t>
      </w:r>
      <w:r w:rsidRPr="003015FD">
        <w:t>and</w:t>
      </w:r>
      <w:r w:rsidR="00975895" w:rsidRPr="003015FD">
        <w:t xml:space="preserve"> </w:t>
      </w:r>
      <w:r w:rsidRPr="003015FD">
        <w:t>principles</w:t>
      </w:r>
      <w:r w:rsidR="00975895" w:rsidRPr="003015FD">
        <w:t xml:space="preserve"> </w:t>
      </w:r>
      <w:r w:rsidRPr="003015FD">
        <w:t>including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Our</w:t>
      </w:r>
      <w:r w:rsidR="00975895" w:rsidRPr="003015FD">
        <w:t xml:space="preserve"> </w:t>
      </w:r>
      <w:r w:rsidRPr="003015FD">
        <w:t>work</w:t>
      </w:r>
      <w:r w:rsidR="00975895" w:rsidRPr="003015FD">
        <w:t xml:space="preserve"> </w:t>
      </w:r>
      <w:r w:rsidRPr="003015FD">
        <w:t>in</w:t>
      </w:r>
      <w:r w:rsidR="00975895" w:rsidRPr="003015FD">
        <w:t xml:space="preserve"> </w:t>
      </w:r>
      <w:r w:rsidRPr="003015FD">
        <w:t>this</w:t>
      </w:r>
      <w:r w:rsidR="00975895" w:rsidRPr="003015FD">
        <w:t xml:space="preserve"> </w:t>
      </w:r>
      <w:r w:rsidRPr="003015FD">
        <w:t>area</w:t>
      </w:r>
      <w:r w:rsidR="00975895" w:rsidRPr="003015FD">
        <w:t xml:space="preserve"> </w:t>
      </w:r>
      <w:r w:rsidRPr="003015FD">
        <w:t>includes:</w:t>
      </w:r>
    </w:p>
    <w:p w14:paraId="6BE055DE" w14:textId="5B5212CA" w:rsidR="008E0945" w:rsidRPr="003015FD" w:rsidRDefault="008E0945" w:rsidP="0002642E">
      <w:pPr>
        <w:pStyle w:val="ListBullet"/>
      </w:pPr>
      <w:r w:rsidRPr="003015FD">
        <w:t>encouraging</w:t>
      </w:r>
      <w:r w:rsidR="00975895" w:rsidRPr="003015FD">
        <w:t xml:space="preserve"> </w:t>
      </w:r>
      <w:r w:rsidRPr="003015FD">
        <w:t>our</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service</w:t>
      </w:r>
      <w:r w:rsidR="00975895" w:rsidRPr="003015FD">
        <w:t xml:space="preserve"> </w:t>
      </w:r>
      <w:r w:rsidRPr="003015FD">
        <w:t>leaders</w:t>
      </w:r>
      <w:r w:rsidR="00975895" w:rsidRPr="003015FD">
        <w:t xml:space="preserve"> </w:t>
      </w:r>
      <w:r w:rsidRPr="003015FD">
        <w:t>and</w:t>
      </w:r>
      <w:r w:rsidR="00975895" w:rsidRPr="003015FD">
        <w:t xml:space="preserve"> </w:t>
      </w:r>
      <w:r w:rsidRPr="003015FD">
        <w:t>newest</w:t>
      </w:r>
      <w:r w:rsidR="00975895" w:rsidRPr="003015FD">
        <w:t xml:space="preserve"> </w:t>
      </w:r>
      <w:r w:rsidRPr="003015FD">
        <w:t>recruits</w:t>
      </w:r>
      <w:r w:rsidR="00975895" w:rsidRPr="003015FD">
        <w:t xml:space="preserve"> </w:t>
      </w:r>
      <w:r w:rsidRPr="003015FD">
        <w:t>to</w:t>
      </w:r>
      <w:r w:rsidR="00975895" w:rsidRPr="003015FD">
        <w:t xml:space="preserve"> </w:t>
      </w:r>
      <w:r w:rsidRPr="003015FD">
        <w:t>embrace</w:t>
      </w:r>
      <w:r w:rsidR="00975895" w:rsidRPr="003015FD">
        <w:t xml:space="preserve"> </w:t>
      </w:r>
      <w:r w:rsidRPr="003015FD">
        <w:t>human</w:t>
      </w:r>
      <w:r w:rsidR="00975895" w:rsidRPr="003015FD">
        <w:t xml:space="preserve"> </w:t>
      </w:r>
      <w:r w:rsidRPr="003015FD">
        <w:t>rights</w:t>
      </w:r>
      <w:r w:rsidR="00975895" w:rsidRPr="003015FD">
        <w:t xml:space="preserve"> </w:t>
      </w:r>
    </w:p>
    <w:p w14:paraId="184B1B83" w14:textId="218D9945" w:rsidR="008E0945" w:rsidRPr="0002642E" w:rsidRDefault="008E0945" w:rsidP="0002642E">
      <w:pPr>
        <w:pStyle w:val="ListBullet"/>
      </w:pPr>
      <w:r w:rsidRPr="003015FD">
        <w:t>providing</w:t>
      </w:r>
      <w:r w:rsidR="00975895" w:rsidRPr="003015FD">
        <w:t xml:space="preserve"> </w:t>
      </w:r>
      <w:r w:rsidRPr="003015FD">
        <w:t>employment</w:t>
      </w:r>
      <w:r w:rsidR="00975895" w:rsidRPr="003015FD">
        <w:t xml:space="preserve"> </w:t>
      </w:r>
      <w:r w:rsidRPr="003015FD">
        <w:t>opportunities</w:t>
      </w:r>
      <w:r w:rsidR="00975895" w:rsidRPr="003015FD">
        <w:t xml:space="preserve"> </w:t>
      </w:r>
      <w:r w:rsidRPr="003015FD">
        <w:t>to</w:t>
      </w:r>
      <w:r w:rsidR="00975895" w:rsidRPr="003015FD">
        <w:t xml:space="preserve"> </w:t>
      </w:r>
      <w:r w:rsidRPr="003015FD">
        <w:t>our</w:t>
      </w:r>
      <w:r w:rsidR="00975895" w:rsidRPr="003015FD">
        <w:t xml:space="preserve"> </w:t>
      </w:r>
      <w:r w:rsidRPr="003015FD">
        <w:t>Victorian</w:t>
      </w:r>
      <w:r w:rsidR="00975895" w:rsidRPr="003015FD">
        <w:t xml:space="preserve"> </w:t>
      </w:r>
      <w:r w:rsidRPr="003015FD">
        <w:t>community</w:t>
      </w:r>
      <w:r w:rsidR="00975895" w:rsidRPr="003015FD">
        <w:t xml:space="preserve"> </w:t>
      </w:r>
      <w:r w:rsidRPr="003015FD">
        <w:t>through</w:t>
      </w:r>
      <w:r w:rsidR="00975895" w:rsidRPr="003015FD">
        <w:t xml:space="preserve"> </w:t>
      </w:r>
      <w:r w:rsidRPr="003015FD">
        <w:t>the</w:t>
      </w:r>
      <w:r w:rsidR="00975895" w:rsidRPr="003015FD">
        <w:t xml:space="preserve"> </w:t>
      </w:r>
      <w:r w:rsidRPr="003015FD">
        <w:t>Aboriginal</w:t>
      </w:r>
      <w:r w:rsidR="00975895" w:rsidRPr="003015FD">
        <w:t xml:space="preserve"> </w:t>
      </w:r>
      <w:r w:rsidRPr="003015FD">
        <w:t>Employment</w:t>
      </w:r>
      <w:r w:rsidR="00975895" w:rsidRPr="003015FD">
        <w:t xml:space="preserve"> </w:t>
      </w:r>
      <w:r w:rsidRPr="003015FD">
        <w:t>Program,</w:t>
      </w:r>
      <w:r w:rsidR="00975895" w:rsidRPr="003015FD">
        <w:t xml:space="preserve"> </w:t>
      </w:r>
      <w:r w:rsidRPr="003015FD">
        <w:t>and</w:t>
      </w:r>
      <w:r w:rsidR="00975895" w:rsidRPr="003015FD">
        <w:t xml:space="preserve"> </w:t>
      </w:r>
      <w:r w:rsidRPr="003015FD">
        <w:t>the</w:t>
      </w:r>
      <w:r w:rsidR="00975895" w:rsidRPr="003015FD">
        <w:t xml:space="preserve"> </w:t>
      </w:r>
      <w:r w:rsidRPr="003015FD">
        <w:t>Disability</w:t>
      </w:r>
      <w:r w:rsidR="00975895" w:rsidRPr="003015FD">
        <w:t xml:space="preserve"> </w:t>
      </w:r>
      <w:r w:rsidRPr="003015FD">
        <w:t>Employment</w:t>
      </w:r>
      <w:r w:rsidR="00975895" w:rsidRPr="003015FD">
        <w:t xml:space="preserve"> </w:t>
      </w:r>
      <w:r w:rsidRPr="003015FD">
        <w:t>Action</w:t>
      </w:r>
      <w:r w:rsidR="00975895" w:rsidRPr="003015FD">
        <w:t xml:space="preserve"> </w:t>
      </w:r>
      <w:r w:rsidRPr="003015FD">
        <w:t>Plan,</w:t>
      </w:r>
      <w:r w:rsidR="00975895" w:rsidRPr="003015FD">
        <w:t xml:space="preserve"> </w:t>
      </w:r>
      <w:r w:rsidRPr="0002642E">
        <w:rPr>
          <w:rStyle w:val="Characteritalic"/>
          <w:lang w:val="en-GB"/>
        </w:rPr>
        <w:t>Getting</w:t>
      </w:r>
      <w:r w:rsidR="00975895" w:rsidRPr="0002642E">
        <w:rPr>
          <w:rStyle w:val="Characteritalic"/>
          <w:lang w:val="en-GB"/>
        </w:rPr>
        <w:t xml:space="preserve"> </w:t>
      </w:r>
      <w:r w:rsidRPr="0002642E">
        <w:rPr>
          <w:rStyle w:val="Characteritalic"/>
          <w:lang w:val="en-GB"/>
        </w:rPr>
        <w:t>to</w:t>
      </w:r>
      <w:r w:rsidR="00975895" w:rsidRPr="0002642E">
        <w:rPr>
          <w:rStyle w:val="Characteritalic"/>
          <w:lang w:val="en-GB"/>
        </w:rPr>
        <w:t xml:space="preserve"> </w:t>
      </w:r>
      <w:r w:rsidRPr="0002642E">
        <w:rPr>
          <w:rStyle w:val="Characteritalic"/>
          <w:lang w:val="en-GB"/>
        </w:rPr>
        <w:t>Work</w:t>
      </w:r>
    </w:p>
    <w:p w14:paraId="146B3FCB" w14:textId="72A791A8" w:rsidR="008E0945" w:rsidRPr="003015FD" w:rsidRDefault="008E0945" w:rsidP="0002642E">
      <w:pPr>
        <w:pStyle w:val="ListBullet"/>
      </w:pPr>
      <w:r w:rsidRPr="003015FD">
        <w:t>setting</w:t>
      </w:r>
      <w:r w:rsidR="00975895" w:rsidRPr="003015FD">
        <w:t xml:space="preserve"> </w:t>
      </w:r>
      <w:r w:rsidRPr="003015FD">
        <w:t>standards</w:t>
      </w:r>
      <w:r w:rsidR="00975895" w:rsidRPr="003015FD">
        <w:t xml:space="preserve"> </w:t>
      </w:r>
      <w:r w:rsidRPr="003015FD">
        <w:t>through</w:t>
      </w:r>
      <w:r w:rsidR="00975895" w:rsidRPr="003015FD">
        <w:t xml:space="preserve"> </w:t>
      </w:r>
      <w:r w:rsidRPr="003015FD">
        <w:t>the</w:t>
      </w:r>
      <w:r w:rsidR="00975895" w:rsidRPr="003015FD">
        <w:t xml:space="preserve"> </w:t>
      </w:r>
      <w:r w:rsidRPr="003015FD">
        <w:t>Code</w:t>
      </w:r>
      <w:r w:rsidR="00975895" w:rsidRPr="003015FD">
        <w:t xml:space="preserve"> </w:t>
      </w:r>
      <w:r w:rsidRPr="003015FD">
        <w:t>of</w:t>
      </w:r>
      <w:r w:rsidR="00975895" w:rsidRPr="003015FD">
        <w:t xml:space="preserve"> </w:t>
      </w:r>
      <w:r w:rsidRPr="003015FD">
        <w:t>Conduct</w:t>
      </w:r>
      <w:r w:rsidR="00975895" w:rsidRPr="003015FD">
        <w:t xml:space="preserve"> </w:t>
      </w:r>
      <w:r w:rsidRPr="003015FD">
        <w:t>and</w:t>
      </w:r>
      <w:r w:rsidR="00975895" w:rsidRPr="003015FD">
        <w:t xml:space="preserve"> </w:t>
      </w:r>
      <w:r w:rsidRPr="003015FD">
        <w:t>Employment</w:t>
      </w:r>
      <w:r w:rsidR="00975895" w:rsidRPr="003015FD">
        <w:t xml:space="preserve"> </w:t>
      </w:r>
      <w:r w:rsidRPr="003015FD">
        <w:t>Standards</w:t>
      </w:r>
    </w:p>
    <w:p w14:paraId="717B01FF" w14:textId="76D256B3" w:rsidR="008E0945" w:rsidRPr="003015FD" w:rsidRDefault="008E0945" w:rsidP="0002642E">
      <w:pPr>
        <w:pStyle w:val="ListBullet"/>
      </w:pPr>
      <w:r w:rsidRPr="003015FD">
        <w:t>monitoring</w:t>
      </w:r>
      <w:r w:rsidR="00975895" w:rsidRPr="003015FD">
        <w:t xml:space="preserve"> </w:t>
      </w:r>
      <w:r w:rsidRPr="003015FD">
        <w:t>and</w:t>
      </w:r>
      <w:r w:rsidR="00975895" w:rsidRPr="003015FD">
        <w:t xml:space="preserve"> </w:t>
      </w:r>
      <w:r w:rsidRPr="003015FD">
        <w:t>reporting</w:t>
      </w:r>
      <w:r w:rsidR="00975895" w:rsidRPr="003015FD">
        <w:t xml:space="preserve"> </w:t>
      </w:r>
      <w:r w:rsidRPr="003015FD">
        <w:t>on</w:t>
      </w:r>
      <w:r w:rsidR="00975895" w:rsidRPr="003015FD">
        <w:t xml:space="preserve"> </w:t>
      </w:r>
      <w:r w:rsidRPr="003015FD">
        <w:t>how</w:t>
      </w:r>
      <w:r w:rsidR="00975895" w:rsidRPr="003015FD">
        <w:t xml:space="preserve"> </w:t>
      </w:r>
      <w:r w:rsidRPr="003015FD">
        <w:t>well</w:t>
      </w:r>
      <w:r w:rsidR="00975895" w:rsidRPr="003015FD">
        <w:t xml:space="preserve"> </w:t>
      </w:r>
      <w:r w:rsidRPr="003015FD">
        <w:t>the</w:t>
      </w:r>
      <w:r w:rsidR="00975895" w:rsidRPr="003015FD">
        <w:t xml:space="preserve"> </w:t>
      </w:r>
      <w:r w:rsidRPr="003015FD">
        <w:t>public</w:t>
      </w:r>
      <w:r w:rsidR="00975895" w:rsidRPr="003015FD">
        <w:t xml:space="preserve"> </w:t>
      </w:r>
      <w:r w:rsidRPr="003015FD">
        <w:t>sector</w:t>
      </w:r>
      <w:r w:rsidR="00975895" w:rsidRPr="003015FD">
        <w:t xml:space="preserve"> </w:t>
      </w:r>
      <w:r w:rsidRPr="003015FD">
        <w:t>is</w:t>
      </w:r>
      <w:r w:rsidR="00975895" w:rsidRPr="003015FD">
        <w:t xml:space="preserve"> </w:t>
      </w:r>
      <w:r w:rsidRPr="003015FD">
        <w:t>doing</w:t>
      </w:r>
      <w:r w:rsidR="00975895" w:rsidRPr="003015FD">
        <w:t xml:space="preserve"> </w:t>
      </w:r>
      <w:r w:rsidRPr="003015FD">
        <w:t>through</w:t>
      </w:r>
      <w:r w:rsidR="00975895" w:rsidRPr="003015FD">
        <w:t xml:space="preserve"> </w:t>
      </w:r>
      <w:r w:rsidRPr="003015FD">
        <w:t>the</w:t>
      </w:r>
      <w:r w:rsidR="00975895" w:rsidRPr="003015FD">
        <w:t xml:space="preserve"> </w:t>
      </w:r>
      <w:r w:rsidRPr="003015FD">
        <w:t>People</w:t>
      </w:r>
      <w:r w:rsidR="00975895" w:rsidRPr="003015FD">
        <w:t xml:space="preserve"> </w:t>
      </w:r>
      <w:r w:rsidRPr="003015FD">
        <w:t>Matter</w:t>
      </w:r>
      <w:r w:rsidR="00975895" w:rsidRPr="003015FD">
        <w:t xml:space="preserve"> </w:t>
      </w:r>
      <w:r w:rsidRPr="003015FD">
        <w:t>Survey</w:t>
      </w:r>
      <w:r w:rsidR="00975895" w:rsidRPr="003015FD">
        <w:t xml:space="preserve"> </w:t>
      </w:r>
      <w:r w:rsidRPr="003015FD">
        <w:t>and</w:t>
      </w:r>
      <w:r w:rsidR="00975895" w:rsidRPr="003015FD">
        <w:t xml:space="preserve"> </w:t>
      </w:r>
      <w:r w:rsidRPr="003015FD">
        <w:t>our</w:t>
      </w:r>
      <w:r w:rsidR="00975895" w:rsidRPr="003015FD">
        <w:t xml:space="preserve"> </w:t>
      </w:r>
      <w:r w:rsidRPr="003015FD">
        <w:t>reviews.</w:t>
      </w:r>
    </w:p>
    <w:p w14:paraId="170876C5" w14:textId="0009A99E" w:rsidR="008E0945" w:rsidRPr="003015FD" w:rsidRDefault="008E0945" w:rsidP="0002642E">
      <w:pPr>
        <w:pStyle w:val="Heading4"/>
      </w:pPr>
      <w:r w:rsidRPr="003015FD">
        <w:t>What</w:t>
      </w:r>
      <w:r w:rsidR="00975895" w:rsidRPr="003015FD">
        <w:t xml:space="preserve"> </w:t>
      </w:r>
      <w:r w:rsidRPr="003015FD">
        <w:t>actions</w:t>
      </w:r>
      <w:r w:rsidR="00975895" w:rsidRPr="003015FD">
        <w:t xml:space="preserve"> </w:t>
      </w:r>
      <w:r w:rsidRPr="003015FD">
        <w:t>did</w:t>
      </w:r>
      <w:r w:rsidR="00975895" w:rsidRPr="003015FD">
        <w:t xml:space="preserve"> </w:t>
      </w:r>
      <w:r w:rsidRPr="003015FD">
        <w:t>you</w:t>
      </w:r>
      <w:r w:rsidR="00975895" w:rsidRPr="003015FD">
        <w:t xml:space="preserve"> </w:t>
      </w:r>
      <w:r w:rsidRPr="003015FD">
        <w:t>take</w:t>
      </w:r>
      <w:r w:rsidR="00975895" w:rsidRPr="003015FD">
        <w:t xml:space="preserve"> </w:t>
      </w:r>
      <w:r w:rsidRPr="003015FD">
        <w:t>to</w:t>
      </w:r>
      <w:r w:rsidR="00975895" w:rsidRPr="003015FD">
        <w:t xml:space="preserve"> </w:t>
      </w:r>
      <w:r w:rsidRPr="003015FD">
        <w:t>grow</w:t>
      </w:r>
      <w:r w:rsidR="00975895" w:rsidRPr="003015FD">
        <w:t xml:space="preserve"> </w:t>
      </w:r>
      <w:r w:rsidRPr="003015FD">
        <w:t>a</w:t>
      </w:r>
      <w:r w:rsidR="00975895" w:rsidRPr="003015FD">
        <w:t xml:space="preserve"> </w:t>
      </w:r>
      <w:r w:rsidRPr="003015FD">
        <w:t>culture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p>
    <w:p w14:paraId="3AC12308" w14:textId="615D5FF4" w:rsidR="008E0945" w:rsidRPr="003015FD" w:rsidRDefault="008E0945" w:rsidP="0002642E">
      <w:r w:rsidRPr="003015FD">
        <w:t>We</w:t>
      </w:r>
      <w:r w:rsidR="00975895" w:rsidRPr="003015FD">
        <w:t xml:space="preserve"> </w:t>
      </w:r>
      <w:r w:rsidRPr="003015FD">
        <w:t>had</w:t>
      </w:r>
      <w:r w:rsidR="00975895" w:rsidRPr="003015FD">
        <w:t xml:space="preserve"> </w:t>
      </w:r>
      <w:r w:rsidRPr="003015FD">
        <w:t>activities</w:t>
      </w:r>
      <w:r w:rsidR="00975895" w:rsidRPr="003015FD">
        <w:t xml:space="preserve"> </w:t>
      </w:r>
      <w:r w:rsidRPr="003015FD">
        <w:t>for</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Commission</w:t>
      </w:r>
      <w:r w:rsidR="00975895" w:rsidRPr="003015FD">
        <w:t xml:space="preserve"> </w:t>
      </w:r>
      <w:r w:rsidRPr="003015FD">
        <w:t>staff</w:t>
      </w:r>
      <w:r w:rsidR="00975895" w:rsidRPr="003015FD">
        <w:t xml:space="preserve"> </w:t>
      </w:r>
      <w:r w:rsidRPr="003015FD">
        <w:t>and</w:t>
      </w:r>
      <w:r w:rsidR="00975895" w:rsidRPr="003015FD">
        <w:t xml:space="preserve"> </w:t>
      </w:r>
      <w:r w:rsidRPr="003015FD">
        <w:t>for</w:t>
      </w:r>
      <w:r w:rsidR="00975895" w:rsidRPr="003015FD">
        <w:t xml:space="preserve"> </w:t>
      </w:r>
      <w:r w:rsidRPr="003015FD">
        <w:t>the</w:t>
      </w:r>
      <w:r w:rsidR="00975895" w:rsidRPr="003015FD">
        <w:t xml:space="preserve"> </w:t>
      </w:r>
      <w:r w:rsidRPr="003015FD">
        <w:t>broader</w:t>
      </w:r>
      <w:r w:rsidR="00975895" w:rsidRPr="003015FD">
        <w:t xml:space="preserve"> </w:t>
      </w:r>
      <w:r w:rsidRPr="003015FD">
        <w:t>public</w:t>
      </w:r>
      <w:r w:rsidR="00975895" w:rsidRPr="003015FD">
        <w:t xml:space="preserve"> </w:t>
      </w:r>
      <w:r w:rsidRPr="003015FD">
        <w:t>sector.</w:t>
      </w:r>
    </w:p>
    <w:p w14:paraId="1E69BDFA" w14:textId="69671CB9" w:rsidR="008E0945" w:rsidRPr="003015FD" w:rsidRDefault="008E0945" w:rsidP="0002642E">
      <w:r w:rsidRPr="003015FD">
        <w:t>For</w:t>
      </w:r>
      <w:r w:rsidR="00975895" w:rsidRPr="003015FD">
        <w:t xml:space="preserve"> </w:t>
      </w:r>
      <w:r w:rsidRPr="003015FD">
        <w:t>our</w:t>
      </w:r>
      <w:r w:rsidR="00975895" w:rsidRPr="003015FD">
        <w:t xml:space="preserve"> </w:t>
      </w:r>
      <w:r w:rsidRPr="003015FD">
        <w:t>staff,</w:t>
      </w:r>
      <w:r w:rsidR="00975895" w:rsidRPr="003015FD">
        <w:t xml:space="preserve"> </w:t>
      </w:r>
      <w:r w:rsidRPr="003015FD">
        <w:t>we</w:t>
      </w:r>
      <w:r w:rsidR="00975895" w:rsidRPr="003015FD">
        <w:t xml:space="preserve"> </w:t>
      </w:r>
      <w:r w:rsidRPr="003015FD">
        <w:t>celebrated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Week</w:t>
      </w:r>
      <w:r w:rsidR="00975895" w:rsidRPr="003015FD">
        <w:t xml:space="preserve"> </w:t>
      </w:r>
      <w:r w:rsidRPr="003015FD">
        <w:t>and</w:t>
      </w:r>
      <w:r w:rsidR="00975895" w:rsidRPr="003015FD">
        <w:t xml:space="preserve"> </w:t>
      </w:r>
      <w:r w:rsidRPr="003015FD">
        <w:t>the</w:t>
      </w:r>
      <w:r w:rsidR="00975895" w:rsidRPr="003015FD">
        <w:t xml:space="preserve"> </w:t>
      </w:r>
      <w:r w:rsidRPr="003015FD">
        <w:t>70th</w:t>
      </w:r>
      <w:r w:rsidR="00975895" w:rsidRPr="003015FD">
        <w:t xml:space="preserve"> </w:t>
      </w:r>
      <w:r w:rsidRPr="003015FD">
        <w:t>anniversary</w:t>
      </w:r>
      <w:r w:rsidR="00975895" w:rsidRPr="003015FD">
        <w:t xml:space="preserve"> </w:t>
      </w:r>
      <w:r w:rsidRPr="003015FD">
        <w:t>of</w:t>
      </w:r>
      <w:r w:rsidR="00975895" w:rsidRPr="003015FD">
        <w:t xml:space="preserve"> </w:t>
      </w:r>
      <w:r w:rsidRPr="003015FD">
        <w:t>the</w:t>
      </w:r>
      <w:r w:rsidR="00975895" w:rsidRPr="003015FD">
        <w:t xml:space="preserve"> </w:t>
      </w:r>
      <w:r w:rsidRPr="003015FD">
        <w:t>Universal</w:t>
      </w:r>
      <w:r w:rsidR="00975895" w:rsidRPr="003015FD">
        <w:t xml:space="preserve"> </w:t>
      </w:r>
      <w:r w:rsidRPr="003015FD">
        <w:t>Declaration</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We</w:t>
      </w:r>
      <w:r w:rsidR="00975895" w:rsidRPr="003015FD">
        <w:t xml:space="preserve"> </w:t>
      </w:r>
      <w:r w:rsidRPr="003015FD">
        <w:t>began</w:t>
      </w:r>
      <w:r w:rsidR="00975895" w:rsidRPr="003015FD">
        <w:t xml:space="preserve"> </w:t>
      </w:r>
      <w:r w:rsidRPr="003015FD">
        <w:t>by</w:t>
      </w:r>
      <w:r w:rsidR="00975895" w:rsidRPr="003015FD">
        <w:t xml:space="preserve"> </w:t>
      </w:r>
      <w:r w:rsidRPr="003015FD">
        <w:t>reflecting</w:t>
      </w:r>
      <w:r w:rsidR="00975895" w:rsidRPr="003015FD">
        <w:t xml:space="preserve"> </w:t>
      </w:r>
      <w:r w:rsidRPr="003015FD">
        <w:t>on</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that</w:t>
      </w:r>
      <w:r w:rsidR="00975895" w:rsidRPr="003015FD">
        <w:t xml:space="preserve"> </w:t>
      </w:r>
      <w:r w:rsidRPr="003015FD">
        <w:t>we</w:t>
      </w:r>
      <w:r w:rsidR="00975895" w:rsidRPr="003015FD">
        <w:t xml:space="preserve"> </w:t>
      </w:r>
      <w:r w:rsidRPr="003015FD">
        <w:t>now</w:t>
      </w:r>
      <w:r w:rsidR="00975895" w:rsidRPr="003015FD">
        <w:t xml:space="preserve"> </w:t>
      </w:r>
      <w:r w:rsidRPr="003015FD">
        <w:t>take</w:t>
      </w:r>
      <w:r w:rsidR="00975895" w:rsidRPr="003015FD">
        <w:t xml:space="preserve"> </w:t>
      </w:r>
      <w:r w:rsidRPr="003015FD">
        <w:t>for</w:t>
      </w:r>
      <w:r w:rsidR="00975895" w:rsidRPr="003015FD">
        <w:t xml:space="preserve"> </w:t>
      </w:r>
      <w:r w:rsidRPr="003015FD">
        <w:t>granted,</w:t>
      </w:r>
      <w:r w:rsidR="00975895" w:rsidRPr="003015FD">
        <w:t xml:space="preserve"> </w:t>
      </w:r>
      <w:r w:rsidRPr="003015FD">
        <w:t>that</w:t>
      </w:r>
      <w:r w:rsidR="00975895" w:rsidRPr="003015FD">
        <w:t xml:space="preserve"> </w:t>
      </w:r>
      <w:r w:rsidRPr="003015FD">
        <w:t>are</w:t>
      </w:r>
      <w:r w:rsidR="00975895" w:rsidRPr="003015FD">
        <w:t xml:space="preserve"> </w:t>
      </w:r>
      <w:r w:rsidRPr="003015FD">
        <w:t>still</w:t>
      </w:r>
      <w:r w:rsidR="00975895" w:rsidRPr="003015FD">
        <w:t xml:space="preserve"> </w:t>
      </w:r>
      <w:r w:rsidRPr="003015FD">
        <w:t>uncommon</w:t>
      </w:r>
      <w:r w:rsidR="00975895" w:rsidRPr="003015FD">
        <w:t xml:space="preserve"> </w:t>
      </w:r>
      <w:r w:rsidRPr="003015FD">
        <w:t>in</w:t>
      </w:r>
      <w:r w:rsidR="00975895" w:rsidRPr="003015FD">
        <w:t xml:space="preserve"> </w:t>
      </w:r>
      <w:r w:rsidRPr="003015FD">
        <w:t>many</w:t>
      </w:r>
      <w:r w:rsidR="00975895" w:rsidRPr="003015FD">
        <w:t xml:space="preserve"> </w:t>
      </w:r>
      <w:r w:rsidRPr="003015FD">
        <w:t>parts</w:t>
      </w:r>
      <w:r w:rsidR="00975895" w:rsidRPr="003015FD">
        <w:t xml:space="preserve"> </w:t>
      </w:r>
      <w:r w:rsidRPr="003015FD">
        <w:t>of</w:t>
      </w:r>
      <w:r w:rsidR="00975895" w:rsidRPr="003015FD">
        <w:t xml:space="preserve"> </w:t>
      </w:r>
      <w:r w:rsidRPr="003015FD">
        <w:t>the</w:t>
      </w:r>
      <w:r w:rsidR="00975895" w:rsidRPr="003015FD">
        <w:t xml:space="preserve"> </w:t>
      </w:r>
      <w:r w:rsidRPr="003015FD">
        <w:t>world</w:t>
      </w:r>
      <w:r w:rsidR="00975895" w:rsidRPr="003015FD">
        <w:t xml:space="preserve"> </w:t>
      </w:r>
      <w:r w:rsidRPr="003015FD">
        <w:t>today.</w:t>
      </w:r>
      <w:r w:rsidR="00975895" w:rsidRPr="003015FD">
        <w:t xml:space="preserve"> </w:t>
      </w:r>
      <w:r w:rsidRPr="003015FD">
        <w:t>We</w:t>
      </w:r>
      <w:r w:rsidR="00975895" w:rsidRPr="003015FD">
        <w:t xml:space="preserve"> </w:t>
      </w:r>
      <w:r w:rsidRPr="003015FD">
        <w:t>then</w:t>
      </w:r>
      <w:r w:rsidR="00975895" w:rsidRPr="003015FD">
        <w:t xml:space="preserve"> </w:t>
      </w:r>
      <w:r w:rsidRPr="003015FD">
        <w:t>had</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quiz</w:t>
      </w:r>
      <w:r w:rsidR="00975895" w:rsidRPr="003015FD">
        <w:t xml:space="preserve"> </w:t>
      </w:r>
      <w:r w:rsidRPr="003015FD">
        <w:t>that</w:t>
      </w:r>
      <w:r w:rsidR="00975895" w:rsidRPr="003015FD">
        <w:t xml:space="preserve"> </w:t>
      </w:r>
      <w:r w:rsidRPr="003015FD">
        <w:t>was</w:t>
      </w:r>
      <w:r w:rsidR="00975895" w:rsidRPr="003015FD">
        <w:t xml:space="preserve"> </w:t>
      </w:r>
      <w:r w:rsidRPr="003015FD">
        <w:t>based</w:t>
      </w:r>
      <w:r w:rsidR="00975895" w:rsidRPr="003015FD">
        <w:t xml:space="preserve"> </w:t>
      </w:r>
      <w:r w:rsidRPr="003015FD">
        <w:t>on</w:t>
      </w:r>
      <w:r w:rsidR="00975895" w:rsidRPr="003015FD">
        <w:t xml:space="preserve"> </w:t>
      </w:r>
      <w:r w:rsidRPr="003015FD">
        <w:t>two</w:t>
      </w:r>
      <w:r w:rsidR="00975895" w:rsidRPr="003015FD">
        <w:t xml:space="preserve"> </w:t>
      </w:r>
      <w:r w:rsidRPr="003015FD">
        <w:t>concepts:</w:t>
      </w:r>
      <w:r w:rsidR="00975895" w:rsidRPr="003015FD">
        <w:t xml:space="preserve"> </w:t>
      </w:r>
      <w:r w:rsidRPr="003015FD">
        <w:t>freedom</w:t>
      </w:r>
      <w:r w:rsidR="00975895" w:rsidRPr="003015FD">
        <w:t xml:space="preserve"> </w:t>
      </w:r>
      <w:r w:rsidRPr="003015FD">
        <w:t>of</w:t>
      </w:r>
      <w:r w:rsidR="00975895" w:rsidRPr="003015FD">
        <w:t xml:space="preserve"> </w:t>
      </w:r>
      <w:r w:rsidRPr="003015FD">
        <w:t>choice</w:t>
      </w:r>
      <w:r w:rsidR="00975895" w:rsidRPr="003015FD">
        <w:t xml:space="preserve"> </w:t>
      </w:r>
      <w:r w:rsidRPr="003015FD">
        <w:t>and</w:t>
      </w:r>
      <w:r w:rsidR="00975895" w:rsidRPr="003015FD">
        <w:t xml:space="preserve"> </w:t>
      </w:r>
      <w:r w:rsidRPr="003015FD">
        <w:t>inclusion.</w:t>
      </w:r>
      <w:r w:rsidR="00975895" w:rsidRPr="003015FD">
        <w:t xml:space="preserve"> </w:t>
      </w:r>
      <w:r w:rsidRPr="003015FD">
        <w:t>Soon</w:t>
      </w:r>
      <w:r w:rsidR="00975895" w:rsidRPr="003015FD">
        <w:t xml:space="preserve"> </w:t>
      </w:r>
      <w:r w:rsidRPr="003015FD">
        <w:t>there</w:t>
      </w:r>
      <w:r w:rsidR="00975895" w:rsidRPr="003015FD">
        <w:t xml:space="preserve"> </w:t>
      </w:r>
      <w:r w:rsidRPr="003015FD">
        <w:t>was</w:t>
      </w:r>
      <w:r w:rsidR="00975895" w:rsidRPr="003015FD">
        <w:t xml:space="preserve"> </w:t>
      </w:r>
      <w:r w:rsidRPr="003015FD">
        <w:t>much</w:t>
      </w:r>
      <w:r w:rsidR="00975895" w:rsidRPr="003015FD">
        <w:t xml:space="preserve"> </w:t>
      </w:r>
      <w:r w:rsidRPr="003015FD">
        <w:t>laughter</w:t>
      </w:r>
      <w:r w:rsidR="00975895" w:rsidRPr="003015FD">
        <w:t xml:space="preserve"> </w:t>
      </w:r>
      <w:r w:rsidRPr="003015FD">
        <w:t>but</w:t>
      </w:r>
      <w:r w:rsidR="00975895" w:rsidRPr="003015FD">
        <w:t xml:space="preserve"> </w:t>
      </w:r>
      <w:r w:rsidRPr="003015FD">
        <w:t>also</w:t>
      </w:r>
      <w:r w:rsidR="00975895" w:rsidRPr="003015FD">
        <w:t xml:space="preserve"> </w:t>
      </w:r>
      <w:r w:rsidRPr="003015FD">
        <w:t>learning.</w:t>
      </w:r>
    </w:p>
    <w:p w14:paraId="59A9F204" w14:textId="11077AF7" w:rsidR="008E0945" w:rsidRPr="003015FD" w:rsidRDefault="008E0945" w:rsidP="0002642E">
      <w:r w:rsidRPr="003015FD">
        <w:t>We</w:t>
      </w:r>
      <w:r w:rsidR="00975895" w:rsidRPr="003015FD">
        <w:t xml:space="preserve"> </w:t>
      </w:r>
      <w:r w:rsidRPr="003015FD">
        <w:t>also</w:t>
      </w:r>
      <w:r w:rsidR="00975895" w:rsidRPr="003015FD">
        <w:t xml:space="preserve"> </w:t>
      </w:r>
      <w:r w:rsidRPr="003015FD">
        <w:t>worked</w:t>
      </w:r>
      <w:r w:rsidR="00975895" w:rsidRPr="003015FD">
        <w:t xml:space="preserve"> </w:t>
      </w:r>
      <w:r w:rsidRPr="003015FD">
        <w:t>with</w:t>
      </w:r>
      <w:r w:rsidR="00975895" w:rsidRPr="003015FD">
        <w:t xml:space="preserve"> </w:t>
      </w:r>
      <w:r w:rsidRPr="003015FD">
        <w:t>the</w:t>
      </w:r>
      <w:r w:rsidR="00975895" w:rsidRPr="003015FD">
        <w:t xml:space="preserve"> </w:t>
      </w:r>
      <w:r w:rsidRPr="003015FD">
        <w:t>Victorian</w:t>
      </w:r>
      <w:r w:rsidR="00975895" w:rsidRPr="003015FD">
        <w:t xml:space="preserve"> </w:t>
      </w:r>
      <w:r w:rsidRPr="003015FD">
        <w:t>Equal</w:t>
      </w:r>
      <w:r w:rsidR="00975895" w:rsidRPr="003015FD">
        <w:t xml:space="preserve"> </w:t>
      </w:r>
      <w:r w:rsidRPr="003015FD">
        <w:t>Opportunity</w:t>
      </w:r>
      <w:r w:rsidR="00975895" w:rsidRPr="003015FD">
        <w:t xml:space="preserve"> </w:t>
      </w:r>
      <w:r w:rsidRPr="003015FD">
        <w:t>and</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Commission</w:t>
      </w:r>
      <w:r w:rsidR="00975895" w:rsidRPr="003015FD">
        <w:t xml:space="preserve"> </w:t>
      </w:r>
      <w:r w:rsidRPr="003015FD">
        <w:t>to</w:t>
      </w:r>
      <w:r w:rsidR="00975895" w:rsidRPr="003015FD">
        <w:t xml:space="preserve"> </w:t>
      </w:r>
      <w:r w:rsidRPr="003015FD">
        <w:t>customise</w:t>
      </w:r>
      <w:r w:rsidR="00975895" w:rsidRPr="003015FD">
        <w:t xml:space="preserve"> </w:t>
      </w:r>
      <w:r w:rsidRPr="003015FD">
        <w:t>human</w:t>
      </w:r>
      <w:r w:rsidR="00975895" w:rsidRPr="003015FD">
        <w:t xml:space="preserve"> </w:t>
      </w:r>
      <w:r w:rsidRPr="003015FD">
        <w:t>rights</w:t>
      </w:r>
      <w:r w:rsidR="00975895" w:rsidRPr="003015FD">
        <w:t xml:space="preserve"> </w:t>
      </w:r>
      <w:r w:rsidRPr="003015FD">
        <w:t>training</w:t>
      </w:r>
      <w:r w:rsidR="00975895" w:rsidRPr="003015FD">
        <w:t xml:space="preserve"> </w:t>
      </w:r>
      <w:r w:rsidRPr="003015FD">
        <w:t>to</w:t>
      </w:r>
      <w:r w:rsidR="00975895" w:rsidRPr="003015FD">
        <w:t xml:space="preserve"> </w:t>
      </w:r>
      <w:r w:rsidRPr="003015FD">
        <w:t>our</w:t>
      </w:r>
      <w:r w:rsidR="00975895" w:rsidRPr="003015FD">
        <w:t xml:space="preserve"> </w:t>
      </w:r>
      <w:r w:rsidRPr="003015FD">
        <w:t>work.</w:t>
      </w:r>
      <w:r w:rsidR="00975895" w:rsidRPr="003015FD">
        <w:t xml:space="preserve"> </w:t>
      </w:r>
      <w:r w:rsidRPr="003015FD">
        <w:t>Through</w:t>
      </w:r>
      <w:r w:rsidR="00975895" w:rsidRPr="003015FD">
        <w:t xml:space="preserve"> </w:t>
      </w:r>
      <w:r w:rsidRPr="003015FD">
        <w:t>this</w:t>
      </w:r>
      <w:r w:rsidR="00975895" w:rsidRPr="003015FD">
        <w:t xml:space="preserve"> </w:t>
      </w:r>
      <w:proofErr w:type="gramStart"/>
      <w:r w:rsidRPr="003015FD">
        <w:t>training</w:t>
      </w:r>
      <w:proofErr w:type="gramEnd"/>
      <w:r w:rsidR="00975895" w:rsidRPr="003015FD">
        <w:t xml:space="preserve"> </w:t>
      </w:r>
      <w:r w:rsidRPr="003015FD">
        <w:t>we</w:t>
      </w:r>
      <w:r w:rsidR="00975895" w:rsidRPr="003015FD">
        <w:t xml:space="preserve"> </w:t>
      </w:r>
      <w:r w:rsidRPr="003015FD">
        <w:t>thought</w:t>
      </w:r>
      <w:r w:rsidR="00975895" w:rsidRPr="003015FD">
        <w:t xml:space="preserve"> </w:t>
      </w:r>
      <w:r w:rsidRPr="003015FD">
        <w:t>about</w:t>
      </w:r>
      <w:r w:rsidR="00975895" w:rsidRPr="003015FD">
        <w:t xml:space="preserve"> </w:t>
      </w:r>
      <w:r w:rsidRPr="003015FD">
        <w:t>the</w:t>
      </w:r>
      <w:r w:rsidR="00975895" w:rsidRPr="003015FD">
        <w:t xml:space="preserve"> </w:t>
      </w:r>
      <w:r w:rsidRPr="003015FD">
        <w:t>broader</w:t>
      </w:r>
      <w:r w:rsidR="00975895" w:rsidRPr="003015FD">
        <w:t xml:space="preserve"> </w:t>
      </w:r>
      <w:r w:rsidRPr="003015FD">
        <w:t>context</w:t>
      </w:r>
      <w:r w:rsidR="00975895" w:rsidRPr="003015FD">
        <w:t xml:space="preserve"> </w:t>
      </w:r>
      <w:r w:rsidRPr="003015FD">
        <w:t>for</w:t>
      </w:r>
      <w:r w:rsidR="00975895" w:rsidRPr="003015FD">
        <w:t xml:space="preserve"> </w:t>
      </w:r>
      <w:r w:rsidRPr="003015FD">
        <w:t>human</w:t>
      </w:r>
      <w:r w:rsidR="00975895" w:rsidRPr="003015FD">
        <w:t xml:space="preserve"> </w:t>
      </w:r>
      <w:r w:rsidRPr="003015FD">
        <w:t>rights,</w:t>
      </w:r>
      <w:r w:rsidR="00975895" w:rsidRPr="003015FD">
        <w:t xml:space="preserve"> </w:t>
      </w:r>
      <w:r w:rsidRPr="003015FD">
        <w:t>its</w:t>
      </w:r>
      <w:r w:rsidR="00975895" w:rsidRPr="003015FD">
        <w:t xml:space="preserve"> </w:t>
      </w:r>
      <w:r w:rsidRPr="003015FD">
        <w:t>history</w:t>
      </w:r>
      <w:r w:rsidR="00975895" w:rsidRPr="003015FD">
        <w:t xml:space="preserve"> </w:t>
      </w:r>
      <w:r w:rsidRPr="003015FD">
        <w:t>and</w:t>
      </w:r>
      <w:r w:rsidR="00975895" w:rsidRPr="003015FD">
        <w:t xml:space="preserve"> </w:t>
      </w:r>
      <w:r w:rsidRPr="003015FD">
        <w:t>how</w:t>
      </w:r>
      <w:r w:rsidR="00975895" w:rsidRPr="003015FD">
        <w:t xml:space="preserve"> </w:t>
      </w:r>
      <w:r w:rsidRPr="003015FD">
        <w:t>it</w:t>
      </w:r>
      <w:r w:rsidR="00975895" w:rsidRPr="003015FD">
        <w:t xml:space="preserve"> </w:t>
      </w:r>
      <w:r w:rsidRPr="003015FD">
        <w:t>applied</w:t>
      </w:r>
      <w:r w:rsidR="00975895" w:rsidRPr="003015FD">
        <w:t xml:space="preserve"> </w:t>
      </w:r>
      <w:r w:rsidRPr="003015FD">
        <w:t>to</w:t>
      </w:r>
      <w:r w:rsidR="00975895" w:rsidRPr="003015FD">
        <w:t xml:space="preserve"> </w:t>
      </w:r>
      <w:r w:rsidRPr="003015FD">
        <w:t>our</w:t>
      </w:r>
      <w:r w:rsidR="00975895" w:rsidRPr="003015FD">
        <w:t xml:space="preserve"> </w:t>
      </w:r>
      <w:r w:rsidRPr="003015FD">
        <w:t>day</w:t>
      </w:r>
      <w:r w:rsidR="00975895" w:rsidRPr="003015FD">
        <w:t xml:space="preserve"> </w:t>
      </w:r>
      <w:r w:rsidRPr="003015FD">
        <w:t>to</w:t>
      </w:r>
      <w:r w:rsidR="00975895" w:rsidRPr="003015FD">
        <w:t xml:space="preserve"> </w:t>
      </w:r>
      <w:r w:rsidRPr="003015FD">
        <w:t>day</w:t>
      </w:r>
      <w:r w:rsidR="00975895" w:rsidRPr="003015FD">
        <w:t xml:space="preserve"> </w:t>
      </w:r>
      <w:r w:rsidRPr="003015FD">
        <w:t>work.</w:t>
      </w:r>
    </w:p>
    <w:p w14:paraId="67B66741" w14:textId="5636F426" w:rsidR="008E0945" w:rsidRPr="003015FD" w:rsidRDefault="008E0945" w:rsidP="0002642E">
      <w:r w:rsidRPr="003015FD">
        <w:t>For</w:t>
      </w:r>
      <w:r w:rsidR="00975895" w:rsidRPr="003015FD">
        <w:t xml:space="preserve"> </w:t>
      </w:r>
      <w:r w:rsidRPr="003015FD">
        <w:t>the</w:t>
      </w:r>
      <w:r w:rsidR="00975895" w:rsidRPr="003015FD">
        <w:t xml:space="preserve"> </w:t>
      </w:r>
      <w:r w:rsidRPr="003015FD">
        <w:t>broader</w:t>
      </w:r>
      <w:r w:rsidR="00975895" w:rsidRPr="003015FD">
        <w:t xml:space="preserve"> </w:t>
      </w:r>
      <w:r w:rsidRPr="003015FD">
        <w:t>public</w:t>
      </w:r>
      <w:r w:rsidR="00975895" w:rsidRPr="003015FD">
        <w:t xml:space="preserve"> </w:t>
      </w:r>
      <w:r w:rsidRPr="003015FD">
        <w:t>sector,</w:t>
      </w:r>
      <w:r w:rsidR="00975895" w:rsidRPr="003015FD">
        <w:t xml:space="preserve"> </w:t>
      </w:r>
      <w:r w:rsidRPr="003015FD">
        <w:t>we</w:t>
      </w:r>
      <w:r w:rsidR="00975895" w:rsidRPr="003015FD">
        <w:t xml:space="preserve"> </w:t>
      </w:r>
      <w:r w:rsidRPr="003015FD">
        <w:t>provided</w:t>
      </w:r>
      <w:r w:rsidR="00975895" w:rsidRPr="003015FD">
        <w:t xml:space="preserve"> </w:t>
      </w:r>
      <w:r w:rsidRPr="003015FD">
        <w:t>Charter</w:t>
      </w:r>
      <w:r w:rsidR="00975895" w:rsidRPr="003015FD">
        <w:t xml:space="preserve"> </w:t>
      </w:r>
      <w:r w:rsidR="00471362" w:rsidRPr="003015FD">
        <w:t>education</w:t>
      </w:r>
      <w:r w:rsidR="00975895" w:rsidRPr="003015FD">
        <w:t xml:space="preserve"> </w:t>
      </w:r>
      <w:r w:rsidRPr="003015FD">
        <w:t>to</w:t>
      </w:r>
      <w:r w:rsidR="00975895" w:rsidRPr="003015FD">
        <w:t xml:space="preserve"> </w:t>
      </w:r>
      <w:r w:rsidRPr="003015FD">
        <w:t>graduates</w:t>
      </w:r>
      <w:r w:rsidR="00975895" w:rsidRPr="003015FD">
        <w:t xml:space="preserve"> </w:t>
      </w:r>
      <w:r w:rsidRPr="003015FD">
        <w:t>participating</w:t>
      </w:r>
      <w:r w:rsidR="00975895" w:rsidRPr="003015FD">
        <w:t xml:space="preserve"> </w:t>
      </w:r>
      <w:r w:rsidRPr="003015FD">
        <w:t>in</w:t>
      </w:r>
      <w:r w:rsidR="00975895" w:rsidRPr="003015FD">
        <w:t xml:space="preserve"> </w:t>
      </w:r>
      <w:r w:rsidRPr="003015FD">
        <w:t>the</w:t>
      </w:r>
      <w:r w:rsidR="00975895" w:rsidRPr="003015FD">
        <w:t xml:space="preserve"> </w:t>
      </w:r>
      <w:r w:rsidRPr="003015FD">
        <w:t>Graduate</w:t>
      </w:r>
      <w:r w:rsidR="00975895" w:rsidRPr="003015FD">
        <w:t xml:space="preserve"> </w:t>
      </w:r>
      <w:r w:rsidRPr="003015FD">
        <w:t>Recruitment</w:t>
      </w:r>
      <w:r w:rsidR="00975895" w:rsidRPr="003015FD">
        <w:t xml:space="preserve"> </w:t>
      </w:r>
      <w:r w:rsidRPr="003015FD">
        <w:t>and</w:t>
      </w:r>
      <w:r w:rsidR="00975895" w:rsidRPr="003015FD">
        <w:t xml:space="preserve"> </w:t>
      </w:r>
      <w:r w:rsidRPr="003015FD">
        <w:t>Development</w:t>
      </w:r>
      <w:r w:rsidR="00975895" w:rsidRPr="003015FD">
        <w:t xml:space="preserve"> </w:t>
      </w:r>
      <w:r w:rsidRPr="003015FD">
        <w:t>Scheme</w:t>
      </w:r>
      <w:r w:rsidR="00975895" w:rsidRPr="003015FD">
        <w:t xml:space="preserve"> </w:t>
      </w:r>
      <w:r w:rsidRPr="003015FD">
        <w:t>and</w:t>
      </w:r>
      <w:r w:rsidR="00975895" w:rsidRPr="003015FD">
        <w:t xml:space="preserve"> </w:t>
      </w:r>
      <w:r w:rsidRPr="003015FD">
        <w:t>to</w:t>
      </w:r>
      <w:r w:rsidR="00975895" w:rsidRPr="003015FD">
        <w:t xml:space="preserve"> </w:t>
      </w:r>
      <w:r w:rsidRPr="003015FD">
        <w:t>participants</w:t>
      </w:r>
      <w:r w:rsidR="00975895" w:rsidRPr="003015FD">
        <w:t xml:space="preserve"> </w:t>
      </w:r>
      <w:r w:rsidRPr="003015FD">
        <w:t>in</w:t>
      </w:r>
      <w:r w:rsidR="00975895" w:rsidRPr="003015FD">
        <w:t xml:space="preserve"> </w:t>
      </w:r>
      <w:r w:rsidRPr="003015FD">
        <w:t>the</w:t>
      </w:r>
      <w:r w:rsidR="00975895" w:rsidRPr="003015FD">
        <w:t xml:space="preserve"> </w:t>
      </w:r>
      <w:r w:rsidRPr="003015FD">
        <w:t>Early</w:t>
      </w:r>
      <w:r w:rsidR="00975895" w:rsidRPr="003015FD">
        <w:t xml:space="preserve"> </w:t>
      </w:r>
      <w:r w:rsidRPr="003015FD">
        <w:t>Development</w:t>
      </w:r>
      <w:r w:rsidR="00975895" w:rsidRPr="003015FD">
        <w:t xml:space="preserve"> </w:t>
      </w:r>
      <w:r w:rsidRPr="003015FD">
        <w:t>Program.</w:t>
      </w:r>
      <w:r w:rsidR="00975895" w:rsidRPr="003015FD">
        <w:t xml:space="preserve"> </w:t>
      </w:r>
    </w:p>
    <w:p w14:paraId="5BA426B7" w14:textId="14B0D90D" w:rsidR="008E0945" w:rsidRPr="003015FD" w:rsidRDefault="008E0945" w:rsidP="0002642E">
      <w:r w:rsidRPr="003015FD">
        <w:t>Our</w:t>
      </w:r>
      <w:r w:rsidR="00975895" w:rsidRPr="003015FD">
        <w:t xml:space="preserve"> </w:t>
      </w:r>
      <w:r w:rsidRPr="003015FD">
        <w:t>Victorian</w:t>
      </w:r>
      <w:r w:rsidR="00975895" w:rsidRPr="003015FD">
        <w:t xml:space="preserve"> </w:t>
      </w:r>
      <w:r w:rsidRPr="003015FD">
        <w:t>Leadership</w:t>
      </w:r>
      <w:r w:rsidR="00975895" w:rsidRPr="003015FD">
        <w:t xml:space="preserve"> </w:t>
      </w:r>
      <w:r w:rsidRPr="003015FD">
        <w:t>Academy</w:t>
      </w:r>
      <w:r w:rsidR="00975895" w:rsidRPr="003015FD">
        <w:t xml:space="preserve"> </w:t>
      </w:r>
      <w:r w:rsidRPr="003015FD">
        <w:t>collaborated</w:t>
      </w:r>
      <w:r w:rsidR="00975895" w:rsidRPr="003015FD">
        <w:t xml:space="preserve"> </w:t>
      </w:r>
      <w:r w:rsidRPr="003015FD">
        <w:t>with</w:t>
      </w:r>
      <w:r w:rsidR="00975895" w:rsidRPr="003015FD">
        <w:t xml:space="preserve"> </w:t>
      </w:r>
      <w:r w:rsidRPr="003015FD">
        <w:t>the</w:t>
      </w:r>
      <w:r w:rsidR="00975895" w:rsidRPr="003015FD">
        <w:t xml:space="preserve"> </w:t>
      </w:r>
      <w:r w:rsidRPr="003015FD">
        <w:t>Australia</w:t>
      </w:r>
      <w:r w:rsidR="00975895" w:rsidRPr="003015FD">
        <w:t xml:space="preserve"> </w:t>
      </w:r>
      <w:r w:rsidRPr="003015FD">
        <w:t>and</w:t>
      </w:r>
      <w:r w:rsidR="00975895" w:rsidRPr="003015FD">
        <w:t xml:space="preserve"> </w:t>
      </w:r>
      <w:r w:rsidRPr="003015FD">
        <w:t>New</w:t>
      </w:r>
      <w:r w:rsidR="00975895" w:rsidRPr="003015FD">
        <w:t xml:space="preserve"> </w:t>
      </w:r>
      <w:r w:rsidRPr="003015FD">
        <w:t>Zealand</w:t>
      </w:r>
      <w:r w:rsidR="00975895" w:rsidRPr="003015FD">
        <w:t xml:space="preserve"> </w:t>
      </w:r>
      <w:r w:rsidRPr="003015FD">
        <w:t>School</w:t>
      </w:r>
      <w:r w:rsidR="00975895" w:rsidRPr="003015FD">
        <w:t xml:space="preserve"> </w:t>
      </w:r>
      <w:r w:rsidRPr="003015FD">
        <w:t>of</w:t>
      </w:r>
      <w:r w:rsidR="00975895" w:rsidRPr="003015FD">
        <w:t xml:space="preserve"> </w:t>
      </w:r>
      <w:r w:rsidRPr="003015FD">
        <w:t>Government</w:t>
      </w:r>
      <w:r w:rsidR="00975895" w:rsidRPr="003015FD">
        <w:t xml:space="preserve"> </w:t>
      </w:r>
      <w:r w:rsidRPr="003015FD">
        <w:t>to</w:t>
      </w:r>
      <w:r w:rsidR="00975895" w:rsidRPr="003015FD">
        <w:t xml:space="preserve"> </w:t>
      </w:r>
      <w:r w:rsidRPr="003015FD">
        <w:t>develop</w:t>
      </w:r>
      <w:r w:rsidR="00975895" w:rsidRPr="003015FD">
        <w:t xml:space="preserve"> </w:t>
      </w:r>
      <w:r w:rsidRPr="003015FD">
        <w:t>a</w:t>
      </w:r>
      <w:r w:rsidR="00975895" w:rsidRPr="003015FD">
        <w:t xml:space="preserve"> </w:t>
      </w:r>
      <w:r w:rsidRPr="003015FD">
        <w:t>case</w:t>
      </w:r>
      <w:r w:rsidR="00975895" w:rsidRPr="003015FD">
        <w:t xml:space="preserve"> </w:t>
      </w:r>
      <w:r w:rsidRPr="003015FD">
        <w:t>study</w:t>
      </w:r>
      <w:r w:rsidR="00975895" w:rsidRPr="003015FD">
        <w:t xml:space="preserve"> </w:t>
      </w:r>
      <w:r w:rsidRPr="003015FD">
        <w:t>on</w:t>
      </w:r>
      <w:r w:rsidR="00975895" w:rsidRPr="003015FD">
        <w:t xml:space="preserve"> </w:t>
      </w:r>
      <w:r w:rsidRPr="003015FD">
        <w:t>homelessness</w:t>
      </w:r>
      <w:r w:rsidR="00975895" w:rsidRPr="003015FD">
        <w:t xml:space="preserve"> </w:t>
      </w:r>
      <w:r w:rsidRPr="003015FD">
        <w:t>which</w:t>
      </w:r>
      <w:r w:rsidR="00975895" w:rsidRPr="003015FD">
        <w:t xml:space="preserve"> </w:t>
      </w:r>
      <w:r w:rsidRPr="003015FD">
        <w:t>is</w:t>
      </w:r>
      <w:r w:rsidR="00975895" w:rsidRPr="003015FD">
        <w:t xml:space="preserve"> </w:t>
      </w:r>
      <w:r w:rsidRPr="003015FD">
        <w:t>being</w:t>
      </w:r>
      <w:r w:rsidR="00975895" w:rsidRPr="003015FD">
        <w:t xml:space="preserve"> </w:t>
      </w:r>
      <w:r w:rsidRPr="003015FD">
        <w:t>delivered</w:t>
      </w:r>
      <w:r w:rsidR="00975895" w:rsidRPr="003015FD">
        <w:t xml:space="preserve"> </w:t>
      </w:r>
      <w:r w:rsidRPr="003015FD">
        <w:t>as</w:t>
      </w:r>
      <w:r w:rsidR="00975895" w:rsidRPr="003015FD">
        <w:t xml:space="preserve"> </w:t>
      </w:r>
      <w:r w:rsidRPr="003015FD">
        <w:t>part</w:t>
      </w:r>
      <w:r w:rsidR="00975895" w:rsidRPr="003015FD">
        <w:t xml:space="preserve"> </w:t>
      </w:r>
      <w:r w:rsidRPr="003015FD">
        <w:t>of</w:t>
      </w:r>
      <w:r w:rsidR="00975895" w:rsidRPr="003015FD">
        <w:t xml:space="preserve"> </w:t>
      </w:r>
      <w:r w:rsidRPr="003015FD">
        <w:t>a</w:t>
      </w:r>
      <w:r w:rsidR="00975895" w:rsidRPr="003015FD">
        <w:t xml:space="preserve"> </w:t>
      </w:r>
      <w:r w:rsidRPr="003015FD">
        <w:t>new</w:t>
      </w:r>
      <w:r w:rsidR="00975895" w:rsidRPr="003015FD">
        <w:t xml:space="preserve"> </w:t>
      </w:r>
      <w:r w:rsidRPr="003015FD">
        <w:t>Victorian</w:t>
      </w:r>
      <w:r w:rsidR="00975895" w:rsidRPr="003015FD">
        <w:t xml:space="preserve"> </w:t>
      </w:r>
      <w:r w:rsidRPr="003015FD">
        <w:t>Leadership</w:t>
      </w:r>
      <w:r w:rsidR="00975895" w:rsidRPr="003015FD">
        <w:t xml:space="preserve"> </w:t>
      </w:r>
      <w:r w:rsidRPr="003015FD">
        <w:t>Academy</w:t>
      </w:r>
      <w:r w:rsidR="00975895" w:rsidRPr="003015FD">
        <w:t xml:space="preserve"> </w:t>
      </w:r>
      <w:r w:rsidRPr="003015FD">
        <w:t>Leadership</w:t>
      </w:r>
      <w:r w:rsidR="00975895" w:rsidRPr="003015FD">
        <w:t xml:space="preserve"> </w:t>
      </w:r>
      <w:r w:rsidRPr="003015FD">
        <w:t>Development</w:t>
      </w:r>
      <w:r w:rsidR="00975895" w:rsidRPr="003015FD">
        <w:t xml:space="preserve"> </w:t>
      </w:r>
      <w:r w:rsidRPr="003015FD">
        <w:lastRenderedPageBreak/>
        <w:t>Program.</w:t>
      </w:r>
      <w:r w:rsidR="00975895" w:rsidRPr="003015FD">
        <w:t xml:space="preserve"> </w:t>
      </w:r>
      <w:r w:rsidRPr="003015FD">
        <w:t>The</w:t>
      </w:r>
      <w:r w:rsidR="00975895" w:rsidRPr="003015FD">
        <w:t xml:space="preserve"> </w:t>
      </w:r>
      <w:r w:rsidRPr="003015FD">
        <w:t>focus</w:t>
      </w:r>
      <w:r w:rsidR="00975895" w:rsidRPr="003015FD">
        <w:t xml:space="preserve"> </w:t>
      </w:r>
      <w:r w:rsidRPr="003015FD">
        <w:t>on</w:t>
      </w:r>
      <w:r w:rsidR="00975895" w:rsidRPr="003015FD">
        <w:t xml:space="preserve"> </w:t>
      </w:r>
      <w:r w:rsidRPr="003015FD">
        <w:t>homelessness</w:t>
      </w:r>
      <w:r w:rsidR="00975895" w:rsidRPr="003015FD">
        <w:t xml:space="preserve"> </w:t>
      </w:r>
      <w:r w:rsidRPr="003015FD">
        <w:t>presents</w:t>
      </w:r>
      <w:r w:rsidR="00975895" w:rsidRPr="003015FD">
        <w:t xml:space="preserve"> </w:t>
      </w:r>
      <w:r w:rsidRPr="003015FD">
        <w:t>opportunities</w:t>
      </w:r>
      <w:r w:rsidR="00975895" w:rsidRPr="003015FD">
        <w:t xml:space="preserve"> </w:t>
      </w:r>
      <w:r w:rsidRPr="003015FD">
        <w:t>for</w:t>
      </w:r>
      <w:r w:rsidR="00975895" w:rsidRPr="003015FD">
        <w:t xml:space="preserve"> </w:t>
      </w:r>
      <w:r w:rsidRPr="003015FD">
        <w:t>leaders</w:t>
      </w:r>
      <w:r w:rsidR="00975895" w:rsidRPr="003015FD">
        <w:t xml:space="preserve"> </w:t>
      </w:r>
      <w:r w:rsidRPr="003015FD">
        <w:t>to</w:t>
      </w:r>
      <w:r w:rsidR="00975895" w:rsidRPr="003015FD">
        <w:t xml:space="preserve"> </w:t>
      </w:r>
      <w:r w:rsidRPr="003015FD">
        <w:t>make</w:t>
      </w:r>
      <w:r w:rsidR="00975895" w:rsidRPr="003015FD">
        <w:t xml:space="preserve"> </w:t>
      </w:r>
      <w:r w:rsidRPr="003015FD">
        <w:t>more</w:t>
      </w:r>
      <w:r w:rsidR="00975895" w:rsidRPr="003015FD">
        <w:t xml:space="preserve"> </w:t>
      </w:r>
      <w:r w:rsidRPr="003015FD">
        <w:t>nuanced</w:t>
      </w:r>
      <w:r w:rsidR="00975895" w:rsidRPr="003015FD">
        <w:t xml:space="preserve"> </w:t>
      </w:r>
      <w:r w:rsidRPr="003015FD">
        <w:t>decisions</w:t>
      </w:r>
      <w:r w:rsidR="00975895" w:rsidRPr="003015FD">
        <w:t xml:space="preserve"> </w:t>
      </w:r>
      <w:r w:rsidRPr="003015FD">
        <w:t>when</w:t>
      </w:r>
      <w:r w:rsidR="00975895" w:rsidRPr="003015FD">
        <w:t xml:space="preserve"> </w:t>
      </w:r>
      <w:r w:rsidRPr="003015FD">
        <w:t>they</w:t>
      </w:r>
      <w:r w:rsidR="00975895" w:rsidRPr="003015FD">
        <w:t xml:space="preserve"> </w:t>
      </w:r>
      <w:r w:rsidRPr="003015FD">
        <w:t>consider</w:t>
      </w:r>
      <w:r w:rsidR="00975895" w:rsidRPr="003015FD">
        <w:t xml:space="preserve"> </w:t>
      </w:r>
      <w:r w:rsidRPr="003015FD">
        <w:t>people</w:t>
      </w:r>
      <w:r w:rsidR="000C5726">
        <w:t>'</w:t>
      </w:r>
      <w:r w:rsidRPr="003015FD">
        <w:t>s</w:t>
      </w:r>
      <w:r w:rsidR="00975895" w:rsidRPr="003015FD">
        <w:t xml:space="preserve"> </w:t>
      </w:r>
      <w:r w:rsidRPr="003015FD">
        <w:t>human</w:t>
      </w:r>
      <w:r w:rsidR="00975895" w:rsidRPr="003015FD">
        <w:t xml:space="preserve"> </w:t>
      </w:r>
      <w:r w:rsidRPr="003015FD">
        <w:t>rights.</w:t>
      </w:r>
      <w:r w:rsidR="00975895" w:rsidRPr="003015FD">
        <w:t xml:space="preserve"> </w:t>
      </w:r>
    </w:p>
    <w:p w14:paraId="436E2F38" w14:textId="07E7A9CF" w:rsidR="008E0945" w:rsidRPr="003015FD" w:rsidRDefault="008E0945" w:rsidP="0002642E">
      <w:r w:rsidRPr="003015FD">
        <w:t>Finally,</w:t>
      </w:r>
      <w:r w:rsidR="00975895" w:rsidRPr="003015FD">
        <w:t xml:space="preserve"> </w:t>
      </w:r>
      <w:r w:rsidRPr="003015FD">
        <w:t>our</w:t>
      </w:r>
      <w:r w:rsidR="00975895" w:rsidRPr="003015FD">
        <w:t xml:space="preserve"> </w:t>
      </w:r>
      <w:r w:rsidRPr="003015FD">
        <w:t>binding</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Employment</w:t>
      </w:r>
      <w:r w:rsidR="00975895" w:rsidRPr="003015FD">
        <w:t xml:space="preserve"> </w:t>
      </w:r>
      <w:r w:rsidRPr="003015FD">
        <w:t>Standards</w:t>
      </w:r>
      <w:r w:rsidR="00975895" w:rsidRPr="003015FD">
        <w:t xml:space="preserve"> </w:t>
      </w:r>
      <w:r w:rsidRPr="003015FD">
        <w:t>recognise</w:t>
      </w:r>
      <w:r w:rsidR="00975895" w:rsidRPr="003015FD">
        <w:t xml:space="preserve"> </w:t>
      </w:r>
      <w:r w:rsidRPr="003015FD">
        <w:t>that</w:t>
      </w:r>
      <w:r w:rsidR="00975895" w:rsidRPr="003015FD">
        <w:t xml:space="preserve"> </w:t>
      </w:r>
      <w:r w:rsidRPr="003015FD">
        <w:t>human</w:t>
      </w:r>
      <w:r w:rsidR="00975895" w:rsidRPr="003015FD">
        <w:t xml:space="preserve"> </w:t>
      </w:r>
      <w:r w:rsidRPr="003015FD">
        <w:t>rights</w:t>
      </w:r>
      <w:r w:rsidR="00975895" w:rsidRPr="003015FD">
        <w:t xml:space="preserve"> </w:t>
      </w:r>
      <w:r w:rsidRPr="003015FD">
        <w:t>don</w:t>
      </w:r>
      <w:r w:rsidR="000C5726">
        <w:t>'</w:t>
      </w:r>
      <w:r w:rsidRPr="003015FD">
        <w:t>t</w:t>
      </w:r>
      <w:r w:rsidR="00975895" w:rsidRPr="003015FD">
        <w:t xml:space="preserve"> </w:t>
      </w:r>
      <w:r w:rsidRPr="003015FD">
        <w:t>just</w:t>
      </w:r>
      <w:r w:rsidR="00975895" w:rsidRPr="003015FD">
        <w:t xml:space="preserve"> </w:t>
      </w:r>
      <w:r w:rsidRPr="003015FD">
        <w:t>apply</w:t>
      </w:r>
      <w:r w:rsidR="00975895" w:rsidRPr="003015FD">
        <w:t xml:space="preserve"> </w:t>
      </w:r>
      <w:r w:rsidRPr="003015FD">
        <w:t>to</w:t>
      </w:r>
      <w:r w:rsidR="00975895" w:rsidRPr="003015FD">
        <w:t xml:space="preserve"> </w:t>
      </w:r>
      <w:r w:rsidRPr="003015FD">
        <w:t>our</w:t>
      </w:r>
      <w:r w:rsidR="00975895" w:rsidRPr="003015FD">
        <w:t xml:space="preserve"> </w:t>
      </w:r>
      <w:r w:rsidRPr="003015FD">
        <w:t>clients</w:t>
      </w:r>
      <w:r w:rsidR="00975895" w:rsidRPr="003015FD">
        <w:t xml:space="preserve"> </w:t>
      </w:r>
      <w:r w:rsidRPr="003015FD">
        <w:t>but</w:t>
      </w:r>
      <w:r w:rsidR="00975895" w:rsidRPr="003015FD">
        <w:t xml:space="preserve"> </w:t>
      </w:r>
      <w:r w:rsidRPr="003015FD">
        <w:t>also</w:t>
      </w:r>
      <w:r w:rsidR="00975895" w:rsidRPr="003015FD">
        <w:t xml:space="preserve"> </w:t>
      </w:r>
      <w:r w:rsidRPr="003015FD">
        <w:t>to</w:t>
      </w:r>
      <w:r w:rsidR="00975895" w:rsidRPr="003015FD">
        <w:t xml:space="preserve"> </w:t>
      </w:r>
      <w:r w:rsidRPr="003015FD">
        <w:t>our</w:t>
      </w:r>
      <w:r w:rsidR="00975895" w:rsidRPr="003015FD">
        <w:t xml:space="preserve"> </w:t>
      </w:r>
      <w:r w:rsidRPr="003015FD">
        <w:t>employees.</w:t>
      </w:r>
      <w:r w:rsidR="00975895" w:rsidRPr="003015FD">
        <w:t xml:space="preserve"> </w:t>
      </w:r>
      <w:r w:rsidRPr="003015FD">
        <w:t>For</w:t>
      </w:r>
      <w:r w:rsidR="00975895" w:rsidRPr="003015FD">
        <w:t xml:space="preserve"> </w:t>
      </w:r>
      <w:r w:rsidRPr="003015FD">
        <w:t>the</w:t>
      </w:r>
      <w:r w:rsidR="00975895" w:rsidRPr="003015FD">
        <w:t xml:space="preserve"> </w:t>
      </w:r>
      <w:r w:rsidRPr="003015FD">
        <w:t>first</w:t>
      </w:r>
      <w:r w:rsidR="00975895" w:rsidRPr="003015FD">
        <w:t xml:space="preserve"> </w:t>
      </w:r>
      <w:r w:rsidRPr="003015FD">
        <w:t>time,</w:t>
      </w:r>
      <w:r w:rsidR="00975895" w:rsidRPr="003015FD">
        <w:t xml:space="preserve"> </w:t>
      </w:r>
      <w:r w:rsidRPr="003015FD">
        <w:t>the</w:t>
      </w:r>
      <w:r w:rsidR="00975895" w:rsidRPr="003015FD">
        <w:t xml:space="preserve"> </w:t>
      </w:r>
      <w:r w:rsidRPr="003015FD">
        <w:t>People</w:t>
      </w:r>
      <w:r w:rsidR="00975895" w:rsidRPr="003015FD">
        <w:t xml:space="preserve"> </w:t>
      </w:r>
      <w:r w:rsidRPr="003015FD">
        <w:t>Matter</w:t>
      </w:r>
      <w:r w:rsidR="00975895" w:rsidRPr="003015FD">
        <w:t xml:space="preserve"> </w:t>
      </w:r>
      <w:r w:rsidRPr="003015FD">
        <w:t>Survey</w:t>
      </w:r>
      <w:r w:rsidR="00975895" w:rsidRPr="003015FD">
        <w:t xml:space="preserve"> </w:t>
      </w:r>
      <w:r w:rsidRPr="003015FD">
        <w:t>will</w:t>
      </w:r>
      <w:r w:rsidR="00975895" w:rsidRPr="003015FD">
        <w:t xml:space="preserve"> </w:t>
      </w:r>
      <w:r w:rsidRPr="003015FD">
        <w:t>include</w:t>
      </w:r>
      <w:r w:rsidR="00975895" w:rsidRPr="003015FD">
        <w:t xml:space="preserve"> </w:t>
      </w:r>
      <w:r w:rsidRPr="003015FD">
        <w:t>a</w:t>
      </w:r>
      <w:r w:rsidR="00975895" w:rsidRPr="003015FD">
        <w:t xml:space="preserve"> </w:t>
      </w:r>
      <w:r w:rsidRPr="003015FD">
        <w:t>statement</w:t>
      </w:r>
      <w:r w:rsidR="00975895" w:rsidRPr="003015FD">
        <w:t xml:space="preserve"> </w:t>
      </w:r>
      <w:r w:rsidRPr="003015FD">
        <w:t>on</w:t>
      </w:r>
      <w:r w:rsidR="00975895" w:rsidRPr="003015FD">
        <w:t xml:space="preserve"> </w:t>
      </w:r>
      <w:r w:rsidRPr="003015FD">
        <w:t>how</w:t>
      </w:r>
      <w:r w:rsidR="00975895" w:rsidRPr="003015FD">
        <w:t xml:space="preserve"> </w:t>
      </w:r>
      <w:r w:rsidRPr="003015FD">
        <w:t>human</w:t>
      </w:r>
      <w:r w:rsidR="00975895" w:rsidRPr="003015FD">
        <w:t xml:space="preserve"> </w:t>
      </w:r>
      <w:r w:rsidRPr="003015FD">
        <w:t>rights</w:t>
      </w:r>
      <w:r w:rsidR="00975895" w:rsidRPr="003015FD">
        <w:t xml:space="preserve"> </w:t>
      </w:r>
      <w:r w:rsidRPr="003015FD">
        <w:t>apply</w:t>
      </w:r>
      <w:r w:rsidR="00975895" w:rsidRPr="003015FD">
        <w:t xml:space="preserve"> </w:t>
      </w:r>
      <w:r w:rsidRPr="003015FD">
        <w:t>to</w:t>
      </w:r>
      <w:r w:rsidR="00975895" w:rsidRPr="003015FD">
        <w:t xml:space="preserve"> </w:t>
      </w:r>
      <w:r w:rsidRPr="003015FD">
        <w:t>the</w:t>
      </w:r>
      <w:r w:rsidR="00975895" w:rsidRPr="003015FD">
        <w:t xml:space="preserve"> </w:t>
      </w:r>
      <w:r w:rsidRPr="003015FD">
        <w:t>management</w:t>
      </w:r>
      <w:r w:rsidR="00975895" w:rsidRPr="003015FD">
        <w:t xml:space="preserve"> </w:t>
      </w:r>
      <w:r w:rsidRPr="003015FD">
        <w:t>of</w:t>
      </w:r>
      <w:r w:rsidR="00975895" w:rsidRPr="003015FD">
        <w:t xml:space="preserve"> </w:t>
      </w:r>
      <w:r w:rsidRPr="003015FD">
        <w:t>staff.</w:t>
      </w:r>
      <w:r w:rsidR="00975895" w:rsidRPr="003015FD">
        <w:t xml:space="preserve"> </w:t>
      </w:r>
    </w:p>
    <w:p w14:paraId="75165108" w14:textId="39075503" w:rsidR="008E0945" w:rsidRPr="003015FD" w:rsidRDefault="008E0945" w:rsidP="0002642E">
      <w:pPr>
        <w:pStyle w:val="Heading4"/>
      </w:pPr>
      <w:r w:rsidRPr="003015FD">
        <w:t>What</w:t>
      </w:r>
      <w:r w:rsidR="00975895" w:rsidRPr="003015FD">
        <w:t xml:space="preserve"> </w:t>
      </w:r>
      <w:r w:rsidRPr="003015FD">
        <w:t>are</w:t>
      </w:r>
      <w:r w:rsidR="00975895" w:rsidRPr="003015FD">
        <w:t xml:space="preserve"> </w:t>
      </w:r>
      <w:r w:rsidRPr="003015FD">
        <w:t>your</w:t>
      </w:r>
      <w:r w:rsidR="00975895" w:rsidRPr="003015FD">
        <w:t xml:space="preserve"> </w:t>
      </w:r>
      <w:r w:rsidRPr="003015FD">
        <w:t>next</w:t>
      </w:r>
      <w:r w:rsidR="00975895" w:rsidRPr="003015FD">
        <w:t xml:space="preserve"> </w:t>
      </w:r>
      <w:r w:rsidRPr="003015FD">
        <w:t>steps?</w:t>
      </w:r>
      <w:r w:rsidR="00975895" w:rsidRPr="003015FD">
        <w:t xml:space="preserve"> </w:t>
      </w:r>
    </w:p>
    <w:p w14:paraId="742F8A00" w14:textId="5D6A16DB" w:rsidR="008E0945" w:rsidRPr="003015FD" w:rsidRDefault="008E0945" w:rsidP="0002642E">
      <w:r w:rsidRPr="003015FD">
        <w:t>In</w:t>
      </w:r>
      <w:r w:rsidR="00975895" w:rsidRPr="003015FD">
        <w:t xml:space="preserve"> </w:t>
      </w:r>
      <w:r w:rsidRPr="003015FD">
        <w:t>the</w:t>
      </w:r>
      <w:r w:rsidR="00975895" w:rsidRPr="003015FD">
        <w:t xml:space="preserve"> </w:t>
      </w:r>
      <w:r w:rsidRPr="003015FD">
        <w:t>next</w:t>
      </w:r>
      <w:r w:rsidR="00975895" w:rsidRPr="003015FD">
        <w:t xml:space="preserve"> </w:t>
      </w:r>
      <w:r w:rsidRPr="003015FD">
        <w:t>financial</w:t>
      </w:r>
      <w:r w:rsidR="00975895" w:rsidRPr="003015FD">
        <w:t xml:space="preserve"> </w:t>
      </w:r>
      <w:r w:rsidRPr="003015FD">
        <w:t>year,</w:t>
      </w:r>
      <w:r w:rsidR="00975895" w:rsidRPr="003015FD">
        <w:t xml:space="preserve"> </w:t>
      </w:r>
      <w:r w:rsidRPr="003015FD">
        <w:t>we</w:t>
      </w:r>
      <w:r w:rsidR="00975895" w:rsidRPr="003015FD">
        <w:t xml:space="preserve"> </w:t>
      </w:r>
      <w:r w:rsidRPr="003015FD">
        <w:t>will</w:t>
      </w:r>
      <w:r w:rsidR="00975895" w:rsidRPr="003015FD">
        <w:t xml:space="preserve"> </w:t>
      </w:r>
      <w:r w:rsidRPr="003015FD">
        <w:t>continue</w:t>
      </w:r>
      <w:r w:rsidR="00975895" w:rsidRPr="003015FD">
        <w:t xml:space="preserve"> </w:t>
      </w:r>
      <w:r w:rsidRPr="003015FD">
        <w:t>to</w:t>
      </w:r>
      <w:r w:rsidR="00975895" w:rsidRPr="003015FD">
        <w:t xml:space="preserve"> </w:t>
      </w:r>
      <w:r w:rsidRPr="003015FD">
        <w:t>incorporate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considerations</w:t>
      </w:r>
      <w:r w:rsidR="00975895" w:rsidRPr="003015FD">
        <w:t xml:space="preserve"> </w:t>
      </w:r>
      <w:r w:rsidRPr="003015FD">
        <w:t>in</w:t>
      </w:r>
      <w:r w:rsidR="00975895" w:rsidRPr="003015FD">
        <w:t xml:space="preserve"> </w:t>
      </w:r>
      <w:r w:rsidRPr="003015FD">
        <w:t>the</w:t>
      </w:r>
      <w:r w:rsidR="00975895" w:rsidRPr="003015FD">
        <w:t xml:space="preserve"> </w:t>
      </w:r>
      <w:r w:rsidRPr="003015FD">
        <w:t>whole</w:t>
      </w:r>
      <w:r w:rsidR="00975895" w:rsidRPr="003015FD">
        <w:t xml:space="preserve"> </w:t>
      </w:r>
      <w:r w:rsidRPr="003015FD">
        <w:t>of</w:t>
      </w:r>
      <w:r w:rsidR="00975895" w:rsidRPr="003015FD">
        <w:t xml:space="preserve"> </w:t>
      </w:r>
      <w:r w:rsidRPr="003015FD">
        <w:t>Victorian</w:t>
      </w:r>
      <w:r w:rsidR="00975895" w:rsidRPr="003015FD">
        <w:t xml:space="preserve"> </w:t>
      </w:r>
      <w:r w:rsidRPr="003015FD">
        <w:t>government</w:t>
      </w:r>
      <w:r w:rsidR="00975895" w:rsidRPr="003015FD">
        <w:t xml:space="preserve"> </w:t>
      </w:r>
      <w:r w:rsidRPr="003015FD">
        <w:t>policies</w:t>
      </w:r>
      <w:r w:rsidR="00975895" w:rsidRPr="003015FD">
        <w:t xml:space="preserve"> </w:t>
      </w:r>
      <w:r w:rsidRPr="003015FD">
        <w:t>that</w:t>
      </w:r>
      <w:r w:rsidR="00975895" w:rsidRPr="003015FD">
        <w:t xml:space="preserve"> </w:t>
      </w:r>
      <w:r w:rsidRPr="003015FD">
        <w:t>we</w:t>
      </w:r>
      <w:r w:rsidR="00975895" w:rsidRPr="003015FD">
        <w:t xml:space="preserve"> </w:t>
      </w:r>
      <w:r w:rsidRPr="003015FD">
        <w:t>are</w:t>
      </w:r>
      <w:r w:rsidR="00975895" w:rsidRPr="003015FD">
        <w:t xml:space="preserve"> </w:t>
      </w:r>
      <w:r w:rsidRPr="003015FD">
        <w:t>developing</w:t>
      </w:r>
      <w:r w:rsidR="00975895" w:rsidRPr="003015FD">
        <w:t xml:space="preserve"> </w:t>
      </w:r>
      <w:r w:rsidRPr="003015FD">
        <w:t>on</w:t>
      </w:r>
      <w:r w:rsidR="00975895" w:rsidRPr="003015FD">
        <w:t xml:space="preserve"> </w:t>
      </w:r>
      <w:r w:rsidRPr="003015FD">
        <w:t>issues</w:t>
      </w:r>
      <w:r w:rsidR="00975895" w:rsidRPr="003015FD">
        <w:t xml:space="preserve"> </w:t>
      </w:r>
      <w:r w:rsidRPr="003015FD">
        <w:t>such</w:t>
      </w:r>
      <w:r w:rsidR="00975895" w:rsidRPr="003015FD">
        <w:t xml:space="preserve"> </w:t>
      </w:r>
      <w:r w:rsidRPr="003015FD">
        <w:t>as</w:t>
      </w:r>
      <w:r w:rsidR="00975895" w:rsidRPr="003015FD">
        <w:t xml:space="preserve"> </w:t>
      </w:r>
      <w:r w:rsidRPr="003015FD">
        <w:t>the</w:t>
      </w:r>
      <w:r w:rsidR="00975895" w:rsidRPr="003015FD">
        <w:t xml:space="preserve"> </w:t>
      </w:r>
      <w:r w:rsidRPr="003015FD">
        <w:t>prevention</w:t>
      </w:r>
      <w:r w:rsidR="00975895" w:rsidRPr="003015FD">
        <w:t xml:space="preserve"> </w:t>
      </w:r>
      <w:r w:rsidRPr="003015FD">
        <w:t>of</w:t>
      </w:r>
      <w:r w:rsidR="00975895" w:rsidRPr="003015FD">
        <w:t xml:space="preserve"> </w:t>
      </w:r>
      <w:r w:rsidRPr="003015FD">
        <w:t>sexual</w:t>
      </w:r>
      <w:r w:rsidR="00975895" w:rsidRPr="003015FD">
        <w:t xml:space="preserve"> </w:t>
      </w:r>
      <w:r w:rsidRPr="003015FD">
        <w:t>harassment</w:t>
      </w:r>
      <w:r w:rsidR="00975895" w:rsidRPr="003015FD">
        <w:t xml:space="preserve"> </w:t>
      </w:r>
      <w:r w:rsidRPr="003015FD">
        <w:t>and</w:t>
      </w:r>
      <w:r w:rsidR="00975895" w:rsidRPr="003015FD">
        <w:t xml:space="preserve"> </w:t>
      </w:r>
      <w:r w:rsidRPr="003015FD">
        <w:t>the</w:t>
      </w:r>
      <w:r w:rsidR="00975895" w:rsidRPr="003015FD">
        <w:t xml:space="preserve"> </w:t>
      </w:r>
      <w:r w:rsidRPr="003015FD">
        <w:t>proper</w:t>
      </w:r>
      <w:r w:rsidR="00975895" w:rsidRPr="003015FD">
        <w:t xml:space="preserve"> </w:t>
      </w:r>
      <w:r w:rsidRPr="003015FD">
        <w:t>use</w:t>
      </w:r>
      <w:r w:rsidR="00975895" w:rsidRPr="003015FD">
        <w:t xml:space="preserve"> </w:t>
      </w:r>
      <w:r w:rsidRPr="003015FD">
        <w:t>of</w:t>
      </w:r>
      <w:r w:rsidR="00975895" w:rsidRPr="003015FD">
        <w:t xml:space="preserve"> </w:t>
      </w:r>
      <w:r w:rsidRPr="003015FD">
        <w:t>social</w:t>
      </w:r>
      <w:r w:rsidR="00975895" w:rsidRPr="003015FD">
        <w:t xml:space="preserve"> </w:t>
      </w:r>
      <w:r w:rsidRPr="003015FD">
        <w:t>media.</w:t>
      </w:r>
      <w:r w:rsidR="00975895" w:rsidRPr="003015FD">
        <w:t xml:space="preserve"> </w:t>
      </w:r>
      <w:r w:rsidRPr="003015FD">
        <w:t>We</w:t>
      </w:r>
      <w:r w:rsidR="00975895" w:rsidRPr="003015FD">
        <w:t xml:space="preserve"> </w:t>
      </w:r>
      <w:r w:rsidRPr="003015FD">
        <w:t>will</w:t>
      </w:r>
      <w:r w:rsidR="00975895" w:rsidRPr="003015FD">
        <w:t xml:space="preserve"> </w:t>
      </w:r>
      <w:r w:rsidRPr="003015FD">
        <w:t>continue</w:t>
      </w:r>
      <w:r w:rsidR="00975895" w:rsidRPr="003015FD">
        <w:t xml:space="preserve"> </w:t>
      </w:r>
      <w:r w:rsidRPr="003015FD">
        <w:t>to</w:t>
      </w:r>
      <w:r w:rsidR="00975895" w:rsidRPr="003015FD">
        <w:t xml:space="preserve"> </w:t>
      </w:r>
      <w:r w:rsidRPr="003015FD">
        <w:t>provide</w:t>
      </w:r>
      <w:r w:rsidR="00975895" w:rsidRPr="003015FD">
        <w:t xml:space="preserve"> </w:t>
      </w:r>
      <w:r w:rsidRPr="003015FD">
        <w:t>Charter</w:t>
      </w:r>
      <w:r w:rsidR="00975895" w:rsidRPr="003015FD">
        <w:t xml:space="preserve"> </w:t>
      </w:r>
      <w:r w:rsidR="00471362" w:rsidRPr="003015FD">
        <w:t>education</w:t>
      </w:r>
      <w:r w:rsidR="00975895" w:rsidRPr="003015FD">
        <w:t xml:space="preserve"> </w:t>
      </w:r>
      <w:r w:rsidRPr="003015FD">
        <w:t>to</w:t>
      </w:r>
      <w:r w:rsidR="00975895" w:rsidRPr="003015FD">
        <w:t xml:space="preserve"> </w:t>
      </w:r>
      <w:r w:rsidRPr="003015FD">
        <w:t>specific</w:t>
      </w:r>
      <w:r w:rsidR="00975895" w:rsidRPr="003015FD">
        <w:t xml:space="preserve"> </w:t>
      </w:r>
      <w:r w:rsidRPr="003015FD">
        <w:t>groups</w:t>
      </w:r>
      <w:r w:rsidR="00975895" w:rsidRPr="003015FD">
        <w:t xml:space="preserve"> </w:t>
      </w:r>
      <w:r w:rsidRPr="003015FD">
        <w:t>such</w:t>
      </w:r>
      <w:r w:rsidR="00975895" w:rsidRPr="003015FD">
        <w:t xml:space="preserve"> </w:t>
      </w:r>
      <w:r w:rsidRPr="003015FD">
        <w:t>as</w:t>
      </w:r>
      <w:r w:rsidR="00975895" w:rsidRPr="003015FD">
        <w:t xml:space="preserve"> </w:t>
      </w:r>
      <w:r w:rsidRPr="003015FD">
        <w:t>new</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executives.</w:t>
      </w:r>
      <w:r w:rsidR="00975895" w:rsidRPr="003015FD">
        <w:t xml:space="preserve"> </w:t>
      </w:r>
      <w:r w:rsidRPr="003015FD">
        <w:t>We</w:t>
      </w:r>
      <w:r w:rsidR="00975895" w:rsidRPr="003015FD">
        <w:t xml:space="preserve"> </w:t>
      </w:r>
      <w:r w:rsidRPr="003015FD">
        <w:t>will</w:t>
      </w:r>
      <w:r w:rsidR="00975895" w:rsidRPr="003015FD">
        <w:t xml:space="preserve"> </w:t>
      </w:r>
      <w:r w:rsidRPr="003015FD">
        <w:t>provide</w:t>
      </w:r>
      <w:r w:rsidR="00975895" w:rsidRPr="003015FD">
        <w:t xml:space="preserve"> </w:t>
      </w:r>
      <w:r w:rsidRPr="003015FD">
        <w:t>further</w:t>
      </w:r>
      <w:r w:rsidR="00975895" w:rsidRPr="003015FD">
        <w:t xml:space="preserve"> </w:t>
      </w:r>
      <w:r w:rsidRPr="003015FD">
        <w:t>guidance</w:t>
      </w:r>
      <w:r w:rsidR="00975895" w:rsidRPr="003015FD">
        <w:t xml:space="preserve"> </w:t>
      </w:r>
      <w:r w:rsidRPr="003015FD">
        <w:t>on</w:t>
      </w:r>
      <w:r w:rsidR="00975895" w:rsidRPr="003015FD">
        <w:t xml:space="preserve"> </w:t>
      </w:r>
      <w:r w:rsidRPr="003015FD">
        <w:t>how</w:t>
      </w:r>
      <w:r w:rsidR="00975895" w:rsidRPr="003015FD">
        <w:t xml:space="preserve"> </w:t>
      </w:r>
      <w:r w:rsidRPr="003015FD">
        <w:t>to</w:t>
      </w:r>
      <w:r w:rsidR="00975895" w:rsidRPr="003015FD">
        <w:t xml:space="preserve"> </w:t>
      </w:r>
      <w:r w:rsidRPr="003015FD">
        <w:t>respect</w:t>
      </w:r>
      <w:r w:rsidR="00975895" w:rsidRPr="003015FD">
        <w:t xml:space="preserve"> </w:t>
      </w:r>
      <w:r w:rsidRPr="003015FD">
        <w:t>employees</w:t>
      </w:r>
      <w:r w:rsidR="000C5726">
        <w:t>'</w:t>
      </w:r>
      <w:r w:rsidR="00975895" w:rsidRPr="003015FD">
        <w:t xml:space="preserve"> </w:t>
      </w:r>
      <w:r w:rsidRPr="003015FD">
        <w:t>human</w:t>
      </w:r>
      <w:r w:rsidR="00975895" w:rsidRPr="003015FD">
        <w:t xml:space="preserve"> </w:t>
      </w:r>
      <w:r w:rsidRPr="003015FD">
        <w:t>rights,</w:t>
      </w:r>
      <w:r w:rsidR="00975895" w:rsidRPr="003015FD">
        <w:t xml:space="preserve"> </w:t>
      </w:r>
      <w:r w:rsidRPr="003015FD">
        <w:t>and</w:t>
      </w:r>
      <w:r w:rsidR="00975895" w:rsidRPr="003015FD">
        <w:t xml:space="preserve"> </w:t>
      </w:r>
      <w:r w:rsidRPr="003015FD">
        <w:t>how</w:t>
      </w:r>
      <w:r w:rsidR="00975895" w:rsidRPr="003015FD">
        <w:t xml:space="preserve"> </w:t>
      </w:r>
      <w:r w:rsidRPr="003015FD">
        <w:t>to</w:t>
      </w:r>
      <w:r w:rsidR="00975895" w:rsidRPr="003015FD">
        <w:t xml:space="preserve"> </w:t>
      </w:r>
      <w:r w:rsidRPr="003015FD">
        <w:t>maintain</w:t>
      </w:r>
      <w:r w:rsidR="00975895" w:rsidRPr="003015FD">
        <w:t xml:space="preserve"> </w:t>
      </w:r>
      <w:r w:rsidRPr="003015FD">
        <w:t>interest</w:t>
      </w:r>
      <w:r w:rsidR="00975895" w:rsidRPr="003015FD">
        <w:t xml:space="preserve"> </w:t>
      </w:r>
      <w:r w:rsidRPr="003015FD">
        <w:t>in</w:t>
      </w:r>
      <w:r w:rsidR="00975895" w:rsidRPr="003015FD">
        <w:t xml:space="preserve"> </w:t>
      </w:r>
      <w:r w:rsidRPr="003015FD">
        <w:t>human</w:t>
      </w:r>
      <w:r w:rsidR="00975895" w:rsidRPr="003015FD">
        <w:t xml:space="preserve"> </w:t>
      </w:r>
      <w:r w:rsidRPr="003015FD">
        <w:t>rights</w:t>
      </w:r>
      <w:r w:rsidR="00975895" w:rsidRPr="003015FD">
        <w:t xml:space="preserve"> </w:t>
      </w:r>
      <w:r w:rsidRPr="003015FD">
        <w:t>for</w:t>
      </w:r>
      <w:r w:rsidR="00975895" w:rsidRPr="003015FD">
        <w:t xml:space="preserve"> </w:t>
      </w:r>
      <w:r w:rsidRPr="003015FD">
        <w:t>the</w:t>
      </w:r>
      <w:r w:rsidR="00975895" w:rsidRPr="003015FD">
        <w:t xml:space="preserve"> </w:t>
      </w:r>
      <w:r w:rsidRPr="003015FD">
        <w:t>long</w:t>
      </w:r>
      <w:r w:rsidR="00975895" w:rsidRPr="003015FD">
        <w:t xml:space="preserve"> </w:t>
      </w:r>
      <w:r w:rsidRPr="003015FD">
        <w:t>term.</w:t>
      </w:r>
    </w:p>
    <w:p w14:paraId="5ECE29FE" w14:textId="619F9B7C" w:rsidR="008E0945" w:rsidRPr="003015FD" w:rsidRDefault="008E0945" w:rsidP="0002642E">
      <w:pPr>
        <w:pStyle w:val="Heading4"/>
      </w:pPr>
      <w:r w:rsidRPr="003015FD">
        <w:t>What</w:t>
      </w:r>
      <w:r w:rsidR="00975895" w:rsidRPr="003015FD">
        <w:t xml:space="preserve"> </w:t>
      </w:r>
      <w:r w:rsidRPr="003015FD">
        <w:t>were</w:t>
      </w:r>
      <w:r w:rsidR="00975895" w:rsidRPr="003015FD">
        <w:t xml:space="preserve"> </w:t>
      </w:r>
      <w:r w:rsidRPr="003015FD">
        <w:t>you</w:t>
      </w:r>
      <w:r w:rsidR="00975895" w:rsidRPr="003015FD">
        <w:t xml:space="preserve"> </w:t>
      </w:r>
      <w:r w:rsidRPr="003015FD">
        <w:t>hoping</w:t>
      </w:r>
      <w:r w:rsidR="00975895" w:rsidRPr="003015FD">
        <w:t xml:space="preserve"> </w:t>
      </w:r>
      <w:r w:rsidRPr="003015FD">
        <w:t>to</w:t>
      </w:r>
      <w:r w:rsidR="00975895" w:rsidRPr="003015FD">
        <w:t xml:space="preserve"> </w:t>
      </w:r>
      <w:r w:rsidRPr="003015FD">
        <w:t>achieve</w:t>
      </w:r>
      <w:r w:rsidR="00975895" w:rsidRPr="003015FD">
        <w:t xml:space="preserve"> </w:t>
      </w:r>
      <w:r w:rsidRPr="003015FD">
        <w:t>for</w:t>
      </w:r>
      <w:r w:rsidR="00975895" w:rsidRPr="003015FD">
        <w:t xml:space="preserve"> </w:t>
      </w:r>
      <w:r w:rsidRPr="003015FD">
        <w:t>your</w:t>
      </w:r>
      <w:r w:rsidR="00975895" w:rsidRPr="003015FD">
        <w:t xml:space="preserve"> </w:t>
      </w:r>
      <w:r w:rsidRPr="003015FD">
        <w:t>organisation?</w:t>
      </w:r>
    </w:p>
    <w:p w14:paraId="262DE930" w14:textId="78D9174A" w:rsidR="008E0945" w:rsidRPr="003015FD" w:rsidRDefault="008E0945" w:rsidP="0002642E">
      <w:r w:rsidRPr="003015FD">
        <w:t>The</w:t>
      </w:r>
      <w:r w:rsidR="00975895" w:rsidRPr="003015FD">
        <w:t xml:space="preserve"> </w:t>
      </w:r>
      <w:r w:rsidRPr="003015FD">
        <w:t>Charter</w:t>
      </w:r>
      <w:r w:rsidR="00975895" w:rsidRPr="003015FD">
        <w:t xml:space="preserve"> </w:t>
      </w:r>
      <w:r w:rsidRPr="003015FD">
        <w:t>Education</w:t>
      </w:r>
      <w:r w:rsidR="00975895" w:rsidRPr="003015FD">
        <w:t xml:space="preserve"> </w:t>
      </w:r>
      <w:r w:rsidRPr="003015FD">
        <w:t>Program</w:t>
      </w:r>
      <w:r w:rsidR="00975895" w:rsidRPr="003015FD">
        <w:t xml:space="preserve"> </w:t>
      </w:r>
      <w:r w:rsidRPr="003015FD">
        <w:t>brought</w:t>
      </w:r>
      <w:r w:rsidR="00975895" w:rsidRPr="003015FD">
        <w:t xml:space="preserve"> </w:t>
      </w:r>
      <w:r w:rsidRPr="003015FD">
        <w:t>all</w:t>
      </w:r>
      <w:r w:rsidR="00975895" w:rsidRPr="003015FD">
        <w:t xml:space="preserve"> </w:t>
      </w:r>
      <w:r w:rsidRPr="003015FD">
        <w:t>departments</w:t>
      </w:r>
      <w:r w:rsidR="00975895" w:rsidRPr="003015FD">
        <w:t xml:space="preserve"> </w:t>
      </w:r>
      <w:r w:rsidRPr="003015FD">
        <w:t>together</w:t>
      </w:r>
      <w:r w:rsidR="00975895" w:rsidRPr="003015FD">
        <w:t xml:space="preserve"> </w:t>
      </w:r>
      <w:r w:rsidRPr="003015FD">
        <w:t>in</w:t>
      </w:r>
      <w:r w:rsidR="00975895" w:rsidRPr="003015FD">
        <w:t xml:space="preserve"> </w:t>
      </w:r>
      <w:r w:rsidRPr="003015FD">
        <w:t>a</w:t>
      </w:r>
      <w:r w:rsidR="00975895" w:rsidRPr="003015FD">
        <w:t xml:space="preserve"> </w:t>
      </w:r>
      <w:r w:rsidRPr="003015FD">
        <w:t>common</w:t>
      </w:r>
      <w:r w:rsidR="00975895" w:rsidRPr="003015FD">
        <w:t xml:space="preserve"> </w:t>
      </w:r>
      <w:r w:rsidRPr="003015FD">
        <w:t>cause</w:t>
      </w:r>
      <w:r w:rsidR="00975895" w:rsidRPr="003015FD">
        <w:t xml:space="preserve"> </w:t>
      </w:r>
      <w:r w:rsidRPr="003015FD">
        <w:t>to</w:t>
      </w:r>
      <w:r w:rsidR="00975895" w:rsidRPr="003015FD">
        <w:t xml:space="preserve"> </w:t>
      </w:r>
      <w:r w:rsidRPr="003015FD">
        <w:t>promote</w:t>
      </w:r>
      <w:r w:rsidR="00975895" w:rsidRPr="003015FD">
        <w:t xml:space="preserve"> </w:t>
      </w:r>
      <w:r w:rsidRPr="003015FD">
        <w:t>human</w:t>
      </w:r>
      <w:r w:rsidR="00975895" w:rsidRPr="003015FD">
        <w:t xml:space="preserve"> </w:t>
      </w:r>
      <w:r w:rsidRPr="003015FD">
        <w:t>rights.</w:t>
      </w:r>
      <w:r w:rsidR="00975895" w:rsidRPr="003015FD">
        <w:t xml:space="preserve"> </w:t>
      </w:r>
      <w:r w:rsidRPr="003015FD">
        <w:t>It</w:t>
      </w:r>
      <w:r w:rsidR="00975895" w:rsidRPr="003015FD">
        <w:t xml:space="preserve"> </w:t>
      </w:r>
      <w:r w:rsidRPr="003015FD">
        <w:t>therefore</w:t>
      </w:r>
      <w:r w:rsidR="00975895" w:rsidRPr="003015FD">
        <w:t xml:space="preserve"> </w:t>
      </w:r>
      <w:r w:rsidRPr="003015FD">
        <w:t>supported</w:t>
      </w:r>
      <w:r w:rsidR="00975895" w:rsidRPr="003015FD">
        <w:t xml:space="preserve"> </w:t>
      </w:r>
      <w:r w:rsidRPr="003015FD">
        <w:t>our</w:t>
      </w:r>
      <w:r w:rsidR="00975895" w:rsidRPr="003015FD">
        <w:t xml:space="preserve"> </w:t>
      </w:r>
      <w:r w:rsidRPr="003015FD">
        <w:t>statutory</w:t>
      </w:r>
      <w:r w:rsidR="00975895" w:rsidRPr="003015FD">
        <w:t xml:space="preserve"> </w:t>
      </w:r>
      <w:r w:rsidRPr="003015FD">
        <w:t>function</w:t>
      </w:r>
      <w:r w:rsidR="00975895" w:rsidRPr="003015FD">
        <w:t xml:space="preserve"> </w:t>
      </w:r>
      <w:r w:rsidRPr="003015FD">
        <w:t>of</w:t>
      </w:r>
      <w:r w:rsidR="00975895" w:rsidRPr="003015FD">
        <w:t xml:space="preserve"> </w:t>
      </w:r>
      <w:r w:rsidRPr="003015FD">
        <w:t>working</w:t>
      </w:r>
      <w:r w:rsidR="00975895" w:rsidRPr="003015FD">
        <w:t xml:space="preserve"> </w:t>
      </w:r>
      <w:r w:rsidRPr="003015FD">
        <w:t>with</w:t>
      </w:r>
      <w:r w:rsidR="00975895" w:rsidRPr="003015FD">
        <w:t xml:space="preserve"> </w:t>
      </w:r>
      <w:r w:rsidRPr="003015FD">
        <w:t>departments</w:t>
      </w:r>
      <w:r w:rsidR="00975895" w:rsidRPr="003015FD">
        <w:t xml:space="preserve"> </w:t>
      </w:r>
      <w:r w:rsidRPr="003015FD">
        <w:t>to</w:t>
      </w:r>
      <w:r w:rsidR="00975895" w:rsidRPr="003015FD">
        <w:t xml:space="preserve"> </w:t>
      </w:r>
      <w:r w:rsidRPr="003015FD">
        <w:t>promote</w:t>
      </w:r>
      <w:r w:rsidR="00975895" w:rsidRPr="003015FD">
        <w:t xml:space="preserve"> </w:t>
      </w:r>
      <w:r w:rsidRPr="003015FD">
        <w:t>the</w:t>
      </w:r>
      <w:r w:rsidR="00975895" w:rsidRPr="003015FD">
        <w:t xml:space="preserve"> </w:t>
      </w:r>
      <w:r w:rsidRPr="003015FD">
        <w:t>values</w:t>
      </w:r>
      <w:r w:rsidR="00975895" w:rsidRPr="003015FD">
        <w:t xml:space="preserve"> </w:t>
      </w:r>
      <w:r w:rsidRPr="003015FD">
        <w:t>and</w:t>
      </w:r>
      <w:r w:rsidR="00975895" w:rsidRPr="003015FD">
        <w:t xml:space="preserve"> </w:t>
      </w:r>
      <w:r w:rsidRPr="003015FD">
        <w:t>employment</w:t>
      </w:r>
      <w:r w:rsidR="00975895" w:rsidRPr="003015FD">
        <w:t xml:space="preserve"> </w:t>
      </w:r>
      <w:r w:rsidRPr="003015FD">
        <w:t>principles.</w:t>
      </w:r>
    </w:p>
    <w:p w14:paraId="4A57B034" w14:textId="49FBB34A" w:rsidR="008E0945" w:rsidRPr="003015FD" w:rsidRDefault="008E0945" w:rsidP="0002642E">
      <w:pPr>
        <w:pStyle w:val="Heading4"/>
      </w:pPr>
      <w:r w:rsidRPr="003015FD">
        <w:t>What</w:t>
      </w:r>
      <w:r w:rsidR="00975895" w:rsidRPr="003015FD">
        <w:t xml:space="preserve"> </w:t>
      </w:r>
      <w:r w:rsidRPr="003015FD">
        <w:t>have</w:t>
      </w:r>
      <w:r w:rsidR="00975895" w:rsidRPr="003015FD">
        <w:t xml:space="preserve"> </w:t>
      </w:r>
      <w:r w:rsidRPr="003015FD">
        <w:t>been</w:t>
      </w:r>
      <w:r w:rsidR="00975895" w:rsidRPr="003015FD">
        <w:t xml:space="preserve"> </w:t>
      </w:r>
      <w:r w:rsidRPr="003015FD">
        <w:t>the</w:t>
      </w:r>
      <w:r w:rsidR="00975895" w:rsidRPr="003015FD">
        <w:t xml:space="preserve"> </w:t>
      </w:r>
      <w:r w:rsidRPr="003015FD">
        <w:t>biggest</w:t>
      </w:r>
      <w:r w:rsidR="00975895" w:rsidRPr="003015FD">
        <w:t xml:space="preserve"> </w:t>
      </w:r>
      <w:r w:rsidRPr="003015FD">
        <w:t>challenges</w:t>
      </w:r>
      <w:r w:rsidR="00975895" w:rsidRPr="003015FD">
        <w:t xml:space="preserve"> </w:t>
      </w:r>
      <w:r w:rsidRPr="003015FD">
        <w:t>for</w:t>
      </w:r>
      <w:r w:rsidR="00975895" w:rsidRPr="003015FD">
        <w:t xml:space="preserve"> </w:t>
      </w:r>
      <w:r w:rsidRPr="003015FD">
        <w:t>you</w:t>
      </w:r>
      <w:r w:rsidR="00975895" w:rsidRPr="003015FD">
        <w:t xml:space="preserve"> </w:t>
      </w:r>
      <w:r w:rsidRPr="003015FD">
        <w:t>to</w:t>
      </w:r>
      <w:r w:rsidR="00975895" w:rsidRPr="003015FD">
        <w:t xml:space="preserve"> </w:t>
      </w:r>
      <w:r w:rsidRPr="003015FD">
        <w:t>grow</w:t>
      </w:r>
      <w:r w:rsidR="00975895" w:rsidRPr="003015FD">
        <w:t xml:space="preserve"> </w:t>
      </w:r>
      <w:r w:rsidRPr="003015FD">
        <w:t>your</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p>
    <w:p w14:paraId="210F8599" w14:textId="3F1EC6EC" w:rsidR="008E0945" w:rsidRPr="003015FD" w:rsidRDefault="008E0945" w:rsidP="0002642E">
      <w:r w:rsidRPr="003015FD">
        <w:t>It</w:t>
      </w:r>
      <w:r w:rsidR="00975895" w:rsidRPr="003015FD">
        <w:t xml:space="preserve"> </w:t>
      </w:r>
      <w:r w:rsidRPr="003015FD">
        <w:t>is</w:t>
      </w:r>
      <w:r w:rsidR="00975895" w:rsidRPr="003015FD">
        <w:t xml:space="preserve"> </w:t>
      </w:r>
      <w:r w:rsidRPr="003015FD">
        <w:t>important</w:t>
      </w:r>
      <w:r w:rsidR="00975895" w:rsidRPr="003015FD">
        <w:t xml:space="preserve"> </w:t>
      </w:r>
      <w:r w:rsidRPr="003015FD">
        <w:t>that</w:t>
      </w:r>
      <w:r w:rsidR="00975895" w:rsidRPr="003015FD">
        <w:t xml:space="preserve"> </w:t>
      </w:r>
      <w:r w:rsidRPr="003015FD">
        <w:t>human</w:t>
      </w:r>
      <w:r w:rsidR="00975895" w:rsidRPr="003015FD">
        <w:t xml:space="preserve"> </w:t>
      </w:r>
      <w:r w:rsidRPr="003015FD">
        <w:t>rights</w:t>
      </w:r>
      <w:r w:rsidR="00975895" w:rsidRPr="003015FD">
        <w:t xml:space="preserve"> </w:t>
      </w:r>
      <w:r w:rsidRPr="003015FD">
        <w:t>be</w:t>
      </w:r>
      <w:r w:rsidR="00975895" w:rsidRPr="003015FD">
        <w:t xml:space="preserve"> </w:t>
      </w:r>
      <w:r w:rsidRPr="003015FD">
        <w:t>seen</w:t>
      </w:r>
      <w:r w:rsidR="00975895" w:rsidRPr="003015FD">
        <w:t xml:space="preserve"> </w:t>
      </w:r>
      <w:r w:rsidRPr="003015FD">
        <w:t>as</w:t>
      </w:r>
      <w:r w:rsidR="00975895" w:rsidRPr="003015FD">
        <w:t xml:space="preserve"> </w:t>
      </w:r>
      <w:r w:rsidRPr="003015FD">
        <w:t>something</w:t>
      </w:r>
      <w:r w:rsidR="00975895" w:rsidRPr="003015FD">
        <w:t xml:space="preserve"> </w:t>
      </w:r>
      <w:r w:rsidRPr="003015FD">
        <w:t>that</w:t>
      </w:r>
      <w:r w:rsidR="00975895" w:rsidRPr="003015FD">
        <w:t xml:space="preserve"> </w:t>
      </w:r>
      <w:r w:rsidRPr="003015FD">
        <w:t>would</w:t>
      </w:r>
      <w:r w:rsidR="00975895" w:rsidRPr="003015FD">
        <w:t xml:space="preserve"> </w:t>
      </w:r>
      <w:r w:rsidRPr="003015FD">
        <w:t>help</w:t>
      </w:r>
      <w:r w:rsidR="00975895" w:rsidRPr="003015FD">
        <w:t xml:space="preserve"> </w:t>
      </w:r>
      <w:r w:rsidRPr="003015FD">
        <w:t>employees</w:t>
      </w:r>
      <w:r w:rsidR="00975895" w:rsidRPr="003015FD">
        <w:t xml:space="preserve"> </w:t>
      </w:r>
      <w:r w:rsidRPr="003015FD">
        <w:t>achieve</w:t>
      </w:r>
      <w:r w:rsidR="00975895" w:rsidRPr="003015FD">
        <w:t xml:space="preserve"> </w:t>
      </w:r>
      <w:r w:rsidRPr="003015FD">
        <w:t>better</w:t>
      </w:r>
      <w:r w:rsidR="00975895" w:rsidRPr="003015FD">
        <w:t xml:space="preserve"> </w:t>
      </w:r>
      <w:r w:rsidRPr="003015FD">
        <w:t>results,</w:t>
      </w:r>
      <w:r w:rsidR="00975895" w:rsidRPr="003015FD">
        <w:t xml:space="preserve"> </w:t>
      </w:r>
      <w:r w:rsidRPr="003015FD">
        <w:t>not</w:t>
      </w:r>
      <w:r w:rsidR="00975895" w:rsidRPr="003015FD">
        <w:t xml:space="preserve"> </w:t>
      </w:r>
      <w:r w:rsidRPr="003015FD">
        <w:t>as</w:t>
      </w:r>
      <w:r w:rsidR="00975895" w:rsidRPr="003015FD">
        <w:t xml:space="preserve"> </w:t>
      </w:r>
      <w:r w:rsidRPr="003015FD">
        <w:t>something</w:t>
      </w:r>
      <w:r w:rsidR="00975895" w:rsidRPr="003015FD">
        <w:t xml:space="preserve"> </w:t>
      </w:r>
      <w:r w:rsidRPr="003015FD">
        <w:t>separate</w:t>
      </w:r>
      <w:r w:rsidR="00975895" w:rsidRPr="003015FD">
        <w:t xml:space="preserve"> </w:t>
      </w:r>
      <w:r w:rsidRPr="003015FD">
        <w:t>or</w:t>
      </w:r>
      <w:r w:rsidR="00975895" w:rsidRPr="003015FD">
        <w:t xml:space="preserve"> </w:t>
      </w:r>
      <w:r w:rsidRPr="003015FD">
        <w:t>an</w:t>
      </w:r>
      <w:r w:rsidR="00975895" w:rsidRPr="003015FD">
        <w:t xml:space="preserve"> </w:t>
      </w:r>
      <w:r w:rsidRPr="003015FD">
        <w:t>add</w:t>
      </w:r>
      <w:r w:rsidR="00975895" w:rsidRPr="003015FD">
        <w:t xml:space="preserve"> </w:t>
      </w:r>
      <w:r w:rsidRPr="003015FD">
        <w:t>on</w:t>
      </w:r>
      <w:r w:rsidR="00975895" w:rsidRPr="003015FD">
        <w:t xml:space="preserve"> </w:t>
      </w:r>
      <w:r w:rsidRPr="003015FD">
        <w:t>to</w:t>
      </w:r>
      <w:r w:rsidR="00975895" w:rsidRPr="003015FD">
        <w:t xml:space="preserve"> </w:t>
      </w:r>
      <w:r w:rsidRPr="003015FD">
        <w:t>their</w:t>
      </w:r>
      <w:r w:rsidR="00975895" w:rsidRPr="003015FD">
        <w:t xml:space="preserve"> </w:t>
      </w:r>
      <w:r w:rsidRPr="003015FD">
        <w:t>work.</w:t>
      </w:r>
      <w:r w:rsidR="00975895" w:rsidRPr="003015FD">
        <w:t xml:space="preserve"> </w:t>
      </w:r>
      <w:r w:rsidRPr="003015FD">
        <w:t>While</w:t>
      </w:r>
      <w:r w:rsidR="00975895" w:rsidRPr="003015FD">
        <w:t xml:space="preserve"> </w:t>
      </w:r>
      <w:r w:rsidRPr="003015FD">
        <w:t>the</w:t>
      </w:r>
      <w:r w:rsidR="00975895" w:rsidRPr="003015FD">
        <w:t xml:space="preserve"> </w:t>
      </w:r>
      <w:r w:rsidRPr="003015FD">
        <w:t>training</w:t>
      </w:r>
      <w:r w:rsidR="00975895" w:rsidRPr="003015FD">
        <w:t xml:space="preserve"> </w:t>
      </w:r>
      <w:r w:rsidRPr="003015FD">
        <w:t>has</w:t>
      </w:r>
      <w:r w:rsidR="00975895" w:rsidRPr="003015FD">
        <w:t xml:space="preserve"> </w:t>
      </w:r>
      <w:r w:rsidRPr="003015FD">
        <w:t>raised</w:t>
      </w:r>
      <w:r w:rsidR="00975895" w:rsidRPr="003015FD">
        <w:t xml:space="preserve"> </w:t>
      </w:r>
      <w:r w:rsidRPr="003015FD">
        <w:t>their</w:t>
      </w:r>
      <w:r w:rsidR="00975895" w:rsidRPr="003015FD">
        <w:t xml:space="preserve"> </w:t>
      </w:r>
      <w:r w:rsidRPr="003015FD">
        <w:t>awareness</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the</w:t>
      </w:r>
      <w:r w:rsidR="00975895" w:rsidRPr="003015FD">
        <w:t xml:space="preserve"> </w:t>
      </w:r>
      <w:r w:rsidRPr="003015FD">
        <w:t>tricky</w:t>
      </w:r>
      <w:r w:rsidR="00975895" w:rsidRPr="003015FD">
        <w:t xml:space="preserve"> </w:t>
      </w:r>
      <w:r w:rsidRPr="003015FD">
        <w:t>bit</w:t>
      </w:r>
      <w:r w:rsidR="00975895" w:rsidRPr="003015FD">
        <w:t xml:space="preserve"> </w:t>
      </w:r>
      <w:r w:rsidRPr="003015FD">
        <w:t>will</w:t>
      </w:r>
      <w:r w:rsidR="00975895" w:rsidRPr="003015FD">
        <w:t xml:space="preserve"> </w:t>
      </w:r>
      <w:r w:rsidRPr="003015FD">
        <w:t>be</w:t>
      </w:r>
      <w:r w:rsidR="00975895" w:rsidRPr="003015FD">
        <w:t xml:space="preserve"> </w:t>
      </w:r>
      <w:r w:rsidRPr="003015FD">
        <w:t>keeping</w:t>
      </w:r>
      <w:r w:rsidR="00975895" w:rsidRPr="003015FD">
        <w:t xml:space="preserve"> </w:t>
      </w:r>
      <w:r w:rsidRPr="003015FD">
        <w:t>it</w:t>
      </w:r>
      <w:r w:rsidR="00975895" w:rsidRPr="003015FD">
        <w:t xml:space="preserve"> </w:t>
      </w:r>
      <w:r w:rsidRPr="003015FD">
        <w:t>relevant</w:t>
      </w:r>
      <w:r w:rsidR="00975895" w:rsidRPr="003015FD">
        <w:t xml:space="preserve"> </w:t>
      </w:r>
      <w:r w:rsidRPr="003015FD">
        <w:t>and</w:t>
      </w:r>
      <w:r w:rsidR="00975895" w:rsidRPr="003015FD">
        <w:t xml:space="preserve"> </w:t>
      </w:r>
      <w:r w:rsidRPr="003015FD">
        <w:t>front</w:t>
      </w:r>
      <w:r w:rsidR="00975895" w:rsidRPr="003015FD">
        <w:t xml:space="preserve"> </w:t>
      </w:r>
      <w:r w:rsidRPr="003015FD">
        <w:t>of</w:t>
      </w:r>
      <w:r w:rsidR="00975895" w:rsidRPr="003015FD">
        <w:t xml:space="preserve"> </w:t>
      </w:r>
      <w:r w:rsidRPr="003015FD">
        <w:t>mind</w:t>
      </w:r>
      <w:r w:rsidR="00975895" w:rsidRPr="003015FD">
        <w:t xml:space="preserve"> </w:t>
      </w:r>
      <w:r w:rsidRPr="003015FD">
        <w:t>in</w:t>
      </w:r>
      <w:r w:rsidR="00975895" w:rsidRPr="003015FD">
        <w:t xml:space="preserve"> </w:t>
      </w:r>
      <w:r w:rsidRPr="003015FD">
        <w:t>the</w:t>
      </w:r>
      <w:r w:rsidR="00975895" w:rsidRPr="003015FD">
        <w:t xml:space="preserve"> </w:t>
      </w:r>
      <w:r w:rsidRPr="003015FD">
        <w:t>long</w:t>
      </w:r>
      <w:r w:rsidR="00975895" w:rsidRPr="003015FD">
        <w:t xml:space="preserve"> </w:t>
      </w:r>
      <w:r w:rsidRPr="003015FD">
        <w:t>term.</w:t>
      </w:r>
      <w:r w:rsidR="00975895" w:rsidRPr="003015FD">
        <w:t xml:space="preserve"> </w:t>
      </w:r>
    </w:p>
    <w:p w14:paraId="6B84F5BA" w14:textId="5819EEA8" w:rsidR="008E0945" w:rsidRPr="003015FD" w:rsidRDefault="008E0945" w:rsidP="0002642E">
      <w:pPr>
        <w:pStyle w:val="Heading4"/>
      </w:pPr>
      <w:r w:rsidRPr="003015FD">
        <w:t>Have</w:t>
      </w:r>
      <w:r w:rsidR="00975895" w:rsidRPr="003015FD">
        <w:t xml:space="preserve"> </w:t>
      </w:r>
      <w:r w:rsidRPr="003015FD">
        <w:t>you</w:t>
      </w:r>
      <w:r w:rsidR="00975895" w:rsidRPr="003015FD">
        <w:t xml:space="preserve"> </w:t>
      </w:r>
      <w:r w:rsidRPr="003015FD">
        <w:t>seen</w:t>
      </w:r>
      <w:r w:rsidR="00975895" w:rsidRPr="003015FD">
        <w:t xml:space="preserve"> </w:t>
      </w:r>
      <w:r w:rsidRPr="003015FD">
        <w:t>any</w:t>
      </w:r>
      <w:r w:rsidR="00975895" w:rsidRPr="003015FD">
        <w:t xml:space="preserve"> </w:t>
      </w:r>
      <w:r w:rsidRPr="003015FD">
        <w:t>improvements</w:t>
      </w:r>
      <w:r w:rsidR="00975895" w:rsidRPr="003015FD">
        <w:t xml:space="preserve"> </w:t>
      </w:r>
      <w:r w:rsidRPr="003015FD">
        <w:t>in</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If</w:t>
      </w:r>
      <w:r w:rsidR="00975895" w:rsidRPr="003015FD">
        <w:t xml:space="preserve"> </w:t>
      </w:r>
      <w:r w:rsidRPr="003015FD">
        <w:t>so,</w:t>
      </w:r>
      <w:r w:rsidR="00975895" w:rsidRPr="003015FD">
        <w:t xml:space="preserve"> </w:t>
      </w:r>
      <w:r w:rsidRPr="003015FD">
        <w:t>in</w:t>
      </w:r>
      <w:r w:rsidR="00975895" w:rsidRPr="003015FD">
        <w:t xml:space="preserve"> </w:t>
      </w:r>
      <w:r w:rsidRPr="003015FD">
        <w:t>what</w:t>
      </w:r>
      <w:r w:rsidR="00975895" w:rsidRPr="003015FD">
        <w:t xml:space="preserve"> </w:t>
      </w:r>
      <w:r w:rsidRPr="003015FD">
        <w:t>way?</w:t>
      </w:r>
      <w:r w:rsidR="00975895" w:rsidRPr="003015FD">
        <w:t xml:space="preserve"> </w:t>
      </w:r>
    </w:p>
    <w:p w14:paraId="66D3D4C8" w14:textId="1E3990F1" w:rsidR="008E0945" w:rsidRPr="003015FD" w:rsidRDefault="008E0945" w:rsidP="0002642E">
      <w:r w:rsidRPr="003015FD">
        <w:t>Employees</w:t>
      </w:r>
      <w:r w:rsidR="00975895" w:rsidRPr="003015FD">
        <w:t xml:space="preserve"> </w:t>
      </w:r>
      <w:r w:rsidRPr="003015FD">
        <w:t>now</w:t>
      </w:r>
      <w:r w:rsidR="00975895" w:rsidRPr="003015FD">
        <w:t xml:space="preserve"> </w:t>
      </w:r>
      <w:r w:rsidRPr="003015FD">
        <w:t>have</w:t>
      </w:r>
      <w:r w:rsidR="00975895" w:rsidRPr="003015FD">
        <w:t xml:space="preserve"> </w:t>
      </w:r>
      <w:r w:rsidRPr="003015FD">
        <w:t>a</w:t>
      </w:r>
      <w:r w:rsidR="00975895" w:rsidRPr="003015FD">
        <w:t xml:space="preserve"> </w:t>
      </w:r>
      <w:r w:rsidRPr="003015FD">
        <w:t>much</w:t>
      </w:r>
      <w:r w:rsidR="00975895" w:rsidRPr="003015FD">
        <w:t xml:space="preserve"> </w:t>
      </w:r>
      <w:r w:rsidRPr="003015FD">
        <w:t>better</w:t>
      </w:r>
      <w:r w:rsidR="00975895" w:rsidRPr="003015FD">
        <w:t xml:space="preserve"> </w:t>
      </w:r>
      <w:r w:rsidRPr="003015FD">
        <w:t>understanding</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and</w:t>
      </w:r>
      <w:r w:rsidR="00975895" w:rsidRPr="003015FD">
        <w:t xml:space="preserve"> </w:t>
      </w:r>
      <w:r w:rsidRPr="003015FD">
        <w:t>how</w:t>
      </w:r>
      <w:r w:rsidR="00975895" w:rsidRPr="003015FD">
        <w:t xml:space="preserve"> </w:t>
      </w:r>
      <w:r w:rsidRPr="003015FD">
        <w:t>it</w:t>
      </w:r>
      <w:r w:rsidR="00975895" w:rsidRPr="003015FD">
        <w:t xml:space="preserve"> </w:t>
      </w:r>
      <w:r w:rsidRPr="003015FD">
        <w:t>applies</w:t>
      </w:r>
      <w:r w:rsidR="00975895" w:rsidRPr="003015FD">
        <w:t xml:space="preserve"> </w:t>
      </w:r>
      <w:r w:rsidRPr="003015FD">
        <w:t>to</w:t>
      </w:r>
      <w:r w:rsidR="00975895" w:rsidRPr="003015FD">
        <w:t xml:space="preserve"> </w:t>
      </w:r>
      <w:r w:rsidRPr="003015FD">
        <w:t>their</w:t>
      </w:r>
      <w:r w:rsidR="00975895" w:rsidRPr="003015FD">
        <w:t xml:space="preserve"> </w:t>
      </w:r>
      <w:r w:rsidRPr="003015FD">
        <w:t>work.</w:t>
      </w:r>
      <w:r w:rsidR="00975895" w:rsidRPr="003015FD">
        <w:t xml:space="preserve"> </w:t>
      </w:r>
      <w:r w:rsidRPr="003015FD">
        <w:t>They</w:t>
      </w:r>
      <w:r w:rsidR="00975895" w:rsidRPr="003015FD">
        <w:t xml:space="preserve"> </w:t>
      </w:r>
      <w:r w:rsidRPr="003015FD">
        <w:t>are</w:t>
      </w:r>
      <w:r w:rsidR="00975895" w:rsidRPr="003015FD">
        <w:t xml:space="preserve"> </w:t>
      </w:r>
      <w:r w:rsidRPr="003015FD">
        <w:t>much</w:t>
      </w:r>
      <w:r w:rsidR="00975895" w:rsidRPr="003015FD">
        <w:t xml:space="preserve"> </w:t>
      </w:r>
      <w:r w:rsidRPr="003015FD">
        <w:t>more</w:t>
      </w:r>
      <w:r w:rsidR="00975895" w:rsidRPr="003015FD">
        <w:t xml:space="preserve"> </w:t>
      </w:r>
      <w:r w:rsidRPr="003015FD">
        <w:t>likely</w:t>
      </w:r>
      <w:r w:rsidR="00975895" w:rsidRPr="003015FD">
        <w:t xml:space="preserve"> </w:t>
      </w:r>
      <w:r w:rsidRPr="003015FD">
        <w:t>to</w:t>
      </w:r>
      <w:r w:rsidR="00975895" w:rsidRPr="003015FD">
        <w:t xml:space="preserve"> </w:t>
      </w:r>
      <w:r w:rsidRPr="003015FD">
        <w:t>mention</w:t>
      </w:r>
      <w:r w:rsidR="00975895" w:rsidRPr="003015FD">
        <w:t xml:space="preserve"> </w:t>
      </w:r>
      <w:r w:rsidRPr="003015FD">
        <w:t>human</w:t>
      </w:r>
      <w:r w:rsidR="00975895" w:rsidRPr="003015FD">
        <w:t xml:space="preserve"> </w:t>
      </w:r>
      <w:r w:rsidRPr="003015FD">
        <w:t>rights</w:t>
      </w:r>
      <w:r w:rsidR="00975895" w:rsidRPr="003015FD">
        <w:t xml:space="preserve"> </w:t>
      </w:r>
      <w:r w:rsidRPr="003015FD">
        <w:t>when</w:t>
      </w:r>
      <w:r w:rsidR="00975895" w:rsidRPr="003015FD">
        <w:t xml:space="preserve"> </w:t>
      </w:r>
      <w:r w:rsidRPr="003015FD">
        <w:t>considering</w:t>
      </w:r>
      <w:r w:rsidR="00975895" w:rsidRPr="003015FD">
        <w:t xml:space="preserve"> </w:t>
      </w:r>
      <w:r w:rsidRPr="003015FD">
        <w:t>matters</w:t>
      </w:r>
      <w:r w:rsidR="00975895" w:rsidRPr="003015FD">
        <w:t xml:space="preserve"> </w:t>
      </w:r>
      <w:r w:rsidRPr="003015FD">
        <w:t>or</w:t>
      </w:r>
      <w:r w:rsidR="00975895" w:rsidRPr="003015FD">
        <w:t xml:space="preserve"> </w:t>
      </w:r>
      <w:r w:rsidRPr="003015FD">
        <w:t>making</w:t>
      </w:r>
      <w:r w:rsidR="00975895" w:rsidRPr="003015FD">
        <w:t xml:space="preserve"> </w:t>
      </w:r>
      <w:r w:rsidRPr="003015FD">
        <w:t>decisions.</w:t>
      </w:r>
    </w:p>
    <w:p w14:paraId="6796F25E" w14:textId="75E57586" w:rsidR="008E0945" w:rsidRPr="003015FD" w:rsidRDefault="008E0945" w:rsidP="0002642E">
      <w:pPr>
        <w:pStyle w:val="Heading4"/>
      </w:pPr>
      <w:r w:rsidRPr="003015FD">
        <w:t>What</w:t>
      </w:r>
      <w:r w:rsidR="00975895" w:rsidRPr="003015FD">
        <w:t xml:space="preserve"> </w:t>
      </w:r>
      <w:r w:rsidRPr="003015FD">
        <w:t>advice</w:t>
      </w:r>
      <w:r w:rsidR="00975895" w:rsidRPr="003015FD">
        <w:t xml:space="preserve"> </w:t>
      </w:r>
      <w:r w:rsidRPr="003015FD">
        <w:t>would</w:t>
      </w:r>
      <w:r w:rsidR="00975895" w:rsidRPr="003015FD">
        <w:t xml:space="preserve"> </w:t>
      </w:r>
      <w:r w:rsidRPr="003015FD">
        <w:t>you</w:t>
      </w:r>
      <w:r w:rsidR="00975895" w:rsidRPr="003015FD">
        <w:t xml:space="preserve"> </w:t>
      </w:r>
      <w:r w:rsidRPr="003015FD">
        <w:t>give</w:t>
      </w:r>
      <w:r w:rsidR="00975895" w:rsidRPr="003015FD">
        <w:t xml:space="preserve"> </w:t>
      </w:r>
      <w:r w:rsidRPr="003015FD">
        <w:t>to</w:t>
      </w:r>
      <w:r w:rsidR="00975895" w:rsidRPr="003015FD">
        <w:t xml:space="preserve"> </w:t>
      </w:r>
      <w:r w:rsidRPr="003015FD">
        <w:t>other</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who</w:t>
      </w:r>
      <w:r w:rsidR="00975895" w:rsidRPr="003015FD">
        <w:t xml:space="preserve"> </w:t>
      </w:r>
      <w:r w:rsidRPr="003015FD">
        <w:t>are</w:t>
      </w:r>
      <w:r w:rsidR="00975895" w:rsidRPr="003015FD">
        <w:t xml:space="preserve"> </w:t>
      </w:r>
      <w:r w:rsidRPr="003015FD">
        <w:t>trying</w:t>
      </w:r>
      <w:r w:rsidR="00975895" w:rsidRPr="003015FD">
        <w:t xml:space="preserve"> </w:t>
      </w:r>
      <w:r w:rsidRPr="003015FD">
        <w:t>to</w:t>
      </w:r>
      <w:r w:rsidR="00975895" w:rsidRPr="003015FD">
        <w:t xml:space="preserve"> </w:t>
      </w:r>
      <w:r w:rsidRPr="003015FD">
        <w:t>grow</w:t>
      </w:r>
      <w:r w:rsidR="00975895" w:rsidRPr="003015FD">
        <w:t xml:space="preserve"> </w:t>
      </w:r>
      <w:r w:rsidRPr="003015FD">
        <w:t>their</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p>
    <w:p w14:paraId="24DCE7B4" w14:textId="61479794" w:rsidR="008E0945" w:rsidRPr="003015FD" w:rsidRDefault="008E0945" w:rsidP="0002642E">
      <w:r w:rsidRPr="003015FD">
        <w:t>The</w:t>
      </w:r>
      <w:r w:rsidR="00975895" w:rsidRPr="003015FD">
        <w:t xml:space="preserve"> </w:t>
      </w:r>
      <w:r w:rsidRPr="003015FD">
        <w:t>Charter</w:t>
      </w:r>
      <w:r w:rsidR="00975895" w:rsidRPr="003015FD">
        <w:t xml:space="preserve"> </w:t>
      </w:r>
      <w:r w:rsidRPr="003015FD">
        <w:t>Education</w:t>
      </w:r>
      <w:r w:rsidR="00975895" w:rsidRPr="003015FD">
        <w:t xml:space="preserve"> </w:t>
      </w:r>
      <w:r w:rsidRPr="003015FD">
        <w:t>Program</w:t>
      </w:r>
      <w:r w:rsidR="00975895" w:rsidRPr="003015FD">
        <w:t xml:space="preserve"> </w:t>
      </w:r>
      <w:r w:rsidRPr="003015FD">
        <w:t>is</w:t>
      </w:r>
      <w:r w:rsidR="00975895" w:rsidRPr="003015FD">
        <w:t xml:space="preserve"> </w:t>
      </w:r>
      <w:r w:rsidRPr="003015FD">
        <w:t>essentially</w:t>
      </w:r>
      <w:r w:rsidR="00975895" w:rsidRPr="003015FD">
        <w:t xml:space="preserve"> </w:t>
      </w:r>
      <w:r w:rsidRPr="003015FD">
        <w:t>a</w:t>
      </w:r>
      <w:r w:rsidR="00975895" w:rsidRPr="003015FD">
        <w:t xml:space="preserve"> </w:t>
      </w:r>
      <w:r w:rsidRPr="003015FD">
        <w:t>behaviour</w:t>
      </w:r>
      <w:r w:rsidR="00975895" w:rsidRPr="003015FD">
        <w:t xml:space="preserve"> </w:t>
      </w:r>
      <w:r w:rsidRPr="003015FD">
        <w:t>change</w:t>
      </w:r>
      <w:r w:rsidR="00975895" w:rsidRPr="003015FD">
        <w:t xml:space="preserve"> </w:t>
      </w:r>
      <w:r w:rsidRPr="003015FD">
        <w:t>program.</w:t>
      </w:r>
      <w:r w:rsidR="00975895" w:rsidRPr="003015FD">
        <w:t xml:space="preserve"> </w:t>
      </w:r>
      <w:r w:rsidRPr="003015FD">
        <w:t>A</w:t>
      </w:r>
      <w:r w:rsidR="00975895" w:rsidRPr="003015FD">
        <w:t xml:space="preserve"> </w:t>
      </w:r>
      <w:r w:rsidRPr="003015FD">
        <w:t>senior</w:t>
      </w:r>
      <w:r w:rsidR="00975895" w:rsidRPr="003015FD">
        <w:t xml:space="preserve"> </w:t>
      </w:r>
      <w:r w:rsidRPr="003015FD">
        <w:t>sponsor</w:t>
      </w:r>
      <w:r w:rsidR="00975895" w:rsidRPr="003015FD">
        <w:t xml:space="preserve"> </w:t>
      </w:r>
      <w:r w:rsidRPr="003015FD">
        <w:t>is</w:t>
      </w:r>
      <w:r w:rsidR="00975895" w:rsidRPr="003015FD">
        <w:t xml:space="preserve"> </w:t>
      </w:r>
      <w:r w:rsidRPr="003015FD">
        <w:t>essential</w:t>
      </w:r>
      <w:r w:rsidR="00975895" w:rsidRPr="003015FD">
        <w:t xml:space="preserve"> </w:t>
      </w:r>
      <w:r w:rsidRPr="003015FD">
        <w:t>for</w:t>
      </w:r>
      <w:r w:rsidR="00975895" w:rsidRPr="003015FD">
        <w:t xml:space="preserve"> </w:t>
      </w:r>
      <w:r w:rsidRPr="003015FD">
        <w:t>demonstrating</w:t>
      </w:r>
      <w:r w:rsidR="00975895" w:rsidRPr="003015FD">
        <w:t xml:space="preserve"> </w:t>
      </w:r>
      <w:r w:rsidRPr="003015FD">
        <w:t>that</w:t>
      </w:r>
      <w:r w:rsidR="00975895" w:rsidRPr="003015FD">
        <w:t xml:space="preserve"> </w:t>
      </w:r>
      <w:r w:rsidRPr="003015FD">
        <w:t>the</w:t>
      </w:r>
      <w:r w:rsidR="00975895" w:rsidRPr="003015FD">
        <w:t xml:space="preserve"> </w:t>
      </w:r>
      <w:r w:rsidRPr="003015FD">
        <w:t>organisation</w:t>
      </w:r>
      <w:r w:rsidR="00975895" w:rsidRPr="003015FD">
        <w:t xml:space="preserve"> </w:t>
      </w:r>
      <w:r w:rsidRPr="003015FD">
        <w:t>takes</w:t>
      </w:r>
      <w:r w:rsidR="00975895" w:rsidRPr="003015FD">
        <w:t xml:space="preserve"> </w:t>
      </w:r>
      <w:r w:rsidRPr="003015FD">
        <w:t>the</w:t>
      </w:r>
      <w:r w:rsidR="00975895" w:rsidRPr="003015FD">
        <w:t xml:space="preserve"> </w:t>
      </w:r>
      <w:r w:rsidRPr="003015FD">
        <w:t>program</w:t>
      </w:r>
      <w:r w:rsidR="00975895" w:rsidRPr="003015FD">
        <w:t xml:space="preserve"> </w:t>
      </w:r>
      <w:r w:rsidRPr="003015FD">
        <w:t>seriously.</w:t>
      </w:r>
      <w:r w:rsidR="00975895" w:rsidRPr="003015FD">
        <w:t xml:space="preserve"> </w:t>
      </w:r>
      <w:r w:rsidRPr="003015FD">
        <w:t>In</w:t>
      </w:r>
      <w:r w:rsidR="00975895" w:rsidRPr="003015FD">
        <w:t xml:space="preserve"> </w:t>
      </w:r>
      <w:r w:rsidRPr="003015FD">
        <w:t>our</w:t>
      </w:r>
      <w:r w:rsidR="00975895" w:rsidRPr="003015FD">
        <w:t xml:space="preserve"> </w:t>
      </w:r>
      <w:r w:rsidRPr="003015FD">
        <w:t>case</w:t>
      </w:r>
      <w:r w:rsidR="00975895" w:rsidRPr="003015FD">
        <w:t xml:space="preserve"> </w:t>
      </w:r>
      <w:r w:rsidRPr="003015FD">
        <w:t>this</w:t>
      </w:r>
      <w:r w:rsidR="00975895" w:rsidRPr="003015FD">
        <w:t xml:space="preserve"> </w:t>
      </w:r>
      <w:r w:rsidRPr="003015FD">
        <w:t>was</w:t>
      </w:r>
      <w:r w:rsidR="00975895" w:rsidRPr="003015FD">
        <w:t xml:space="preserve"> </w:t>
      </w:r>
      <w:r w:rsidRPr="003015FD">
        <w:t>our</w:t>
      </w:r>
      <w:r w:rsidR="00975895" w:rsidRPr="003015FD">
        <w:t xml:space="preserve"> </w:t>
      </w:r>
      <w:r w:rsidRPr="003015FD">
        <w:t>Charter</w:t>
      </w:r>
      <w:r w:rsidR="00975895" w:rsidRPr="003015FD">
        <w:t xml:space="preserve"> </w:t>
      </w:r>
      <w:r w:rsidRPr="003015FD">
        <w:t>Leader,</w:t>
      </w:r>
      <w:r w:rsidR="00975895" w:rsidRPr="003015FD">
        <w:t xml:space="preserve"> </w:t>
      </w:r>
      <w:r w:rsidRPr="003015FD">
        <w:t>the</w:t>
      </w:r>
      <w:r w:rsidR="00975895" w:rsidRPr="003015FD">
        <w:t xml:space="preserve"> </w:t>
      </w:r>
      <w:r w:rsidRPr="003015FD">
        <w:t>Deputy</w:t>
      </w:r>
      <w:r w:rsidR="00975895" w:rsidRPr="003015FD">
        <w:t xml:space="preserve"> </w:t>
      </w:r>
      <w:r w:rsidRPr="003015FD">
        <w:t>Commissioner.</w:t>
      </w:r>
      <w:r w:rsidR="00975895" w:rsidRPr="003015FD">
        <w:t xml:space="preserve"> </w:t>
      </w:r>
      <w:r w:rsidRPr="003015FD">
        <w:t>She</w:t>
      </w:r>
      <w:r w:rsidR="00975895" w:rsidRPr="003015FD">
        <w:t xml:space="preserve"> </w:t>
      </w:r>
      <w:r w:rsidRPr="003015FD">
        <w:t>opened</w:t>
      </w:r>
      <w:r w:rsidR="00975895" w:rsidRPr="003015FD">
        <w:t xml:space="preserve"> </w:t>
      </w:r>
      <w:r w:rsidRPr="003015FD">
        <w:t>each</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Education</w:t>
      </w:r>
      <w:r w:rsidR="00975895" w:rsidRPr="003015FD">
        <w:t xml:space="preserve"> </w:t>
      </w:r>
      <w:r w:rsidRPr="003015FD">
        <w:t>Workshops</w:t>
      </w:r>
      <w:r w:rsidR="00975895" w:rsidRPr="003015FD">
        <w:t xml:space="preserve"> </w:t>
      </w:r>
      <w:r w:rsidRPr="003015FD">
        <w:t>held</w:t>
      </w:r>
      <w:r w:rsidR="00975895" w:rsidRPr="003015FD">
        <w:t xml:space="preserve"> </w:t>
      </w:r>
      <w:r w:rsidRPr="003015FD">
        <w:t>at</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Commission.</w:t>
      </w:r>
    </w:p>
    <w:p w14:paraId="49B198EA" w14:textId="02AAE6E3" w:rsidR="008E0945" w:rsidRPr="003015FD" w:rsidRDefault="008E0945" w:rsidP="0002642E">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Commission</w:t>
      </w:r>
      <w:r w:rsidR="00975895" w:rsidRPr="003015FD">
        <w:t xml:space="preserve"> </w:t>
      </w:r>
      <w:r w:rsidRPr="003015FD">
        <w:t>also</w:t>
      </w:r>
      <w:r w:rsidR="00975895" w:rsidRPr="003015FD">
        <w:t xml:space="preserve"> </w:t>
      </w:r>
      <w:r w:rsidRPr="003015FD">
        <w:t>had</w:t>
      </w:r>
      <w:r w:rsidR="00975895" w:rsidRPr="003015FD">
        <w:t xml:space="preserve"> </w:t>
      </w:r>
      <w:r w:rsidRPr="003015FD">
        <w:t>a</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Coordination</w:t>
      </w:r>
      <w:r w:rsidR="00975895" w:rsidRPr="003015FD">
        <w:t xml:space="preserve"> </w:t>
      </w:r>
      <w:r w:rsidRPr="003015FD">
        <w:t>Group</w:t>
      </w:r>
      <w:r w:rsidR="00975895" w:rsidRPr="003015FD">
        <w:t xml:space="preserve"> </w:t>
      </w:r>
      <w:r w:rsidRPr="003015FD">
        <w:t>that</w:t>
      </w:r>
      <w:r w:rsidR="00975895" w:rsidRPr="003015FD">
        <w:t xml:space="preserve"> </w:t>
      </w:r>
      <w:r w:rsidRPr="003015FD">
        <w:t>regularly</w:t>
      </w:r>
      <w:r w:rsidR="00975895" w:rsidRPr="003015FD">
        <w:t xml:space="preserve"> </w:t>
      </w:r>
      <w:r w:rsidRPr="003015FD">
        <w:t>met</w:t>
      </w:r>
      <w:r w:rsidR="00975895" w:rsidRPr="003015FD">
        <w:t xml:space="preserve"> </w:t>
      </w:r>
      <w:r w:rsidRPr="003015FD">
        <w:t>to</w:t>
      </w:r>
      <w:r w:rsidR="00975895" w:rsidRPr="003015FD">
        <w:t xml:space="preserve"> </w:t>
      </w:r>
      <w:r w:rsidRPr="003015FD">
        <w:t>discuss</w:t>
      </w:r>
      <w:r w:rsidR="00975895" w:rsidRPr="003015FD">
        <w:t xml:space="preserve"> </w:t>
      </w:r>
      <w:r w:rsidRPr="003015FD">
        <w:t>what</w:t>
      </w:r>
      <w:r w:rsidR="00975895" w:rsidRPr="003015FD">
        <w:t xml:space="preserve"> </w:t>
      </w:r>
      <w:r w:rsidRPr="003015FD">
        <w:t>we</w:t>
      </w:r>
      <w:r w:rsidR="00975895" w:rsidRPr="003015FD">
        <w:t xml:space="preserve"> </w:t>
      </w:r>
      <w:r w:rsidRPr="003015FD">
        <w:t>were</w:t>
      </w:r>
      <w:r w:rsidR="00975895" w:rsidRPr="003015FD">
        <w:t xml:space="preserve"> </w:t>
      </w:r>
      <w:r w:rsidRPr="003015FD">
        <w:t>doing</w:t>
      </w:r>
      <w:r w:rsidR="00975895" w:rsidRPr="003015FD">
        <w:t xml:space="preserve"> </w:t>
      </w:r>
      <w:r w:rsidRPr="003015FD">
        <w:t>to</w:t>
      </w:r>
      <w:r w:rsidR="00975895" w:rsidRPr="003015FD">
        <w:t xml:space="preserve"> </w:t>
      </w:r>
      <w:r w:rsidRPr="003015FD">
        <w:t>embed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both</w:t>
      </w:r>
      <w:r w:rsidR="00975895" w:rsidRPr="003015FD">
        <w:t xml:space="preserve"> </w:t>
      </w:r>
      <w:r w:rsidRPr="003015FD">
        <w:t>at</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Commission</w:t>
      </w:r>
      <w:r w:rsidR="00975895" w:rsidRPr="003015FD">
        <w:t xml:space="preserve"> </w:t>
      </w:r>
      <w:r w:rsidRPr="003015FD">
        <w:t>and</w:t>
      </w:r>
      <w:r w:rsidR="00975895" w:rsidRPr="003015FD">
        <w:t xml:space="preserve"> </w:t>
      </w:r>
      <w:r w:rsidRPr="003015FD">
        <w:t>across</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This</w:t>
      </w:r>
      <w:r w:rsidR="00975895" w:rsidRPr="003015FD">
        <w:t xml:space="preserve"> </w:t>
      </w:r>
      <w:r w:rsidRPr="003015FD">
        <w:t>group</w:t>
      </w:r>
      <w:r w:rsidR="00975895" w:rsidRPr="003015FD">
        <w:t xml:space="preserve"> </w:t>
      </w:r>
      <w:r w:rsidRPr="003015FD">
        <w:t>helped</w:t>
      </w:r>
      <w:r w:rsidR="00975895" w:rsidRPr="003015FD">
        <w:t xml:space="preserve"> </w:t>
      </w:r>
      <w:r w:rsidRPr="003015FD">
        <w:t>us</w:t>
      </w:r>
      <w:r w:rsidR="00975895" w:rsidRPr="003015FD">
        <w:t xml:space="preserve"> </w:t>
      </w:r>
      <w:r w:rsidRPr="003015FD">
        <w:t>to</w:t>
      </w:r>
      <w:r w:rsidR="00975895" w:rsidRPr="003015FD">
        <w:t xml:space="preserve"> </w:t>
      </w:r>
      <w:r w:rsidRPr="003015FD">
        <w:t>take</w:t>
      </w:r>
      <w:r w:rsidR="00975895" w:rsidRPr="003015FD">
        <w:t xml:space="preserve"> </w:t>
      </w:r>
      <w:r w:rsidRPr="003015FD">
        <w:t>a</w:t>
      </w:r>
      <w:r w:rsidR="00975895" w:rsidRPr="003015FD">
        <w:t xml:space="preserve"> </w:t>
      </w:r>
      <w:r w:rsidRPr="003015FD">
        <w:t>step</w:t>
      </w:r>
      <w:r w:rsidR="00975895" w:rsidRPr="003015FD">
        <w:t xml:space="preserve"> </w:t>
      </w:r>
      <w:r w:rsidRPr="003015FD">
        <w:t>back</w:t>
      </w:r>
      <w:r w:rsidR="00975895" w:rsidRPr="003015FD">
        <w:t xml:space="preserve"> </w:t>
      </w:r>
      <w:r w:rsidRPr="003015FD">
        <w:t>from</w:t>
      </w:r>
      <w:r w:rsidR="00975895" w:rsidRPr="003015FD">
        <w:t xml:space="preserve"> </w:t>
      </w:r>
      <w:r w:rsidRPr="003015FD">
        <w:t>our</w:t>
      </w:r>
      <w:r w:rsidR="00975895" w:rsidRPr="003015FD">
        <w:t xml:space="preserve"> </w:t>
      </w:r>
      <w:r w:rsidRPr="003015FD">
        <w:t>everyday</w:t>
      </w:r>
      <w:r w:rsidR="00975895" w:rsidRPr="003015FD">
        <w:t xml:space="preserve"> </w:t>
      </w:r>
      <w:r w:rsidRPr="003015FD">
        <w:t>work</w:t>
      </w:r>
      <w:r w:rsidR="00975895" w:rsidRPr="003015FD">
        <w:t xml:space="preserve"> </w:t>
      </w:r>
      <w:r w:rsidRPr="003015FD">
        <w:t>to</w:t>
      </w:r>
      <w:r w:rsidR="00975895" w:rsidRPr="003015FD">
        <w:t xml:space="preserve"> </w:t>
      </w:r>
      <w:r w:rsidRPr="003015FD">
        <w:t>consider</w:t>
      </w:r>
      <w:r w:rsidR="00975895" w:rsidRPr="003015FD">
        <w:t xml:space="preserve"> </w:t>
      </w:r>
      <w:r w:rsidRPr="003015FD">
        <w:t>how</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w:t>
      </w:r>
      <w:r w:rsidR="00975895" w:rsidRPr="003015FD">
        <w:t xml:space="preserve"> </w:t>
      </w:r>
      <w:r w:rsidRPr="003015FD">
        <w:t>essential</w:t>
      </w:r>
      <w:r w:rsidR="00975895" w:rsidRPr="003015FD">
        <w:t xml:space="preserve"> </w:t>
      </w:r>
      <w:r w:rsidRPr="003015FD">
        <w:t>to</w:t>
      </w:r>
      <w:r w:rsidR="00975895" w:rsidRPr="003015FD">
        <w:t xml:space="preserve"> </w:t>
      </w:r>
      <w:r w:rsidRPr="003015FD">
        <w:t>everything</w:t>
      </w:r>
      <w:r w:rsidR="00975895" w:rsidRPr="003015FD">
        <w:t xml:space="preserve"> </w:t>
      </w:r>
      <w:r w:rsidRPr="003015FD">
        <w:t>we</w:t>
      </w:r>
      <w:r w:rsidR="00975895" w:rsidRPr="003015FD">
        <w:t xml:space="preserve"> </w:t>
      </w:r>
      <w:r w:rsidRPr="003015FD">
        <w:t>do.</w:t>
      </w:r>
    </w:p>
    <w:p w14:paraId="3D442F83" w14:textId="6704FD84" w:rsidR="008E0945" w:rsidRPr="003015FD" w:rsidRDefault="008E0945" w:rsidP="0002642E">
      <w:r w:rsidRPr="003015FD">
        <w:t>The</w:t>
      </w:r>
      <w:r w:rsidR="00975895" w:rsidRPr="003015FD">
        <w:t xml:space="preserve"> </w:t>
      </w:r>
      <w:r w:rsidRPr="003015FD">
        <w:t>Victorian</w:t>
      </w:r>
      <w:r w:rsidR="00975895" w:rsidRPr="003015FD">
        <w:t xml:space="preserve"> </w:t>
      </w:r>
      <w:r w:rsidRPr="003015FD">
        <w:t>Equal</w:t>
      </w:r>
      <w:r w:rsidR="00975895" w:rsidRPr="003015FD">
        <w:t xml:space="preserve"> </w:t>
      </w:r>
      <w:r w:rsidRPr="003015FD">
        <w:t>Opportunity</w:t>
      </w:r>
      <w:r w:rsidR="00975895" w:rsidRPr="003015FD">
        <w:t xml:space="preserve"> </w:t>
      </w:r>
      <w:r w:rsidRPr="003015FD">
        <w:t>and</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Commission</w:t>
      </w:r>
      <w:r w:rsidR="00975895" w:rsidRPr="003015FD">
        <w:t xml:space="preserve"> </w:t>
      </w:r>
      <w:r w:rsidRPr="003015FD">
        <w:t>and</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Unit</w:t>
      </w:r>
      <w:r w:rsidR="00975895" w:rsidRPr="003015FD">
        <w:t xml:space="preserve"> </w:t>
      </w:r>
      <w:r w:rsidRPr="003015FD">
        <w:t>of</w:t>
      </w:r>
      <w:r w:rsidR="00975895" w:rsidRPr="003015FD">
        <w:t xml:space="preserve"> </w:t>
      </w:r>
      <w:r w:rsidRPr="003015FD">
        <w:t>the</w:t>
      </w:r>
      <w:r w:rsidR="00975895" w:rsidRPr="003015FD">
        <w:t xml:space="preserve"> </w:t>
      </w:r>
      <w:r w:rsidRPr="003015FD">
        <w:t>Department</w:t>
      </w:r>
      <w:r w:rsidR="00975895" w:rsidRPr="003015FD">
        <w:t xml:space="preserve"> </w:t>
      </w:r>
      <w:r w:rsidRPr="003015FD">
        <w:t>of</w:t>
      </w:r>
      <w:r w:rsidR="00975895" w:rsidRPr="003015FD">
        <w:t xml:space="preserve"> </w:t>
      </w:r>
      <w:r w:rsidRPr="003015FD">
        <w:t>Justice</w:t>
      </w:r>
      <w:r w:rsidR="00975895" w:rsidRPr="003015FD">
        <w:t xml:space="preserve"> </w:t>
      </w:r>
      <w:r w:rsidRPr="003015FD">
        <w:t>and</w:t>
      </w:r>
      <w:r w:rsidR="00975895" w:rsidRPr="003015FD">
        <w:t xml:space="preserve"> </w:t>
      </w:r>
      <w:r w:rsidRPr="003015FD">
        <w:t>Community</w:t>
      </w:r>
      <w:r w:rsidR="00975895" w:rsidRPr="003015FD">
        <w:t xml:space="preserve"> </w:t>
      </w:r>
      <w:r w:rsidRPr="003015FD">
        <w:t>Safety</w:t>
      </w:r>
      <w:r w:rsidR="00975895" w:rsidRPr="003015FD">
        <w:t xml:space="preserve"> </w:t>
      </w:r>
      <w:r w:rsidRPr="003015FD">
        <w:t>provided</w:t>
      </w:r>
      <w:r w:rsidR="00975895" w:rsidRPr="003015FD">
        <w:t xml:space="preserve"> </w:t>
      </w:r>
      <w:r w:rsidRPr="003015FD">
        <w:t>excellent</w:t>
      </w:r>
      <w:r w:rsidR="00975895" w:rsidRPr="003015FD">
        <w:t xml:space="preserve"> </w:t>
      </w:r>
      <w:r w:rsidRPr="003015FD">
        <w:t>support</w:t>
      </w:r>
      <w:r w:rsidR="00975895" w:rsidRPr="003015FD">
        <w:t xml:space="preserve"> </w:t>
      </w:r>
      <w:r w:rsidRPr="003015FD">
        <w:t>through</w:t>
      </w:r>
      <w:r w:rsidR="00975895" w:rsidRPr="003015FD">
        <w:t xml:space="preserve"> </w:t>
      </w:r>
      <w:r w:rsidRPr="003015FD">
        <w:t>their</w:t>
      </w:r>
      <w:r w:rsidR="00975895" w:rsidRPr="003015FD">
        <w:t xml:space="preserve"> </w:t>
      </w:r>
      <w:r w:rsidRPr="003015FD">
        <w:t>customised</w:t>
      </w:r>
      <w:r w:rsidR="00975895" w:rsidRPr="003015FD">
        <w:t xml:space="preserve"> </w:t>
      </w:r>
      <w:r w:rsidRPr="003015FD">
        <w:t>workshops,</w:t>
      </w:r>
      <w:r w:rsidR="00975895" w:rsidRPr="003015FD">
        <w:t xml:space="preserve"> </w:t>
      </w:r>
      <w:r w:rsidRPr="003015FD">
        <w:t>communication</w:t>
      </w:r>
      <w:r w:rsidR="00975895" w:rsidRPr="003015FD">
        <w:t xml:space="preserve"> </w:t>
      </w:r>
      <w:r w:rsidRPr="003015FD">
        <w:t>strategies,</w:t>
      </w:r>
      <w:r w:rsidR="00975895" w:rsidRPr="003015FD">
        <w:t xml:space="preserve"> </w:t>
      </w:r>
      <w:r w:rsidRPr="003015FD">
        <w:t>engaging</w:t>
      </w:r>
      <w:r w:rsidR="00975895" w:rsidRPr="003015FD">
        <w:t xml:space="preserve"> </w:t>
      </w:r>
      <w:r w:rsidRPr="003015FD">
        <w:t>artwork</w:t>
      </w:r>
      <w:r w:rsidR="00975895" w:rsidRPr="003015FD">
        <w:t xml:space="preserve"> </w:t>
      </w:r>
      <w:r w:rsidRPr="003015FD">
        <w:t>and</w:t>
      </w:r>
      <w:r w:rsidR="00975895" w:rsidRPr="003015FD">
        <w:t xml:space="preserve"> </w:t>
      </w:r>
      <w:r w:rsidRPr="003015FD">
        <w:t>always</w:t>
      </w:r>
      <w:r w:rsidR="00975895" w:rsidRPr="003015FD">
        <w:t xml:space="preserve"> </w:t>
      </w:r>
      <w:r w:rsidRPr="003015FD">
        <w:t>obliging</w:t>
      </w:r>
      <w:r w:rsidR="00975895" w:rsidRPr="003015FD">
        <w:t xml:space="preserve"> </w:t>
      </w:r>
      <w:r w:rsidRPr="003015FD">
        <w:t>advice.</w:t>
      </w:r>
      <w:r w:rsidR="00975895" w:rsidRPr="003015FD">
        <w:t xml:space="preserve"> </w:t>
      </w:r>
    </w:p>
    <w:p w14:paraId="7BDF7AA5" w14:textId="39A23C0B" w:rsidR="008E0945" w:rsidRPr="003015FD" w:rsidRDefault="008E0945" w:rsidP="0002642E">
      <w:r w:rsidRPr="003015FD">
        <w:t>The</w:t>
      </w:r>
      <w:r w:rsidR="00975895" w:rsidRPr="003015FD">
        <w:t xml:space="preserve"> </w:t>
      </w:r>
      <w:r w:rsidRPr="003015FD">
        <w:t>members</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Leaders</w:t>
      </w:r>
      <w:r w:rsidR="00975895" w:rsidRPr="003015FD">
        <w:t xml:space="preserve"> </w:t>
      </w:r>
      <w:r w:rsidRPr="003015FD">
        <w:t>and</w:t>
      </w:r>
      <w:r w:rsidR="00975895" w:rsidRPr="003015FD">
        <w:t xml:space="preserve"> </w:t>
      </w:r>
      <w:r w:rsidRPr="003015FD">
        <w:t>the</w:t>
      </w:r>
      <w:r w:rsidR="00975895" w:rsidRPr="003015FD">
        <w:t xml:space="preserve"> </w:t>
      </w:r>
      <w:r w:rsidRPr="003015FD">
        <w:t>Implementation</w:t>
      </w:r>
      <w:r w:rsidR="00975895" w:rsidRPr="003015FD">
        <w:t xml:space="preserve"> </w:t>
      </w:r>
      <w:r w:rsidRPr="003015FD">
        <w:t>Leaders</w:t>
      </w:r>
      <w:r w:rsidR="00975895" w:rsidRPr="003015FD">
        <w:t xml:space="preserve"> </w:t>
      </w:r>
      <w:r w:rsidRPr="003015FD">
        <w:t>Groups</w:t>
      </w:r>
      <w:r w:rsidR="00975895" w:rsidRPr="003015FD">
        <w:t xml:space="preserve"> </w:t>
      </w:r>
      <w:r w:rsidRPr="003015FD">
        <w:t>generously</w:t>
      </w:r>
      <w:r w:rsidR="00975895" w:rsidRPr="003015FD">
        <w:t xml:space="preserve"> </w:t>
      </w:r>
      <w:r w:rsidRPr="003015FD">
        <w:t>shared</w:t>
      </w:r>
      <w:r w:rsidR="00975895" w:rsidRPr="003015FD">
        <w:t xml:space="preserve"> </w:t>
      </w:r>
      <w:r w:rsidRPr="003015FD">
        <w:t>their</w:t>
      </w:r>
      <w:r w:rsidR="00975895" w:rsidRPr="003015FD">
        <w:t xml:space="preserve"> </w:t>
      </w:r>
      <w:r w:rsidRPr="003015FD">
        <w:t>ideas</w:t>
      </w:r>
      <w:r w:rsidR="00975895" w:rsidRPr="003015FD">
        <w:t xml:space="preserve"> </w:t>
      </w:r>
      <w:r w:rsidRPr="003015FD">
        <w:t>and</w:t>
      </w:r>
      <w:r w:rsidR="00975895" w:rsidRPr="003015FD">
        <w:t xml:space="preserve"> </w:t>
      </w:r>
      <w:r w:rsidRPr="003015FD">
        <w:t>experiences</w:t>
      </w:r>
      <w:r w:rsidR="00975895" w:rsidRPr="003015FD">
        <w:t xml:space="preserve"> </w:t>
      </w:r>
      <w:r w:rsidRPr="003015FD">
        <w:t>at</w:t>
      </w:r>
      <w:r w:rsidR="00975895" w:rsidRPr="003015FD">
        <w:t xml:space="preserve"> </w:t>
      </w:r>
      <w:r w:rsidRPr="003015FD">
        <w:t>each</w:t>
      </w:r>
      <w:r w:rsidR="00975895" w:rsidRPr="003015FD">
        <w:t xml:space="preserve"> </w:t>
      </w:r>
      <w:r w:rsidRPr="003015FD">
        <w:t>meeting.</w:t>
      </w:r>
      <w:r w:rsidR="00975895" w:rsidRPr="003015FD">
        <w:t xml:space="preserve"> </w:t>
      </w:r>
      <w:r w:rsidRPr="003015FD">
        <w:t>This</w:t>
      </w:r>
      <w:r w:rsidR="00975895" w:rsidRPr="003015FD">
        <w:t xml:space="preserve"> </w:t>
      </w:r>
      <w:r w:rsidRPr="003015FD">
        <w:t>helped</w:t>
      </w:r>
      <w:r w:rsidR="00975895" w:rsidRPr="003015FD">
        <w:t xml:space="preserve"> </w:t>
      </w:r>
      <w:r w:rsidRPr="003015FD">
        <w:t>us</w:t>
      </w:r>
      <w:r w:rsidR="00975895" w:rsidRPr="003015FD">
        <w:t xml:space="preserve"> </w:t>
      </w:r>
      <w:r w:rsidRPr="003015FD">
        <w:t>to</w:t>
      </w:r>
      <w:r w:rsidR="00975895" w:rsidRPr="003015FD">
        <w:t xml:space="preserve"> </w:t>
      </w:r>
      <w:r w:rsidRPr="003015FD">
        <w:lastRenderedPageBreak/>
        <w:t>understand</w:t>
      </w:r>
      <w:r w:rsidR="00975895" w:rsidRPr="003015FD">
        <w:t xml:space="preserve"> </w:t>
      </w:r>
      <w:r w:rsidRPr="003015FD">
        <w:t>the</w:t>
      </w:r>
      <w:r w:rsidR="00975895" w:rsidRPr="003015FD">
        <w:t xml:space="preserve"> </w:t>
      </w:r>
      <w:r w:rsidRPr="003015FD">
        <w:t>range</w:t>
      </w:r>
      <w:r w:rsidR="00975895" w:rsidRPr="003015FD">
        <w:t xml:space="preserve"> </w:t>
      </w:r>
      <w:r w:rsidRPr="003015FD">
        <w:t>of</w:t>
      </w:r>
      <w:r w:rsidR="00975895" w:rsidRPr="003015FD">
        <w:t xml:space="preserve"> </w:t>
      </w:r>
      <w:r w:rsidRPr="003015FD">
        <w:t>issues</w:t>
      </w:r>
      <w:r w:rsidR="00975895" w:rsidRPr="003015FD">
        <w:t xml:space="preserve"> </w:t>
      </w:r>
      <w:r w:rsidRPr="003015FD">
        <w:t>that</w:t>
      </w:r>
      <w:r w:rsidR="00975895" w:rsidRPr="003015FD">
        <w:t xml:space="preserve"> </w:t>
      </w:r>
      <w:r w:rsidRPr="003015FD">
        <w:t>departments</w:t>
      </w:r>
      <w:r w:rsidR="00975895" w:rsidRPr="003015FD">
        <w:t xml:space="preserve"> </w:t>
      </w:r>
      <w:r w:rsidRPr="003015FD">
        <w:t>were</w:t>
      </w:r>
      <w:r w:rsidR="00975895" w:rsidRPr="003015FD">
        <w:t xml:space="preserve"> </w:t>
      </w:r>
      <w:r w:rsidRPr="003015FD">
        <w:t>considering</w:t>
      </w:r>
      <w:r w:rsidR="00975895" w:rsidRPr="003015FD">
        <w:t xml:space="preserve"> </w:t>
      </w:r>
      <w:r w:rsidRPr="003015FD">
        <w:t>and</w:t>
      </w:r>
      <w:r w:rsidR="00975895" w:rsidRPr="003015FD">
        <w:t xml:space="preserve"> </w:t>
      </w:r>
      <w:r w:rsidRPr="003015FD">
        <w:t>the</w:t>
      </w:r>
      <w:r w:rsidR="00975895" w:rsidRPr="003015FD">
        <w:t xml:space="preserve"> </w:t>
      </w:r>
      <w:r w:rsidRPr="003015FD">
        <w:t>strategies</w:t>
      </w:r>
      <w:r w:rsidR="00975895" w:rsidRPr="003015FD">
        <w:t xml:space="preserve"> </w:t>
      </w:r>
      <w:r w:rsidRPr="003015FD">
        <w:t>that</w:t>
      </w:r>
      <w:r w:rsidR="00975895" w:rsidRPr="003015FD">
        <w:t xml:space="preserve"> </w:t>
      </w:r>
      <w:r w:rsidRPr="003015FD">
        <w:t>were</w:t>
      </w:r>
      <w:r w:rsidR="00975895" w:rsidRPr="003015FD">
        <w:t xml:space="preserve"> </w:t>
      </w:r>
      <w:r w:rsidRPr="003015FD">
        <w:t>most</w:t>
      </w:r>
      <w:r w:rsidR="00975895" w:rsidRPr="003015FD">
        <w:t xml:space="preserve"> </w:t>
      </w:r>
      <w:r w:rsidRPr="003015FD">
        <w:t>likely</w:t>
      </w:r>
      <w:r w:rsidR="00975895" w:rsidRPr="003015FD">
        <w:t xml:space="preserve"> </w:t>
      </w:r>
      <w:r w:rsidRPr="003015FD">
        <w:t>to</w:t>
      </w:r>
      <w:r w:rsidR="00975895" w:rsidRPr="003015FD">
        <w:t xml:space="preserve"> </w:t>
      </w:r>
      <w:r w:rsidRPr="003015FD">
        <w:t>be</w:t>
      </w:r>
      <w:r w:rsidR="00975895" w:rsidRPr="003015FD">
        <w:t xml:space="preserve"> </w:t>
      </w:r>
      <w:r w:rsidRPr="003015FD">
        <w:t>effective.</w:t>
      </w:r>
      <w:r w:rsidR="00975895" w:rsidRPr="003015FD">
        <w:t xml:space="preserve"> </w:t>
      </w:r>
    </w:p>
    <w:p w14:paraId="477105C6" w14:textId="7EDA955B" w:rsidR="008E0945" w:rsidRPr="003015FD" w:rsidRDefault="008E0945" w:rsidP="005B74F5">
      <w:r w:rsidRPr="003015FD">
        <w:br w:type="page"/>
      </w:r>
    </w:p>
    <w:p w14:paraId="55F76441" w14:textId="7501CE65" w:rsidR="008E0945" w:rsidRPr="003015FD" w:rsidRDefault="008E0945" w:rsidP="0002642E">
      <w:pPr>
        <w:pStyle w:val="Heading1"/>
        <w:numPr>
          <w:ilvl w:val="0"/>
          <w:numId w:val="53"/>
        </w:numPr>
      </w:pPr>
      <w:bookmarkStart w:id="82" w:name="_Toc15656275"/>
      <w:bookmarkStart w:id="83" w:name="_Toc22011533"/>
      <w:r w:rsidRPr="003015FD">
        <w:lastRenderedPageBreak/>
        <w:t>Human</w:t>
      </w:r>
      <w:r w:rsidR="00975895" w:rsidRPr="003015FD">
        <w:t xml:space="preserve"> </w:t>
      </w:r>
      <w:r w:rsidRPr="003015FD">
        <w:t>rights</w:t>
      </w:r>
      <w:r w:rsidR="00975895" w:rsidRPr="003015FD">
        <w:t xml:space="preserve"> </w:t>
      </w:r>
      <w:r w:rsidRPr="003015FD">
        <w:t>in</w:t>
      </w:r>
      <w:r w:rsidR="00975895" w:rsidRPr="003015FD">
        <w:t xml:space="preserve"> </w:t>
      </w:r>
      <w:r w:rsidRPr="003015FD">
        <w:t>law</w:t>
      </w:r>
      <w:r w:rsidR="00EB5E45">
        <w:t>-</w:t>
      </w:r>
      <w:r w:rsidRPr="003015FD">
        <w:t>making</w:t>
      </w:r>
      <w:bookmarkEnd w:id="82"/>
      <w:bookmarkEnd w:id="83"/>
    </w:p>
    <w:p w14:paraId="0ECDFDF7" w14:textId="06140508" w:rsidR="008E0945" w:rsidRPr="003015FD" w:rsidRDefault="00D90DB7" w:rsidP="0002642E">
      <w:pPr>
        <w:pStyle w:val="Heading2"/>
      </w:pPr>
      <w:bookmarkStart w:id="84" w:name="_Toc15045120"/>
      <w:bookmarkStart w:id="85" w:name="_Toc22011534"/>
      <w:r w:rsidRPr="003015FD">
        <w:t>3.1</w:t>
      </w:r>
      <w:r w:rsidRPr="003015FD">
        <w:tab/>
      </w:r>
      <w:r w:rsidR="008E0945" w:rsidRPr="003015FD">
        <w:t>The</w:t>
      </w:r>
      <w:r w:rsidR="00975895" w:rsidRPr="003015FD">
        <w:t xml:space="preserve"> </w:t>
      </w:r>
      <w:r w:rsidR="008E0945" w:rsidRPr="003015FD">
        <w:t>role</w:t>
      </w:r>
      <w:r w:rsidR="00975895" w:rsidRPr="003015FD">
        <w:t xml:space="preserve"> </w:t>
      </w:r>
      <w:r w:rsidR="008E0945" w:rsidRPr="003015FD">
        <w:t>of</w:t>
      </w:r>
      <w:r w:rsidR="00975895" w:rsidRPr="003015FD">
        <w:t xml:space="preserve"> </w:t>
      </w:r>
      <w:r w:rsidR="008E0945" w:rsidRPr="003015FD">
        <w:t>the</w:t>
      </w:r>
      <w:r w:rsidR="00975895" w:rsidRPr="003015FD">
        <w:t xml:space="preserve"> </w:t>
      </w:r>
      <w:r w:rsidR="008E0945" w:rsidRPr="003015FD">
        <w:t>Charter</w:t>
      </w:r>
      <w:r w:rsidR="00975895" w:rsidRPr="003015FD">
        <w:t xml:space="preserve"> </w:t>
      </w:r>
      <w:r w:rsidR="008E0945" w:rsidRPr="003015FD">
        <w:t>in</w:t>
      </w:r>
      <w:r w:rsidR="00975895" w:rsidRPr="003015FD">
        <w:t xml:space="preserve"> </w:t>
      </w:r>
      <w:r w:rsidR="008E0945" w:rsidRPr="003015FD">
        <w:t>law</w:t>
      </w:r>
      <w:r w:rsidR="00EB5E45">
        <w:t>-</w:t>
      </w:r>
      <w:r w:rsidR="008E0945" w:rsidRPr="003015FD">
        <w:t>making</w:t>
      </w:r>
      <w:bookmarkEnd w:id="84"/>
      <w:bookmarkEnd w:id="85"/>
      <w:r w:rsidR="00975895" w:rsidRPr="003015FD">
        <w:t xml:space="preserve"> </w:t>
      </w:r>
    </w:p>
    <w:p w14:paraId="0F9492DF" w14:textId="3AB11D78" w:rsidR="008E0945" w:rsidRPr="003015FD" w:rsidRDefault="008E0945" w:rsidP="0002642E">
      <w:r w:rsidRPr="003015FD">
        <w:t>In</w:t>
      </w:r>
      <w:r w:rsidR="00975895" w:rsidRPr="003015FD">
        <w:t xml:space="preserve"> </w:t>
      </w:r>
      <w:r w:rsidRPr="003015FD">
        <w:t>Victoria,</w:t>
      </w:r>
      <w:r w:rsidR="00975895" w:rsidRPr="003015FD">
        <w:t xml:space="preserve"> </w:t>
      </w:r>
      <w:r w:rsidRPr="003015FD">
        <w:t>the</w:t>
      </w:r>
      <w:r w:rsidR="00975895" w:rsidRPr="003015FD">
        <w:t xml:space="preserve"> </w:t>
      </w:r>
      <w:r w:rsidRPr="003015FD">
        <w:t>Charter</w:t>
      </w:r>
      <w:r w:rsidR="00975895" w:rsidRPr="003015FD">
        <w:t xml:space="preserve"> </w:t>
      </w:r>
      <w:r w:rsidRPr="003015FD">
        <w:t>ensures</w:t>
      </w:r>
      <w:r w:rsidR="00975895" w:rsidRPr="003015FD">
        <w:t xml:space="preserve"> </w:t>
      </w:r>
      <w:r w:rsidRPr="003015FD">
        <w:t>human</w:t>
      </w:r>
      <w:r w:rsidR="00975895" w:rsidRPr="003015FD">
        <w:t xml:space="preserve"> </w:t>
      </w:r>
      <w:r w:rsidRPr="003015FD">
        <w:t>rights</w:t>
      </w:r>
      <w:r w:rsidR="00975895" w:rsidRPr="003015FD">
        <w:t xml:space="preserve"> </w:t>
      </w:r>
      <w:r w:rsidRPr="003015FD">
        <w:t>are</w:t>
      </w:r>
      <w:r w:rsidR="00975895" w:rsidRPr="003015FD">
        <w:t xml:space="preserve"> </w:t>
      </w:r>
      <w:r w:rsidRPr="003015FD">
        <w:t>considered</w:t>
      </w:r>
      <w:r w:rsidR="00975895" w:rsidRPr="003015FD">
        <w:t xml:space="preserve"> </w:t>
      </w:r>
      <w:r w:rsidRPr="003015FD">
        <w:t>at</w:t>
      </w:r>
      <w:r w:rsidR="00975895" w:rsidRPr="003015FD">
        <w:t xml:space="preserve"> </w:t>
      </w:r>
      <w:r w:rsidRPr="003015FD">
        <w:t>every</w:t>
      </w:r>
      <w:r w:rsidR="00975895" w:rsidRPr="003015FD">
        <w:t xml:space="preserve"> </w:t>
      </w:r>
      <w:r w:rsidRPr="003015FD">
        <w:t>stage</w:t>
      </w:r>
      <w:r w:rsidR="00975895" w:rsidRPr="003015FD">
        <w:t xml:space="preserve"> </w:t>
      </w:r>
      <w:r w:rsidRPr="003015FD">
        <w:t>of</w:t>
      </w:r>
      <w:r w:rsidR="00975895" w:rsidRPr="003015FD">
        <w:t xml:space="preserve"> </w:t>
      </w:r>
      <w:r w:rsidRPr="003015FD">
        <w:t>the</w:t>
      </w:r>
      <w:r w:rsidR="00975895" w:rsidRPr="003015FD">
        <w:t xml:space="preserve"> </w:t>
      </w:r>
      <w:r w:rsidRPr="003015FD">
        <w:t>law-making</w:t>
      </w:r>
      <w:r w:rsidR="00975895" w:rsidRPr="003015FD">
        <w:t xml:space="preserve"> </w:t>
      </w:r>
      <w:r w:rsidRPr="003015FD">
        <w:t>process.</w:t>
      </w:r>
      <w:r w:rsidR="00975895" w:rsidRPr="003015FD">
        <w:t xml:space="preserve"> </w:t>
      </w:r>
      <w:r w:rsidRPr="003015FD">
        <w:t>Under</w:t>
      </w:r>
      <w:r w:rsidR="00975895" w:rsidRPr="003015FD">
        <w:t xml:space="preserve"> </w:t>
      </w:r>
      <w:r w:rsidRPr="003015FD">
        <w:t>this</w:t>
      </w:r>
      <w:r w:rsidR="00975895" w:rsidRPr="003015FD">
        <w:t xml:space="preserve"> </w:t>
      </w:r>
      <w:r w:rsidRPr="003015FD">
        <w:t>model,</w:t>
      </w:r>
      <w:r w:rsidR="00975895" w:rsidRPr="003015FD">
        <w:t xml:space="preserve"> </w:t>
      </w:r>
      <w:r w:rsidRPr="003015FD">
        <w:t>all</w:t>
      </w:r>
      <w:r w:rsidR="00975895" w:rsidRPr="003015FD">
        <w:t xml:space="preserve"> </w:t>
      </w:r>
      <w:r w:rsidRPr="003015FD">
        <w:t>Bills</w:t>
      </w:r>
      <w:r w:rsidR="00975895" w:rsidRPr="003015FD">
        <w:t xml:space="preserve"> </w:t>
      </w:r>
      <w:r w:rsidRPr="003015FD">
        <w:t>introduced</w:t>
      </w:r>
      <w:r w:rsidR="00975895" w:rsidRPr="003015FD">
        <w:t xml:space="preserve"> </w:t>
      </w:r>
      <w:r w:rsidRPr="003015FD">
        <w:t>into</w:t>
      </w:r>
      <w:r w:rsidR="00975895" w:rsidRPr="003015FD">
        <w:t xml:space="preserve"> </w:t>
      </w:r>
      <w:r w:rsidRPr="003015FD">
        <w:t>Parliament</w:t>
      </w:r>
      <w:r w:rsidR="00975895" w:rsidRPr="003015FD">
        <w:t xml:space="preserve"> </w:t>
      </w:r>
      <w:r w:rsidRPr="003015FD">
        <w:t>must</w:t>
      </w:r>
      <w:r w:rsidR="00975895" w:rsidRPr="003015FD">
        <w:t xml:space="preserve"> </w:t>
      </w:r>
      <w:r w:rsidRPr="003015FD">
        <w:t>be</w:t>
      </w:r>
      <w:r w:rsidR="00975895" w:rsidRPr="003015FD">
        <w:t xml:space="preserve"> </w:t>
      </w:r>
      <w:r w:rsidRPr="003015FD">
        <w:t>accompanied</w:t>
      </w:r>
      <w:r w:rsidR="00975895" w:rsidRPr="003015FD">
        <w:t xml:space="preserve"> </w:t>
      </w:r>
      <w:r w:rsidRPr="003015FD">
        <w:t>by</w:t>
      </w:r>
      <w:r w:rsidR="00975895" w:rsidRPr="003015FD">
        <w:t xml:space="preserve"> </w:t>
      </w:r>
      <w:r w:rsidRPr="003015FD">
        <w:t>a</w:t>
      </w:r>
      <w:r w:rsidR="00975895" w:rsidRPr="003015FD">
        <w:t xml:space="preserve"> </w:t>
      </w:r>
      <w:r w:rsidRPr="003015FD">
        <w:t>statement</w:t>
      </w:r>
      <w:r w:rsidR="00975895" w:rsidRPr="003015FD">
        <w:t xml:space="preserve"> </w:t>
      </w:r>
      <w:r w:rsidRPr="003015FD">
        <w:t>of</w:t>
      </w:r>
      <w:r w:rsidR="00975895" w:rsidRPr="003015FD">
        <w:t xml:space="preserve"> </w:t>
      </w:r>
      <w:r w:rsidRPr="003015FD">
        <w:t>compatibility,</w:t>
      </w:r>
      <w:r w:rsidR="00975895" w:rsidRPr="003015FD">
        <w:t xml:space="preserve"> </w:t>
      </w:r>
      <w:r w:rsidRPr="003015FD">
        <w:t>which</w:t>
      </w:r>
      <w:r w:rsidR="00975895" w:rsidRPr="003015FD">
        <w:t xml:space="preserve"> </w:t>
      </w:r>
      <w:r w:rsidRPr="003015FD">
        <w:t>provides</w:t>
      </w:r>
      <w:r w:rsidR="00975895" w:rsidRPr="003015FD">
        <w:t xml:space="preserve"> </w:t>
      </w:r>
      <w:r w:rsidRPr="003015FD">
        <w:t>an</w:t>
      </w:r>
      <w:r w:rsidR="00975895" w:rsidRPr="003015FD">
        <w:t xml:space="preserve"> </w:t>
      </w:r>
      <w:r w:rsidRPr="003015FD">
        <w:t>overview</w:t>
      </w:r>
      <w:r w:rsidR="00975895" w:rsidRPr="003015FD">
        <w:t xml:space="preserve"> </w:t>
      </w:r>
      <w:r w:rsidRPr="003015FD">
        <w:t>of</w:t>
      </w:r>
      <w:r w:rsidR="00975895" w:rsidRPr="003015FD">
        <w:t xml:space="preserve"> </w:t>
      </w:r>
      <w:r w:rsidRPr="003015FD">
        <w:t>any</w:t>
      </w:r>
      <w:r w:rsidR="00975895" w:rsidRPr="003015FD">
        <w:t xml:space="preserve"> </w:t>
      </w:r>
      <w:r w:rsidRPr="003015FD">
        <w:t>human</w:t>
      </w:r>
      <w:r w:rsidR="00975895" w:rsidRPr="003015FD">
        <w:t xml:space="preserve"> </w:t>
      </w:r>
      <w:r w:rsidRPr="003015FD">
        <w:t>rights</w:t>
      </w:r>
      <w:r w:rsidR="00975895" w:rsidRPr="003015FD">
        <w:t xml:space="preserve"> </w:t>
      </w:r>
      <w:r w:rsidRPr="003015FD">
        <w:t>impacted</w:t>
      </w:r>
      <w:r w:rsidR="00975895" w:rsidRPr="003015FD">
        <w:t xml:space="preserve"> </w:t>
      </w:r>
      <w:r w:rsidRPr="003015FD">
        <w:t>by</w:t>
      </w:r>
      <w:r w:rsidR="00975895" w:rsidRPr="003015FD">
        <w:t xml:space="preserve"> </w:t>
      </w:r>
      <w:r w:rsidRPr="003015FD">
        <w:t>the</w:t>
      </w:r>
      <w:r w:rsidR="00975895" w:rsidRPr="003015FD">
        <w:t xml:space="preserve"> </w:t>
      </w:r>
      <w:r w:rsidRPr="003015FD">
        <w:t>Bill</w:t>
      </w:r>
      <w:r w:rsidR="00975895" w:rsidRPr="003015FD">
        <w:t xml:space="preserve"> </w:t>
      </w:r>
      <w:r w:rsidRPr="003015FD">
        <w:t>and</w:t>
      </w:r>
      <w:r w:rsidR="00975895" w:rsidRPr="003015FD">
        <w:t xml:space="preserve"> </w:t>
      </w:r>
      <w:r w:rsidRPr="003015FD">
        <w:t>why</w:t>
      </w:r>
      <w:r w:rsidR="00975895" w:rsidRPr="003015FD">
        <w:t xml:space="preserve"> </w:t>
      </w:r>
      <w:r w:rsidRPr="003015FD">
        <w:t>any</w:t>
      </w:r>
      <w:r w:rsidR="00975895" w:rsidRPr="003015FD">
        <w:t xml:space="preserve"> </w:t>
      </w:r>
      <w:r w:rsidRPr="003015FD">
        <w:t>proposed</w:t>
      </w:r>
      <w:r w:rsidR="00975895" w:rsidRPr="003015FD">
        <w:t xml:space="preserve"> </w:t>
      </w:r>
      <w:r w:rsidRPr="003015FD">
        <w:t>limitations</w:t>
      </w:r>
      <w:r w:rsidR="00975895" w:rsidRPr="003015FD">
        <w:t xml:space="preserve"> </w:t>
      </w:r>
      <w:r w:rsidRPr="003015FD">
        <w:t>are</w:t>
      </w:r>
      <w:r w:rsidR="00975895" w:rsidRPr="003015FD">
        <w:t xml:space="preserve"> </w:t>
      </w:r>
      <w:r w:rsidRPr="003015FD">
        <w:t>reasonable</w:t>
      </w:r>
      <w:r w:rsidR="00975895" w:rsidRPr="003015FD">
        <w:t xml:space="preserve"> </w:t>
      </w:r>
      <w:r w:rsidRPr="003015FD">
        <w:t>and</w:t>
      </w:r>
      <w:r w:rsidR="00975895" w:rsidRPr="003015FD">
        <w:t xml:space="preserve"> </w:t>
      </w:r>
      <w:r w:rsidRPr="003015FD">
        <w:t>justified.</w:t>
      </w:r>
      <w:r w:rsidR="00975895" w:rsidRPr="003015FD">
        <w:t xml:space="preserve"> </w:t>
      </w:r>
      <w:r w:rsidRPr="003015FD">
        <w:t>Members</w:t>
      </w:r>
      <w:r w:rsidR="00975895" w:rsidRPr="003015FD">
        <w:t xml:space="preserve"> </w:t>
      </w:r>
      <w:r w:rsidRPr="003015FD">
        <w:t>of</w:t>
      </w:r>
      <w:r w:rsidR="00975895" w:rsidRPr="003015FD">
        <w:t xml:space="preserve"> </w:t>
      </w:r>
      <w:r w:rsidRPr="003015FD">
        <w:t>Parliament</w:t>
      </w:r>
      <w:r w:rsidR="00975895" w:rsidRPr="003015FD">
        <w:t xml:space="preserve"> </w:t>
      </w:r>
      <w:r w:rsidRPr="003015FD">
        <w:t>can</w:t>
      </w:r>
      <w:r w:rsidR="00975895" w:rsidRPr="003015FD">
        <w:t xml:space="preserve"> </w:t>
      </w:r>
      <w:r w:rsidRPr="003015FD">
        <w:t>then</w:t>
      </w:r>
      <w:r w:rsidR="00975895" w:rsidRPr="003015FD">
        <w:t xml:space="preserve"> </w:t>
      </w:r>
      <w:r w:rsidRPr="003015FD">
        <w:t>consider</w:t>
      </w:r>
      <w:r w:rsidR="00975895" w:rsidRPr="003015FD">
        <w:t xml:space="preserve"> </w:t>
      </w:r>
      <w:r w:rsidRPr="003015FD">
        <w:t>these</w:t>
      </w:r>
      <w:r w:rsidR="00975895" w:rsidRPr="003015FD">
        <w:t xml:space="preserve"> </w:t>
      </w:r>
      <w:r w:rsidRPr="003015FD">
        <w:t>statements</w:t>
      </w:r>
      <w:r w:rsidR="00975895" w:rsidRPr="003015FD">
        <w:t xml:space="preserve"> </w:t>
      </w:r>
      <w:r w:rsidRPr="003015FD">
        <w:t>and</w:t>
      </w:r>
      <w:r w:rsidR="00975895" w:rsidRPr="003015FD">
        <w:t xml:space="preserve"> </w:t>
      </w:r>
      <w:r w:rsidRPr="003015FD">
        <w:t>raise</w:t>
      </w:r>
      <w:r w:rsidR="00975895" w:rsidRPr="003015FD">
        <w:t xml:space="preserve"> </w:t>
      </w:r>
      <w:r w:rsidRPr="003015FD">
        <w:t>any</w:t>
      </w:r>
      <w:r w:rsidR="00975895" w:rsidRPr="003015FD">
        <w:t xml:space="preserve"> </w:t>
      </w:r>
      <w:r w:rsidRPr="003015FD">
        <w:t>concerns</w:t>
      </w:r>
      <w:r w:rsidR="00975895" w:rsidRPr="003015FD">
        <w:t xml:space="preserve"> </w:t>
      </w:r>
      <w:r w:rsidRPr="003015FD">
        <w:t>they</w:t>
      </w:r>
      <w:r w:rsidR="00975895" w:rsidRPr="003015FD">
        <w:t xml:space="preserve"> </w:t>
      </w:r>
      <w:r w:rsidRPr="003015FD">
        <w:t>may</w:t>
      </w:r>
      <w:r w:rsidR="00975895" w:rsidRPr="003015FD">
        <w:t xml:space="preserve"> </w:t>
      </w:r>
      <w:r w:rsidRPr="003015FD">
        <w:t>have</w:t>
      </w:r>
      <w:r w:rsidR="00975895" w:rsidRPr="003015FD">
        <w:t xml:space="preserve"> </w:t>
      </w:r>
      <w:r w:rsidRPr="003015FD">
        <w:t>during</w:t>
      </w:r>
      <w:r w:rsidR="00975895" w:rsidRPr="003015FD">
        <w:t xml:space="preserve"> </w:t>
      </w:r>
      <w:r w:rsidRPr="003015FD">
        <w:t>the</w:t>
      </w:r>
      <w:r w:rsidR="00975895" w:rsidRPr="003015FD">
        <w:t xml:space="preserve"> </w:t>
      </w:r>
      <w:r w:rsidRPr="003015FD">
        <w:t>parliamentary</w:t>
      </w:r>
      <w:r w:rsidR="00975895" w:rsidRPr="003015FD">
        <w:t xml:space="preserve"> </w:t>
      </w:r>
      <w:r w:rsidRPr="003015FD">
        <w:t>debate.</w:t>
      </w:r>
      <w:r w:rsidR="00975895" w:rsidRPr="003015FD">
        <w:t xml:space="preserve"> </w:t>
      </w:r>
    </w:p>
    <w:p w14:paraId="51D339F2" w14:textId="01BE2D24" w:rsidR="008E0945" w:rsidRPr="003015FD" w:rsidRDefault="008E0945" w:rsidP="0002642E">
      <w:r w:rsidRPr="003015FD">
        <w:t>The</w:t>
      </w:r>
      <w:r w:rsidR="00975895" w:rsidRPr="003015FD">
        <w:t xml:space="preserve"> </w:t>
      </w:r>
      <w:r w:rsidRPr="003015FD">
        <w:t>Charter</w:t>
      </w:r>
      <w:r w:rsidR="00975895" w:rsidRPr="003015FD">
        <w:t xml:space="preserve"> </w:t>
      </w:r>
      <w:r w:rsidRPr="003015FD">
        <w:t>also</w:t>
      </w:r>
      <w:r w:rsidR="00975895" w:rsidRPr="003015FD">
        <w:t xml:space="preserve"> </w:t>
      </w:r>
      <w:r w:rsidRPr="003015FD">
        <w:t>requires</w:t>
      </w:r>
      <w:r w:rsidR="00975895" w:rsidRPr="003015FD">
        <w:t xml:space="preserve"> </w:t>
      </w:r>
      <w:r w:rsidRPr="003015FD">
        <w:t>the</w:t>
      </w:r>
      <w:r w:rsidR="00975895" w:rsidRPr="003015FD">
        <w:t xml:space="preserve"> </w:t>
      </w:r>
      <w:r w:rsidRPr="003015FD">
        <w:t>Scrutiny</w:t>
      </w:r>
      <w:r w:rsidR="00975895" w:rsidRPr="003015FD">
        <w:t xml:space="preserve"> </w:t>
      </w:r>
      <w:r w:rsidRPr="003015FD">
        <w:t>of</w:t>
      </w:r>
      <w:r w:rsidR="00975895" w:rsidRPr="003015FD">
        <w:t xml:space="preserve"> </w:t>
      </w:r>
      <w:r w:rsidRPr="003015FD">
        <w:t>Acts</w:t>
      </w:r>
      <w:r w:rsidR="00975895" w:rsidRPr="003015FD">
        <w:t xml:space="preserve"> </w:t>
      </w:r>
      <w:r w:rsidRPr="003015FD">
        <w:t>and</w:t>
      </w:r>
      <w:r w:rsidR="00975895" w:rsidRPr="003015FD">
        <w:t xml:space="preserve"> </w:t>
      </w:r>
      <w:r w:rsidRPr="003015FD">
        <w:t>Regulations</w:t>
      </w:r>
      <w:r w:rsidR="00975895" w:rsidRPr="003015FD">
        <w:t xml:space="preserve"> </w:t>
      </w:r>
      <w:r w:rsidRPr="003015FD">
        <w:t>Committee</w:t>
      </w:r>
      <w:r w:rsidR="00975895" w:rsidRPr="003015FD">
        <w:t xml:space="preserve"> </w:t>
      </w:r>
      <w:r w:rsidRPr="003015FD">
        <w:t>(SARC)</w:t>
      </w:r>
      <w:r w:rsidR="00975895" w:rsidRPr="003015FD">
        <w:t xml:space="preserve"> </w:t>
      </w:r>
      <w:r w:rsidRPr="003015FD">
        <w:t>to</w:t>
      </w:r>
      <w:r w:rsidR="00975895" w:rsidRPr="003015FD">
        <w:t xml:space="preserve"> </w:t>
      </w:r>
      <w:r w:rsidRPr="003015FD">
        <w:t>prepare</w:t>
      </w:r>
      <w:r w:rsidR="00975895" w:rsidRPr="003015FD">
        <w:t xml:space="preserve"> </w:t>
      </w:r>
      <w:r w:rsidRPr="003015FD">
        <w:t>a</w:t>
      </w:r>
      <w:r w:rsidR="00975895" w:rsidRPr="003015FD">
        <w:t xml:space="preserve"> </w:t>
      </w:r>
      <w:r w:rsidRPr="003015FD">
        <w:t>report</w:t>
      </w:r>
      <w:r w:rsidR="00975895" w:rsidRPr="003015FD">
        <w:t xml:space="preserve"> </w:t>
      </w:r>
      <w:r w:rsidRPr="003015FD">
        <w:t>on</w:t>
      </w:r>
      <w:r w:rsidR="00975895" w:rsidRPr="003015FD">
        <w:t xml:space="preserve"> </w:t>
      </w:r>
      <w:r w:rsidRPr="003015FD">
        <w:t>any</w:t>
      </w:r>
      <w:r w:rsidR="00975895" w:rsidRPr="003015FD">
        <w:t xml:space="preserve"> </w:t>
      </w:r>
      <w:r w:rsidRPr="003015FD">
        <w:t>Bill</w:t>
      </w:r>
      <w:r w:rsidR="00975895" w:rsidRPr="003015FD">
        <w:t xml:space="preserve"> </w:t>
      </w:r>
      <w:r w:rsidRPr="003015FD">
        <w:t>introduced</w:t>
      </w:r>
      <w:r w:rsidR="00975895" w:rsidRPr="003015FD">
        <w:t xml:space="preserve"> </w:t>
      </w:r>
      <w:r w:rsidRPr="003015FD">
        <w:t>into</w:t>
      </w:r>
      <w:r w:rsidR="00975895" w:rsidRPr="003015FD">
        <w:t xml:space="preserve"> </w:t>
      </w:r>
      <w:r w:rsidRPr="003015FD">
        <w:t>Parliament</w:t>
      </w:r>
      <w:r w:rsidR="005F7930">
        <w:t xml:space="preserve">, which must </w:t>
      </w:r>
      <w:r w:rsidRPr="003015FD">
        <w:t>consider</w:t>
      </w:r>
      <w:r w:rsidR="00975895" w:rsidRPr="003015FD">
        <w:t xml:space="preserve"> </w:t>
      </w:r>
      <w:r w:rsidRPr="003015FD">
        <w:t>whether</w:t>
      </w:r>
      <w:r w:rsidR="00975895" w:rsidRPr="003015FD">
        <w:t xml:space="preserve"> </w:t>
      </w:r>
      <w:r w:rsidRPr="003015FD">
        <w:t>the</w:t>
      </w:r>
      <w:r w:rsidR="00975895" w:rsidRPr="003015FD">
        <w:t xml:space="preserve"> </w:t>
      </w:r>
      <w:r w:rsidRPr="003015FD">
        <w:t>Bill</w:t>
      </w:r>
      <w:r w:rsidR="00975895" w:rsidRPr="003015FD">
        <w:t xml:space="preserve"> </w:t>
      </w:r>
      <w:r w:rsidRPr="003015FD">
        <w:t>is</w:t>
      </w:r>
      <w:r w:rsidR="00975895" w:rsidRPr="003015FD">
        <w:t xml:space="preserve"> </w:t>
      </w:r>
      <w:r w:rsidRPr="003015FD">
        <w:t>incompatible</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SARC</w:t>
      </w:r>
      <w:r w:rsidR="00975895" w:rsidRPr="003015FD">
        <w:t xml:space="preserve"> </w:t>
      </w:r>
      <w:r w:rsidRPr="003015FD">
        <w:t>accepts</w:t>
      </w:r>
      <w:r w:rsidR="00975895" w:rsidRPr="003015FD">
        <w:t xml:space="preserve"> </w:t>
      </w:r>
      <w:r w:rsidRPr="003015FD">
        <w:t>and</w:t>
      </w:r>
      <w:r w:rsidR="00975895" w:rsidRPr="003015FD">
        <w:t xml:space="preserve"> </w:t>
      </w:r>
      <w:r w:rsidRPr="003015FD">
        <w:t>considers</w:t>
      </w:r>
      <w:r w:rsidR="00975895" w:rsidRPr="003015FD">
        <w:t xml:space="preserve"> </w:t>
      </w:r>
      <w:r w:rsidRPr="003015FD">
        <w:t>public</w:t>
      </w:r>
      <w:r w:rsidR="00975895" w:rsidRPr="003015FD">
        <w:t xml:space="preserve"> </w:t>
      </w:r>
      <w:r w:rsidRPr="003015FD">
        <w:t>submissions</w:t>
      </w:r>
      <w:r w:rsidR="00975895" w:rsidRPr="003015FD">
        <w:t xml:space="preserve"> </w:t>
      </w:r>
      <w:r w:rsidRPr="003015FD">
        <w:t>on</w:t>
      </w:r>
      <w:r w:rsidR="00975895" w:rsidRPr="003015FD">
        <w:t xml:space="preserve"> </w:t>
      </w:r>
      <w:r w:rsidRPr="003015FD">
        <w:t>Bills</w:t>
      </w:r>
      <w:r w:rsidR="00975895" w:rsidRPr="003015FD">
        <w:t xml:space="preserve"> </w:t>
      </w:r>
      <w:r w:rsidRPr="003015FD">
        <w:t>it</w:t>
      </w:r>
      <w:r w:rsidR="00975895" w:rsidRPr="003015FD">
        <w:t xml:space="preserve"> </w:t>
      </w:r>
      <w:r w:rsidRPr="003015FD">
        <w:t>is</w:t>
      </w:r>
      <w:r w:rsidR="00975895" w:rsidRPr="003015FD">
        <w:t xml:space="preserve"> </w:t>
      </w:r>
      <w:r w:rsidRPr="003015FD">
        <w:t>considering,</w:t>
      </w:r>
      <w:r w:rsidR="00975895" w:rsidRPr="003015FD">
        <w:t xml:space="preserve"> </w:t>
      </w:r>
      <w:r w:rsidRPr="003015FD">
        <w:t>which</w:t>
      </w:r>
      <w:r w:rsidR="00975895" w:rsidRPr="003015FD">
        <w:t xml:space="preserve"> </w:t>
      </w:r>
      <w:r w:rsidRPr="003015FD">
        <w:t>are</w:t>
      </w:r>
      <w:r w:rsidR="00975895" w:rsidRPr="003015FD">
        <w:t xml:space="preserve"> </w:t>
      </w:r>
      <w:r w:rsidRPr="003015FD">
        <w:t>available</w:t>
      </w:r>
      <w:r w:rsidR="00975895" w:rsidRPr="003015FD">
        <w:t xml:space="preserve"> </w:t>
      </w:r>
      <w:r w:rsidRPr="003015FD">
        <w:t>on</w:t>
      </w:r>
      <w:r w:rsidR="00975895" w:rsidRPr="003015FD">
        <w:t xml:space="preserve"> </w:t>
      </w:r>
      <w:r w:rsidRPr="003015FD">
        <w:t>the</w:t>
      </w:r>
      <w:r w:rsidR="00975895" w:rsidRPr="003015FD">
        <w:t xml:space="preserve"> </w:t>
      </w:r>
      <w:r w:rsidRPr="003015FD">
        <w:t>SARC</w:t>
      </w:r>
      <w:r w:rsidR="00975895" w:rsidRPr="003015FD">
        <w:t xml:space="preserve"> </w:t>
      </w:r>
      <w:r w:rsidRPr="003015FD">
        <w:t>website</w:t>
      </w:r>
      <w:r w:rsidR="00975895" w:rsidRPr="003015FD">
        <w:t xml:space="preserve"> </w:t>
      </w:r>
      <w:r w:rsidRPr="003015FD">
        <w:t>with</w:t>
      </w:r>
      <w:r w:rsidR="00975895" w:rsidRPr="003015FD">
        <w:t xml:space="preserve"> </w:t>
      </w:r>
      <w:r w:rsidRPr="003015FD">
        <w:t>the</w:t>
      </w:r>
      <w:r w:rsidR="00975895" w:rsidRPr="003015FD">
        <w:t xml:space="preserve"> </w:t>
      </w:r>
      <w:r w:rsidRPr="003015FD">
        <w:t>relevant</w:t>
      </w:r>
      <w:r w:rsidR="00975895" w:rsidRPr="003015FD">
        <w:t xml:space="preserve"> </w:t>
      </w:r>
      <w:r w:rsidRPr="003015FD">
        <w:t>Alert</w:t>
      </w:r>
      <w:r w:rsidR="00975895" w:rsidRPr="003015FD">
        <w:t xml:space="preserve"> </w:t>
      </w:r>
      <w:r w:rsidRPr="003015FD">
        <w:t>Digest.</w:t>
      </w:r>
      <w:r w:rsidR="00975895" w:rsidRPr="003015FD">
        <w:t xml:space="preserve"> </w:t>
      </w:r>
      <w:r w:rsidRPr="003015FD">
        <w:t>In</w:t>
      </w:r>
      <w:r w:rsidR="00975895" w:rsidRPr="003015FD">
        <w:t xml:space="preserve"> </w:t>
      </w:r>
      <w:r w:rsidRPr="003015FD">
        <w:t>this</w:t>
      </w:r>
      <w:r w:rsidR="00975895" w:rsidRPr="003015FD">
        <w:t xml:space="preserve"> </w:t>
      </w:r>
      <w:r w:rsidRPr="003015FD">
        <w:t>way,</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impact</w:t>
      </w:r>
      <w:r w:rsidR="00975895" w:rsidRPr="003015FD">
        <w:t xml:space="preserve"> </w:t>
      </w:r>
      <w:r w:rsidRPr="003015FD">
        <w:t>of</w:t>
      </w:r>
      <w:r w:rsidR="00975895" w:rsidRPr="003015FD">
        <w:t xml:space="preserve"> </w:t>
      </w:r>
      <w:r w:rsidRPr="003015FD">
        <w:t>a</w:t>
      </w:r>
      <w:r w:rsidR="00975895" w:rsidRPr="003015FD">
        <w:t xml:space="preserve"> </w:t>
      </w:r>
      <w:r w:rsidRPr="003015FD">
        <w:t>proposed</w:t>
      </w:r>
      <w:r w:rsidR="00975895" w:rsidRPr="003015FD">
        <w:t xml:space="preserve"> </w:t>
      </w:r>
      <w:r w:rsidRPr="003015FD">
        <w:t>law</w:t>
      </w:r>
      <w:r w:rsidR="00975895" w:rsidRPr="003015FD">
        <w:t xml:space="preserve"> </w:t>
      </w:r>
      <w:r w:rsidRPr="003015FD">
        <w:t>can</w:t>
      </w:r>
      <w:r w:rsidR="00975895" w:rsidRPr="003015FD">
        <w:t xml:space="preserve"> </w:t>
      </w:r>
      <w:r w:rsidRPr="003015FD">
        <w:t>be</w:t>
      </w:r>
      <w:r w:rsidR="00975895" w:rsidRPr="003015FD">
        <w:t xml:space="preserve"> </w:t>
      </w:r>
      <w:r w:rsidRPr="003015FD">
        <w:t>thoroughly</w:t>
      </w:r>
      <w:r w:rsidR="00975895" w:rsidRPr="003015FD">
        <w:t xml:space="preserve"> </w:t>
      </w:r>
      <w:r w:rsidRPr="003015FD">
        <w:t>scrutinised.</w:t>
      </w:r>
      <w:r w:rsidR="00975895" w:rsidRPr="003015FD">
        <w:t xml:space="preserve"> </w:t>
      </w:r>
      <w:r w:rsidRPr="003015FD">
        <w:t>The</w:t>
      </w:r>
      <w:r w:rsidR="00975895" w:rsidRPr="003015FD">
        <w:t xml:space="preserve"> </w:t>
      </w:r>
      <w:r w:rsidRPr="003015FD">
        <w:t>Charter</w:t>
      </w:r>
      <w:r w:rsidR="000C5726">
        <w:t>'</w:t>
      </w:r>
      <w:r w:rsidRPr="003015FD">
        <w:t>s</w:t>
      </w:r>
      <w:r w:rsidR="00975895" w:rsidRPr="003015FD">
        <w:t xml:space="preserve"> </w:t>
      </w:r>
      <w:r w:rsidRPr="003015FD">
        <w:t>dialogue</w:t>
      </w:r>
      <w:r w:rsidR="00975895" w:rsidRPr="003015FD">
        <w:t xml:space="preserve"> </w:t>
      </w:r>
      <w:r w:rsidRPr="003015FD">
        <w:t>model</w:t>
      </w:r>
      <w:r w:rsidR="00975895" w:rsidRPr="003015FD">
        <w:t xml:space="preserve"> </w:t>
      </w:r>
      <w:r w:rsidRPr="003015FD">
        <w:t>provides</w:t>
      </w:r>
      <w:r w:rsidR="00975895" w:rsidRPr="003015FD">
        <w:t xml:space="preserve"> </w:t>
      </w:r>
      <w:r w:rsidRPr="003015FD">
        <w:t>an</w:t>
      </w:r>
      <w:r w:rsidR="00975895" w:rsidRPr="003015FD">
        <w:t xml:space="preserve"> </w:t>
      </w:r>
      <w:r w:rsidRPr="003015FD">
        <w:t>important</w:t>
      </w:r>
      <w:r w:rsidR="00975895" w:rsidRPr="003015FD">
        <w:t xml:space="preserve"> </w:t>
      </w:r>
      <w:r w:rsidRPr="003015FD">
        <w:t>mechanism</w:t>
      </w:r>
      <w:r w:rsidR="00975895" w:rsidRPr="003015FD">
        <w:t xml:space="preserve"> </w:t>
      </w:r>
      <w:r w:rsidRPr="003015FD">
        <w:t>for</w:t>
      </w:r>
      <w:r w:rsidR="00975895" w:rsidRPr="003015FD">
        <w:t xml:space="preserve"> </w:t>
      </w:r>
      <w:r w:rsidRPr="003015FD">
        <w:t>enabling</w:t>
      </w:r>
      <w:r w:rsidR="00975895" w:rsidRPr="003015FD">
        <w:t xml:space="preserve"> </w:t>
      </w:r>
      <w:r w:rsidRPr="003015FD">
        <w:t>both</w:t>
      </w:r>
      <w:r w:rsidR="00975895" w:rsidRPr="003015FD">
        <w:t xml:space="preserve"> </w:t>
      </w:r>
      <w:r w:rsidRPr="003015FD">
        <w:t>parliamentarians</w:t>
      </w:r>
      <w:r w:rsidR="00975895" w:rsidRPr="003015FD">
        <w:t xml:space="preserve"> </w:t>
      </w:r>
      <w:r w:rsidRPr="003015FD">
        <w:t>and</w:t>
      </w:r>
      <w:r w:rsidR="00975895" w:rsidRPr="003015FD">
        <w:t xml:space="preserve"> </w:t>
      </w:r>
      <w:r w:rsidRPr="003015FD">
        <w:t>the</w:t>
      </w:r>
      <w:r w:rsidR="00975895" w:rsidRPr="003015FD">
        <w:t xml:space="preserve"> </w:t>
      </w:r>
      <w:r w:rsidRPr="003015FD">
        <w:t>community</w:t>
      </w:r>
      <w:r w:rsidR="00975895" w:rsidRPr="003015FD">
        <w:t xml:space="preserve"> </w:t>
      </w:r>
      <w:r w:rsidRPr="003015FD">
        <w:t>to</w:t>
      </w:r>
      <w:r w:rsidR="00975895" w:rsidRPr="003015FD">
        <w:t xml:space="preserve"> </w:t>
      </w:r>
      <w:r w:rsidRPr="003015FD">
        <w:t>consider</w:t>
      </w:r>
      <w:r w:rsidR="00975895" w:rsidRPr="003015FD">
        <w:t xml:space="preserve"> </w:t>
      </w:r>
      <w:r w:rsidRPr="003015FD">
        <w:t>human</w:t>
      </w:r>
      <w:r w:rsidR="00975895" w:rsidRPr="003015FD">
        <w:t xml:space="preserve"> </w:t>
      </w:r>
      <w:r w:rsidRPr="003015FD">
        <w:t>rights</w:t>
      </w:r>
      <w:r w:rsidR="00975895" w:rsidRPr="003015FD">
        <w:t xml:space="preserve"> </w:t>
      </w:r>
      <w:r w:rsidRPr="003015FD">
        <w:t>implications</w:t>
      </w:r>
      <w:r w:rsidR="00975895" w:rsidRPr="003015FD">
        <w:t xml:space="preserve"> </w:t>
      </w:r>
      <w:r w:rsidRPr="003015FD">
        <w:t>of</w:t>
      </w:r>
      <w:r w:rsidR="00975895" w:rsidRPr="003015FD">
        <w:t xml:space="preserve"> </w:t>
      </w:r>
      <w:r w:rsidRPr="003015FD">
        <w:t>proposed</w:t>
      </w:r>
      <w:r w:rsidR="00975895" w:rsidRPr="003015FD">
        <w:t xml:space="preserve"> </w:t>
      </w:r>
      <w:r w:rsidRPr="003015FD">
        <w:t>legislation.</w:t>
      </w:r>
    </w:p>
    <w:p w14:paraId="2F62D6F3" w14:textId="4207A4C9" w:rsidR="008E0945" w:rsidRPr="003015FD" w:rsidRDefault="008E0945" w:rsidP="0002642E">
      <w:r w:rsidRPr="003015FD">
        <w:t>This</w:t>
      </w:r>
      <w:r w:rsidR="00975895" w:rsidRPr="003015FD">
        <w:t xml:space="preserve"> </w:t>
      </w:r>
      <w:r w:rsidRPr="003015FD">
        <w:t>chapter</w:t>
      </w:r>
      <w:r w:rsidR="00975895" w:rsidRPr="003015FD">
        <w:t xml:space="preserve"> </w:t>
      </w:r>
      <w:r w:rsidRPr="003015FD">
        <w:t>highlights</w:t>
      </w:r>
      <w:r w:rsidR="00975895" w:rsidRPr="003015FD">
        <w:t xml:space="preserve"> </w:t>
      </w:r>
      <w:r w:rsidRPr="003015FD">
        <w:t>instances</w:t>
      </w:r>
      <w:r w:rsidR="00975895" w:rsidRPr="003015FD">
        <w:t xml:space="preserve"> </w:t>
      </w:r>
      <w:r w:rsidRPr="003015FD">
        <w:t>of</w:t>
      </w:r>
      <w:r w:rsidR="00975895" w:rsidRPr="003015FD">
        <w:t xml:space="preserve"> </w:t>
      </w:r>
      <w:r w:rsidRPr="003015FD">
        <w:t>Parliament</w:t>
      </w:r>
      <w:r w:rsidR="00975895" w:rsidRPr="003015FD">
        <w:t xml:space="preserve"> </w:t>
      </w:r>
      <w:r w:rsidRPr="003015FD">
        <w:t>actively</w:t>
      </w:r>
      <w:r w:rsidR="00975895" w:rsidRPr="003015FD">
        <w:t xml:space="preserve"> </w:t>
      </w:r>
      <w:r w:rsidRPr="003015FD">
        <w:t>engaging</w:t>
      </w:r>
      <w:r w:rsidR="00975895" w:rsidRPr="003015FD">
        <w:t xml:space="preserve"> </w:t>
      </w:r>
      <w:r w:rsidRPr="003015FD">
        <w:t>with</w:t>
      </w:r>
      <w:r w:rsidR="00975895" w:rsidRPr="003015FD">
        <w:t xml:space="preserve"> </w:t>
      </w:r>
      <w:r w:rsidRPr="003015FD">
        <w:t>the</w:t>
      </w:r>
      <w:r w:rsidR="00975895" w:rsidRPr="003015FD">
        <w:t xml:space="preserve"> </w:t>
      </w:r>
      <w:r w:rsidRPr="003015FD">
        <w:t>Charter</w:t>
      </w:r>
      <w:r w:rsidR="00975895" w:rsidRPr="003015FD">
        <w:t xml:space="preserve"> </w:t>
      </w:r>
      <w:r w:rsidRPr="003015FD">
        <w:t>and</w:t>
      </w:r>
      <w:r w:rsidR="00975895" w:rsidRPr="003015FD">
        <w:t xml:space="preserve"> </w:t>
      </w:r>
      <w:r w:rsidRPr="003015FD">
        <w:t>contemplating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issues</w:t>
      </w:r>
      <w:r w:rsidR="00975895" w:rsidRPr="003015FD">
        <w:t xml:space="preserve"> </w:t>
      </w:r>
      <w:r w:rsidRPr="003015FD">
        <w:t>during</w:t>
      </w:r>
      <w:r w:rsidR="00975895" w:rsidRPr="003015FD">
        <w:t xml:space="preserve"> </w:t>
      </w:r>
      <w:r w:rsidRPr="003015FD">
        <w:t>parliamentary</w:t>
      </w:r>
      <w:r w:rsidR="00975895" w:rsidRPr="003015FD">
        <w:t xml:space="preserve"> </w:t>
      </w:r>
      <w:r w:rsidRPr="003015FD">
        <w:t>debates</w:t>
      </w:r>
      <w:r w:rsidR="00975895" w:rsidRPr="003015FD">
        <w:t xml:space="preserve"> </w:t>
      </w:r>
      <w:r w:rsidRPr="003015FD">
        <w:t>and</w:t>
      </w:r>
      <w:r w:rsidR="00975895" w:rsidRPr="003015FD">
        <w:t xml:space="preserve"> </w:t>
      </w:r>
      <w:r w:rsidRPr="003015FD">
        <w:t>through</w:t>
      </w:r>
      <w:r w:rsidR="00975895" w:rsidRPr="003015FD">
        <w:t xml:space="preserve"> </w:t>
      </w:r>
      <w:r w:rsidRPr="003015FD">
        <w:t>the</w:t>
      </w:r>
      <w:r w:rsidR="00975895" w:rsidRPr="003015FD">
        <w:t xml:space="preserve"> </w:t>
      </w:r>
      <w:r w:rsidRPr="003015FD">
        <w:t>law-making</w:t>
      </w:r>
      <w:r w:rsidR="00975895" w:rsidRPr="003015FD">
        <w:t xml:space="preserve"> </w:t>
      </w:r>
      <w:r w:rsidRPr="003015FD">
        <w:t>process.</w:t>
      </w:r>
      <w:r w:rsidR="00975895" w:rsidRPr="003015FD">
        <w:t xml:space="preserve"> </w:t>
      </w:r>
      <w:r w:rsidRPr="003015FD">
        <w:t>These</w:t>
      </w:r>
      <w:r w:rsidR="00975895" w:rsidRPr="003015FD">
        <w:t xml:space="preserve"> </w:t>
      </w:r>
      <w:r w:rsidRPr="003015FD">
        <w:t>are</w:t>
      </w:r>
      <w:r w:rsidR="00975895" w:rsidRPr="003015FD">
        <w:t xml:space="preserve"> </w:t>
      </w:r>
      <w:r w:rsidRPr="003015FD">
        <w:t>examples</w:t>
      </w:r>
      <w:r w:rsidR="00975895" w:rsidRPr="003015FD">
        <w:t xml:space="preserve"> </w:t>
      </w:r>
      <w:r w:rsidRPr="003015FD">
        <w:t>of</w:t>
      </w:r>
      <w:r w:rsidR="00975895" w:rsidRPr="003015FD">
        <w:t xml:space="preserve"> </w:t>
      </w:r>
      <w:r w:rsidRPr="003015FD">
        <w:t>the</w:t>
      </w:r>
      <w:r w:rsidR="00975895" w:rsidRPr="003015FD">
        <w:t xml:space="preserve"> </w:t>
      </w:r>
      <w:r w:rsidRPr="003015FD">
        <w:t>dialogue</w:t>
      </w:r>
      <w:r w:rsidR="00975895" w:rsidRPr="003015FD">
        <w:t xml:space="preserve"> </w:t>
      </w:r>
      <w:r w:rsidRPr="003015FD">
        <w:t>model</w:t>
      </w:r>
      <w:r w:rsidR="00975895" w:rsidRPr="003015FD">
        <w:t xml:space="preserve"> </w:t>
      </w:r>
      <w:r w:rsidRPr="003015FD">
        <w:t>operating</w:t>
      </w:r>
      <w:r w:rsidR="00975895" w:rsidRPr="003015FD">
        <w:t xml:space="preserve"> </w:t>
      </w:r>
      <w:r w:rsidRPr="003015FD">
        <w:t>effectively,</w:t>
      </w:r>
      <w:r w:rsidR="00975895" w:rsidRPr="003015FD">
        <w:t xml:space="preserve"> </w:t>
      </w:r>
      <w:r w:rsidRPr="003015FD">
        <w:t>to</w:t>
      </w:r>
      <w:r w:rsidR="00975895" w:rsidRPr="003015FD">
        <w:t xml:space="preserve"> </w:t>
      </w:r>
      <w:r w:rsidRPr="003015FD">
        <w:t>ensure</w:t>
      </w:r>
      <w:r w:rsidR="00975895" w:rsidRPr="003015FD">
        <w:t xml:space="preserve"> </w:t>
      </w:r>
      <w:r w:rsidRPr="003015FD">
        <w:t>human</w:t>
      </w:r>
      <w:r w:rsidR="00975895" w:rsidRPr="003015FD">
        <w:t xml:space="preserve"> </w:t>
      </w:r>
      <w:r w:rsidRPr="003015FD">
        <w:t>rights</w:t>
      </w:r>
      <w:r w:rsidR="00975895" w:rsidRPr="003015FD">
        <w:t xml:space="preserve"> </w:t>
      </w:r>
      <w:r w:rsidRPr="003015FD">
        <w:t>are</w:t>
      </w:r>
      <w:r w:rsidR="00975895" w:rsidRPr="003015FD">
        <w:t xml:space="preserve"> </w:t>
      </w:r>
      <w:r w:rsidRPr="003015FD">
        <w:t>considered</w:t>
      </w:r>
      <w:r w:rsidR="00975895" w:rsidRPr="003015FD">
        <w:t xml:space="preserve"> </w:t>
      </w:r>
      <w:r w:rsidRPr="003015FD">
        <w:t>during</w:t>
      </w:r>
      <w:r w:rsidR="00975895" w:rsidRPr="003015FD">
        <w:t xml:space="preserve"> </w:t>
      </w:r>
      <w:r w:rsidRPr="003015FD">
        <w:t>the</w:t>
      </w:r>
      <w:r w:rsidR="00975895" w:rsidRPr="003015FD">
        <w:t xml:space="preserve"> </w:t>
      </w:r>
      <w:r w:rsidRPr="003015FD">
        <w:t>development</w:t>
      </w:r>
      <w:r w:rsidR="00975895" w:rsidRPr="003015FD">
        <w:t xml:space="preserve"> </w:t>
      </w:r>
      <w:r w:rsidRPr="003015FD">
        <w:t>of</w:t>
      </w:r>
      <w:r w:rsidR="00975895" w:rsidRPr="003015FD">
        <w:t xml:space="preserve"> </w:t>
      </w:r>
      <w:r w:rsidRPr="003015FD">
        <w:t>all</w:t>
      </w:r>
      <w:r w:rsidR="00975895" w:rsidRPr="003015FD">
        <w:t xml:space="preserve"> </w:t>
      </w:r>
      <w:r w:rsidRPr="003015FD">
        <w:t>Victorian</w:t>
      </w:r>
      <w:r w:rsidR="00975895" w:rsidRPr="003015FD">
        <w:t xml:space="preserve"> </w:t>
      </w:r>
      <w:r w:rsidRPr="003015FD">
        <w:t>laws.</w:t>
      </w:r>
      <w:r w:rsidR="00975895" w:rsidRPr="003015FD">
        <w:t xml:space="preserve"> </w:t>
      </w:r>
    </w:p>
    <w:p w14:paraId="7DDD008A" w14:textId="3A498FDB" w:rsidR="008E0945" w:rsidRPr="003015FD" w:rsidRDefault="007A7782" w:rsidP="0002642E">
      <w:r w:rsidRPr="003015FD">
        <w:t>In</w:t>
      </w:r>
      <w:r w:rsidR="00975895" w:rsidRPr="003015FD">
        <w:t xml:space="preserve"> </w:t>
      </w:r>
      <w:r w:rsidRPr="003015FD">
        <w:t>2018,</w:t>
      </w:r>
      <w:r w:rsidR="00975895" w:rsidRPr="003015FD">
        <w:t xml:space="preserve"> </w:t>
      </w:r>
      <w:r w:rsidR="008E0945" w:rsidRPr="003015FD">
        <w:t>SARC</w:t>
      </w:r>
      <w:r w:rsidR="00975895" w:rsidRPr="003015FD">
        <w:t xml:space="preserve"> </w:t>
      </w:r>
      <w:r w:rsidRPr="003015FD">
        <w:t>continued</w:t>
      </w:r>
      <w:r w:rsidR="00975895" w:rsidRPr="003015FD">
        <w:t xml:space="preserve"> </w:t>
      </w:r>
      <w:r w:rsidRPr="003015FD">
        <w:t>to</w:t>
      </w:r>
      <w:r w:rsidR="00975895" w:rsidRPr="003015FD">
        <w:t xml:space="preserve"> </w:t>
      </w:r>
      <w:r w:rsidRPr="003015FD">
        <w:t>perform</w:t>
      </w:r>
      <w:r w:rsidR="00975895" w:rsidRPr="003015FD">
        <w:t xml:space="preserve"> </w:t>
      </w:r>
      <w:r w:rsidRPr="003015FD">
        <w:t>an</w:t>
      </w:r>
      <w:r w:rsidR="00975895" w:rsidRPr="003015FD">
        <w:t xml:space="preserve"> </w:t>
      </w:r>
      <w:r w:rsidRPr="003015FD">
        <w:t>important</w:t>
      </w:r>
      <w:r w:rsidR="00975895" w:rsidRPr="003015FD">
        <w:t xml:space="preserve"> </w:t>
      </w:r>
      <w:r w:rsidRPr="003015FD">
        <w:t>role</w:t>
      </w:r>
      <w:r w:rsidR="00975895" w:rsidRPr="003015FD">
        <w:t xml:space="preserve"> </w:t>
      </w:r>
      <w:r w:rsidRPr="003015FD">
        <w:t>in</w:t>
      </w:r>
      <w:r w:rsidR="00975895" w:rsidRPr="003015FD">
        <w:t xml:space="preserve"> </w:t>
      </w:r>
      <w:r w:rsidRPr="003015FD">
        <w:t>scrutinising</w:t>
      </w:r>
      <w:r w:rsidR="00975895" w:rsidRPr="003015FD">
        <w:t xml:space="preserve"> </w:t>
      </w:r>
      <w:r w:rsidRPr="003015FD">
        <w:t>the</w:t>
      </w:r>
      <w:r w:rsidR="00975895" w:rsidRPr="003015FD">
        <w:t xml:space="preserve"> </w:t>
      </w:r>
      <w:r w:rsidRPr="003015FD">
        <w:rPr>
          <w:lang w:eastAsia="en-AU"/>
        </w:rPr>
        <w:t>human</w:t>
      </w:r>
      <w:r w:rsidR="00975895" w:rsidRPr="003015FD">
        <w:rPr>
          <w:lang w:eastAsia="en-AU"/>
        </w:rPr>
        <w:t xml:space="preserve"> </w:t>
      </w:r>
      <w:r w:rsidRPr="003015FD">
        <w:rPr>
          <w:lang w:eastAsia="en-AU"/>
        </w:rPr>
        <w:t>rights</w:t>
      </w:r>
      <w:r w:rsidR="00975895" w:rsidRPr="003015FD">
        <w:rPr>
          <w:lang w:eastAsia="en-AU"/>
        </w:rPr>
        <w:t xml:space="preserve"> </w:t>
      </w:r>
      <w:r w:rsidRPr="003015FD">
        <w:rPr>
          <w:lang w:eastAsia="en-AU"/>
        </w:rPr>
        <w:t>impact</w:t>
      </w:r>
      <w:r w:rsidR="00975895" w:rsidRPr="003015FD">
        <w:rPr>
          <w:lang w:eastAsia="en-AU"/>
        </w:rPr>
        <w:t xml:space="preserve"> </w:t>
      </w:r>
      <w:r w:rsidRPr="003015FD">
        <w:rPr>
          <w:lang w:eastAsia="en-AU"/>
        </w:rPr>
        <w:t>of</w:t>
      </w:r>
      <w:r w:rsidR="00975895" w:rsidRPr="003015FD">
        <w:rPr>
          <w:lang w:eastAsia="en-AU"/>
        </w:rPr>
        <w:t xml:space="preserve"> </w:t>
      </w:r>
      <w:r w:rsidRPr="003015FD">
        <w:rPr>
          <w:lang w:eastAsia="en-AU"/>
        </w:rPr>
        <w:t>proposed</w:t>
      </w:r>
      <w:r w:rsidR="00975895" w:rsidRPr="003015FD">
        <w:rPr>
          <w:lang w:eastAsia="en-AU"/>
        </w:rPr>
        <w:t xml:space="preserve"> </w:t>
      </w:r>
      <w:r w:rsidRPr="003015FD">
        <w:rPr>
          <w:lang w:eastAsia="en-AU"/>
        </w:rPr>
        <w:t>laws.</w:t>
      </w:r>
      <w:r w:rsidR="00975895" w:rsidRPr="003015FD">
        <w:t xml:space="preserve"> </w:t>
      </w:r>
      <w:r w:rsidR="008E0945" w:rsidRPr="003015FD">
        <w:t>SARC</w:t>
      </w:r>
      <w:r w:rsidR="00975895" w:rsidRPr="003015FD">
        <w:t xml:space="preserve"> </w:t>
      </w:r>
      <w:r w:rsidR="008E0945" w:rsidRPr="003015FD">
        <w:t>reports</w:t>
      </w:r>
      <w:r w:rsidR="00975895" w:rsidRPr="003015FD">
        <w:t xml:space="preserve"> </w:t>
      </w:r>
      <w:r w:rsidRPr="003015FD">
        <w:t>were</w:t>
      </w:r>
      <w:r w:rsidR="00975895" w:rsidRPr="003015FD">
        <w:t xml:space="preserve"> </w:t>
      </w:r>
      <w:r w:rsidRPr="003015FD">
        <w:t>referenced</w:t>
      </w:r>
      <w:r w:rsidR="00975895" w:rsidRPr="003015FD">
        <w:t xml:space="preserve"> </w:t>
      </w:r>
      <w:r w:rsidR="008E0945" w:rsidRPr="003015FD">
        <w:t>in</w:t>
      </w:r>
      <w:r w:rsidR="00975895" w:rsidRPr="003015FD">
        <w:t xml:space="preserve"> </w:t>
      </w:r>
      <w:r w:rsidR="008E0945" w:rsidRPr="003015FD">
        <w:t>parliamentary</w:t>
      </w:r>
      <w:r w:rsidR="00975895" w:rsidRPr="003015FD">
        <w:t xml:space="preserve"> </w:t>
      </w:r>
      <w:r w:rsidR="008E0945" w:rsidRPr="003015FD">
        <w:t>debates</w:t>
      </w:r>
      <w:r w:rsidR="00975895" w:rsidRPr="003015FD">
        <w:t xml:space="preserve"> </w:t>
      </w:r>
      <w:r w:rsidR="008E0945" w:rsidRPr="003015FD">
        <w:t>and</w:t>
      </w:r>
      <w:r w:rsidR="00975895" w:rsidRPr="003015FD">
        <w:t xml:space="preserve"> </w:t>
      </w:r>
      <w:r w:rsidR="00DC5DAF" w:rsidRPr="003015FD">
        <w:t>several</w:t>
      </w:r>
      <w:r w:rsidR="00975895" w:rsidRPr="003015FD">
        <w:t xml:space="preserve"> </w:t>
      </w:r>
      <w:r w:rsidR="005D3541">
        <w:t xml:space="preserve">House amendments </w:t>
      </w:r>
      <w:r w:rsidRPr="003015FD">
        <w:t>were</w:t>
      </w:r>
      <w:r w:rsidR="00975895" w:rsidRPr="003015FD">
        <w:t xml:space="preserve"> </w:t>
      </w:r>
      <w:r w:rsidR="008E0945" w:rsidRPr="003015FD">
        <w:t>made</w:t>
      </w:r>
      <w:r w:rsidR="00975895" w:rsidRPr="003015FD">
        <w:t xml:space="preserve"> </w:t>
      </w:r>
      <w:r w:rsidR="008E0945" w:rsidRPr="003015FD">
        <w:t>in</w:t>
      </w:r>
      <w:r w:rsidR="00975895" w:rsidRPr="003015FD">
        <w:t xml:space="preserve"> </w:t>
      </w:r>
      <w:r w:rsidR="008E0945" w:rsidRPr="003015FD">
        <w:t>response</w:t>
      </w:r>
      <w:r w:rsidR="00975895" w:rsidRPr="003015FD">
        <w:t xml:space="preserve"> </w:t>
      </w:r>
      <w:r w:rsidR="008E0945" w:rsidRPr="003015FD">
        <w:t>to</w:t>
      </w:r>
      <w:r w:rsidR="00975895" w:rsidRPr="003015FD">
        <w:t xml:space="preserve"> </w:t>
      </w:r>
      <w:r w:rsidR="005F7930">
        <w:t>the committee's</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scrutiny</w:t>
      </w:r>
      <w:r w:rsidR="00992444" w:rsidRPr="003015FD">
        <w:t>.</w:t>
      </w:r>
    </w:p>
    <w:p w14:paraId="226AAD4A" w14:textId="3320A06C" w:rsidR="008E0945" w:rsidRPr="003015FD" w:rsidRDefault="008E0945" w:rsidP="0002642E">
      <w:r w:rsidRPr="003015FD">
        <w:t>The</w:t>
      </w:r>
      <w:r w:rsidR="00975895" w:rsidRPr="003015FD">
        <w:t xml:space="preserve"> </w:t>
      </w:r>
      <w:r w:rsidRPr="003015FD">
        <w:t>Commission</w:t>
      </w:r>
      <w:r w:rsidR="00975895" w:rsidRPr="003015FD">
        <w:t xml:space="preserve"> </w:t>
      </w:r>
      <w:r w:rsidRPr="003015FD">
        <w:t>considers</w:t>
      </w:r>
      <w:r w:rsidR="00975895" w:rsidRPr="003015FD">
        <w:t xml:space="preserve"> </w:t>
      </w:r>
      <w:r w:rsidRPr="003015FD">
        <w:t>that</w:t>
      </w:r>
      <w:r w:rsidR="00975895" w:rsidRPr="003015FD">
        <w:t xml:space="preserve"> </w:t>
      </w:r>
      <w:r w:rsidRPr="003015FD">
        <w:t>strengthening</w:t>
      </w:r>
      <w:r w:rsidR="00975895" w:rsidRPr="003015FD">
        <w:t xml:space="preserve"> </w:t>
      </w:r>
      <w:r w:rsidRPr="003015FD">
        <w:t>aspects</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0C5726">
        <w:t>'</w:t>
      </w:r>
      <w:r w:rsidRPr="003015FD">
        <w:t>s</w:t>
      </w:r>
      <w:r w:rsidR="00975895" w:rsidRPr="003015FD">
        <w:t xml:space="preserve"> </w:t>
      </w:r>
      <w:r w:rsidRPr="003015FD">
        <w:t>operation</w:t>
      </w:r>
      <w:r w:rsidR="00975895" w:rsidRPr="003015FD">
        <w:t xml:space="preserve"> </w:t>
      </w:r>
      <w:r w:rsidRPr="003015FD">
        <w:t>in</w:t>
      </w:r>
      <w:r w:rsidR="00975895" w:rsidRPr="003015FD">
        <w:t xml:space="preserve"> </w:t>
      </w:r>
      <w:r w:rsidR="005F7930">
        <w:t xml:space="preserve">developing legislation </w:t>
      </w:r>
      <w:r w:rsidR="005F7930" w:rsidRPr="003015FD">
        <w:t xml:space="preserve">would further promote </w:t>
      </w:r>
      <w:r w:rsidR="005F7930">
        <w:t>its</w:t>
      </w:r>
      <w:r w:rsidR="005F7930" w:rsidRPr="003015FD">
        <w:t xml:space="preserve"> role </w:t>
      </w:r>
      <w:r w:rsidR="005F7930">
        <w:t xml:space="preserve">in </w:t>
      </w:r>
      <w:r w:rsidR="005F7930" w:rsidRPr="003015FD">
        <w:t>the law-making process</w:t>
      </w:r>
      <w:r w:rsidR="005F7930">
        <w:t xml:space="preserve">. For example, by </w:t>
      </w:r>
      <w:r w:rsidRPr="003015FD">
        <w:t>avoiding</w:t>
      </w:r>
      <w:r w:rsidR="00975895" w:rsidRPr="003015FD">
        <w:t xml:space="preserve"> </w:t>
      </w:r>
      <w:r w:rsidRPr="003015FD">
        <w:t>the</w:t>
      </w:r>
      <w:r w:rsidR="00975895" w:rsidRPr="003015FD">
        <w:t xml:space="preserve"> </w:t>
      </w:r>
      <w:r w:rsidRPr="003015FD">
        <w:t>use</w:t>
      </w:r>
      <w:r w:rsidR="00975895" w:rsidRPr="003015FD">
        <w:t xml:space="preserve"> </w:t>
      </w:r>
      <w:r w:rsidRPr="003015FD">
        <w:t>of</w:t>
      </w:r>
      <w:r w:rsidR="00975895" w:rsidRPr="003015FD">
        <w:t xml:space="preserve"> </w:t>
      </w:r>
      <w:r w:rsidRPr="003015FD">
        <w:t>perpetual</w:t>
      </w:r>
      <w:r w:rsidR="00975895" w:rsidRPr="003015FD">
        <w:t xml:space="preserve"> </w:t>
      </w:r>
      <w:r w:rsidRPr="003015FD">
        <w:t>override</w:t>
      </w:r>
      <w:r w:rsidR="00975895" w:rsidRPr="003015FD">
        <w:t xml:space="preserve"> </w:t>
      </w:r>
      <w:r w:rsidRPr="003015FD">
        <w:t>declarations</w:t>
      </w:r>
      <w:r w:rsidR="00975895" w:rsidRPr="003015FD">
        <w:t xml:space="preserve"> </w:t>
      </w:r>
      <w:r w:rsidRPr="003015FD">
        <w:t>and</w:t>
      </w:r>
      <w:r w:rsidR="00975895" w:rsidRPr="003015FD">
        <w:t xml:space="preserve"> </w:t>
      </w:r>
      <w:r w:rsidRPr="003015FD">
        <w:t>ensuring</w:t>
      </w:r>
      <w:r w:rsidR="00975895" w:rsidRPr="003015FD">
        <w:t xml:space="preserve"> </w:t>
      </w:r>
      <w:r w:rsidRPr="003015FD">
        <w:t>SARC</w:t>
      </w:r>
      <w:r w:rsidR="00975895" w:rsidRPr="003015FD">
        <w:t xml:space="preserve"> </w:t>
      </w:r>
      <w:r w:rsidRPr="003015FD">
        <w:t>has</w:t>
      </w:r>
      <w:r w:rsidR="00975895" w:rsidRPr="003015FD">
        <w:t xml:space="preserve"> </w:t>
      </w:r>
      <w:r w:rsidRPr="003015FD">
        <w:t>sufficient</w:t>
      </w:r>
      <w:r w:rsidR="00975895" w:rsidRPr="003015FD">
        <w:t xml:space="preserve"> </w:t>
      </w:r>
      <w:r w:rsidRPr="003015FD">
        <w:t>time</w:t>
      </w:r>
      <w:r w:rsidR="00975895" w:rsidRPr="003015FD">
        <w:t xml:space="preserve"> </w:t>
      </w:r>
      <w:r w:rsidRPr="003015FD">
        <w:t>to</w:t>
      </w:r>
      <w:r w:rsidR="00975895" w:rsidRPr="003015FD">
        <w:t xml:space="preserve"> </w:t>
      </w:r>
      <w:r w:rsidRPr="003015FD">
        <w:t>scrutinise</w:t>
      </w:r>
      <w:r w:rsidR="00975895" w:rsidRPr="003015FD">
        <w:t xml:space="preserve"> </w:t>
      </w:r>
      <w:r w:rsidRPr="003015FD">
        <w:t>Bills</w:t>
      </w:r>
      <w:r w:rsidR="00975895" w:rsidRPr="003015FD">
        <w:t xml:space="preserve"> </w:t>
      </w:r>
      <w:r w:rsidRPr="003015FD">
        <w:t>and</w:t>
      </w:r>
      <w:r w:rsidR="00975895" w:rsidRPr="003015FD">
        <w:t xml:space="preserve"> </w:t>
      </w:r>
      <w:r w:rsidRPr="003015FD">
        <w:t>properly</w:t>
      </w:r>
      <w:r w:rsidR="00975895" w:rsidRPr="003015FD">
        <w:t xml:space="preserve"> </w:t>
      </w:r>
      <w:r w:rsidRPr="003015FD">
        <w:t>consider</w:t>
      </w:r>
      <w:r w:rsidR="00975895" w:rsidRPr="003015FD">
        <w:t xml:space="preserve"> </w:t>
      </w:r>
      <w:r w:rsidRPr="003015FD">
        <w:t>relevant</w:t>
      </w:r>
      <w:r w:rsidR="00975895" w:rsidRPr="003015FD">
        <w:t xml:space="preserve"> </w:t>
      </w:r>
      <w:r w:rsidRPr="003015FD">
        <w:t>public</w:t>
      </w:r>
      <w:r w:rsidR="00975895" w:rsidRPr="003015FD">
        <w:t xml:space="preserve"> </w:t>
      </w:r>
      <w:r w:rsidRPr="003015FD">
        <w:t>submissions</w:t>
      </w:r>
      <w:r w:rsidR="005F7930">
        <w:t>. This would also</w:t>
      </w:r>
      <w:r w:rsidR="00975895" w:rsidRPr="003015FD">
        <w:t xml:space="preserve"> </w:t>
      </w:r>
      <w:r w:rsidRPr="003015FD">
        <w:t>ensure</w:t>
      </w:r>
      <w:r w:rsidR="00975895" w:rsidRPr="003015FD">
        <w:t xml:space="preserve"> </w:t>
      </w:r>
      <w:r w:rsidRPr="003015FD">
        <w:t>that</w:t>
      </w:r>
      <w:r w:rsidR="00975895" w:rsidRPr="003015FD">
        <w:t xml:space="preserve"> </w:t>
      </w:r>
      <w:r w:rsidRPr="003015FD">
        <w:t>human</w:t>
      </w:r>
      <w:r w:rsidR="00975895" w:rsidRPr="003015FD">
        <w:t xml:space="preserve"> </w:t>
      </w:r>
      <w:r w:rsidRPr="003015FD">
        <w:t>rights</w:t>
      </w:r>
      <w:r w:rsidR="00975895" w:rsidRPr="003015FD">
        <w:t xml:space="preserve"> </w:t>
      </w:r>
      <w:r w:rsidRPr="003015FD">
        <w:t>are</w:t>
      </w:r>
      <w:r w:rsidR="00975895" w:rsidRPr="003015FD">
        <w:t xml:space="preserve"> </w:t>
      </w:r>
      <w:r w:rsidRPr="003015FD">
        <w:t>considered</w:t>
      </w:r>
      <w:r w:rsidR="00975895" w:rsidRPr="003015FD">
        <w:t xml:space="preserve"> </w:t>
      </w:r>
      <w:r w:rsidRPr="003015FD">
        <w:t>during</w:t>
      </w:r>
      <w:r w:rsidR="00975895" w:rsidRPr="003015FD">
        <w:t xml:space="preserve"> </w:t>
      </w:r>
      <w:r w:rsidRPr="003015FD">
        <w:t>the</w:t>
      </w:r>
      <w:r w:rsidR="00975895" w:rsidRPr="003015FD">
        <w:t xml:space="preserve"> </w:t>
      </w:r>
      <w:r w:rsidRPr="003015FD">
        <w:t>development</w:t>
      </w:r>
      <w:r w:rsidR="00975895" w:rsidRPr="003015FD">
        <w:t xml:space="preserve"> </w:t>
      </w:r>
      <w:r w:rsidRPr="003015FD">
        <w:t>of</w:t>
      </w:r>
      <w:r w:rsidR="00975895" w:rsidRPr="003015FD">
        <w:t xml:space="preserve"> </w:t>
      </w:r>
      <w:r w:rsidRPr="003015FD">
        <w:t>all</w:t>
      </w:r>
      <w:r w:rsidR="00975895" w:rsidRPr="003015FD">
        <w:t xml:space="preserve"> </w:t>
      </w:r>
      <w:r w:rsidRPr="003015FD">
        <w:t>Victorian</w:t>
      </w:r>
      <w:r w:rsidR="00975895" w:rsidRPr="003015FD">
        <w:t xml:space="preserve"> </w:t>
      </w:r>
      <w:r w:rsidRPr="003015FD">
        <w:t>laws.</w:t>
      </w:r>
      <w:r w:rsidR="00975895" w:rsidRPr="003015FD">
        <w:t xml:space="preserve"> </w:t>
      </w:r>
    </w:p>
    <w:p w14:paraId="7186ACCC" w14:textId="05B71D3D" w:rsidR="008E0945" w:rsidRPr="003015FD" w:rsidRDefault="00D90DB7" w:rsidP="0002642E">
      <w:pPr>
        <w:pStyle w:val="Heading2"/>
      </w:pPr>
      <w:bookmarkStart w:id="86" w:name="_Toc15045121"/>
      <w:bookmarkStart w:id="87" w:name="_Toc22011535"/>
      <w:r w:rsidRPr="003015FD">
        <w:t>3.2</w:t>
      </w:r>
      <w:r w:rsidRPr="003015FD">
        <w:tab/>
      </w:r>
      <w:r w:rsidR="008E0945" w:rsidRPr="003015FD">
        <w:t>Statements</w:t>
      </w:r>
      <w:r w:rsidR="00975895" w:rsidRPr="003015FD">
        <w:t xml:space="preserve"> </w:t>
      </w:r>
      <w:r w:rsidR="008E0945" w:rsidRPr="003015FD">
        <w:t>of</w:t>
      </w:r>
      <w:r w:rsidR="00975895" w:rsidRPr="003015FD">
        <w:t xml:space="preserve"> </w:t>
      </w:r>
      <w:r w:rsidR="008E0945" w:rsidRPr="003015FD">
        <w:t>compatibility</w:t>
      </w:r>
      <w:bookmarkEnd w:id="86"/>
      <w:bookmarkEnd w:id="87"/>
    </w:p>
    <w:p w14:paraId="56A001CC" w14:textId="42CE70BB" w:rsidR="008E0945" w:rsidRPr="003015FD" w:rsidRDefault="008E0945" w:rsidP="0002642E">
      <w:r w:rsidRPr="003015FD">
        <w:t>A</w:t>
      </w:r>
      <w:r w:rsidR="00975895" w:rsidRPr="003015FD">
        <w:t xml:space="preserve"> </w:t>
      </w:r>
      <w:r w:rsidRPr="003015FD">
        <w:t>minister</w:t>
      </w:r>
      <w:r w:rsidR="00975895" w:rsidRPr="003015FD">
        <w:t xml:space="preserve"> </w:t>
      </w:r>
      <w:r w:rsidRPr="003015FD">
        <w:t>or</w:t>
      </w:r>
      <w:r w:rsidR="00975895" w:rsidRPr="003015FD">
        <w:t xml:space="preserve"> </w:t>
      </w:r>
      <w:r w:rsidRPr="003015FD">
        <w:t>member</w:t>
      </w:r>
      <w:r w:rsidR="00975895" w:rsidRPr="003015FD">
        <w:t xml:space="preserve"> </w:t>
      </w:r>
      <w:r w:rsidRPr="003015FD">
        <w:t>of</w:t>
      </w:r>
      <w:r w:rsidR="00975895" w:rsidRPr="003015FD">
        <w:t xml:space="preserve"> </w:t>
      </w:r>
      <w:r w:rsidRPr="003015FD">
        <w:t>Parliament</w:t>
      </w:r>
      <w:r w:rsidR="00975895" w:rsidRPr="003015FD">
        <w:t xml:space="preserve"> </w:t>
      </w:r>
      <w:r w:rsidRPr="003015FD">
        <w:t>must</w:t>
      </w:r>
      <w:r w:rsidR="00975895" w:rsidRPr="003015FD">
        <w:t xml:space="preserve"> </w:t>
      </w:r>
      <w:r w:rsidRPr="003015FD">
        <w:t>provide</w:t>
      </w:r>
      <w:r w:rsidR="00975895" w:rsidRPr="003015FD">
        <w:t xml:space="preserve"> </w:t>
      </w:r>
      <w:r w:rsidRPr="003015FD">
        <w:t>a</w:t>
      </w:r>
      <w:r w:rsidR="00975895" w:rsidRPr="003015FD">
        <w:t xml:space="preserve"> </w:t>
      </w:r>
      <w:r w:rsidRPr="003015FD">
        <w:t>statement</w:t>
      </w:r>
      <w:r w:rsidR="00975895" w:rsidRPr="003015FD">
        <w:t xml:space="preserve"> </w:t>
      </w:r>
      <w:r w:rsidRPr="003015FD">
        <w:t>of</w:t>
      </w:r>
      <w:r w:rsidR="00975895" w:rsidRPr="003015FD">
        <w:t xml:space="preserve"> </w:t>
      </w:r>
      <w:r w:rsidRPr="003015FD">
        <w:t>compatibility</w:t>
      </w:r>
      <w:r w:rsidR="00975895" w:rsidRPr="003015FD">
        <w:t xml:space="preserve"> </w:t>
      </w:r>
      <w:r w:rsidRPr="003015FD">
        <w:t>with</w:t>
      </w:r>
      <w:r w:rsidR="00975895" w:rsidRPr="003015FD">
        <w:t xml:space="preserve"> </w:t>
      </w:r>
      <w:r w:rsidRPr="003015FD">
        <w:t>any</w:t>
      </w:r>
      <w:r w:rsidR="00975895" w:rsidRPr="003015FD">
        <w:t xml:space="preserve"> </w:t>
      </w:r>
      <w:r w:rsidR="005F7930">
        <w:t>B</w:t>
      </w:r>
      <w:r w:rsidRPr="003015FD">
        <w:t>ill</w:t>
      </w:r>
      <w:r w:rsidR="00975895" w:rsidRPr="003015FD">
        <w:t xml:space="preserve"> </w:t>
      </w:r>
      <w:r w:rsidRPr="003015FD">
        <w:t>introduced</w:t>
      </w:r>
      <w:r w:rsidR="00975895" w:rsidRPr="003015FD">
        <w:t xml:space="preserve"> </w:t>
      </w:r>
      <w:r w:rsidRPr="003015FD">
        <w:t>into</w:t>
      </w:r>
      <w:r w:rsidR="00975895" w:rsidRPr="003015FD">
        <w:t xml:space="preserve"> </w:t>
      </w:r>
      <w:r w:rsidRPr="003015FD">
        <w:t>Parliament,</w:t>
      </w:r>
      <w:r w:rsidR="00975895" w:rsidRPr="003015FD">
        <w:t xml:space="preserve"> </w:t>
      </w:r>
      <w:r w:rsidRPr="003015FD">
        <w:t>which</w:t>
      </w:r>
      <w:r w:rsidR="00975895" w:rsidRPr="003015FD">
        <w:t xml:space="preserve"> </w:t>
      </w:r>
      <w:r w:rsidRPr="003015FD">
        <w:t>sets</w:t>
      </w:r>
      <w:r w:rsidR="00975895" w:rsidRPr="003015FD">
        <w:t xml:space="preserve"> </w:t>
      </w:r>
      <w:r w:rsidRPr="003015FD">
        <w:t>out</w:t>
      </w:r>
      <w:r w:rsidR="00975895" w:rsidRPr="003015FD">
        <w:t xml:space="preserve"> </w:t>
      </w:r>
      <w:r w:rsidRPr="003015FD">
        <w:t>how</w:t>
      </w:r>
      <w:r w:rsidR="00975895" w:rsidRPr="003015FD">
        <w:t xml:space="preserve"> </w:t>
      </w:r>
      <w:r w:rsidRPr="003015FD">
        <w:t>the</w:t>
      </w:r>
      <w:r w:rsidR="00975895" w:rsidRPr="003015FD">
        <w:t xml:space="preserve"> </w:t>
      </w:r>
      <w:r w:rsidR="005F7930">
        <w:t>B</w:t>
      </w:r>
      <w:r w:rsidRPr="003015FD">
        <w:t>ill</w:t>
      </w:r>
      <w:r w:rsidR="00975895" w:rsidRPr="003015FD">
        <w:t xml:space="preserve"> </w:t>
      </w:r>
      <w:r w:rsidRPr="003015FD">
        <w:t>is</w:t>
      </w:r>
      <w:r w:rsidR="00975895" w:rsidRPr="003015FD">
        <w:t xml:space="preserve"> </w:t>
      </w:r>
      <w:r w:rsidRPr="003015FD">
        <w:t>compatible</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or,</w:t>
      </w:r>
      <w:r w:rsidR="00975895" w:rsidRPr="003015FD">
        <w:t xml:space="preserve"> </w:t>
      </w:r>
      <w:r w:rsidRPr="003015FD">
        <w:t>in</w:t>
      </w:r>
      <w:r w:rsidR="00975895" w:rsidRPr="003015FD">
        <w:t xml:space="preserve"> </w:t>
      </w:r>
      <w:r w:rsidRPr="003015FD">
        <w:t>some</w:t>
      </w:r>
      <w:r w:rsidR="00975895" w:rsidRPr="003015FD">
        <w:t xml:space="preserve"> </w:t>
      </w:r>
      <w:r w:rsidRPr="003015FD">
        <w:t>cases,</w:t>
      </w:r>
      <w:r w:rsidR="00975895" w:rsidRPr="003015FD">
        <w:t xml:space="preserve"> </w:t>
      </w:r>
      <w:r w:rsidRPr="003015FD">
        <w:t>the</w:t>
      </w:r>
      <w:r w:rsidR="00975895" w:rsidRPr="003015FD">
        <w:t xml:space="preserve"> </w:t>
      </w:r>
      <w:r w:rsidRPr="003015FD">
        <w:t>nature</w:t>
      </w:r>
      <w:r w:rsidR="00975895" w:rsidRPr="003015FD">
        <w:t xml:space="preserve"> </w:t>
      </w:r>
      <w:r w:rsidRPr="003015FD">
        <w:t>and</w:t>
      </w:r>
      <w:r w:rsidR="00975895" w:rsidRPr="003015FD">
        <w:t xml:space="preserve"> </w:t>
      </w:r>
      <w:r w:rsidRPr="003015FD">
        <w:t>extent</w:t>
      </w:r>
      <w:r w:rsidR="00975895" w:rsidRPr="003015FD">
        <w:t xml:space="preserve"> </w:t>
      </w:r>
      <w:r w:rsidRPr="003015FD">
        <w:t>of</w:t>
      </w:r>
      <w:r w:rsidR="00975895" w:rsidRPr="003015FD">
        <w:t xml:space="preserve"> </w:t>
      </w:r>
      <w:r w:rsidRPr="003015FD">
        <w:t>any</w:t>
      </w:r>
      <w:r w:rsidR="00975895" w:rsidRPr="003015FD">
        <w:t xml:space="preserve"> </w:t>
      </w:r>
      <w:r w:rsidRPr="003015FD">
        <w:t>incompatibility.</w:t>
      </w:r>
      <w:r w:rsidRPr="004862C5">
        <w:rPr>
          <w:rStyle w:val="FootnoteReference"/>
        </w:rPr>
        <w:footnoteReference w:id="21"/>
      </w:r>
      <w:r w:rsidR="00975895" w:rsidRPr="003015FD">
        <w:t xml:space="preserve"> </w:t>
      </w:r>
    </w:p>
    <w:p w14:paraId="5371DA55" w14:textId="2F4BF52E" w:rsidR="008E0945" w:rsidRPr="003015FD" w:rsidRDefault="008E0945" w:rsidP="0002642E">
      <w:r w:rsidRPr="003015FD">
        <w:t>It</w:t>
      </w:r>
      <w:r w:rsidR="00975895" w:rsidRPr="003015FD">
        <w:t xml:space="preserve"> </w:t>
      </w:r>
      <w:r w:rsidRPr="003015FD">
        <w:t>is</w:t>
      </w:r>
      <w:r w:rsidR="00975895" w:rsidRPr="003015FD">
        <w:t xml:space="preserve"> </w:t>
      </w:r>
      <w:r w:rsidRPr="003015FD">
        <w:t>important</w:t>
      </w:r>
      <w:r w:rsidR="00975895" w:rsidRPr="003015FD">
        <w:t xml:space="preserve"> </w:t>
      </w:r>
      <w:r w:rsidRPr="003015FD">
        <w:t>to</w:t>
      </w:r>
      <w:r w:rsidR="00975895" w:rsidRPr="003015FD">
        <w:t xml:space="preserve"> </w:t>
      </w:r>
      <w:r w:rsidRPr="003015FD">
        <w:t>recognise</w:t>
      </w:r>
      <w:r w:rsidR="00975895" w:rsidRPr="003015FD">
        <w:t xml:space="preserve"> </w:t>
      </w:r>
      <w:r w:rsidRPr="003015FD">
        <w:t>that,</w:t>
      </w:r>
      <w:r w:rsidR="00975895" w:rsidRPr="003015FD">
        <w:t xml:space="preserve"> </w:t>
      </w:r>
      <w:r w:rsidRPr="003015FD">
        <w:t>while</w:t>
      </w:r>
      <w:r w:rsidR="00975895" w:rsidRPr="003015FD">
        <w:t xml:space="preserve"> </w:t>
      </w:r>
      <w:r w:rsidRPr="003015FD">
        <w:t>most</w:t>
      </w:r>
      <w:r w:rsidR="00975895" w:rsidRPr="003015FD">
        <w:t xml:space="preserve"> </w:t>
      </w:r>
      <w:r w:rsidRPr="003015FD">
        <w:t>Bills</w:t>
      </w:r>
      <w:r w:rsidR="00975895" w:rsidRPr="003015FD">
        <w:t xml:space="preserve"> </w:t>
      </w:r>
      <w:r w:rsidRPr="003015FD">
        <w:t>are</w:t>
      </w:r>
      <w:r w:rsidR="00975895" w:rsidRPr="003015FD">
        <w:t xml:space="preserve"> </w:t>
      </w:r>
      <w:r w:rsidRPr="003015FD">
        <w:t>compatible</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there</w:t>
      </w:r>
      <w:r w:rsidR="00975895" w:rsidRPr="003015FD">
        <w:t xml:space="preserve"> </w:t>
      </w:r>
      <w:r w:rsidRPr="003015FD">
        <w:t>are</w:t>
      </w:r>
      <w:r w:rsidR="00975895" w:rsidRPr="003015FD">
        <w:t xml:space="preserve"> </w:t>
      </w:r>
      <w:r w:rsidRPr="003015FD">
        <w:t>instances</w:t>
      </w:r>
      <w:r w:rsidR="00975895" w:rsidRPr="003015FD">
        <w:t xml:space="preserve"> </w:t>
      </w:r>
      <w:r w:rsidRPr="003015FD">
        <w:t>where</w:t>
      </w:r>
      <w:r w:rsidR="00975895" w:rsidRPr="003015FD">
        <w:t xml:space="preserve"> </w:t>
      </w:r>
      <w:r w:rsidRPr="003015FD">
        <w:t>this</w:t>
      </w:r>
      <w:r w:rsidR="00975895" w:rsidRPr="003015FD">
        <w:t xml:space="preserve"> </w:t>
      </w:r>
      <w:r w:rsidRPr="003015FD">
        <w:t>is</w:t>
      </w:r>
      <w:r w:rsidR="00975895" w:rsidRPr="003015FD">
        <w:t xml:space="preserve"> </w:t>
      </w:r>
      <w:r w:rsidRPr="003015FD">
        <w:t>not</w:t>
      </w:r>
      <w:r w:rsidR="00975895" w:rsidRPr="003015FD">
        <w:t xml:space="preserve"> </w:t>
      </w:r>
      <w:r w:rsidRPr="003015FD">
        <w:t>the</w:t>
      </w:r>
      <w:r w:rsidR="00975895" w:rsidRPr="003015FD">
        <w:t xml:space="preserve"> </w:t>
      </w:r>
      <w:r w:rsidRPr="003015FD">
        <w:t>case.</w:t>
      </w:r>
      <w:r w:rsidR="00975895" w:rsidRPr="003015FD">
        <w:t xml:space="preserve"> </w:t>
      </w:r>
      <w:r w:rsidRPr="003015FD">
        <w:t>When</w:t>
      </w:r>
      <w:r w:rsidR="00975895" w:rsidRPr="003015FD">
        <w:t xml:space="preserve"> </w:t>
      </w:r>
      <w:r w:rsidRPr="003015FD">
        <w:t>a</w:t>
      </w:r>
      <w:r w:rsidR="00975895" w:rsidRPr="003015FD">
        <w:t xml:space="preserve"> </w:t>
      </w:r>
      <w:r w:rsidRPr="003015FD">
        <w:t>Bill</w:t>
      </w:r>
      <w:r w:rsidR="00975895" w:rsidRPr="003015FD">
        <w:t xml:space="preserve"> </w:t>
      </w:r>
      <w:r w:rsidRPr="003015FD">
        <w:t>includes</w:t>
      </w:r>
      <w:r w:rsidR="00975895" w:rsidRPr="003015FD">
        <w:t xml:space="preserve"> </w:t>
      </w:r>
      <w:r w:rsidRPr="003015FD">
        <w:t>a</w:t>
      </w:r>
      <w:r w:rsidR="00975895" w:rsidRPr="003015FD">
        <w:t xml:space="preserve"> </w:t>
      </w:r>
      <w:r w:rsidRPr="003015FD">
        <w:t>part</w:t>
      </w:r>
      <w:r w:rsidR="00975895" w:rsidRPr="003015FD">
        <w:t xml:space="preserve"> </w:t>
      </w:r>
      <w:r w:rsidRPr="003015FD">
        <w:t>or</w:t>
      </w:r>
      <w:r w:rsidR="00975895" w:rsidRPr="003015FD">
        <w:t xml:space="preserve"> </w:t>
      </w:r>
      <w:r w:rsidRPr="003015FD">
        <w:t>provision</w:t>
      </w:r>
      <w:r w:rsidR="00975895" w:rsidRPr="003015FD">
        <w:t xml:space="preserve"> </w:t>
      </w:r>
      <w:r w:rsidRPr="003015FD">
        <w:t>that</w:t>
      </w:r>
      <w:r w:rsidR="00975895" w:rsidRPr="003015FD">
        <w:t xml:space="preserve"> </w:t>
      </w:r>
      <w:r w:rsidRPr="003015FD">
        <w:t>is</w:t>
      </w:r>
      <w:r w:rsidR="00975895" w:rsidRPr="003015FD">
        <w:t xml:space="preserve"> </w:t>
      </w:r>
      <w:r w:rsidRPr="003015FD">
        <w:t>incompatible,</w:t>
      </w:r>
      <w:r w:rsidR="00975895" w:rsidRPr="003015FD">
        <w:t xml:space="preserve"> </w:t>
      </w:r>
      <w:r w:rsidRPr="003015FD">
        <w:t>the</w:t>
      </w:r>
      <w:r w:rsidR="00975895" w:rsidRPr="003015FD">
        <w:t xml:space="preserve"> </w:t>
      </w:r>
      <w:r w:rsidRPr="003015FD">
        <w:t>minister</w:t>
      </w:r>
      <w:r w:rsidR="00975895" w:rsidRPr="003015FD">
        <w:t xml:space="preserve"> </w:t>
      </w:r>
      <w:r w:rsidRPr="003015FD">
        <w:t>or</w:t>
      </w:r>
      <w:r w:rsidR="00975895" w:rsidRPr="003015FD">
        <w:t xml:space="preserve"> </w:t>
      </w:r>
      <w:r w:rsidRPr="003015FD">
        <w:t>member</w:t>
      </w:r>
      <w:r w:rsidR="00975895" w:rsidRPr="003015FD">
        <w:t xml:space="preserve"> </w:t>
      </w:r>
      <w:r w:rsidR="003B428A">
        <w:t xml:space="preserve">of Parliament </w:t>
      </w:r>
      <w:r w:rsidRPr="003015FD">
        <w:t>will</w:t>
      </w:r>
      <w:r w:rsidR="00975895" w:rsidRPr="003015FD">
        <w:t xml:space="preserve"> </w:t>
      </w:r>
      <w:r w:rsidRPr="003015FD">
        <w:t>explain</w:t>
      </w:r>
      <w:r w:rsidR="00975895" w:rsidRPr="003015FD">
        <w:t xml:space="preserve"> </w:t>
      </w:r>
      <w:r w:rsidRPr="003015FD">
        <w:t>the</w:t>
      </w:r>
      <w:r w:rsidR="00975895" w:rsidRPr="003015FD">
        <w:t xml:space="preserve"> </w:t>
      </w:r>
      <w:r w:rsidRPr="003015FD">
        <w:t>nature</w:t>
      </w:r>
      <w:r w:rsidR="00975895" w:rsidRPr="003015FD">
        <w:t xml:space="preserve"> </w:t>
      </w:r>
      <w:r w:rsidRPr="003015FD">
        <w:t>and</w:t>
      </w:r>
      <w:r w:rsidR="00975895" w:rsidRPr="003015FD">
        <w:t xml:space="preserve"> </w:t>
      </w:r>
      <w:r w:rsidRPr="003015FD">
        <w:t>extent</w:t>
      </w:r>
      <w:r w:rsidR="00975895" w:rsidRPr="003015FD">
        <w:t xml:space="preserve"> </w:t>
      </w:r>
      <w:r w:rsidRPr="003015FD">
        <w:t>of</w:t>
      </w:r>
      <w:r w:rsidR="00975895" w:rsidRPr="003015FD">
        <w:t xml:space="preserve"> </w:t>
      </w:r>
      <w:r w:rsidRPr="003015FD">
        <w:t>the</w:t>
      </w:r>
      <w:r w:rsidR="00975895" w:rsidRPr="003015FD">
        <w:t xml:space="preserve"> </w:t>
      </w:r>
      <w:r w:rsidRPr="003015FD">
        <w:t>incompatibility.</w:t>
      </w:r>
      <w:r w:rsidR="00975895" w:rsidRPr="0002642E">
        <w:rPr>
          <w:color w:val="000000" w:themeColor="text1"/>
        </w:rPr>
        <w:t xml:space="preserve"> </w:t>
      </w:r>
      <w:r w:rsidRPr="0002642E">
        <w:rPr>
          <w:color w:val="000000" w:themeColor="text1"/>
        </w:rPr>
        <w:t>This</w:t>
      </w:r>
      <w:r w:rsidR="00975895" w:rsidRPr="0002642E">
        <w:rPr>
          <w:color w:val="000000" w:themeColor="text1"/>
        </w:rPr>
        <w:t xml:space="preserve"> </w:t>
      </w:r>
      <w:r w:rsidRPr="0002642E">
        <w:rPr>
          <w:color w:val="000000" w:themeColor="text1"/>
        </w:rPr>
        <w:t>process</w:t>
      </w:r>
      <w:r w:rsidR="00975895" w:rsidRPr="0002642E">
        <w:rPr>
          <w:color w:val="000000" w:themeColor="text1"/>
        </w:rPr>
        <w:t xml:space="preserve"> </w:t>
      </w:r>
      <w:r w:rsidRPr="0002642E">
        <w:rPr>
          <w:color w:val="000000" w:themeColor="text1"/>
        </w:rPr>
        <w:t>ensures</w:t>
      </w:r>
      <w:r w:rsidR="00975895" w:rsidRPr="0002642E">
        <w:rPr>
          <w:color w:val="000000" w:themeColor="text1"/>
        </w:rPr>
        <w:t xml:space="preserve"> </w:t>
      </w:r>
      <w:r w:rsidRPr="0002642E">
        <w:rPr>
          <w:color w:val="000000" w:themeColor="text1"/>
        </w:rPr>
        <w:t>Charter</w:t>
      </w:r>
      <w:r w:rsidR="00975895" w:rsidRPr="0002642E">
        <w:rPr>
          <w:color w:val="000000" w:themeColor="text1"/>
        </w:rPr>
        <w:t xml:space="preserve"> </w:t>
      </w:r>
      <w:r w:rsidRPr="0002642E">
        <w:rPr>
          <w:color w:val="000000" w:themeColor="text1"/>
        </w:rPr>
        <w:t>incompatibility</w:t>
      </w:r>
      <w:r w:rsidR="00975895" w:rsidRPr="0002642E">
        <w:rPr>
          <w:color w:val="000000" w:themeColor="text1"/>
        </w:rPr>
        <w:t xml:space="preserve"> </w:t>
      </w:r>
      <w:r w:rsidRPr="0002642E">
        <w:rPr>
          <w:color w:val="000000" w:themeColor="text1"/>
        </w:rPr>
        <w:t>is</w:t>
      </w:r>
      <w:r w:rsidR="00975895" w:rsidRPr="0002642E">
        <w:rPr>
          <w:color w:val="000000" w:themeColor="text1"/>
        </w:rPr>
        <w:t xml:space="preserve"> </w:t>
      </w:r>
      <w:r w:rsidRPr="0002642E">
        <w:rPr>
          <w:color w:val="000000" w:themeColor="text1"/>
        </w:rPr>
        <w:t>identified</w:t>
      </w:r>
      <w:r w:rsidR="00975895" w:rsidRPr="0002642E">
        <w:rPr>
          <w:color w:val="000000" w:themeColor="text1"/>
        </w:rPr>
        <w:t xml:space="preserve"> </w:t>
      </w:r>
      <w:r w:rsidRPr="0002642E">
        <w:rPr>
          <w:color w:val="000000" w:themeColor="text1"/>
        </w:rPr>
        <w:t>and</w:t>
      </w:r>
      <w:r w:rsidR="00975895" w:rsidRPr="0002642E">
        <w:rPr>
          <w:color w:val="000000" w:themeColor="text1"/>
        </w:rPr>
        <w:t xml:space="preserve"> </w:t>
      </w:r>
      <w:r w:rsidRPr="0002642E">
        <w:rPr>
          <w:color w:val="000000" w:themeColor="text1"/>
        </w:rPr>
        <w:t>provides</w:t>
      </w:r>
      <w:r w:rsidR="00975895" w:rsidRPr="0002642E">
        <w:rPr>
          <w:color w:val="000000" w:themeColor="text1"/>
        </w:rPr>
        <w:t xml:space="preserve"> </w:t>
      </w:r>
      <w:r w:rsidRPr="003015FD">
        <w:t>Parliament</w:t>
      </w:r>
      <w:r w:rsidR="00975895" w:rsidRPr="003015FD">
        <w:t xml:space="preserve"> </w:t>
      </w:r>
      <w:r w:rsidRPr="003015FD">
        <w:t>with</w:t>
      </w:r>
      <w:r w:rsidR="00975895" w:rsidRPr="003015FD">
        <w:t xml:space="preserve"> </w:t>
      </w:r>
      <w:r w:rsidRPr="003015FD">
        <w:t>the</w:t>
      </w:r>
      <w:r w:rsidR="00975895" w:rsidRPr="003015FD">
        <w:t xml:space="preserve"> </w:t>
      </w:r>
      <w:r w:rsidRPr="003015FD">
        <w:t>opportunity</w:t>
      </w:r>
      <w:r w:rsidR="00975895" w:rsidRPr="003015FD">
        <w:t xml:space="preserve"> </w:t>
      </w:r>
      <w:r w:rsidRPr="003015FD">
        <w:t>to</w:t>
      </w:r>
      <w:r w:rsidR="00975895" w:rsidRPr="003015FD">
        <w:t xml:space="preserve"> </w:t>
      </w:r>
      <w:r w:rsidRPr="003015FD">
        <w:t>debate</w:t>
      </w:r>
      <w:r w:rsidR="00975895" w:rsidRPr="003015FD">
        <w:t xml:space="preserve"> </w:t>
      </w:r>
      <w:r w:rsidRPr="003015FD">
        <w:t>the</w:t>
      </w:r>
      <w:r w:rsidR="00975895" w:rsidRPr="003015FD">
        <w:t xml:space="preserve"> </w:t>
      </w:r>
      <w:r w:rsidRPr="003015FD">
        <w:t>issue</w:t>
      </w:r>
      <w:r w:rsidR="00975895" w:rsidRPr="003015FD">
        <w:t xml:space="preserve"> </w:t>
      </w:r>
      <w:r w:rsidRPr="003015FD">
        <w:t>and</w:t>
      </w:r>
      <w:r w:rsidR="00975895" w:rsidRPr="003015FD">
        <w:t xml:space="preserve"> </w:t>
      </w:r>
      <w:r w:rsidRPr="003015FD">
        <w:t>find</w:t>
      </w:r>
      <w:r w:rsidR="00975895" w:rsidRPr="003015FD">
        <w:t xml:space="preserve"> </w:t>
      </w:r>
      <w:r w:rsidRPr="003015FD">
        <w:t>a</w:t>
      </w:r>
      <w:r w:rsidR="00975895" w:rsidRPr="003015FD">
        <w:t xml:space="preserve"> </w:t>
      </w:r>
      <w:r w:rsidRPr="003015FD">
        <w:t>possible</w:t>
      </w:r>
      <w:r w:rsidR="00975895" w:rsidRPr="003015FD">
        <w:t xml:space="preserve"> </w:t>
      </w:r>
      <w:r w:rsidRPr="003015FD">
        <w:t>solution.</w:t>
      </w:r>
      <w:r w:rsidR="00975895" w:rsidRPr="003015FD">
        <w:t xml:space="preserve"> </w:t>
      </w:r>
    </w:p>
    <w:p w14:paraId="51D1C5F2" w14:textId="07B090FA" w:rsidR="008E0945" w:rsidRPr="003015FD" w:rsidRDefault="008E0945" w:rsidP="0002642E">
      <w:r w:rsidRPr="003015FD">
        <w:lastRenderedPageBreak/>
        <w:t>In</w:t>
      </w:r>
      <w:r w:rsidR="00975895" w:rsidRPr="003015FD">
        <w:t xml:space="preserve"> </w:t>
      </w:r>
      <w:r w:rsidRPr="003015FD">
        <w:t>2018</w:t>
      </w:r>
      <w:r w:rsidR="003165F0">
        <w:t>,</w:t>
      </w:r>
      <w:r w:rsidR="00975895" w:rsidRPr="003015FD">
        <w:t xml:space="preserve"> </w:t>
      </w:r>
      <w:r w:rsidRPr="003015FD">
        <w:t>there</w:t>
      </w:r>
      <w:r w:rsidR="00975895" w:rsidRPr="003015FD">
        <w:t xml:space="preserve"> </w:t>
      </w:r>
      <w:r w:rsidRPr="003015FD">
        <w:t>was</w:t>
      </w:r>
      <w:r w:rsidR="00975895" w:rsidRPr="003015FD">
        <w:t xml:space="preserve"> </w:t>
      </w:r>
      <w:r w:rsidRPr="003015FD">
        <w:t>one</w:t>
      </w:r>
      <w:r w:rsidR="00975895" w:rsidRPr="003015FD">
        <w:t xml:space="preserve"> </w:t>
      </w:r>
      <w:r w:rsidRPr="003015FD">
        <w:t>formal</w:t>
      </w:r>
      <w:r w:rsidR="00975895" w:rsidRPr="003015FD">
        <w:t xml:space="preserve"> </w:t>
      </w:r>
      <w:r w:rsidRPr="003015FD">
        <w:t>statement</w:t>
      </w:r>
      <w:r w:rsidR="00975895" w:rsidRPr="003015FD">
        <w:t xml:space="preserve"> </w:t>
      </w:r>
      <w:r w:rsidRPr="003015FD">
        <w:t>of</w:t>
      </w:r>
      <w:r w:rsidR="00975895" w:rsidRPr="003015FD">
        <w:t xml:space="preserve"> </w:t>
      </w:r>
      <w:r w:rsidRPr="003015FD">
        <w:t>partial</w:t>
      </w:r>
      <w:r w:rsidR="00975895" w:rsidRPr="003015FD">
        <w:t xml:space="preserve"> </w:t>
      </w:r>
      <w:r w:rsidRPr="003015FD">
        <w:t>incompatibility</w:t>
      </w:r>
      <w:r w:rsidR="00975895" w:rsidRPr="003015FD">
        <w:t xml:space="preserve"> </w:t>
      </w:r>
      <w:r w:rsidRPr="003015FD">
        <w:t>prepared</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the</w:t>
      </w:r>
      <w:r w:rsidR="00975895" w:rsidRPr="003015FD">
        <w:t xml:space="preserve"> </w:t>
      </w:r>
      <w:r w:rsidRPr="003015FD">
        <w:t>Justice</w:t>
      </w:r>
      <w:r w:rsidR="00975895" w:rsidRPr="003015FD">
        <w:t xml:space="preserve"> </w:t>
      </w:r>
      <w:r w:rsidRPr="003015FD">
        <w:t>Legislation</w:t>
      </w:r>
      <w:r w:rsidR="00975895" w:rsidRPr="003015FD">
        <w:t xml:space="preserve"> </w:t>
      </w:r>
      <w:r w:rsidRPr="003015FD">
        <w:t>Miscellaneous</w:t>
      </w:r>
      <w:r w:rsidR="00975895" w:rsidRPr="003015FD">
        <w:t xml:space="preserve"> </w:t>
      </w:r>
      <w:r w:rsidRPr="003015FD">
        <w:t>Amendment</w:t>
      </w:r>
      <w:r w:rsidR="00975895" w:rsidRPr="003015FD">
        <w:t xml:space="preserve"> </w:t>
      </w:r>
      <w:r w:rsidRPr="003015FD">
        <w:t>Bill</w:t>
      </w:r>
      <w:r w:rsidR="00975895" w:rsidRPr="003015FD">
        <w:t xml:space="preserve"> </w:t>
      </w:r>
      <w:r w:rsidRPr="003015FD">
        <w:t>2018.</w:t>
      </w:r>
    </w:p>
    <w:p w14:paraId="77A3B14C" w14:textId="243AED73" w:rsidR="008E0945" w:rsidRPr="0002642E" w:rsidRDefault="008E0945" w:rsidP="0002642E">
      <w:pPr>
        <w:pStyle w:val="TableHeading1"/>
      </w:pPr>
      <w:r w:rsidRPr="0002642E">
        <w:t>Table</w:t>
      </w:r>
      <w:r w:rsidR="00975895" w:rsidRPr="0002642E">
        <w:t xml:space="preserve"> </w:t>
      </w:r>
      <w:r w:rsidR="003B428A">
        <w:rPr>
          <w:rStyle w:val="HRVBold"/>
        </w:rPr>
        <w:t>3</w:t>
      </w:r>
      <w:r w:rsidRPr="0002642E">
        <w:t>:</w:t>
      </w:r>
      <w:r w:rsidR="00975895" w:rsidRPr="0002642E">
        <w:t xml:space="preserve"> </w:t>
      </w:r>
      <w:r w:rsidRPr="0002642E">
        <w:t>Formal</w:t>
      </w:r>
      <w:r w:rsidR="00975895" w:rsidRPr="0002642E">
        <w:t xml:space="preserve"> </w:t>
      </w:r>
      <w:r w:rsidRPr="0002642E">
        <w:t>statements</w:t>
      </w:r>
      <w:r w:rsidR="00975895" w:rsidRPr="0002642E">
        <w:t xml:space="preserve"> </w:t>
      </w:r>
      <w:r w:rsidRPr="0002642E">
        <w:t>of</w:t>
      </w:r>
      <w:r w:rsidR="00975895" w:rsidRPr="0002642E">
        <w:t xml:space="preserve"> </w:t>
      </w:r>
      <w:r w:rsidRPr="0002642E">
        <w:t>partial</w:t>
      </w:r>
      <w:r w:rsidR="00975895" w:rsidRPr="0002642E">
        <w:t xml:space="preserve"> </w:t>
      </w:r>
      <w:r w:rsidRPr="0002642E">
        <w:t>incompatibility</w:t>
      </w:r>
      <w:r w:rsidR="00975895" w:rsidRPr="0002642E">
        <w:t xml:space="preserve"> </w:t>
      </w:r>
    </w:p>
    <w:tbl>
      <w:tblPr>
        <w:tblStyle w:val="CustomTableblue"/>
        <w:tblW w:w="0" w:type="auto"/>
        <w:tblLook w:val="0420" w:firstRow="1" w:lastRow="0" w:firstColumn="0" w:lastColumn="0" w:noHBand="0" w:noVBand="1"/>
      </w:tblPr>
      <w:tblGrid>
        <w:gridCol w:w="2830"/>
        <w:gridCol w:w="851"/>
        <w:gridCol w:w="992"/>
        <w:gridCol w:w="992"/>
        <w:gridCol w:w="851"/>
        <w:gridCol w:w="850"/>
        <w:gridCol w:w="851"/>
        <w:gridCol w:w="844"/>
      </w:tblGrid>
      <w:tr w:rsidR="006B0171" w:rsidRPr="003015FD" w14:paraId="18096928" w14:textId="77777777" w:rsidTr="00C26A05">
        <w:trPr>
          <w:cnfStyle w:val="100000000000" w:firstRow="1" w:lastRow="0" w:firstColumn="0" w:lastColumn="0" w:oddVBand="0" w:evenVBand="0" w:oddHBand="0" w:evenHBand="0" w:firstRowFirstColumn="0" w:firstRowLastColumn="0" w:lastRowFirstColumn="0" w:lastRowLastColumn="0"/>
        </w:trPr>
        <w:tc>
          <w:tcPr>
            <w:tcW w:w="2830" w:type="dxa"/>
          </w:tcPr>
          <w:p w14:paraId="5DD5AF63" w14:textId="77777777" w:rsidR="008E0945" w:rsidRPr="003015FD" w:rsidRDefault="008E0945" w:rsidP="005B74F5">
            <w:pPr>
              <w:pStyle w:val="TableBodyText"/>
            </w:pPr>
            <w:r w:rsidRPr="0002642E">
              <w:t>Year</w:t>
            </w:r>
          </w:p>
        </w:tc>
        <w:tc>
          <w:tcPr>
            <w:tcW w:w="851" w:type="dxa"/>
          </w:tcPr>
          <w:p w14:paraId="69B64FB0" w14:textId="77777777" w:rsidR="008E0945" w:rsidRPr="003015FD" w:rsidRDefault="008E0945" w:rsidP="005B74F5">
            <w:pPr>
              <w:pStyle w:val="TableBodyText"/>
            </w:pPr>
            <w:r w:rsidRPr="0002642E">
              <w:t>2018</w:t>
            </w:r>
            <w:r w:rsidRPr="004862C5">
              <w:rPr>
                <w:rStyle w:val="FootnoteReference"/>
              </w:rPr>
              <w:footnoteReference w:id="22"/>
            </w:r>
          </w:p>
        </w:tc>
        <w:tc>
          <w:tcPr>
            <w:tcW w:w="992" w:type="dxa"/>
          </w:tcPr>
          <w:p w14:paraId="121C1444" w14:textId="77777777" w:rsidR="008E0945" w:rsidRPr="003015FD" w:rsidRDefault="008E0945" w:rsidP="005B74F5">
            <w:pPr>
              <w:pStyle w:val="TableBodyText"/>
            </w:pPr>
            <w:r w:rsidRPr="0002642E">
              <w:t>2017</w:t>
            </w:r>
            <w:r w:rsidRPr="004862C5">
              <w:rPr>
                <w:rStyle w:val="FootnoteReference"/>
              </w:rPr>
              <w:footnoteReference w:id="23"/>
            </w:r>
          </w:p>
        </w:tc>
        <w:tc>
          <w:tcPr>
            <w:tcW w:w="992" w:type="dxa"/>
          </w:tcPr>
          <w:p w14:paraId="5A423BCF" w14:textId="77777777" w:rsidR="008E0945" w:rsidRPr="003015FD" w:rsidRDefault="008E0945" w:rsidP="005B74F5">
            <w:pPr>
              <w:pStyle w:val="TableBodyText"/>
            </w:pPr>
            <w:r w:rsidRPr="0002642E">
              <w:t>2016</w:t>
            </w:r>
            <w:r w:rsidRPr="004862C5">
              <w:rPr>
                <w:rStyle w:val="FootnoteReference"/>
              </w:rPr>
              <w:footnoteReference w:id="24"/>
            </w:r>
          </w:p>
        </w:tc>
        <w:tc>
          <w:tcPr>
            <w:tcW w:w="851" w:type="dxa"/>
          </w:tcPr>
          <w:p w14:paraId="39FD5C80" w14:textId="77777777" w:rsidR="008E0945" w:rsidRPr="003015FD" w:rsidRDefault="008E0945" w:rsidP="005B74F5">
            <w:pPr>
              <w:pStyle w:val="TableBodyText"/>
            </w:pPr>
            <w:r w:rsidRPr="0002642E">
              <w:t>2015</w:t>
            </w:r>
            <w:r w:rsidRPr="004862C5">
              <w:rPr>
                <w:rStyle w:val="FootnoteReference"/>
              </w:rPr>
              <w:footnoteReference w:id="25"/>
            </w:r>
          </w:p>
        </w:tc>
        <w:tc>
          <w:tcPr>
            <w:tcW w:w="850" w:type="dxa"/>
          </w:tcPr>
          <w:p w14:paraId="47D26E58" w14:textId="77777777" w:rsidR="008E0945" w:rsidRPr="003015FD" w:rsidRDefault="008E0945" w:rsidP="005B74F5">
            <w:pPr>
              <w:pStyle w:val="TableBodyText"/>
            </w:pPr>
            <w:r w:rsidRPr="0002642E">
              <w:t>2014</w:t>
            </w:r>
          </w:p>
        </w:tc>
        <w:tc>
          <w:tcPr>
            <w:tcW w:w="851" w:type="dxa"/>
          </w:tcPr>
          <w:p w14:paraId="6EE0099F" w14:textId="77777777" w:rsidR="008E0945" w:rsidRPr="003015FD" w:rsidRDefault="008E0945" w:rsidP="005B74F5">
            <w:pPr>
              <w:pStyle w:val="TableBodyText"/>
            </w:pPr>
            <w:r w:rsidRPr="0002642E">
              <w:t>2013</w:t>
            </w:r>
          </w:p>
        </w:tc>
        <w:tc>
          <w:tcPr>
            <w:tcW w:w="844" w:type="dxa"/>
          </w:tcPr>
          <w:p w14:paraId="23DE08EE" w14:textId="77777777" w:rsidR="008E0945" w:rsidRPr="003015FD" w:rsidRDefault="008E0945" w:rsidP="005B74F5">
            <w:pPr>
              <w:pStyle w:val="TableBodyText"/>
            </w:pPr>
            <w:r w:rsidRPr="0002642E">
              <w:t>2012</w:t>
            </w:r>
          </w:p>
        </w:tc>
      </w:tr>
      <w:tr w:rsidR="006B0171" w:rsidRPr="003015FD" w14:paraId="2DA639AD" w14:textId="77777777" w:rsidTr="00C26A05">
        <w:trPr>
          <w:cnfStyle w:val="000000100000" w:firstRow="0" w:lastRow="0" w:firstColumn="0" w:lastColumn="0" w:oddVBand="0" w:evenVBand="0" w:oddHBand="1" w:evenHBand="0" w:firstRowFirstColumn="0" w:firstRowLastColumn="0" w:lastRowFirstColumn="0" w:lastRowLastColumn="0"/>
        </w:trPr>
        <w:tc>
          <w:tcPr>
            <w:tcW w:w="2830" w:type="dxa"/>
          </w:tcPr>
          <w:p w14:paraId="3C13DD14" w14:textId="03ED816A" w:rsidR="008E0945" w:rsidRPr="003015FD" w:rsidRDefault="008E0945" w:rsidP="0002642E">
            <w:pPr>
              <w:pStyle w:val="TableBodyTextcentred"/>
              <w:jc w:val="left"/>
            </w:pPr>
            <w:r w:rsidRPr="0002642E">
              <w:t>Statements</w:t>
            </w:r>
            <w:r w:rsidR="00975895" w:rsidRPr="0002642E">
              <w:t xml:space="preserve"> </w:t>
            </w:r>
            <w:r w:rsidRPr="0002642E">
              <w:t>of</w:t>
            </w:r>
            <w:r w:rsidR="00975895" w:rsidRPr="0002642E">
              <w:t xml:space="preserve"> </w:t>
            </w:r>
            <w:r w:rsidRPr="0002642E">
              <w:t>incompatibility</w:t>
            </w:r>
          </w:p>
        </w:tc>
        <w:tc>
          <w:tcPr>
            <w:tcW w:w="851" w:type="dxa"/>
          </w:tcPr>
          <w:p w14:paraId="61150EEC" w14:textId="77777777" w:rsidR="008E0945" w:rsidRPr="003015FD" w:rsidRDefault="008E0945" w:rsidP="0002642E">
            <w:pPr>
              <w:pStyle w:val="TableBodyTextcentred"/>
              <w:jc w:val="left"/>
            </w:pPr>
            <w:r w:rsidRPr="0002642E">
              <w:t>1</w:t>
            </w:r>
          </w:p>
        </w:tc>
        <w:tc>
          <w:tcPr>
            <w:tcW w:w="992" w:type="dxa"/>
          </w:tcPr>
          <w:p w14:paraId="7FEA5896" w14:textId="77777777" w:rsidR="008E0945" w:rsidRPr="003015FD" w:rsidRDefault="008E0945" w:rsidP="0002642E">
            <w:pPr>
              <w:pStyle w:val="TableBodyTextcentred"/>
              <w:jc w:val="left"/>
            </w:pPr>
            <w:r w:rsidRPr="0002642E">
              <w:t>2</w:t>
            </w:r>
          </w:p>
        </w:tc>
        <w:tc>
          <w:tcPr>
            <w:tcW w:w="992" w:type="dxa"/>
          </w:tcPr>
          <w:p w14:paraId="5C555F10" w14:textId="77777777" w:rsidR="008E0945" w:rsidRPr="003015FD" w:rsidRDefault="008E0945" w:rsidP="0002642E">
            <w:pPr>
              <w:pStyle w:val="TableBodyTextcentred"/>
              <w:jc w:val="left"/>
            </w:pPr>
            <w:r w:rsidRPr="0002642E">
              <w:t>1</w:t>
            </w:r>
          </w:p>
        </w:tc>
        <w:tc>
          <w:tcPr>
            <w:tcW w:w="851" w:type="dxa"/>
          </w:tcPr>
          <w:p w14:paraId="522CCA4B" w14:textId="77777777" w:rsidR="008E0945" w:rsidRPr="003015FD" w:rsidRDefault="008E0945" w:rsidP="0002642E">
            <w:pPr>
              <w:pStyle w:val="TableBodyTextcentred"/>
              <w:jc w:val="left"/>
            </w:pPr>
            <w:r w:rsidRPr="0002642E">
              <w:t>1</w:t>
            </w:r>
          </w:p>
        </w:tc>
        <w:tc>
          <w:tcPr>
            <w:tcW w:w="850" w:type="dxa"/>
          </w:tcPr>
          <w:p w14:paraId="1B598527" w14:textId="77777777" w:rsidR="008E0945" w:rsidRPr="003015FD" w:rsidRDefault="008E0945" w:rsidP="0002642E">
            <w:pPr>
              <w:pStyle w:val="TableBodyTextcentred"/>
              <w:jc w:val="left"/>
            </w:pPr>
            <w:r w:rsidRPr="0002642E">
              <w:t>0</w:t>
            </w:r>
          </w:p>
        </w:tc>
        <w:tc>
          <w:tcPr>
            <w:tcW w:w="851" w:type="dxa"/>
          </w:tcPr>
          <w:p w14:paraId="5455DDD7" w14:textId="77777777" w:rsidR="008E0945" w:rsidRPr="003015FD" w:rsidRDefault="008E0945" w:rsidP="0002642E">
            <w:pPr>
              <w:pStyle w:val="TableBodyTextcentred"/>
              <w:jc w:val="left"/>
            </w:pPr>
            <w:r w:rsidRPr="0002642E">
              <w:t>0</w:t>
            </w:r>
          </w:p>
        </w:tc>
        <w:tc>
          <w:tcPr>
            <w:tcW w:w="844" w:type="dxa"/>
          </w:tcPr>
          <w:p w14:paraId="7D2C758A" w14:textId="77777777" w:rsidR="008E0945" w:rsidRPr="003015FD" w:rsidRDefault="008E0945" w:rsidP="0002642E">
            <w:pPr>
              <w:pStyle w:val="TableBodyTextcentred"/>
              <w:jc w:val="left"/>
            </w:pPr>
            <w:r w:rsidRPr="0002642E">
              <w:t>0</w:t>
            </w:r>
          </w:p>
        </w:tc>
      </w:tr>
    </w:tbl>
    <w:p w14:paraId="5CFF7624" w14:textId="0AD74862" w:rsidR="008E0945" w:rsidRPr="003015FD" w:rsidRDefault="008E0945" w:rsidP="0002642E">
      <w:pPr>
        <w:pStyle w:val="Heading4"/>
      </w:pPr>
      <w:r w:rsidRPr="003015FD">
        <w:t>Justice</w:t>
      </w:r>
      <w:r w:rsidR="00975895" w:rsidRPr="003015FD">
        <w:t xml:space="preserve"> </w:t>
      </w:r>
      <w:r w:rsidRPr="003015FD">
        <w:t>Legislation</w:t>
      </w:r>
      <w:r w:rsidR="00975895" w:rsidRPr="003015FD">
        <w:t xml:space="preserve"> </w:t>
      </w:r>
      <w:r w:rsidRPr="003015FD">
        <w:t>Miscellaneous</w:t>
      </w:r>
      <w:r w:rsidR="00975895" w:rsidRPr="003015FD">
        <w:t xml:space="preserve"> </w:t>
      </w:r>
      <w:r w:rsidRPr="003015FD">
        <w:t>Amendment</w:t>
      </w:r>
      <w:r w:rsidR="00975895" w:rsidRPr="003015FD">
        <w:t xml:space="preserve"> </w:t>
      </w:r>
      <w:r w:rsidRPr="003015FD">
        <w:t>Bill</w:t>
      </w:r>
      <w:r w:rsidR="00975895" w:rsidRPr="003015FD">
        <w:t xml:space="preserve"> </w:t>
      </w:r>
      <w:r w:rsidRPr="003015FD">
        <w:t>2018</w:t>
      </w:r>
    </w:p>
    <w:p w14:paraId="4F642A2E" w14:textId="79146B3F" w:rsidR="008E0945" w:rsidRPr="003015FD" w:rsidRDefault="008E0945" w:rsidP="0002642E">
      <w:r w:rsidRPr="0002642E">
        <w:rPr>
          <w:color w:val="000000" w:themeColor="text1"/>
        </w:rPr>
        <w:t>The</w:t>
      </w:r>
      <w:r w:rsidR="00975895" w:rsidRPr="0002642E">
        <w:rPr>
          <w:color w:val="000000" w:themeColor="text1"/>
        </w:rPr>
        <w:t xml:space="preserve"> </w:t>
      </w:r>
      <w:r w:rsidRPr="003015FD">
        <w:t>Justice</w:t>
      </w:r>
      <w:r w:rsidR="00975895" w:rsidRPr="003015FD">
        <w:t xml:space="preserve"> </w:t>
      </w:r>
      <w:r w:rsidRPr="003015FD">
        <w:t>Legislation</w:t>
      </w:r>
      <w:r w:rsidR="00975895" w:rsidRPr="003015FD">
        <w:t xml:space="preserve"> </w:t>
      </w:r>
      <w:r w:rsidRPr="003015FD">
        <w:t>Miscellaneous</w:t>
      </w:r>
      <w:r w:rsidR="00975895" w:rsidRPr="003015FD">
        <w:t xml:space="preserve"> </w:t>
      </w:r>
      <w:r w:rsidRPr="003015FD">
        <w:t>Amendment</w:t>
      </w:r>
      <w:r w:rsidR="00975895" w:rsidRPr="003015FD">
        <w:t xml:space="preserve"> </w:t>
      </w:r>
      <w:r w:rsidRPr="003015FD">
        <w:t>Bill</w:t>
      </w:r>
      <w:r w:rsidR="00975895" w:rsidRPr="003015FD">
        <w:t xml:space="preserve"> </w:t>
      </w:r>
      <w:r w:rsidRPr="003015FD">
        <w:t>2018</w:t>
      </w:r>
      <w:r w:rsidR="00975895" w:rsidRPr="003015FD">
        <w:t xml:space="preserve"> </w:t>
      </w:r>
      <w:r w:rsidRPr="003015FD">
        <w:t>amended</w:t>
      </w:r>
      <w:r w:rsidR="00975895" w:rsidRPr="003015FD">
        <w:t xml:space="preserve"> </w:t>
      </w:r>
      <w:r w:rsidRPr="003015FD">
        <w:t>13</w:t>
      </w:r>
      <w:r w:rsidR="00975895" w:rsidRPr="003015FD">
        <w:t xml:space="preserve"> </w:t>
      </w:r>
      <w:r w:rsidRPr="003015FD">
        <w:t>Victorian</w:t>
      </w:r>
      <w:r w:rsidR="00975895" w:rsidRPr="003015FD">
        <w:t xml:space="preserve"> </w:t>
      </w:r>
      <w:r w:rsidRPr="003015FD">
        <w:t>justice-related</w:t>
      </w:r>
      <w:r w:rsidR="00975895" w:rsidRPr="003015FD">
        <w:t xml:space="preserve"> </w:t>
      </w:r>
      <w:r w:rsidRPr="003015FD">
        <w:t>Acts.</w:t>
      </w:r>
      <w:r w:rsidR="00975895" w:rsidRPr="003015FD">
        <w:t xml:space="preserve"> </w:t>
      </w:r>
      <w:r w:rsidRPr="003015FD">
        <w:t>The</w:t>
      </w:r>
      <w:r w:rsidR="00975895" w:rsidRPr="003015FD">
        <w:t xml:space="preserve"> </w:t>
      </w:r>
      <w:r w:rsidRPr="003015FD">
        <w:t>Bill</w:t>
      </w:r>
      <w:r w:rsidR="00975895" w:rsidRPr="003015FD">
        <w:t xml:space="preserve"> </w:t>
      </w:r>
      <w:r w:rsidRPr="003015FD">
        <w:t>amended</w:t>
      </w:r>
      <w:r w:rsidR="00975895" w:rsidRPr="003015FD">
        <w:t xml:space="preserve"> </w:t>
      </w:r>
      <w:r w:rsidRPr="003015FD">
        <w:t>the</w:t>
      </w:r>
      <w:r w:rsidR="00975895" w:rsidRPr="003015FD">
        <w:t xml:space="preserve"> </w:t>
      </w:r>
      <w:r w:rsidRPr="0002642E">
        <w:t>Sentencing</w:t>
      </w:r>
      <w:r w:rsidR="00975895" w:rsidRPr="0002642E">
        <w:t xml:space="preserve"> </w:t>
      </w:r>
      <w:r w:rsidRPr="0002642E">
        <w:t>Act</w:t>
      </w:r>
      <w:r w:rsidR="00975895" w:rsidRPr="0002642E">
        <w:t xml:space="preserve"> </w:t>
      </w:r>
      <w:r w:rsidRPr="0002642E">
        <w:t>1991</w:t>
      </w:r>
      <w:r w:rsidR="00975895" w:rsidRPr="0002642E">
        <w:t xml:space="preserve"> </w:t>
      </w:r>
      <w:r w:rsidRPr="003015FD">
        <w:t>to</w:t>
      </w:r>
      <w:r w:rsidR="00975895" w:rsidRPr="003015FD">
        <w:t xml:space="preserve"> </w:t>
      </w:r>
      <w:r w:rsidRPr="003015FD">
        <w:t>introduce</w:t>
      </w:r>
      <w:r w:rsidR="00975895" w:rsidRPr="003015FD">
        <w:t xml:space="preserve"> </w:t>
      </w:r>
      <w:r w:rsidRPr="003015FD">
        <w:t>mandatory</w:t>
      </w:r>
      <w:r w:rsidR="00975895" w:rsidRPr="003015FD">
        <w:t xml:space="preserve"> </w:t>
      </w:r>
      <w:r w:rsidRPr="003015FD">
        <w:t>minimum</w:t>
      </w:r>
      <w:r w:rsidR="00975895" w:rsidRPr="003015FD">
        <w:t xml:space="preserve"> </w:t>
      </w:r>
      <w:r w:rsidRPr="003015FD">
        <w:t>sentences</w:t>
      </w:r>
      <w:r w:rsidR="00975895" w:rsidRPr="003015FD">
        <w:t xml:space="preserve"> </w:t>
      </w:r>
      <w:r w:rsidR="0085647E" w:rsidRPr="003015FD">
        <w:t>for</w:t>
      </w:r>
      <w:r w:rsidR="00975895" w:rsidRPr="003015FD">
        <w:t xml:space="preserve"> </w:t>
      </w:r>
      <w:r w:rsidR="0022717F" w:rsidRPr="003015FD">
        <w:t>anyone</w:t>
      </w:r>
      <w:r w:rsidR="00975895" w:rsidRPr="003015FD">
        <w:t xml:space="preserve"> </w:t>
      </w:r>
      <w:r w:rsidR="0022717F" w:rsidRPr="003015FD">
        <w:t>who</w:t>
      </w:r>
      <w:r w:rsidR="00975895" w:rsidRPr="003015FD">
        <w:t xml:space="preserve"> </w:t>
      </w:r>
      <w:r w:rsidR="0022717F" w:rsidRPr="003015FD">
        <w:t>causes</w:t>
      </w:r>
      <w:r w:rsidR="00975895" w:rsidRPr="003015FD">
        <w:t xml:space="preserve"> </w:t>
      </w:r>
      <w:r w:rsidRPr="003015FD">
        <w:t>serious</w:t>
      </w:r>
      <w:r w:rsidR="00975895" w:rsidRPr="003015FD">
        <w:t xml:space="preserve"> </w:t>
      </w:r>
      <w:r w:rsidRPr="003015FD">
        <w:t>injury</w:t>
      </w:r>
      <w:r w:rsidR="00975895" w:rsidRPr="003015FD">
        <w:t xml:space="preserve"> </w:t>
      </w:r>
      <w:r w:rsidRPr="003015FD">
        <w:t>to</w:t>
      </w:r>
      <w:r w:rsidR="00975895" w:rsidRPr="003015FD">
        <w:t xml:space="preserve"> </w:t>
      </w:r>
      <w:r w:rsidRPr="003015FD">
        <w:t>emergency</w:t>
      </w:r>
      <w:r w:rsidR="00975895" w:rsidRPr="003015FD">
        <w:t xml:space="preserve"> </w:t>
      </w:r>
      <w:r w:rsidRPr="003015FD">
        <w:t>workers</w:t>
      </w:r>
      <w:r w:rsidR="00975895" w:rsidRPr="003015FD">
        <w:t xml:space="preserve"> </w:t>
      </w:r>
      <w:r w:rsidR="002676D4" w:rsidRPr="003015FD">
        <w:t>and</w:t>
      </w:r>
      <w:r w:rsidR="00975895" w:rsidRPr="003015FD">
        <w:t xml:space="preserve"> </w:t>
      </w:r>
      <w:r w:rsidRPr="003015FD">
        <w:t>custodial</w:t>
      </w:r>
      <w:r w:rsidR="00975895" w:rsidRPr="003015FD">
        <w:t xml:space="preserve"> </w:t>
      </w:r>
      <w:r w:rsidRPr="003015FD">
        <w:t>workers</w:t>
      </w:r>
      <w:r w:rsidR="00975895" w:rsidRPr="003015FD">
        <w:t xml:space="preserve"> </w:t>
      </w:r>
      <w:r w:rsidRPr="003015FD">
        <w:t>who</w:t>
      </w:r>
      <w:r w:rsidR="00975895" w:rsidRPr="003015FD">
        <w:t xml:space="preserve"> </w:t>
      </w:r>
      <w:r w:rsidRPr="003015FD">
        <w:t>are</w:t>
      </w:r>
      <w:r w:rsidR="00975895" w:rsidRPr="003015FD">
        <w:t xml:space="preserve"> </w:t>
      </w:r>
      <w:r w:rsidRPr="003015FD">
        <w:t>on</w:t>
      </w:r>
      <w:r w:rsidR="00975895" w:rsidRPr="003015FD">
        <w:t xml:space="preserve"> </w:t>
      </w:r>
      <w:r w:rsidRPr="003015FD">
        <w:t>duty,</w:t>
      </w:r>
      <w:r w:rsidR="00975895" w:rsidRPr="003015FD">
        <w:t xml:space="preserve"> </w:t>
      </w:r>
      <w:r w:rsidR="00DC5DAF">
        <w:t xml:space="preserve">regardless of </w:t>
      </w:r>
      <w:r w:rsidRPr="003015FD">
        <w:t>whether</w:t>
      </w:r>
      <w:r w:rsidR="00975895" w:rsidRPr="003015FD">
        <w:t xml:space="preserve"> </w:t>
      </w:r>
      <w:r w:rsidR="0022717F" w:rsidRPr="003015FD">
        <w:t>it</w:t>
      </w:r>
      <w:r w:rsidR="00975895" w:rsidRPr="003015FD">
        <w:t xml:space="preserve"> </w:t>
      </w:r>
      <w:r w:rsidRPr="003015FD">
        <w:t>is</w:t>
      </w:r>
      <w:r w:rsidR="00975895" w:rsidRPr="003015FD">
        <w:t xml:space="preserve"> </w:t>
      </w:r>
      <w:r w:rsidRPr="003015FD">
        <w:t>recklessly</w:t>
      </w:r>
      <w:r w:rsidR="00975895" w:rsidRPr="003015FD">
        <w:t xml:space="preserve"> </w:t>
      </w:r>
      <w:r w:rsidRPr="003015FD">
        <w:t>or</w:t>
      </w:r>
      <w:r w:rsidR="00975895" w:rsidRPr="003015FD">
        <w:t xml:space="preserve"> </w:t>
      </w:r>
      <w:r w:rsidRPr="003015FD">
        <w:t>intentionally</w:t>
      </w:r>
      <w:r w:rsidR="00975895" w:rsidRPr="003015FD">
        <w:t xml:space="preserve"> </w:t>
      </w:r>
      <w:r w:rsidRPr="003015FD">
        <w:t>caused.</w:t>
      </w:r>
      <w:r w:rsidRPr="004862C5">
        <w:rPr>
          <w:rStyle w:val="FootnoteReference"/>
        </w:rPr>
        <w:footnoteReference w:id="26"/>
      </w:r>
      <w:r w:rsidR="00975895" w:rsidRPr="003015FD">
        <w:t xml:space="preserve"> </w:t>
      </w:r>
    </w:p>
    <w:p w14:paraId="0303A6F0" w14:textId="1F63392A" w:rsidR="00701343" w:rsidRPr="003015FD" w:rsidRDefault="008E0945" w:rsidP="0002642E">
      <w:r w:rsidRPr="003015FD">
        <w:t>The</w:t>
      </w:r>
      <w:r w:rsidR="00975895" w:rsidRPr="003015FD">
        <w:t xml:space="preserve"> </w:t>
      </w:r>
      <w:r w:rsidR="0022717F" w:rsidRPr="003015FD">
        <w:t>B</w:t>
      </w:r>
      <w:r w:rsidRPr="003015FD">
        <w:t>ill</w:t>
      </w:r>
      <w:r w:rsidR="00975895" w:rsidRPr="003015FD">
        <w:t xml:space="preserve"> </w:t>
      </w:r>
      <w:r w:rsidRPr="003015FD">
        <w:t>provided</w:t>
      </w:r>
      <w:r w:rsidR="00975895" w:rsidRPr="003015FD">
        <w:t xml:space="preserve"> </w:t>
      </w:r>
      <w:r w:rsidRPr="003015FD">
        <w:t>a</w:t>
      </w:r>
      <w:r w:rsidR="00975895" w:rsidRPr="003015FD">
        <w:t xml:space="preserve"> </w:t>
      </w:r>
      <w:r w:rsidRPr="003015FD">
        <w:t>very</w:t>
      </w:r>
      <w:r w:rsidR="00975895" w:rsidRPr="003015FD">
        <w:t xml:space="preserve"> </w:t>
      </w:r>
      <w:r w:rsidRPr="003015FD">
        <w:t>narrow</w:t>
      </w:r>
      <w:r w:rsidR="00975895" w:rsidRPr="003015FD">
        <w:t xml:space="preserve"> </w:t>
      </w:r>
      <w:r w:rsidR="000C5726">
        <w:t>'</w:t>
      </w:r>
      <w:r w:rsidRPr="003015FD">
        <w:t>special</w:t>
      </w:r>
      <w:r w:rsidR="00975895" w:rsidRPr="003015FD">
        <w:t xml:space="preserve"> </w:t>
      </w:r>
      <w:r w:rsidRPr="003015FD">
        <w:t>reasons</w:t>
      </w:r>
      <w:r w:rsidR="000C5726">
        <w:t>'</w:t>
      </w:r>
      <w:r w:rsidR="00975895" w:rsidRPr="003015FD">
        <w:t xml:space="preserve"> </w:t>
      </w:r>
      <w:r w:rsidRPr="003015FD">
        <w:t>exception</w:t>
      </w:r>
      <w:r w:rsidR="00975895" w:rsidRPr="003015FD">
        <w:t xml:space="preserve"> </w:t>
      </w:r>
      <w:r w:rsidRPr="003015FD">
        <w:t>for</w:t>
      </w:r>
      <w:r w:rsidR="00975895" w:rsidRPr="003015FD">
        <w:t xml:space="preserve"> </w:t>
      </w:r>
      <w:r w:rsidRPr="003015FD">
        <w:t>cases</w:t>
      </w:r>
      <w:r w:rsidR="00975895" w:rsidRPr="003015FD">
        <w:t xml:space="preserve"> </w:t>
      </w:r>
      <w:r w:rsidRPr="003015FD">
        <w:t>involving</w:t>
      </w:r>
      <w:r w:rsidR="00975895" w:rsidRPr="003015FD">
        <w:t xml:space="preserve"> </w:t>
      </w:r>
      <w:r w:rsidRPr="003015FD">
        <w:t>offenders</w:t>
      </w:r>
      <w:r w:rsidR="00975895" w:rsidRPr="003015FD">
        <w:t xml:space="preserve"> </w:t>
      </w:r>
      <w:r w:rsidRPr="003015FD">
        <w:t>with</w:t>
      </w:r>
      <w:r w:rsidR="00975895" w:rsidRPr="003015FD">
        <w:t xml:space="preserve"> </w:t>
      </w:r>
      <w:r w:rsidRPr="003015FD">
        <w:t>a</w:t>
      </w:r>
      <w:r w:rsidR="00975895" w:rsidRPr="003015FD">
        <w:t xml:space="preserve"> </w:t>
      </w:r>
      <w:r w:rsidRPr="003015FD">
        <w:t>mental</w:t>
      </w:r>
      <w:r w:rsidR="00975895" w:rsidRPr="003015FD">
        <w:t xml:space="preserve"> </w:t>
      </w:r>
      <w:r w:rsidRPr="003015FD">
        <w:t>or</w:t>
      </w:r>
      <w:r w:rsidR="00975895" w:rsidRPr="003015FD">
        <w:t xml:space="preserve"> </w:t>
      </w:r>
      <w:r w:rsidRPr="003015FD">
        <w:t>cognitive</w:t>
      </w:r>
      <w:r w:rsidR="00975895" w:rsidRPr="003015FD">
        <w:t xml:space="preserve"> </w:t>
      </w:r>
      <w:r w:rsidRPr="003015FD">
        <w:t>impairment</w:t>
      </w:r>
      <w:r w:rsidR="00975895" w:rsidRPr="003015FD">
        <w:t xml:space="preserve"> </w:t>
      </w:r>
      <w:r w:rsidRPr="003015FD">
        <w:t>or</w:t>
      </w:r>
      <w:r w:rsidR="00975895" w:rsidRPr="003015FD">
        <w:t xml:space="preserve"> </w:t>
      </w:r>
      <w:r w:rsidRPr="003015FD">
        <w:t>where</w:t>
      </w:r>
      <w:r w:rsidR="00975895" w:rsidRPr="003015FD">
        <w:t xml:space="preserve"> </w:t>
      </w:r>
      <w:r w:rsidRPr="003015FD">
        <w:t>an</w:t>
      </w:r>
      <w:r w:rsidR="00975895" w:rsidRPr="003015FD">
        <w:t xml:space="preserve"> </w:t>
      </w:r>
      <w:r w:rsidRPr="003015FD">
        <w:t>offender</w:t>
      </w:r>
      <w:r w:rsidR="00975895" w:rsidRPr="003015FD">
        <w:t xml:space="preserve"> </w:t>
      </w:r>
      <w:r w:rsidRPr="003015FD">
        <w:t>assisted</w:t>
      </w:r>
      <w:r w:rsidR="00975895" w:rsidRPr="003015FD">
        <w:t xml:space="preserve"> </w:t>
      </w:r>
      <w:r w:rsidRPr="003015FD">
        <w:t>law</w:t>
      </w:r>
      <w:r w:rsidR="00975895" w:rsidRPr="003015FD">
        <w:t xml:space="preserve"> </w:t>
      </w:r>
      <w:r w:rsidRPr="003015FD">
        <w:t>enforcement</w:t>
      </w:r>
      <w:r w:rsidR="00975895" w:rsidRPr="003015FD">
        <w:t xml:space="preserve"> </w:t>
      </w:r>
      <w:r w:rsidRPr="003015FD">
        <w:t>authorities.</w:t>
      </w:r>
      <w:r w:rsidR="00975895" w:rsidRPr="003015FD">
        <w:t xml:space="preserve"> </w:t>
      </w:r>
      <w:r w:rsidR="0022717F" w:rsidRPr="003015FD">
        <w:t>This</w:t>
      </w:r>
      <w:r w:rsidR="00975895" w:rsidRPr="003015FD">
        <w:t xml:space="preserve"> </w:t>
      </w:r>
      <w:r w:rsidRPr="003015FD">
        <w:t>Sentencing</w:t>
      </w:r>
      <w:r w:rsidR="00975895" w:rsidRPr="003015FD">
        <w:t xml:space="preserve"> </w:t>
      </w:r>
      <w:r w:rsidRPr="003015FD">
        <w:t>Act</w:t>
      </w:r>
      <w:r w:rsidR="00975895" w:rsidRPr="003015FD">
        <w:t xml:space="preserve"> </w:t>
      </w:r>
      <w:r w:rsidRPr="003015FD">
        <w:t>amendment</w:t>
      </w:r>
      <w:r w:rsidR="00975895" w:rsidRPr="003015FD">
        <w:t xml:space="preserve"> </w:t>
      </w:r>
      <w:r w:rsidR="0085647E" w:rsidRPr="003015FD">
        <w:t>was</w:t>
      </w:r>
      <w:r w:rsidR="00975895" w:rsidRPr="003015FD">
        <w:t xml:space="preserve"> </w:t>
      </w:r>
      <w:r w:rsidRPr="003015FD">
        <w:t>found</w:t>
      </w:r>
      <w:r w:rsidR="00975895" w:rsidRPr="003015FD">
        <w:t xml:space="preserve"> </w:t>
      </w:r>
      <w:r w:rsidRPr="003015FD">
        <w:t>to</w:t>
      </w:r>
      <w:r w:rsidR="00975895" w:rsidRPr="003015FD">
        <w:t xml:space="preserve"> </w:t>
      </w:r>
      <w:r w:rsidRPr="003015FD">
        <w:t>be</w:t>
      </w:r>
      <w:r w:rsidR="00975895" w:rsidRPr="003015FD">
        <w:t xml:space="preserve"> </w:t>
      </w:r>
      <w:r w:rsidRPr="003015FD">
        <w:t>Charter</w:t>
      </w:r>
      <w:r w:rsidR="00975895" w:rsidRPr="003015FD">
        <w:t xml:space="preserve"> </w:t>
      </w:r>
      <w:r w:rsidRPr="003015FD">
        <w:t>compatible</w:t>
      </w:r>
      <w:r w:rsidR="0022717F" w:rsidRPr="003015FD">
        <w:t>.</w:t>
      </w:r>
      <w:r w:rsidR="00975895" w:rsidRPr="003015FD">
        <w:t xml:space="preserve"> </w:t>
      </w:r>
    </w:p>
    <w:p w14:paraId="50B2FE27" w14:textId="07241E24" w:rsidR="008E0945" w:rsidRPr="003015FD" w:rsidRDefault="002676D4" w:rsidP="0002642E">
      <w:r w:rsidRPr="003015FD">
        <w:t>The</w:t>
      </w:r>
      <w:r w:rsidR="00975895" w:rsidRPr="003015FD">
        <w:t xml:space="preserve"> </w:t>
      </w:r>
      <w:r w:rsidRPr="003015FD">
        <w:t>Bill</w:t>
      </w:r>
      <w:r w:rsidR="00975895" w:rsidRPr="003015FD">
        <w:t xml:space="preserve"> </w:t>
      </w:r>
      <w:r w:rsidRPr="003015FD">
        <w:t>also</w:t>
      </w:r>
      <w:r w:rsidR="00975895" w:rsidRPr="003015FD">
        <w:t xml:space="preserve"> </w:t>
      </w:r>
      <w:r w:rsidRPr="003015FD">
        <w:t>made</w:t>
      </w:r>
      <w:r w:rsidR="00975895" w:rsidRPr="003015FD">
        <w:t xml:space="preserve"> </w:t>
      </w:r>
      <w:r w:rsidRPr="003015FD">
        <w:t>amendments</w:t>
      </w:r>
      <w:r w:rsidR="00975895" w:rsidRPr="003015FD">
        <w:t xml:space="preserve"> </w:t>
      </w:r>
      <w:r w:rsidRPr="003015FD">
        <w:t>to</w:t>
      </w:r>
      <w:r w:rsidR="00975895" w:rsidRPr="003015FD">
        <w:t xml:space="preserve"> </w:t>
      </w:r>
      <w:r w:rsidRPr="003015FD">
        <w:t>the</w:t>
      </w:r>
      <w:r w:rsidR="00975895" w:rsidRPr="003015FD">
        <w:t xml:space="preserve"> </w:t>
      </w:r>
      <w:r w:rsidRPr="0002642E">
        <w:t>Criminal</w:t>
      </w:r>
      <w:r w:rsidR="00975895" w:rsidRPr="0002642E">
        <w:t xml:space="preserve"> </w:t>
      </w:r>
      <w:r w:rsidRPr="0002642E">
        <w:t>Procedure</w:t>
      </w:r>
      <w:r w:rsidR="00975895" w:rsidRPr="0002642E">
        <w:t xml:space="preserve"> </w:t>
      </w:r>
      <w:r w:rsidRPr="0002642E">
        <w:t>Act</w:t>
      </w:r>
      <w:r w:rsidR="00975895" w:rsidRPr="0002642E">
        <w:t xml:space="preserve"> </w:t>
      </w:r>
      <w:r w:rsidRPr="0002642E">
        <w:t>2009</w:t>
      </w:r>
      <w:r w:rsidRPr="003015FD">
        <w:t>,</w:t>
      </w:r>
      <w:r w:rsidR="00975895" w:rsidRPr="003015FD">
        <w:t xml:space="preserve"> </w:t>
      </w:r>
      <w:r w:rsidRPr="003015FD">
        <w:t>which</w:t>
      </w:r>
      <w:r w:rsidR="00975895" w:rsidRPr="003015FD">
        <w:t xml:space="preserve"> </w:t>
      </w:r>
      <w:r w:rsidRPr="003015FD">
        <w:t>was</w:t>
      </w:r>
      <w:r w:rsidR="00975895" w:rsidRPr="003015FD">
        <w:t xml:space="preserve"> </w:t>
      </w:r>
      <w:r w:rsidRPr="003015FD">
        <w:t>found</w:t>
      </w:r>
      <w:r w:rsidR="00975895" w:rsidRPr="003015FD">
        <w:t xml:space="preserve"> </w:t>
      </w:r>
      <w:r w:rsidRPr="003015FD">
        <w:t>to</w:t>
      </w:r>
      <w:r w:rsidR="00975895" w:rsidRPr="003015FD">
        <w:t xml:space="preserve"> </w:t>
      </w:r>
      <w:r w:rsidRPr="003015FD">
        <w:t>be</w:t>
      </w:r>
      <w:r w:rsidR="00975895" w:rsidRPr="003015FD">
        <w:t xml:space="preserve"> </w:t>
      </w:r>
      <w:r w:rsidRPr="003015FD">
        <w:t>partially</w:t>
      </w:r>
      <w:r w:rsidR="00975895" w:rsidRPr="003015FD">
        <w:t xml:space="preserve"> </w:t>
      </w:r>
      <w:r w:rsidRPr="003015FD">
        <w:t>incompatible.</w:t>
      </w:r>
      <w:r w:rsidR="00975895" w:rsidRPr="003015FD">
        <w:t xml:space="preserve"> </w:t>
      </w:r>
      <w:r w:rsidRPr="003015FD">
        <w:t>W</w:t>
      </w:r>
      <w:r w:rsidR="008E0945" w:rsidRPr="003015FD">
        <w:t>here</w:t>
      </w:r>
      <w:r w:rsidR="00975895" w:rsidRPr="003015FD">
        <w:t xml:space="preserve"> </w:t>
      </w:r>
      <w:r w:rsidR="008E0945" w:rsidRPr="003015FD">
        <w:t>an</w:t>
      </w:r>
      <w:r w:rsidR="00975895" w:rsidRPr="003015FD">
        <w:t xml:space="preserve"> </w:t>
      </w:r>
      <w:r w:rsidR="008E0945" w:rsidRPr="003015FD">
        <w:t>offender</w:t>
      </w:r>
      <w:r w:rsidR="00975895" w:rsidRPr="003015FD">
        <w:t xml:space="preserve"> </w:t>
      </w:r>
      <w:r w:rsidR="008E0945" w:rsidRPr="003015FD">
        <w:t>successfully</w:t>
      </w:r>
      <w:r w:rsidR="00975895" w:rsidRPr="003015FD">
        <w:t xml:space="preserve"> </w:t>
      </w:r>
      <w:r w:rsidR="008E0945" w:rsidRPr="003015FD">
        <w:t>appeals</w:t>
      </w:r>
      <w:r w:rsidR="00975895" w:rsidRPr="003015FD">
        <w:t xml:space="preserve"> </w:t>
      </w:r>
      <w:r w:rsidR="008E0945" w:rsidRPr="003015FD">
        <w:t>a</w:t>
      </w:r>
      <w:r w:rsidR="00975895" w:rsidRPr="003015FD">
        <w:t xml:space="preserve"> </w:t>
      </w:r>
      <w:r w:rsidR="008E0945" w:rsidRPr="003015FD">
        <w:t>mandatory</w:t>
      </w:r>
      <w:r w:rsidR="00975895" w:rsidRPr="003015FD">
        <w:t xml:space="preserve"> </w:t>
      </w:r>
      <w:r w:rsidR="008E0945" w:rsidRPr="003015FD">
        <w:t>minimum</w:t>
      </w:r>
      <w:r w:rsidR="00975895" w:rsidRPr="003015FD">
        <w:t xml:space="preserve"> </w:t>
      </w:r>
      <w:r w:rsidR="008E0945" w:rsidRPr="003015FD">
        <w:t>sentence,</w:t>
      </w:r>
      <w:r w:rsidR="00975895" w:rsidRPr="003015FD">
        <w:t xml:space="preserve"> </w:t>
      </w:r>
      <w:r w:rsidR="008E0945" w:rsidRPr="003015FD">
        <w:t>the</w:t>
      </w:r>
      <w:r w:rsidR="00975895" w:rsidRPr="003015FD">
        <w:t xml:space="preserve"> </w:t>
      </w:r>
      <w:r w:rsidR="008E0945" w:rsidRPr="003015FD">
        <w:t>Director</w:t>
      </w:r>
      <w:r w:rsidR="00975895" w:rsidRPr="003015FD">
        <w:t xml:space="preserve"> </w:t>
      </w:r>
      <w:r w:rsidR="008E0945" w:rsidRPr="003015FD">
        <w:t>of</w:t>
      </w:r>
      <w:r w:rsidR="00975895" w:rsidRPr="003015FD">
        <w:t xml:space="preserve"> </w:t>
      </w:r>
      <w:r w:rsidR="008E0945" w:rsidRPr="003015FD">
        <w:t>Public</w:t>
      </w:r>
      <w:r w:rsidR="00975895" w:rsidRPr="003015FD">
        <w:t xml:space="preserve"> </w:t>
      </w:r>
      <w:r w:rsidR="008E0945" w:rsidRPr="003015FD">
        <w:t>Prosecutions</w:t>
      </w:r>
      <w:r w:rsidR="00975895" w:rsidRPr="003015FD">
        <w:t xml:space="preserve"> </w:t>
      </w:r>
      <w:r w:rsidR="008E0945" w:rsidRPr="003015FD">
        <w:t>(DPP)</w:t>
      </w:r>
      <w:r w:rsidR="00975895" w:rsidRPr="003015FD">
        <w:t xml:space="preserve"> </w:t>
      </w:r>
      <w:r w:rsidR="0022717F" w:rsidRPr="003015FD">
        <w:t>may</w:t>
      </w:r>
      <w:r w:rsidR="00975895" w:rsidRPr="003015FD">
        <w:t xml:space="preserve"> </w:t>
      </w:r>
      <w:r w:rsidR="008E0945" w:rsidRPr="003015FD">
        <w:t>appeal</w:t>
      </w:r>
      <w:r w:rsidR="00975895" w:rsidRPr="003015FD">
        <w:t xml:space="preserve"> </w:t>
      </w:r>
      <w:r w:rsidR="0022717F" w:rsidRPr="003015FD">
        <w:t>th</w:t>
      </w:r>
      <w:r w:rsidRPr="003015FD">
        <w:t>at</w:t>
      </w:r>
      <w:r w:rsidR="00975895" w:rsidRPr="003015FD">
        <w:t xml:space="preserve"> </w:t>
      </w:r>
      <w:r w:rsidRPr="003015FD">
        <w:t>decision</w:t>
      </w:r>
      <w:r w:rsidR="00975895" w:rsidRPr="003015FD">
        <w:t xml:space="preserve"> </w:t>
      </w:r>
      <w:r w:rsidR="008E0945" w:rsidRPr="003015FD">
        <w:t>to</w:t>
      </w:r>
      <w:r w:rsidR="00975895" w:rsidRPr="003015FD">
        <w:t xml:space="preserve"> </w:t>
      </w:r>
      <w:r w:rsidR="008E0945" w:rsidRPr="003015FD">
        <w:t>the</w:t>
      </w:r>
      <w:r w:rsidR="00975895" w:rsidRPr="003015FD">
        <w:t xml:space="preserve"> </w:t>
      </w:r>
      <w:r w:rsidR="008E0945" w:rsidRPr="003015FD">
        <w:t>Supreme</w:t>
      </w:r>
      <w:r w:rsidR="00975895" w:rsidRPr="003015FD">
        <w:t xml:space="preserve"> </w:t>
      </w:r>
      <w:r w:rsidR="008E0945" w:rsidRPr="003015FD">
        <w:t>Court</w:t>
      </w:r>
      <w:r w:rsidR="00975895" w:rsidRPr="003015FD">
        <w:t xml:space="preserve"> </w:t>
      </w:r>
      <w:r w:rsidR="008E0945" w:rsidRPr="003015FD">
        <w:t>of</w:t>
      </w:r>
      <w:r w:rsidR="00975895" w:rsidRPr="003015FD">
        <w:t xml:space="preserve"> </w:t>
      </w:r>
      <w:r w:rsidR="008E0945" w:rsidRPr="003015FD">
        <w:t>Appeal</w:t>
      </w:r>
      <w:r w:rsidR="00975895" w:rsidRPr="003015FD">
        <w:t xml:space="preserve"> </w:t>
      </w:r>
      <w:r w:rsidR="008E0945" w:rsidRPr="003015FD">
        <w:t>if</w:t>
      </w:r>
      <w:r w:rsidR="00975895" w:rsidRPr="003015FD">
        <w:t xml:space="preserve"> </w:t>
      </w:r>
      <w:r w:rsidR="008E0945" w:rsidRPr="003015FD">
        <w:t>the</w:t>
      </w:r>
      <w:r w:rsidR="00975895" w:rsidRPr="003015FD">
        <w:t xml:space="preserve"> </w:t>
      </w:r>
      <w:r w:rsidR="008E0945" w:rsidRPr="003015FD">
        <w:t>DPP</w:t>
      </w:r>
      <w:r w:rsidR="00975895" w:rsidRPr="003015FD">
        <w:t xml:space="preserve"> </w:t>
      </w:r>
      <w:r w:rsidR="008E0945" w:rsidRPr="003015FD">
        <w:t>considers</w:t>
      </w:r>
      <w:r w:rsidR="00975895" w:rsidRPr="003015FD">
        <w:t xml:space="preserve"> </w:t>
      </w:r>
      <w:r w:rsidR="008E0945" w:rsidRPr="003015FD">
        <w:t>that</w:t>
      </w:r>
      <w:r w:rsidR="00975895" w:rsidRPr="003015FD">
        <w:t xml:space="preserve"> </w:t>
      </w:r>
      <w:r w:rsidR="005F7930">
        <w:t>"</w:t>
      </w:r>
      <w:r w:rsidR="008E0945" w:rsidRPr="003015FD">
        <w:t>there</w:t>
      </w:r>
      <w:r w:rsidR="00975895" w:rsidRPr="003015FD">
        <w:t xml:space="preserve"> </w:t>
      </w:r>
      <w:r w:rsidR="008E0945" w:rsidRPr="003015FD">
        <w:t>is</w:t>
      </w:r>
      <w:r w:rsidR="00975895" w:rsidRPr="003015FD">
        <w:t xml:space="preserve"> </w:t>
      </w:r>
      <w:r w:rsidR="008E0945" w:rsidRPr="003015FD">
        <w:t>an</w:t>
      </w:r>
      <w:r w:rsidR="00975895" w:rsidRPr="003015FD">
        <w:t xml:space="preserve"> </w:t>
      </w:r>
      <w:r w:rsidR="008E0945" w:rsidRPr="003015FD">
        <w:t>error</w:t>
      </w:r>
      <w:r w:rsidR="00975895" w:rsidRPr="003015FD">
        <w:t xml:space="preserve"> </w:t>
      </w:r>
      <w:r w:rsidR="008E0945" w:rsidRPr="003015FD">
        <w:t>in</w:t>
      </w:r>
      <w:r w:rsidR="00975895" w:rsidRPr="003015FD">
        <w:t xml:space="preserve"> </w:t>
      </w:r>
      <w:r w:rsidR="008E0945" w:rsidRPr="003015FD">
        <w:t>the</w:t>
      </w:r>
      <w:r w:rsidR="00975895" w:rsidRPr="003015FD">
        <w:t xml:space="preserve"> </w:t>
      </w:r>
      <w:r w:rsidR="008E0945" w:rsidRPr="003015FD">
        <w:t>sentence</w:t>
      </w:r>
      <w:r w:rsidR="00975895" w:rsidRPr="003015FD">
        <w:t xml:space="preserve"> </w:t>
      </w:r>
      <w:r w:rsidR="008E0945" w:rsidRPr="003015FD">
        <w:t>imposed</w:t>
      </w:r>
      <w:r w:rsidR="00975895" w:rsidRPr="003015FD">
        <w:t xml:space="preserve"> </w:t>
      </w:r>
      <w:r w:rsidR="008E0945" w:rsidRPr="003015FD">
        <w:t>and</w:t>
      </w:r>
      <w:r w:rsidR="00975895" w:rsidRPr="003015FD">
        <w:t xml:space="preserve"> </w:t>
      </w:r>
      <w:r w:rsidR="008E0945" w:rsidRPr="003015FD">
        <w:t>that</w:t>
      </w:r>
      <w:r w:rsidR="00975895" w:rsidRPr="003015FD">
        <w:t xml:space="preserve"> </w:t>
      </w:r>
      <w:r w:rsidR="008E0945" w:rsidRPr="003015FD">
        <w:t>a</w:t>
      </w:r>
      <w:r w:rsidR="00975895" w:rsidRPr="003015FD">
        <w:t xml:space="preserve"> </w:t>
      </w:r>
      <w:r w:rsidR="008E0945" w:rsidRPr="003015FD">
        <w:t>different</w:t>
      </w:r>
      <w:r w:rsidR="00975895" w:rsidRPr="003015FD">
        <w:t xml:space="preserve"> </w:t>
      </w:r>
      <w:r w:rsidR="008E0945" w:rsidRPr="003015FD">
        <w:t>sentence</w:t>
      </w:r>
      <w:r w:rsidR="00975895" w:rsidRPr="003015FD">
        <w:t xml:space="preserve"> </w:t>
      </w:r>
      <w:r w:rsidR="008E0945" w:rsidRPr="003015FD">
        <w:t>should</w:t>
      </w:r>
      <w:r w:rsidR="00975895" w:rsidRPr="003015FD">
        <w:t xml:space="preserve"> </w:t>
      </w:r>
      <w:r w:rsidR="008E0945" w:rsidRPr="003015FD">
        <w:t>be</w:t>
      </w:r>
      <w:r w:rsidR="00975895" w:rsidRPr="003015FD">
        <w:t xml:space="preserve"> </w:t>
      </w:r>
      <w:r w:rsidR="008E0945" w:rsidRPr="003015FD">
        <w:t>imposed</w:t>
      </w:r>
      <w:r w:rsidR="005F7930">
        <w:t>"</w:t>
      </w:r>
      <w:r w:rsidR="008E0945" w:rsidRPr="003015FD">
        <w:t>.</w:t>
      </w:r>
      <w:r w:rsidR="00975895" w:rsidRPr="003015FD">
        <w:t xml:space="preserve"> </w:t>
      </w:r>
      <w:r w:rsidR="008E0945" w:rsidRPr="003015FD">
        <w:t>The</w:t>
      </w:r>
      <w:r w:rsidR="00975895" w:rsidRPr="003015FD">
        <w:t xml:space="preserve"> </w:t>
      </w:r>
      <w:r w:rsidR="008E0945" w:rsidRPr="003015FD">
        <w:t>DPP</w:t>
      </w:r>
      <w:r w:rsidR="00975895" w:rsidRPr="003015FD">
        <w:t xml:space="preserve"> </w:t>
      </w:r>
      <w:r w:rsidR="008E0945" w:rsidRPr="003015FD">
        <w:t>should</w:t>
      </w:r>
      <w:r w:rsidR="00975895" w:rsidRPr="003015FD">
        <w:t xml:space="preserve"> </w:t>
      </w:r>
      <w:r w:rsidR="008E0945" w:rsidRPr="003015FD">
        <w:t>also</w:t>
      </w:r>
      <w:r w:rsidR="00975895" w:rsidRPr="003015FD">
        <w:t xml:space="preserve"> </w:t>
      </w:r>
      <w:r w:rsidR="008E0945" w:rsidRPr="003015FD">
        <w:t>be</w:t>
      </w:r>
      <w:r w:rsidR="00975895" w:rsidRPr="003015FD">
        <w:t xml:space="preserve"> </w:t>
      </w:r>
      <w:r w:rsidR="008E0945" w:rsidRPr="003015FD">
        <w:t>satisfied</w:t>
      </w:r>
      <w:r w:rsidR="00975895" w:rsidRPr="003015FD">
        <w:t xml:space="preserve"> </w:t>
      </w:r>
      <w:r w:rsidR="008E0945" w:rsidRPr="003015FD">
        <w:t>that</w:t>
      </w:r>
      <w:r w:rsidR="00975895" w:rsidRPr="003015FD">
        <w:t xml:space="preserve"> </w:t>
      </w:r>
      <w:r w:rsidR="008E0945" w:rsidRPr="003015FD">
        <w:t>a</w:t>
      </w:r>
      <w:r w:rsidR="00975895" w:rsidRPr="003015FD">
        <w:t xml:space="preserve"> </w:t>
      </w:r>
      <w:r w:rsidR="008E0945" w:rsidRPr="003015FD">
        <w:t>further</w:t>
      </w:r>
      <w:r w:rsidR="00975895" w:rsidRPr="003015FD">
        <w:t xml:space="preserve"> </w:t>
      </w:r>
      <w:r w:rsidR="008E0945" w:rsidRPr="003015FD">
        <w:t>appeal</w:t>
      </w:r>
      <w:r w:rsidR="00975895" w:rsidRPr="003015FD">
        <w:t xml:space="preserve"> </w:t>
      </w:r>
      <w:r w:rsidR="008E0945" w:rsidRPr="003015FD">
        <w:t>is</w:t>
      </w:r>
      <w:r w:rsidR="00975895" w:rsidRPr="003015FD">
        <w:t xml:space="preserve"> </w:t>
      </w:r>
      <w:r w:rsidR="008E0945" w:rsidRPr="003015FD">
        <w:t>in</w:t>
      </w:r>
      <w:r w:rsidR="00975895" w:rsidRPr="003015FD">
        <w:t xml:space="preserve"> </w:t>
      </w:r>
      <w:r w:rsidR="008E0945" w:rsidRPr="003015FD">
        <w:t>the</w:t>
      </w:r>
      <w:r w:rsidR="00975895" w:rsidRPr="003015FD">
        <w:t xml:space="preserve"> </w:t>
      </w:r>
      <w:r w:rsidR="008E0945" w:rsidRPr="003015FD">
        <w:t>public</w:t>
      </w:r>
      <w:r w:rsidR="00975895" w:rsidRPr="003015FD">
        <w:t xml:space="preserve"> </w:t>
      </w:r>
      <w:r w:rsidR="008E0945" w:rsidRPr="003015FD">
        <w:t>interest.</w:t>
      </w:r>
      <w:r w:rsidR="00975895" w:rsidRPr="003015FD">
        <w:t xml:space="preserve"> </w:t>
      </w:r>
      <w:r w:rsidR="00A601D1" w:rsidRPr="003015FD">
        <w:t>However</w:t>
      </w:r>
      <w:r w:rsidR="0022717F" w:rsidRPr="003015FD">
        <w:t>,</w:t>
      </w:r>
      <w:r w:rsidR="00975895" w:rsidRPr="003015FD">
        <w:t xml:space="preserve"> </w:t>
      </w:r>
      <w:r w:rsidR="0022717F" w:rsidRPr="003015FD">
        <w:t>if</w:t>
      </w:r>
      <w:r w:rsidR="00975895" w:rsidRPr="003015FD">
        <w:t xml:space="preserve"> </w:t>
      </w:r>
      <w:r w:rsidR="0085647E" w:rsidRPr="003015FD">
        <w:t>an</w:t>
      </w:r>
      <w:r w:rsidR="00975895" w:rsidRPr="003015FD">
        <w:t xml:space="preserve"> </w:t>
      </w:r>
      <w:r w:rsidR="0022717F" w:rsidRPr="003015FD">
        <w:t>offender</w:t>
      </w:r>
      <w:r w:rsidR="00975895" w:rsidRPr="003015FD">
        <w:t xml:space="preserve"> </w:t>
      </w:r>
      <w:r w:rsidR="0085647E" w:rsidRPr="003015FD">
        <w:t>is</w:t>
      </w:r>
      <w:r w:rsidR="00975895" w:rsidRPr="003015FD">
        <w:t xml:space="preserve"> </w:t>
      </w:r>
      <w:r w:rsidR="0085647E" w:rsidRPr="003015FD">
        <w:t>unsuccessful</w:t>
      </w:r>
      <w:r w:rsidR="00975895" w:rsidRPr="003015FD">
        <w:t xml:space="preserve"> </w:t>
      </w:r>
      <w:r w:rsidR="0085647E" w:rsidRPr="003015FD">
        <w:t>in</w:t>
      </w:r>
      <w:r w:rsidR="00975895" w:rsidRPr="003015FD">
        <w:t xml:space="preserve"> </w:t>
      </w:r>
      <w:r w:rsidR="0085647E" w:rsidRPr="003015FD">
        <w:t>their</w:t>
      </w:r>
      <w:r w:rsidR="00975895" w:rsidRPr="003015FD">
        <w:t xml:space="preserve"> </w:t>
      </w:r>
      <w:r w:rsidR="0085647E" w:rsidRPr="003015FD">
        <w:t>attempt</w:t>
      </w:r>
      <w:r w:rsidR="00975895" w:rsidRPr="003015FD">
        <w:t xml:space="preserve"> </w:t>
      </w:r>
      <w:r w:rsidR="0022717F" w:rsidRPr="003015FD">
        <w:t>to</w:t>
      </w:r>
      <w:r w:rsidR="00975895" w:rsidRPr="003015FD">
        <w:t xml:space="preserve"> </w:t>
      </w:r>
      <w:r w:rsidR="0022717F" w:rsidRPr="003015FD">
        <w:t>overturn</w:t>
      </w:r>
      <w:r w:rsidR="00975895" w:rsidRPr="003015FD">
        <w:t xml:space="preserve"> </w:t>
      </w:r>
      <w:r w:rsidR="0022717F" w:rsidRPr="003015FD">
        <w:t>a</w:t>
      </w:r>
      <w:r w:rsidR="00975895" w:rsidRPr="003015FD">
        <w:t xml:space="preserve"> </w:t>
      </w:r>
      <w:r w:rsidR="0022717F" w:rsidRPr="003015FD">
        <w:t>mandatory</w:t>
      </w:r>
      <w:r w:rsidR="00975895" w:rsidRPr="003015FD">
        <w:t xml:space="preserve"> </w:t>
      </w:r>
      <w:r w:rsidR="0022717F" w:rsidRPr="003015FD">
        <w:t>minimum</w:t>
      </w:r>
      <w:r w:rsidR="00975895" w:rsidRPr="003015FD">
        <w:t xml:space="preserve"> </w:t>
      </w:r>
      <w:r w:rsidR="0022717F" w:rsidRPr="003015FD">
        <w:t>sentence,</w:t>
      </w:r>
      <w:r w:rsidR="00975895" w:rsidRPr="003015FD">
        <w:t xml:space="preserve"> </w:t>
      </w:r>
      <w:r w:rsidR="0022717F" w:rsidRPr="003015FD">
        <w:t>they</w:t>
      </w:r>
      <w:r w:rsidR="00975895" w:rsidRPr="003015FD">
        <w:t xml:space="preserve"> </w:t>
      </w:r>
      <w:r w:rsidR="0022717F" w:rsidRPr="003015FD">
        <w:t>have</w:t>
      </w:r>
      <w:r w:rsidR="00975895" w:rsidRPr="003015FD">
        <w:t xml:space="preserve"> </w:t>
      </w:r>
      <w:r w:rsidR="00A601D1" w:rsidRPr="003015FD">
        <w:t>no</w:t>
      </w:r>
      <w:r w:rsidR="00975895" w:rsidRPr="003015FD">
        <w:t xml:space="preserve"> </w:t>
      </w:r>
      <w:r w:rsidR="0022717F" w:rsidRPr="003015FD">
        <w:t>right</w:t>
      </w:r>
      <w:r w:rsidR="00975895" w:rsidRPr="003015FD">
        <w:t xml:space="preserve"> </w:t>
      </w:r>
      <w:r w:rsidR="0022717F" w:rsidRPr="003015FD">
        <w:t>to</w:t>
      </w:r>
      <w:r w:rsidR="00975895" w:rsidRPr="003015FD">
        <w:t xml:space="preserve"> </w:t>
      </w:r>
      <w:r w:rsidR="0022717F" w:rsidRPr="003015FD">
        <w:t>appeal</w:t>
      </w:r>
      <w:r w:rsidR="00975895" w:rsidRPr="003015FD">
        <w:t xml:space="preserve"> </w:t>
      </w:r>
      <w:r w:rsidR="0022717F" w:rsidRPr="003015FD">
        <w:t>that</w:t>
      </w:r>
      <w:r w:rsidR="00975895" w:rsidRPr="003015FD">
        <w:t xml:space="preserve"> </w:t>
      </w:r>
      <w:r w:rsidR="0022717F" w:rsidRPr="003015FD">
        <w:t>decision</w:t>
      </w:r>
      <w:r w:rsidR="00975895" w:rsidRPr="003015FD">
        <w:t xml:space="preserve"> </w:t>
      </w:r>
      <w:r w:rsidR="0022717F" w:rsidRPr="003015FD">
        <w:t>to</w:t>
      </w:r>
      <w:r w:rsidR="00975895" w:rsidRPr="003015FD">
        <w:t xml:space="preserve"> </w:t>
      </w:r>
      <w:r w:rsidR="0022717F" w:rsidRPr="003015FD">
        <w:t>the</w:t>
      </w:r>
      <w:r w:rsidR="00975895" w:rsidRPr="003015FD">
        <w:t xml:space="preserve"> </w:t>
      </w:r>
      <w:r w:rsidR="0022717F" w:rsidRPr="003015FD">
        <w:t>Supreme</w:t>
      </w:r>
      <w:r w:rsidR="00975895" w:rsidRPr="003015FD">
        <w:t xml:space="preserve"> </w:t>
      </w:r>
      <w:r w:rsidR="0022717F" w:rsidRPr="003015FD">
        <w:t>Court</w:t>
      </w:r>
      <w:r w:rsidR="00975895" w:rsidRPr="003015FD">
        <w:t xml:space="preserve"> </w:t>
      </w:r>
      <w:r w:rsidR="0022717F" w:rsidRPr="003015FD">
        <w:t>of</w:t>
      </w:r>
      <w:r w:rsidR="00975895" w:rsidRPr="003015FD">
        <w:t xml:space="preserve"> </w:t>
      </w:r>
      <w:r w:rsidR="0022717F" w:rsidRPr="003015FD">
        <w:t>Appeal.</w:t>
      </w:r>
      <w:r w:rsidR="00975895" w:rsidRPr="003015FD">
        <w:t xml:space="preserve"> </w:t>
      </w:r>
      <w:r w:rsidR="008E0945" w:rsidRPr="003015FD">
        <w:t>This</w:t>
      </w:r>
      <w:r w:rsidR="00975895" w:rsidRPr="003015FD">
        <w:t xml:space="preserve"> </w:t>
      </w:r>
      <w:r w:rsidR="008E0945" w:rsidRPr="003015FD">
        <w:t>would</w:t>
      </w:r>
      <w:r w:rsidR="00975895" w:rsidRPr="003015FD">
        <w:t xml:space="preserve"> </w:t>
      </w:r>
      <w:r w:rsidR="008E0945" w:rsidRPr="003015FD">
        <w:t>mean</w:t>
      </w:r>
      <w:r w:rsidR="005F7930">
        <w:t>,</w:t>
      </w:r>
      <w:r w:rsidR="00975895" w:rsidRPr="003015FD">
        <w:t xml:space="preserve"> </w:t>
      </w:r>
      <w:r w:rsidR="008E0945" w:rsidRPr="003015FD">
        <w:t>in</w:t>
      </w:r>
      <w:r w:rsidR="00975895" w:rsidRPr="003015FD">
        <w:t xml:space="preserve"> </w:t>
      </w:r>
      <w:r w:rsidR="008E0945" w:rsidRPr="003015FD">
        <w:t>practice,</w:t>
      </w:r>
      <w:r w:rsidR="00975895" w:rsidRPr="003015FD">
        <w:t xml:space="preserve"> </w:t>
      </w:r>
      <w:r w:rsidR="008E0945" w:rsidRPr="003015FD">
        <w:t>that</w:t>
      </w:r>
      <w:r w:rsidR="00975895" w:rsidRPr="003015FD">
        <w:t xml:space="preserve"> </w:t>
      </w:r>
      <w:r w:rsidR="008E0945" w:rsidRPr="003015FD">
        <w:t>only</w:t>
      </w:r>
      <w:r w:rsidR="00975895" w:rsidRPr="003015FD">
        <w:t xml:space="preserve"> </w:t>
      </w:r>
      <w:r w:rsidR="008E0945" w:rsidRPr="003015FD">
        <w:t>the</w:t>
      </w:r>
      <w:r w:rsidR="00975895" w:rsidRPr="003015FD">
        <w:t xml:space="preserve"> </w:t>
      </w:r>
      <w:r w:rsidR="008E0945" w:rsidRPr="003015FD">
        <w:t>DPP</w:t>
      </w:r>
      <w:r w:rsidR="00975895" w:rsidRPr="003015FD">
        <w:t xml:space="preserve"> </w:t>
      </w:r>
      <w:r w:rsidR="008E0945" w:rsidRPr="003015FD">
        <w:t>has</w:t>
      </w:r>
      <w:r w:rsidR="00975895" w:rsidRPr="003015FD">
        <w:t xml:space="preserve"> </w:t>
      </w:r>
      <w:r w:rsidR="008E0945" w:rsidRPr="003015FD">
        <w:t>appeal</w:t>
      </w:r>
      <w:r w:rsidR="00975895" w:rsidRPr="003015FD">
        <w:t xml:space="preserve"> </w:t>
      </w:r>
      <w:r w:rsidR="008E0945" w:rsidRPr="003015FD">
        <w:t>rights</w:t>
      </w:r>
      <w:r w:rsidR="00975895" w:rsidRPr="003015FD">
        <w:t xml:space="preserve"> </w:t>
      </w:r>
      <w:r w:rsidR="008E0945" w:rsidRPr="003015FD">
        <w:t>in</w:t>
      </w:r>
      <w:r w:rsidR="00975895" w:rsidRPr="003015FD">
        <w:t xml:space="preserve"> </w:t>
      </w:r>
      <w:r w:rsidR="008E0945" w:rsidRPr="003015FD">
        <w:t>relation</w:t>
      </w:r>
      <w:r w:rsidR="00975895" w:rsidRPr="003015FD">
        <w:t xml:space="preserve"> </w:t>
      </w:r>
      <w:r w:rsidR="008E0945" w:rsidRPr="003015FD">
        <w:t>to</w:t>
      </w:r>
      <w:r w:rsidR="00975895" w:rsidRPr="003015FD">
        <w:t xml:space="preserve"> </w:t>
      </w:r>
      <w:r w:rsidR="008E0945" w:rsidRPr="003015FD">
        <w:t>certain</w:t>
      </w:r>
      <w:r w:rsidR="00975895" w:rsidRPr="003015FD">
        <w:t xml:space="preserve"> </w:t>
      </w:r>
      <w:r w:rsidR="008E0945" w:rsidRPr="003015FD">
        <w:t>decisions</w:t>
      </w:r>
      <w:r w:rsidR="005F7930">
        <w:t>:</w:t>
      </w:r>
      <w:r w:rsidR="00975895" w:rsidRPr="003015FD">
        <w:t xml:space="preserve"> </w:t>
      </w:r>
      <w:r w:rsidR="008E0945" w:rsidRPr="003015FD">
        <w:t>the</w:t>
      </w:r>
      <w:r w:rsidR="00975895" w:rsidRPr="003015FD">
        <w:t xml:space="preserve"> </w:t>
      </w:r>
      <w:r w:rsidR="00701343" w:rsidRPr="003015FD">
        <w:t>offender</w:t>
      </w:r>
      <w:r w:rsidR="00975895" w:rsidRPr="003015FD">
        <w:t xml:space="preserve"> </w:t>
      </w:r>
      <w:r w:rsidR="008E0945" w:rsidRPr="003015FD">
        <w:t>does</w:t>
      </w:r>
      <w:r w:rsidR="00975895" w:rsidRPr="003015FD">
        <w:t xml:space="preserve"> </w:t>
      </w:r>
      <w:r w:rsidR="008E0945" w:rsidRPr="003015FD">
        <w:t>not.</w:t>
      </w:r>
    </w:p>
    <w:p w14:paraId="7DCCF708" w14:textId="69BDB1AB" w:rsidR="008E0945" w:rsidRPr="003015FD" w:rsidRDefault="008E0945" w:rsidP="005B74F5">
      <w:r w:rsidRPr="003015FD">
        <w:t>The</w:t>
      </w:r>
      <w:r w:rsidR="00975895" w:rsidRPr="003015FD">
        <w:t xml:space="preserve"> </w:t>
      </w:r>
      <w:r w:rsidRPr="003015FD">
        <w:t>Attorney-General</w:t>
      </w:r>
      <w:r w:rsidR="00975895" w:rsidRPr="003015FD">
        <w:t xml:space="preserve"> </w:t>
      </w:r>
      <w:r w:rsidRPr="003015FD">
        <w:t>tabled</w:t>
      </w:r>
      <w:r w:rsidR="00975895" w:rsidRPr="003015FD">
        <w:t xml:space="preserve"> </w:t>
      </w:r>
      <w:r w:rsidRPr="003015FD">
        <w:t>a</w:t>
      </w:r>
      <w:r w:rsidR="00975895" w:rsidRPr="003015FD">
        <w:t xml:space="preserve"> </w:t>
      </w:r>
      <w:r w:rsidRPr="003015FD">
        <w:t>statement</w:t>
      </w:r>
      <w:r w:rsidR="00975895" w:rsidRPr="003015FD">
        <w:t xml:space="preserve"> </w:t>
      </w:r>
      <w:r w:rsidRPr="003015FD">
        <w:t>of</w:t>
      </w:r>
      <w:r w:rsidR="00975895" w:rsidRPr="003015FD">
        <w:t xml:space="preserve"> </w:t>
      </w:r>
      <w:r w:rsidRPr="003015FD">
        <w:t>partial</w:t>
      </w:r>
      <w:r w:rsidR="00975895" w:rsidRPr="003015FD">
        <w:t xml:space="preserve"> </w:t>
      </w:r>
      <w:r w:rsidRPr="003015FD">
        <w:t>incompatibility,</w:t>
      </w:r>
      <w:r w:rsidR="00975895" w:rsidRPr="003015FD">
        <w:t xml:space="preserve"> </w:t>
      </w:r>
      <w:r w:rsidRPr="003015FD">
        <w:t>which</w:t>
      </w:r>
      <w:r w:rsidR="00975895" w:rsidRPr="003015FD">
        <w:t xml:space="preserve"> </w:t>
      </w:r>
      <w:r w:rsidRPr="003015FD">
        <w:t>noted</w:t>
      </w:r>
      <w:r w:rsidR="00975895" w:rsidRPr="003015FD">
        <w:t xml:space="preserve"> </w:t>
      </w:r>
      <w:r w:rsidRPr="003015FD">
        <w:t>that</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a</w:t>
      </w:r>
      <w:r w:rsidR="00975895" w:rsidRPr="003015FD">
        <w:t xml:space="preserve"> </w:t>
      </w:r>
      <w:r w:rsidRPr="003015FD">
        <w:t>fair</w:t>
      </w:r>
      <w:r w:rsidR="00975895" w:rsidRPr="003015FD">
        <w:t xml:space="preserve"> </w:t>
      </w:r>
      <w:r w:rsidRPr="003015FD">
        <w:t>hearing</w:t>
      </w:r>
      <w:r w:rsidR="00975895" w:rsidRPr="003015FD">
        <w:t xml:space="preserve"> </w:t>
      </w:r>
      <w:r w:rsidRPr="003015FD">
        <w:t>includes</w:t>
      </w:r>
      <w:r w:rsidR="00975895" w:rsidRPr="003015FD">
        <w:t xml:space="preserve"> </w:t>
      </w:r>
      <w:r w:rsidRPr="003015FD">
        <w:t>equality</w:t>
      </w:r>
      <w:r w:rsidR="00975895" w:rsidRPr="003015FD">
        <w:t xml:space="preserve"> </w:t>
      </w:r>
      <w:r w:rsidRPr="003015FD">
        <w:t>before</w:t>
      </w:r>
      <w:r w:rsidR="00975895" w:rsidRPr="003015FD">
        <w:t xml:space="preserve"> </w:t>
      </w:r>
      <w:r w:rsidRPr="003015FD">
        <w:t>the</w:t>
      </w:r>
      <w:r w:rsidR="00975895" w:rsidRPr="003015FD">
        <w:t xml:space="preserve"> </w:t>
      </w:r>
      <w:r w:rsidRPr="003015FD">
        <w:t>courts</w:t>
      </w:r>
      <w:r w:rsidR="005F7930">
        <w:t xml:space="preserve">. It </w:t>
      </w:r>
      <w:r w:rsidRPr="003015FD">
        <w:t>requires</w:t>
      </w:r>
      <w:r w:rsidR="00975895" w:rsidRPr="003015FD">
        <w:t xml:space="preserve"> </w:t>
      </w:r>
      <w:r w:rsidRPr="003015FD">
        <w:t>the</w:t>
      </w:r>
      <w:r w:rsidR="00975895" w:rsidRPr="003015FD">
        <w:t xml:space="preserve"> </w:t>
      </w:r>
      <w:r w:rsidRPr="003015FD">
        <w:t>same</w:t>
      </w:r>
      <w:r w:rsidR="00975895" w:rsidRPr="003015FD">
        <w:t xml:space="preserve"> </w:t>
      </w:r>
      <w:r w:rsidRPr="003015FD">
        <w:t>procedural</w:t>
      </w:r>
      <w:r w:rsidR="00975895" w:rsidRPr="003015FD">
        <w:t xml:space="preserve"> </w:t>
      </w:r>
      <w:r w:rsidRPr="003015FD">
        <w:t>rights</w:t>
      </w:r>
      <w:r w:rsidR="00975895" w:rsidRPr="003015FD">
        <w:t xml:space="preserve"> </w:t>
      </w:r>
      <w:r w:rsidRPr="003015FD">
        <w:t>be</w:t>
      </w:r>
      <w:r w:rsidR="00975895" w:rsidRPr="003015FD">
        <w:t xml:space="preserve"> </w:t>
      </w:r>
      <w:r w:rsidRPr="003015FD">
        <w:t>provided</w:t>
      </w:r>
      <w:r w:rsidR="00975895" w:rsidRPr="003015FD">
        <w:t xml:space="preserve"> </w:t>
      </w:r>
      <w:r w:rsidRPr="003015FD">
        <w:t>to</w:t>
      </w:r>
      <w:r w:rsidR="00975895" w:rsidRPr="003015FD">
        <w:t xml:space="preserve"> </w:t>
      </w:r>
      <w:r w:rsidRPr="003015FD">
        <w:t>all</w:t>
      </w:r>
      <w:r w:rsidR="00975895" w:rsidRPr="003015FD">
        <w:t xml:space="preserve"> </w:t>
      </w:r>
      <w:r w:rsidRPr="003015FD">
        <w:t>parties</w:t>
      </w:r>
      <w:r w:rsidR="00975895" w:rsidRPr="003015FD">
        <w:t xml:space="preserve"> </w:t>
      </w:r>
      <w:r w:rsidRPr="003015FD">
        <w:t>unless</w:t>
      </w:r>
      <w:r w:rsidR="00975895" w:rsidRPr="003015FD">
        <w:t xml:space="preserve"> </w:t>
      </w:r>
      <w:r w:rsidRPr="003015FD">
        <w:t>distinctions</w:t>
      </w:r>
      <w:r w:rsidR="00975895" w:rsidRPr="003015FD">
        <w:t xml:space="preserve"> </w:t>
      </w:r>
      <w:r w:rsidRPr="003015FD">
        <w:t>are</w:t>
      </w:r>
      <w:r w:rsidR="00975895" w:rsidRPr="003015FD">
        <w:t xml:space="preserve"> </w:t>
      </w:r>
      <w:r w:rsidRPr="003015FD">
        <w:t>based</w:t>
      </w:r>
      <w:r w:rsidR="00975895" w:rsidRPr="003015FD">
        <w:t xml:space="preserve"> </w:t>
      </w:r>
      <w:r w:rsidRPr="003015FD">
        <w:t>on</w:t>
      </w:r>
      <w:r w:rsidR="00975895" w:rsidRPr="003015FD">
        <w:t xml:space="preserve"> </w:t>
      </w:r>
      <w:r w:rsidRPr="003015FD">
        <w:t>law</w:t>
      </w:r>
      <w:r w:rsidR="00975895" w:rsidRPr="003015FD">
        <w:t xml:space="preserve"> </w:t>
      </w:r>
      <w:r w:rsidRPr="003015FD">
        <w:t>and</w:t>
      </w:r>
      <w:r w:rsidR="00975895" w:rsidRPr="003015FD">
        <w:t xml:space="preserve"> </w:t>
      </w:r>
      <w:r w:rsidRPr="003015FD">
        <w:t>can</w:t>
      </w:r>
      <w:r w:rsidR="00975895" w:rsidRPr="003015FD">
        <w:t xml:space="preserve"> </w:t>
      </w:r>
      <w:r w:rsidRPr="003015FD">
        <w:t>be</w:t>
      </w:r>
      <w:r w:rsidR="00975895" w:rsidRPr="003015FD">
        <w:t xml:space="preserve"> </w:t>
      </w:r>
      <w:r w:rsidRPr="003015FD">
        <w:t>justified</w:t>
      </w:r>
      <w:r w:rsidR="00975895" w:rsidRPr="003015FD">
        <w:t xml:space="preserve"> </w:t>
      </w:r>
      <w:r w:rsidRPr="003015FD">
        <w:t>on</w:t>
      </w:r>
      <w:r w:rsidR="00975895" w:rsidRPr="003015FD">
        <w:t xml:space="preserve"> </w:t>
      </w:r>
      <w:r w:rsidRPr="003015FD">
        <w:t>objective</w:t>
      </w:r>
      <w:r w:rsidR="00975895" w:rsidRPr="003015FD">
        <w:t xml:space="preserve"> </w:t>
      </w:r>
      <w:r w:rsidRPr="003015FD">
        <w:t>and</w:t>
      </w:r>
      <w:r w:rsidR="00975895" w:rsidRPr="003015FD">
        <w:t xml:space="preserve"> </w:t>
      </w:r>
      <w:r w:rsidRPr="003015FD">
        <w:t>reasonable</w:t>
      </w:r>
      <w:r w:rsidR="00975895" w:rsidRPr="003015FD">
        <w:t xml:space="preserve"> </w:t>
      </w:r>
      <w:r w:rsidRPr="003015FD">
        <w:t>grounds</w:t>
      </w:r>
      <w:r w:rsidR="00975895" w:rsidRPr="003015FD">
        <w:t xml:space="preserve"> </w:t>
      </w:r>
      <w:r w:rsidRPr="003015FD">
        <w:t>that</w:t>
      </w:r>
      <w:r w:rsidR="00975895" w:rsidRPr="003015FD">
        <w:t xml:space="preserve"> </w:t>
      </w:r>
      <w:r w:rsidRPr="003015FD">
        <w:t>do</w:t>
      </w:r>
      <w:r w:rsidR="00975895" w:rsidRPr="003015FD">
        <w:t xml:space="preserve"> </w:t>
      </w:r>
      <w:r w:rsidRPr="003015FD">
        <w:t>not</w:t>
      </w:r>
      <w:r w:rsidR="00975895" w:rsidRPr="003015FD">
        <w:t xml:space="preserve"> </w:t>
      </w:r>
      <w:r w:rsidRPr="003015FD">
        <w:t>entail</w:t>
      </w:r>
      <w:r w:rsidR="00975895" w:rsidRPr="003015FD">
        <w:t xml:space="preserve"> </w:t>
      </w:r>
      <w:r w:rsidRPr="003015FD">
        <w:t>actual</w:t>
      </w:r>
      <w:r w:rsidR="00975895" w:rsidRPr="003015FD">
        <w:t xml:space="preserve"> </w:t>
      </w:r>
      <w:r w:rsidRPr="003015FD">
        <w:t>disadvantage</w:t>
      </w:r>
      <w:r w:rsidR="00975895" w:rsidRPr="003015FD">
        <w:t xml:space="preserve"> </w:t>
      </w:r>
      <w:r w:rsidRPr="003015FD">
        <w:t>or</w:t>
      </w:r>
      <w:r w:rsidR="00975895" w:rsidRPr="003015FD">
        <w:t xml:space="preserve"> </w:t>
      </w:r>
      <w:proofErr w:type="gramStart"/>
      <w:r w:rsidRPr="003015FD">
        <w:t>other</w:t>
      </w:r>
      <w:proofErr w:type="gramEnd"/>
      <w:r w:rsidR="00975895" w:rsidRPr="003015FD">
        <w:t xml:space="preserve"> </w:t>
      </w:r>
      <w:r w:rsidRPr="003015FD">
        <w:t>unfairness</w:t>
      </w:r>
      <w:r w:rsidR="00975895" w:rsidRPr="003015FD">
        <w:t xml:space="preserve"> </w:t>
      </w:r>
      <w:r w:rsidRPr="003015FD">
        <w:t>to</w:t>
      </w:r>
      <w:r w:rsidR="00975895" w:rsidRPr="003015FD">
        <w:t xml:space="preserve"> </w:t>
      </w:r>
      <w:r w:rsidRPr="003015FD">
        <w:t>the</w:t>
      </w:r>
      <w:r w:rsidR="00975895" w:rsidRPr="003015FD">
        <w:t xml:space="preserve"> </w:t>
      </w:r>
      <w:r w:rsidRPr="003015FD">
        <w:t>defendant.</w:t>
      </w:r>
      <w:r w:rsidR="00975895" w:rsidRPr="003015FD">
        <w:t xml:space="preserve"> </w:t>
      </w:r>
      <w:r w:rsidRPr="003015FD">
        <w:t>The</w:t>
      </w:r>
      <w:r w:rsidR="00975895" w:rsidRPr="003015FD">
        <w:t xml:space="preserve"> </w:t>
      </w:r>
      <w:r w:rsidRPr="003015FD">
        <w:t>statement</w:t>
      </w:r>
      <w:r w:rsidR="00975895" w:rsidRPr="003015FD">
        <w:t xml:space="preserve"> </w:t>
      </w:r>
      <w:r w:rsidRPr="003015FD">
        <w:t>acknowledged</w:t>
      </w:r>
      <w:r w:rsidR="00975895" w:rsidRPr="003015FD">
        <w:t xml:space="preserve"> </w:t>
      </w:r>
      <w:r w:rsidRPr="003015FD">
        <w:t>that</w:t>
      </w:r>
      <w:r w:rsidR="00975895" w:rsidRPr="003015FD">
        <w:t xml:space="preserve"> </w:t>
      </w:r>
      <w:r w:rsidRPr="003015FD">
        <w:t>the</w:t>
      </w:r>
      <w:r w:rsidR="00975895" w:rsidRPr="003015FD">
        <w:t xml:space="preserve"> </w:t>
      </w:r>
      <w:r w:rsidRPr="003015FD">
        <w:t>Bill</w:t>
      </w:r>
      <w:r w:rsidR="00975895" w:rsidRPr="003015FD">
        <w:t xml:space="preserve"> </w:t>
      </w:r>
      <w:r w:rsidRPr="003015FD">
        <w:t>may</w:t>
      </w:r>
      <w:r w:rsidR="00975895" w:rsidRPr="003015FD">
        <w:t xml:space="preserve"> </w:t>
      </w:r>
      <w:r w:rsidRPr="003015FD">
        <w:t>be</w:t>
      </w:r>
      <w:r w:rsidR="00975895" w:rsidRPr="003015FD">
        <w:t xml:space="preserve"> </w:t>
      </w:r>
      <w:r w:rsidRPr="003015FD">
        <w:t>partially</w:t>
      </w:r>
      <w:r w:rsidR="00975895" w:rsidRPr="003015FD">
        <w:t xml:space="preserve"> </w:t>
      </w:r>
      <w:r w:rsidRPr="003015FD">
        <w:t>incompatible</w:t>
      </w:r>
      <w:r w:rsidR="00975895" w:rsidRPr="003015FD">
        <w:t xml:space="preserve"> </w:t>
      </w:r>
      <w:r w:rsidRPr="003015FD">
        <w:t>with</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a</w:t>
      </w:r>
      <w:r w:rsidR="00975895" w:rsidRPr="003015FD">
        <w:t xml:space="preserve"> </w:t>
      </w:r>
      <w:r w:rsidRPr="003015FD">
        <w:t>fair</w:t>
      </w:r>
      <w:r w:rsidR="00975895" w:rsidRPr="003015FD">
        <w:t xml:space="preserve"> </w:t>
      </w:r>
      <w:r w:rsidRPr="003015FD">
        <w:t>hearing</w:t>
      </w:r>
      <w:r w:rsidR="00975895" w:rsidRPr="003015FD">
        <w:t xml:space="preserve"> </w:t>
      </w:r>
      <w:r w:rsidRPr="003015FD">
        <w:t>because</w:t>
      </w:r>
      <w:r w:rsidR="00975895" w:rsidRPr="003015FD">
        <w:t xml:space="preserve"> </w:t>
      </w:r>
      <w:r w:rsidRPr="003015FD">
        <w:t>only</w:t>
      </w:r>
      <w:r w:rsidR="00975895" w:rsidRPr="003015FD">
        <w:t xml:space="preserve"> </w:t>
      </w:r>
      <w:r w:rsidRPr="003015FD">
        <w:t>the</w:t>
      </w:r>
      <w:r w:rsidR="00975895" w:rsidRPr="003015FD">
        <w:t xml:space="preserve"> </w:t>
      </w:r>
      <w:r w:rsidRPr="003015FD">
        <w:t>DPP</w:t>
      </w:r>
      <w:r w:rsidR="00975895" w:rsidRPr="003015FD">
        <w:t xml:space="preserve"> </w:t>
      </w:r>
      <w:r w:rsidRPr="003015FD">
        <w:t>has</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appeal.</w:t>
      </w:r>
      <w:r w:rsidRPr="004862C5">
        <w:rPr>
          <w:rStyle w:val="FootnoteReference"/>
        </w:rPr>
        <w:footnoteReference w:id="27"/>
      </w:r>
      <w:r w:rsidR="00975895" w:rsidRPr="003015FD">
        <w:t xml:space="preserve"> </w:t>
      </w:r>
      <w:r w:rsidRPr="003015FD">
        <w:t>However,</w:t>
      </w:r>
      <w:r w:rsidR="00975895" w:rsidRPr="003015FD">
        <w:t xml:space="preserve"> </w:t>
      </w:r>
      <w:r w:rsidRPr="003015FD">
        <w:t>the</w:t>
      </w:r>
      <w:r w:rsidR="00975895" w:rsidRPr="003015FD">
        <w:t xml:space="preserve"> </w:t>
      </w:r>
      <w:r w:rsidRPr="003015FD">
        <w:t>statement</w:t>
      </w:r>
      <w:r w:rsidR="00975895" w:rsidRPr="003015FD">
        <w:t xml:space="preserve"> </w:t>
      </w:r>
      <w:r w:rsidRPr="003015FD">
        <w:t>also</w:t>
      </w:r>
      <w:r w:rsidR="00975895" w:rsidRPr="003015FD">
        <w:t xml:space="preserve"> </w:t>
      </w:r>
      <w:r w:rsidRPr="003015FD">
        <w:t>observed</w:t>
      </w:r>
      <w:r w:rsidR="00975895" w:rsidRPr="003015FD">
        <w:t xml:space="preserve"> </w:t>
      </w:r>
      <w:r w:rsidRPr="003015FD">
        <w:t>that</w:t>
      </w:r>
      <w:r w:rsidR="00975895" w:rsidRPr="003015FD">
        <w:t xml:space="preserve"> </w:t>
      </w:r>
      <w:r w:rsidRPr="003015FD">
        <w:t>providing</w:t>
      </w:r>
      <w:r w:rsidR="00975895" w:rsidRPr="003015FD">
        <w:t xml:space="preserve"> </w:t>
      </w:r>
      <w:r w:rsidRPr="003015FD">
        <w:t>offenders</w:t>
      </w:r>
      <w:r w:rsidR="00975895" w:rsidRPr="003015FD">
        <w:t xml:space="preserve"> </w:t>
      </w:r>
      <w:r w:rsidRPr="003015FD">
        <w:t>a</w:t>
      </w:r>
      <w:r w:rsidR="00975895" w:rsidRPr="003015FD">
        <w:t xml:space="preserve"> </w:t>
      </w:r>
      <w:r w:rsidRPr="003015FD">
        <w:t>power</w:t>
      </w:r>
      <w:r w:rsidR="00975895" w:rsidRPr="003015FD">
        <w:t xml:space="preserve"> </w:t>
      </w:r>
      <w:r w:rsidRPr="003015FD">
        <w:t>to</w:t>
      </w:r>
      <w:r w:rsidR="00975895" w:rsidRPr="003015FD">
        <w:t xml:space="preserve"> </w:t>
      </w:r>
      <w:r w:rsidRPr="003015FD">
        <w:t>appeal</w:t>
      </w:r>
      <w:r w:rsidR="00975895" w:rsidRPr="003015FD">
        <w:t xml:space="preserve"> </w:t>
      </w:r>
      <w:r w:rsidRPr="003015FD">
        <w:t>would</w:t>
      </w:r>
      <w:r w:rsidR="00975895" w:rsidRPr="003015FD">
        <w:t xml:space="preserve"> </w:t>
      </w:r>
      <w:r w:rsidRPr="003015FD">
        <w:t>be</w:t>
      </w:r>
      <w:r w:rsidR="00975895" w:rsidRPr="003015FD">
        <w:t xml:space="preserve"> </w:t>
      </w:r>
      <w:r w:rsidRPr="003015FD">
        <w:t>contrary</w:t>
      </w:r>
      <w:r w:rsidR="00975895" w:rsidRPr="003015FD">
        <w:t xml:space="preserve"> </w:t>
      </w:r>
      <w:r w:rsidRPr="003015FD">
        <w:t>to</w:t>
      </w:r>
      <w:r w:rsidR="00975895" w:rsidRPr="003015FD">
        <w:t xml:space="preserve"> </w:t>
      </w:r>
      <w:r w:rsidRPr="003015FD">
        <w:t>Parliament</w:t>
      </w:r>
      <w:r w:rsidR="000C5726">
        <w:t>'</w:t>
      </w:r>
      <w:r w:rsidRPr="003015FD">
        <w:t>s</w:t>
      </w:r>
      <w:r w:rsidR="00975895" w:rsidRPr="003015FD">
        <w:t xml:space="preserve"> </w:t>
      </w:r>
      <w:r w:rsidRPr="003015FD">
        <w:t>intention</w:t>
      </w:r>
      <w:r w:rsidR="00975895" w:rsidRPr="003015FD">
        <w:t xml:space="preserve"> </w:t>
      </w:r>
      <w:r w:rsidRPr="003015FD">
        <w:t>to</w:t>
      </w:r>
      <w:r w:rsidR="00975895" w:rsidRPr="003015FD">
        <w:t xml:space="preserve"> </w:t>
      </w:r>
      <w:r w:rsidRPr="003015FD">
        <w:t>deter</w:t>
      </w:r>
      <w:r w:rsidR="00975895" w:rsidRPr="003015FD">
        <w:t xml:space="preserve"> </w:t>
      </w:r>
      <w:r w:rsidRPr="003015FD">
        <w:t>attacks</w:t>
      </w:r>
      <w:r w:rsidR="00975895" w:rsidRPr="003015FD">
        <w:t xml:space="preserve"> </w:t>
      </w:r>
      <w:r w:rsidRPr="003015FD">
        <w:t>on</w:t>
      </w:r>
      <w:r w:rsidR="00975895" w:rsidRPr="003015FD">
        <w:t xml:space="preserve"> </w:t>
      </w:r>
      <w:r w:rsidRPr="003015FD">
        <w:t>on-duty</w:t>
      </w:r>
      <w:r w:rsidR="00975895" w:rsidRPr="003015FD">
        <w:t xml:space="preserve"> </w:t>
      </w:r>
      <w:r w:rsidRPr="003015FD">
        <w:t>emergency</w:t>
      </w:r>
      <w:r w:rsidR="00975895" w:rsidRPr="003015FD">
        <w:t xml:space="preserve"> </w:t>
      </w:r>
      <w:r w:rsidRPr="003015FD">
        <w:t>workers</w:t>
      </w:r>
      <w:r w:rsidR="00975895" w:rsidRPr="003015FD">
        <w:t xml:space="preserve"> </w:t>
      </w:r>
      <w:r w:rsidRPr="003015FD">
        <w:t>and</w:t>
      </w:r>
      <w:r w:rsidR="00975895" w:rsidRPr="003015FD">
        <w:t xml:space="preserve"> </w:t>
      </w:r>
      <w:r w:rsidRPr="003015FD">
        <w:t>custodial</w:t>
      </w:r>
      <w:r w:rsidR="00975895" w:rsidRPr="003015FD">
        <w:t xml:space="preserve"> </w:t>
      </w:r>
      <w:r w:rsidRPr="003015FD">
        <w:t>officers</w:t>
      </w:r>
      <w:r w:rsidR="00975895" w:rsidRPr="003015FD">
        <w:t xml:space="preserve"> </w:t>
      </w:r>
      <w:r w:rsidRPr="003015FD">
        <w:t>and</w:t>
      </w:r>
      <w:r w:rsidR="00975895" w:rsidRPr="003015FD">
        <w:t xml:space="preserve"> </w:t>
      </w:r>
      <w:r w:rsidRPr="003015FD">
        <w:t>that</w:t>
      </w:r>
      <w:r w:rsidR="00975895" w:rsidRPr="003015FD">
        <w:t xml:space="preserve"> </w:t>
      </w:r>
      <w:r w:rsidRPr="003015FD">
        <w:t>the</w:t>
      </w:r>
      <w:r w:rsidR="00975895" w:rsidRPr="003015FD">
        <w:t xml:space="preserve"> </w:t>
      </w:r>
      <w:r w:rsidRPr="003015FD">
        <w:t>DPP</w:t>
      </w:r>
      <w:r w:rsidR="000C5726">
        <w:t>'</w:t>
      </w:r>
      <w:r w:rsidRPr="003015FD">
        <w:t>s</w:t>
      </w:r>
      <w:r w:rsidR="00975895" w:rsidRPr="003015FD">
        <w:t xml:space="preserve"> </w:t>
      </w:r>
      <w:r w:rsidRPr="003015FD">
        <w:t>appeal</w:t>
      </w:r>
      <w:r w:rsidR="00975895" w:rsidRPr="003015FD">
        <w:t xml:space="preserve"> </w:t>
      </w:r>
      <w:r w:rsidRPr="003015FD">
        <w:t>power</w:t>
      </w:r>
      <w:r w:rsidR="00975895" w:rsidRPr="003015FD">
        <w:t xml:space="preserve"> </w:t>
      </w:r>
      <w:r w:rsidRPr="003015FD">
        <w:t>is</w:t>
      </w:r>
      <w:r w:rsidR="00975895" w:rsidRPr="003015FD">
        <w:t xml:space="preserve"> </w:t>
      </w:r>
      <w:r w:rsidRPr="003015FD">
        <w:t>limited</w:t>
      </w:r>
      <w:r w:rsidR="00975895" w:rsidRPr="003015FD">
        <w:t xml:space="preserve"> </w:t>
      </w:r>
      <w:r w:rsidRPr="003015FD">
        <w:t>to</w:t>
      </w:r>
      <w:r w:rsidR="00975895" w:rsidRPr="003015FD">
        <w:t xml:space="preserve"> </w:t>
      </w:r>
      <w:r w:rsidRPr="003015FD">
        <w:t>cases</w:t>
      </w:r>
      <w:r w:rsidR="00975895" w:rsidRPr="003015FD">
        <w:t xml:space="preserve"> </w:t>
      </w:r>
      <w:r w:rsidRPr="003015FD">
        <w:t>of</w:t>
      </w:r>
      <w:r w:rsidR="00975895" w:rsidRPr="003015FD">
        <w:t xml:space="preserve"> </w:t>
      </w:r>
      <w:r w:rsidRPr="003015FD">
        <w:t>particular</w:t>
      </w:r>
      <w:r w:rsidR="00975895" w:rsidRPr="003015FD">
        <w:t xml:space="preserve"> </w:t>
      </w:r>
      <w:r w:rsidRPr="003015FD">
        <w:t>concern</w:t>
      </w:r>
      <w:r w:rsidR="00975895" w:rsidRPr="003015FD">
        <w:t xml:space="preserve"> </w:t>
      </w:r>
      <w:r w:rsidRPr="003015FD">
        <w:t>to</w:t>
      </w:r>
      <w:r w:rsidR="00975895" w:rsidRPr="003015FD">
        <w:t xml:space="preserve"> </w:t>
      </w:r>
      <w:r w:rsidRPr="003015FD">
        <w:t>the</w:t>
      </w:r>
      <w:r w:rsidR="00975895" w:rsidRPr="003015FD">
        <w:t xml:space="preserve"> </w:t>
      </w:r>
      <w:r w:rsidRPr="003015FD">
        <w:t>government</w:t>
      </w:r>
      <w:r w:rsidR="00975895" w:rsidRPr="003015FD">
        <w:t xml:space="preserve"> </w:t>
      </w:r>
      <w:r w:rsidRPr="003015FD">
        <w:t>and</w:t>
      </w:r>
      <w:r w:rsidR="00975895" w:rsidRPr="003015FD">
        <w:t xml:space="preserve"> </w:t>
      </w:r>
      <w:r w:rsidRPr="003015FD">
        <w:t>the</w:t>
      </w:r>
      <w:r w:rsidR="00975895" w:rsidRPr="003015FD">
        <w:t xml:space="preserve"> </w:t>
      </w:r>
      <w:r w:rsidRPr="003015FD">
        <w:lastRenderedPageBreak/>
        <w:t>community.</w:t>
      </w:r>
      <w:r w:rsidR="00975895" w:rsidRPr="003015FD">
        <w:t xml:space="preserve"> </w:t>
      </w:r>
      <w:r w:rsidRPr="003015FD">
        <w:t>The</w:t>
      </w:r>
      <w:r w:rsidR="00975895" w:rsidRPr="003015FD">
        <w:t xml:space="preserve"> </w:t>
      </w:r>
      <w:r w:rsidRPr="003015FD">
        <w:t>statement</w:t>
      </w:r>
      <w:r w:rsidR="00975895" w:rsidRPr="003015FD">
        <w:t xml:space="preserve"> </w:t>
      </w:r>
      <w:r w:rsidRPr="003015FD">
        <w:t>also</w:t>
      </w:r>
      <w:r w:rsidR="00975895" w:rsidRPr="003015FD">
        <w:t xml:space="preserve"> </w:t>
      </w:r>
      <w:r w:rsidRPr="003015FD">
        <w:t>noted</w:t>
      </w:r>
      <w:r w:rsidR="00975895" w:rsidRPr="003015FD">
        <w:t xml:space="preserve"> </w:t>
      </w:r>
      <w:r w:rsidRPr="003015FD">
        <w:t>that</w:t>
      </w:r>
      <w:r w:rsidR="00975895" w:rsidRPr="003015FD">
        <w:t xml:space="preserve"> </w:t>
      </w:r>
      <w:r w:rsidRPr="003015FD">
        <w:t>providing</w:t>
      </w:r>
      <w:r w:rsidR="00975895" w:rsidRPr="003015FD">
        <w:t xml:space="preserve"> </w:t>
      </w:r>
      <w:r w:rsidRPr="003015FD">
        <w:t>the</w:t>
      </w:r>
      <w:r w:rsidR="00975895" w:rsidRPr="003015FD">
        <w:t xml:space="preserve"> </w:t>
      </w:r>
      <w:r w:rsidRPr="003015FD">
        <w:t>appeal</w:t>
      </w:r>
      <w:r w:rsidR="00975895" w:rsidRPr="003015FD">
        <w:t xml:space="preserve"> </w:t>
      </w:r>
      <w:r w:rsidRPr="003015FD">
        <w:t>right</w:t>
      </w:r>
      <w:r w:rsidR="00975895" w:rsidRPr="003015FD">
        <w:t xml:space="preserve"> </w:t>
      </w:r>
      <w:r w:rsidRPr="003015FD">
        <w:t>to</w:t>
      </w:r>
      <w:r w:rsidR="00975895" w:rsidRPr="003015FD">
        <w:t xml:space="preserve"> </w:t>
      </w:r>
      <w:r w:rsidRPr="003015FD">
        <w:t>the</w:t>
      </w:r>
      <w:r w:rsidR="00975895" w:rsidRPr="003015FD">
        <w:t xml:space="preserve"> </w:t>
      </w:r>
      <w:r w:rsidRPr="003015FD">
        <w:t>DPP</w:t>
      </w:r>
      <w:r w:rsidR="00975895" w:rsidRPr="003015FD">
        <w:t xml:space="preserve"> </w:t>
      </w:r>
      <w:r w:rsidRPr="003015FD">
        <w:t>will</w:t>
      </w:r>
      <w:r w:rsidR="00975895" w:rsidRPr="003015FD">
        <w:t xml:space="preserve"> </w:t>
      </w:r>
      <w:r w:rsidRPr="003015FD">
        <w:t>ensure</w:t>
      </w:r>
      <w:r w:rsidR="00975895" w:rsidRPr="003015FD">
        <w:t xml:space="preserve"> </w:t>
      </w:r>
      <w:r w:rsidRPr="003015FD">
        <w:t>that</w:t>
      </w:r>
      <w:r w:rsidR="00975895" w:rsidRPr="003015FD">
        <w:t xml:space="preserve"> </w:t>
      </w:r>
      <w:r w:rsidR="00340A87">
        <w:t>“</w:t>
      </w:r>
      <w:r w:rsidRPr="003015FD">
        <w:t>statutory</w:t>
      </w:r>
      <w:r w:rsidR="00975895" w:rsidRPr="003015FD">
        <w:t xml:space="preserve"> </w:t>
      </w:r>
      <w:r w:rsidRPr="003015FD">
        <w:t>minimum</w:t>
      </w:r>
      <w:r w:rsidR="00975895" w:rsidRPr="003015FD">
        <w:t xml:space="preserve"> </w:t>
      </w:r>
      <w:r w:rsidRPr="003015FD">
        <w:t>terms</w:t>
      </w:r>
      <w:r w:rsidR="00975895" w:rsidRPr="003015FD">
        <w:t xml:space="preserve"> </w:t>
      </w:r>
      <w:r w:rsidRPr="003015FD">
        <w:t>of</w:t>
      </w:r>
      <w:r w:rsidR="00975895" w:rsidRPr="003015FD">
        <w:t xml:space="preserve"> </w:t>
      </w:r>
      <w:r w:rsidRPr="003015FD">
        <w:t>imprisonment</w:t>
      </w:r>
      <w:r w:rsidR="00975895" w:rsidRPr="003015FD">
        <w:t xml:space="preserve"> </w:t>
      </w:r>
      <w:r w:rsidRPr="003015FD">
        <w:t>are</w:t>
      </w:r>
      <w:r w:rsidR="00975895" w:rsidRPr="003015FD">
        <w:t xml:space="preserve"> </w:t>
      </w:r>
      <w:r w:rsidRPr="003015FD">
        <w:t>being</w:t>
      </w:r>
      <w:r w:rsidR="00975895" w:rsidRPr="003015FD">
        <w:t xml:space="preserve"> </w:t>
      </w:r>
      <w:r w:rsidRPr="003015FD">
        <w:t>correctly</w:t>
      </w:r>
      <w:r w:rsidR="00975895" w:rsidRPr="003015FD">
        <w:t xml:space="preserve"> </w:t>
      </w:r>
      <w:r w:rsidRPr="003015FD">
        <w:t>imposed</w:t>
      </w:r>
      <w:r w:rsidR="00975895" w:rsidRPr="003015FD">
        <w:t xml:space="preserve"> </w:t>
      </w:r>
      <w:r w:rsidRPr="003015FD">
        <w:t>by</w:t>
      </w:r>
      <w:r w:rsidR="00975895" w:rsidRPr="003015FD">
        <w:t xml:space="preserve"> </w:t>
      </w:r>
      <w:r w:rsidRPr="003015FD">
        <w:t>the</w:t>
      </w:r>
      <w:r w:rsidR="00975895" w:rsidRPr="003015FD">
        <w:t xml:space="preserve"> </w:t>
      </w:r>
      <w:r w:rsidRPr="003015FD">
        <w:t>courts</w:t>
      </w:r>
      <w:r w:rsidR="00975895" w:rsidRPr="003015FD">
        <w:t xml:space="preserve"> </w:t>
      </w:r>
      <w:r w:rsidRPr="003015FD">
        <w:t>and</w:t>
      </w:r>
      <w:r w:rsidR="00975895" w:rsidRPr="003015FD">
        <w:t xml:space="preserve"> </w:t>
      </w:r>
      <w:r w:rsidRPr="003015FD">
        <w:t>the</w:t>
      </w:r>
      <w:r w:rsidR="00975895" w:rsidRPr="003015FD">
        <w:t xml:space="preserve"> </w:t>
      </w:r>
      <w:r w:rsidRPr="003015FD">
        <w:t>system</w:t>
      </w:r>
      <w:r w:rsidR="00975895" w:rsidRPr="003015FD">
        <w:t xml:space="preserve"> </w:t>
      </w:r>
      <w:r w:rsidRPr="003015FD">
        <w:t>can</w:t>
      </w:r>
      <w:r w:rsidR="00975895" w:rsidRPr="003015FD">
        <w:t xml:space="preserve"> </w:t>
      </w:r>
      <w:r w:rsidRPr="003015FD">
        <w:t>self-correct</w:t>
      </w:r>
      <w:r w:rsidR="00340A87">
        <w:t>”</w:t>
      </w:r>
      <w:r w:rsidRPr="003015FD">
        <w:t>.</w:t>
      </w:r>
      <w:r w:rsidRPr="004862C5">
        <w:rPr>
          <w:rStyle w:val="FootnoteReference"/>
        </w:rPr>
        <w:footnoteReference w:id="28"/>
      </w:r>
    </w:p>
    <w:p w14:paraId="3B2DD815" w14:textId="17CE39FF" w:rsidR="008E0945" w:rsidRPr="003015FD" w:rsidRDefault="008E0945" w:rsidP="0002642E">
      <w:r w:rsidRPr="003015FD">
        <w:t>SARC</w:t>
      </w:r>
      <w:r w:rsidR="000C5726">
        <w:t>'</w:t>
      </w:r>
      <w:r w:rsidRPr="003015FD">
        <w:t>s</w:t>
      </w:r>
      <w:r w:rsidR="00975895" w:rsidRPr="003015FD">
        <w:t xml:space="preserve"> </w:t>
      </w:r>
      <w:r w:rsidRPr="003015FD">
        <w:t>report</w:t>
      </w:r>
      <w:r w:rsidR="00975895" w:rsidRPr="003015FD">
        <w:t xml:space="preserve"> </w:t>
      </w:r>
      <w:r w:rsidRPr="003015FD">
        <w:t>on</w:t>
      </w:r>
      <w:r w:rsidR="00975895" w:rsidRPr="003015FD">
        <w:t xml:space="preserve"> </w:t>
      </w:r>
      <w:r w:rsidRPr="003015FD">
        <w:t>the</w:t>
      </w:r>
      <w:r w:rsidR="00975895" w:rsidRPr="003015FD">
        <w:t xml:space="preserve"> </w:t>
      </w:r>
      <w:r w:rsidRPr="003015FD">
        <w:t>Bill</w:t>
      </w:r>
      <w:r w:rsidR="005F7930">
        <w:t xml:space="preserve"> </w:t>
      </w:r>
      <w:r w:rsidR="003B428A">
        <w:t xml:space="preserve">also </w:t>
      </w:r>
      <w:r w:rsidR="005F7930" w:rsidRPr="003015FD">
        <w:t>observed that sentence appeals by offenders, like those by the DPP, may also achieve the objective of ensuring that the statutory minimum terms are being correctly imposed and that the system can self-correct.</w:t>
      </w:r>
      <w:r w:rsidRPr="004862C5">
        <w:rPr>
          <w:rStyle w:val="FootnoteReference"/>
        </w:rPr>
        <w:footnoteReference w:id="29"/>
      </w:r>
      <w:r w:rsidR="00975895" w:rsidRPr="003015FD">
        <w:t xml:space="preserve"> </w:t>
      </w:r>
      <w:r w:rsidRPr="003015FD">
        <w:t>SARC</w:t>
      </w:r>
      <w:r w:rsidR="00975895" w:rsidRPr="003015FD">
        <w:t xml:space="preserve"> </w:t>
      </w:r>
      <w:r w:rsidRPr="003015FD">
        <w:t>referred</w:t>
      </w:r>
      <w:r w:rsidR="00975895" w:rsidRPr="003015FD">
        <w:t xml:space="preserve"> </w:t>
      </w:r>
      <w:r w:rsidRPr="003015FD">
        <w:t>various</w:t>
      </w:r>
      <w:r w:rsidR="00975895" w:rsidRPr="003015FD">
        <w:t xml:space="preserve"> </w:t>
      </w:r>
      <w:r w:rsidRPr="003015FD">
        <w:t>issues</w:t>
      </w:r>
      <w:r w:rsidR="00975895" w:rsidRPr="003015FD">
        <w:t xml:space="preserve"> </w:t>
      </w:r>
      <w:r w:rsidRPr="003015FD">
        <w:t>to</w:t>
      </w:r>
      <w:r w:rsidR="00975895" w:rsidRPr="003015FD">
        <w:t xml:space="preserve"> </w:t>
      </w:r>
      <w:r w:rsidRPr="003015FD">
        <w:t>the</w:t>
      </w:r>
      <w:r w:rsidR="00975895" w:rsidRPr="003015FD">
        <w:t xml:space="preserve"> </w:t>
      </w:r>
      <w:r w:rsidRPr="003015FD">
        <w:t>Attorney-General</w:t>
      </w:r>
      <w:r w:rsidR="00975895" w:rsidRPr="003015FD">
        <w:t xml:space="preserve"> </w:t>
      </w:r>
      <w:r w:rsidRPr="003015FD">
        <w:t>for</w:t>
      </w:r>
      <w:r w:rsidR="00975895" w:rsidRPr="003015FD">
        <w:t xml:space="preserve"> </w:t>
      </w:r>
      <w:r w:rsidRPr="003015FD">
        <w:t>response,</w:t>
      </w:r>
      <w:r w:rsidR="00975895" w:rsidRPr="003015FD">
        <w:t xml:space="preserve"> </w:t>
      </w:r>
      <w:r w:rsidRPr="003015FD">
        <w:t>including</w:t>
      </w:r>
      <w:r w:rsidR="00975895" w:rsidRPr="003015FD">
        <w:t xml:space="preserve"> </w:t>
      </w:r>
      <w:r w:rsidRPr="003015FD">
        <w:t>whether:</w:t>
      </w:r>
    </w:p>
    <w:p w14:paraId="68C75FF0" w14:textId="0D1BB1CA" w:rsidR="008E0945" w:rsidRPr="003015FD" w:rsidRDefault="008E0945" w:rsidP="0002642E">
      <w:pPr>
        <w:pStyle w:val="ListBullet"/>
      </w:pPr>
      <w:r w:rsidRPr="003015FD">
        <w:t>the</w:t>
      </w:r>
      <w:r w:rsidR="00975895" w:rsidRPr="003015FD">
        <w:t xml:space="preserve"> </w:t>
      </w:r>
      <w:r w:rsidRPr="003015FD">
        <w:t>DPP</w:t>
      </w:r>
      <w:r w:rsidR="000C5726">
        <w:t>'</w:t>
      </w:r>
      <w:r w:rsidRPr="003015FD">
        <w:t>s</w:t>
      </w:r>
      <w:r w:rsidR="00975895" w:rsidRPr="003015FD">
        <w:t xml:space="preserve"> </w:t>
      </w:r>
      <w:r w:rsidRPr="003015FD">
        <w:t>appeal</w:t>
      </w:r>
      <w:r w:rsidR="00975895" w:rsidRPr="003015FD">
        <w:t xml:space="preserve"> </w:t>
      </w:r>
      <w:r w:rsidRPr="003015FD">
        <w:t>power</w:t>
      </w:r>
      <w:r w:rsidR="00975895" w:rsidRPr="003015FD">
        <w:t xml:space="preserve"> </w:t>
      </w:r>
      <w:r w:rsidRPr="003015FD">
        <w:t>may</w:t>
      </w:r>
      <w:r w:rsidR="00975895" w:rsidRPr="003015FD">
        <w:t xml:space="preserve"> </w:t>
      </w:r>
      <w:r w:rsidRPr="003015FD">
        <w:t>in</w:t>
      </w:r>
      <w:r w:rsidR="00975895" w:rsidRPr="003015FD">
        <w:t xml:space="preserve"> </w:t>
      </w:r>
      <w:r w:rsidRPr="003015FD">
        <w:t>practice</w:t>
      </w:r>
      <w:r w:rsidR="00975895" w:rsidRPr="003015FD">
        <w:t xml:space="preserve"> </w:t>
      </w:r>
      <w:r w:rsidRPr="003015FD">
        <w:t>extend</w:t>
      </w:r>
      <w:r w:rsidR="00975895" w:rsidRPr="003015FD">
        <w:t xml:space="preserve"> </w:t>
      </w:r>
      <w:r w:rsidRPr="003015FD">
        <w:t>beyond</w:t>
      </w:r>
      <w:r w:rsidR="00975895" w:rsidRPr="003015FD">
        <w:t xml:space="preserve"> </w:t>
      </w:r>
      <w:r w:rsidRPr="003015FD">
        <w:t>a</w:t>
      </w:r>
      <w:r w:rsidR="00975895" w:rsidRPr="003015FD">
        <w:t xml:space="preserve"> </w:t>
      </w:r>
      <w:r w:rsidR="000C5726">
        <w:t>'</w:t>
      </w:r>
      <w:r w:rsidRPr="003015FD">
        <w:t>special</w:t>
      </w:r>
      <w:r w:rsidR="00975895" w:rsidRPr="003015FD">
        <w:t xml:space="preserve"> </w:t>
      </w:r>
      <w:r w:rsidRPr="003015FD">
        <w:t>reasons</w:t>
      </w:r>
      <w:r w:rsidR="000C5726">
        <w:t>'</w:t>
      </w:r>
      <w:r w:rsidR="00975895" w:rsidRPr="003015FD">
        <w:t xml:space="preserve"> </w:t>
      </w:r>
      <w:r w:rsidRPr="003015FD">
        <w:t>finding</w:t>
      </w:r>
      <w:r w:rsidR="00975895" w:rsidRPr="003015FD">
        <w:t xml:space="preserve"> </w:t>
      </w:r>
      <w:r w:rsidRPr="003015FD">
        <w:t>to</w:t>
      </w:r>
      <w:r w:rsidR="00975895" w:rsidRPr="003015FD">
        <w:t xml:space="preserve"> </w:t>
      </w:r>
      <w:r w:rsidRPr="003015FD">
        <w:t>any</w:t>
      </w:r>
      <w:r w:rsidR="00975895" w:rsidRPr="003015FD">
        <w:t xml:space="preserve"> </w:t>
      </w:r>
      <w:r w:rsidRPr="003015FD">
        <w:t>error</w:t>
      </w:r>
      <w:r w:rsidR="00975895" w:rsidRPr="003015FD">
        <w:t xml:space="preserve"> </w:t>
      </w:r>
      <w:r w:rsidRPr="003015FD">
        <w:t>in</w:t>
      </w:r>
      <w:r w:rsidR="00975895" w:rsidRPr="003015FD">
        <w:t xml:space="preserve"> </w:t>
      </w:r>
      <w:r w:rsidRPr="003015FD">
        <w:t>the</w:t>
      </w:r>
      <w:r w:rsidR="00975895" w:rsidRPr="003015FD">
        <w:t xml:space="preserve"> </w:t>
      </w:r>
      <w:r w:rsidRPr="003015FD">
        <w:t>sentence</w:t>
      </w:r>
    </w:p>
    <w:p w14:paraId="43B870E0" w14:textId="7A803FC9" w:rsidR="008E0945" w:rsidRPr="003015FD" w:rsidRDefault="008E0945" w:rsidP="0002642E">
      <w:pPr>
        <w:pStyle w:val="ListBullet"/>
      </w:pPr>
      <w:r w:rsidRPr="003015FD">
        <w:t>the</w:t>
      </w:r>
      <w:r w:rsidR="00975895" w:rsidRPr="003015FD">
        <w:t xml:space="preserve"> </w:t>
      </w:r>
      <w:r w:rsidRPr="003015FD">
        <w:t>statement</w:t>
      </w:r>
      <w:r w:rsidR="00975895" w:rsidRPr="003015FD">
        <w:t xml:space="preserve"> </w:t>
      </w:r>
      <w:r w:rsidRPr="003015FD">
        <w:t>of</w:t>
      </w:r>
      <w:r w:rsidR="00975895" w:rsidRPr="003015FD">
        <w:t xml:space="preserve"> </w:t>
      </w:r>
      <w:r w:rsidRPr="003015FD">
        <w:t>compatibility</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the</w:t>
      </w:r>
      <w:r w:rsidR="00975895" w:rsidRPr="003015FD">
        <w:t xml:space="preserve"> </w:t>
      </w:r>
      <w:r w:rsidRPr="003015FD">
        <w:t>DPP</w:t>
      </w:r>
      <w:r w:rsidR="000C5726">
        <w:t>'</w:t>
      </w:r>
      <w:r w:rsidRPr="003015FD">
        <w:t>s</w:t>
      </w:r>
      <w:r w:rsidR="00975895" w:rsidRPr="003015FD">
        <w:t xml:space="preserve"> </w:t>
      </w:r>
      <w:r w:rsidRPr="003015FD">
        <w:t>appeal</w:t>
      </w:r>
      <w:r w:rsidR="00975895" w:rsidRPr="003015FD">
        <w:t xml:space="preserve"> </w:t>
      </w:r>
      <w:r w:rsidRPr="003015FD">
        <w:t>power</w:t>
      </w:r>
      <w:r w:rsidR="00975895" w:rsidRPr="003015FD">
        <w:t xml:space="preserve"> </w:t>
      </w:r>
      <w:r w:rsidRPr="003015FD">
        <w:t>was,</w:t>
      </w:r>
      <w:r w:rsidR="00975895" w:rsidRPr="003015FD">
        <w:t xml:space="preserve"> </w:t>
      </w:r>
      <w:r w:rsidRPr="003015FD">
        <w:t>in</w:t>
      </w:r>
      <w:r w:rsidR="00975895" w:rsidRPr="003015FD">
        <w:t xml:space="preserve"> </w:t>
      </w:r>
      <w:r w:rsidRPr="003015FD">
        <w:t>fact,</w:t>
      </w:r>
      <w:r w:rsidR="00975895" w:rsidRPr="003015FD">
        <w:t xml:space="preserve"> </w:t>
      </w:r>
      <w:r w:rsidRPr="003015FD">
        <w:t>a</w:t>
      </w:r>
      <w:r w:rsidR="00975895" w:rsidRPr="003015FD">
        <w:t xml:space="preserve"> </w:t>
      </w:r>
      <w:r w:rsidRPr="003015FD">
        <w:t>statement</w:t>
      </w:r>
      <w:r w:rsidR="00975895" w:rsidRPr="003015FD">
        <w:t xml:space="preserve"> </w:t>
      </w:r>
      <w:r w:rsidRPr="003015FD">
        <w:t>of</w:t>
      </w:r>
      <w:r w:rsidR="00975895" w:rsidRPr="003015FD">
        <w:t xml:space="preserve"> </w:t>
      </w:r>
      <w:r w:rsidRPr="003015FD">
        <w:t>incompatibility.</w:t>
      </w:r>
    </w:p>
    <w:p w14:paraId="15CF106D" w14:textId="251C0512" w:rsidR="008E0945" w:rsidRPr="003015FD" w:rsidRDefault="008E0945" w:rsidP="0002642E">
      <w:r w:rsidRPr="003015FD">
        <w:t>SARC</w:t>
      </w:r>
      <w:r w:rsidR="00975895" w:rsidRPr="003015FD">
        <w:t xml:space="preserve"> </w:t>
      </w:r>
      <w:r w:rsidRPr="003015FD">
        <w:t>received</w:t>
      </w:r>
      <w:r w:rsidR="00975895" w:rsidRPr="003015FD">
        <w:t xml:space="preserve"> </w:t>
      </w:r>
      <w:r w:rsidRPr="003015FD">
        <w:t>a</w:t>
      </w:r>
      <w:r w:rsidR="00975895" w:rsidRPr="003015FD">
        <w:t xml:space="preserve"> </w:t>
      </w:r>
      <w:r w:rsidRPr="003015FD">
        <w:t>joint</w:t>
      </w:r>
      <w:r w:rsidR="00975895" w:rsidRPr="003015FD">
        <w:t xml:space="preserve"> </w:t>
      </w:r>
      <w:r w:rsidRPr="003015FD">
        <w:t>submission</w:t>
      </w:r>
      <w:r w:rsidR="005F7930">
        <w:t xml:space="preserve"> </w:t>
      </w:r>
      <w:r w:rsidR="005F7930" w:rsidRPr="003015FD">
        <w:t>regarding the Bill</w:t>
      </w:r>
      <w:r w:rsidR="00975895" w:rsidRPr="003015FD">
        <w:t xml:space="preserve"> </w:t>
      </w:r>
      <w:r w:rsidRPr="003015FD">
        <w:t>from</w:t>
      </w:r>
      <w:r w:rsidR="00975895" w:rsidRPr="003015FD">
        <w:t xml:space="preserve"> </w:t>
      </w:r>
      <w:r w:rsidRPr="003015FD">
        <w:t>the</w:t>
      </w:r>
      <w:r w:rsidR="00975895" w:rsidRPr="003015FD">
        <w:t xml:space="preserve"> </w:t>
      </w:r>
      <w:r w:rsidRPr="003015FD">
        <w:t>Federation</w:t>
      </w:r>
      <w:r w:rsidR="00975895" w:rsidRPr="003015FD">
        <w:t xml:space="preserve"> </w:t>
      </w:r>
      <w:r w:rsidRPr="003015FD">
        <w:t>of</w:t>
      </w:r>
      <w:r w:rsidR="00975895" w:rsidRPr="003015FD">
        <w:t xml:space="preserve"> </w:t>
      </w:r>
      <w:r w:rsidRPr="003015FD">
        <w:t>Community</w:t>
      </w:r>
      <w:r w:rsidR="00975895" w:rsidRPr="003015FD">
        <w:t xml:space="preserve"> </w:t>
      </w:r>
      <w:r w:rsidRPr="003015FD">
        <w:t>Legal</w:t>
      </w:r>
      <w:r w:rsidR="00975895" w:rsidRPr="003015FD">
        <w:t xml:space="preserve"> </w:t>
      </w:r>
      <w:r w:rsidRPr="003015FD">
        <w:t>Centres</w:t>
      </w:r>
      <w:r w:rsidR="00975895" w:rsidRPr="003015FD">
        <w:t xml:space="preserve"> </w:t>
      </w:r>
      <w:r w:rsidRPr="003015FD">
        <w:t>Victoria</w:t>
      </w:r>
      <w:r w:rsidR="00975895" w:rsidRPr="003015FD">
        <w:t xml:space="preserve"> </w:t>
      </w:r>
      <w:r w:rsidRPr="003015FD">
        <w:t>and</w:t>
      </w:r>
      <w:r w:rsidR="00975895" w:rsidRPr="003015FD">
        <w:t xml:space="preserve"> </w:t>
      </w:r>
      <w:r w:rsidRPr="003015FD">
        <w:t>the</w:t>
      </w:r>
      <w:r w:rsidR="00975895" w:rsidRPr="003015FD">
        <w:t xml:space="preserve"> </w:t>
      </w:r>
      <w:r w:rsidRPr="003015FD">
        <w:t>Law</w:t>
      </w:r>
      <w:r w:rsidR="00975895" w:rsidRPr="003015FD">
        <w:t xml:space="preserve"> </w:t>
      </w:r>
      <w:r w:rsidRPr="003015FD">
        <w:t>Institute</w:t>
      </w:r>
      <w:r w:rsidR="00975895" w:rsidRPr="003015FD">
        <w:t xml:space="preserve"> </w:t>
      </w:r>
      <w:r w:rsidRPr="003015FD">
        <w:t>of</w:t>
      </w:r>
      <w:r w:rsidR="00975895" w:rsidRPr="003015FD">
        <w:t xml:space="preserve"> </w:t>
      </w:r>
      <w:r w:rsidRPr="003015FD">
        <w:t>Victoria.</w:t>
      </w:r>
      <w:r w:rsidRPr="004862C5">
        <w:rPr>
          <w:rStyle w:val="FootnoteReference"/>
        </w:rPr>
        <w:footnoteReference w:id="30"/>
      </w:r>
      <w:r w:rsidR="00975895" w:rsidRPr="003015FD">
        <w:t xml:space="preserve"> </w:t>
      </w:r>
      <w:r w:rsidRPr="003015FD">
        <w:t>In</w:t>
      </w:r>
      <w:r w:rsidR="00975895" w:rsidRPr="003015FD">
        <w:t xml:space="preserve"> </w:t>
      </w:r>
      <w:r w:rsidRPr="003015FD">
        <w:t>this</w:t>
      </w:r>
      <w:r w:rsidR="00975895" w:rsidRPr="003015FD">
        <w:t xml:space="preserve"> </w:t>
      </w:r>
      <w:r w:rsidRPr="003015FD">
        <w:t>submission,</w:t>
      </w:r>
      <w:r w:rsidR="00975895" w:rsidRPr="003015FD">
        <w:t xml:space="preserve"> </w:t>
      </w:r>
      <w:r w:rsidRPr="003015FD">
        <w:t>among</w:t>
      </w:r>
      <w:r w:rsidR="00975895" w:rsidRPr="003015FD">
        <w:t xml:space="preserve"> </w:t>
      </w:r>
      <w:r w:rsidRPr="003015FD">
        <w:t>other</w:t>
      </w:r>
      <w:r w:rsidR="00975895" w:rsidRPr="003015FD">
        <w:t xml:space="preserve"> </w:t>
      </w:r>
      <w:r w:rsidRPr="003015FD">
        <w:t>things,</w:t>
      </w:r>
      <w:r w:rsidR="00975895" w:rsidRPr="003015FD">
        <w:t xml:space="preserve"> </w:t>
      </w:r>
      <w:r w:rsidRPr="003015FD">
        <w:t>they</w:t>
      </w:r>
      <w:r w:rsidR="00975895" w:rsidRPr="003015FD">
        <w:t xml:space="preserve"> </w:t>
      </w:r>
      <w:r w:rsidRPr="003015FD">
        <w:t>expressed</w:t>
      </w:r>
      <w:r w:rsidR="00975895" w:rsidRPr="003015FD">
        <w:t xml:space="preserve"> </w:t>
      </w:r>
      <w:r w:rsidRPr="003015FD">
        <w:t>concern</w:t>
      </w:r>
      <w:r w:rsidR="00975895" w:rsidRPr="003015FD">
        <w:t xml:space="preserve"> </w:t>
      </w:r>
      <w:r w:rsidRPr="003015FD">
        <w:t>the</w:t>
      </w:r>
      <w:r w:rsidR="00975895" w:rsidRPr="003015FD">
        <w:t xml:space="preserve"> </w:t>
      </w:r>
      <w:r w:rsidRPr="003015FD">
        <w:t>Bill</w:t>
      </w:r>
      <w:r w:rsidR="00975895" w:rsidRPr="003015FD">
        <w:t xml:space="preserve"> </w:t>
      </w:r>
      <w:r w:rsidRPr="003015FD">
        <w:t>would</w:t>
      </w:r>
      <w:r w:rsidR="00975895" w:rsidRPr="003015FD">
        <w:t xml:space="preserve"> </w:t>
      </w:r>
      <w:r w:rsidRPr="003015FD">
        <w:t>disproportionately</w:t>
      </w:r>
      <w:r w:rsidR="00975895" w:rsidRPr="003015FD">
        <w:t xml:space="preserve"> </w:t>
      </w:r>
      <w:r w:rsidRPr="003015FD">
        <w:t>affect</w:t>
      </w:r>
      <w:r w:rsidR="00975895" w:rsidRPr="003015FD">
        <w:t xml:space="preserve"> </w:t>
      </w:r>
      <w:r w:rsidRPr="003015FD">
        <w:t>vulnerable</w:t>
      </w:r>
      <w:r w:rsidR="00975895" w:rsidRPr="003015FD">
        <w:t xml:space="preserve"> </w:t>
      </w:r>
      <w:r w:rsidRPr="003015FD">
        <w:t>minorities</w:t>
      </w:r>
      <w:r w:rsidR="00975895" w:rsidRPr="003015FD">
        <w:t xml:space="preserve"> </w:t>
      </w:r>
      <w:r w:rsidRPr="003015FD">
        <w:t>and</w:t>
      </w:r>
      <w:r w:rsidR="00975895" w:rsidRPr="003015FD">
        <w:t xml:space="preserve"> </w:t>
      </w:r>
      <w:r w:rsidRPr="003015FD">
        <w:t>queried</w:t>
      </w:r>
      <w:r w:rsidR="00975895" w:rsidRPr="003015FD">
        <w:t xml:space="preserve"> </w:t>
      </w:r>
      <w:r w:rsidRPr="003015FD">
        <w:t>whether</w:t>
      </w:r>
      <w:r w:rsidR="00975895" w:rsidRPr="003015FD">
        <w:t xml:space="preserve"> </w:t>
      </w:r>
      <w:r w:rsidRPr="003015FD">
        <w:t>there</w:t>
      </w:r>
      <w:r w:rsidR="00975895" w:rsidRPr="003015FD">
        <w:t xml:space="preserve"> </w:t>
      </w:r>
      <w:r w:rsidRPr="003015FD">
        <w:t>was</w:t>
      </w:r>
      <w:r w:rsidR="00975895" w:rsidRPr="003015FD">
        <w:t xml:space="preserve"> </w:t>
      </w:r>
      <w:r w:rsidRPr="003015FD">
        <w:t>any</w:t>
      </w:r>
      <w:r w:rsidR="00975895" w:rsidRPr="003015FD">
        <w:t xml:space="preserve"> </w:t>
      </w:r>
      <w:r w:rsidRPr="003015FD">
        <w:t>evidence</w:t>
      </w:r>
      <w:r w:rsidR="00975895" w:rsidRPr="003015FD">
        <w:t xml:space="preserve"> </w:t>
      </w:r>
      <w:r w:rsidRPr="003015FD">
        <w:t>to</w:t>
      </w:r>
      <w:r w:rsidR="00975895" w:rsidRPr="003015FD">
        <w:t xml:space="preserve"> </w:t>
      </w:r>
      <w:r w:rsidRPr="003015FD">
        <w:t>support</w:t>
      </w:r>
      <w:r w:rsidR="00975895" w:rsidRPr="003015FD">
        <w:t xml:space="preserve"> </w:t>
      </w:r>
      <w:r w:rsidRPr="003015FD">
        <w:t>the</w:t>
      </w:r>
      <w:r w:rsidR="00975895" w:rsidRPr="003015FD">
        <w:t xml:space="preserve"> </w:t>
      </w:r>
      <w:r w:rsidRPr="003015FD">
        <w:t>use</w:t>
      </w:r>
      <w:r w:rsidR="00975895" w:rsidRPr="003015FD">
        <w:t xml:space="preserve"> </w:t>
      </w:r>
      <w:r w:rsidRPr="003015FD">
        <w:t>of</w:t>
      </w:r>
      <w:r w:rsidR="00975895" w:rsidRPr="003015FD">
        <w:t xml:space="preserve"> </w:t>
      </w:r>
      <w:r w:rsidRPr="003015FD">
        <w:t>mandatory</w:t>
      </w:r>
      <w:r w:rsidR="00975895" w:rsidRPr="003015FD">
        <w:t xml:space="preserve"> </w:t>
      </w:r>
      <w:r w:rsidRPr="003015FD">
        <w:t>sentencing</w:t>
      </w:r>
      <w:r w:rsidR="00975895" w:rsidRPr="003015FD">
        <w:t xml:space="preserve"> </w:t>
      </w:r>
      <w:r w:rsidRPr="003015FD">
        <w:t>to</w:t>
      </w:r>
      <w:r w:rsidR="00975895" w:rsidRPr="003015FD">
        <w:t xml:space="preserve"> </w:t>
      </w:r>
      <w:r w:rsidRPr="003015FD">
        <w:t>achieve</w:t>
      </w:r>
      <w:r w:rsidR="00975895" w:rsidRPr="003015FD">
        <w:t xml:space="preserve"> </w:t>
      </w:r>
      <w:r w:rsidRPr="003015FD">
        <w:t>a</w:t>
      </w:r>
      <w:r w:rsidR="00975895" w:rsidRPr="003015FD">
        <w:t xml:space="preserve"> </w:t>
      </w:r>
      <w:r w:rsidRPr="003015FD">
        <w:t>deterrent</w:t>
      </w:r>
      <w:r w:rsidR="00975895" w:rsidRPr="003015FD">
        <w:t xml:space="preserve"> </w:t>
      </w:r>
      <w:r w:rsidRPr="003015FD">
        <w:t>effect.</w:t>
      </w:r>
      <w:r w:rsidR="00975895" w:rsidRPr="003015FD">
        <w:t xml:space="preserve"> </w:t>
      </w:r>
      <w:r w:rsidRPr="003015FD">
        <w:t>The</w:t>
      </w:r>
      <w:r w:rsidR="00975895" w:rsidRPr="003015FD">
        <w:t xml:space="preserve"> </w:t>
      </w:r>
      <w:r w:rsidRPr="003015FD">
        <w:t>Bill</w:t>
      </w:r>
      <w:r w:rsidR="00975895" w:rsidRPr="003015FD">
        <w:t xml:space="preserve"> </w:t>
      </w:r>
      <w:r w:rsidRPr="003015FD">
        <w:t>was</w:t>
      </w:r>
      <w:r w:rsidR="00975895" w:rsidRPr="003015FD">
        <w:t xml:space="preserve"> </w:t>
      </w:r>
      <w:r w:rsidRPr="003015FD">
        <w:t>passed</w:t>
      </w:r>
      <w:r w:rsidR="00975895" w:rsidRPr="003015FD">
        <w:t xml:space="preserve"> </w:t>
      </w:r>
      <w:r w:rsidRPr="003015FD">
        <w:t>with</w:t>
      </w:r>
      <w:r w:rsidR="00975895" w:rsidRPr="003015FD">
        <w:t xml:space="preserve"> </w:t>
      </w:r>
      <w:r w:rsidRPr="003015FD">
        <w:t>the</w:t>
      </w:r>
      <w:r w:rsidR="00975895" w:rsidRPr="003015FD">
        <w:t xml:space="preserve"> </w:t>
      </w:r>
      <w:r w:rsidRPr="003015FD">
        <w:t>controversial</w:t>
      </w:r>
      <w:r w:rsidR="00975895" w:rsidRPr="003015FD">
        <w:t xml:space="preserve"> </w:t>
      </w:r>
      <w:r w:rsidRPr="003015FD">
        <w:t>provisions</w:t>
      </w:r>
      <w:r w:rsidR="00975895" w:rsidRPr="003015FD">
        <w:t xml:space="preserve"> </w:t>
      </w:r>
      <w:r w:rsidRPr="003015FD">
        <w:t>intact.</w:t>
      </w:r>
    </w:p>
    <w:p w14:paraId="43B5F146" w14:textId="3EFB518A" w:rsidR="008E0945" w:rsidRPr="003015FD" w:rsidRDefault="00D90DB7" w:rsidP="0002642E">
      <w:pPr>
        <w:pStyle w:val="Heading2"/>
      </w:pPr>
      <w:bookmarkStart w:id="88" w:name="_Toc15045122"/>
      <w:bookmarkStart w:id="89" w:name="_Toc22011536"/>
      <w:r w:rsidRPr="003015FD">
        <w:t>3.3</w:t>
      </w:r>
      <w:r w:rsidRPr="003015FD">
        <w:tab/>
      </w:r>
      <w:r w:rsidR="008E0945" w:rsidRPr="003015FD">
        <w:t>Override</w:t>
      </w:r>
      <w:r w:rsidR="00975895" w:rsidRPr="003015FD">
        <w:t xml:space="preserve"> </w:t>
      </w:r>
      <w:r w:rsidR="008E0945" w:rsidRPr="003015FD">
        <w:t>declarations</w:t>
      </w:r>
      <w:bookmarkEnd w:id="88"/>
      <w:bookmarkEnd w:id="89"/>
      <w:r w:rsidR="00975895" w:rsidRPr="003015FD">
        <w:t xml:space="preserve"> </w:t>
      </w:r>
    </w:p>
    <w:p w14:paraId="35F5F5CE" w14:textId="6BE35675" w:rsidR="008E0945" w:rsidRPr="003015FD" w:rsidRDefault="008E0945" w:rsidP="0002642E">
      <w:r w:rsidRPr="003015FD">
        <w:t>The</w:t>
      </w:r>
      <w:r w:rsidR="00975895" w:rsidRPr="003015FD">
        <w:t xml:space="preserve"> </w:t>
      </w:r>
      <w:r w:rsidRPr="003015FD">
        <w:t>Charter</w:t>
      </w:r>
      <w:r w:rsidR="00975895" w:rsidRPr="003015FD">
        <w:t xml:space="preserve"> </w:t>
      </w:r>
      <w:r w:rsidRPr="003015FD">
        <w:t>provides</w:t>
      </w:r>
      <w:r w:rsidR="00975895" w:rsidRPr="003015FD">
        <w:t xml:space="preserve"> </w:t>
      </w:r>
      <w:r w:rsidRPr="003015FD">
        <w:t>that</w:t>
      </w:r>
      <w:r w:rsidR="00975895" w:rsidRPr="003015FD">
        <w:t xml:space="preserve"> </w:t>
      </w:r>
      <w:r w:rsidRPr="003015FD">
        <w:t>Parliament</w:t>
      </w:r>
      <w:r w:rsidR="00975895" w:rsidRPr="003015FD">
        <w:t xml:space="preserve"> </w:t>
      </w:r>
      <w:r w:rsidRPr="003015FD">
        <w:t>may,</w:t>
      </w:r>
      <w:r w:rsidR="00975895" w:rsidRPr="003015FD">
        <w:t xml:space="preserve"> </w:t>
      </w:r>
      <w:r w:rsidRPr="003015FD">
        <w:t>in</w:t>
      </w:r>
      <w:r w:rsidR="00975895" w:rsidRPr="003015FD">
        <w:t xml:space="preserve"> </w:t>
      </w:r>
      <w:r w:rsidRPr="003015FD">
        <w:t>exceptional</w:t>
      </w:r>
      <w:r w:rsidR="00975895" w:rsidRPr="003015FD">
        <w:t xml:space="preserve"> </w:t>
      </w:r>
      <w:r w:rsidRPr="003015FD">
        <w:t>circumstances,</w:t>
      </w:r>
      <w:r w:rsidR="00975895" w:rsidRPr="003015FD">
        <w:t xml:space="preserve"> </w:t>
      </w:r>
      <w:r w:rsidRPr="003015FD">
        <w:t>declare</w:t>
      </w:r>
      <w:r w:rsidR="00975895" w:rsidRPr="003015FD">
        <w:t xml:space="preserve"> </w:t>
      </w:r>
      <w:r w:rsidRPr="003015FD">
        <w:t>that</w:t>
      </w:r>
      <w:r w:rsidR="00975895" w:rsidRPr="003015FD">
        <w:t xml:space="preserve"> </w:t>
      </w:r>
      <w:r w:rsidRPr="003015FD">
        <w:t>a</w:t>
      </w:r>
      <w:r w:rsidR="00975895" w:rsidRPr="003015FD">
        <w:t xml:space="preserve"> </w:t>
      </w:r>
      <w:r w:rsidRPr="003015FD">
        <w:t>law</w:t>
      </w:r>
      <w:r w:rsidR="00975895" w:rsidRPr="003015FD">
        <w:t xml:space="preserve"> </w:t>
      </w:r>
      <w:r w:rsidRPr="003015FD">
        <w:t>or</w:t>
      </w:r>
      <w:r w:rsidR="00975895" w:rsidRPr="003015FD">
        <w:t xml:space="preserve"> </w:t>
      </w:r>
      <w:r w:rsidRPr="003015FD">
        <w:t>part</w:t>
      </w:r>
      <w:r w:rsidR="00975895" w:rsidRPr="003015FD">
        <w:t xml:space="preserve"> </w:t>
      </w:r>
      <w:r w:rsidRPr="003015FD">
        <w:t>of</w:t>
      </w:r>
      <w:r w:rsidR="00975895" w:rsidRPr="003015FD">
        <w:t xml:space="preserve"> </w:t>
      </w:r>
      <w:r w:rsidRPr="003015FD">
        <w:t>a</w:t>
      </w:r>
      <w:r w:rsidR="00975895" w:rsidRPr="003015FD">
        <w:t xml:space="preserve"> </w:t>
      </w:r>
      <w:r w:rsidRPr="003015FD">
        <w:t>law</w:t>
      </w:r>
      <w:r w:rsidR="00975895" w:rsidRPr="003015FD">
        <w:t xml:space="preserve"> </w:t>
      </w:r>
      <w:r w:rsidRPr="003015FD">
        <w:t>has</w:t>
      </w:r>
      <w:r w:rsidR="00975895" w:rsidRPr="003015FD">
        <w:t xml:space="preserve"> </w:t>
      </w:r>
      <w:r w:rsidRPr="003015FD">
        <w:t>effect</w:t>
      </w:r>
      <w:r w:rsidR="00975895" w:rsidRPr="003015FD">
        <w:t xml:space="preserve"> </w:t>
      </w:r>
      <w:r w:rsidRPr="003015FD">
        <w:t>despite</w:t>
      </w:r>
      <w:r w:rsidR="00975895" w:rsidRPr="003015FD">
        <w:t xml:space="preserve"> </w:t>
      </w:r>
      <w:r w:rsidRPr="003015FD">
        <w:t>being</w:t>
      </w:r>
      <w:r w:rsidR="00975895" w:rsidRPr="003015FD">
        <w:t xml:space="preserve"> </w:t>
      </w:r>
      <w:r w:rsidRPr="003015FD">
        <w:t>incompatible</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Pr="004862C5">
        <w:rPr>
          <w:rStyle w:val="FootnoteReference"/>
        </w:rPr>
        <w:footnoteReference w:id="31"/>
      </w:r>
      <w:r w:rsidR="00975895" w:rsidRPr="003015FD">
        <w:t xml:space="preserve"> </w:t>
      </w:r>
      <w:r w:rsidRPr="003015FD">
        <w:t>This</w:t>
      </w:r>
      <w:r w:rsidR="00975895" w:rsidRPr="003015FD">
        <w:t xml:space="preserve"> </w:t>
      </w:r>
      <w:r w:rsidRPr="003015FD">
        <w:t>is</w:t>
      </w:r>
      <w:r w:rsidR="00975895" w:rsidRPr="003015FD">
        <w:t xml:space="preserve"> </w:t>
      </w:r>
      <w:r w:rsidRPr="003015FD">
        <w:t>known</w:t>
      </w:r>
      <w:r w:rsidR="00975895" w:rsidRPr="003015FD">
        <w:t xml:space="preserve"> </w:t>
      </w:r>
      <w:r w:rsidRPr="003015FD">
        <w:t>as</w:t>
      </w:r>
      <w:r w:rsidR="00975895" w:rsidRPr="003015FD">
        <w:t xml:space="preserve"> </w:t>
      </w:r>
      <w:r w:rsidRPr="003015FD">
        <w:t>an</w:t>
      </w:r>
      <w:r w:rsidR="00975895" w:rsidRPr="003015FD">
        <w:t xml:space="preserve"> </w:t>
      </w:r>
      <w:r w:rsidR="000C5726">
        <w:t>'</w:t>
      </w:r>
      <w:r w:rsidRPr="003015FD">
        <w:t>override</w:t>
      </w:r>
      <w:r w:rsidR="00975895" w:rsidRPr="003015FD">
        <w:t xml:space="preserve"> </w:t>
      </w:r>
      <w:r w:rsidRPr="003015FD">
        <w:t>declaration</w:t>
      </w:r>
      <w:r w:rsidR="000C5726">
        <w:t>'</w:t>
      </w:r>
      <w:r w:rsidRPr="003015FD">
        <w:t>.</w:t>
      </w:r>
      <w:r w:rsidR="00975895" w:rsidRPr="003015FD">
        <w:t xml:space="preserve"> </w:t>
      </w:r>
      <w:r w:rsidRPr="003015FD">
        <w:t>The</w:t>
      </w:r>
      <w:r w:rsidR="00975895" w:rsidRPr="003015FD">
        <w:t xml:space="preserve"> </w:t>
      </w:r>
      <w:r w:rsidRPr="003015FD">
        <w:t>declaration</w:t>
      </w:r>
      <w:r w:rsidR="00975895" w:rsidRPr="003015FD">
        <w:t xml:space="preserve"> </w:t>
      </w:r>
      <w:r w:rsidRPr="003015FD">
        <w:t>signals</w:t>
      </w:r>
      <w:r w:rsidR="00975895" w:rsidRPr="003015FD">
        <w:t xml:space="preserve"> </w:t>
      </w:r>
      <w:r w:rsidRPr="003015FD">
        <w:t>to</w:t>
      </w:r>
      <w:r w:rsidR="00975895" w:rsidRPr="003015FD">
        <w:t xml:space="preserve"> </w:t>
      </w:r>
      <w:r w:rsidRPr="003015FD">
        <w:t>courts,</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and</w:t>
      </w:r>
      <w:r w:rsidR="00975895" w:rsidRPr="003015FD">
        <w:t xml:space="preserve"> </w:t>
      </w:r>
      <w:r w:rsidRPr="003015FD">
        <w:t>the</w:t>
      </w:r>
      <w:r w:rsidR="00975895" w:rsidRPr="003015FD">
        <w:t xml:space="preserve"> </w:t>
      </w:r>
      <w:r w:rsidRPr="003015FD">
        <w:t>community</w:t>
      </w:r>
      <w:r w:rsidR="00975895" w:rsidRPr="003015FD">
        <w:t xml:space="preserve"> </w:t>
      </w:r>
      <w:r w:rsidRPr="003015FD">
        <w:t>that</w:t>
      </w:r>
      <w:r w:rsidR="00975895" w:rsidRPr="003015FD">
        <w:t xml:space="preserve"> </w:t>
      </w:r>
      <w:r w:rsidRPr="003015FD">
        <w:t>a</w:t>
      </w:r>
      <w:r w:rsidR="00975895" w:rsidRPr="003015FD">
        <w:t xml:space="preserve"> </w:t>
      </w:r>
      <w:r w:rsidRPr="003015FD">
        <w:t>law</w:t>
      </w:r>
      <w:r w:rsidR="00975895" w:rsidRPr="003015FD">
        <w:t xml:space="preserve"> </w:t>
      </w:r>
      <w:r w:rsidRPr="003015FD">
        <w:t>does</w:t>
      </w:r>
      <w:r w:rsidR="00975895" w:rsidRPr="003015FD">
        <w:t xml:space="preserve"> </w:t>
      </w:r>
      <w:r w:rsidRPr="003015FD">
        <w:t>not</w:t>
      </w:r>
      <w:r w:rsidR="00975895" w:rsidRPr="003015FD">
        <w:t xml:space="preserve"> </w:t>
      </w:r>
      <w:r w:rsidRPr="003015FD">
        <w:t>have</w:t>
      </w:r>
      <w:r w:rsidR="00975895" w:rsidRPr="003015FD">
        <w:t xml:space="preserve"> </w:t>
      </w:r>
      <w:r w:rsidRPr="003015FD">
        <w:t>to</w:t>
      </w:r>
      <w:r w:rsidR="00975895" w:rsidRPr="003015FD">
        <w:t xml:space="preserve"> </w:t>
      </w:r>
      <w:r w:rsidRPr="003015FD">
        <w:t>be</w:t>
      </w:r>
      <w:r w:rsidR="00975895" w:rsidRPr="003015FD">
        <w:t xml:space="preserve"> </w:t>
      </w:r>
      <w:r w:rsidRPr="003015FD">
        <w:t>interpreted</w:t>
      </w:r>
      <w:r w:rsidR="00975895" w:rsidRPr="003015FD">
        <w:t xml:space="preserve"> </w:t>
      </w:r>
      <w:r w:rsidRPr="003015FD">
        <w:t>compatibly</w:t>
      </w:r>
      <w:r w:rsidR="00975895" w:rsidRPr="003015FD">
        <w:t xml:space="preserve"> </w:t>
      </w:r>
      <w:r w:rsidRPr="003015FD">
        <w:t>with</w:t>
      </w:r>
      <w:r w:rsidR="00975895" w:rsidRPr="003015FD">
        <w:t xml:space="preserve"> </w:t>
      </w:r>
      <w:r w:rsidRPr="003015FD">
        <w:t>the</w:t>
      </w:r>
      <w:r w:rsidR="00975895" w:rsidRPr="003015FD">
        <w:t xml:space="preserve"> </w:t>
      </w:r>
      <w:r w:rsidRPr="003015FD">
        <w:t>Charter</w:t>
      </w:r>
      <w:r w:rsidR="00975895" w:rsidRPr="003015FD">
        <w:t xml:space="preserve"> </w:t>
      </w:r>
      <w:r w:rsidRPr="003015FD">
        <w:t>and</w:t>
      </w:r>
      <w:r w:rsidR="00975895" w:rsidRPr="003015FD">
        <w:t xml:space="preserve"> </w:t>
      </w:r>
      <w:r w:rsidRPr="003015FD">
        <w:t>that</w:t>
      </w:r>
      <w:r w:rsidR="00975895" w:rsidRPr="003015FD">
        <w:t xml:space="preserve"> </w:t>
      </w:r>
      <w:r w:rsidRPr="003015FD">
        <w:t>public</w:t>
      </w:r>
      <w:r w:rsidR="00975895" w:rsidRPr="003015FD">
        <w:t xml:space="preserve"> </w:t>
      </w:r>
      <w:r w:rsidRPr="003015FD">
        <w:t>authorities</w:t>
      </w:r>
      <w:r w:rsidR="00975895" w:rsidRPr="003015FD">
        <w:t xml:space="preserve"> </w:t>
      </w:r>
      <w:r w:rsidRPr="003015FD">
        <w:t>do</w:t>
      </w:r>
      <w:r w:rsidR="00975895" w:rsidRPr="003015FD">
        <w:t xml:space="preserve"> </w:t>
      </w:r>
      <w:r w:rsidRPr="003015FD">
        <w:t>not</w:t>
      </w:r>
      <w:r w:rsidR="00975895" w:rsidRPr="003015FD">
        <w:t xml:space="preserve"> </w:t>
      </w:r>
      <w:r w:rsidRPr="003015FD">
        <w:t>need</w:t>
      </w:r>
      <w:r w:rsidR="00975895" w:rsidRPr="003015FD">
        <w:t xml:space="preserve"> </w:t>
      </w:r>
      <w:r w:rsidRPr="003015FD">
        <w:t>to</w:t>
      </w:r>
      <w:r w:rsidR="00975895" w:rsidRPr="003015FD">
        <w:t xml:space="preserve"> </w:t>
      </w:r>
      <w:r w:rsidRPr="003015FD">
        <w:t>act</w:t>
      </w:r>
      <w:r w:rsidR="00975895" w:rsidRPr="003015FD">
        <w:t xml:space="preserve"> </w:t>
      </w:r>
      <w:r w:rsidRPr="003015FD">
        <w:t>compatibly</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when</w:t>
      </w:r>
      <w:r w:rsidR="00975895" w:rsidRPr="003015FD">
        <w:t xml:space="preserve"> </w:t>
      </w:r>
      <w:r w:rsidRPr="003015FD">
        <w:t>implementing</w:t>
      </w:r>
      <w:r w:rsidR="00975895" w:rsidRPr="003015FD">
        <w:t xml:space="preserve"> </w:t>
      </w:r>
      <w:r w:rsidRPr="003015FD">
        <w:t>it.</w:t>
      </w:r>
      <w:r w:rsidR="00975895" w:rsidRPr="003015FD">
        <w:t xml:space="preserve"> </w:t>
      </w:r>
    </w:p>
    <w:p w14:paraId="37E39E7A" w14:textId="0B78A597" w:rsidR="008E0945" w:rsidRPr="003015FD" w:rsidRDefault="008E0945" w:rsidP="0002642E">
      <w:r w:rsidRPr="003015FD">
        <w:t>An</w:t>
      </w:r>
      <w:r w:rsidR="00975895" w:rsidRPr="003015FD">
        <w:t xml:space="preserve"> </w:t>
      </w:r>
      <w:r w:rsidRPr="003015FD">
        <w:t>override</w:t>
      </w:r>
      <w:r w:rsidR="00975895" w:rsidRPr="003015FD">
        <w:t xml:space="preserve"> </w:t>
      </w:r>
      <w:r w:rsidRPr="003015FD">
        <w:t>declaration</w:t>
      </w:r>
      <w:r w:rsidR="00975895" w:rsidRPr="003015FD">
        <w:t xml:space="preserve"> </w:t>
      </w:r>
      <w:r w:rsidRPr="003015FD">
        <w:t>should</w:t>
      </w:r>
      <w:r w:rsidR="00975895" w:rsidRPr="003015FD">
        <w:t xml:space="preserve"> </w:t>
      </w:r>
      <w:r w:rsidRPr="003015FD">
        <w:t>only</w:t>
      </w:r>
      <w:r w:rsidR="00975895" w:rsidRPr="003015FD">
        <w:t xml:space="preserve"> </w:t>
      </w:r>
      <w:r w:rsidRPr="003015FD">
        <w:t>be</w:t>
      </w:r>
      <w:r w:rsidR="00975895" w:rsidRPr="003015FD">
        <w:t xml:space="preserve"> </w:t>
      </w:r>
      <w:r w:rsidRPr="003015FD">
        <w:t>used</w:t>
      </w:r>
      <w:r w:rsidR="00975895" w:rsidRPr="003015FD">
        <w:t xml:space="preserve"> </w:t>
      </w:r>
      <w:r w:rsidRPr="003015FD">
        <w:t>in</w:t>
      </w:r>
      <w:r w:rsidR="00975895" w:rsidRPr="003015FD">
        <w:t xml:space="preserve"> </w:t>
      </w:r>
      <w:r w:rsidRPr="003015FD">
        <w:t>exceptional</w:t>
      </w:r>
      <w:r w:rsidR="00975895" w:rsidRPr="003015FD">
        <w:t xml:space="preserve"> </w:t>
      </w:r>
      <w:r w:rsidRPr="003015FD">
        <w:t>circumstances.</w:t>
      </w:r>
      <w:r w:rsidRPr="004862C5">
        <w:rPr>
          <w:rStyle w:val="FootnoteReference"/>
        </w:rPr>
        <w:footnoteReference w:id="32"/>
      </w:r>
      <w:r w:rsidR="00975895" w:rsidRPr="003015FD">
        <w:t xml:space="preserve"> </w:t>
      </w:r>
      <w:r w:rsidRPr="003015FD">
        <w:t>In</w:t>
      </w:r>
      <w:r w:rsidR="00975895" w:rsidRPr="003015FD">
        <w:t xml:space="preserve"> </w:t>
      </w:r>
      <w:r w:rsidRPr="003015FD">
        <w:t>its</w:t>
      </w:r>
      <w:r w:rsidR="00975895" w:rsidRPr="003015FD">
        <w:t xml:space="preserve"> </w:t>
      </w:r>
      <w:r w:rsidRPr="003015FD">
        <w:t>report</w:t>
      </w:r>
      <w:r w:rsidR="00975895" w:rsidRPr="003015FD">
        <w:t xml:space="preserve"> </w:t>
      </w:r>
      <w:r w:rsidRPr="003015FD">
        <w:t>recommending</w:t>
      </w:r>
      <w:r w:rsidR="00975895" w:rsidRPr="003015FD">
        <w:t xml:space="preserve"> </w:t>
      </w:r>
      <w:r w:rsidRPr="003015FD">
        <w:t>the</w:t>
      </w:r>
      <w:r w:rsidR="00975895" w:rsidRPr="003015FD">
        <w:t xml:space="preserve"> </w:t>
      </w:r>
      <w:r w:rsidRPr="003015FD">
        <w:t>creation</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Consultative</w:t>
      </w:r>
      <w:r w:rsidR="00975895" w:rsidRPr="003015FD">
        <w:t xml:space="preserve"> </w:t>
      </w:r>
      <w:r w:rsidRPr="003015FD">
        <w:t>Committee</w:t>
      </w:r>
      <w:r w:rsidR="00975895" w:rsidRPr="003015FD">
        <w:t xml:space="preserve"> </w:t>
      </w:r>
      <w:r w:rsidRPr="003015FD">
        <w:t>referred</w:t>
      </w:r>
      <w:r w:rsidR="00975895" w:rsidRPr="003015FD">
        <w:t xml:space="preserve"> </w:t>
      </w:r>
      <w:r w:rsidRPr="003015FD">
        <w:t>to</w:t>
      </w:r>
      <w:r w:rsidR="00975895" w:rsidRPr="003015FD">
        <w:t xml:space="preserve"> </w:t>
      </w:r>
      <w:r w:rsidRPr="003015FD">
        <w:t>the</w:t>
      </w:r>
      <w:r w:rsidR="00975895" w:rsidRPr="003015FD">
        <w:t xml:space="preserve"> </w:t>
      </w:r>
      <w:r w:rsidRPr="0002642E">
        <w:t>International</w:t>
      </w:r>
      <w:r w:rsidR="00975895" w:rsidRPr="0002642E">
        <w:t xml:space="preserve"> </w:t>
      </w:r>
      <w:r w:rsidRPr="0002642E">
        <w:t>Covenant</w:t>
      </w:r>
      <w:r w:rsidR="00975895" w:rsidRPr="0002642E">
        <w:t xml:space="preserve"> </w:t>
      </w:r>
      <w:r w:rsidRPr="0002642E">
        <w:t>on</w:t>
      </w:r>
      <w:r w:rsidR="00975895" w:rsidRPr="0002642E">
        <w:t xml:space="preserve"> </w:t>
      </w:r>
      <w:r w:rsidRPr="0002642E">
        <w:t>Civil</w:t>
      </w:r>
      <w:r w:rsidR="00975895" w:rsidRPr="0002642E">
        <w:t xml:space="preserve"> </w:t>
      </w:r>
      <w:r w:rsidRPr="0002642E">
        <w:t>and</w:t>
      </w:r>
      <w:r w:rsidR="00975895" w:rsidRPr="0002642E">
        <w:t xml:space="preserve"> </w:t>
      </w:r>
      <w:r w:rsidRPr="0002642E">
        <w:t>Political</w:t>
      </w:r>
      <w:r w:rsidR="00975895" w:rsidRPr="0002642E">
        <w:t xml:space="preserve"> </w:t>
      </w:r>
      <w:r w:rsidRPr="0002642E">
        <w:t>Rights</w:t>
      </w:r>
      <w:r w:rsidR="00975895" w:rsidRPr="0002642E">
        <w:t xml:space="preserve"> </w:t>
      </w:r>
      <w:r w:rsidRPr="003015FD">
        <w:t>(ICCPR)</w:t>
      </w:r>
      <w:r w:rsidR="00975895" w:rsidRPr="003015FD">
        <w:t xml:space="preserve"> </w:t>
      </w:r>
      <w:r w:rsidRPr="003015FD">
        <w:t>in</w:t>
      </w:r>
      <w:r w:rsidR="00975895" w:rsidRPr="003015FD">
        <w:t xml:space="preserve"> </w:t>
      </w:r>
      <w:r w:rsidRPr="003015FD">
        <w:t>setting</w:t>
      </w:r>
      <w:r w:rsidR="00975895" w:rsidRPr="003015FD">
        <w:t xml:space="preserve"> </w:t>
      </w:r>
      <w:r w:rsidRPr="003015FD">
        <w:t>out</w:t>
      </w:r>
      <w:r w:rsidR="00975895" w:rsidRPr="003015FD">
        <w:t xml:space="preserve"> </w:t>
      </w:r>
      <w:r w:rsidRPr="003015FD">
        <w:t>when</w:t>
      </w:r>
      <w:r w:rsidR="00975895" w:rsidRPr="003015FD">
        <w:t xml:space="preserve"> </w:t>
      </w:r>
      <w:r w:rsidRPr="003015FD">
        <w:t>an</w:t>
      </w:r>
      <w:r w:rsidR="00975895" w:rsidRPr="003015FD">
        <w:t xml:space="preserve"> </w:t>
      </w:r>
      <w:r w:rsidRPr="003015FD">
        <w:t>override</w:t>
      </w:r>
      <w:r w:rsidR="00975895" w:rsidRPr="003015FD">
        <w:t xml:space="preserve"> </w:t>
      </w:r>
      <w:r w:rsidRPr="003015FD">
        <w:t>might</w:t>
      </w:r>
      <w:r w:rsidR="00975895" w:rsidRPr="003015FD">
        <w:t xml:space="preserve"> </w:t>
      </w:r>
      <w:r w:rsidRPr="003015FD">
        <w:t>apply.</w:t>
      </w:r>
      <w:r w:rsidRPr="004862C5">
        <w:rPr>
          <w:rStyle w:val="FootnoteReference"/>
        </w:rPr>
        <w:footnoteReference w:id="33"/>
      </w:r>
      <w:r w:rsidR="00975895" w:rsidRPr="003015FD">
        <w:t xml:space="preserve"> </w:t>
      </w:r>
      <w:r w:rsidRPr="003015FD">
        <w:t>Article</w:t>
      </w:r>
      <w:r w:rsidR="00975895" w:rsidRPr="003015FD">
        <w:t xml:space="preserve"> </w:t>
      </w:r>
      <w:r w:rsidRPr="003015FD">
        <w:t>4</w:t>
      </w:r>
      <w:r w:rsidR="00975895" w:rsidRPr="003015FD">
        <w:t xml:space="preserve"> </w:t>
      </w:r>
      <w:r w:rsidRPr="003015FD">
        <w:t>of</w:t>
      </w:r>
      <w:r w:rsidR="00975895" w:rsidRPr="003015FD">
        <w:t xml:space="preserve"> </w:t>
      </w:r>
      <w:r w:rsidRPr="003015FD">
        <w:t>the</w:t>
      </w:r>
      <w:r w:rsidR="00975895" w:rsidRPr="003015FD">
        <w:t xml:space="preserve"> </w:t>
      </w:r>
      <w:r w:rsidRPr="003015FD">
        <w:t>ICCPR</w:t>
      </w:r>
      <w:r w:rsidR="00975895" w:rsidRPr="003015FD">
        <w:t xml:space="preserve"> </w:t>
      </w:r>
      <w:r w:rsidRPr="003015FD">
        <w:t>states</w:t>
      </w:r>
      <w:r w:rsidR="00975895" w:rsidRPr="003015FD">
        <w:t xml:space="preserve"> </w:t>
      </w:r>
      <w:r w:rsidRPr="003015FD">
        <w:t>that</w:t>
      </w:r>
      <w:r w:rsidR="00975895" w:rsidRPr="003015FD">
        <w:t xml:space="preserve"> </w:t>
      </w:r>
      <w:r w:rsidRPr="003015FD">
        <w:t>governments</w:t>
      </w:r>
      <w:r w:rsidR="00975895" w:rsidRPr="003015FD">
        <w:t xml:space="preserve"> </w:t>
      </w:r>
      <w:r w:rsidRPr="003015FD">
        <w:t>should</w:t>
      </w:r>
      <w:r w:rsidR="00975895" w:rsidRPr="003015FD">
        <w:t xml:space="preserve"> </w:t>
      </w:r>
      <w:r w:rsidRPr="003015FD">
        <w:t>only</w:t>
      </w:r>
      <w:r w:rsidR="00975895" w:rsidRPr="003015FD">
        <w:t xml:space="preserve"> </w:t>
      </w:r>
      <w:r w:rsidRPr="003015FD">
        <w:t>act</w:t>
      </w:r>
      <w:r w:rsidR="00975895" w:rsidRPr="003015FD">
        <w:t xml:space="preserve"> </w:t>
      </w:r>
      <w:r w:rsidRPr="003015FD">
        <w:t>incompatibly</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00340A87">
        <w:t>“</w:t>
      </w:r>
      <w:r w:rsidRPr="003015FD">
        <w:t>in</w:t>
      </w:r>
      <w:r w:rsidR="00975895" w:rsidRPr="003015FD">
        <w:t xml:space="preserve"> </w:t>
      </w:r>
      <w:r w:rsidRPr="003015FD">
        <w:t>time</w:t>
      </w:r>
      <w:r w:rsidR="00BF4BFD">
        <w:t>s</w:t>
      </w:r>
      <w:r w:rsidR="00975895" w:rsidRPr="003015FD">
        <w:t xml:space="preserve"> </w:t>
      </w:r>
      <w:r w:rsidRPr="003015FD">
        <w:t>of</w:t>
      </w:r>
      <w:r w:rsidR="00975895" w:rsidRPr="003015FD">
        <w:t xml:space="preserve"> </w:t>
      </w:r>
      <w:r w:rsidRPr="003015FD">
        <w:t>public</w:t>
      </w:r>
      <w:r w:rsidR="00975895" w:rsidRPr="003015FD">
        <w:t xml:space="preserve"> </w:t>
      </w:r>
      <w:r w:rsidRPr="003015FD">
        <w:t>emergency</w:t>
      </w:r>
      <w:r w:rsidR="00975895" w:rsidRPr="003015FD">
        <w:t xml:space="preserve"> </w:t>
      </w:r>
      <w:r w:rsidRPr="003015FD">
        <w:t>which</w:t>
      </w:r>
      <w:r w:rsidR="00975895" w:rsidRPr="003015FD">
        <w:t xml:space="preserve"> </w:t>
      </w:r>
      <w:r w:rsidRPr="003015FD">
        <w:t>threatens</w:t>
      </w:r>
      <w:r w:rsidR="00975895" w:rsidRPr="003015FD">
        <w:t xml:space="preserve"> </w:t>
      </w:r>
      <w:r w:rsidRPr="003015FD">
        <w:t>the</w:t>
      </w:r>
      <w:r w:rsidR="00975895" w:rsidRPr="003015FD">
        <w:t xml:space="preserve"> </w:t>
      </w:r>
      <w:r w:rsidRPr="003015FD">
        <w:t>life</w:t>
      </w:r>
      <w:r w:rsidR="00975895" w:rsidRPr="003015FD">
        <w:t xml:space="preserve"> </w:t>
      </w:r>
      <w:r w:rsidRPr="003015FD">
        <w:t>of</w:t>
      </w:r>
      <w:r w:rsidR="00975895" w:rsidRPr="003015FD">
        <w:t xml:space="preserve"> </w:t>
      </w:r>
      <w:r w:rsidRPr="003015FD">
        <w:t>the</w:t>
      </w:r>
      <w:r w:rsidR="00975895" w:rsidRPr="003015FD">
        <w:t xml:space="preserve"> </w:t>
      </w:r>
      <w:r w:rsidRPr="003015FD">
        <w:t>nation</w:t>
      </w:r>
      <w:r w:rsidR="00975895" w:rsidRPr="003015FD">
        <w:t xml:space="preserve"> </w:t>
      </w:r>
      <w:r w:rsidRPr="003015FD">
        <w:t>and</w:t>
      </w:r>
      <w:r w:rsidR="00975895" w:rsidRPr="003015FD">
        <w:t xml:space="preserve"> </w:t>
      </w:r>
      <w:r w:rsidRPr="003015FD">
        <w:t>the</w:t>
      </w:r>
      <w:r w:rsidR="00975895" w:rsidRPr="003015FD">
        <w:t xml:space="preserve"> </w:t>
      </w:r>
      <w:r w:rsidRPr="003015FD">
        <w:t>existence</w:t>
      </w:r>
      <w:r w:rsidR="00975895" w:rsidRPr="003015FD">
        <w:t xml:space="preserve"> </w:t>
      </w:r>
      <w:r w:rsidRPr="003015FD">
        <w:t>of</w:t>
      </w:r>
      <w:r w:rsidR="00975895" w:rsidRPr="003015FD">
        <w:t xml:space="preserve"> </w:t>
      </w:r>
      <w:r w:rsidRPr="003015FD">
        <w:t>which</w:t>
      </w:r>
      <w:r w:rsidR="00975895" w:rsidRPr="003015FD">
        <w:t xml:space="preserve"> </w:t>
      </w:r>
      <w:r w:rsidRPr="003015FD">
        <w:t>is</w:t>
      </w:r>
      <w:r w:rsidR="00975895" w:rsidRPr="003015FD">
        <w:t xml:space="preserve"> </w:t>
      </w:r>
      <w:r w:rsidRPr="003015FD">
        <w:t>officially</w:t>
      </w:r>
      <w:r w:rsidR="00975895" w:rsidRPr="003015FD">
        <w:t xml:space="preserve"> </w:t>
      </w:r>
      <w:r w:rsidRPr="003015FD">
        <w:t>proclaimed</w:t>
      </w:r>
      <w:r w:rsidR="00340A87">
        <w:t>”</w:t>
      </w:r>
      <w:r w:rsidRPr="003015FD">
        <w:t>.</w:t>
      </w:r>
      <w:r w:rsidRPr="004862C5">
        <w:rPr>
          <w:rStyle w:val="FootnoteReference"/>
        </w:rPr>
        <w:footnoteReference w:id="34"/>
      </w:r>
      <w:r w:rsidR="00975895" w:rsidRPr="003015FD">
        <w:t xml:space="preserve"> </w:t>
      </w:r>
    </w:p>
    <w:p w14:paraId="32438277" w14:textId="2E7558AA" w:rsidR="008E0945" w:rsidRPr="003015FD" w:rsidRDefault="008E0945" w:rsidP="0002642E">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Consultative</w:t>
      </w:r>
      <w:r w:rsidR="00975895" w:rsidRPr="003015FD">
        <w:t xml:space="preserve"> </w:t>
      </w:r>
      <w:r w:rsidRPr="003015FD">
        <w:t>Committee</w:t>
      </w:r>
      <w:r w:rsidR="00975895" w:rsidRPr="003015FD">
        <w:t xml:space="preserve"> </w:t>
      </w:r>
      <w:r w:rsidRPr="003015FD">
        <w:t>also</w:t>
      </w:r>
      <w:r w:rsidR="00975895" w:rsidRPr="003015FD">
        <w:t xml:space="preserve"> </w:t>
      </w:r>
      <w:r w:rsidRPr="003015FD">
        <w:t>strongly</w:t>
      </w:r>
      <w:r w:rsidR="00975895" w:rsidRPr="003015FD">
        <w:t xml:space="preserve"> </w:t>
      </w:r>
      <w:r w:rsidRPr="003015FD">
        <w:t>stated,</w:t>
      </w:r>
      <w:r w:rsidR="00975895" w:rsidRPr="003015FD">
        <w:t xml:space="preserve"> </w:t>
      </w:r>
      <w:r w:rsidRPr="003015FD">
        <w:t>echoing</w:t>
      </w:r>
      <w:r w:rsidR="00975895" w:rsidRPr="003015FD">
        <w:t xml:space="preserve"> </w:t>
      </w:r>
      <w:r w:rsidRPr="003015FD">
        <w:t>the</w:t>
      </w:r>
      <w:r w:rsidR="00975895" w:rsidRPr="003015FD">
        <w:t xml:space="preserve"> </w:t>
      </w:r>
      <w:r w:rsidRPr="003015FD">
        <w:t>ICCPR,</w:t>
      </w:r>
      <w:r w:rsidR="00975895" w:rsidRPr="003015FD">
        <w:t xml:space="preserve"> </w:t>
      </w:r>
      <w:r w:rsidRPr="003015FD">
        <w:t>that</w:t>
      </w:r>
      <w:r w:rsidR="00975895" w:rsidRPr="003015FD">
        <w:t xml:space="preserve"> </w:t>
      </w:r>
      <w:r w:rsidRPr="003015FD">
        <w:t>it</w:t>
      </w:r>
      <w:r w:rsidR="00975895" w:rsidRPr="003015FD">
        <w:t xml:space="preserve"> </w:t>
      </w:r>
      <w:r w:rsidRPr="003015FD">
        <w:t>would</w:t>
      </w:r>
      <w:r w:rsidR="00975895" w:rsidRPr="003015FD">
        <w:t xml:space="preserve"> </w:t>
      </w:r>
      <w:r w:rsidRPr="003015FD">
        <w:t>be</w:t>
      </w:r>
      <w:r w:rsidR="00975895" w:rsidRPr="003015FD">
        <w:t xml:space="preserve"> </w:t>
      </w:r>
      <w:r w:rsidRPr="003015FD">
        <w:t>inappropriate</w:t>
      </w:r>
      <w:r w:rsidR="00975895" w:rsidRPr="003015FD">
        <w:t xml:space="preserve"> </w:t>
      </w:r>
      <w:r w:rsidRPr="003015FD">
        <w:t>to</w:t>
      </w:r>
      <w:r w:rsidR="00975895" w:rsidRPr="003015FD">
        <w:t xml:space="preserve"> </w:t>
      </w:r>
      <w:r w:rsidRPr="003015FD">
        <w:t>use</w:t>
      </w:r>
      <w:r w:rsidR="00975895" w:rsidRPr="003015FD">
        <w:t xml:space="preserve"> </w:t>
      </w:r>
      <w:r w:rsidRPr="003015FD">
        <w:t>the</w:t>
      </w:r>
      <w:r w:rsidR="00975895" w:rsidRPr="003015FD">
        <w:t xml:space="preserve"> </w:t>
      </w:r>
      <w:r w:rsidRPr="003015FD">
        <w:t>override</w:t>
      </w:r>
      <w:r w:rsidR="00975895" w:rsidRPr="003015FD">
        <w:t xml:space="preserve"> </w:t>
      </w:r>
      <w:r w:rsidRPr="003015FD">
        <w:t>clause</w:t>
      </w:r>
      <w:r w:rsidR="00975895" w:rsidRPr="003015FD">
        <w:t xml:space="preserve"> </w:t>
      </w:r>
      <w:r w:rsidRPr="003015FD">
        <w:t>to</w:t>
      </w:r>
      <w:r w:rsidR="00975895" w:rsidRPr="003015FD">
        <w:t xml:space="preserve"> </w:t>
      </w:r>
      <w:r w:rsidRPr="003015FD">
        <w:t>sanction</w:t>
      </w:r>
      <w:r w:rsidR="00975895" w:rsidRPr="003015FD">
        <w:t xml:space="preserve"> </w:t>
      </w:r>
      <w:r w:rsidRPr="003015FD">
        <w:t>a</w:t>
      </w:r>
      <w:r w:rsidR="00975895" w:rsidRPr="003015FD">
        <w:t xml:space="preserve"> </w:t>
      </w:r>
      <w:r w:rsidRPr="003015FD">
        <w:t>breach</w:t>
      </w:r>
      <w:r w:rsidR="00975895" w:rsidRPr="003015FD">
        <w:t xml:space="preserve"> </w:t>
      </w:r>
      <w:r w:rsidRPr="003015FD">
        <w:t>of</w:t>
      </w:r>
      <w:r w:rsidR="00975895" w:rsidRPr="003015FD">
        <w:t xml:space="preserve"> </w:t>
      </w:r>
      <w:r w:rsidRPr="003015FD">
        <w:lastRenderedPageBreak/>
        <w:t>important</w:t>
      </w:r>
      <w:r w:rsidR="00975895" w:rsidRPr="003015FD">
        <w:t xml:space="preserve"> </w:t>
      </w:r>
      <w:r w:rsidRPr="003015FD">
        <w:t>rights</w:t>
      </w:r>
      <w:r w:rsidR="00975895" w:rsidRPr="003015FD">
        <w:t xml:space="preserve"> </w:t>
      </w:r>
      <w:r w:rsidRPr="003015FD">
        <w:t>such</w:t>
      </w:r>
      <w:r w:rsidR="00975895" w:rsidRPr="003015FD">
        <w:t xml:space="preserve"> </w:t>
      </w:r>
      <w:r w:rsidRPr="003015FD">
        <w:t>as</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life,</w:t>
      </w:r>
      <w:r w:rsidR="00975895" w:rsidRPr="003015FD">
        <w:t xml:space="preserve"> </w:t>
      </w:r>
      <w:r w:rsidRPr="003015FD">
        <w:t>freedom</w:t>
      </w:r>
      <w:r w:rsidR="00975895" w:rsidRPr="003015FD">
        <w:t xml:space="preserve"> </w:t>
      </w:r>
      <w:r w:rsidRPr="003015FD">
        <w:t>from</w:t>
      </w:r>
      <w:r w:rsidR="00975895" w:rsidRPr="003015FD">
        <w:t xml:space="preserve"> </w:t>
      </w:r>
      <w:r w:rsidRPr="003015FD">
        <w:t>slavery,</w:t>
      </w:r>
      <w:r w:rsidR="00975895" w:rsidRPr="003015FD">
        <w:t xml:space="preserve"> </w:t>
      </w:r>
      <w:r w:rsidRPr="003015FD">
        <w:t>freedom</w:t>
      </w:r>
      <w:r w:rsidR="00975895" w:rsidRPr="003015FD">
        <w:t xml:space="preserve"> </w:t>
      </w:r>
      <w:r w:rsidRPr="003015FD">
        <w:t>from</w:t>
      </w:r>
      <w:r w:rsidR="00975895" w:rsidRPr="003015FD">
        <w:t xml:space="preserve"> </w:t>
      </w:r>
      <w:r w:rsidRPr="003015FD">
        <w:t>torture</w:t>
      </w:r>
      <w:r w:rsidR="00975895" w:rsidRPr="003015FD">
        <w:t xml:space="preserve"> </w:t>
      </w:r>
      <w:r w:rsidRPr="003015FD">
        <w:t>and</w:t>
      </w:r>
      <w:r w:rsidR="00975895" w:rsidRPr="003015FD">
        <w:t xml:space="preserve"> </w:t>
      </w:r>
      <w:r w:rsidRPr="003015FD">
        <w:t>freedom</w:t>
      </w:r>
      <w:r w:rsidR="00975895" w:rsidRPr="003015FD">
        <w:t xml:space="preserve"> </w:t>
      </w:r>
      <w:r w:rsidRPr="003015FD">
        <w:t>of</w:t>
      </w:r>
      <w:r w:rsidR="00975895" w:rsidRPr="003015FD">
        <w:t xml:space="preserve"> </w:t>
      </w:r>
      <w:r w:rsidRPr="003015FD">
        <w:t>conscience,</w:t>
      </w:r>
      <w:r w:rsidR="00975895" w:rsidRPr="003015FD">
        <w:t xml:space="preserve"> </w:t>
      </w:r>
      <w:r w:rsidRPr="003015FD">
        <w:t>thought</w:t>
      </w:r>
      <w:r w:rsidR="00975895" w:rsidRPr="003015FD">
        <w:t xml:space="preserve"> </w:t>
      </w:r>
      <w:r w:rsidRPr="003015FD">
        <w:t>and</w:t>
      </w:r>
      <w:r w:rsidR="00975895" w:rsidRPr="003015FD">
        <w:t xml:space="preserve"> </w:t>
      </w:r>
      <w:r w:rsidRPr="003015FD">
        <w:t>religion.</w:t>
      </w:r>
      <w:r w:rsidRPr="004862C5">
        <w:rPr>
          <w:rStyle w:val="FootnoteReference"/>
        </w:rPr>
        <w:footnoteReference w:id="35"/>
      </w:r>
      <w:r w:rsidR="00975895" w:rsidRPr="003015FD">
        <w:t xml:space="preserve"> </w:t>
      </w:r>
    </w:p>
    <w:p w14:paraId="62F0E865" w14:textId="2537618C" w:rsidR="008E0945" w:rsidRPr="003015FD" w:rsidRDefault="008E0945" w:rsidP="0002642E">
      <w:r w:rsidRPr="003015FD">
        <w:t>As</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has</w:t>
      </w:r>
      <w:r w:rsidR="00975895" w:rsidRPr="003015FD">
        <w:t xml:space="preserve"> </w:t>
      </w:r>
      <w:r w:rsidRPr="003015FD">
        <w:t>previously</w:t>
      </w:r>
      <w:r w:rsidR="00975895" w:rsidRPr="003015FD">
        <w:t xml:space="preserve"> </w:t>
      </w:r>
      <w:r w:rsidRPr="003015FD">
        <w:t>observed,</w:t>
      </w:r>
      <w:r w:rsidR="00BF4BFD">
        <w:t xml:space="preserve"> </w:t>
      </w:r>
      <w:r w:rsidR="00BF4BFD" w:rsidRPr="003015FD">
        <w:t>resorting to an override declaration should only occur in extreme situations, where there is an evidence base and urgent serious risk to public security or a state of emergency.</w:t>
      </w:r>
      <w:r w:rsidRPr="004862C5">
        <w:rPr>
          <w:rStyle w:val="FootnoteReference"/>
        </w:rPr>
        <w:footnoteReference w:id="36"/>
      </w:r>
      <w:r w:rsidR="00975895" w:rsidRPr="003015FD">
        <w:t xml:space="preserve"> </w:t>
      </w:r>
    </w:p>
    <w:p w14:paraId="4F104A60" w14:textId="1753BCB2" w:rsidR="008E0945" w:rsidRPr="003015FD" w:rsidRDefault="008E0945" w:rsidP="0002642E">
      <w:r w:rsidRPr="003015FD">
        <w:t>The</w:t>
      </w:r>
      <w:r w:rsidR="00975895" w:rsidRPr="003015FD">
        <w:t xml:space="preserve"> </w:t>
      </w:r>
      <w:r w:rsidRPr="003015FD">
        <w:t>Charter</w:t>
      </w:r>
      <w:r w:rsidR="00975895" w:rsidRPr="003015FD">
        <w:t xml:space="preserve"> </w:t>
      </w:r>
      <w:r w:rsidRPr="003015FD">
        <w:t>provides</w:t>
      </w:r>
      <w:r w:rsidR="00975895" w:rsidRPr="003015FD">
        <w:t xml:space="preserve"> </w:t>
      </w:r>
      <w:r w:rsidRPr="003015FD">
        <w:t>that</w:t>
      </w:r>
      <w:r w:rsidR="00975895" w:rsidRPr="003015FD">
        <w:t xml:space="preserve"> </w:t>
      </w:r>
      <w:r w:rsidRPr="003015FD">
        <w:t>override</w:t>
      </w:r>
      <w:r w:rsidR="00975895" w:rsidRPr="003015FD">
        <w:t xml:space="preserve"> </w:t>
      </w:r>
      <w:r w:rsidRPr="003015FD">
        <w:t>declarations</w:t>
      </w:r>
      <w:r w:rsidR="00975895" w:rsidRPr="003015FD">
        <w:t xml:space="preserve"> </w:t>
      </w:r>
      <w:r w:rsidRPr="003015FD">
        <w:t>expire</w:t>
      </w:r>
      <w:r w:rsidR="00975895" w:rsidRPr="003015FD">
        <w:t xml:space="preserve"> </w:t>
      </w:r>
      <w:r w:rsidRPr="003015FD">
        <w:t>no</w:t>
      </w:r>
      <w:r w:rsidR="00975895" w:rsidRPr="003015FD">
        <w:t xml:space="preserve"> </w:t>
      </w:r>
      <w:r w:rsidRPr="003015FD">
        <w:t>later</w:t>
      </w:r>
      <w:r w:rsidR="00975895" w:rsidRPr="003015FD">
        <w:t xml:space="preserve"> </w:t>
      </w:r>
      <w:r w:rsidRPr="003015FD">
        <w:t>than</w:t>
      </w:r>
      <w:r w:rsidR="00975895" w:rsidRPr="003015FD">
        <w:t xml:space="preserve"> </w:t>
      </w:r>
      <w:r w:rsidRPr="003015FD">
        <w:t>five</w:t>
      </w:r>
      <w:r w:rsidR="00975895" w:rsidRPr="003015FD">
        <w:t xml:space="preserve"> </w:t>
      </w:r>
      <w:r w:rsidRPr="003015FD">
        <w:t>years</w:t>
      </w:r>
      <w:r w:rsidR="00975895" w:rsidRPr="003015FD">
        <w:t xml:space="preserve"> </w:t>
      </w:r>
      <w:r w:rsidRPr="003015FD">
        <w:t>after</w:t>
      </w:r>
      <w:r w:rsidR="00975895" w:rsidRPr="003015FD">
        <w:t xml:space="preserve"> </w:t>
      </w:r>
      <w:r w:rsidRPr="003015FD">
        <w:t>introduced,</w:t>
      </w:r>
      <w:r w:rsidRPr="004862C5">
        <w:rPr>
          <w:rStyle w:val="FootnoteReference"/>
        </w:rPr>
        <w:footnoteReference w:id="37"/>
      </w:r>
      <w:r w:rsidR="00975895" w:rsidRPr="003015FD">
        <w:t xml:space="preserve"> </w:t>
      </w:r>
      <w:r w:rsidRPr="003015FD">
        <w:t>which</w:t>
      </w:r>
      <w:r w:rsidR="00975895" w:rsidRPr="003015FD">
        <w:t xml:space="preserve"> </w:t>
      </w:r>
      <w:r w:rsidRPr="003015FD">
        <w:t>means</w:t>
      </w:r>
      <w:r w:rsidR="00975895" w:rsidRPr="003015FD">
        <w:t xml:space="preserve"> </w:t>
      </w:r>
      <w:r w:rsidRPr="003015FD">
        <w:t>that</w:t>
      </w:r>
      <w:r w:rsidR="00975895" w:rsidRPr="003015FD">
        <w:t xml:space="preserve"> </w:t>
      </w:r>
      <w:r w:rsidRPr="003015FD">
        <w:t>a</w:t>
      </w:r>
      <w:r w:rsidR="00975895" w:rsidRPr="003015FD">
        <w:t xml:space="preserve"> </w:t>
      </w:r>
      <w:r w:rsidRPr="003015FD">
        <w:t>decision</w:t>
      </w:r>
      <w:r w:rsidR="00975895" w:rsidRPr="003015FD">
        <w:t xml:space="preserve"> </w:t>
      </w:r>
      <w:r w:rsidRPr="003015FD">
        <w:t>to</w:t>
      </w:r>
      <w:r w:rsidR="00975895" w:rsidRPr="003015FD">
        <w:t xml:space="preserve"> </w:t>
      </w:r>
      <w:r w:rsidRPr="003015FD">
        <w:t>re-enact</w:t>
      </w:r>
      <w:r w:rsidR="00975895" w:rsidRPr="003015FD">
        <w:t xml:space="preserve"> </w:t>
      </w:r>
      <w:r w:rsidRPr="003015FD">
        <w:t>an</w:t>
      </w:r>
      <w:r w:rsidR="00975895" w:rsidRPr="003015FD">
        <w:t xml:space="preserve"> </w:t>
      </w:r>
      <w:r w:rsidRPr="003015FD">
        <w:t>override</w:t>
      </w:r>
      <w:r w:rsidR="00975895" w:rsidRPr="003015FD">
        <w:t xml:space="preserve"> </w:t>
      </w:r>
      <w:r w:rsidRPr="003015FD">
        <w:t>declaration</w:t>
      </w:r>
      <w:r w:rsidR="00975895" w:rsidRPr="003015FD">
        <w:t xml:space="preserve"> </w:t>
      </w:r>
      <w:r w:rsidRPr="003015FD">
        <w:t>is</w:t>
      </w:r>
      <w:r w:rsidR="00975895" w:rsidRPr="003015FD">
        <w:t xml:space="preserve"> </w:t>
      </w:r>
      <w:r w:rsidRPr="003015FD">
        <w:t>subject</w:t>
      </w:r>
      <w:r w:rsidR="00975895" w:rsidRPr="003015FD">
        <w:t xml:space="preserve"> </w:t>
      </w:r>
      <w:r w:rsidRPr="003015FD">
        <w:t>to</w:t>
      </w:r>
      <w:r w:rsidR="00975895" w:rsidRPr="003015FD">
        <w:t xml:space="preserve"> </w:t>
      </w:r>
      <w:r w:rsidRPr="003015FD">
        <w:t>review</w:t>
      </w:r>
      <w:r w:rsidR="00975895" w:rsidRPr="003015FD">
        <w:t xml:space="preserve"> </w:t>
      </w:r>
      <w:r w:rsidRPr="003015FD">
        <w:t>and</w:t>
      </w:r>
      <w:r w:rsidR="00975895" w:rsidRPr="003015FD">
        <w:t xml:space="preserve"> </w:t>
      </w:r>
      <w:r w:rsidRPr="003015FD">
        <w:t>public</w:t>
      </w:r>
      <w:r w:rsidR="00975895" w:rsidRPr="003015FD">
        <w:t xml:space="preserve"> </w:t>
      </w:r>
      <w:r w:rsidRPr="003015FD">
        <w:t>scrutiny.</w:t>
      </w:r>
      <w:r w:rsidRPr="004862C5">
        <w:rPr>
          <w:rStyle w:val="FootnoteReference"/>
        </w:rPr>
        <w:footnoteReference w:id="38"/>
      </w:r>
      <w:r w:rsidR="00975895" w:rsidRPr="003015FD">
        <w:t xml:space="preserve"> </w:t>
      </w:r>
      <w:r w:rsidRPr="003015FD">
        <w:t>However,</w:t>
      </w:r>
      <w:r w:rsidR="00975895" w:rsidRPr="003015FD">
        <w:t xml:space="preserve"> </w:t>
      </w:r>
      <w:r w:rsidRPr="003015FD">
        <w:t>often</w:t>
      </w:r>
      <w:r w:rsidR="00975895" w:rsidRPr="003015FD">
        <w:t xml:space="preserve"> </w:t>
      </w:r>
      <w:r w:rsidRPr="003015FD">
        <w:t>this</w:t>
      </w:r>
      <w:r w:rsidR="00975895" w:rsidRPr="003015FD">
        <w:t xml:space="preserve"> </w:t>
      </w:r>
      <w:r w:rsidRPr="003015FD">
        <w:t>default</w:t>
      </w:r>
      <w:r w:rsidR="00975895" w:rsidRPr="003015FD">
        <w:t xml:space="preserve"> </w:t>
      </w:r>
      <w:r w:rsidRPr="003015FD">
        <w:t>expiry</w:t>
      </w:r>
      <w:r w:rsidR="00975895" w:rsidRPr="003015FD">
        <w:t xml:space="preserve"> </w:t>
      </w:r>
      <w:r w:rsidRPr="003015FD">
        <w:t>is</w:t>
      </w:r>
      <w:r w:rsidR="00975895" w:rsidRPr="003015FD">
        <w:t xml:space="preserve"> </w:t>
      </w:r>
      <w:r w:rsidRPr="003015FD">
        <w:t>removed</w:t>
      </w:r>
      <w:r w:rsidR="00975895" w:rsidRPr="003015FD">
        <w:t xml:space="preserve"> </w:t>
      </w:r>
      <w:r w:rsidRPr="003015FD">
        <w:t>by</w:t>
      </w:r>
      <w:r w:rsidR="00975895" w:rsidRPr="003015FD">
        <w:t xml:space="preserve"> </w:t>
      </w:r>
      <w:r w:rsidRPr="003015FD">
        <w:t>the</w:t>
      </w:r>
      <w:r w:rsidR="00975895" w:rsidRPr="003015FD">
        <w:t xml:space="preserve"> </w:t>
      </w:r>
      <w:r w:rsidRPr="003015FD">
        <w:t>legislation.</w:t>
      </w:r>
      <w:r w:rsidR="00975895" w:rsidRPr="003015FD">
        <w:t xml:space="preserve"> </w:t>
      </w:r>
    </w:p>
    <w:p w14:paraId="3F021CFE" w14:textId="3830294B" w:rsidR="008E0945" w:rsidRPr="003015FD" w:rsidRDefault="008E0945" w:rsidP="0002642E">
      <w:r w:rsidRPr="003015FD">
        <w:t>One</w:t>
      </w:r>
      <w:r w:rsidR="00975895" w:rsidRPr="003015FD">
        <w:t xml:space="preserve"> </w:t>
      </w:r>
      <w:r w:rsidRPr="003015FD">
        <w:t>of</w:t>
      </w:r>
      <w:r w:rsidR="00975895" w:rsidRPr="003015FD">
        <w:t xml:space="preserve"> </w:t>
      </w:r>
      <w:r w:rsidRPr="003015FD">
        <w:t>the</w:t>
      </w:r>
      <w:r w:rsidR="00975895" w:rsidRPr="003015FD">
        <w:t xml:space="preserve"> </w:t>
      </w:r>
      <w:r w:rsidRPr="003015FD">
        <w:t>functions</w:t>
      </w:r>
      <w:r w:rsidR="00975895" w:rsidRPr="003015FD">
        <w:t xml:space="preserve"> </w:t>
      </w:r>
      <w:r w:rsidRPr="003015FD">
        <w:t>of</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00975895" w:rsidRPr="003015FD">
        <w:t xml:space="preserve"> </w:t>
      </w:r>
      <w:r w:rsidRPr="003015FD">
        <w:t>is</w:t>
      </w:r>
      <w:r w:rsidR="00975895" w:rsidRPr="003015FD">
        <w:t xml:space="preserve"> </w:t>
      </w:r>
      <w:r w:rsidRPr="003015FD">
        <w:t>to</w:t>
      </w:r>
      <w:r w:rsidR="00975895" w:rsidRPr="003015FD">
        <w:t xml:space="preserve"> </w:t>
      </w:r>
      <w:r w:rsidRPr="003015FD">
        <w:t>provide</w:t>
      </w:r>
      <w:r w:rsidR="00975895" w:rsidRPr="003015FD">
        <w:t xml:space="preserve"> </w:t>
      </w:r>
      <w:r w:rsidRPr="003015FD">
        <w:t>a</w:t>
      </w:r>
      <w:r w:rsidR="00975895" w:rsidRPr="003015FD">
        <w:t xml:space="preserve"> </w:t>
      </w:r>
      <w:r w:rsidRPr="003015FD">
        <w:t>report</w:t>
      </w:r>
      <w:r w:rsidR="00975895" w:rsidRPr="003015FD">
        <w:t xml:space="preserve"> </w:t>
      </w:r>
      <w:r w:rsidRPr="003015FD">
        <w:t>to</w:t>
      </w:r>
      <w:r w:rsidR="00975895" w:rsidRPr="003015FD">
        <w:t xml:space="preserve"> </w:t>
      </w:r>
      <w:r w:rsidRPr="003015FD">
        <w:t>the</w:t>
      </w:r>
      <w:r w:rsidR="00975895" w:rsidRPr="003015FD">
        <w:t xml:space="preserve"> </w:t>
      </w:r>
      <w:r w:rsidRPr="003015FD">
        <w:t>Attorney-General</w:t>
      </w:r>
      <w:r w:rsidR="00975895" w:rsidRPr="003015FD">
        <w:t xml:space="preserve"> </w:t>
      </w:r>
      <w:r w:rsidRPr="003015FD">
        <w:t>that</w:t>
      </w:r>
      <w:r w:rsidR="00975895" w:rsidRPr="003015FD">
        <w:t xml:space="preserve"> </w:t>
      </w:r>
      <w:r w:rsidRPr="003015FD">
        <w:t>examines</w:t>
      </w:r>
      <w:r w:rsidR="00975895" w:rsidRPr="003015FD">
        <w:t xml:space="preserve"> </w:t>
      </w:r>
      <w:r w:rsidRPr="003015FD">
        <w:t>all</w:t>
      </w:r>
      <w:r w:rsidR="00975895" w:rsidRPr="003015FD">
        <w:t xml:space="preserve"> </w:t>
      </w:r>
      <w:r w:rsidRPr="003015FD">
        <w:t>override</w:t>
      </w:r>
      <w:r w:rsidR="00975895" w:rsidRPr="003015FD">
        <w:t xml:space="preserve"> </w:t>
      </w:r>
      <w:r w:rsidRPr="003015FD">
        <w:t>declarations</w:t>
      </w:r>
      <w:r w:rsidR="00975895" w:rsidRPr="003015FD">
        <w:t xml:space="preserve"> </w:t>
      </w:r>
      <w:r w:rsidRPr="003015FD">
        <w:t>made</w:t>
      </w:r>
      <w:r w:rsidR="00975895" w:rsidRPr="003015FD">
        <w:t xml:space="preserve"> </w:t>
      </w:r>
      <w:r w:rsidRPr="003015FD">
        <w:t>during</w:t>
      </w:r>
      <w:r w:rsidR="00975895" w:rsidRPr="003015FD">
        <w:t xml:space="preserve"> </w:t>
      </w:r>
      <w:r w:rsidRPr="003015FD">
        <w:t>the</w:t>
      </w:r>
      <w:r w:rsidR="00975895" w:rsidRPr="003015FD">
        <w:t xml:space="preserve"> </w:t>
      </w:r>
      <w:r w:rsidRPr="003015FD">
        <w:t>relevant</w:t>
      </w:r>
      <w:r w:rsidR="00975895" w:rsidRPr="003015FD">
        <w:t xml:space="preserve"> </w:t>
      </w:r>
      <w:r w:rsidRPr="003015FD">
        <w:t>year.</w:t>
      </w:r>
      <w:r w:rsidRPr="004862C5">
        <w:rPr>
          <w:rStyle w:val="FootnoteReference"/>
        </w:rPr>
        <w:footnoteReference w:id="39"/>
      </w:r>
      <w:r w:rsidR="00975895" w:rsidRPr="003015FD">
        <w:t xml:space="preserve"> </w:t>
      </w:r>
      <w:r w:rsidRPr="003015FD">
        <w:t>In</w:t>
      </w:r>
      <w:r w:rsidR="00975895" w:rsidRPr="003015FD">
        <w:t xml:space="preserve"> </w:t>
      </w:r>
      <w:r w:rsidRPr="003015FD">
        <w:t>total,</w:t>
      </w:r>
      <w:r w:rsidR="00975895" w:rsidRPr="003015FD">
        <w:t xml:space="preserve"> </w:t>
      </w:r>
      <w:r w:rsidRPr="003015FD">
        <w:t>four</w:t>
      </w:r>
      <w:r w:rsidR="00975895" w:rsidRPr="003015FD">
        <w:t xml:space="preserve"> </w:t>
      </w:r>
      <w:r w:rsidRPr="003015FD">
        <w:t>override</w:t>
      </w:r>
      <w:r w:rsidR="00975895" w:rsidRPr="003015FD">
        <w:t xml:space="preserve"> </w:t>
      </w:r>
      <w:r w:rsidRPr="003015FD">
        <w:t>declarations</w:t>
      </w:r>
      <w:r w:rsidR="00975895" w:rsidRPr="003015FD">
        <w:t xml:space="preserve"> </w:t>
      </w:r>
      <w:r w:rsidRPr="003015FD">
        <w:t>have</w:t>
      </w:r>
      <w:r w:rsidR="00975895" w:rsidRPr="003015FD">
        <w:t xml:space="preserve"> </w:t>
      </w:r>
      <w:r w:rsidRPr="003015FD">
        <w:t>been</w:t>
      </w:r>
      <w:r w:rsidR="00975895" w:rsidRPr="003015FD">
        <w:t xml:space="preserve"> </w:t>
      </w:r>
      <w:r w:rsidRPr="003015FD">
        <w:t>included</w:t>
      </w:r>
      <w:r w:rsidR="00975895" w:rsidRPr="003015FD">
        <w:t xml:space="preserve"> </w:t>
      </w:r>
      <w:r w:rsidRPr="003015FD">
        <w:t>in</w:t>
      </w:r>
      <w:r w:rsidR="00975895" w:rsidRPr="003015FD">
        <w:t xml:space="preserve"> </w:t>
      </w:r>
      <w:r w:rsidRPr="003015FD">
        <w:t>Victorian</w:t>
      </w:r>
      <w:r w:rsidR="00975895" w:rsidRPr="003015FD">
        <w:t xml:space="preserve"> </w:t>
      </w:r>
      <w:r w:rsidRPr="003015FD">
        <w:t>Bills</w:t>
      </w:r>
      <w:r w:rsidR="00975895" w:rsidRPr="003015FD">
        <w:t xml:space="preserve"> </w:t>
      </w:r>
      <w:r w:rsidRPr="003015FD">
        <w:t>since</w:t>
      </w:r>
      <w:r w:rsidR="00975895" w:rsidRPr="003015FD">
        <w:t xml:space="preserve"> </w:t>
      </w:r>
      <w:r w:rsidRPr="003015FD">
        <w:t>the</w:t>
      </w:r>
      <w:r w:rsidR="00975895" w:rsidRPr="003015FD">
        <w:t xml:space="preserve"> </w:t>
      </w:r>
      <w:r w:rsidRPr="003015FD">
        <w:t>Charter</w:t>
      </w:r>
      <w:r w:rsidR="00975895" w:rsidRPr="003015FD">
        <w:t xml:space="preserve"> </w:t>
      </w:r>
      <w:r w:rsidRPr="003015FD">
        <w:t>was</w:t>
      </w:r>
      <w:r w:rsidR="00975895" w:rsidRPr="003015FD">
        <w:t xml:space="preserve"> </w:t>
      </w:r>
      <w:r w:rsidRPr="003015FD">
        <w:t>enacted</w:t>
      </w:r>
      <w:r w:rsidR="00975895" w:rsidRPr="003015FD">
        <w:t xml:space="preserve"> </w:t>
      </w:r>
      <w:r w:rsidRPr="003015FD">
        <w:t>(refer</w:t>
      </w:r>
      <w:r w:rsidR="00975895" w:rsidRPr="003015FD">
        <w:t xml:space="preserve"> </w:t>
      </w:r>
      <w:r w:rsidRPr="003015FD">
        <w:t>to</w:t>
      </w:r>
      <w:r w:rsidR="00975895" w:rsidRPr="003015FD">
        <w:t xml:space="preserve"> </w:t>
      </w:r>
      <w:r w:rsidR="003B428A">
        <w:t>Table 4</w:t>
      </w:r>
      <w:r w:rsidR="00975895" w:rsidRPr="003015FD">
        <w:t xml:space="preserve"> </w:t>
      </w:r>
      <w:r w:rsidRPr="003015FD">
        <w:t>below).</w:t>
      </w:r>
      <w:r w:rsidR="00975895" w:rsidRPr="003015FD">
        <w:t xml:space="preserve"> </w:t>
      </w:r>
      <w:r w:rsidRPr="003015FD">
        <w:t>None</w:t>
      </w:r>
      <w:r w:rsidR="00975895" w:rsidRPr="003015FD">
        <w:t xml:space="preserve"> </w:t>
      </w:r>
      <w:r w:rsidRPr="003015FD">
        <w:t>of</w:t>
      </w:r>
      <w:r w:rsidR="00975895" w:rsidRPr="003015FD">
        <w:t xml:space="preserve"> </w:t>
      </w:r>
      <w:r w:rsidRPr="003015FD">
        <w:t>these</w:t>
      </w:r>
      <w:r w:rsidR="00975895" w:rsidRPr="003015FD">
        <w:t xml:space="preserve"> </w:t>
      </w:r>
      <w:r w:rsidRPr="003015FD">
        <w:t>override</w:t>
      </w:r>
      <w:r w:rsidR="00975895" w:rsidRPr="003015FD">
        <w:t xml:space="preserve"> </w:t>
      </w:r>
      <w:r w:rsidRPr="003015FD">
        <w:t>declarations</w:t>
      </w:r>
      <w:r w:rsidR="00975895" w:rsidRPr="003015FD">
        <w:t xml:space="preserve"> </w:t>
      </w:r>
      <w:r w:rsidRPr="003015FD">
        <w:t>appear</w:t>
      </w:r>
      <w:r w:rsidR="00975895" w:rsidRPr="003015FD">
        <w:t xml:space="preserve"> </w:t>
      </w:r>
      <w:r w:rsidRPr="003015FD">
        <w:t>to</w:t>
      </w:r>
      <w:r w:rsidR="00975895" w:rsidRPr="003015FD">
        <w:t xml:space="preserve"> </w:t>
      </w:r>
      <w:r w:rsidRPr="003015FD">
        <w:t>have</w:t>
      </w:r>
      <w:r w:rsidR="00975895" w:rsidRPr="003015FD">
        <w:t xml:space="preserve"> </w:t>
      </w:r>
      <w:r w:rsidRPr="003015FD">
        <w:t>involved</w:t>
      </w:r>
      <w:r w:rsidR="00975895" w:rsidRPr="003015FD">
        <w:t xml:space="preserve"> </w:t>
      </w:r>
      <w:r w:rsidRPr="003015FD">
        <w:t>exceptional</w:t>
      </w:r>
      <w:r w:rsidR="00975895" w:rsidRPr="003015FD">
        <w:t xml:space="preserve"> </w:t>
      </w:r>
      <w:r w:rsidRPr="003015FD">
        <w:t>circumstances,</w:t>
      </w:r>
      <w:r w:rsidR="00975895" w:rsidRPr="003015FD">
        <w:t xml:space="preserve"> </w:t>
      </w:r>
      <w:r w:rsidRPr="003015FD">
        <w:t>in</w:t>
      </w:r>
      <w:r w:rsidR="00975895" w:rsidRPr="003015FD">
        <w:t xml:space="preserve"> </w:t>
      </w:r>
      <w:r w:rsidRPr="003015FD">
        <w:t>the</w:t>
      </w:r>
      <w:r w:rsidR="00975895" w:rsidRPr="003015FD">
        <w:t xml:space="preserve"> </w:t>
      </w:r>
      <w:r w:rsidRPr="003015FD">
        <w:t>sense</w:t>
      </w:r>
      <w:r w:rsidR="00975895" w:rsidRPr="003015FD">
        <w:t xml:space="preserve"> </w:t>
      </w:r>
      <w:r w:rsidRPr="003015FD">
        <w:t>of</w:t>
      </w:r>
      <w:r w:rsidR="00975895" w:rsidRPr="003015FD">
        <w:t xml:space="preserve"> </w:t>
      </w:r>
      <w:r w:rsidRPr="003015FD">
        <w:t>constituting</w:t>
      </w:r>
      <w:r w:rsidR="00975895" w:rsidRPr="003015FD">
        <w:t xml:space="preserve"> </w:t>
      </w:r>
      <w:r w:rsidRPr="003015FD">
        <w:t>a</w:t>
      </w:r>
      <w:r w:rsidR="00975895" w:rsidRPr="003015FD">
        <w:t xml:space="preserve"> </w:t>
      </w:r>
      <w:r w:rsidRPr="003015FD">
        <w:t>serious</w:t>
      </w:r>
      <w:r w:rsidR="00975895" w:rsidRPr="003015FD">
        <w:t xml:space="preserve"> </w:t>
      </w:r>
      <w:r w:rsidRPr="003015FD">
        <w:t>threat</w:t>
      </w:r>
      <w:r w:rsidR="00975895" w:rsidRPr="003015FD">
        <w:t xml:space="preserve"> </w:t>
      </w:r>
      <w:r w:rsidRPr="003015FD">
        <w:t>to</w:t>
      </w:r>
      <w:r w:rsidR="00975895" w:rsidRPr="003015FD">
        <w:t xml:space="preserve"> </w:t>
      </w:r>
      <w:r w:rsidRPr="003015FD">
        <w:t>national</w:t>
      </w:r>
      <w:r w:rsidR="00975895" w:rsidRPr="003015FD">
        <w:t xml:space="preserve"> </w:t>
      </w:r>
      <w:r w:rsidRPr="003015FD">
        <w:t>security</w:t>
      </w:r>
      <w:r w:rsidR="00975895" w:rsidRPr="003015FD">
        <w:t xml:space="preserve"> </w:t>
      </w:r>
      <w:r w:rsidRPr="003015FD">
        <w:t>or</w:t>
      </w:r>
      <w:r w:rsidR="00975895" w:rsidRPr="003015FD">
        <w:t xml:space="preserve"> </w:t>
      </w:r>
      <w:r w:rsidRPr="003015FD">
        <w:t>a</w:t>
      </w:r>
      <w:r w:rsidR="00975895" w:rsidRPr="003015FD">
        <w:t xml:space="preserve"> </w:t>
      </w:r>
      <w:r w:rsidRPr="003015FD">
        <w:t>state</w:t>
      </w:r>
      <w:r w:rsidR="00975895" w:rsidRPr="003015FD">
        <w:t xml:space="preserve"> </w:t>
      </w:r>
      <w:r w:rsidRPr="003015FD">
        <w:t>of</w:t>
      </w:r>
      <w:r w:rsidR="00975895" w:rsidRPr="003015FD">
        <w:t xml:space="preserve"> </w:t>
      </w:r>
      <w:r w:rsidRPr="003015FD">
        <w:t>emergency.</w:t>
      </w:r>
      <w:r w:rsidRPr="004862C5">
        <w:rPr>
          <w:rStyle w:val="FootnoteReference"/>
        </w:rPr>
        <w:footnoteReference w:id="40"/>
      </w:r>
      <w:r w:rsidR="00975895" w:rsidRPr="003015FD">
        <w:t xml:space="preserve"> </w:t>
      </w:r>
      <w:r w:rsidRPr="003015FD">
        <w:t>Further,</w:t>
      </w:r>
      <w:r w:rsidR="00975895" w:rsidRPr="003015FD">
        <w:t xml:space="preserve"> </w:t>
      </w:r>
      <w:r w:rsidRPr="003015FD">
        <w:t>three</w:t>
      </w:r>
      <w:r w:rsidR="00975895" w:rsidRPr="003015FD">
        <w:t xml:space="preserve"> </w:t>
      </w:r>
      <w:r w:rsidRPr="003015FD">
        <w:t>of</w:t>
      </w:r>
      <w:r w:rsidR="00975895" w:rsidRPr="003015FD">
        <w:t xml:space="preserve"> </w:t>
      </w:r>
      <w:r w:rsidRPr="003015FD">
        <w:t>the</w:t>
      </w:r>
      <w:r w:rsidR="00975895" w:rsidRPr="003015FD">
        <w:t xml:space="preserve"> </w:t>
      </w:r>
      <w:r w:rsidRPr="003015FD">
        <w:t>overrides</w:t>
      </w:r>
      <w:r w:rsidR="00975895" w:rsidRPr="003015FD">
        <w:t xml:space="preserve"> </w:t>
      </w:r>
      <w:r w:rsidRPr="003015FD">
        <w:t>have</w:t>
      </w:r>
      <w:r w:rsidR="00975895" w:rsidRPr="003015FD">
        <w:t xml:space="preserve"> </w:t>
      </w:r>
      <w:r w:rsidRPr="003015FD">
        <w:t>provided</w:t>
      </w:r>
      <w:r w:rsidR="00975895" w:rsidRPr="003015FD">
        <w:t xml:space="preserve"> </w:t>
      </w:r>
      <w:r w:rsidRPr="003015FD">
        <w:t>for</w:t>
      </w:r>
      <w:r w:rsidR="00975895" w:rsidRPr="003015FD">
        <w:t xml:space="preserve"> </w:t>
      </w:r>
      <w:r w:rsidRPr="003015FD">
        <w:t>perpetual,</w:t>
      </w:r>
      <w:r w:rsidR="00975895" w:rsidRPr="003015FD">
        <w:t xml:space="preserve"> </w:t>
      </w:r>
      <w:r w:rsidRPr="003015FD">
        <w:t>ongoing</w:t>
      </w:r>
      <w:r w:rsidR="00975895" w:rsidRPr="003015FD">
        <w:t xml:space="preserve"> </w:t>
      </w:r>
      <w:r w:rsidRPr="003015FD">
        <w:t>regimes</w:t>
      </w:r>
      <w:r w:rsidR="00975895" w:rsidRPr="003015FD">
        <w:t xml:space="preserve"> </w:t>
      </w:r>
      <w:r w:rsidRPr="003015FD">
        <w:t>of</w:t>
      </w:r>
      <w:r w:rsidR="00975895" w:rsidRPr="003015FD">
        <w:t xml:space="preserve"> </w:t>
      </w:r>
      <w:r w:rsidRPr="003015FD">
        <w:t>detention</w:t>
      </w:r>
      <w:r w:rsidR="00975895" w:rsidRPr="003015FD">
        <w:t xml:space="preserve"> </w:t>
      </w:r>
      <w:r w:rsidRPr="003015FD">
        <w:t>of</w:t>
      </w:r>
      <w:r w:rsidR="00975895" w:rsidRPr="003015FD">
        <w:t xml:space="preserve"> </w:t>
      </w:r>
      <w:r w:rsidRPr="003015FD">
        <w:t>individual</w:t>
      </w:r>
      <w:r w:rsidR="00975895" w:rsidRPr="003015FD">
        <w:t xml:space="preserve"> </w:t>
      </w:r>
      <w:r w:rsidRPr="003015FD">
        <w:t>prisoners,</w:t>
      </w:r>
      <w:r w:rsidR="00975895" w:rsidRPr="003015FD">
        <w:t xml:space="preserve"> </w:t>
      </w:r>
      <w:r w:rsidRPr="003015FD">
        <w:t>including</w:t>
      </w:r>
      <w:r w:rsidR="00975895" w:rsidRPr="003015FD">
        <w:t xml:space="preserve"> </w:t>
      </w:r>
      <w:r w:rsidRPr="003015FD">
        <w:t>the</w:t>
      </w:r>
      <w:r w:rsidR="00975895" w:rsidRPr="003015FD">
        <w:t xml:space="preserve"> </w:t>
      </w:r>
      <w:r w:rsidRPr="003015FD">
        <w:t>most</w:t>
      </w:r>
      <w:r w:rsidR="00975895" w:rsidRPr="003015FD">
        <w:t xml:space="preserve"> </w:t>
      </w:r>
      <w:r w:rsidRPr="003015FD">
        <w:t>recent</w:t>
      </w:r>
      <w:r w:rsidR="00975895" w:rsidRPr="003015FD">
        <w:t xml:space="preserve"> </w:t>
      </w:r>
      <w:r w:rsidRPr="003015FD">
        <w:t>override</w:t>
      </w:r>
      <w:r w:rsidR="00975895" w:rsidRPr="003015FD">
        <w:t xml:space="preserve"> </w:t>
      </w:r>
      <w:r w:rsidRPr="003015FD">
        <w:t>declaration</w:t>
      </w:r>
      <w:r w:rsidR="00975895" w:rsidRPr="003015FD">
        <w:t xml:space="preserve"> </w:t>
      </w:r>
      <w:r w:rsidRPr="003015FD">
        <w:t>discussed</w:t>
      </w:r>
      <w:r w:rsidR="00975895" w:rsidRPr="003015FD">
        <w:t xml:space="preserve"> </w:t>
      </w:r>
      <w:r w:rsidRPr="003015FD">
        <w:t>below.</w:t>
      </w:r>
      <w:r w:rsidRPr="004862C5">
        <w:rPr>
          <w:rStyle w:val="FootnoteReference"/>
        </w:rPr>
        <w:footnoteReference w:id="41"/>
      </w:r>
      <w:r w:rsidR="00975895" w:rsidRPr="003015FD">
        <w:t xml:space="preserve"> </w:t>
      </w:r>
      <w:r w:rsidRPr="003015FD">
        <w:t>The</w:t>
      </w:r>
      <w:r w:rsidR="00975895" w:rsidRPr="003015FD">
        <w:t xml:space="preserve"> </w:t>
      </w:r>
      <w:r w:rsidRPr="003015FD">
        <w:t>Commission</w:t>
      </w:r>
      <w:r w:rsidR="00975895" w:rsidRPr="003015FD">
        <w:t xml:space="preserve"> </w:t>
      </w:r>
      <w:r w:rsidRPr="003015FD">
        <w:t>is</w:t>
      </w:r>
      <w:r w:rsidR="00975895" w:rsidRPr="003015FD">
        <w:t xml:space="preserve"> </w:t>
      </w:r>
      <w:r w:rsidRPr="003015FD">
        <w:t>of</w:t>
      </w:r>
      <w:r w:rsidR="00975895" w:rsidRPr="003015FD">
        <w:t xml:space="preserve"> </w:t>
      </w:r>
      <w:r w:rsidRPr="003015FD">
        <w:t>the</w:t>
      </w:r>
      <w:r w:rsidR="00975895" w:rsidRPr="003015FD">
        <w:t xml:space="preserve"> </w:t>
      </w:r>
      <w:r w:rsidRPr="003015FD">
        <w:t>view</w:t>
      </w:r>
      <w:r w:rsidR="00975895" w:rsidRPr="003015FD">
        <w:t xml:space="preserve"> </w:t>
      </w:r>
      <w:r w:rsidRPr="003015FD">
        <w:t>that</w:t>
      </w:r>
      <w:r w:rsidR="00975895" w:rsidRPr="003015FD">
        <w:t xml:space="preserve"> </w:t>
      </w:r>
      <w:r w:rsidRPr="003015FD">
        <w:t>all</w:t>
      </w:r>
      <w:r w:rsidR="00975895" w:rsidRPr="003015FD">
        <w:t xml:space="preserve"> </w:t>
      </w:r>
      <w:r w:rsidRPr="003015FD">
        <w:t>override</w:t>
      </w:r>
      <w:r w:rsidR="00975895" w:rsidRPr="003015FD">
        <w:t xml:space="preserve"> </w:t>
      </w:r>
      <w:r w:rsidRPr="003015FD">
        <w:t>declarations</w:t>
      </w:r>
      <w:r w:rsidR="00975895" w:rsidRPr="003015FD">
        <w:t xml:space="preserve"> </w:t>
      </w:r>
      <w:r w:rsidRPr="003015FD">
        <w:t>should</w:t>
      </w:r>
      <w:r w:rsidR="00975895" w:rsidRPr="003015FD">
        <w:t xml:space="preserve"> </w:t>
      </w:r>
      <w:r w:rsidRPr="003015FD">
        <w:t>be</w:t>
      </w:r>
      <w:r w:rsidR="00975895" w:rsidRPr="003015FD">
        <w:t xml:space="preserve"> </w:t>
      </w:r>
      <w:r w:rsidRPr="003015FD">
        <w:t>constrained</w:t>
      </w:r>
      <w:r w:rsidR="00975895" w:rsidRPr="003015FD">
        <w:t xml:space="preserve"> </w:t>
      </w:r>
      <w:r w:rsidRPr="003015FD">
        <w:t>by</w:t>
      </w:r>
      <w:r w:rsidR="00975895" w:rsidRPr="003015FD">
        <w:t xml:space="preserve"> </w:t>
      </w:r>
      <w:r w:rsidRPr="003015FD">
        <w:t>a</w:t>
      </w:r>
      <w:r w:rsidR="00975895" w:rsidRPr="003015FD">
        <w:t xml:space="preserve"> </w:t>
      </w:r>
      <w:r w:rsidRPr="003015FD">
        <w:t>sunset</w:t>
      </w:r>
      <w:r w:rsidR="00975895" w:rsidRPr="003015FD">
        <w:t xml:space="preserve"> </w:t>
      </w:r>
      <w:r w:rsidRPr="003015FD">
        <w:t>clause</w:t>
      </w:r>
      <w:r w:rsidR="00975895" w:rsidRPr="003015FD">
        <w:t xml:space="preserve"> </w:t>
      </w:r>
      <w:r w:rsidRPr="003015FD">
        <w:t>to</w:t>
      </w:r>
      <w:r w:rsidR="00975895" w:rsidRPr="003015FD">
        <w:t xml:space="preserve"> </w:t>
      </w:r>
      <w:r w:rsidRPr="003015FD">
        <w:t>allow</w:t>
      </w:r>
      <w:r w:rsidR="00975895" w:rsidRPr="003015FD">
        <w:t xml:space="preserve"> </w:t>
      </w:r>
      <w:r w:rsidRPr="003015FD">
        <w:t>for</w:t>
      </w:r>
      <w:r w:rsidR="00975895" w:rsidRPr="003015FD">
        <w:t xml:space="preserve"> </w:t>
      </w:r>
      <w:r w:rsidRPr="003015FD">
        <w:t>transparency</w:t>
      </w:r>
      <w:r w:rsidR="00975895" w:rsidRPr="003015FD">
        <w:t xml:space="preserve"> </w:t>
      </w:r>
      <w:r w:rsidRPr="003015FD">
        <w:t>and</w:t>
      </w:r>
      <w:r w:rsidR="00975895" w:rsidRPr="003015FD">
        <w:t xml:space="preserve"> </w:t>
      </w:r>
      <w:r w:rsidRPr="003015FD">
        <w:t>debate</w:t>
      </w:r>
      <w:r w:rsidR="00975895" w:rsidRPr="003015FD">
        <w:t xml:space="preserve"> </w:t>
      </w:r>
      <w:r w:rsidRPr="003015FD">
        <w:t>as</w:t>
      </w:r>
      <w:r w:rsidR="00975895" w:rsidRPr="003015FD">
        <w:t xml:space="preserve"> </w:t>
      </w:r>
      <w:r w:rsidRPr="003015FD">
        <w:t>to</w:t>
      </w:r>
      <w:r w:rsidR="00975895" w:rsidRPr="003015FD">
        <w:t xml:space="preserve"> </w:t>
      </w:r>
      <w:r w:rsidRPr="003015FD">
        <w:t>whether</w:t>
      </w:r>
      <w:r w:rsidR="00975895" w:rsidRPr="003015FD">
        <w:t xml:space="preserve"> </w:t>
      </w:r>
      <w:r w:rsidR="00BF4BFD">
        <w:t>they</w:t>
      </w:r>
      <w:r w:rsidR="00BF4BFD" w:rsidRPr="003015FD">
        <w:t xml:space="preserve"> </w:t>
      </w:r>
      <w:r w:rsidRPr="003015FD">
        <w:t>should</w:t>
      </w:r>
      <w:r w:rsidR="00975895" w:rsidRPr="003015FD">
        <w:t xml:space="preserve"> </w:t>
      </w:r>
      <w:r w:rsidRPr="003015FD">
        <w:t>be</w:t>
      </w:r>
      <w:r w:rsidR="00975895" w:rsidRPr="003015FD">
        <w:t xml:space="preserve"> </w:t>
      </w:r>
      <w:r w:rsidRPr="003015FD">
        <w:t>re-enacted.</w:t>
      </w:r>
    </w:p>
    <w:p w14:paraId="4F1F0720" w14:textId="234C8BFC" w:rsidR="008E0945" w:rsidRPr="0002642E" w:rsidRDefault="008E0945" w:rsidP="0002642E">
      <w:pPr>
        <w:pStyle w:val="Heading4"/>
      </w:pPr>
      <w:bookmarkStart w:id="90" w:name="_Hlk14172938"/>
      <w:r w:rsidRPr="0002642E">
        <w:t>Corrections</w:t>
      </w:r>
      <w:r w:rsidR="00975895" w:rsidRPr="0002642E">
        <w:t xml:space="preserve"> </w:t>
      </w:r>
      <w:r w:rsidRPr="0002642E">
        <w:t>Amendment</w:t>
      </w:r>
      <w:r w:rsidR="00975895" w:rsidRPr="0002642E">
        <w:t xml:space="preserve"> </w:t>
      </w:r>
      <w:r w:rsidRPr="0002642E">
        <w:t>(Parole)</w:t>
      </w:r>
      <w:r w:rsidR="00975895" w:rsidRPr="0002642E">
        <w:t xml:space="preserve"> </w:t>
      </w:r>
      <w:r w:rsidRPr="0002642E">
        <w:t>Bill</w:t>
      </w:r>
      <w:r w:rsidR="00975895" w:rsidRPr="0002642E">
        <w:t xml:space="preserve"> </w:t>
      </w:r>
      <w:r w:rsidRPr="0002642E">
        <w:t>2018</w:t>
      </w:r>
      <w:bookmarkEnd w:id="90"/>
    </w:p>
    <w:p w14:paraId="74614212" w14:textId="47405E8A" w:rsidR="008E0945" w:rsidRPr="0002642E" w:rsidRDefault="008E0945" w:rsidP="0002642E">
      <w:pPr>
        <w:rPr>
          <w:color w:val="000000" w:themeColor="text1"/>
        </w:rPr>
      </w:pPr>
      <w:r w:rsidRPr="003015FD">
        <w:t>In</w:t>
      </w:r>
      <w:r w:rsidR="00975895" w:rsidRPr="003015FD">
        <w:t xml:space="preserve"> </w:t>
      </w:r>
      <w:r w:rsidRPr="003015FD">
        <w:t>2018</w:t>
      </w:r>
      <w:r w:rsidR="00975895" w:rsidRPr="003015FD">
        <w:t xml:space="preserve"> </w:t>
      </w:r>
      <w:r w:rsidRPr="003015FD">
        <w:t>Parliament</w:t>
      </w:r>
      <w:r w:rsidR="00975895" w:rsidRPr="003015FD">
        <w:t xml:space="preserve"> </w:t>
      </w:r>
      <w:r w:rsidRPr="003015FD">
        <w:t>enacted</w:t>
      </w:r>
      <w:r w:rsidR="00975895" w:rsidRPr="003015FD">
        <w:t xml:space="preserve"> </w:t>
      </w:r>
      <w:r w:rsidRPr="003015FD">
        <w:t>an</w:t>
      </w:r>
      <w:r w:rsidR="00975895" w:rsidRPr="003015FD">
        <w:t xml:space="preserve"> </w:t>
      </w:r>
      <w:r w:rsidRPr="003015FD">
        <w:t>override</w:t>
      </w:r>
      <w:r w:rsidR="00975895" w:rsidRPr="003015FD">
        <w:t xml:space="preserve"> </w:t>
      </w:r>
      <w:r w:rsidRPr="003015FD">
        <w:t>declaration</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the</w:t>
      </w:r>
      <w:r w:rsidR="00975895" w:rsidRPr="003015FD">
        <w:t xml:space="preserve"> </w:t>
      </w:r>
      <w:r w:rsidRPr="003015FD">
        <w:t>Corrections</w:t>
      </w:r>
      <w:r w:rsidR="00975895" w:rsidRPr="003015FD">
        <w:t xml:space="preserve"> </w:t>
      </w:r>
      <w:r w:rsidRPr="003015FD">
        <w:t>Amendment</w:t>
      </w:r>
      <w:r w:rsidR="00975895" w:rsidRPr="003015FD">
        <w:t xml:space="preserve"> </w:t>
      </w:r>
      <w:r w:rsidRPr="003015FD">
        <w:t>(Parole)</w:t>
      </w:r>
      <w:r w:rsidR="00975895" w:rsidRPr="003015FD">
        <w:t xml:space="preserve"> </w:t>
      </w:r>
      <w:r w:rsidRPr="003015FD">
        <w:t>Bill</w:t>
      </w:r>
      <w:r w:rsidR="00975895" w:rsidRPr="003015FD">
        <w:t xml:space="preserve"> </w:t>
      </w:r>
      <w:r w:rsidRPr="003015FD">
        <w:t>2018.</w:t>
      </w:r>
      <w:r w:rsidR="00975895" w:rsidRPr="003015FD">
        <w:t xml:space="preserve"> </w:t>
      </w:r>
      <w:r w:rsidRPr="003015FD">
        <w:t>The</w:t>
      </w:r>
      <w:r w:rsidR="00975895" w:rsidRPr="003015FD">
        <w:t xml:space="preserve"> </w:t>
      </w:r>
      <w:r w:rsidRPr="003015FD">
        <w:t>Corrections</w:t>
      </w:r>
      <w:r w:rsidR="00975895" w:rsidRPr="003015FD">
        <w:t xml:space="preserve"> </w:t>
      </w:r>
      <w:r w:rsidRPr="003015FD">
        <w:t>Amendment</w:t>
      </w:r>
      <w:r w:rsidR="00975895" w:rsidRPr="003015FD">
        <w:t xml:space="preserve"> </w:t>
      </w:r>
      <w:r w:rsidRPr="003015FD">
        <w:t>(Parole)</w:t>
      </w:r>
      <w:r w:rsidR="00975895" w:rsidRPr="003015FD">
        <w:t xml:space="preserve"> </w:t>
      </w:r>
      <w:r w:rsidRPr="003015FD">
        <w:t>Bill</w:t>
      </w:r>
      <w:r w:rsidR="00975895" w:rsidRPr="003015FD">
        <w:t xml:space="preserve"> </w:t>
      </w:r>
      <w:r w:rsidRPr="003015FD">
        <w:t>2018</w:t>
      </w:r>
      <w:r w:rsidR="00975895" w:rsidRPr="003015FD">
        <w:t xml:space="preserve"> </w:t>
      </w:r>
      <w:r w:rsidRPr="0002642E">
        <w:rPr>
          <w:color w:val="000000" w:themeColor="text1"/>
        </w:rPr>
        <w:t>amended</w:t>
      </w:r>
      <w:r w:rsidR="00975895" w:rsidRPr="0002642E">
        <w:rPr>
          <w:color w:val="000000" w:themeColor="text1"/>
        </w:rPr>
        <w:t xml:space="preserve"> </w:t>
      </w:r>
      <w:r w:rsidRPr="0002642E">
        <w:rPr>
          <w:color w:val="000000" w:themeColor="text1"/>
        </w:rPr>
        <w:t>the</w:t>
      </w:r>
      <w:r w:rsidR="00975895" w:rsidRPr="0002642E">
        <w:rPr>
          <w:color w:val="000000" w:themeColor="text1"/>
        </w:rPr>
        <w:t xml:space="preserve"> </w:t>
      </w:r>
      <w:r w:rsidRPr="0002642E">
        <w:rPr>
          <w:color w:val="000000" w:themeColor="text1"/>
        </w:rPr>
        <w:t>Corrections</w:t>
      </w:r>
      <w:r w:rsidR="00975895" w:rsidRPr="0002642E">
        <w:rPr>
          <w:color w:val="000000" w:themeColor="text1"/>
        </w:rPr>
        <w:t xml:space="preserve"> </w:t>
      </w:r>
      <w:r w:rsidRPr="0002642E">
        <w:rPr>
          <w:color w:val="000000" w:themeColor="text1"/>
        </w:rPr>
        <w:t>Act</w:t>
      </w:r>
      <w:r w:rsidR="00975895" w:rsidRPr="0002642E">
        <w:rPr>
          <w:color w:val="000000" w:themeColor="text1"/>
        </w:rPr>
        <w:t xml:space="preserve"> </w:t>
      </w:r>
      <w:r w:rsidRPr="0002642E">
        <w:rPr>
          <w:color w:val="000000" w:themeColor="text1"/>
        </w:rPr>
        <w:t>1986</w:t>
      </w:r>
      <w:r w:rsidR="00975895" w:rsidRPr="0002642E">
        <w:rPr>
          <w:color w:val="000000" w:themeColor="text1"/>
        </w:rPr>
        <w:t xml:space="preserve"> </w:t>
      </w:r>
      <w:r w:rsidRPr="0002642E">
        <w:rPr>
          <w:color w:val="000000" w:themeColor="text1"/>
        </w:rPr>
        <w:t>to</w:t>
      </w:r>
      <w:r w:rsidR="00975895" w:rsidRPr="0002642E">
        <w:rPr>
          <w:color w:val="000000" w:themeColor="text1"/>
        </w:rPr>
        <w:t xml:space="preserve"> </w:t>
      </w:r>
      <w:r w:rsidRPr="0002642E">
        <w:rPr>
          <w:color w:val="000000" w:themeColor="text1"/>
        </w:rPr>
        <w:t>prevent</w:t>
      </w:r>
      <w:r w:rsidR="00975895" w:rsidRPr="0002642E">
        <w:rPr>
          <w:color w:val="000000" w:themeColor="text1"/>
        </w:rPr>
        <w:t xml:space="preserve"> </w:t>
      </w:r>
      <w:r w:rsidRPr="0002642E">
        <w:rPr>
          <w:color w:val="000000" w:themeColor="text1"/>
        </w:rPr>
        <w:t>the</w:t>
      </w:r>
      <w:r w:rsidR="00975895" w:rsidRPr="0002642E">
        <w:rPr>
          <w:color w:val="000000" w:themeColor="text1"/>
        </w:rPr>
        <w:t xml:space="preserve"> </w:t>
      </w:r>
      <w:r w:rsidRPr="0002642E">
        <w:rPr>
          <w:color w:val="000000" w:themeColor="text1"/>
        </w:rPr>
        <w:t>Adult</w:t>
      </w:r>
      <w:r w:rsidR="00975895" w:rsidRPr="0002642E">
        <w:rPr>
          <w:color w:val="000000" w:themeColor="text1"/>
        </w:rPr>
        <w:t xml:space="preserve"> </w:t>
      </w:r>
      <w:r w:rsidRPr="0002642E">
        <w:rPr>
          <w:color w:val="000000" w:themeColor="text1"/>
        </w:rPr>
        <w:t>Parole</w:t>
      </w:r>
      <w:r w:rsidR="00975895" w:rsidRPr="0002642E">
        <w:rPr>
          <w:color w:val="000000" w:themeColor="text1"/>
        </w:rPr>
        <w:t xml:space="preserve"> </w:t>
      </w:r>
      <w:r w:rsidRPr="0002642E">
        <w:rPr>
          <w:color w:val="000000" w:themeColor="text1"/>
        </w:rPr>
        <w:t>Board</w:t>
      </w:r>
      <w:r w:rsidR="00975895" w:rsidRPr="0002642E">
        <w:rPr>
          <w:color w:val="000000" w:themeColor="text1"/>
        </w:rPr>
        <w:t xml:space="preserve"> </w:t>
      </w:r>
      <w:r w:rsidRPr="0002642E">
        <w:rPr>
          <w:color w:val="000000" w:themeColor="text1"/>
        </w:rPr>
        <w:t>from</w:t>
      </w:r>
      <w:r w:rsidR="00975895" w:rsidRPr="0002642E">
        <w:rPr>
          <w:color w:val="000000" w:themeColor="text1"/>
        </w:rPr>
        <w:t xml:space="preserve"> </w:t>
      </w:r>
      <w:r w:rsidRPr="0002642E">
        <w:rPr>
          <w:color w:val="000000" w:themeColor="text1"/>
        </w:rPr>
        <w:t>granting</w:t>
      </w:r>
      <w:r w:rsidR="00975895" w:rsidRPr="0002642E">
        <w:rPr>
          <w:color w:val="000000" w:themeColor="text1"/>
        </w:rPr>
        <w:t xml:space="preserve"> </w:t>
      </w:r>
      <w:r w:rsidRPr="0002642E">
        <w:rPr>
          <w:color w:val="000000" w:themeColor="text1"/>
        </w:rPr>
        <w:t>parole</w:t>
      </w:r>
      <w:r w:rsidR="00975895" w:rsidRPr="0002642E">
        <w:rPr>
          <w:color w:val="000000" w:themeColor="text1"/>
        </w:rPr>
        <w:t xml:space="preserve"> </w:t>
      </w:r>
      <w:r w:rsidRPr="0002642E">
        <w:rPr>
          <w:color w:val="000000" w:themeColor="text1"/>
        </w:rPr>
        <w:t>to</w:t>
      </w:r>
      <w:r w:rsidR="00975895" w:rsidRPr="0002642E">
        <w:rPr>
          <w:color w:val="000000" w:themeColor="text1"/>
        </w:rPr>
        <w:t xml:space="preserve"> </w:t>
      </w:r>
      <w:r w:rsidRPr="0002642E">
        <w:rPr>
          <w:color w:val="000000" w:themeColor="text1"/>
        </w:rPr>
        <w:t>prisoners</w:t>
      </w:r>
      <w:r w:rsidR="00975895" w:rsidRPr="0002642E">
        <w:rPr>
          <w:color w:val="000000" w:themeColor="text1"/>
        </w:rPr>
        <w:t xml:space="preserve"> </w:t>
      </w:r>
      <w:r w:rsidRPr="0002642E">
        <w:rPr>
          <w:color w:val="000000" w:themeColor="text1"/>
        </w:rPr>
        <w:t>convicted</w:t>
      </w:r>
      <w:r w:rsidR="00975895" w:rsidRPr="0002642E">
        <w:rPr>
          <w:color w:val="000000" w:themeColor="text1"/>
        </w:rPr>
        <w:t xml:space="preserve"> </w:t>
      </w:r>
      <w:r w:rsidRPr="0002642E">
        <w:rPr>
          <w:color w:val="000000" w:themeColor="text1"/>
        </w:rPr>
        <w:t>of</w:t>
      </w:r>
      <w:r w:rsidR="00975895" w:rsidRPr="0002642E">
        <w:rPr>
          <w:color w:val="000000" w:themeColor="text1"/>
        </w:rPr>
        <w:t xml:space="preserve"> </w:t>
      </w:r>
      <w:r w:rsidRPr="0002642E">
        <w:rPr>
          <w:color w:val="000000" w:themeColor="text1"/>
        </w:rPr>
        <w:t>killing</w:t>
      </w:r>
      <w:r w:rsidR="00975895" w:rsidRPr="0002642E">
        <w:rPr>
          <w:color w:val="000000" w:themeColor="text1"/>
        </w:rPr>
        <w:t xml:space="preserve"> </w:t>
      </w:r>
      <w:r w:rsidRPr="0002642E">
        <w:rPr>
          <w:color w:val="000000" w:themeColor="text1"/>
        </w:rPr>
        <w:t>police</w:t>
      </w:r>
      <w:r w:rsidR="00975895" w:rsidRPr="0002642E">
        <w:rPr>
          <w:color w:val="000000" w:themeColor="text1"/>
        </w:rPr>
        <w:t xml:space="preserve"> </w:t>
      </w:r>
      <w:r w:rsidRPr="0002642E">
        <w:rPr>
          <w:color w:val="000000" w:themeColor="text1"/>
        </w:rPr>
        <w:t>officers</w:t>
      </w:r>
      <w:r w:rsidR="00975895" w:rsidRPr="0002642E">
        <w:rPr>
          <w:color w:val="000000" w:themeColor="text1"/>
        </w:rPr>
        <w:t xml:space="preserve"> </w:t>
      </w:r>
      <w:r w:rsidRPr="0002642E">
        <w:rPr>
          <w:color w:val="000000" w:themeColor="text1"/>
        </w:rPr>
        <w:t>unless</w:t>
      </w:r>
      <w:r w:rsidR="00975895" w:rsidRPr="0002642E">
        <w:rPr>
          <w:color w:val="000000" w:themeColor="text1"/>
        </w:rPr>
        <w:t xml:space="preserve"> </w:t>
      </w:r>
      <w:r w:rsidRPr="0002642E">
        <w:rPr>
          <w:color w:val="000000" w:themeColor="text1"/>
        </w:rPr>
        <w:t>satisfied</w:t>
      </w:r>
      <w:r w:rsidR="00975895" w:rsidRPr="0002642E">
        <w:rPr>
          <w:color w:val="000000" w:themeColor="text1"/>
        </w:rPr>
        <w:t xml:space="preserve"> </w:t>
      </w:r>
      <w:r w:rsidRPr="0002642E">
        <w:rPr>
          <w:color w:val="000000" w:themeColor="text1"/>
        </w:rPr>
        <w:t>that</w:t>
      </w:r>
      <w:r w:rsidR="00975895" w:rsidRPr="0002642E">
        <w:rPr>
          <w:color w:val="000000" w:themeColor="text1"/>
        </w:rPr>
        <w:t xml:space="preserve"> </w:t>
      </w:r>
      <w:r w:rsidRPr="0002642E">
        <w:rPr>
          <w:color w:val="000000" w:themeColor="text1"/>
        </w:rPr>
        <w:t>the</w:t>
      </w:r>
      <w:r w:rsidR="00975895" w:rsidRPr="0002642E">
        <w:rPr>
          <w:color w:val="000000" w:themeColor="text1"/>
        </w:rPr>
        <w:t xml:space="preserve"> </w:t>
      </w:r>
      <w:r w:rsidRPr="0002642E">
        <w:rPr>
          <w:color w:val="000000" w:themeColor="text1"/>
        </w:rPr>
        <w:t>prisoner</w:t>
      </w:r>
      <w:r w:rsidR="00975895" w:rsidRPr="0002642E">
        <w:rPr>
          <w:color w:val="000000" w:themeColor="text1"/>
        </w:rPr>
        <w:t xml:space="preserve"> </w:t>
      </w:r>
      <w:r w:rsidRPr="0002642E">
        <w:rPr>
          <w:color w:val="000000" w:themeColor="text1"/>
        </w:rPr>
        <w:t>is</w:t>
      </w:r>
      <w:r w:rsidR="00975895" w:rsidRPr="0002642E">
        <w:rPr>
          <w:color w:val="000000" w:themeColor="text1"/>
        </w:rPr>
        <w:t xml:space="preserve"> </w:t>
      </w:r>
      <w:r w:rsidRPr="0002642E">
        <w:rPr>
          <w:color w:val="000000" w:themeColor="text1"/>
        </w:rPr>
        <w:t>in</w:t>
      </w:r>
      <w:r w:rsidR="00975895" w:rsidRPr="0002642E">
        <w:rPr>
          <w:color w:val="000000" w:themeColor="text1"/>
        </w:rPr>
        <w:t xml:space="preserve"> </w:t>
      </w:r>
      <w:r w:rsidRPr="0002642E">
        <w:rPr>
          <w:color w:val="000000" w:themeColor="text1"/>
        </w:rPr>
        <w:t>imminent</w:t>
      </w:r>
      <w:r w:rsidR="00975895" w:rsidRPr="0002642E">
        <w:rPr>
          <w:color w:val="000000" w:themeColor="text1"/>
        </w:rPr>
        <w:t xml:space="preserve"> </w:t>
      </w:r>
      <w:r w:rsidRPr="0002642E">
        <w:rPr>
          <w:color w:val="000000" w:themeColor="text1"/>
        </w:rPr>
        <w:t>danger</w:t>
      </w:r>
      <w:r w:rsidR="00975895" w:rsidRPr="0002642E">
        <w:rPr>
          <w:color w:val="000000" w:themeColor="text1"/>
        </w:rPr>
        <w:t xml:space="preserve"> </w:t>
      </w:r>
      <w:r w:rsidRPr="0002642E">
        <w:rPr>
          <w:color w:val="000000" w:themeColor="text1"/>
        </w:rPr>
        <w:t>of</w:t>
      </w:r>
      <w:r w:rsidR="00975895" w:rsidRPr="0002642E">
        <w:rPr>
          <w:color w:val="000000" w:themeColor="text1"/>
        </w:rPr>
        <w:t xml:space="preserve"> </w:t>
      </w:r>
      <w:r w:rsidRPr="0002642E">
        <w:rPr>
          <w:color w:val="000000" w:themeColor="text1"/>
        </w:rPr>
        <w:t>dying</w:t>
      </w:r>
      <w:r w:rsidR="00975895" w:rsidRPr="0002642E">
        <w:rPr>
          <w:color w:val="000000" w:themeColor="text1"/>
        </w:rPr>
        <w:t xml:space="preserve"> </w:t>
      </w:r>
      <w:r w:rsidRPr="0002642E">
        <w:rPr>
          <w:color w:val="000000" w:themeColor="text1"/>
        </w:rPr>
        <w:t>or</w:t>
      </w:r>
      <w:r w:rsidR="00975895" w:rsidRPr="0002642E">
        <w:rPr>
          <w:color w:val="000000" w:themeColor="text1"/>
        </w:rPr>
        <w:t xml:space="preserve"> </w:t>
      </w:r>
      <w:r w:rsidRPr="0002642E">
        <w:rPr>
          <w:color w:val="000000" w:themeColor="text1"/>
        </w:rPr>
        <w:t>is</w:t>
      </w:r>
      <w:r w:rsidR="00975895" w:rsidRPr="0002642E">
        <w:rPr>
          <w:color w:val="000000" w:themeColor="text1"/>
        </w:rPr>
        <w:t xml:space="preserve"> </w:t>
      </w:r>
      <w:r w:rsidRPr="0002642E">
        <w:rPr>
          <w:color w:val="000000" w:themeColor="text1"/>
        </w:rPr>
        <w:t>seriously</w:t>
      </w:r>
      <w:r w:rsidR="00975895" w:rsidRPr="0002642E">
        <w:rPr>
          <w:color w:val="000000" w:themeColor="text1"/>
        </w:rPr>
        <w:t xml:space="preserve"> </w:t>
      </w:r>
      <w:r w:rsidRPr="0002642E">
        <w:rPr>
          <w:color w:val="000000" w:themeColor="text1"/>
        </w:rPr>
        <w:t>incapacitated</w:t>
      </w:r>
      <w:r w:rsidR="00975895" w:rsidRPr="0002642E">
        <w:rPr>
          <w:color w:val="000000" w:themeColor="text1"/>
        </w:rPr>
        <w:t xml:space="preserve"> </w:t>
      </w:r>
      <w:r w:rsidRPr="0002642E">
        <w:rPr>
          <w:color w:val="000000" w:themeColor="text1"/>
        </w:rPr>
        <w:t>(2018</w:t>
      </w:r>
      <w:r w:rsidR="00975895" w:rsidRPr="0002642E">
        <w:rPr>
          <w:color w:val="000000" w:themeColor="text1"/>
        </w:rPr>
        <w:t xml:space="preserve"> </w:t>
      </w:r>
      <w:r w:rsidRPr="0002642E">
        <w:rPr>
          <w:color w:val="000000" w:themeColor="text1"/>
        </w:rPr>
        <w:t>amendments).</w:t>
      </w:r>
      <w:r w:rsidR="00975895" w:rsidRPr="0002642E">
        <w:rPr>
          <w:color w:val="000000" w:themeColor="text1"/>
        </w:rPr>
        <w:t xml:space="preserve"> </w:t>
      </w:r>
      <w:r w:rsidRPr="0002642E">
        <w:rPr>
          <w:color w:val="000000" w:themeColor="text1"/>
        </w:rPr>
        <w:t>The</w:t>
      </w:r>
      <w:r w:rsidR="00975895" w:rsidRPr="0002642E">
        <w:rPr>
          <w:color w:val="000000" w:themeColor="text1"/>
        </w:rPr>
        <w:t xml:space="preserve"> </w:t>
      </w:r>
      <w:r w:rsidRPr="0002642E">
        <w:rPr>
          <w:color w:val="000000" w:themeColor="text1"/>
        </w:rPr>
        <w:t>Bill</w:t>
      </w:r>
      <w:r w:rsidR="00975895" w:rsidRPr="0002642E">
        <w:rPr>
          <w:color w:val="000000" w:themeColor="text1"/>
        </w:rPr>
        <w:t xml:space="preserve"> </w:t>
      </w:r>
      <w:r w:rsidRPr="0002642E">
        <w:rPr>
          <w:color w:val="000000" w:themeColor="text1"/>
        </w:rPr>
        <w:t>was</w:t>
      </w:r>
      <w:r w:rsidR="00975895" w:rsidRPr="0002642E">
        <w:rPr>
          <w:color w:val="000000" w:themeColor="text1"/>
        </w:rPr>
        <w:t xml:space="preserve"> </w:t>
      </w:r>
      <w:r w:rsidRPr="0002642E">
        <w:rPr>
          <w:color w:val="000000" w:themeColor="text1"/>
        </w:rPr>
        <w:t>specifically</w:t>
      </w:r>
      <w:r w:rsidR="00975895" w:rsidRPr="0002642E">
        <w:rPr>
          <w:color w:val="000000" w:themeColor="text1"/>
        </w:rPr>
        <w:t xml:space="preserve"> </w:t>
      </w:r>
      <w:r w:rsidRPr="0002642E">
        <w:rPr>
          <w:color w:val="000000" w:themeColor="text1"/>
        </w:rPr>
        <w:t>directed</w:t>
      </w:r>
      <w:r w:rsidR="00975895" w:rsidRPr="0002642E">
        <w:rPr>
          <w:color w:val="000000" w:themeColor="text1"/>
        </w:rPr>
        <w:t xml:space="preserve"> </w:t>
      </w:r>
      <w:r w:rsidRPr="0002642E">
        <w:rPr>
          <w:color w:val="000000" w:themeColor="text1"/>
        </w:rPr>
        <w:t>at</w:t>
      </w:r>
      <w:r w:rsidR="00975895" w:rsidRPr="0002642E">
        <w:rPr>
          <w:color w:val="000000" w:themeColor="text1"/>
        </w:rPr>
        <w:t xml:space="preserve"> </w:t>
      </w:r>
      <w:r w:rsidRPr="0002642E">
        <w:rPr>
          <w:color w:val="000000" w:themeColor="text1"/>
        </w:rPr>
        <w:t>the</w:t>
      </w:r>
      <w:r w:rsidR="00975895" w:rsidRPr="0002642E">
        <w:rPr>
          <w:color w:val="000000" w:themeColor="text1"/>
        </w:rPr>
        <w:t xml:space="preserve"> </w:t>
      </w:r>
      <w:r w:rsidRPr="0002642E">
        <w:rPr>
          <w:color w:val="000000" w:themeColor="text1"/>
        </w:rPr>
        <w:t>case</w:t>
      </w:r>
      <w:r w:rsidR="00975895" w:rsidRPr="0002642E">
        <w:rPr>
          <w:color w:val="000000" w:themeColor="text1"/>
        </w:rPr>
        <w:t xml:space="preserve"> </w:t>
      </w:r>
      <w:r w:rsidRPr="0002642E">
        <w:rPr>
          <w:color w:val="000000" w:themeColor="text1"/>
        </w:rPr>
        <w:t>of</w:t>
      </w:r>
      <w:r w:rsidR="00975895" w:rsidRPr="0002642E">
        <w:rPr>
          <w:color w:val="000000" w:themeColor="text1"/>
        </w:rPr>
        <w:t xml:space="preserve"> </w:t>
      </w:r>
      <w:r w:rsidRPr="0002642E">
        <w:rPr>
          <w:color w:val="000000" w:themeColor="text1"/>
        </w:rPr>
        <w:t>Dr</w:t>
      </w:r>
      <w:r w:rsidR="00975895" w:rsidRPr="0002642E">
        <w:rPr>
          <w:color w:val="000000" w:themeColor="text1"/>
        </w:rPr>
        <w:t xml:space="preserve"> </w:t>
      </w:r>
      <w:r w:rsidRPr="0002642E">
        <w:rPr>
          <w:color w:val="000000" w:themeColor="text1"/>
        </w:rPr>
        <w:t>Craig</w:t>
      </w:r>
      <w:r w:rsidR="00975895" w:rsidRPr="0002642E">
        <w:rPr>
          <w:color w:val="000000" w:themeColor="text1"/>
        </w:rPr>
        <w:t xml:space="preserve"> </w:t>
      </w:r>
      <w:r w:rsidRPr="0002642E">
        <w:rPr>
          <w:color w:val="000000" w:themeColor="text1"/>
        </w:rPr>
        <w:t>Minogue,</w:t>
      </w:r>
      <w:r w:rsidR="00975895" w:rsidRPr="0002642E">
        <w:rPr>
          <w:color w:val="000000" w:themeColor="text1"/>
        </w:rPr>
        <w:t xml:space="preserve"> </w:t>
      </w:r>
      <w:r w:rsidRPr="0002642E">
        <w:rPr>
          <w:color w:val="000000" w:themeColor="text1"/>
        </w:rPr>
        <w:t>who</w:t>
      </w:r>
      <w:r w:rsidR="00975895" w:rsidRPr="0002642E">
        <w:rPr>
          <w:color w:val="000000" w:themeColor="text1"/>
        </w:rPr>
        <w:t xml:space="preserve"> </w:t>
      </w:r>
      <w:r w:rsidRPr="0002642E">
        <w:rPr>
          <w:color w:val="000000" w:themeColor="text1"/>
        </w:rPr>
        <w:t>was</w:t>
      </w:r>
      <w:r w:rsidR="00975895" w:rsidRPr="0002642E">
        <w:rPr>
          <w:color w:val="000000" w:themeColor="text1"/>
        </w:rPr>
        <w:t xml:space="preserve"> </w:t>
      </w:r>
      <w:r w:rsidRPr="0002642E">
        <w:rPr>
          <w:color w:val="000000" w:themeColor="text1"/>
        </w:rPr>
        <w:t>sentenced</w:t>
      </w:r>
      <w:r w:rsidR="00975895" w:rsidRPr="0002642E">
        <w:rPr>
          <w:color w:val="000000" w:themeColor="text1"/>
        </w:rPr>
        <w:t xml:space="preserve"> </w:t>
      </w:r>
      <w:r w:rsidRPr="0002642E">
        <w:rPr>
          <w:color w:val="000000" w:themeColor="text1"/>
        </w:rPr>
        <w:t>in</w:t>
      </w:r>
      <w:r w:rsidR="00975895" w:rsidRPr="0002642E">
        <w:rPr>
          <w:color w:val="000000" w:themeColor="text1"/>
        </w:rPr>
        <w:t xml:space="preserve"> </w:t>
      </w:r>
      <w:r w:rsidRPr="0002642E">
        <w:rPr>
          <w:color w:val="000000" w:themeColor="text1"/>
        </w:rPr>
        <w:t>1988</w:t>
      </w:r>
      <w:r w:rsidR="00975895" w:rsidRPr="0002642E">
        <w:rPr>
          <w:color w:val="000000" w:themeColor="text1"/>
        </w:rPr>
        <w:t xml:space="preserve"> </w:t>
      </w:r>
      <w:r w:rsidRPr="0002642E">
        <w:rPr>
          <w:color w:val="000000" w:themeColor="text1"/>
        </w:rPr>
        <w:t>for</w:t>
      </w:r>
      <w:r w:rsidR="00975895" w:rsidRPr="0002642E">
        <w:rPr>
          <w:color w:val="000000" w:themeColor="text1"/>
        </w:rPr>
        <w:t xml:space="preserve"> </w:t>
      </w:r>
      <w:r w:rsidRPr="0002642E">
        <w:rPr>
          <w:color w:val="000000" w:themeColor="text1"/>
        </w:rPr>
        <w:t>the</w:t>
      </w:r>
      <w:r w:rsidR="00975895" w:rsidRPr="0002642E">
        <w:rPr>
          <w:color w:val="000000" w:themeColor="text1"/>
        </w:rPr>
        <w:t xml:space="preserve"> </w:t>
      </w:r>
      <w:r w:rsidRPr="0002642E">
        <w:rPr>
          <w:color w:val="000000" w:themeColor="text1"/>
        </w:rPr>
        <w:t>Russell</w:t>
      </w:r>
      <w:r w:rsidR="00975895" w:rsidRPr="0002642E">
        <w:rPr>
          <w:color w:val="000000" w:themeColor="text1"/>
        </w:rPr>
        <w:t xml:space="preserve"> </w:t>
      </w:r>
      <w:r w:rsidRPr="0002642E">
        <w:rPr>
          <w:color w:val="000000" w:themeColor="text1"/>
        </w:rPr>
        <w:t>Street</w:t>
      </w:r>
      <w:r w:rsidR="00975895" w:rsidRPr="0002642E">
        <w:rPr>
          <w:color w:val="000000" w:themeColor="text1"/>
        </w:rPr>
        <w:t xml:space="preserve"> </w:t>
      </w:r>
      <w:r w:rsidRPr="0002642E">
        <w:rPr>
          <w:color w:val="000000" w:themeColor="text1"/>
        </w:rPr>
        <w:t>bombing</w:t>
      </w:r>
      <w:r w:rsidR="00975895" w:rsidRPr="0002642E">
        <w:rPr>
          <w:color w:val="000000" w:themeColor="text1"/>
        </w:rPr>
        <w:t xml:space="preserve"> </w:t>
      </w:r>
      <w:r w:rsidRPr="0002642E">
        <w:rPr>
          <w:color w:val="000000" w:themeColor="text1"/>
        </w:rPr>
        <w:t>that</w:t>
      </w:r>
      <w:r w:rsidR="00975895" w:rsidRPr="0002642E">
        <w:rPr>
          <w:color w:val="000000" w:themeColor="text1"/>
        </w:rPr>
        <w:t xml:space="preserve"> </w:t>
      </w:r>
      <w:r w:rsidRPr="0002642E">
        <w:rPr>
          <w:color w:val="000000" w:themeColor="text1"/>
        </w:rPr>
        <w:t>killed</w:t>
      </w:r>
      <w:r w:rsidR="00975895" w:rsidRPr="0002642E">
        <w:rPr>
          <w:color w:val="000000" w:themeColor="text1"/>
        </w:rPr>
        <w:t xml:space="preserve"> </w:t>
      </w:r>
      <w:r w:rsidRPr="0002642E">
        <w:rPr>
          <w:color w:val="000000" w:themeColor="text1"/>
        </w:rPr>
        <w:t>police</w:t>
      </w:r>
      <w:r w:rsidR="00975895" w:rsidRPr="0002642E">
        <w:rPr>
          <w:color w:val="000000" w:themeColor="text1"/>
        </w:rPr>
        <w:t xml:space="preserve"> </w:t>
      </w:r>
      <w:r w:rsidRPr="0002642E">
        <w:rPr>
          <w:color w:val="000000" w:themeColor="text1"/>
        </w:rPr>
        <w:t>officer</w:t>
      </w:r>
      <w:r w:rsidR="00975895" w:rsidRPr="0002642E">
        <w:rPr>
          <w:color w:val="000000" w:themeColor="text1"/>
        </w:rPr>
        <w:t xml:space="preserve"> </w:t>
      </w:r>
      <w:r w:rsidRPr="0002642E">
        <w:rPr>
          <w:color w:val="000000" w:themeColor="text1"/>
        </w:rPr>
        <w:t>Angela</w:t>
      </w:r>
      <w:r w:rsidR="00975895" w:rsidRPr="0002642E">
        <w:rPr>
          <w:color w:val="000000" w:themeColor="text1"/>
        </w:rPr>
        <w:t xml:space="preserve"> </w:t>
      </w:r>
      <w:r w:rsidRPr="0002642E">
        <w:rPr>
          <w:color w:val="000000" w:themeColor="text1"/>
        </w:rPr>
        <w:t>Rose</w:t>
      </w:r>
      <w:r w:rsidR="00975895" w:rsidRPr="0002642E">
        <w:rPr>
          <w:color w:val="000000" w:themeColor="text1"/>
        </w:rPr>
        <w:t xml:space="preserve"> </w:t>
      </w:r>
      <w:r w:rsidRPr="0002642E">
        <w:rPr>
          <w:color w:val="000000" w:themeColor="text1"/>
        </w:rPr>
        <w:t>Taylor.</w:t>
      </w:r>
      <w:r w:rsidR="00975895" w:rsidRPr="0002642E">
        <w:rPr>
          <w:color w:val="000000" w:themeColor="text1"/>
        </w:rPr>
        <w:t xml:space="preserve"> </w:t>
      </w:r>
    </w:p>
    <w:p w14:paraId="52309883" w14:textId="0299301A" w:rsidR="008E0945" w:rsidRPr="003015FD" w:rsidRDefault="008E0945" w:rsidP="0002642E">
      <w:r w:rsidRPr="003015FD">
        <w:t>The</w:t>
      </w:r>
      <w:r w:rsidR="00975895" w:rsidRPr="003015FD">
        <w:t xml:space="preserve"> </w:t>
      </w:r>
      <w:r w:rsidRPr="003015FD">
        <w:t>Bill</w:t>
      </w:r>
      <w:r w:rsidR="00975895" w:rsidRPr="003015FD">
        <w:t xml:space="preserve"> </w:t>
      </w:r>
      <w:r w:rsidRPr="003015FD">
        <w:t>was</w:t>
      </w:r>
      <w:r w:rsidR="00975895" w:rsidRPr="003015FD">
        <w:t xml:space="preserve"> </w:t>
      </w:r>
      <w:r w:rsidRPr="003015FD">
        <w:t>introduced</w:t>
      </w:r>
      <w:r w:rsidR="00975895" w:rsidRPr="003015FD">
        <w:t xml:space="preserve"> </w:t>
      </w:r>
      <w:r w:rsidRPr="003015FD">
        <w:t>after</w:t>
      </w:r>
      <w:r w:rsidR="00975895" w:rsidRPr="003015FD">
        <w:t xml:space="preserve"> </w:t>
      </w:r>
      <w:r w:rsidRPr="003015FD">
        <w:t>Dr</w:t>
      </w:r>
      <w:r w:rsidR="00975895" w:rsidRPr="003015FD">
        <w:t xml:space="preserve"> </w:t>
      </w:r>
      <w:r w:rsidRPr="003015FD">
        <w:t>Minogue</w:t>
      </w:r>
      <w:r w:rsidR="00975895" w:rsidRPr="003015FD">
        <w:t xml:space="preserve"> </w:t>
      </w:r>
      <w:r w:rsidRPr="003015FD">
        <w:t>successfully</w:t>
      </w:r>
      <w:r w:rsidR="00975895" w:rsidRPr="003015FD">
        <w:t xml:space="preserve"> </w:t>
      </w:r>
      <w:r w:rsidR="003B428A">
        <w:t>argued</w:t>
      </w:r>
      <w:r w:rsidR="00975895" w:rsidRPr="003015FD">
        <w:t xml:space="preserve"> </w:t>
      </w:r>
      <w:r w:rsidRPr="003015FD">
        <w:t>in</w:t>
      </w:r>
      <w:r w:rsidR="00975895" w:rsidRPr="003015FD">
        <w:t xml:space="preserve"> </w:t>
      </w:r>
      <w:r w:rsidRPr="003015FD">
        <w:t>the</w:t>
      </w:r>
      <w:r w:rsidR="00975895" w:rsidRPr="003015FD">
        <w:t xml:space="preserve"> </w:t>
      </w:r>
      <w:r w:rsidRPr="003015FD">
        <w:t>High</w:t>
      </w:r>
      <w:r w:rsidR="00975895" w:rsidRPr="003015FD">
        <w:t xml:space="preserve"> </w:t>
      </w:r>
      <w:r w:rsidRPr="003015FD">
        <w:t>Court</w:t>
      </w:r>
      <w:r w:rsidR="00975895" w:rsidRPr="003015FD">
        <w:t xml:space="preserve"> </w:t>
      </w:r>
      <w:r w:rsidR="003B428A">
        <w:t xml:space="preserve">that a similar </w:t>
      </w:r>
      <w:r w:rsidRPr="003015FD">
        <w:t>version</w:t>
      </w:r>
      <w:r w:rsidR="00975895" w:rsidRPr="003015FD">
        <w:t xml:space="preserve"> </w:t>
      </w:r>
      <w:r w:rsidRPr="003015FD">
        <w:t>of</w:t>
      </w:r>
      <w:r w:rsidR="00975895" w:rsidRPr="003015FD">
        <w:t xml:space="preserve"> </w:t>
      </w:r>
      <w:r w:rsidRPr="003015FD">
        <w:t>the</w:t>
      </w:r>
      <w:r w:rsidR="00975895" w:rsidRPr="003015FD">
        <w:t xml:space="preserve"> </w:t>
      </w:r>
      <w:r w:rsidRPr="003015FD">
        <w:t>amendments</w:t>
      </w:r>
      <w:r w:rsidR="00975895" w:rsidRPr="003015FD">
        <w:t xml:space="preserve"> </w:t>
      </w:r>
      <w:r w:rsidR="003B428A">
        <w:t xml:space="preserve">passed in </w:t>
      </w:r>
      <w:r w:rsidRPr="003015FD">
        <w:t>2016</w:t>
      </w:r>
      <w:r w:rsidR="00975895" w:rsidRPr="003015FD">
        <w:t xml:space="preserve"> </w:t>
      </w:r>
      <w:r w:rsidRPr="003015FD">
        <w:t>did</w:t>
      </w:r>
      <w:r w:rsidR="00975895" w:rsidRPr="003015FD">
        <w:t xml:space="preserve"> </w:t>
      </w:r>
      <w:r w:rsidRPr="003015FD">
        <w:t>not</w:t>
      </w:r>
      <w:r w:rsidR="00975895" w:rsidRPr="003015FD">
        <w:t xml:space="preserve"> </w:t>
      </w:r>
      <w:r w:rsidRPr="003015FD">
        <w:t>apply</w:t>
      </w:r>
      <w:r w:rsidR="00975895" w:rsidRPr="003015FD">
        <w:t xml:space="preserve"> </w:t>
      </w:r>
      <w:r w:rsidRPr="003015FD">
        <w:t>to</w:t>
      </w:r>
      <w:r w:rsidR="00975895" w:rsidRPr="003015FD">
        <w:t xml:space="preserve"> </w:t>
      </w:r>
      <w:r w:rsidRPr="003015FD">
        <w:t>Dr</w:t>
      </w:r>
      <w:r w:rsidR="00975895" w:rsidRPr="003015FD">
        <w:t xml:space="preserve"> </w:t>
      </w:r>
      <w:r w:rsidRPr="003015FD">
        <w:t>Minogue</w:t>
      </w:r>
      <w:r w:rsidR="00975895" w:rsidRPr="003015FD">
        <w:t xml:space="preserve"> </w:t>
      </w:r>
      <w:r w:rsidRPr="003015FD">
        <w:t>because</w:t>
      </w:r>
      <w:r w:rsidR="00975895" w:rsidRPr="003015FD">
        <w:t xml:space="preserve"> </w:t>
      </w:r>
      <w:r w:rsidRPr="003015FD">
        <w:t>he</w:t>
      </w:r>
      <w:r w:rsidR="00975895" w:rsidRPr="003015FD">
        <w:t xml:space="preserve"> </w:t>
      </w:r>
      <w:r w:rsidRPr="003015FD">
        <w:t>was</w:t>
      </w:r>
      <w:r w:rsidR="00975895" w:rsidRPr="003015FD">
        <w:t xml:space="preserve"> </w:t>
      </w:r>
      <w:r w:rsidRPr="003015FD">
        <w:t>not</w:t>
      </w:r>
      <w:r w:rsidR="00975895" w:rsidRPr="003015FD">
        <w:t xml:space="preserve"> </w:t>
      </w:r>
      <w:r w:rsidRPr="003015FD">
        <w:t>sentenced</w:t>
      </w:r>
      <w:r w:rsidR="00975895" w:rsidRPr="003015FD">
        <w:t xml:space="preserve"> </w:t>
      </w:r>
      <w:r w:rsidRPr="003015FD">
        <w:t>on</w:t>
      </w:r>
      <w:r w:rsidR="00975895" w:rsidRPr="003015FD">
        <w:t xml:space="preserve"> </w:t>
      </w:r>
      <w:r w:rsidRPr="003015FD">
        <w:t>the</w:t>
      </w:r>
      <w:r w:rsidR="00975895" w:rsidRPr="003015FD">
        <w:t xml:space="preserve"> </w:t>
      </w:r>
      <w:r w:rsidRPr="003015FD">
        <w:t>basis</w:t>
      </w:r>
      <w:r w:rsidR="00975895" w:rsidRPr="003015FD">
        <w:t xml:space="preserve"> </w:t>
      </w:r>
      <w:r w:rsidRPr="003015FD">
        <w:t>that</w:t>
      </w:r>
      <w:r w:rsidR="00975895" w:rsidRPr="003015FD">
        <w:t xml:space="preserve"> </w:t>
      </w:r>
      <w:r w:rsidRPr="003015FD">
        <w:t>he</w:t>
      </w:r>
      <w:r w:rsidR="00975895" w:rsidRPr="003015FD">
        <w:t xml:space="preserve"> </w:t>
      </w:r>
      <w:r w:rsidRPr="003015FD">
        <w:t>knew</w:t>
      </w:r>
      <w:r w:rsidR="00975895" w:rsidRPr="003015FD">
        <w:t xml:space="preserve"> </w:t>
      </w:r>
      <w:r w:rsidRPr="003015FD">
        <w:t>that,</w:t>
      </w:r>
      <w:r w:rsidR="00975895" w:rsidRPr="003015FD">
        <w:t xml:space="preserve"> </w:t>
      </w:r>
      <w:r w:rsidRPr="003015FD">
        <w:t>or</w:t>
      </w:r>
      <w:r w:rsidR="00975895" w:rsidRPr="003015FD">
        <w:t xml:space="preserve"> </w:t>
      </w:r>
      <w:r w:rsidRPr="003015FD">
        <w:t>was</w:t>
      </w:r>
      <w:r w:rsidR="00975895" w:rsidRPr="003015FD">
        <w:t xml:space="preserve"> </w:t>
      </w:r>
      <w:r w:rsidRPr="003015FD">
        <w:t>reckless</w:t>
      </w:r>
      <w:r w:rsidR="00975895" w:rsidRPr="003015FD">
        <w:t xml:space="preserve"> </w:t>
      </w:r>
      <w:r w:rsidRPr="003015FD">
        <w:t>as</w:t>
      </w:r>
      <w:r w:rsidR="00975895" w:rsidRPr="003015FD">
        <w:t xml:space="preserve"> </w:t>
      </w:r>
      <w:r w:rsidRPr="003015FD">
        <w:t>to</w:t>
      </w:r>
      <w:r w:rsidR="00975895" w:rsidRPr="003015FD">
        <w:t xml:space="preserve"> </w:t>
      </w:r>
      <w:r w:rsidRPr="003015FD">
        <w:t>whether,</w:t>
      </w:r>
      <w:r w:rsidR="00975895" w:rsidRPr="003015FD">
        <w:t xml:space="preserve"> </w:t>
      </w:r>
      <w:r w:rsidRPr="003015FD">
        <w:t>the</w:t>
      </w:r>
      <w:r w:rsidR="00975895" w:rsidRPr="003015FD">
        <w:t xml:space="preserve"> </w:t>
      </w:r>
      <w:r w:rsidRPr="003015FD">
        <w:t>person</w:t>
      </w:r>
      <w:r w:rsidR="00975895" w:rsidRPr="003015FD">
        <w:t xml:space="preserve"> </w:t>
      </w:r>
      <w:r w:rsidRPr="003015FD">
        <w:t>murdered</w:t>
      </w:r>
      <w:r w:rsidR="00975895" w:rsidRPr="003015FD">
        <w:t xml:space="preserve"> </w:t>
      </w:r>
      <w:r w:rsidRPr="003015FD">
        <w:t>was</w:t>
      </w:r>
      <w:r w:rsidR="00975895" w:rsidRPr="003015FD">
        <w:t xml:space="preserve"> </w:t>
      </w:r>
      <w:r w:rsidRPr="003015FD">
        <w:t>a</w:t>
      </w:r>
      <w:r w:rsidR="00975895" w:rsidRPr="003015FD">
        <w:t xml:space="preserve"> </w:t>
      </w:r>
      <w:r w:rsidRPr="003015FD">
        <w:t>police</w:t>
      </w:r>
      <w:r w:rsidR="00975895" w:rsidRPr="003015FD">
        <w:t xml:space="preserve"> </w:t>
      </w:r>
      <w:r w:rsidRPr="003015FD">
        <w:t>officer.</w:t>
      </w:r>
      <w:r w:rsidR="001712E8">
        <w:rPr>
          <w:rStyle w:val="FootnoteReference"/>
        </w:rPr>
        <w:footnoteReference w:id="42"/>
      </w:r>
      <w:r w:rsidR="00975895" w:rsidRPr="003015FD">
        <w:t xml:space="preserve"> </w:t>
      </w:r>
    </w:p>
    <w:p w14:paraId="2D57A9B1" w14:textId="30AAEF51" w:rsidR="008E0945" w:rsidRPr="003015FD" w:rsidRDefault="008E0945" w:rsidP="0002642E">
      <w:r w:rsidRPr="003015FD">
        <w:t>The</w:t>
      </w:r>
      <w:r w:rsidR="00975895" w:rsidRPr="003015FD">
        <w:t xml:space="preserve"> </w:t>
      </w:r>
      <w:r w:rsidRPr="003015FD">
        <w:t>2018</w:t>
      </w:r>
      <w:r w:rsidR="00975895" w:rsidRPr="003015FD">
        <w:t xml:space="preserve"> </w:t>
      </w:r>
      <w:r w:rsidRPr="003015FD">
        <w:t>amendments</w:t>
      </w:r>
      <w:r w:rsidR="00975895" w:rsidRPr="003015FD">
        <w:t xml:space="preserve"> </w:t>
      </w:r>
      <w:r w:rsidRPr="003015FD">
        <w:t>were</w:t>
      </w:r>
      <w:r w:rsidR="00975895" w:rsidRPr="003015FD">
        <w:t xml:space="preserve"> </w:t>
      </w:r>
      <w:r w:rsidRPr="003015FD">
        <w:t>quickly</w:t>
      </w:r>
      <w:r w:rsidR="00975895" w:rsidRPr="003015FD">
        <w:t xml:space="preserve"> </w:t>
      </w:r>
      <w:r w:rsidRPr="003015FD">
        <w:t>introduced</w:t>
      </w:r>
      <w:r w:rsidR="00975895" w:rsidRPr="003015FD">
        <w:t xml:space="preserve"> </w:t>
      </w:r>
      <w:r w:rsidRPr="003015FD">
        <w:t>and</w:t>
      </w:r>
      <w:r w:rsidR="00975895" w:rsidRPr="003015FD">
        <w:t xml:space="preserve"> </w:t>
      </w:r>
      <w:r w:rsidRPr="003015FD">
        <w:t>made</w:t>
      </w:r>
      <w:r w:rsidR="00975895" w:rsidRPr="003015FD">
        <w:t xml:space="preserve"> </w:t>
      </w:r>
      <w:r w:rsidRPr="003015FD">
        <w:t>technical</w:t>
      </w:r>
      <w:r w:rsidR="00975895" w:rsidRPr="003015FD">
        <w:t xml:space="preserve"> </w:t>
      </w:r>
      <w:r w:rsidRPr="003015FD">
        <w:t>changes</w:t>
      </w:r>
      <w:r w:rsidR="00975895" w:rsidRPr="003015FD">
        <w:t xml:space="preserve"> </w:t>
      </w:r>
      <w:r w:rsidRPr="003015FD">
        <w:t>in</w:t>
      </w:r>
      <w:r w:rsidR="00975895" w:rsidRPr="003015FD">
        <w:t xml:space="preserve"> </w:t>
      </w:r>
      <w:r w:rsidRPr="003015FD">
        <w:t>response</w:t>
      </w:r>
      <w:r w:rsidR="00975895" w:rsidRPr="003015FD">
        <w:t xml:space="preserve"> </w:t>
      </w:r>
      <w:r w:rsidRPr="003015FD">
        <w:t>to</w:t>
      </w:r>
      <w:r w:rsidR="00975895" w:rsidRPr="003015FD">
        <w:t xml:space="preserve"> </w:t>
      </w:r>
      <w:r w:rsidRPr="003015FD">
        <w:t>the</w:t>
      </w:r>
      <w:r w:rsidR="00975895" w:rsidRPr="003015FD">
        <w:t xml:space="preserve"> </w:t>
      </w:r>
      <w:r w:rsidRPr="003015FD">
        <w:t>High</w:t>
      </w:r>
      <w:r w:rsidR="00975895" w:rsidRPr="003015FD">
        <w:t xml:space="preserve"> </w:t>
      </w:r>
      <w:r w:rsidRPr="003015FD">
        <w:t>Court</w:t>
      </w:r>
      <w:r w:rsidR="00975895" w:rsidRPr="003015FD">
        <w:t xml:space="preserve"> </w:t>
      </w:r>
      <w:r w:rsidRPr="003015FD">
        <w:t>decision.</w:t>
      </w:r>
      <w:r w:rsidR="00975895" w:rsidRPr="003015FD">
        <w:t xml:space="preserve"> </w:t>
      </w:r>
      <w:r w:rsidRPr="003015FD">
        <w:t>They</w:t>
      </w:r>
      <w:r w:rsidR="00975895" w:rsidRPr="003015FD">
        <w:t xml:space="preserve"> </w:t>
      </w:r>
      <w:r w:rsidRPr="003015FD">
        <w:t>passed</w:t>
      </w:r>
      <w:r w:rsidR="00975895" w:rsidRPr="003015FD">
        <w:t xml:space="preserve"> </w:t>
      </w:r>
      <w:r w:rsidRPr="003015FD">
        <w:t>before</w:t>
      </w:r>
      <w:r w:rsidR="00975895" w:rsidRPr="003015FD">
        <w:t xml:space="preserve"> </w:t>
      </w:r>
      <w:r w:rsidRPr="003015FD">
        <w:t>SARC</w:t>
      </w:r>
      <w:r w:rsidR="00975895" w:rsidRPr="003015FD">
        <w:t xml:space="preserve"> </w:t>
      </w:r>
      <w:r w:rsidRPr="003015FD">
        <w:t>was</w:t>
      </w:r>
      <w:r w:rsidR="00975895" w:rsidRPr="003015FD">
        <w:t xml:space="preserve"> </w:t>
      </w:r>
      <w:r w:rsidRPr="003015FD">
        <w:t>able</w:t>
      </w:r>
      <w:r w:rsidR="00975895" w:rsidRPr="003015FD">
        <w:t xml:space="preserve"> </w:t>
      </w:r>
      <w:r w:rsidRPr="003015FD">
        <w:t>to</w:t>
      </w:r>
      <w:r w:rsidR="00975895" w:rsidRPr="003015FD">
        <w:t xml:space="preserve"> </w:t>
      </w:r>
      <w:r w:rsidRPr="003015FD">
        <w:t>comment.</w:t>
      </w:r>
      <w:r w:rsidR="00975895" w:rsidRPr="003015FD">
        <w:t xml:space="preserve"> </w:t>
      </w:r>
      <w:r w:rsidRPr="003015FD">
        <w:t>The</w:t>
      </w:r>
      <w:r w:rsidR="00975895" w:rsidRPr="003015FD">
        <w:t xml:space="preserve"> </w:t>
      </w:r>
      <w:r w:rsidRPr="003015FD">
        <w:t>amendments</w:t>
      </w:r>
      <w:r w:rsidR="00975895" w:rsidRPr="003015FD">
        <w:t xml:space="preserve"> </w:t>
      </w:r>
      <w:r w:rsidRPr="003015FD">
        <w:t>explicitly</w:t>
      </w:r>
      <w:r w:rsidR="00975895" w:rsidRPr="003015FD">
        <w:t xml:space="preserve"> </w:t>
      </w:r>
      <w:r w:rsidRPr="003015FD">
        <w:t>excluded</w:t>
      </w:r>
      <w:r w:rsidR="00975895" w:rsidRPr="003015FD">
        <w:t xml:space="preserve"> </w:t>
      </w:r>
      <w:r w:rsidRPr="003015FD">
        <w:t>the</w:t>
      </w:r>
      <w:r w:rsidR="00975895" w:rsidRPr="003015FD">
        <w:t xml:space="preserve"> </w:t>
      </w:r>
      <w:r w:rsidRPr="003015FD">
        <w:t>application</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and</w:t>
      </w:r>
      <w:r w:rsidR="00975895" w:rsidRPr="003015FD">
        <w:t xml:space="preserve"> </w:t>
      </w:r>
      <w:r w:rsidRPr="003015FD">
        <w:t>the</w:t>
      </w:r>
      <w:r w:rsidR="00975895" w:rsidRPr="003015FD">
        <w:t xml:space="preserve"> </w:t>
      </w:r>
      <w:r w:rsidRPr="003015FD">
        <w:lastRenderedPageBreak/>
        <w:t>need</w:t>
      </w:r>
      <w:r w:rsidR="00975895" w:rsidRPr="003015FD">
        <w:t xml:space="preserve"> </w:t>
      </w:r>
      <w:r w:rsidRPr="003015FD">
        <w:t>for</w:t>
      </w:r>
      <w:r w:rsidR="00975895" w:rsidRPr="003015FD">
        <w:t xml:space="preserve"> </w:t>
      </w:r>
      <w:r w:rsidRPr="003015FD">
        <w:t>the</w:t>
      </w:r>
      <w:r w:rsidR="00975895" w:rsidRPr="003015FD">
        <w:t xml:space="preserve"> </w:t>
      </w:r>
      <w:r w:rsidRPr="003015FD">
        <w:t>override</w:t>
      </w:r>
      <w:r w:rsidR="00975895" w:rsidRPr="003015FD">
        <w:t xml:space="preserve"> </w:t>
      </w:r>
      <w:r w:rsidRPr="003015FD">
        <w:t>declaration</w:t>
      </w:r>
      <w:r w:rsidR="00975895" w:rsidRPr="003015FD">
        <w:t xml:space="preserve"> </w:t>
      </w:r>
      <w:r w:rsidRPr="003015FD">
        <w:t>to</w:t>
      </w:r>
      <w:r w:rsidR="00975895" w:rsidRPr="003015FD">
        <w:t xml:space="preserve"> </w:t>
      </w:r>
      <w:r w:rsidRPr="003015FD">
        <w:t>be</w:t>
      </w:r>
      <w:r w:rsidR="00975895" w:rsidRPr="003015FD">
        <w:t xml:space="preserve"> </w:t>
      </w:r>
      <w:r w:rsidRPr="003015FD">
        <w:t>re-enacted</w:t>
      </w:r>
      <w:r w:rsidR="00975895" w:rsidRPr="003015FD">
        <w:t xml:space="preserve"> </w:t>
      </w:r>
      <w:r w:rsidRPr="003015FD">
        <w:t>after</w:t>
      </w:r>
      <w:r w:rsidR="00975895" w:rsidRPr="003015FD">
        <w:t xml:space="preserve"> </w:t>
      </w:r>
      <w:r w:rsidRPr="003015FD">
        <w:t>five</w:t>
      </w:r>
      <w:r w:rsidR="00975895" w:rsidRPr="003015FD">
        <w:t xml:space="preserve"> </w:t>
      </w:r>
      <w:r w:rsidRPr="003015FD">
        <w:t>years</w:t>
      </w:r>
      <w:r w:rsidR="00975895" w:rsidRPr="003015FD">
        <w:t xml:space="preserve"> </w:t>
      </w:r>
      <w:r w:rsidRPr="003015FD">
        <w:t>to</w:t>
      </w:r>
      <w:r w:rsidR="00975895" w:rsidRPr="003015FD">
        <w:t xml:space="preserve"> </w:t>
      </w:r>
      <w:r w:rsidR="00BB1F36">
        <w:t>“</w:t>
      </w:r>
      <w:r w:rsidRPr="003015FD">
        <w:t>provide</w:t>
      </w:r>
      <w:r w:rsidR="00975895" w:rsidRPr="003015FD">
        <w:t xml:space="preserve"> </w:t>
      </w:r>
      <w:r w:rsidRPr="003015FD">
        <w:t>legal</w:t>
      </w:r>
      <w:r w:rsidR="00975895" w:rsidRPr="003015FD">
        <w:t xml:space="preserve"> </w:t>
      </w:r>
      <w:r w:rsidRPr="003015FD">
        <w:t>certainty</w:t>
      </w:r>
      <w:r w:rsidR="00975895" w:rsidRPr="003015FD">
        <w:t xml:space="preserve"> </w:t>
      </w:r>
      <w:r w:rsidRPr="003015FD">
        <w:t>and</w:t>
      </w:r>
      <w:r w:rsidR="00975895" w:rsidRPr="003015FD">
        <w:t xml:space="preserve"> </w:t>
      </w:r>
      <w:r w:rsidRPr="003015FD">
        <w:t>to</w:t>
      </w:r>
      <w:r w:rsidR="00975895" w:rsidRPr="003015FD">
        <w:t xml:space="preserve"> </w:t>
      </w:r>
      <w:r w:rsidRPr="003015FD">
        <w:t>avoid</w:t>
      </w:r>
      <w:r w:rsidR="00975895" w:rsidRPr="003015FD">
        <w:t xml:space="preserve"> </w:t>
      </w:r>
      <w:r w:rsidRPr="003015FD">
        <w:t>a</w:t>
      </w:r>
      <w:r w:rsidR="00975895" w:rsidRPr="003015FD">
        <w:t xml:space="preserve"> </w:t>
      </w:r>
      <w:r w:rsidRPr="003015FD">
        <w:t>court</w:t>
      </w:r>
      <w:r w:rsidR="00975895" w:rsidRPr="003015FD">
        <w:t xml:space="preserve"> </w:t>
      </w:r>
      <w:r w:rsidRPr="003015FD">
        <w:t>giving</w:t>
      </w:r>
      <w:r w:rsidR="00975895" w:rsidRPr="003015FD">
        <w:t xml:space="preserve"> </w:t>
      </w:r>
      <w:r w:rsidRPr="003015FD">
        <w:t>the</w:t>
      </w:r>
      <w:r w:rsidR="00975895" w:rsidRPr="003015FD">
        <w:t xml:space="preserve"> </w:t>
      </w:r>
      <w:r w:rsidRPr="003015FD">
        <w:t>Bill</w:t>
      </w:r>
      <w:r w:rsidR="00975895" w:rsidRPr="003015FD">
        <w:t xml:space="preserve"> </w:t>
      </w:r>
      <w:r w:rsidRPr="003015FD">
        <w:t>an</w:t>
      </w:r>
      <w:r w:rsidR="00975895" w:rsidRPr="003015FD">
        <w:t xml:space="preserve"> </w:t>
      </w:r>
      <w:r w:rsidRPr="003015FD">
        <w:t>interpretation</w:t>
      </w:r>
      <w:r w:rsidR="00975895" w:rsidRPr="003015FD">
        <w:t xml:space="preserve"> </w:t>
      </w:r>
      <w:r w:rsidRPr="003015FD">
        <w:t>based</w:t>
      </w:r>
      <w:r w:rsidR="00975895" w:rsidRPr="003015FD">
        <w:t xml:space="preserve"> </w:t>
      </w:r>
      <w:r w:rsidRPr="003015FD">
        <w:t>on</w:t>
      </w:r>
      <w:r w:rsidR="00975895" w:rsidRPr="003015FD">
        <w:t xml:space="preserve"> </w:t>
      </w:r>
      <w:r w:rsidRPr="003015FD">
        <w:t>Charter</w:t>
      </w:r>
      <w:r w:rsidR="00975895" w:rsidRPr="003015FD">
        <w:t xml:space="preserve"> </w:t>
      </w:r>
      <w:r w:rsidRPr="003015FD">
        <w:t>rights</w:t>
      </w:r>
      <w:r w:rsidR="00975895" w:rsidRPr="003015FD">
        <w:t xml:space="preserve"> </w:t>
      </w:r>
      <w:r w:rsidRPr="003015FD">
        <w:t>which</w:t>
      </w:r>
      <w:r w:rsidR="00975895" w:rsidRPr="003015FD">
        <w:t xml:space="preserve"> </w:t>
      </w:r>
      <w:r w:rsidRPr="003015FD">
        <w:t>do</w:t>
      </w:r>
      <w:r w:rsidR="00975895" w:rsidRPr="003015FD">
        <w:t xml:space="preserve"> </w:t>
      </w:r>
      <w:r w:rsidRPr="003015FD">
        <w:t>not</w:t>
      </w:r>
      <w:r w:rsidR="00975895" w:rsidRPr="003015FD">
        <w:t xml:space="preserve"> </w:t>
      </w:r>
      <w:r w:rsidRPr="003015FD">
        <w:t>achieve</w:t>
      </w:r>
      <w:r w:rsidR="00975895" w:rsidRPr="003015FD">
        <w:t xml:space="preserve"> </w:t>
      </w:r>
      <w:r w:rsidRPr="003015FD">
        <w:t>the</w:t>
      </w:r>
      <w:r w:rsidR="00975895" w:rsidRPr="003015FD">
        <w:t xml:space="preserve"> </w:t>
      </w:r>
      <w:r w:rsidR="00054270">
        <w:t>g</w:t>
      </w:r>
      <w:r w:rsidRPr="003015FD">
        <w:t>overnment</w:t>
      </w:r>
      <w:r w:rsidR="000C5726">
        <w:t>'</w:t>
      </w:r>
      <w:r w:rsidRPr="003015FD">
        <w:t>s</w:t>
      </w:r>
      <w:r w:rsidR="00975895" w:rsidRPr="003015FD">
        <w:t xml:space="preserve"> </w:t>
      </w:r>
      <w:r w:rsidRPr="003015FD">
        <w:t>intention</w:t>
      </w:r>
      <w:r w:rsidR="00BB1F36">
        <w:t>”</w:t>
      </w:r>
      <w:r w:rsidRPr="003015FD">
        <w:t>.</w:t>
      </w:r>
      <w:r w:rsidRPr="004862C5">
        <w:rPr>
          <w:rStyle w:val="FootnoteReference"/>
        </w:rPr>
        <w:footnoteReference w:id="43"/>
      </w:r>
      <w:r w:rsidR="00975895" w:rsidRPr="003015FD">
        <w:t xml:space="preserve"> </w:t>
      </w:r>
    </w:p>
    <w:p w14:paraId="1715A573" w14:textId="11ECE14D" w:rsidR="008E0945" w:rsidRPr="003015FD" w:rsidRDefault="008E0945" w:rsidP="0002642E">
      <w:bookmarkStart w:id="91" w:name="_Hlk14172656"/>
      <w:r w:rsidRPr="003015FD">
        <w:t>The</w:t>
      </w:r>
      <w:r w:rsidR="00975895" w:rsidRPr="003015FD">
        <w:t xml:space="preserve"> </w:t>
      </w:r>
      <w:r w:rsidRPr="003015FD">
        <w:t>Statement</w:t>
      </w:r>
      <w:r w:rsidR="00975895" w:rsidRPr="003015FD">
        <w:t xml:space="preserve"> </w:t>
      </w:r>
      <w:r w:rsidRPr="003015FD">
        <w:t>of</w:t>
      </w:r>
      <w:r w:rsidR="00975895" w:rsidRPr="003015FD">
        <w:t xml:space="preserve"> </w:t>
      </w:r>
      <w:r w:rsidRPr="003015FD">
        <w:t>Compatibility</w:t>
      </w:r>
      <w:r w:rsidR="00975895" w:rsidRPr="003015FD">
        <w:t xml:space="preserve"> </w:t>
      </w:r>
      <w:r w:rsidRPr="003015FD">
        <w:t>concluded</w:t>
      </w:r>
      <w:r w:rsidR="00975895" w:rsidRPr="003015FD">
        <w:t xml:space="preserve"> </w:t>
      </w:r>
      <w:r w:rsidRPr="003015FD">
        <w:t>the</w:t>
      </w:r>
      <w:r w:rsidR="00975895" w:rsidRPr="003015FD">
        <w:t xml:space="preserve"> </w:t>
      </w:r>
      <w:r w:rsidRPr="003015FD">
        <w:t>Bill</w:t>
      </w:r>
      <w:r w:rsidR="00975895" w:rsidRPr="003015FD">
        <w:t xml:space="preserve"> </w:t>
      </w:r>
      <w:r w:rsidRPr="003015FD">
        <w:t>was</w:t>
      </w:r>
      <w:r w:rsidR="00975895" w:rsidRPr="003015FD">
        <w:t xml:space="preserve"> </w:t>
      </w:r>
      <w:r w:rsidRPr="003015FD">
        <w:t>incompatible</w:t>
      </w:r>
      <w:r w:rsidR="00975895" w:rsidRPr="003015FD">
        <w:t xml:space="preserve"> </w:t>
      </w:r>
      <w:r w:rsidRPr="003015FD">
        <w:t>with</w:t>
      </w:r>
      <w:r w:rsidR="00975895" w:rsidRPr="003015FD">
        <w:t xml:space="preserve"> </w:t>
      </w:r>
      <w:r w:rsidRPr="003015FD">
        <w:t>the</w:t>
      </w:r>
      <w:r w:rsidR="00975895" w:rsidRPr="003015FD">
        <w:t xml:space="preserve"> </w:t>
      </w:r>
      <w:r w:rsidRPr="003015FD">
        <w:t>Charter</w:t>
      </w:r>
      <w:r w:rsidR="00975895" w:rsidRPr="003015FD">
        <w:t xml:space="preserve"> </w:t>
      </w:r>
      <w:r w:rsidRPr="003015FD">
        <w:t>as</w:t>
      </w:r>
      <w:r w:rsidR="00975895" w:rsidRPr="003015FD">
        <w:t xml:space="preserve"> </w:t>
      </w:r>
      <w:r w:rsidRPr="003015FD">
        <w:t>it</w:t>
      </w:r>
      <w:r w:rsidR="00975895" w:rsidRPr="003015FD">
        <w:t xml:space="preserve"> </w:t>
      </w:r>
      <w:r w:rsidRPr="003015FD">
        <w:t>unjustifiably</w:t>
      </w:r>
      <w:r w:rsidR="00975895" w:rsidRPr="003015FD">
        <w:t xml:space="preserve"> </w:t>
      </w:r>
      <w:r w:rsidRPr="003015FD">
        <w:t>limited</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protection</w:t>
      </w:r>
      <w:r w:rsidR="00975895" w:rsidRPr="003015FD">
        <w:t xml:space="preserve"> </w:t>
      </w:r>
      <w:r w:rsidRPr="003015FD">
        <w:t>from</w:t>
      </w:r>
      <w:r w:rsidR="00975895" w:rsidRPr="003015FD">
        <w:t xml:space="preserve"> </w:t>
      </w:r>
      <w:r w:rsidRPr="003015FD">
        <w:t>torture</w:t>
      </w:r>
      <w:r w:rsidR="00975895" w:rsidRPr="003015FD">
        <w:t xml:space="preserve"> </w:t>
      </w:r>
      <w:r w:rsidRPr="003015FD">
        <w:t>and</w:t>
      </w:r>
      <w:r w:rsidR="00975895" w:rsidRPr="003015FD">
        <w:t xml:space="preserve"> </w:t>
      </w:r>
      <w:r w:rsidRPr="003015FD">
        <w:t>cruel,</w:t>
      </w:r>
      <w:r w:rsidR="00975895" w:rsidRPr="003015FD">
        <w:t xml:space="preserve"> </w:t>
      </w:r>
      <w:r w:rsidRPr="003015FD">
        <w:t>inhuman</w:t>
      </w:r>
      <w:r w:rsidR="00975895" w:rsidRPr="003015FD">
        <w:t xml:space="preserve"> </w:t>
      </w:r>
      <w:r w:rsidRPr="003015FD">
        <w:t>or</w:t>
      </w:r>
      <w:r w:rsidR="00975895" w:rsidRPr="003015FD">
        <w:t xml:space="preserve"> </w:t>
      </w:r>
      <w:r w:rsidRPr="003015FD">
        <w:t>degrading</w:t>
      </w:r>
      <w:r w:rsidR="00975895" w:rsidRPr="003015FD">
        <w:t xml:space="preserve"> </w:t>
      </w:r>
      <w:r w:rsidRPr="003015FD">
        <w:t>treatment</w:t>
      </w:r>
      <w:r w:rsidR="00975895" w:rsidRPr="003015FD">
        <w:t xml:space="preserve"> </w:t>
      </w:r>
      <w:r w:rsidRPr="003015FD">
        <w:t>and</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humane</w:t>
      </w:r>
      <w:r w:rsidR="00975895" w:rsidRPr="003015FD">
        <w:t xml:space="preserve"> </w:t>
      </w:r>
      <w:r w:rsidRPr="003015FD">
        <w:t>treatment</w:t>
      </w:r>
      <w:r w:rsidR="00975895" w:rsidRPr="003015FD">
        <w:t xml:space="preserve"> </w:t>
      </w:r>
      <w:r w:rsidRPr="003015FD">
        <w:t>when</w:t>
      </w:r>
      <w:r w:rsidR="00975895" w:rsidRPr="003015FD">
        <w:t xml:space="preserve"> </w:t>
      </w:r>
      <w:r w:rsidRPr="003015FD">
        <w:t>deprived</w:t>
      </w:r>
      <w:r w:rsidR="00975895" w:rsidRPr="003015FD">
        <w:t xml:space="preserve"> </w:t>
      </w:r>
      <w:r w:rsidRPr="003015FD">
        <w:t>of</w:t>
      </w:r>
      <w:r w:rsidR="00975895" w:rsidRPr="003015FD">
        <w:t xml:space="preserve"> </w:t>
      </w:r>
      <w:r w:rsidRPr="003015FD">
        <w:t>liberty.</w:t>
      </w:r>
    </w:p>
    <w:bookmarkEnd w:id="91"/>
    <w:p w14:paraId="3478DE75" w14:textId="5C514AF2" w:rsidR="008E0945" w:rsidRPr="003015FD" w:rsidRDefault="008E0945" w:rsidP="0002642E">
      <w:r w:rsidRPr="003015FD">
        <w:t>The</w:t>
      </w:r>
      <w:r w:rsidR="00975895" w:rsidRPr="003015FD">
        <w:t xml:space="preserve"> </w:t>
      </w:r>
      <w:r w:rsidRPr="003015FD">
        <w:t>Statement</w:t>
      </w:r>
      <w:r w:rsidR="00975895" w:rsidRPr="003015FD">
        <w:t xml:space="preserve"> </w:t>
      </w:r>
      <w:r w:rsidRPr="003015FD">
        <w:t>of</w:t>
      </w:r>
      <w:r w:rsidR="00975895" w:rsidRPr="003015FD">
        <w:t xml:space="preserve"> </w:t>
      </w:r>
      <w:r w:rsidRPr="003015FD">
        <w:t>Compatibility</w:t>
      </w:r>
      <w:r w:rsidR="00975895" w:rsidRPr="003015FD">
        <w:t xml:space="preserve"> </w:t>
      </w:r>
      <w:r w:rsidRPr="003015FD">
        <w:t>noted</w:t>
      </w:r>
      <w:r w:rsidR="00975895" w:rsidRPr="003015FD">
        <w:t xml:space="preserve"> </w:t>
      </w:r>
      <w:r w:rsidRPr="003015FD">
        <w:t>that,</w:t>
      </w:r>
      <w:r w:rsidR="00975895" w:rsidRPr="003015FD">
        <w:t xml:space="preserve"> </w:t>
      </w:r>
      <w:r w:rsidRPr="003015FD">
        <w:t>despite</w:t>
      </w:r>
      <w:r w:rsidR="00975895" w:rsidRPr="003015FD">
        <w:t xml:space="preserve"> </w:t>
      </w:r>
      <w:r w:rsidRPr="003015FD">
        <w:t>the</w:t>
      </w:r>
      <w:r w:rsidR="00975895" w:rsidRPr="003015FD">
        <w:t xml:space="preserve"> </w:t>
      </w:r>
      <w:r w:rsidRPr="003015FD">
        <w:t>High</w:t>
      </w:r>
      <w:r w:rsidR="00975895" w:rsidRPr="003015FD">
        <w:t xml:space="preserve"> </w:t>
      </w:r>
      <w:r w:rsidRPr="003015FD">
        <w:t>Court</w:t>
      </w:r>
      <w:r w:rsidR="00975895" w:rsidRPr="003015FD">
        <w:t xml:space="preserve"> </w:t>
      </w:r>
      <w:r w:rsidRPr="003015FD">
        <w:t>findings,</w:t>
      </w:r>
      <w:r w:rsidR="00975895" w:rsidRPr="003015FD">
        <w:t xml:space="preserve"> </w:t>
      </w:r>
      <w:r w:rsidRPr="003015FD">
        <w:t>the</w:t>
      </w:r>
      <w:r w:rsidR="00975895" w:rsidRPr="003015FD">
        <w:t xml:space="preserve"> </w:t>
      </w:r>
      <w:r w:rsidR="00054270">
        <w:t>g</w:t>
      </w:r>
      <w:r w:rsidR="00054270" w:rsidRPr="003015FD">
        <w:t xml:space="preserve">overnment </w:t>
      </w:r>
      <w:r w:rsidRPr="003015FD">
        <w:t>remained</w:t>
      </w:r>
      <w:r w:rsidR="00975895" w:rsidRPr="003015FD">
        <w:t xml:space="preserve"> </w:t>
      </w:r>
      <w:r w:rsidRPr="003015FD">
        <w:t>committed</w:t>
      </w:r>
      <w:r w:rsidR="00975895" w:rsidRPr="003015FD">
        <w:t xml:space="preserve"> </w:t>
      </w:r>
      <w:r w:rsidRPr="003015FD">
        <w:t>to</w:t>
      </w:r>
      <w:r w:rsidR="00975895" w:rsidRPr="003015FD">
        <w:t xml:space="preserve"> </w:t>
      </w:r>
      <w:r w:rsidRPr="003015FD">
        <w:t>preventing</w:t>
      </w:r>
      <w:r w:rsidR="00975895" w:rsidRPr="003015FD">
        <w:t xml:space="preserve"> </w:t>
      </w:r>
      <w:r w:rsidRPr="003015FD">
        <w:t>the</w:t>
      </w:r>
      <w:r w:rsidR="00975895" w:rsidRPr="003015FD">
        <w:t xml:space="preserve"> </w:t>
      </w:r>
      <w:r w:rsidRPr="003015FD">
        <w:t>release</w:t>
      </w:r>
      <w:r w:rsidR="00975895" w:rsidRPr="003015FD">
        <w:t xml:space="preserve"> </w:t>
      </w:r>
      <w:r w:rsidRPr="003015FD">
        <w:t>from</w:t>
      </w:r>
      <w:r w:rsidR="00975895" w:rsidRPr="003015FD">
        <w:t xml:space="preserve"> </w:t>
      </w:r>
      <w:r w:rsidRPr="003015FD">
        <w:t>prison</w:t>
      </w:r>
      <w:r w:rsidR="00975895" w:rsidRPr="003015FD">
        <w:t xml:space="preserve"> </w:t>
      </w:r>
      <w:r w:rsidRPr="003015FD">
        <w:t>of</w:t>
      </w:r>
      <w:r w:rsidR="00975895" w:rsidRPr="003015FD">
        <w:t xml:space="preserve"> </w:t>
      </w:r>
      <w:r w:rsidRPr="003015FD">
        <w:t>Dr</w:t>
      </w:r>
      <w:r w:rsidR="00975895" w:rsidRPr="003015FD">
        <w:t xml:space="preserve"> </w:t>
      </w:r>
      <w:r w:rsidRPr="003015FD">
        <w:t>Minogue</w:t>
      </w:r>
      <w:r w:rsidR="00975895" w:rsidRPr="003015FD">
        <w:t xml:space="preserve"> </w:t>
      </w:r>
      <w:r w:rsidRPr="003015FD">
        <w:t>and</w:t>
      </w:r>
      <w:r w:rsidR="00975895" w:rsidRPr="003015FD">
        <w:t xml:space="preserve"> </w:t>
      </w:r>
      <w:r w:rsidRPr="003015FD">
        <w:t>other</w:t>
      </w:r>
      <w:r w:rsidR="00975895" w:rsidRPr="003015FD">
        <w:t xml:space="preserve"> </w:t>
      </w:r>
      <w:r w:rsidRPr="003015FD">
        <w:t>prisoners</w:t>
      </w:r>
      <w:r w:rsidR="00975895" w:rsidRPr="003015FD">
        <w:t xml:space="preserve"> </w:t>
      </w:r>
      <w:r w:rsidRPr="003015FD">
        <w:t>convicted</w:t>
      </w:r>
      <w:r w:rsidR="00975895" w:rsidRPr="003015FD">
        <w:t xml:space="preserve"> </w:t>
      </w:r>
      <w:r w:rsidRPr="003015FD">
        <w:t>of</w:t>
      </w:r>
      <w:r w:rsidR="00975895" w:rsidRPr="003015FD">
        <w:t xml:space="preserve"> </w:t>
      </w:r>
      <w:r w:rsidRPr="003015FD">
        <w:t>murdering</w:t>
      </w:r>
      <w:r w:rsidR="00975895" w:rsidRPr="003015FD">
        <w:t xml:space="preserve"> </w:t>
      </w:r>
      <w:r w:rsidRPr="003015FD">
        <w:t>police</w:t>
      </w:r>
      <w:r w:rsidR="00975895" w:rsidRPr="003015FD">
        <w:t xml:space="preserve"> </w:t>
      </w:r>
      <w:r w:rsidRPr="003015FD">
        <w:t>officers</w:t>
      </w:r>
      <w:r w:rsidR="00975895" w:rsidRPr="003015FD">
        <w:t xml:space="preserve"> </w:t>
      </w:r>
      <w:r w:rsidRPr="003015FD">
        <w:t>–</w:t>
      </w:r>
      <w:r w:rsidR="00975895" w:rsidRPr="003015FD">
        <w:t xml:space="preserve"> </w:t>
      </w:r>
      <w:r w:rsidR="00BB1F36">
        <w:t>“</w:t>
      </w:r>
      <w:r w:rsidRPr="003015FD">
        <w:t>the</w:t>
      </w:r>
      <w:r w:rsidR="00975895" w:rsidRPr="003015FD">
        <w:t xml:space="preserve"> </w:t>
      </w:r>
      <w:r w:rsidRPr="003015FD">
        <w:t>most</w:t>
      </w:r>
      <w:r w:rsidR="00975895" w:rsidRPr="003015FD">
        <w:t xml:space="preserve"> </w:t>
      </w:r>
      <w:r w:rsidRPr="003015FD">
        <w:t>serious</w:t>
      </w:r>
      <w:r w:rsidR="00975895" w:rsidRPr="003015FD">
        <w:t xml:space="preserve"> </w:t>
      </w:r>
      <w:r w:rsidRPr="003015FD">
        <w:t>example</w:t>
      </w:r>
      <w:r w:rsidR="00975895" w:rsidRPr="003015FD">
        <w:t xml:space="preserve"> </w:t>
      </w:r>
      <w:r w:rsidRPr="003015FD">
        <w:t>of</w:t>
      </w:r>
      <w:r w:rsidR="00975895" w:rsidRPr="003015FD">
        <w:t xml:space="preserve"> </w:t>
      </w:r>
      <w:r w:rsidRPr="003015FD">
        <w:t>the</w:t>
      </w:r>
      <w:r w:rsidR="00975895" w:rsidRPr="003015FD">
        <w:t xml:space="preserve"> </w:t>
      </w:r>
      <w:r w:rsidRPr="003015FD">
        <w:t>most</w:t>
      </w:r>
      <w:r w:rsidR="00975895" w:rsidRPr="003015FD">
        <w:t xml:space="preserve"> </w:t>
      </w:r>
      <w:r w:rsidRPr="003015FD">
        <w:t>serious</w:t>
      </w:r>
      <w:r w:rsidR="00975895" w:rsidRPr="003015FD">
        <w:t xml:space="preserve"> </w:t>
      </w:r>
      <w:r w:rsidRPr="003015FD">
        <w:t>crime</w:t>
      </w:r>
      <w:r w:rsidR="00BB1F36">
        <w:t>”</w:t>
      </w:r>
      <w:r w:rsidRPr="003015FD">
        <w:t>.</w:t>
      </w:r>
      <w:r w:rsidRPr="004862C5">
        <w:rPr>
          <w:rStyle w:val="FootnoteReference"/>
        </w:rPr>
        <w:footnoteReference w:id="44"/>
      </w:r>
      <w:r w:rsidR="00975895" w:rsidRPr="003015FD">
        <w:t xml:space="preserve"> </w:t>
      </w:r>
      <w:r w:rsidRPr="003015FD">
        <w:t>The</w:t>
      </w:r>
      <w:r w:rsidR="00975895" w:rsidRPr="003015FD">
        <w:t xml:space="preserve"> </w:t>
      </w:r>
      <w:r w:rsidR="00054270">
        <w:t>g</w:t>
      </w:r>
      <w:r w:rsidRPr="003015FD">
        <w:t>overnment</w:t>
      </w:r>
      <w:r w:rsidR="00975895" w:rsidRPr="003015FD">
        <w:t xml:space="preserve"> </w:t>
      </w:r>
      <w:r w:rsidRPr="003015FD">
        <w:t>considered</w:t>
      </w:r>
      <w:r w:rsidR="00975895" w:rsidRPr="003015FD">
        <w:t xml:space="preserve"> </w:t>
      </w:r>
      <w:r w:rsidRPr="003015FD">
        <w:t>that</w:t>
      </w:r>
      <w:r w:rsidR="00975895" w:rsidRPr="003015FD">
        <w:t xml:space="preserve"> </w:t>
      </w:r>
      <w:r w:rsidRPr="003015FD">
        <w:t>there</w:t>
      </w:r>
      <w:r w:rsidR="00975895" w:rsidRPr="003015FD">
        <w:t xml:space="preserve"> </w:t>
      </w:r>
      <w:r w:rsidRPr="003015FD">
        <w:t>was</w:t>
      </w:r>
      <w:r w:rsidR="00975895" w:rsidRPr="003015FD">
        <w:t xml:space="preserve"> </w:t>
      </w:r>
      <w:r w:rsidRPr="003015FD">
        <w:t>no</w:t>
      </w:r>
      <w:r w:rsidR="00975895" w:rsidRPr="003015FD">
        <w:t xml:space="preserve"> </w:t>
      </w:r>
      <w:r w:rsidRPr="003015FD">
        <w:t>less</w:t>
      </w:r>
      <w:r w:rsidR="00975895" w:rsidRPr="003015FD">
        <w:t xml:space="preserve"> </w:t>
      </w:r>
      <w:r w:rsidRPr="003015FD">
        <w:t>restrictive</w:t>
      </w:r>
      <w:r w:rsidR="00975895" w:rsidRPr="003015FD">
        <w:t xml:space="preserve"> </w:t>
      </w:r>
      <w:r w:rsidRPr="003015FD">
        <w:t>means</w:t>
      </w:r>
      <w:r w:rsidR="00975895" w:rsidRPr="003015FD">
        <w:t xml:space="preserve"> </w:t>
      </w:r>
      <w:r w:rsidRPr="003015FD">
        <w:t>of</w:t>
      </w:r>
      <w:r w:rsidR="00975895" w:rsidRPr="003015FD">
        <w:t xml:space="preserve"> </w:t>
      </w:r>
      <w:r w:rsidRPr="003015FD">
        <w:t>achieving</w:t>
      </w:r>
      <w:r w:rsidR="00975895" w:rsidRPr="003015FD">
        <w:t xml:space="preserve"> </w:t>
      </w:r>
      <w:r w:rsidRPr="003015FD">
        <w:t>the</w:t>
      </w:r>
      <w:r w:rsidR="00975895" w:rsidRPr="003015FD">
        <w:t xml:space="preserve"> </w:t>
      </w:r>
      <w:r w:rsidRPr="003015FD">
        <w:t>purpose</w:t>
      </w:r>
      <w:r w:rsidR="00975895" w:rsidRPr="003015FD">
        <w:t xml:space="preserve"> </w:t>
      </w:r>
      <w:r w:rsidRPr="003015FD">
        <w:t>of</w:t>
      </w:r>
      <w:r w:rsidR="00975895" w:rsidRPr="003015FD">
        <w:t xml:space="preserve"> </w:t>
      </w:r>
      <w:r w:rsidRPr="003015FD">
        <w:t>the</w:t>
      </w:r>
      <w:r w:rsidR="00975895" w:rsidRPr="003015FD">
        <w:t xml:space="preserve"> </w:t>
      </w:r>
      <w:r w:rsidRPr="003015FD">
        <w:t>amendments,</w:t>
      </w:r>
      <w:r w:rsidR="00975895" w:rsidRPr="003015FD">
        <w:t xml:space="preserve"> </w:t>
      </w:r>
      <w:r w:rsidRPr="003015FD">
        <w:t>which</w:t>
      </w:r>
      <w:r w:rsidR="00975895" w:rsidRPr="003015FD">
        <w:t xml:space="preserve"> </w:t>
      </w:r>
      <w:r w:rsidRPr="003015FD">
        <w:t>is</w:t>
      </w:r>
      <w:r w:rsidR="00975895" w:rsidRPr="003015FD">
        <w:t xml:space="preserve"> </w:t>
      </w:r>
      <w:r w:rsidR="00BB1F36">
        <w:t>“</w:t>
      </w:r>
      <w:r w:rsidRPr="003015FD">
        <w:t>to</w:t>
      </w:r>
      <w:r w:rsidR="00975895" w:rsidRPr="003015FD">
        <w:t xml:space="preserve"> </w:t>
      </w:r>
      <w:r w:rsidRPr="003015FD">
        <w:t>protect</w:t>
      </w:r>
      <w:r w:rsidR="00975895" w:rsidRPr="003015FD">
        <w:t xml:space="preserve"> </w:t>
      </w:r>
      <w:r w:rsidRPr="003015FD">
        <w:t>society</w:t>
      </w:r>
      <w:r w:rsidR="00BB1F36">
        <w:t>”</w:t>
      </w:r>
      <w:r w:rsidRPr="003015FD">
        <w:t>.</w:t>
      </w:r>
      <w:r w:rsidR="00975895" w:rsidRPr="003015FD">
        <w:t xml:space="preserve"> </w:t>
      </w:r>
    </w:p>
    <w:p w14:paraId="1BFAF264" w14:textId="62A32BE3" w:rsidR="008E0945" w:rsidRPr="003015FD" w:rsidRDefault="008E0945" w:rsidP="0002642E">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the</w:t>
      </w:r>
      <w:r w:rsidR="00975895" w:rsidRPr="003015FD">
        <w:t xml:space="preserve"> </w:t>
      </w:r>
      <w:r w:rsidRPr="003015FD">
        <w:t>impact</w:t>
      </w:r>
      <w:r w:rsidR="00975895" w:rsidRPr="003015FD">
        <w:t xml:space="preserve"> </w:t>
      </w:r>
      <w:r w:rsidRPr="003015FD">
        <w:t>on</w:t>
      </w:r>
      <w:r w:rsidR="00975895" w:rsidRPr="003015FD">
        <w:t xml:space="preserve"> </w:t>
      </w:r>
      <w:r w:rsidRPr="003015FD">
        <w:t>the</w:t>
      </w:r>
      <w:r w:rsidR="00975895" w:rsidRPr="003015FD">
        <w:t xml:space="preserve"> </w:t>
      </w:r>
      <w:r w:rsidRPr="003015FD">
        <w:t>relevant</w:t>
      </w:r>
      <w:r w:rsidR="00975895" w:rsidRPr="003015FD">
        <w:t xml:space="preserve"> </w:t>
      </w:r>
      <w:r w:rsidRPr="003015FD">
        <w:t>Charter</w:t>
      </w:r>
      <w:r w:rsidR="00975895" w:rsidRPr="003015FD">
        <w:t xml:space="preserve"> </w:t>
      </w:r>
      <w:r w:rsidRPr="003015FD">
        <w:t>rights,</w:t>
      </w:r>
      <w:r w:rsidR="00975895" w:rsidRPr="003015FD">
        <w:t xml:space="preserve"> </w:t>
      </w:r>
      <w:r w:rsidRPr="003015FD">
        <w:t>the</w:t>
      </w:r>
      <w:r w:rsidR="00975895" w:rsidRPr="003015FD">
        <w:t xml:space="preserve"> </w:t>
      </w:r>
      <w:r w:rsidRPr="003015FD">
        <w:t>Statement</w:t>
      </w:r>
      <w:r w:rsidR="00975895" w:rsidRPr="003015FD">
        <w:t xml:space="preserve"> </w:t>
      </w:r>
      <w:r w:rsidRPr="003015FD">
        <w:t>of</w:t>
      </w:r>
      <w:r w:rsidR="00975895" w:rsidRPr="003015FD">
        <w:t xml:space="preserve"> </w:t>
      </w:r>
      <w:r w:rsidRPr="003015FD">
        <w:t>Compatibility</w:t>
      </w:r>
      <w:r w:rsidR="00975895" w:rsidRPr="003015FD">
        <w:t xml:space="preserve"> </w:t>
      </w:r>
      <w:r w:rsidRPr="003015FD">
        <w:t>provided</w:t>
      </w:r>
      <w:r w:rsidR="00975895" w:rsidRPr="003015FD">
        <w:t xml:space="preserve"> </w:t>
      </w:r>
      <w:r w:rsidRPr="003015FD">
        <w:t>that</w:t>
      </w:r>
      <w:r w:rsidR="00975895" w:rsidRPr="003015FD">
        <w:t xml:space="preserve"> </w:t>
      </w:r>
      <w:r w:rsidRPr="003015FD">
        <w:t>the</w:t>
      </w:r>
      <w:r w:rsidR="00975895" w:rsidRPr="003015FD">
        <w:t xml:space="preserve"> </w:t>
      </w:r>
      <w:r w:rsidRPr="003015FD">
        <w:t>limitation</w:t>
      </w:r>
      <w:r w:rsidR="00975895" w:rsidRPr="003015FD">
        <w:t xml:space="preserve"> </w:t>
      </w:r>
      <w:r w:rsidRPr="003015FD">
        <w:t>of</w:t>
      </w:r>
      <w:r w:rsidR="00975895" w:rsidRPr="003015FD">
        <w:t xml:space="preserve"> </w:t>
      </w:r>
      <w:r w:rsidRPr="003015FD">
        <w:t>the</w:t>
      </w:r>
      <w:r w:rsidR="00975895" w:rsidRPr="003015FD">
        <w:t xml:space="preserve"> </w:t>
      </w:r>
      <w:r w:rsidRPr="003015FD">
        <w:t>rights</w:t>
      </w:r>
      <w:r w:rsidR="00975895" w:rsidRPr="003015FD">
        <w:t xml:space="preserve"> </w:t>
      </w:r>
      <w:r w:rsidRPr="003015FD">
        <w:t>was</w:t>
      </w:r>
      <w:r w:rsidR="00975895" w:rsidRPr="003015FD">
        <w:t xml:space="preserve"> </w:t>
      </w:r>
      <w:r w:rsidRPr="003015FD">
        <w:t>confined,</w:t>
      </w:r>
      <w:r w:rsidR="00975895" w:rsidRPr="003015FD">
        <w:t xml:space="preserve"> </w:t>
      </w:r>
      <w:r w:rsidRPr="003015FD">
        <w:t>with</w:t>
      </w:r>
      <w:r w:rsidR="00975895" w:rsidRPr="003015FD">
        <w:t xml:space="preserve"> </w:t>
      </w:r>
      <w:r w:rsidRPr="003015FD">
        <w:t>the</w:t>
      </w:r>
      <w:r w:rsidR="00975895" w:rsidRPr="003015FD">
        <w:t xml:space="preserve"> </w:t>
      </w:r>
      <w:r w:rsidRPr="003015FD">
        <w:t>amendments</w:t>
      </w:r>
      <w:r w:rsidR="00975895" w:rsidRPr="003015FD">
        <w:t xml:space="preserve"> </w:t>
      </w:r>
      <w:r w:rsidRPr="003015FD">
        <w:t>only</w:t>
      </w:r>
      <w:r w:rsidR="00975895" w:rsidRPr="003015FD">
        <w:t xml:space="preserve"> </w:t>
      </w:r>
      <w:r w:rsidRPr="003015FD">
        <w:t>affecting</w:t>
      </w:r>
      <w:r w:rsidR="00975895" w:rsidRPr="003015FD">
        <w:t xml:space="preserve"> </w:t>
      </w:r>
      <w:r w:rsidRPr="003015FD">
        <w:t>the</w:t>
      </w:r>
      <w:r w:rsidR="00975895" w:rsidRPr="003015FD">
        <w:t xml:space="preserve"> </w:t>
      </w:r>
      <w:r w:rsidRPr="003015FD">
        <w:t>parole</w:t>
      </w:r>
      <w:r w:rsidR="00975895" w:rsidRPr="003015FD">
        <w:t xml:space="preserve"> </w:t>
      </w:r>
      <w:r w:rsidRPr="003015FD">
        <w:t>applications</w:t>
      </w:r>
      <w:r w:rsidR="00975895" w:rsidRPr="003015FD">
        <w:t xml:space="preserve"> </w:t>
      </w:r>
      <w:r w:rsidRPr="003015FD">
        <w:t>of</w:t>
      </w:r>
      <w:r w:rsidR="00975895" w:rsidRPr="003015FD">
        <w:t xml:space="preserve"> </w:t>
      </w:r>
      <w:r w:rsidRPr="003015FD">
        <w:t>three</w:t>
      </w:r>
      <w:r w:rsidR="00975895" w:rsidRPr="003015FD">
        <w:t xml:space="preserve"> </w:t>
      </w:r>
      <w:r w:rsidRPr="003015FD">
        <w:t>prisoners</w:t>
      </w:r>
      <w:r w:rsidR="00975895" w:rsidRPr="003015FD">
        <w:t xml:space="preserve"> </w:t>
      </w:r>
      <w:r w:rsidRPr="003015FD">
        <w:t>currently</w:t>
      </w:r>
      <w:r w:rsidR="00975895" w:rsidRPr="003015FD">
        <w:t xml:space="preserve"> </w:t>
      </w:r>
      <w:r w:rsidRPr="003015FD">
        <w:t>serving</w:t>
      </w:r>
      <w:r w:rsidR="00975895" w:rsidRPr="003015FD">
        <w:t xml:space="preserve"> </w:t>
      </w:r>
      <w:r w:rsidRPr="003015FD">
        <w:t>life</w:t>
      </w:r>
      <w:r w:rsidR="00975895" w:rsidRPr="003015FD">
        <w:t xml:space="preserve"> </w:t>
      </w:r>
      <w:r w:rsidRPr="003015FD">
        <w:t>sentences</w:t>
      </w:r>
      <w:r w:rsidR="00975895" w:rsidRPr="003015FD">
        <w:t xml:space="preserve"> </w:t>
      </w:r>
      <w:r w:rsidRPr="003015FD">
        <w:t>with</w:t>
      </w:r>
      <w:r w:rsidR="00975895" w:rsidRPr="003015FD">
        <w:t xml:space="preserve"> </w:t>
      </w:r>
      <w:r w:rsidRPr="003015FD">
        <w:t>non-parole</w:t>
      </w:r>
      <w:r w:rsidR="00975895" w:rsidRPr="003015FD">
        <w:t xml:space="preserve"> </w:t>
      </w:r>
      <w:r w:rsidRPr="003015FD">
        <w:t>periods</w:t>
      </w:r>
      <w:r w:rsidR="00975895" w:rsidRPr="003015FD">
        <w:t xml:space="preserve"> </w:t>
      </w:r>
      <w:r w:rsidRPr="003015FD">
        <w:t>for</w:t>
      </w:r>
      <w:r w:rsidR="00975895" w:rsidRPr="003015FD">
        <w:t xml:space="preserve"> </w:t>
      </w:r>
      <w:r w:rsidRPr="003015FD">
        <w:t>the</w:t>
      </w:r>
      <w:r w:rsidR="00975895" w:rsidRPr="003015FD">
        <w:t xml:space="preserve"> </w:t>
      </w:r>
      <w:r w:rsidRPr="003015FD">
        <w:t>murders</w:t>
      </w:r>
      <w:r w:rsidR="00975895" w:rsidRPr="003015FD">
        <w:t xml:space="preserve"> </w:t>
      </w:r>
      <w:r w:rsidRPr="003015FD">
        <w:t>of</w:t>
      </w:r>
      <w:r w:rsidR="00975895" w:rsidRPr="003015FD">
        <w:t xml:space="preserve"> </w:t>
      </w:r>
      <w:r w:rsidRPr="003015FD">
        <w:t>police</w:t>
      </w:r>
      <w:r w:rsidR="00975895" w:rsidRPr="003015FD">
        <w:t xml:space="preserve"> </w:t>
      </w:r>
      <w:r w:rsidRPr="003015FD">
        <w:t>officers.</w:t>
      </w:r>
      <w:r w:rsidR="00975895" w:rsidRPr="003015FD">
        <w:t xml:space="preserve"> </w:t>
      </w:r>
    </w:p>
    <w:p w14:paraId="0531AF89" w14:textId="1FA1C57F" w:rsidR="008E0945" w:rsidRPr="003015FD" w:rsidRDefault="008E0945" w:rsidP="005B74F5">
      <w:pPr>
        <w:rPr>
          <w:color w:val="000000" w:themeColor="text1"/>
        </w:rPr>
      </w:pPr>
      <w:r w:rsidRPr="003015FD">
        <w:t>The</w:t>
      </w:r>
      <w:r w:rsidR="00975895" w:rsidRPr="003015FD">
        <w:t xml:space="preserve"> </w:t>
      </w:r>
      <w:r w:rsidRPr="003015FD">
        <w:t>Statement</w:t>
      </w:r>
      <w:r w:rsidR="00975895" w:rsidRPr="003015FD">
        <w:t xml:space="preserve"> </w:t>
      </w:r>
      <w:r w:rsidRPr="003015FD">
        <w:t>of</w:t>
      </w:r>
      <w:r w:rsidR="00975895" w:rsidRPr="003015FD">
        <w:t xml:space="preserve"> </w:t>
      </w:r>
      <w:r w:rsidRPr="003015FD">
        <w:t>Compatibility</w:t>
      </w:r>
      <w:r w:rsidR="00975895" w:rsidRPr="003015FD">
        <w:t xml:space="preserve"> </w:t>
      </w:r>
      <w:r w:rsidRPr="003015FD">
        <w:t>acknowledged</w:t>
      </w:r>
      <w:r w:rsidR="00975895" w:rsidRPr="003015FD">
        <w:t xml:space="preserve"> </w:t>
      </w:r>
      <w:r w:rsidRPr="003015FD">
        <w:t>that</w:t>
      </w:r>
      <w:r w:rsidR="00975895" w:rsidRPr="003015FD">
        <w:t xml:space="preserve"> </w:t>
      </w:r>
      <w:r w:rsidRPr="003015FD">
        <w:t>the</w:t>
      </w:r>
      <w:r w:rsidR="00975895" w:rsidRPr="003015FD">
        <w:t xml:space="preserve"> </w:t>
      </w:r>
      <w:r w:rsidRPr="003015FD">
        <w:t>nature</w:t>
      </w:r>
      <w:r w:rsidR="00975895" w:rsidRPr="003015FD">
        <w:t xml:space="preserve"> </w:t>
      </w:r>
      <w:r w:rsidRPr="003015FD">
        <w:t>of</w:t>
      </w:r>
      <w:r w:rsidR="00975895" w:rsidRPr="003015FD">
        <w:t xml:space="preserve"> </w:t>
      </w:r>
      <w:r w:rsidRPr="003015FD">
        <w:t>the</w:t>
      </w:r>
      <w:r w:rsidR="00975895" w:rsidRPr="003015FD">
        <w:t xml:space="preserve"> </w:t>
      </w:r>
      <w:r w:rsidRPr="003015FD">
        <w:t>limitation</w:t>
      </w:r>
      <w:r w:rsidR="00975895" w:rsidRPr="003015FD">
        <w:t xml:space="preserve"> </w:t>
      </w:r>
      <w:r w:rsidRPr="003015FD">
        <w:t>was</w:t>
      </w:r>
      <w:r w:rsidR="00975895" w:rsidRPr="003015FD">
        <w:t xml:space="preserve"> </w:t>
      </w:r>
      <w:r w:rsidRPr="003015FD">
        <w:t>severe</w:t>
      </w:r>
      <w:r w:rsidR="00975895" w:rsidRPr="003015FD">
        <w:t xml:space="preserve"> </w:t>
      </w:r>
      <w:r w:rsidRPr="003015FD">
        <w:t>for</w:t>
      </w:r>
      <w:r w:rsidR="00975895" w:rsidRPr="003015FD">
        <w:t xml:space="preserve"> </w:t>
      </w:r>
      <w:r w:rsidRPr="003015FD">
        <w:t>the</w:t>
      </w:r>
      <w:r w:rsidR="00975895" w:rsidRPr="003015FD">
        <w:t xml:space="preserve"> </w:t>
      </w:r>
      <w:r w:rsidRPr="003015FD">
        <w:t>prisoners</w:t>
      </w:r>
      <w:r w:rsidR="00975895" w:rsidRPr="003015FD">
        <w:t xml:space="preserve"> </w:t>
      </w:r>
      <w:r w:rsidRPr="003015FD">
        <w:t>affected,</w:t>
      </w:r>
      <w:r w:rsidR="00975895" w:rsidRPr="003015FD">
        <w:t xml:space="preserve"> </w:t>
      </w:r>
      <w:r w:rsidRPr="003015FD">
        <w:t>as</w:t>
      </w:r>
      <w:r w:rsidR="00975895" w:rsidRPr="003015FD">
        <w:t xml:space="preserve"> </w:t>
      </w:r>
      <w:r w:rsidRPr="003015FD">
        <w:t>it</w:t>
      </w:r>
      <w:r w:rsidR="00975895" w:rsidRPr="003015FD">
        <w:t xml:space="preserve"> </w:t>
      </w:r>
      <w:r w:rsidRPr="003015FD">
        <w:t>would</w:t>
      </w:r>
      <w:r w:rsidR="00975895" w:rsidRPr="003015FD">
        <w:t xml:space="preserve"> </w:t>
      </w:r>
      <w:r w:rsidRPr="003015FD">
        <w:t>prevent</w:t>
      </w:r>
      <w:r w:rsidR="00975895" w:rsidRPr="003015FD">
        <w:t xml:space="preserve"> </w:t>
      </w:r>
      <w:r w:rsidRPr="003015FD">
        <w:t>the</w:t>
      </w:r>
      <w:r w:rsidR="00975895" w:rsidRPr="003015FD">
        <w:t xml:space="preserve"> </w:t>
      </w:r>
      <w:r w:rsidRPr="003015FD">
        <w:t>offender</w:t>
      </w:r>
      <w:r w:rsidR="00975895" w:rsidRPr="003015FD">
        <w:t xml:space="preserve"> </w:t>
      </w:r>
      <w:r w:rsidRPr="003015FD">
        <w:t>from</w:t>
      </w:r>
      <w:r w:rsidR="00975895" w:rsidRPr="003015FD">
        <w:t xml:space="preserve"> </w:t>
      </w:r>
      <w:r w:rsidRPr="003015FD">
        <w:t>seeking</w:t>
      </w:r>
      <w:r w:rsidR="00975895" w:rsidRPr="003015FD">
        <w:t xml:space="preserve"> </w:t>
      </w:r>
      <w:r w:rsidRPr="003015FD">
        <w:t>parole</w:t>
      </w:r>
      <w:r w:rsidR="00975895" w:rsidRPr="003015FD">
        <w:t xml:space="preserve"> </w:t>
      </w:r>
      <w:r w:rsidRPr="003015FD">
        <w:t>except</w:t>
      </w:r>
      <w:r w:rsidR="00975895" w:rsidRPr="003015FD">
        <w:t xml:space="preserve"> </w:t>
      </w:r>
      <w:r w:rsidRPr="003015FD">
        <w:t>in</w:t>
      </w:r>
      <w:r w:rsidR="00975895" w:rsidRPr="003015FD">
        <w:t xml:space="preserve"> </w:t>
      </w:r>
      <w:r w:rsidRPr="003015FD">
        <w:t>very</w:t>
      </w:r>
      <w:r w:rsidR="00975895" w:rsidRPr="003015FD">
        <w:t xml:space="preserve"> </w:t>
      </w:r>
      <w:r w:rsidRPr="003015FD">
        <w:t>limited</w:t>
      </w:r>
      <w:r w:rsidR="00975895" w:rsidRPr="003015FD">
        <w:t xml:space="preserve"> </w:t>
      </w:r>
      <w:r w:rsidRPr="003015FD">
        <w:t>circumstances</w:t>
      </w:r>
      <w:r w:rsidR="00975895" w:rsidRPr="003015FD">
        <w:t xml:space="preserve"> </w:t>
      </w:r>
      <w:r w:rsidRPr="003015FD">
        <w:t>(that</w:t>
      </w:r>
      <w:r w:rsidR="00975895" w:rsidRPr="003015FD">
        <w:t xml:space="preserve"> </w:t>
      </w:r>
      <w:r w:rsidRPr="003015FD">
        <w:t>is,</w:t>
      </w:r>
      <w:r w:rsidR="00975895" w:rsidRPr="003015FD">
        <w:t xml:space="preserve"> </w:t>
      </w:r>
      <w:r w:rsidRPr="003015FD">
        <w:t>where</w:t>
      </w:r>
      <w:r w:rsidR="00975895" w:rsidRPr="003015FD">
        <w:t xml:space="preserve"> </w:t>
      </w:r>
      <w:r w:rsidRPr="003015FD">
        <w:t>the</w:t>
      </w:r>
      <w:r w:rsidR="00975895" w:rsidRPr="003015FD">
        <w:t xml:space="preserve"> </w:t>
      </w:r>
      <w:r w:rsidRPr="003015FD">
        <w:t>offender</w:t>
      </w:r>
      <w:r w:rsidR="00975895" w:rsidRPr="003015FD">
        <w:t xml:space="preserve"> </w:t>
      </w:r>
      <w:r w:rsidRPr="0002642E">
        <w:rPr>
          <w:color w:val="000000" w:themeColor="text1"/>
        </w:rPr>
        <w:t>is</w:t>
      </w:r>
      <w:r w:rsidR="00975895" w:rsidRPr="0002642E">
        <w:rPr>
          <w:color w:val="000000" w:themeColor="text1"/>
        </w:rPr>
        <w:t xml:space="preserve"> </w:t>
      </w:r>
      <w:r w:rsidRPr="0002642E">
        <w:rPr>
          <w:color w:val="000000" w:themeColor="text1"/>
        </w:rPr>
        <w:t>dying</w:t>
      </w:r>
      <w:r w:rsidR="00975895" w:rsidRPr="0002642E">
        <w:rPr>
          <w:color w:val="000000" w:themeColor="text1"/>
        </w:rPr>
        <w:t xml:space="preserve"> </w:t>
      </w:r>
      <w:r w:rsidRPr="0002642E">
        <w:rPr>
          <w:color w:val="000000" w:themeColor="text1"/>
        </w:rPr>
        <w:t>or</w:t>
      </w:r>
      <w:r w:rsidR="00975895" w:rsidRPr="0002642E">
        <w:rPr>
          <w:color w:val="000000" w:themeColor="text1"/>
        </w:rPr>
        <w:t xml:space="preserve"> </w:t>
      </w:r>
      <w:r w:rsidRPr="0002642E">
        <w:rPr>
          <w:color w:val="000000" w:themeColor="text1"/>
        </w:rPr>
        <w:t>seriously</w:t>
      </w:r>
      <w:r w:rsidR="00975895" w:rsidRPr="0002642E">
        <w:rPr>
          <w:color w:val="000000" w:themeColor="text1"/>
        </w:rPr>
        <w:t xml:space="preserve"> </w:t>
      </w:r>
      <w:r w:rsidRPr="0002642E">
        <w:rPr>
          <w:color w:val="000000" w:themeColor="text1"/>
        </w:rPr>
        <w:t>incapacitated</w:t>
      </w:r>
      <w:r w:rsidR="003B428A">
        <w:t>). Also,</w:t>
      </w:r>
      <w:r w:rsidR="00975895" w:rsidRPr="003015FD">
        <w:t xml:space="preserve"> </w:t>
      </w:r>
      <w:r w:rsidRPr="003015FD">
        <w:t>the</w:t>
      </w:r>
      <w:r w:rsidR="00975895" w:rsidRPr="003015FD">
        <w:t xml:space="preserve"> </w:t>
      </w:r>
      <w:r w:rsidRPr="003015FD">
        <w:t>retrospective</w:t>
      </w:r>
      <w:r w:rsidR="00975895" w:rsidRPr="003015FD">
        <w:t xml:space="preserve"> </w:t>
      </w:r>
      <w:r w:rsidRPr="003015FD">
        <w:t>application</w:t>
      </w:r>
      <w:r w:rsidR="00975895" w:rsidRPr="003015FD">
        <w:t xml:space="preserve"> </w:t>
      </w:r>
      <w:r w:rsidRPr="003015FD">
        <w:t>means</w:t>
      </w:r>
      <w:r w:rsidR="00975895" w:rsidRPr="003015FD">
        <w:t xml:space="preserve"> </w:t>
      </w:r>
      <w:r w:rsidRPr="003015FD">
        <w:t>that</w:t>
      </w:r>
      <w:r w:rsidR="00975895" w:rsidRPr="003015FD">
        <w:t xml:space="preserve"> </w:t>
      </w:r>
      <w:r w:rsidRPr="003015FD">
        <w:t>up</w:t>
      </w:r>
      <w:r w:rsidR="00975895" w:rsidRPr="003015FD">
        <w:t xml:space="preserve"> </w:t>
      </w:r>
      <w:r w:rsidRPr="003015FD">
        <w:t>until</w:t>
      </w:r>
      <w:r w:rsidR="00975895" w:rsidRPr="003015FD">
        <w:t xml:space="preserve"> </w:t>
      </w:r>
      <w:r w:rsidRPr="003015FD">
        <w:t>the</w:t>
      </w:r>
      <w:r w:rsidR="00975895" w:rsidRPr="003015FD">
        <w:t xml:space="preserve"> </w:t>
      </w:r>
      <w:r w:rsidRPr="003015FD">
        <w:t>reforms</w:t>
      </w:r>
      <w:r w:rsidR="00975895" w:rsidRPr="003015FD">
        <w:t xml:space="preserve"> </w:t>
      </w:r>
      <w:r w:rsidRPr="003015FD">
        <w:t>were</w:t>
      </w:r>
      <w:r w:rsidR="00975895" w:rsidRPr="003015FD">
        <w:t xml:space="preserve"> </w:t>
      </w:r>
      <w:r w:rsidRPr="003015FD">
        <w:t>announced,</w:t>
      </w:r>
      <w:r w:rsidR="00975895" w:rsidRPr="003015FD">
        <w:t xml:space="preserve"> </w:t>
      </w:r>
      <w:r w:rsidRPr="003015FD">
        <w:t>the</w:t>
      </w:r>
      <w:r w:rsidR="00975895" w:rsidRPr="003015FD">
        <w:t xml:space="preserve"> </w:t>
      </w:r>
      <w:r w:rsidRPr="003015FD">
        <w:t>offenders</w:t>
      </w:r>
      <w:r w:rsidR="00975895" w:rsidRPr="003015FD">
        <w:t xml:space="preserve"> </w:t>
      </w:r>
      <w:r w:rsidRPr="003015FD">
        <w:t>would</w:t>
      </w:r>
      <w:r w:rsidR="00975895" w:rsidRPr="003015FD">
        <w:t xml:space="preserve"> </w:t>
      </w:r>
      <w:r w:rsidRPr="003015FD">
        <w:t>have</w:t>
      </w:r>
      <w:r w:rsidR="00975895" w:rsidRPr="003015FD">
        <w:t xml:space="preserve"> </w:t>
      </w:r>
      <w:r w:rsidRPr="003015FD">
        <w:t>had</w:t>
      </w:r>
      <w:r w:rsidR="00975895" w:rsidRPr="003015FD">
        <w:t xml:space="preserve"> </w:t>
      </w:r>
      <w:r w:rsidRPr="003015FD">
        <w:t>an</w:t>
      </w:r>
      <w:r w:rsidR="00975895" w:rsidRPr="003015FD">
        <w:t xml:space="preserve"> </w:t>
      </w:r>
      <w:r w:rsidRPr="003015FD">
        <w:t>expectation</w:t>
      </w:r>
      <w:r w:rsidR="00975895" w:rsidRPr="003015FD">
        <w:t xml:space="preserve"> </w:t>
      </w:r>
      <w:r w:rsidR="00BB1F36">
        <w:t>“</w:t>
      </w:r>
      <w:r w:rsidRPr="003015FD">
        <w:t>that</w:t>
      </w:r>
      <w:r w:rsidR="00975895" w:rsidRPr="003015FD">
        <w:t xml:space="preserve"> </w:t>
      </w:r>
      <w:r w:rsidRPr="003015FD">
        <w:t>they</w:t>
      </w:r>
      <w:r w:rsidR="00975895" w:rsidRPr="003015FD">
        <w:t xml:space="preserve"> </w:t>
      </w:r>
      <w:r w:rsidRPr="003015FD">
        <w:t>may</w:t>
      </w:r>
      <w:r w:rsidR="00975895" w:rsidRPr="003015FD">
        <w:t xml:space="preserve"> </w:t>
      </w:r>
      <w:r w:rsidRPr="003015FD">
        <w:t>have</w:t>
      </w:r>
      <w:r w:rsidR="00975895" w:rsidRPr="003015FD">
        <w:t xml:space="preserve"> </w:t>
      </w:r>
      <w:r w:rsidRPr="003015FD">
        <w:t>some</w:t>
      </w:r>
      <w:r w:rsidR="00975895" w:rsidRPr="003015FD">
        <w:t xml:space="preserve"> </w:t>
      </w:r>
      <w:r w:rsidRPr="003015FD">
        <w:t>possibility</w:t>
      </w:r>
      <w:r w:rsidR="00975895" w:rsidRPr="003015FD">
        <w:t xml:space="preserve"> </w:t>
      </w:r>
      <w:r w:rsidRPr="003015FD">
        <w:t>for</w:t>
      </w:r>
      <w:r w:rsidR="00975895" w:rsidRPr="003015FD">
        <w:t xml:space="preserve"> </w:t>
      </w:r>
      <w:r w:rsidRPr="003015FD">
        <w:t>release</w:t>
      </w:r>
      <w:r w:rsidR="00975895" w:rsidRPr="003015FD">
        <w:t xml:space="preserve"> </w:t>
      </w:r>
      <w:r w:rsidRPr="003015FD">
        <w:t>in</w:t>
      </w:r>
      <w:r w:rsidR="00975895" w:rsidRPr="003015FD">
        <w:t xml:space="preserve"> </w:t>
      </w:r>
      <w:r w:rsidRPr="003015FD">
        <w:t>the</w:t>
      </w:r>
      <w:r w:rsidR="00975895" w:rsidRPr="003015FD">
        <w:t xml:space="preserve"> </w:t>
      </w:r>
      <w:r w:rsidRPr="003015FD">
        <w:t>future</w:t>
      </w:r>
      <w:r w:rsidR="00975895" w:rsidRPr="003015FD">
        <w:t xml:space="preserve"> </w:t>
      </w:r>
      <w:r w:rsidRPr="003015FD">
        <w:t>and</w:t>
      </w:r>
      <w:r w:rsidR="00975895" w:rsidRPr="003015FD">
        <w:t xml:space="preserve"> </w:t>
      </w:r>
      <w:r w:rsidRPr="003015FD">
        <w:t>the</w:t>
      </w:r>
      <w:r w:rsidR="00975895" w:rsidRPr="003015FD">
        <w:t xml:space="preserve"> </w:t>
      </w:r>
      <w:r w:rsidRPr="003015FD">
        <w:t>capacity</w:t>
      </w:r>
      <w:r w:rsidR="00975895" w:rsidRPr="003015FD">
        <w:t xml:space="preserve"> </w:t>
      </w:r>
      <w:r w:rsidRPr="003015FD">
        <w:t>to</w:t>
      </w:r>
      <w:r w:rsidR="00975895" w:rsidRPr="003015FD">
        <w:t xml:space="preserve"> </w:t>
      </w:r>
      <w:r w:rsidRPr="003015FD">
        <w:t>live</w:t>
      </w:r>
      <w:r w:rsidR="00975895" w:rsidRPr="003015FD">
        <w:t xml:space="preserve"> </w:t>
      </w:r>
      <w:r w:rsidRPr="003015FD">
        <w:t>a</w:t>
      </w:r>
      <w:r w:rsidR="00975895" w:rsidRPr="003015FD">
        <w:t xml:space="preserve"> </w:t>
      </w:r>
      <w:r w:rsidRPr="003015FD">
        <w:t>useful</w:t>
      </w:r>
      <w:r w:rsidR="00975895" w:rsidRPr="003015FD">
        <w:t xml:space="preserve"> </w:t>
      </w:r>
      <w:r w:rsidRPr="003015FD">
        <w:t>life</w:t>
      </w:r>
      <w:r w:rsidR="00975895" w:rsidRPr="003015FD">
        <w:t xml:space="preserve"> </w:t>
      </w:r>
      <w:r w:rsidRPr="003015FD">
        <w:t>post-release</w:t>
      </w:r>
      <w:r w:rsidR="00BB1F36">
        <w:t>”</w:t>
      </w:r>
      <w:r w:rsidRPr="003015FD">
        <w:t>.</w:t>
      </w:r>
      <w:r w:rsidRPr="004862C5">
        <w:rPr>
          <w:rStyle w:val="FootnoteReference"/>
        </w:rPr>
        <w:footnoteReference w:id="45"/>
      </w:r>
    </w:p>
    <w:p w14:paraId="5E27E000" w14:textId="1C22609F" w:rsidR="008E0945" w:rsidRPr="003015FD" w:rsidRDefault="008E0945" w:rsidP="0002642E">
      <w:r w:rsidRPr="003015FD">
        <w:t>Although</w:t>
      </w:r>
      <w:r w:rsidR="00975895" w:rsidRPr="003015FD">
        <w:t xml:space="preserve"> </w:t>
      </w:r>
      <w:r w:rsidRPr="003015FD">
        <w:t>the</w:t>
      </w:r>
      <w:r w:rsidR="00975895" w:rsidRPr="003015FD">
        <w:t xml:space="preserve"> </w:t>
      </w:r>
      <w:r w:rsidRPr="003015FD">
        <w:t>amendments</w:t>
      </w:r>
      <w:r w:rsidR="00975895" w:rsidRPr="003015FD">
        <w:t xml:space="preserve"> </w:t>
      </w:r>
      <w:r w:rsidRPr="003015FD">
        <w:t>had</w:t>
      </w:r>
      <w:r w:rsidR="00975895" w:rsidRPr="003015FD">
        <w:t xml:space="preserve"> </w:t>
      </w:r>
      <w:r w:rsidRPr="003015FD">
        <w:t>already</w:t>
      </w:r>
      <w:r w:rsidR="00975895" w:rsidRPr="003015FD">
        <w:t xml:space="preserve"> </w:t>
      </w:r>
      <w:r w:rsidRPr="003015FD">
        <w:t>passed,</w:t>
      </w:r>
      <w:r w:rsidR="00975895" w:rsidRPr="003015FD">
        <w:t xml:space="preserve"> </w:t>
      </w:r>
      <w:r w:rsidRPr="003015FD">
        <w:t>SARC</w:t>
      </w:r>
      <w:r w:rsidR="00975895" w:rsidRPr="003015FD">
        <w:t xml:space="preserve"> </w:t>
      </w:r>
      <w:r w:rsidRPr="003015FD">
        <w:t>nonetheless</w:t>
      </w:r>
      <w:r w:rsidR="00975895" w:rsidRPr="003015FD">
        <w:t xml:space="preserve"> </w:t>
      </w:r>
      <w:r w:rsidRPr="003015FD">
        <w:t>reported</w:t>
      </w:r>
      <w:r w:rsidR="00975895" w:rsidRPr="003015FD">
        <w:t xml:space="preserve"> </w:t>
      </w:r>
      <w:r w:rsidRPr="003015FD">
        <w:t>on</w:t>
      </w:r>
      <w:r w:rsidR="00975895" w:rsidRPr="003015FD">
        <w:t xml:space="preserve"> </w:t>
      </w:r>
      <w:r w:rsidRPr="003015FD">
        <w:t>the</w:t>
      </w:r>
      <w:r w:rsidR="00975895" w:rsidRPr="003015FD">
        <w:t xml:space="preserve"> </w:t>
      </w:r>
      <w:r w:rsidRPr="003015FD">
        <w:t>Bill,</w:t>
      </w:r>
      <w:r w:rsidR="00975895" w:rsidRPr="003015FD">
        <w:t xml:space="preserve"> </w:t>
      </w:r>
      <w:r w:rsidRPr="003015FD">
        <w:t>referring</w:t>
      </w:r>
      <w:r w:rsidR="00975895" w:rsidRPr="003015FD">
        <w:t xml:space="preserve"> </w:t>
      </w:r>
      <w:r w:rsidRPr="003015FD">
        <w:t>to</w:t>
      </w:r>
      <w:r w:rsidR="00975895" w:rsidRPr="003015FD">
        <w:t xml:space="preserve"> </w:t>
      </w:r>
      <w:r w:rsidRPr="003015FD">
        <w:t>its</w:t>
      </w:r>
      <w:r w:rsidR="00975895" w:rsidRPr="003015FD">
        <w:t xml:space="preserve"> </w:t>
      </w:r>
      <w:r w:rsidRPr="003015FD">
        <w:t>discussion</w:t>
      </w:r>
      <w:r w:rsidR="00975895" w:rsidRPr="003015FD">
        <w:t xml:space="preserve"> </w:t>
      </w:r>
      <w:r w:rsidRPr="003015FD">
        <w:t>on</w:t>
      </w:r>
      <w:r w:rsidR="00975895" w:rsidRPr="003015FD">
        <w:t xml:space="preserve"> </w:t>
      </w:r>
      <w:r w:rsidRPr="003015FD">
        <w:t>the</w:t>
      </w:r>
      <w:r w:rsidR="00975895" w:rsidRPr="003015FD">
        <w:t xml:space="preserve"> </w:t>
      </w:r>
      <w:r w:rsidRPr="003015FD">
        <w:t>2016</w:t>
      </w:r>
      <w:r w:rsidR="00975895" w:rsidRPr="003015FD">
        <w:t xml:space="preserve"> </w:t>
      </w:r>
      <w:r w:rsidRPr="003015FD">
        <w:t>amendments</w:t>
      </w:r>
      <w:r w:rsidR="00975895" w:rsidRPr="003015FD">
        <w:t xml:space="preserve"> </w:t>
      </w:r>
      <w:r w:rsidRPr="003015FD">
        <w:t>and</w:t>
      </w:r>
      <w:r w:rsidR="00975895" w:rsidRPr="003015FD">
        <w:t xml:space="preserve"> </w:t>
      </w:r>
      <w:r w:rsidRPr="003015FD">
        <w:t>querying:</w:t>
      </w:r>
      <w:r w:rsidRPr="004862C5">
        <w:rPr>
          <w:rStyle w:val="FootnoteReference"/>
        </w:rPr>
        <w:footnoteReference w:id="46"/>
      </w:r>
      <w:r w:rsidR="00975895" w:rsidRPr="003015FD">
        <w:t xml:space="preserve"> </w:t>
      </w:r>
    </w:p>
    <w:p w14:paraId="3AC959E9" w14:textId="50CB35C0" w:rsidR="008E0945" w:rsidRPr="003015FD" w:rsidRDefault="008E0945" w:rsidP="0002642E">
      <w:pPr>
        <w:pStyle w:val="ListBullet"/>
      </w:pPr>
      <w:r w:rsidRPr="003015FD">
        <w:t>whether</w:t>
      </w:r>
      <w:r w:rsidR="00975895" w:rsidRPr="003015FD">
        <w:t xml:space="preserve"> </w:t>
      </w:r>
      <w:r w:rsidRPr="003015FD">
        <w:t>there</w:t>
      </w:r>
      <w:r w:rsidR="00975895" w:rsidRPr="003015FD">
        <w:t xml:space="preserve"> </w:t>
      </w:r>
      <w:r w:rsidRPr="003015FD">
        <w:t>were</w:t>
      </w:r>
      <w:r w:rsidR="00975895" w:rsidRPr="003015FD">
        <w:t xml:space="preserve"> </w:t>
      </w:r>
      <w:r w:rsidRPr="003015FD">
        <w:t>less</w:t>
      </w:r>
      <w:r w:rsidR="00975895" w:rsidRPr="003015FD">
        <w:t xml:space="preserve"> </w:t>
      </w:r>
      <w:r w:rsidRPr="003015FD">
        <w:t>restrictive</w:t>
      </w:r>
      <w:r w:rsidR="00975895" w:rsidRPr="003015FD">
        <w:t xml:space="preserve"> </w:t>
      </w:r>
      <w:r w:rsidRPr="003015FD">
        <w:t>means</w:t>
      </w:r>
      <w:r w:rsidR="00975895" w:rsidRPr="003015FD">
        <w:t xml:space="preserve"> </w:t>
      </w:r>
      <w:r w:rsidRPr="003015FD">
        <w:t>available</w:t>
      </w:r>
      <w:r w:rsidR="00632213" w:rsidRPr="00632213">
        <w:t xml:space="preserve"> </w:t>
      </w:r>
      <w:r w:rsidR="00632213" w:rsidRPr="003015FD">
        <w:t>that would achieve the purposes of the Bill (that is, to protect the community and deter future murders of police officers)</w:t>
      </w:r>
      <w:r w:rsidRPr="003015FD">
        <w:t>,</w:t>
      </w:r>
      <w:r w:rsidR="00975895" w:rsidRPr="003015FD">
        <w:t xml:space="preserve"> </w:t>
      </w:r>
      <w:r w:rsidRPr="003015FD">
        <w:t>such</w:t>
      </w:r>
      <w:r w:rsidR="00975895" w:rsidRPr="003015FD">
        <w:t xml:space="preserve"> </w:t>
      </w:r>
      <w:r w:rsidRPr="003015FD">
        <w:t>as</w:t>
      </w:r>
      <w:r w:rsidR="00975895" w:rsidRPr="003015FD">
        <w:t xml:space="preserve"> </w:t>
      </w:r>
      <w:r w:rsidRPr="003015FD">
        <w:t>the</w:t>
      </w:r>
      <w:r w:rsidR="00975895" w:rsidRPr="003015FD">
        <w:t xml:space="preserve"> </w:t>
      </w:r>
      <w:r w:rsidRPr="003015FD">
        <w:t>extension</w:t>
      </w:r>
      <w:r w:rsidR="00975895" w:rsidRPr="003015FD">
        <w:t xml:space="preserve"> </w:t>
      </w:r>
      <w:r w:rsidRPr="003015FD">
        <w:t>of</w:t>
      </w:r>
      <w:r w:rsidR="00975895" w:rsidRPr="003015FD">
        <w:t xml:space="preserve"> </w:t>
      </w:r>
      <w:r w:rsidRPr="003015FD">
        <w:t>the</w:t>
      </w:r>
      <w:r w:rsidR="00975895" w:rsidRPr="003015FD">
        <w:t xml:space="preserve"> </w:t>
      </w:r>
      <w:r w:rsidRPr="003015FD">
        <w:t>model</w:t>
      </w:r>
      <w:r w:rsidR="00975895" w:rsidRPr="003015FD">
        <w:t xml:space="preserve"> </w:t>
      </w:r>
      <w:r w:rsidRPr="003015FD">
        <w:t>in</w:t>
      </w:r>
      <w:r w:rsidR="00975895" w:rsidRPr="003015FD">
        <w:t xml:space="preserve"> </w:t>
      </w:r>
      <w:r w:rsidRPr="003015FD">
        <w:t>the</w:t>
      </w:r>
      <w:r w:rsidR="00975895" w:rsidRPr="003015FD">
        <w:t xml:space="preserve"> </w:t>
      </w:r>
      <w:r w:rsidRPr="0002642E">
        <w:rPr>
          <w:i/>
        </w:rPr>
        <w:t>Serious</w:t>
      </w:r>
      <w:r w:rsidR="00975895" w:rsidRPr="0002642E">
        <w:rPr>
          <w:i/>
        </w:rPr>
        <w:t xml:space="preserve"> </w:t>
      </w:r>
      <w:r w:rsidRPr="0002642E">
        <w:rPr>
          <w:i/>
        </w:rPr>
        <w:t>Offenders</w:t>
      </w:r>
      <w:r w:rsidR="00975895" w:rsidRPr="0002642E">
        <w:rPr>
          <w:i/>
        </w:rPr>
        <w:t xml:space="preserve"> </w:t>
      </w:r>
      <w:r w:rsidRPr="0002642E">
        <w:rPr>
          <w:i/>
        </w:rPr>
        <w:t>Act</w:t>
      </w:r>
      <w:r w:rsidR="00975895" w:rsidRPr="0002642E">
        <w:rPr>
          <w:i/>
        </w:rPr>
        <w:t xml:space="preserve"> </w:t>
      </w:r>
      <w:r w:rsidRPr="0002642E">
        <w:rPr>
          <w:i/>
        </w:rPr>
        <w:t>2018</w:t>
      </w:r>
      <w:r w:rsidR="00975895" w:rsidRPr="003015FD">
        <w:t xml:space="preserve"> </w:t>
      </w:r>
      <w:r w:rsidRPr="003015FD">
        <w:t>that</w:t>
      </w:r>
      <w:r w:rsidR="00975895" w:rsidRPr="003015FD">
        <w:t xml:space="preserve"> </w:t>
      </w:r>
      <w:r w:rsidRPr="003015FD">
        <w:t>allows</w:t>
      </w:r>
      <w:r w:rsidR="00975895" w:rsidRPr="003015FD">
        <w:t xml:space="preserve"> </w:t>
      </w:r>
      <w:r w:rsidRPr="003015FD">
        <w:t>for</w:t>
      </w:r>
      <w:r w:rsidR="00975895" w:rsidRPr="003015FD">
        <w:t xml:space="preserve"> </w:t>
      </w:r>
      <w:r w:rsidRPr="003015FD">
        <w:t>the</w:t>
      </w:r>
      <w:r w:rsidR="00975895" w:rsidRPr="003015FD">
        <w:t xml:space="preserve"> </w:t>
      </w:r>
      <w:r w:rsidRPr="003015FD">
        <w:t>ongoing</w:t>
      </w:r>
      <w:r w:rsidR="00975895" w:rsidRPr="003015FD">
        <w:t xml:space="preserve"> </w:t>
      </w:r>
      <w:r w:rsidRPr="003015FD">
        <w:t>detention</w:t>
      </w:r>
      <w:r w:rsidR="00975895" w:rsidRPr="003015FD">
        <w:t xml:space="preserve"> </w:t>
      </w:r>
      <w:r w:rsidRPr="003015FD">
        <w:t>of</w:t>
      </w:r>
      <w:r w:rsidR="00975895" w:rsidRPr="003015FD">
        <w:t xml:space="preserve"> </w:t>
      </w:r>
      <w:r w:rsidRPr="003015FD">
        <w:t>serious</w:t>
      </w:r>
      <w:r w:rsidR="00975895" w:rsidRPr="003015FD">
        <w:t xml:space="preserve"> </w:t>
      </w:r>
      <w:r w:rsidRPr="003015FD">
        <w:t>sex</w:t>
      </w:r>
      <w:r w:rsidR="00975895" w:rsidRPr="003015FD">
        <w:t xml:space="preserve"> </w:t>
      </w:r>
      <w:r w:rsidRPr="003015FD">
        <w:t>offenders</w:t>
      </w:r>
      <w:r w:rsidR="00975895" w:rsidRPr="003015FD">
        <w:t xml:space="preserve"> </w:t>
      </w:r>
    </w:p>
    <w:p w14:paraId="45A8BAE3" w14:textId="5DD28902" w:rsidR="008E0945" w:rsidRPr="003015FD" w:rsidRDefault="008E0945" w:rsidP="0002642E">
      <w:pPr>
        <w:pStyle w:val="ListBullet"/>
      </w:pPr>
      <w:r w:rsidRPr="003015FD">
        <w:t>whether</w:t>
      </w:r>
      <w:r w:rsidR="00975895" w:rsidRPr="003015FD">
        <w:t xml:space="preserve"> </w:t>
      </w:r>
      <w:r w:rsidRPr="003015FD">
        <w:t>the</w:t>
      </w:r>
      <w:r w:rsidR="00975895" w:rsidRPr="003015FD">
        <w:t xml:space="preserve"> </w:t>
      </w:r>
      <w:r w:rsidRPr="003015FD">
        <w:t>amendments</w:t>
      </w:r>
      <w:r w:rsidR="00975895" w:rsidRPr="003015FD">
        <w:t xml:space="preserve"> </w:t>
      </w:r>
      <w:r w:rsidRPr="003015FD">
        <w:t>would</w:t>
      </w:r>
      <w:r w:rsidR="00975895" w:rsidRPr="003015FD">
        <w:t xml:space="preserve"> </w:t>
      </w:r>
      <w:r w:rsidRPr="003015FD">
        <w:t>capture</w:t>
      </w:r>
      <w:r w:rsidR="00975895" w:rsidRPr="003015FD">
        <w:t xml:space="preserve"> </w:t>
      </w:r>
      <w:r w:rsidRPr="003015FD">
        <w:t>a</w:t>
      </w:r>
      <w:r w:rsidR="00975895" w:rsidRPr="003015FD">
        <w:t xml:space="preserve"> </w:t>
      </w:r>
      <w:r w:rsidRPr="003015FD">
        <w:t>person</w:t>
      </w:r>
      <w:r w:rsidR="00975895" w:rsidRPr="003015FD">
        <w:t xml:space="preserve"> </w:t>
      </w:r>
      <w:r w:rsidRPr="003015FD">
        <w:t>who</w:t>
      </w:r>
      <w:r w:rsidR="00975895" w:rsidRPr="003015FD">
        <w:t xml:space="preserve"> </w:t>
      </w:r>
      <w:r w:rsidRPr="003015FD">
        <w:t>committed</w:t>
      </w:r>
      <w:r w:rsidR="00975895" w:rsidRPr="003015FD">
        <w:t xml:space="preserve"> </w:t>
      </w:r>
      <w:r w:rsidRPr="003015FD">
        <w:t>the</w:t>
      </w:r>
      <w:r w:rsidR="00975895" w:rsidRPr="003015FD">
        <w:t xml:space="preserve"> </w:t>
      </w:r>
      <w:r w:rsidRPr="003015FD">
        <w:t>offending</w:t>
      </w:r>
      <w:r w:rsidR="00975895" w:rsidRPr="003015FD">
        <w:t xml:space="preserve"> </w:t>
      </w:r>
      <w:r w:rsidRPr="003015FD">
        <w:t>when</w:t>
      </w:r>
      <w:r w:rsidR="00975895" w:rsidRPr="003015FD">
        <w:t xml:space="preserve"> </w:t>
      </w:r>
      <w:r w:rsidRPr="003015FD">
        <w:t>he</w:t>
      </w:r>
      <w:r w:rsidR="00975895" w:rsidRPr="003015FD">
        <w:t xml:space="preserve"> </w:t>
      </w:r>
      <w:r w:rsidRPr="003015FD">
        <w:t>or</w:t>
      </w:r>
      <w:r w:rsidR="00975895" w:rsidRPr="003015FD">
        <w:t xml:space="preserve"> </w:t>
      </w:r>
      <w:r w:rsidRPr="003015FD">
        <w:t>she</w:t>
      </w:r>
      <w:r w:rsidR="00975895" w:rsidRPr="003015FD">
        <w:t xml:space="preserve"> </w:t>
      </w:r>
      <w:r w:rsidRPr="003015FD">
        <w:t>was</w:t>
      </w:r>
      <w:r w:rsidR="00975895" w:rsidRPr="003015FD">
        <w:t xml:space="preserve"> </w:t>
      </w:r>
      <w:r w:rsidRPr="003015FD">
        <w:t>a</w:t>
      </w:r>
      <w:r w:rsidR="00975895" w:rsidRPr="003015FD">
        <w:t xml:space="preserve"> </w:t>
      </w:r>
      <w:r w:rsidRPr="003015FD">
        <w:t>child</w:t>
      </w:r>
    </w:p>
    <w:p w14:paraId="75166B95" w14:textId="111DB9DD" w:rsidR="008E0945" w:rsidRPr="003015FD" w:rsidRDefault="008E0945" w:rsidP="0002642E">
      <w:pPr>
        <w:pStyle w:val="ListBullet"/>
      </w:pPr>
      <w:r w:rsidRPr="003015FD">
        <w:t>whether</w:t>
      </w:r>
      <w:r w:rsidR="00975895" w:rsidRPr="003015FD">
        <w:t xml:space="preserve"> </w:t>
      </w:r>
      <w:r w:rsidRPr="003015FD">
        <w:t>the</w:t>
      </w:r>
      <w:r w:rsidR="00975895" w:rsidRPr="003015FD">
        <w:t xml:space="preserve"> </w:t>
      </w:r>
      <w:r w:rsidRPr="003015FD">
        <w:t>amendments,</w:t>
      </w:r>
      <w:r w:rsidR="00975895" w:rsidRPr="003015FD">
        <w:t xml:space="preserve"> </w:t>
      </w:r>
      <w:r w:rsidRPr="003015FD">
        <w:t>to</w:t>
      </w:r>
      <w:r w:rsidR="00975895" w:rsidRPr="003015FD">
        <w:t xml:space="preserve"> </w:t>
      </w:r>
      <w:r w:rsidRPr="003015FD">
        <w:t>the</w:t>
      </w:r>
      <w:r w:rsidR="00975895" w:rsidRPr="003015FD">
        <w:t xml:space="preserve"> </w:t>
      </w:r>
      <w:r w:rsidRPr="003015FD">
        <w:t>extent</w:t>
      </w:r>
      <w:r w:rsidR="00975895" w:rsidRPr="003015FD">
        <w:t xml:space="preserve"> </w:t>
      </w:r>
      <w:r w:rsidRPr="003015FD">
        <w:t>that</w:t>
      </w:r>
      <w:r w:rsidR="00975895" w:rsidRPr="003015FD">
        <w:t xml:space="preserve"> </w:t>
      </w:r>
      <w:r w:rsidRPr="003015FD">
        <w:t>they</w:t>
      </w:r>
      <w:r w:rsidR="00975895" w:rsidRPr="003015FD">
        <w:t xml:space="preserve"> </w:t>
      </w:r>
      <w:r w:rsidRPr="003015FD">
        <w:t>bar</w:t>
      </w:r>
      <w:r w:rsidR="00975895" w:rsidRPr="003015FD">
        <w:t xml:space="preserve"> </w:t>
      </w:r>
      <w:r w:rsidRPr="003015FD">
        <w:t>parole</w:t>
      </w:r>
      <w:r w:rsidR="00975895" w:rsidRPr="003015FD">
        <w:t xml:space="preserve"> </w:t>
      </w:r>
      <w:r w:rsidRPr="003015FD">
        <w:t>for</w:t>
      </w:r>
      <w:r w:rsidR="00975895" w:rsidRPr="003015FD">
        <w:t xml:space="preserve"> </w:t>
      </w:r>
      <w:r w:rsidRPr="003015FD">
        <w:t>prisoners</w:t>
      </w:r>
      <w:r w:rsidR="00975895" w:rsidRPr="003015FD">
        <w:t xml:space="preserve"> </w:t>
      </w:r>
      <w:r w:rsidRPr="003015FD">
        <w:t>who</w:t>
      </w:r>
      <w:r w:rsidR="00975895" w:rsidRPr="003015FD">
        <w:t xml:space="preserve"> </w:t>
      </w:r>
      <w:r w:rsidRPr="003015FD">
        <w:t>murdered</w:t>
      </w:r>
      <w:r w:rsidR="00975895" w:rsidRPr="003015FD">
        <w:t xml:space="preserve"> </w:t>
      </w:r>
      <w:r w:rsidRPr="003015FD">
        <w:t>a</w:t>
      </w:r>
      <w:r w:rsidR="00975895" w:rsidRPr="003015FD">
        <w:t xml:space="preserve"> </w:t>
      </w:r>
      <w:r w:rsidRPr="003015FD">
        <w:t>police</w:t>
      </w:r>
      <w:r w:rsidR="00975895" w:rsidRPr="003015FD">
        <w:t xml:space="preserve"> </w:t>
      </w:r>
      <w:r w:rsidRPr="003015FD">
        <w:t>officer</w:t>
      </w:r>
      <w:r w:rsidR="00975895" w:rsidRPr="003015FD">
        <w:t xml:space="preserve"> </w:t>
      </w:r>
      <w:r w:rsidRPr="003015FD">
        <w:t>as</w:t>
      </w:r>
      <w:r w:rsidR="00975895" w:rsidRPr="003015FD">
        <w:t xml:space="preserve"> </w:t>
      </w:r>
      <w:r w:rsidRPr="003015FD">
        <w:t>a</w:t>
      </w:r>
      <w:r w:rsidR="00975895" w:rsidRPr="003015FD">
        <w:t xml:space="preserve"> </w:t>
      </w:r>
      <w:r w:rsidRPr="003015FD">
        <w:t>child,</w:t>
      </w:r>
      <w:r w:rsidR="00975895" w:rsidRPr="003015FD">
        <w:t xml:space="preserve"> </w:t>
      </w:r>
      <w:r w:rsidRPr="003015FD">
        <w:t>are</w:t>
      </w:r>
      <w:r w:rsidR="00975895" w:rsidRPr="003015FD">
        <w:t xml:space="preserve"> </w:t>
      </w:r>
      <w:r w:rsidRPr="003015FD">
        <w:t>compatible</w:t>
      </w:r>
      <w:r w:rsidR="00975895" w:rsidRPr="003015FD">
        <w:t xml:space="preserve"> </w:t>
      </w:r>
      <w:r w:rsidRPr="003015FD">
        <w:t>with</w:t>
      </w:r>
      <w:r w:rsidR="00975895" w:rsidRPr="003015FD">
        <w:t xml:space="preserve"> </w:t>
      </w:r>
      <w:r w:rsidRPr="003015FD">
        <w:t>the</w:t>
      </w:r>
      <w:r w:rsidR="00975895" w:rsidRPr="003015FD">
        <w:t xml:space="preserve"> </w:t>
      </w:r>
      <w:r w:rsidRPr="003015FD">
        <w:t>Charter</w:t>
      </w:r>
      <w:r w:rsidR="00975895" w:rsidRPr="003015FD">
        <w:t xml:space="preserve"> </w:t>
      </w:r>
      <w:r w:rsidRPr="003015FD">
        <w:t>rights</w:t>
      </w:r>
      <w:r w:rsidR="00975895" w:rsidRPr="003015FD">
        <w:t xml:space="preserve"> </w:t>
      </w:r>
      <w:r w:rsidRPr="003015FD">
        <w:t>of</w:t>
      </w:r>
      <w:r w:rsidR="00975895" w:rsidRPr="003015FD">
        <w:t xml:space="preserve"> </w:t>
      </w:r>
      <w:r w:rsidRPr="003015FD">
        <w:t>child</w:t>
      </w:r>
      <w:r w:rsidR="00975895" w:rsidRPr="003015FD">
        <w:t xml:space="preserve"> </w:t>
      </w:r>
      <w:r w:rsidRPr="003015FD">
        <w:t>offenders</w:t>
      </w:r>
      <w:r w:rsidR="00975895" w:rsidRPr="003015FD">
        <w:t xml:space="preserve"> </w:t>
      </w:r>
      <w:r w:rsidRPr="003015FD">
        <w:t>to</w:t>
      </w:r>
      <w:r w:rsidR="00975895" w:rsidRPr="003015FD">
        <w:t xml:space="preserve"> </w:t>
      </w:r>
      <w:r w:rsidRPr="003015FD">
        <w:t>protection</w:t>
      </w:r>
      <w:r w:rsidR="00975895" w:rsidRPr="003015FD">
        <w:t xml:space="preserve"> </w:t>
      </w:r>
      <w:r w:rsidRPr="003015FD">
        <w:t>by</w:t>
      </w:r>
      <w:r w:rsidR="00975895" w:rsidRPr="003015FD">
        <w:t xml:space="preserve"> </w:t>
      </w:r>
      <w:r w:rsidRPr="003015FD">
        <w:t>the</w:t>
      </w:r>
      <w:r w:rsidR="00975895" w:rsidRPr="003015FD">
        <w:t xml:space="preserve"> </w:t>
      </w:r>
      <w:r w:rsidR="002A1423">
        <w:t>s</w:t>
      </w:r>
      <w:r w:rsidRPr="003015FD">
        <w:t>tate</w:t>
      </w:r>
      <w:r w:rsidR="00975895" w:rsidRPr="003015FD">
        <w:t xml:space="preserve"> </w:t>
      </w:r>
      <w:r w:rsidRPr="003015FD">
        <w:t>and</w:t>
      </w:r>
      <w:r w:rsidR="00975895" w:rsidRPr="003015FD">
        <w:t xml:space="preserve"> </w:t>
      </w:r>
      <w:r w:rsidRPr="003015FD">
        <w:t>to</w:t>
      </w:r>
      <w:r w:rsidR="00975895" w:rsidRPr="003015FD">
        <w:t xml:space="preserve"> </w:t>
      </w:r>
      <w:r w:rsidRPr="003015FD">
        <w:t>humane</w:t>
      </w:r>
      <w:r w:rsidR="00975895" w:rsidRPr="003015FD">
        <w:t xml:space="preserve"> </w:t>
      </w:r>
      <w:r w:rsidRPr="003015FD">
        <w:t>treatment</w:t>
      </w:r>
      <w:r w:rsidR="00975895" w:rsidRPr="003015FD">
        <w:t xml:space="preserve"> </w:t>
      </w:r>
      <w:r w:rsidRPr="003015FD">
        <w:t>in</w:t>
      </w:r>
      <w:r w:rsidR="00975895" w:rsidRPr="003015FD">
        <w:t xml:space="preserve"> </w:t>
      </w:r>
      <w:r w:rsidRPr="003015FD">
        <w:t>detention.</w:t>
      </w:r>
    </w:p>
    <w:p w14:paraId="782A1A27" w14:textId="7CE60DF2" w:rsidR="008E0945" w:rsidRPr="003015FD" w:rsidRDefault="008E0945" w:rsidP="0002642E">
      <w:r w:rsidRPr="003015FD">
        <w:t>In</w:t>
      </w:r>
      <w:r w:rsidR="00975895" w:rsidRPr="003015FD">
        <w:t xml:space="preserve"> </w:t>
      </w:r>
      <w:r w:rsidRPr="003015FD">
        <w:t>her</w:t>
      </w:r>
      <w:r w:rsidR="00975895" w:rsidRPr="003015FD">
        <w:t xml:space="preserve"> </w:t>
      </w:r>
      <w:r w:rsidRPr="003015FD">
        <w:t>response</w:t>
      </w:r>
      <w:r w:rsidR="00975895" w:rsidRPr="003015FD">
        <w:t xml:space="preserve"> </w:t>
      </w:r>
      <w:r w:rsidRPr="003015FD">
        <w:t>on</w:t>
      </w:r>
      <w:r w:rsidR="00975895" w:rsidRPr="003015FD">
        <w:t xml:space="preserve"> </w:t>
      </w:r>
      <w:r w:rsidRPr="003015FD">
        <w:t>those</w:t>
      </w:r>
      <w:r w:rsidR="00975895" w:rsidRPr="003015FD">
        <w:t xml:space="preserve"> </w:t>
      </w:r>
      <w:r w:rsidRPr="003015FD">
        <w:t>issues,</w:t>
      </w:r>
      <w:r w:rsidR="002A1423">
        <w:t xml:space="preserve"> </w:t>
      </w:r>
      <w:r w:rsidR="002A1423" w:rsidRPr="003015FD">
        <w:t>the Minister for Corrections highlighted the differences between the objectives of the serious offenders</w:t>
      </w:r>
      <w:r w:rsidR="002A1423">
        <w:t>'</w:t>
      </w:r>
      <w:r w:rsidR="002A1423" w:rsidRPr="003015FD">
        <w:t xml:space="preserve"> scheme and the parole reforms.</w:t>
      </w:r>
      <w:r w:rsidRPr="004862C5">
        <w:rPr>
          <w:rStyle w:val="FootnoteReference"/>
        </w:rPr>
        <w:footnoteReference w:id="47"/>
      </w:r>
      <w:r w:rsidR="00975895" w:rsidRPr="003015FD">
        <w:t xml:space="preserve"> </w:t>
      </w:r>
      <w:r w:rsidRPr="003015FD">
        <w:t>While</w:t>
      </w:r>
      <w:r w:rsidR="00975895" w:rsidRPr="003015FD">
        <w:t xml:space="preserve"> </w:t>
      </w:r>
      <w:r w:rsidRPr="003015FD">
        <w:t>the</w:t>
      </w:r>
      <w:r w:rsidR="00975895" w:rsidRPr="003015FD">
        <w:t xml:space="preserve"> </w:t>
      </w:r>
      <w:r w:rsidRPr="003015FD">
        <w:t>Serious</w:t>
      </w:r>
      <w:r w:rsidR="00975895" w:rsidRPr="003015FD">
        <w:t xml:space="preserve"> </w:t>
      </w:r>
      <w:r w:rsidRPr="003015FD">
        <w:t>Offenders</w:t>
      </w:r>
      <w:r w:rsidR="00975895" w:rsidRPr="003015FD">
        <w:t xml:space="preserve"> </w:t>
      </w:r>
      <w:r w:rsidRPr="003015FD">
        <w:t>Act</w:t>
      </w:r>
      <w:r w:rsidR="00975895" w:rsidRPr="003015FD">
        <w:t xml:space="preserve"> </w:t>
      </w:r>
      <w:r w:rsidRPr="003015FD">
        <w:t>reforms</w:t>
      </w:r>
      <w:r w:rsidR="00975895" w:rsidRPr="003015FD">
        <w:t xml:space="preserve"> </w:t>
      </w:r>
      <w:r w:rsidRPr="003015FD">
        <w:t>aim</w:t>
      </w:r>
      <w:r w:rsidR="00975895" w:rsidRPr="003015FD">
        <w:t xml:space="preserve"> </w:t>
      </w:r>
      <w:r w:rsidRPr="003015FD">
        <w:t>to</w:t>
      </w:r>
      <w:r w:rsidR="00975895" w:rsidRPr="003015FD">
        <w:t xml:space="preserve"> </w:t>
      </w:r>
      <w:r w:rsidRPr="003015FD">
        <w:t>address</w:t>
      </w:r>
      <w:r w:rsidR="00975895" w:rsidRPr="003015FD">
        <w:t xml:space="preserve"> </w:t>
      </w:r>
      <w:r w:rsidRPr="003015FD">
        <w:t>social</w:t>
      </w:r>
      <w:r w:rsidR="00975895" w:rsidRPr="003015FD">
        <w:t xml:space="preserve"> </w:t>
      </w:r>
      <w:r w:rsidRPr="003015FD">
        <w:t>concerns</w:t>
      </w:r>
      <w:r w:rsidR="00975895" w:rsidRPr="003015FD">
        <w:t xml:space="preserve"> </w:t>
      </w:r>
      <w:r w:rsidRPr="003015FD">
        <w:t>regarding</w:t>
      </w:r>
      <w:r w:rsidR="00975895" w:rsidRPr="003015FD">
        <w:t xml:space="preserve"> </w:t>
      </w:r>
      <w:r w:rsidRPr="003015FD">
        <w:t>the</w:t>
      </w:r>
      <w:r w:rsidR="00975895" w:rsidRPr="003015FD">
        <w:t xml:space="preserve"> </w:t>
      </w:r>
      <w:r w:rsidRPr="003015FD">
        <w:t>protection</w:t>
      </w:r>
      <w:r w:rsidR="00975895" w:rsidRPr="003015FD">
        <w:t xml:space="preserve"> </w:t>
      </w:r>
      <w:r w:rsidRPr="003015FD">
        <w:t>of</w:t>
      </w:r>
      <w:r w:rsidR="00975895" w:rsidRPr="003015FD">
        <w:t xml:space="preserve"> </w:t>
      </w:r>
      <w:r w:rsidRPr="003015FD">
        <w:t>the</w:t>
      </w:r>
      <w:r w:rsidR="00975895" w:rsidRPr="003015FD">
        <w:t xml:space="preserve"> </w:t>
      </w:r>
      <w:r w:rsidRPr="003015FD">
        <w:t>community</w:t>
      </w:r>
      <w:r w:rsidR="00975895" w:rsidRPr="003015FD">
        <w:t xml:space="preserve"> </w:t>
      </w:r>
      <w:r w:rsidRPr="003015FD">
        <w:t>from</w:t>
      </w:r>
      <w:r w:rsidR="00975895" w:rsidRPr="003015FD">
        <w:t xml:space="preserve"> </w:t>
      </w:r>
      <w:r w:rsidRPr="003015FD">
        <w:t>serious</w:t>
      </w:r>
      <w:r w:rsidR="00975895" w:rsidRPr="003015FD">
        <w:t xml:space="preserve"> </w:t>
      </w:r>
      <w:r w:rsidRPr="003015FD">
        <w:t>sexual</w:t>
      </w:r>
      <w:r w:rsidR="00975895" w:rsidRPr="003015FD">
        <w:t xml:space="preserve"> </w:t>
      </w:r>
      <w:r w:rsidRPr="003015FD">
        <w:t>or</w:t>
      </w:r>
      <w:r w:rsidR="00975895" w:rsidRPr="003015FD">
        <w:t xml:space="preserve"> </w:t>
      </w:r>
      <w:r w:rsidRPr="003015FD">
        <w:t>violent</w:t>
      </w:r>
      <w:r w:rsidR="00975895" w:rsidRPr="003015FD">
        <w:t xml:space="preserve"> </w:t>
      </w:r>
      <w:r w:rsidRPr="003015FD">
        <w:t>offending,</w:t>
      </w:r>
      <w:r w:rsidR="00975895" w:rsidRPr="003015FD">
        <w:t xml:space="preserve"> </w:t>
      </w:r>
      <w:r w:rsidRPr="003015FD">
        <w:t>the</w:t>
      </w:r>
      <w:r w:rsidR="00975895" w:rsidRPr="003015FD">
        <w:t xml:space="preserve"> </w:t>
      </w:r>
      <w:r w:rsidRPr="003015FD">
        <w:t>parole</w:t>
      </w:r>
      <w:r w:rsidR="00975895" w:rsidRPr="003015FD">
        <w:t xml:space="preserve"> </w:t>
      </w:r>
      <w:r w:rsidRPr="003015FD">
        <w:t>reforms</w:t>
      </w:r>
      <w:r w:rsidR="00975895" w:rsidRPr="003015FD">
        <w:t xml:space="preserve"> </w:t>
      </w:r>
      <w:r w:rsidR="00BB1F36">
        <w:t>“</w:t>
      </w:r>
      <w:r w:rsidRPr="003015FD">
        <w:t>target</w:t>
      </w:r>
      <w:r w:rsidR="00975895" w:rsidRPr="003015FD">
        <w:t xml:space="preserve"> </w:t>
      </w:r>
      <w:r w:rsidRPr="003015FD">
        <w:t>the</w:t>
      </w:r>
      <w:r w:rsidR="00975895" w:rsidRPr="003015FD">
        <w:t xml:space="preserve"> </w:t>
      </w:r>
      <w:r w:rsidRPr="003015FD">
        <w:t>worst</w:t>
      </w:r>
      <w:r w:rsidR="00975895" w:rsidRPr="003015FD">
        <w:t xml:space="preserve"> </w:t>
      </w:r>
      <w:r w:rsidRPr="003015FD">
        <w:t>kind</w:t>
      </w:r>
      <w:r w:rsidR="00975895" w:rsidRPr="003015FD">
        <w:t xml:space="preserve"> </w:t>
      </w:r>
      <w:r w:rsidRPr="003015FD">
        <w:t>of</w:t>
      </w:r>
      <w:r w:rsidR="00975895" w:rsidRPr="003015FD">
        <w:t xml:space="preserve"> </w:t>
      </w:r>
      <w:r w:rsidRPr="003015FD">
        <w:t>offending</w:t>
      </w:r>
      <w:r w:rsidR="00975895" w:rsidRPr="003015FD">
        <w:t xml:space="preserve"> </w:t>
      </w:r>
      <w:r w:rsidRPr="003015FD">
        <w:t>in</w:t>
      </w:r>
      <w:r w:rsidR="00975895" w:rsidRPr="003015FD">
        <w:t xml:space="preserve"> </w:t>
      </w:r>
      <w:r w:rsidRPr="003015FD">
        <w:t>Victoria</w:t>
      </w:r>
      <w:r w:rsidR="00BB1F36">
        <w:t>”</w:t>
      </w:r>
      <w:r w:rsidR="00975895" w:rsidRPr="003015FD">
        <w:t xml:space="preserve"> </w:t>
      </w:r>
      <w:r w:rsidRPr="003015FD">
        <w:t>by</w:t>
      </w:r>
      <w:r w:rsidR="00975895" w:rsidRPr="003015FD">
        <w:t xml:space="preserve"> </w:t>
      </w:r>
      <w:r w:rsidRPr="003015FD">
        <w:t>reinforcing</w:t>
      </w:r>
      <w:r w:rsidR="00975895" w:rsidRPr="003015FD">
        <w:t xml:space="preserve"> </w:t>
      </w:r>
      <w:r w:rsidRPr="003015FD">
        <w:t>that</w:t>
      </w:r>
      <w:r w:rsidR="00975895" w:rsidRPr="003015FD">
        <w:t xml:space="preserve"> </w:t>
      </w:r>
      <w:r w:rsidR="00BB1F36">
        <w:t>“</w:t>
      </w:r>
      <w:r w:rsidRPr="003015FD">
        <w:t>parole</w:t>
      </w:r>
      <w:r w:rsidR="00975895" w:rsidRPr="003015FD">
        <w:t xml:space="preserve"> </w:t>
      </w:r>
      <w:r w:rsidRPr="003015FD">
        <w:t>is</w:t>
      </w:r>
      <w:r w:rsidR="00975895" w:rsidRPr="003015FD">
        <w:t xml:space="preserve"> </w:t>
      </w:r>
      <w:r w:rsidRPr="003015FD">
        <w:t>a</w:t>
      </w:r>
      <w:r w:rsidR="00975895" w:rsidRPr="003015FD">
        <w:t xml:space="preserve"> </w:t>
      </w:r>
      <w:r w:rsidRPr="003015FD">
        <w:t>privilege</w:t>
      </w:r>
      <w:r w:rsidR="00BB1F36">
        <w:t>”</w:t>
      </w:r>
      <w:r w:rsidR="00975895" w:rsidRPr="003015FD">
        <w:t xml:space="preserve"> </w:t>
      </w:r>
      <w:r w:rsidRPr="003015FD">
        <w:t>and</w:t>
      </w:r>
      <w:r w:rsidR="00975895" w:rsidRPr="003015FD">
        <w:t xml:space="preserve"> </w:t>
      </w:r>
      <w:r w:rsidRPr="003015FD">
        <w:t>ensuring</w:t>
      </w:r>
      <w:r w:rsidR="00975895" w:rsidRPr="003015FD">
        <w:t xml:space="preserve"> </w:t>
      </w:r>
      <w:r w:rsidRPr="003015FD">
        <w:t>that</w:t>
      </w:r>
      <w:r w:rsidR="00975895" w:rsidRPr="003015FD">
        <w:t xml:space="preserve"> </w:t>
      </w:r>
      <w:r w:rsidR="00BB1F36">
        <w:t>“</w:t>
      </w:r>
      <w:r w:rsidRPr="003015FD">
        <w:t>prisoners</w:t>
      </w:r>
      <w:r w:rsidR="00975895" w:rsidRPr="003015FD">
        <w:t xml:space="preserve"> </w:t>
      </w:r>
      <w:r w:rsidRPr="003015FD">
        <w:t>who</w:t>
      </w:r>
      <w:r w:rsidR="00975895" w:rsidRPr="003015FD">
        <w:t xml:space="preserve"> </w:t>
      </w:r>
      <w:r w:rsidRPr="003015FD">
        <w:t>commit</w:t>
      </w:r>
      <w:r w:rsidR="00975895" w:rsidRPr="003015FD">
        <w:t xml:space="preserve"> </w:t>
      </w:r>
      <w:r w:rsidRPr="003015FD">
        <w:t>the</w:t>
      </w:r>
      <w:r w:rsidR="00975895" w:rsidRPr="003015FD">
        <w:t xml:space="preserve"> </w:t>
      </w:r>
      <w:r w:rsidRPr="003015FD">
        <w:t>heinous</w:t>
      </w:r>
      <w:r w:rsidR="00975895" w:rsidRPr="003015FD">
        <w:t xml:space="preserve"> </w:t>
      </w:r>
      <w:r w:rsidRPr="003015FD">
        <w:t>crime</w:t>
      </w:r>
      <w:r w:rsidR="00975895" w:rsidRPr="003015FD">
        <w:t xml:space="preserve"> </w:t>
      </w:r>
      <w:r w:rsidRPr="003015FD">
        <w:t>of</w:t>
      </w:r>
      <w:r w:rsidR="00975895" w:rsidRPr="003015FD">
        <w:t xml:space="preserve"> </w:t>
      </w:r>
      <w:r w:rsidRPr="003015FD">
        <w:t>murdering</w:t>
      </w:r>
      <w:r w:rsidR="00975895" w:rsidRPr="003015FD">
        <w:t xml:space="preserve"> </w:t>
      </w:r>
      <w:r w:rsidRPr="003015FD">
        <w:t>a</w:t>
      </w:r>
      <w:r w:rsidR="00975895" w:rsidRPr="003015FD">
        <w:t xml:space="preserve"> </w:t>
      </w:r>
      <w:r w:rsidRPr="003015FD">
        <w:t>police</w:t>
      </w:r>
      <w:r w:rsidR="00975895" w:rsidRPr="003015FD">
        <w:t xml:space="preserve"> </w:t>
      </w:r>
      <w:r w:rsidRPr="003015FD">
        <w:t>officer</w:t>
      </w:r>
      <w:r w:rsidR="00975895" w:rsidRPr="003015FD">
        <w:t xml:space="preserve"> </w:t>
      </w:r>
      <w:r w:rsidRPr="003015FD">
        <w:t>are</w:t>
      </w:r>
      <w:r w:rsidR="00975895" w:rsidRPr="003015FD">
        <w:t xml:space="preserve"> </w:t>
      </w:r>
      <w:r w:rsidRPr="003015FD">
        <w:t>granted</w:t>
      </w:r>
      <w:r w:rsidR="00975895" w:rsidRPr="003015FD">
        <w:t xml:space="preserve"> </w:t>
      </w:r>
      <w:r w:rsidRPr="003015FD">
        <w:t>parole</w:t>
      </w:r>
      <w:r w:rsidR="00975895" w:rsidRPr="003015FD">
        <w:t xml:space="preserve"> </w:t>
      </w:r>
      <w:r w:rsidRPr="003015FD">
        <w:t>only</w:t>
      </w:r>
      <w:r w:rsidR="00975895" w:rsidRPr="003015FD">
        <w:t xml:space="preserve"> </w:t>
      </w:r>
      <w:r w:rsidRPr="003015FD">
        <w:t>in</w:t>
      </w:r>
      <w:r w:rsidR="00975895" w:rsidRPr="003015FD">
        <w:t xml:space="preserve"> </w:t>
      </w:r>
      <w:r w:rsidRPr="003015FD">
        <w:t>very</w:t>
      </w:r>
      <w:r w:rsidR="00975895" w:rsidRPr="003015FD">
        <w:t xml:space="preserve"> </w:t>
      </w:r>
      <w:r w:rsidRPr="003015FD">
        <w:t>restrictive</w:t>
      </w:r>
      <w:r w:rsidR="00975895" w:rsidRPr="003015FD">
        <w:t xml:space="preserve"> </w:t>
      </w:r>
      <w:r w:rsidRPr="003015FD">
        <w:t>circumstances</w:t>
      </w:r>
      <w:r w:rsidR="00BB1F36">
        <w:t>”</w:t>
      </w:r>
      <w:r w:rsidRPr="003015FD">
        <w:t>.</w:t>
      </w:r>
      <w:r w:rsidR="00975895" w:rsidRPr="003015FD">
        <w:t xml:space="preserve"> </w:t>
      </w:r>
      <w:r w:rsidRPr="003015FD">
        <w:lastRenderedPageBreak/>
        <w:t>In</w:t>
      </w:r>
      <w:r w:rsidR="00975895" w:rsidRPr="003015FD">
        <w:t xml:space="preserve"> </w:t>
      </w:r>
      <w:r w:rsidRPr="003015FD">
        <w:t>addition,</w:t>
      </w:r>
      <w:r w:rsidR="00975895" w:rsidRPr="003015FD">
        <w:t xml:space="preserve"> </w:t>
      </w:r>
      <w:r w:rsidRPr="003015FD">
        <w:t>the</w:t>
      </w:r>
      <w:r w:rsidR="00975895" w:rsidRPr="003015FD">
        <w:t xml:space="preserve"> </w:t>
      </w:r>
      <w:r w:rsidRPr="003015FD">
        <w:t>Minister</w:t>
      </w:r>
      <w:r w:rsidR="00975895" w:rsidRPr="003015FD">
        <w:t xml:space="preserve"> </w:t>
      </w:r>
      <w:r w:rsidRPr="003015FD">
        <w:t>submitted</w:t>
      </w:r>
      <w:r w:rsidR="00975895" w:rsidRPr="003015FD">
        <w:t xml:space="preserve"> </w:t>
      </w:r>
      <w:r w:rsidRPr="003015FD">
        <w:t>that</w:t>
      </w:r>
      <w:r w:rsidR="00975895" w:rsidRPr="003015FD">
        <w:t xml:space="preserve"> </w:t>
      </w:r>
      <w:r w:rsidRPr="003015FD">
        <w:t>the</w:t>
      </w:r>
      <w:r w:rsidR="00975895" w:rsidRPr="003015FD">
        <w:t xml:space="preserve"> </w:t>
      </w:r>
      <w:r w:rsidRPr="003015FD">
        <w:t>parole</w:t>
      </w:r>
      <w:r w:rsidR="00975895" w:rsidRPr="003015FD">
        <w:t xml:space="preserve"> </w:t>
      </w:r>
      <w:r w:rsidRPr="003015FD">
        <w:t>reforms</w:t>
      </w:r>
      <w:r w:rsidR="00975895" w:rsidRPr="003015FD">
        <w:t xml:space="preserve"> </w:t>
      </w:r>
      <w:r w:rsidRPr="003015FD">
        <w:t>would,</w:t>
      </w:r>
      <w:r w:rsidR="00975895" w:rsidRPr="003015FD">
        <w:t xml:space="preserve"> </w:t>
      </w:r>
      <w:r w:rsidRPr="003015FD">
        <w:t>in</w:t>
      </w:r>
      <w:r w:rsidR="00975895" w:rsidRPr="003015FD">
        <w:t xml:space="preserve"> </w:t>
      </w:r>
      <w:r w:rsidRPr="003015FD">
        <w:t>her</w:t>
      </w:r>
      <w:r w:rsidR="00975895" w:rsidRPr="003015FD">
        <w:t xml:space="preserve"> </w:t>
      </w:r>
      <w:r w:rsidRPr="003015FD">
        <w:t>view,</w:t>
      </w:r>
      <w:r w:rsidR="00975895" w:rsidRPr="003015FD">
        <w:t xml:space="preserve"> </w:t>
      </w:r>
      <w:r w:rsidRPr="003015FD">
        <w:t>have</w:t>
      </w:r>
      <w:r w:rsidR="00975895" w:rsidRPr="003015FD">
        <w:t xml:space="preserve"> </w:t>
      </w:r>
      <w:r w:rsidRPr="003015FD">
        <w:t>limited</w:t>
      </w:r>
      <w:r w:rsidR="00975895" w:rsidRPr="003015FD">
        <w:t xml:space="preserve"> </w:t>
      </w:r>
      <w:r w:rsidRPr="003015FD">
        <w:t>effect</w:t>
      </w:r>
      <w:r w:rsidR="00975895" w:rsidRPr="003015FD">
        <w:t xml:space="preserve"> </w:t>
      </w:r>
      <w:r w:rsidRPr="003015FD">
        <w:t>on</w:t>
      </w:r>
      <w:r w:rsidR="00975895" w:rsidRPr="003015FD">
        <w:t xml:space="preserve"> </w:t>
      </w:r>
      <w:r w:rsidRPr="003015FD">
        <w:t>child</w:t>
      </w:r>
      <w:r w:rsidR="00975895" w:rsidRPr="003015FD">
        <w:t xml:space="preserve"> </w:t>
      </w:r>
      <w:r w:rsidRPr="003015FD">
        <w:t>offenders</w:t>
      </w:r>
      <w:r w:rsidR="00975895" w:rsidRPr="003015FD">
        <w:t xml:space="preserve"> </w:t>
      </w:r>
      <w:r w:rsidRPr="003015FD">
        <w:t>as</w:t>
      </w:r>
      <w:r w:rsidR="00975895" w:rsidRPr="003015FD">
        <w:t xml:space="preserve"> </w:t>
      </w:r>
      <w:r w:rsidRPr="003015FD">
        <w:t>they</w:t>
      </w:r>
      <w:r w:rsidR="00975895" w:rsidRPr="003015FD">
        <w:t xml:space="preserve"> </w:t>
      </w:r>
      <w:r w:rsidRPr="003015FD">
        <w:t>do</w:t>
      </w:r>
      <w:r w:rsidR="00975895" w:rsidRPr="003015FD">
        <w:t xml:space="preserve"> </w:t>
      </w:r>
      <w:r w:rsidRPr="003015FD">
        <w:t>not</w:t>
      </w:r>
      <w:r w:rsidR="00975895" w:rsidRPr="003015FD">
        <w:t xml:space="preserve"> </w:t>
      </w:r>
      <w:r w:rsidRPr="003015FD">
        <w:t>apply</w:t>
      </w:r>
      <w:r w:rsidR="00975895" w:rsidRPr="003015FD">
        <w:t xml:space="preserve"> </w:t>
      </w:r>
      <w:r w:rsidRPr="003015FD">
        <w:t>to</w:t>
      </w:r>
      <w:r w:rsidR="00975895" w:rsidRPr="003015FD">
        <w:t xml:space="preserve"> </w:t>
      </w:r>
      <w:r w:rsidRPr="003015FD">
        <w:t>the</w:t>
      </w:r>
      <w:r w:rsidR="00975895" w:rsidRPr="003015FD">
        <w:t xml:space="preserve"> </w:t>
      </w:r>
      <w:r w:rsidRPr="003015FD">
        <w:t>Youth</w:t>
      </w:r>
      <w:r w:rsidR="00975895" w:rsidRPr="003015FD">
        <w:t xml:space="preserve"> </w:t>
      </w:r>
      <w:r w:rsidRPr="003015FD">
        <w:t>Parole</w:t>
      </w:r>
      <w:r w:rsidR="00975895" w:rsidRPr="003015FD">
        <w:t xml:space="preserve"> </w:t>
      </w:r>
      <w:r w:rsidRPr="003015FD">
        <w:t>Board</w:t>
      </w:r>
      <w:r w:rsidR="00975895" w:rsidRPr="003015FD">
        <w:t xml:space="preserve"> </w:t>
      </w:r>
      <w:r w:rsidRPr="003015FD">
        <w:t>and</w:t>
      </w:r>
      <w:r w:rsidR="00975895" w:rsidRPr="003015FD">
        <w:t xml:space="preserve"> </w:t>
      </w:r>
      <w:r w:rsidRPr="003015FD">
        <w:t>would</w:t>
      </w:r>
      <w:r w:rsidR="00975895" w:rsidRPr="003015FD">
        <w:t xml:space="preserve"> </w:t>
      </w:r>
      <w:r w:rsidRPr="003015FD">
        <w:t>not</w:t>
      </w:r>
      <w:r w:rsidR="00975895" w:rsidRPr="003015FD">
        <w:t xml:space="preserve"> </w:t>
      </w:r>
      <w:r w:rsidRPr="003015FD">
        <w:t>capture</w:t>
      </w:r>
      <w:r w:rsidR="00975895" w:rsidRPr="003015FD">
        <w:t xml:space="preserve"> </w:t>
      </w:r>
      <w:r w:rsidRPr="003015FD">
        <w:t>any</w:t>
      </w:r>
      <w:r w:rsidR="00975895" w:rsidRPr="003015FD">
        <w:t xml:space="preserve"> </w:t>
      </w:r>
      <w:r w:rsidRPr="003015FD">
        <w:t>existing</w:t>
      </w:r>
      <w:r w:rsidR="00975895" w:rsidRPr="003015FD">
        <w:t xml:space="preserve"> </w:t>
      </w:r>
      <w:r w:rsidRPr="003015FD">
        <w:t>offender</w:t>
      </w:r>
      <w:r w:rsidR="00975895" w:rsidRPr="003015FD">
        <w:t xml:space="preserve"> </w:t>
      </w:r>
      <w:r w:rsidRPr="003015FD">
        <w:t>who</w:t>
      </w:r>
      <w:r w:rsidR="00975895" w:rsidRPr="003015FD">
        <w:t xml:space="preserve"> </w:t>
      </w:r>
      <w:r w:rsidRPr="003015FD">
        <w:t>was</w:t>
      </w:r>
      <w:r w:rsidR="00975895" w:rsidRPr="003015FD">
        <w:t xml:space="preserve"> </w:t>
      </w:r>
      <w:r w:rsidRPr="003015FD">
        <w:t>sentenced</w:t>
      </w:r>
      <w:r w:rsidR="00975895" w:rsidRPr="003015FD">
        <w:t xml:space="preserve"> </w:t>
      </w:r>
      <w:r w:rsidRPr="003015FD">
        <w:t>as</w:t>
      </w:r>
      <w:r w:rsidR="00975895" w:rsidRPr="003015FD">
        <w:t xml:space="preserve"> </w:t>
      </w:r>
      <w:r w:rsidRPr="003015FD">
        <w:t>a</w:t>
      </w:r>
      <w:r w:rsidR="00975895" w:rsidRPr="003015FD">
        <w:t xml:space="preserve"> </w:t>
      </w:r>
      <w:r w:rsidRPr="003015FD">
        <w:t>child.</w:t>
      </w:r>
      <w:r w:rsidR="00975895" w:rsidRPr="003015FD">
        <w:t xml:space="preserve"> </w:t>
      </w:r>
    </w:p>
    <w:p w14:paraId="023A4115" w14:textId="7FE7E6B4" w:rsidR="008E0945" w:rsidRPr="003015FD" w:rsidRDefault="008E0945" w:rsidP="001712E8">
      <w:pPr>
        <w:pStyle w:val="BodyText"/>
        <w:rPr>
          <w:color w:val="000000" w:themeColor="text1"/>
        </w:rPr>
      </w:pPr>
      <w:r w:rsidRPr="003015FD">
        <w:t>In</w:t>
      </w:r>
      <w:r w:rsidR="00975895" w:rsidRPr="003015FD">
        <w:t xml:space="preserve"> </w:t>
      </w:r>
      <w:r w:rsidRPr="003015FD">
        <w:t>October</w:t>
      </w:r>
      <w:r w:rsidR="00975895" w:rsidRPr="003015FD">
        <w:t xml:space="preserve"> </w:t>
      </w:r>
      <w:r w:rsidRPr="003015FD">
        <w:t>2018</w:t>
      </w:r>
      <w:r w:rsidR="00975895" w:rsidRPr="003015FD">
        <w:t xml:space="preserve"> </w:t>
      </w:r>
      <w:r w:rsidRPr="003015FD">
        <w:t>Dr</w:t>
      </w:r>
      <w:r w:rsidR="00975895" w:rsidRPr="003015FD">
        <w:t xml:space="preserve"> </w:t>
      </w:r>
      <w:r w:rsidRPr="003015FD">
        <w:t>Minogue</w:t>
      </w:r>
      <w:r w:rsidR="00975895" w:rsidRPr="003015FD">
        <w:t xml:space="preserve"> </w:t>
      </w:r>
      <w:r w:rsidRPr="003015FD">
        <w:t>commenced</w:t>
      </w:r>
      <w:r w:rsidR="00975895" w:rsidRPr="003015FD">
        <w:t xml:space="preserve"> </w:t>
      </w:r>
      <w:r w:rsidRPr="003015FD">
        <w:t>proceedings</w:t>
      </w:r>
      <w:r w:rsidR="00975895" w:rsidRPr="003015FD">
        <w:t xml:space="preserve"> </w:t>
      </w:r>
      <w:r w:rsidRPr="003015FD">
        <w:t>in</w:t>
      </w:r>
      <w:r w:rsidR="00975895" w:rsidRPr="003015FD">
        <w:t xml:space="preserve"> </w:t>
      </w:r>
      <w:r w:rsidRPr="003015FD">
        <w:t>the</w:t>
      </w:r>
      <w:r w:rsidR="00975895" w:rsidRPr="003015FD">
        <w:t xml:space="preserve"> </w:t>
      </w:r>
      <w:r w:rsidRPr="003015FD">
        <w:t>High</w:t>
      </w:r>
      <w:r w:rsidR="00975895" w:rsidRPr="003015FD">
        <w:t xml:space="preserve"> </w:t>
      </w:r>
      <w:r w:rsidRPr="003015FD">
        <w:t>Court,</w:t>
      </w:r>
      <w:r w:rsidR="00975895" w:rsidRPr="003015FD">
        <w:t xml:space="preserve"> </w:t>
      </w:r>
      <w:r w:rsidRPr="003015FD">
        <w:t>again</w:t>
      </w:r>
      <w:r w:rsidR="00975895" w:rsidRPr="003015FD">
        <w:t xml:space="preserve"> </w:t>
      </w:r>
      <w:r w:rsidRPr="003015FD">
        <w:t>seeking</w:t>
      </w:r>
      <w:r w:rsidR="00975895" w:rsidRPr="003015FD">
        <w:t xml:space="preserve"> </w:t>
      </w:r>
      <w:r w:rsidRPr="003015FD">
        <w:t>to</w:t>
      </w:r>
      <w:r w:rsidR="00975895" w:rsidRPr="003015FD">
        <w:t xml:space="preserve"> </w:t>
      </w:r>
      <w:r w:rsidRPr="003015FD">
        <w:t>challenge</w:t>
      </w:r>
      <w:r w:rsidR="00975895" w:rsidRPr="003015FD">
        <w:t xml:space="preserve"> </w:t>
      </w:r>
      <w:r w:rsidRPr="003015FD">
        <w:t>the</w:t>
      </w:r>
      <w:r w:rsidR="00975895" w:rsidRPr="003015FD">
        <w:t xml:space="preserve"> </w:t>
      </w:r>
      <w:r w:rsidRPr="003015FD">
        <w:t>amendments</w:t>
      </w:r>
      <w:r w:rsidR="00975895" w:rsidRPr="003015FD">
        <w:t xml:space="preserve"> </w:t>
      </w:r>
      <w:r w:rsidRPr="003015FD">
        <w:t>on</w:t>
      </w:r>
      <w:r w:rsidR="00975895" w:rsidRPr="003015FD">
        <w:t xml:space="preserve"> </w:t>
      </w:r>
      <w:r w:rsidRPr="003015FD">
        <w:t>the</w:t>
      </w:r>
      <w:r w:rsidR="00975895" w:rsidRPr="003015FD">
        <w:t xml:space="preserve"> </w:t>
      </w:r>
      <w:r w:rsidRPr="003015FD">
        <w:t>basis</w:t>
      </w:r>
      <w:r w:rsidR="00975895" w:rsidRPr="003015FD">
        <w:t xml:space="preserve"> </w:t>
      </w:r>
      <w:r w:rsidRPr="003015FD">
        <w:t>that</w:t>
      </w:r>
      <w:r w:rsidR="00975895" w:rsidRPr="003015FD">
        <w:t xml:space="preserve"> </w:t>
      </w:r>
      <w:r w:rsidRPr="003015FD">
        <w:t>they</w:t>
      </w:r>
      <w:r w:rsidR="00975895" w:rsidRPr="003015FD">
        <w:t xml:space="preserve"> </w:t>
      </w:r>
      <w:r w:rsidRPr="003015FD">
        <w:t>are</w:t>
      </w:r>
      <w:r w:rsidR="00975895" w:rsidRPr="003015FD">
        <w:t xml:space="preserve"> </w:t>
      </w:r>
      <w:r w:rsidRPr="003015FD">
        <w:t>constitutionally</w:t>
      </w:r>
      <w:r w:rsidR="00975895" w:rsidRPr="003015FD">
        <w:t xml:space="preserve"> </w:t>
      </w:r>
      <w:r w:rsidRPr="003015FD">
        <w:t>invalid</w:t>
      </w:r>
      <w:r w:rsidR="00975895" w:rsidRPr="003015FD">
        <w:t xml:space="preserve"> </w:t>
      </w:r>
      <w:r w:rsidRPr="003015FD">
        <w:t>and</w:t>
      </w:r>
      <w:r w:rsidR="00975895" w:rsidRPr="003015FD">
        <w:t xml:space="preserve"> </w:t>
      </w:r>
      <w:r w:rsidRPr="003015FD">
        <w:t>amount</w:t>
      </w:r>
      <w:r w:rsidR="00975895" w:rsidRPr="003015FD">
        <w:t xml:space="preserve"> </w:t>
      </w:r>
      <w:r w:rsidRPr="003015FD">
        <w:t>to</w:t>
      </w:r>
      <w:r w:rsidR="00975895" w:rsidRPr="003015FD">
        <w:t xml:space="preserve"> </w:t>
      </w:r>
      <w:r w:rsidRPr="0002642E">
        <w:rPr>
          <w:color w:val="000000" w:themeColor="text1"/>
        </w:rPr>
        <w:t>cruel,</w:t>
      </w:r>
      <w:r w:rsidR="00975895" w:rsidRPr="0002642E">
        <w:rPr>
          <w:color w:val="000000" w:themeColor="text1"/>
        </w:rPr>
        <w:t xml:space="preserve"> </w:t>
      </w:r>
      <w:r w:rsidRPr="0002642E">
        <w:rPr>
          <w:color w:val="000000" w:themeColor="text1"/>
        </w:rPr>
        <w:t>inhuman</w:t>
      </w:r>
      <w:r w:rsidR="00975895" w:rsidRPr="0002642E">
        <w:rPr>
          <w:color w:val="000000" w:themeColor="text1"/>
        </w:rPr>
        <w:t xml:space="preserve"> </w:t>
      </w:r>
      <w:r w:rsidRPr="0002642E">
        <w:rPr>
          <w:color w:val="000000" w:themeColor="text1"/>
        </w:rPr>
        <w:t>or</w:t>
      </w:r>
      <w:r w:rsidR="00975895" w:rsidRPr="0002642E">
        <w:rPr>
          <w:color w:val="000000" w:themeColor="text1"/>
        </w:rPr>
        <w:t xml:space="preserve"> </w:t>
      </w:r>
      <w:r w:rsidRPr="0002642E">
        <w:rPr>
          <w:color w:val="000000" w:themeColor="text1"/>
        </w:rPr>
        <w:t>degrading</w:t>
      </w:r>
      <w:r w:rsidR="00975895" w:rsidRPr="0002642E">
        <w:rPr>
          <w:color w:val="000000" w:themeColor="text1"/>
        </w:rPr>
        <w:t xml:space="preserve"> </w:t>
      </w:r>
      <w:r w:rsidRPr="0002642E">
        <w:rPr>
          <w:color w:val="000000" w:themeColor="text1"/>
        </w:rPr>
        <w:t>treatment.</w:t>
      </w:r>
      <w:r w:rsidR="001712E8">
        <w:rPr>
          <w:color w:val="000000" w:themeColor="text1"/>
        </w:rPr>
        <w:t xml:space="preserve"> </w:t>
      </w:r>
      <w:r w:rsidR="003B428A">
        <w:t>In September 2019, Dr Minogue lost his High Court challenge.</w:t>
      </w:r>
      <w:r w:rsidRPr="004862C5">
        <w:rPr>
          <w:rStyle w:val="FootnoteReference"/>
        </w:rPr>
        <w:footnoteReference w:id="48"/>
      </w:r>
    </w:p>
    <w:p w14:paraId="0FDF804C" w14:textId="7E8A93F4" w:rsidR="008E0945" w:rsidRPr="0002642E" w:rsidRDefault="008E0945" w:rsidP="0002642E">
      <w:pPr>
        <w:pStyle w:val="TableHeading1"/>
      </w:pPr>
      <w:r w:rsidRPr="0002642E">
        <w:t>Table</w:t>
      </w:r>
      <w:r w:rsidR="00975895" w:rsidRPr="0002642E">
        <w:t xml:space="preserve"> </w:t>
      </w:r>
      <w:r w:rsidR="003B428A">
        <w:rPr>
          <w:rStyle w:val="HRVBold"/>
        </w:rPr>
        <w:t>4</w:t>
      </w:r>
      <w:r w:rsidRPr="0002642E">
        <w:t>:</w:t>
      </w:r>
      <w:r w:rsidR="00975895" w:rsidRPr="0002642E">
        <w:t xml:space="preserve"> </w:t>
      </w:r>
      <w:r w:rsidRPr="0002642E">
        <w:t>Override</w:t>
      </w:r>
      <w:r w:rsidR="00975895" w:rsidRPr="0002642E">
        <w:t xml:space="preserve"> </w:t>
      </w:r>
      <w:r w:rsidRPr="0002642E">
        <w:t>declarations</w:t>
      </w:r>
    </w:p>
    <w:tbl>
      <w:tblPr>
        <w:tblStyle w:val="CustomTableblue"/>
        <w:tblW w:w="0" w:type="auto"/>
        <w:tblLook w:val="0420" w:firstRow="1" w:lastRow="0" w:firstColumn="0" w:lastColumn="0" w:noHBand="0" w:noVBand="1"/>
      </w:tblPr>
      <w:tblGrid>
        <w:gridCol w:w="1271"/>
        <w:gridCol w:w="1559"/>
        <w:gridCol w:w="2219"/>
        <w:gridCol w:w="2006"/>
        <w:gridCol w:w="2006"/>
      </w:tblGrid>
      <w:tr w:rsidR="006B0171" w:rsidRPr="003015FD" w14:paraId="00441853" w14:textId="77777777" w:rsidTr="00C873BC">
        <w:trPr>
          <w:cnfStyle w:val="100000000000" w:firstRow="1" w:lastRow="0" w:firstColumn="0" w:lastColumn="0" w:oddVBand="0" w:evenVBand="0" w:oddHBand="0" w:evenHBand="0" w:firstRowFirstColumn="0" w:firstRowLastColumn="0" w:lastRowFirstColumn="0" w:lastRowLastColumn="0"/>
        </w:trPr>
        <w:tc>
          <w:tcPr>
            <w:tcW w:w="1271" w:type="dxa"/>
          </w:tcPr>
          <w:p w14:paraId="0C49A9E6" w14:textId="77777777" w:rsidR="008E0945" w:rsidRPr="003015FD" w:rsidRDefault="008E0945" w:rsidP="0002642E">
            <w:pPr>
              <w:pStyle w:val="TableBodyText"/>
            </w:pPr>
            <w:r w:rsidRPr="003015FD">
              <w:t>Year</w:t>
            </w:r>
          </w:p>
        </w:tc>
        <w:tc>
          <w:tcPr>
            <w:tcW w:w="1559" w:type="dxa"/>
          </w:tcPr>
          <w:p w14:paraId="01078F36" w14:textId="77777777" w:rsidR="008E0945" w:rsidRPr="003015FD" w:rsidRDefault="008E0945" w:rsidP="0002642E">
            <w:pPr>
              <w:pStyle w:val="TableBodyText"/>
            </w:pPr>
            <w:r w:rsidRPr="003015FD">
              <w:t>Override</w:t>
            </w:r>
          </w:p>
        </w:tc>
        <w:tc>
          <w:tcPr>
            <w:tcW w:w="2219" w:type="dxa"/>
          </w:tcPr>
          <w:p w14:paraId="1A0DB601" w14:textId="11E950C0" w:rsidR="008E0945" w:rsidRPr="003015FD" w:rsidRDefault="008E0945" w:rsidP="0002642E">
            <w:pPr>
              <w:pStyle w:val="TableBodyText"/>
            </w:pPr>
            <w:r w:rsidRPr="003015FD">
              <w:t>Rationale</w:t>
            </w:r>
            <w:r w:rsidR="00975895" w:rsidRPr="003015FD">
              <w:t xml:space="preserve"> </w:t>
            </w:r>
            <w:r w:rsidRPr="003015FD">
              <w:t>for</w:t>
            </w:r>
            <w:r w:rsidR="00975895" w:rsidRPr="003015FD">
              <w:t xml:space="preserve"> </w:t>
            </w:r>
            <w:r w:rsidRPr="003015FD">
              <w:t>override</w:t>
            </w:r>
          </w:p>
        </w:tc>
        <w:tc>
          <w:tcPr>
            <w:tcW w:w="2006" w:type="dxa"/>
          </w:tcPr>
          <w:p w14:paraId="1B0BFE5D" w14:textId="590B5418" w:rsidR="008E0945" w:rsidRPr="003015FD" w:rsidRDefault="008E0945" w:rsidP="0002642E">
            <w:pPr>
              <w:pStyle w:val="TableBodyText"/>
            </w:pPr>
            <w:r w:rsidRPr="003015FD">
              <w:t>Duration</w:t>
            </w:r>
            <w:r w:rsidR="00975895" w:rsidRPr="003015FD">
              <w:t xml:space="preserve"> </w:t>
            </w:r>
            <w:r w:rsidRPr="003015FD">
              <w:t>of</w:t>
            </w:r>
            <w:r w:rsidR="00975895" w:rsidRPr="003015FD">
              <w:t xml:space="preserve"> </w:t>
            </w:r>
            <w:r w:rsidRPr="003015FD">
              <w:t>override</w:t>
            </w:r>
            <w:r w:rsidR="00975895" w:rsidRPr="003015FD">
              <w:t xml:space="preserve"> </w:t>
            </w:r>
            <w:r w:rsidRPr="003015FD">
              <w:t>validity</w:t>
            </w:r>
          </w:p>
        </w:tc>
        <w:tc>
          <w:tcPr>
            <w:tcW w:w="2006" w:type="dxa"/>
          </w:tcPr>
          <w:p w14:paraId="3629E507" w14:textId="5415FBF0" w:rsidR="008E0945" w:rsidRPr="003015FD" w:rsidRDefault="008E0945" w:rsidP="0002642E">
            <w:pPr>
              <w:pStyle w:val="TableBodyText"/>
            </w:pPr>
            <w:r w:rsidRPr="003015FD">
              <w:t>Further</w:t>
            </w:r>
            <w:r w:rsidR="00975895" w:rsidRPr="003015FD">
              <w:t xml:space="preserve"> </w:t>
            </w:r>
            <w:r w:rsidRPr="003015FD">
              <w:t>information</w:t>
            </w:r>
          </w:p>
        </w:tc>
      </w:tr>
      <w:tr w:rsidR="008E0945" w:rsidRPr="003015FD" w14:paraId="1AEF583A" w14:textId="77777777" w:rsidTr="0002642E">
        <w:trPr>
          <w:cnfStyle w:val="000000100000" w:firstRow="0" w:lastRow="0" w:firstColumn="0" w:lastColumn="0" w:oddVBand="0" w:evenVBand="0" w:oddHBand="1" w:evenHBand="0" w:firstRowFirstColumn="0" w:firstRowLastColumn="0" w:lastRowFirstColumn="0" w:lastRowLastColumn="0"/>
        </w:trPr>
        <w:tc>
          <w:tcPr>
            <w:tcW w:w="1271" w:type="dxa"/>
          </w:tcPr>
          <w:p w14:paraId="4F65CA9E" w14:textId="77777777" w:rsidR="008E0945" w:rsidRPr="003015FD" w:rsidRDefault="008E0945" w:rsidP="00C873BC">
            <w:pPr>
              <w:pStyle w:val="TableBodyTextcentred"/>
              <w:jc w:val="left"/>
            </w:pPr>
            <w:r w:rsidRPr="003015FD">
              <w:t>2014</w:t>
            </w:r>
          </w:p>
        </w:tc>
        <w:tc>
          <w:tcPr>
            <w:tcW w:w="1559" w:type="dxa"/>
          </w:tcPr>
          <w:p w14:paraId="0F1AFE86" w14:textId="3A6DD57A" w:rsidR="008E0945" w:rsidRPr="003015FD" w:rsidRDefault="008E0945" w:rsidP="00C873BC">
            <w:pPr>
              <w:pStyle w:val="TableBodyTextcentred"/>
              <w:jc w:val="left"/>
            </w:pPr>
            <w:r w:rsidRPr="0002642E">
              <w:t>Legal</w:t>
            </w:r>
            <w:r w:rsidR="00975895" w:rsidRPr="0002642E">
              <w:t xml:space="preserve"> </w:t>
            </w:r>
            <w:r w:rsidRPr="0002642E">
              <w:t>Profession</w:t>
            </w:r>
            <w:r w:rsidR="00975895" w:rsidRPr="0002642E">
              <w:t xml:space="preserve"> </w:t>
            </w:r>
            <w:r w:rsidRPr="0002642E">
              <w:t>Uniform</w:t>
            </w:r>
            <w:r w:rsidR="00975895" w:rsidRPr="0002642E">
              <w:t xml:space="preserve"> </w:t>
            </w:r>
            <w:r w:rsidRPr="0002642E">
              <w:t>Law</w:t>
            </w:r>
            <w:r w:rsidR="00975895" w:rsidRPr="0002642E">
              <w:t xml:space="preserve"> </w:t>
            </w:r>
            <w:r w:rsidRPr="0002642E">
              <w:t>Application</w:t>
            </w:r>
            <w:r w:rsidR="00975895" w:rsidRPr="0002642E">
              <w:t xml:space="preserve"> </w:t>
            </w:r>
            <w:r w:rsidRPr="0002642E">
              <w:t>Act</w:t>
            </w:r>
            <w:r w:rsidR="00975895" w:rsidRPr="0002642E">
              <w:t xml:space="preserve"> </w:t>
            </w:r>
            <w:r w:rsidRPr="0002642E">
              <w:t>2014</w:t>
            </w:r>
            <w:r w:rsidR="00975895" w:rsidRPr="003015FD">
              <w:t xml:space="preserve"> </w:t>
            </w:r>
            <w:r w:rsidRPr="003015FD">
              <w:t>and</w:t>
            </w:r>
            <w:r w:rsidR="00975895" w:rsidRPr="003015FD">
              <w:t xml:space="preserve"> </w:t>
            </w:r>
            <w:r w:rsidRPr="003015FD">
              <w:t>Schedule</w:t>
            </w:r>
            <w:r w:rsidR="00975895" w:rsidRPr="003015FD">
              <w:t xml:space="preserve"> </w:t>
            </w:r>
            <w:r w:rsidRPr="003015FD">
              <w:t>1</w:t>
            </w:r>
          </w:p>
        </w:tc>
        <w:tc>
          <w:tcPr>
            <w:tcW w:w="2219" w:type="dxa"/>
          </w:tcPr>
          <w:p w14:paraId="19A3047E" w14:textId="2B5CC8FE" w:rsidR="008E0945" w:rsidRPr="003015FD" w:rsidRDefault="008E0945" w:rsidP="00C873BC">
            <w:pPr>
              <w:pStyle w:val="TableBodyTextcentred"/>
              <w:jc w:val="left"/>
            </w:pPr>
            <w:r w:rsidRPr="003015FD">
              <w:t>Section</w:t>
            </w:r>
            <w:r w:rsidR="00975895" w:rsidRPr="003015FD">
              <w:t xml:space="preserve"> </w:t>
            </w:r>
            <w:r w:rsidRPr="003015FD">
              <w:t>6</w:t>
            </w:r>
            <w:r w:rsidR="00975895" w:rsidRPr="003015FD">
              <w:t xml:space="preserve"> </w:t>
            </w:r>
            <w:r w:rsidRPr="003015FD">
              <w:t>aims</w:t>
            </w:r>
            <w:r w:rsidR="00975895" w:rsidRPr="003015FD">
              <w:t xml:space="preserve"> </w:t>
            </w:r>
            <w:r w:rsidRPr="003015FD">
              <w:t>to</w:t>
            </w:r>
            <w:r w:rsidR="00975895" w:rsidRPr="003015FD">
              <w:t xml:space="preserve"> </w:t>
            </w:r>
            <w:r w:rsidRPr="003015FD">
              <w:t>ensure</w:t>
            </w:r>
            <w:r w:rsidR="00975895" w:rsidRPr="003015FD">
              <w:t xml:space="preserve"> </w:t>
            </w:r>
            <w:r w:rsidRPr="003015FD">
              <w:t>uniformity</w:t>
            </w:r>
            <w:r w:rsidR="00975895" w:rsidRPr="003015FD">
              <w:t xml:space="preserve"> </w:t>
            </w:r>
            <w:r w:rsidRPr="003015FD">
              <w:t>in</w:t>
            </w:r>
            <w:r w:rsidR="00975895" w:rsidRPr="003015FD">
              <w:t xml:space="preserve"> </w:t>
            </w:r>
            <w:r w:rsidRPr="003015FD">
              <w:t>interpretation</w:t>
            </w:r>
            <w:r w:rsidR="00975895" w:rsidRPr="003015FD">
              <w:t xml:space="preserve"> </w:t>
            </w:r>
            <w:r w:rsidRPr="003015FD">
              <w:t>and</w:t>
            </w:r>
            <w:r w:rsidR="00975895" w:rsidRPr="003015FD">
              <w:t xml:space="preserve"> </w:t>
            </w:r>
            <w:r w:rsidRPr="003015FD">
              <w:t>application</w:t>
            </w:r>
            <w:r w:rsidR="00975895" w:rsidRPr="003015FD">
              <w:t xml:space="preserve"> </w:t>
            </w:r>
            <w:r w:rsidRPr="003015FD">
              <w:t>of</w:t>
            </w:r>
            <w:r w:rsidR="00975895" w:rsidRPr="003015FD">
              <w:t xml:space="preserve"> </w:t>
            </w:r>
            <w:r w:rsidRPr="003015FD">
              <w:t>legal</w:t>
            </w:r>
            <w:r w:rsidR="00975895" w:rsidRPr="003015FD">
              <w:t xml:space="preserve"> </w:t>
            </w:r>
            <w:r w:rsidRPr="003015FD">
              <w:t>professional</w:t>
            </w:r>
            <w:r w:rsidR="00975895" w:rsidRPr="003015FD">
              <w:t xml:space="preserve"> </w:t>
            </w:r>
            <w:r w:rsidRPr="003015FD">
              <w:t>conduct</w:t>
            </w:r>
            <w:r w:rsidR="00975895" w:rsidRPr="003015FD">
              <w:t xml:space="preserve"> </w:t>
            </w:r>
            <w:r w:rsidRPr="003015FD">
              <w:t>scheme</w:t>
            </w:r>
            <w:r w:rsidR="00975895" w:rsidRPr="003015FD">
              <w:t xml:space="preserve"> </w:t>
            </w:r>
            <w:r w:rsidRPr="003015FD">
              <w:t>across</w:t>
            </w:r>
            <w:r w:rsidR="00975895" w:rsidRPr="003015FD">
              <w:t xml:space="preserve"> </w:t>
            </w:r>
            <w:r w:rsidRPr="003015FD">
              <w:t>all</w:t>
            </w:r>
            <w:r w:rsidR="00975895" w:rsidRPr="003015FD">
              <w:t xml:space="preserve"> </w:t>
            </w:r>
            <w:r w:rsidRPr="003015FD">
              <w:t>jurisdictions,</w:t>
            </w:r>
            <w:r w:rsidR="00975895" w:rsidRPr="003015FD">
              <w:t xml:space="preserve"> </w:t>
            </w:r>
            <w:r w:rsidRPr="003015FD">
              <w:t>including</w:t>
            </w:r>
            <w:r w:rsidR="00975895" w:rsidRPr="003015FD">
              <w:t xml:space="preserve"> </w:t>
            </w:r>
            <w:r w:rsidRPr="003015FD">
              <w:t>those</w:t>
            </w:r>
            <w:r w:rsidR="00975895" w:rsidRPr="003015FD">
              <w:t xml:space="preserve"> </w:t>
            </w:r>
            <w:r w:rsidRPr="003015FD">
              <w:t>jurisdictions</w:t>
            </w:r>
            <w:r w:rsidR="00975895" w:rsidRPr="003015FD">
              <w:t xml:space="preserve"> </w:t>
            </w:r>
            <w:r w:rsidRPr="003015FD">
              <w:t>without</w:t>
            </w:r>
            <w:r w:rsidR="00975895" w:rsidRPr="003015FD">
              <w:t xml:space="preserve"> </w:t>
            </w:r>
            <w:r w:rsidRPr="003015FD">
              <w:t>an</w:t>
            </w:r>
            <w:r w:rsidR="00975895" w:rsidRPr="003015FD">
              <w:t xml:space="preserve"> </w:t>
            </w:r>
            <w:r w:rsidRPr="003015FD">
              <w:t>equivalent</w:t>
            </w:r>
            <w:r w:rsidR="00975895" w:rsidRPr="003015FD">
              <w:t xml:space="preserve"> </w:t>
            </w:r>
            <w:r w:rsidRPr="003015FD">
              <w:t>to</w:t>
            </w:r>
            <w:r w:rsidR="00975895" w:rsidRPr="003015FD">
              <w:t xml:space="preserve"> </w:t>
            </w:r>
            <w:r w:rsidRPr="003015FD">
              <w:t>the</w:t>
            </w:r>
            <w:r w:rsidR="00975895" w:rsidRPr="003015FD">
              <w:t xml:space="preserve"> </w:t>
            </w:r>
            <w:r w:rsidRPr="003015FD">
              <w:t>Charter.</w:t>
            </w:r>
          </w:p>
        </w:tc>
        <w:tc>
          <w:tcPr>
            <w:tcW w:w="2006" w:type="dxa"/>
          </w:tcPr>
          <w:p w14:paraId="1DF016E3" w14:textId="2F5736E1" w:rsidR="008E0945" w:rsidRPr="003015FD" w:rsidRDefault="008E0945" w:rsidP="00C873BC">
            <w:pPr>
              <w:pStyle w:val="TableBodyTextcentred"/>
              <w:jc w:val="left"/>
            </w:pPr>
            <w:r w:rsidRPr="003015FD">
              <w:t>Perpetual:</w:t>
            </w:r>
            <w:r w:rsidR="00975895" w:rsidRPr="003015FD">
              <w:t xml:space="preserve"> </w:t>
            </w:r>
            <w:r w:rsidRPr="003015FD">
              <w:t>new</w:t>
            </w:r>
            <w:r w:rsidR="00975895" w:rsidRPr="003015FD">
              <w:t xml:space="preserve"> </w:t>
            </w:r>
            <w:r w:rsidRPr="003015FD">
              <w:t>section</w:t>
            </w:r>
            <w:r w:rsidR="00975895" w:rsidRPr="003015FD">
              <w:t xml:space="preserve"> </w:t>
            </w:r>
            <w:r w:rsidRPr="003015FD">
              <w:t>6(2)</w:t>
            </w:r>
            <w:r w:rsidR="00975895" w:rsidRPr="003015FD">
              <w:t xml:space="preserve"> </w:t>
            </w:r>
            <w:r w:rsidRPr="003015FD">
              <w:t>states</w:t>
            </w:r>
            <w:r w:rsidR="00975895" w:rsidRPr="003015FD">
              <w:t xml:space="preserve"> </w:t>
            </w:r>
            <w:r w:rsidRPr="003015FD">
              <w:t>that</w:t>
            </w:r>
            <w:r w:rsidR="00975895" w:rsidRPr="003015FD">
              <w:t xml:space="preserve"> </w:t>
            </w:r>
            <w:r w:rsidRPr="003015FD">
              <w:t>Charter</w:t>
            </w:r>
            <w:r w:rsidR="00975895" w:rsidRPr="003015FD">
              <w:t xml:space="preserve"> </w:t>
            </w:r>
            <w:r w:rsidRPr="003015FD">
              <w:t>section</w:t>
            </w:r>
            <w:r w:rsidR="00975895" w:rsidRPr="003015FD">
              <w:t xml:space="preserve"> </w:t>
            </w:r>
            <w:r w:rsidRPr="003015FD">
              <w:t>31(7),</w:t>
            </w:r>
            <w:r w:rsidR="00975895" w:rsidRPr="003015FD">
              <w:t xml:space="preserve"> </w:t>
            </w:r>
            <w:r w:rsidRPr="003015FD">
              <w:t>which</w:t>
            </w:r>
            <w:r w:rsidR="00975895" w:rsidRPr="003015FD">
              <w:t xml:space="preserve"> </w:t>
            </w:r>
            <w:r w:rsidRPr="003015FD">
              <w:t>limits</w:t>
            </w:r>
            <w:r w:rsidR="00975895" w:rsidRPr="003015FD">
              <w:t xml:space="preserve"> </w:t>
            </w:r>
            <w:r w:rsidRPr="003015FD">
              <w:t>overrides</w:t>
            </w:r>
            <w:r w:rsidR="00975895" w:rsidRPr="003015FD">
              <w:t xml:space="preserve"> </w:t>
            </w:r>
            <w:r w:rsidRPr="003015FD">
              <w:t>to</w:t>
            </w:r>
            <w:r w:rsidR="00975895" w:rsidRPr="003015FD">
              <w:t xml:space="preserve"> </w:t>
            </w:r>
            <w:r w:rsidRPr="003015FD">
              <w:t>five</w:t>
            </w:r>
            <w:r w:rsidR="00975895" w:rsidRPr="003015FD">
              <w:t xml:space="preserve"> </w:t>
            </w:r>
            <w:r w:rsidRPr="003015FD">
              <w:t>years,</w:t>
            </w:r>
            <w:r w:rsidR="00975895" w:rsidRPr="003015FD">
              <w:t xml:space="preserve"> </w:t>
            </w:r>
            <w:r w:rsidRPr="003015FD">
              <w:t>does</w:t>
            </w:r>
            <w:r w:rsidR="00975895" w:rsidRPr="003015FD">
              <w:t xml:space="preserve"> </w:t>
            </w:r>
            <w:r w:rsidRPr="003015FD">
              <w:t>not</w:t>
            </w:r>
            <w:r w:rsidR="00975895" w:rsidRPr="003015FD">
              <w:t xml:space="preserve"> </w:t>
            </w:r>
            <w:r w:rsidRPr="003015FD">
              <w:t>apply.</w:t>
            </w:r>
          </w:p>
        </w:tc>
        <w:tc>
          <w:tcPr>
            <w:tcW w:w="2006" w:type="dxa"/>
          </w:tcPr>
          <w:p w14:paraId="1EAAD663" w14:textId="255AEE8E" w:rsidR="008E0945" w:rsidRPr="003015FD" w:rsidRDefault="008E0945" w:rsidP="00C873BC">
            <w:pPr>
              <w:pStyle w:val="TableBodyTextcentred"/>
              <w:jc w:val="left"/>
            </w:pPr>
            <w:r w:rsidRPr="003015FD">
              <w:t>Victoria</w:t>
            </w:r>
            <w:r w:rsidR="00975895" w:rsidRPr="003015FD">
              <w:t xml:space="preserve"> </w:t>
            </w:r>
            <w:r w:rsidRPr="003015FD">
              <w:t>is</w:t>
            </w:r>
            <w:r w:rsidR="00975895" w:rsidRPr="003015FD">
              <w:t xml:space="preserve"> </w:t>
            </w:r>
            <w:r w:rsidRPr="003015FD">
              <w:t>host</w:t>
            </w:r>
            <w:r w:rsidR="00975895" w:rsidRPr="003015FD">
              <w:t xml:space="preserve"> </w:t>
            </w:r>
            <w:r w:rsidRPr="003015FD">
              <w:t>jurisdiction.</w:t>
            </w:r>
            <w:r w:rsidR="00975895" w:rsidRPr="003015FD">
              <w:t xml:space="preserve"> </w:t>
            </w:r>
            <w:r w:rsidRPr="003015FD">
              <w:t>Other</w:t>
            </w:r>
            <w:r w:rsidR="00975895" w:rsidRPr="003015FD">
              <w:t xml:space="preserve"> </w:t>
            </w:r>
            <w:r w:rsidRPr="003015FD">
              <w:t>participating</w:t>
            </w:r>
            <w:r w:rsidR="00975895" w:rsidRPr="003015FD">
              <w:t xml:space="preserve"> </w:t>
            </w:r>
            <w:r w:rsidRPr="003015FD">
              <w:t>jurisdictions</w:t>
            </w:r>
            <w:r w:rsidR="00975895" w:rsidRPr="003015FD">
              <w:t xml:space="preserve"> </w:t>
            </w:r>
            <w:r w:rsidRPr="003015FD">
              <w:t>(only</w:t>
            </w:r>
            <w:r w:rsidR="00975895" w:rsidRPr="003015FD">
              <w:t xml:space="preserve"> </w:t>
            </w:r>
            <w:r w:rsidRPr="003015FD">
              <w:t>NSW</w:t>
            </w:r>
            <w:r w:rsidR="00975895" w:rsidRPr="003015FD">
              <w:t xml:space="preserve"> </w:t>
            </w:r>
            <w:r w:rsidRPr="003015FD">
              <w:t>to</w:t>
            </w:r>
            <w:r w:rsidR="00975895" w:rsidRPr="003015FD">
              <w:t xml:space="preserve"> </w:t>
            </w:r>
            <w:r w:rsidRPr="003015FD">
              <w:t>date)</w:t>
            </w:r>
            <w:r w:rsidR="00975895" w:rsidRPr="003015FD">
              <w:t xml:space="preserve"> </w:t>
            </w:r>
            <w:r w:rsidRPr="003015FD">
              <w:t>apply</w:t>
            </w:r>
            <w:r w:rsidR="00975895" w:rsidRPr="003015FD">
              <w:t xml:space="preserve"> </w:t>
            </w:r>
            <w:r w:rsidRPr="003015FD">
              <w:t>law</w:t>
            </w:r>
            <w:r w:rsidR="00975895" w:rsidRPr="003015FD">
              <w:t xml:space="preserve"> </w:t>
            </w:r>
            <w:r w:rsidRPr="003015FD">
              <w:t>as</w:t>
            </w:r>
            <w:r w:rsidR="00975895" w:rsidRPr="003015FD">
              <w:t xml:space="preserve"> </w:t>
            </w:r>
            <w:r w:rsidRPr="003015FD">
              <w:t>if</w:t>
            </w:r>
            <w:r w:rsidR="00975895" w:rsidRPr="003015FD">
              <w:t xml:space="preserve"> </w:t>
            </w:r>
            <w:r w:rsidRPr="003015FD">
              <w:t>it</w:t>
            </w:r>
            <w:r w:rsidR="00975895" w:rsidRPr="003015FD">
              <w:t xml:space="preserve"> </w:t>
            </w:r>
            <w:r w:rsidRPr="003015FD">
              <w:t>is</w:t>
            </w:r>
            <w:r w:rsidR="00975895" w:rsidRPr="003015FD">
              <w:t xml:space="preserve"> </w:t>
            </w:r>
            <w:r w:rsidRPr="003015FD">
              <w:t>their</w:t>
            </w:r>
            <w:r w:rsidR="00975895" w:rsidRPr="003015FD">
              <w:t xml:space="preserve"> </w:t>
            </w:r>
            <w:r w:rsidRPr="003015FD">
              <w:t>own</w:t>
            </w:r>
          </w:p>
        </w:tc>
      </w:tr>
      <w:tr w:rsidR="008E0945" w:rsidRPr="003015FD" w14:paraId="16664529" w14:textId="77777777" w:rsidTr="0002642E">
        <w:trPr>
          <w:cnfStyle w:val="000000010000" w:firstRow="0" w:lastRow="0" w:firstColumn="0" w:lastColumn="0" w:oddVBand="0" w:evenVBand="0" w:oddHBand="0" w:evenHBand="1" w:firstRowFirstColumn="0" w:firstRowLastColumn="0" w:lastRowFirstColumn="0" w:lastRowLastColumn="0"/>
        </w:trPr>
        <w:tc>
          <w:tcPr>
            <w:tcW w:w="1271" w:type="dxa"/>
          </w:tcPr>
          <w:p w14:paraId="6B186EC0" w14:textId="77777777" w:rsidR="008E0945" w:rsidRPr="003015FD" w:rsidRDefault="008E0945" w:rsidP="00C873BC">
            <w:pPr>
              <w:pStyle w:val="TableBodyTextcentred"/>
              <w:jc w:val="left"/>
            </w:pPr>
            <w:r w:rsidRPr="003015FD">
              <w:t>2014</w:t>
            </w:r>
          </w:p>
        </w:tc>
        <w:tc>
          <w:tcPr>
            <w:tcW w:w="1559" w:type="dxa"/>
          </w:tcPr>
          <w:p w14:paraId="235DB91B" w14:textId="3DEC10AD" w:rsidR="008E0945" w:rsidRPr="00A76371" w:rsidRDefault="008E0945" w:rsidP="00C873BC">
            <w:pPr>
              <w:pStyle w:val="TableBodyTextcentred"/>
              <w:jc w:val="left"/>
              <w:rPr>
                <w:i/>
              </w:rPr>
            </w:pPr>
            <w:r w:rsidRPr="0002642E">
              <w:t>Corrections</w:t>
            </w:r>
            <w:r w:rsidR="00975895" w:rsidRPr="0002642E">
              <w:t xml:space="preserve"> </w:t>
            </w:r>
            <w:r w:rsidRPr="0002642E">
              <w:t>Amendment</w:t>
            </w:r>
            <w:r w:rsidR="00975895" w:rsidRPr="0002642E">
              <w:t xml:space="preserve"> </w:t>
            </w:r>
            <w:r w:rsidRPr="0002642E">
              <w:t>(Parole)</w:t>
            </w:r>
            <w:r w:rsidR="00975895" w:rsidRPr="0002642E">
              <w:t xml:space="preserve"> </w:t>
            </w:r>
            <w:r w:rsidRPr="0002642E">
              <w:t>Act</w:t>
            </w:r>
            <w:r w:rsidR="00975895" w:rsidRPr="0002642E">
              <w:t xml:space="preserve"> </w:t>
            </w:r>
            <w:r w:rsidRPr="0002642E">
              <w:t>2014</w:t>
            </w:r>
          </w:p>
        </w:tc>
        <w:tc>
          <w:tcPr>
            <w:tcW w:w="2219" w:type="dxa"/>
          </w:tcPr>
          <w:p w14:paraId="5D93164D" w14:textId="3F2D4038" w:rsidR="008E0945" w:rsidRPr="003015FD" w:rsidRDefault="008E0945" w:rsidP="00C873BC">
            <w:pPr>
              <w:pStyle w:val="TableBodyTextcentred"/>
              <w:jc w:val="left"/>
            </w:pPr>
            <w:r w:rsidRPr="003015FD">
              <w:t>Amends</w:t>
            </w:r>
            <w:r w:rsidR="00975895" w:rsidRPr="003015FD">
              <w:t xml:space="preserve"> </w:t>
            </w:r>
            <w:r w:rsidRPr="0002642E">
              <w:t>Corrections</w:t>
            </w:r>
            <w:r w:rsidR="00975895" w:rsidRPr="0002642E">
              <w:t xml:space="preserve"> </w:t>
            </w:r>
            <w:r w:rsidRPr="0002642E">
              <w:t>Act</w:t>
            </w:r>
            <w:r w:rsidR="00975895" w:rsidRPr="0002642E">
              <w:t xml:space="preserve"> </w:t>
            </w:r>
            <w:r w:rsidRPr="0002642E">
              <w:t>1986</w:t>
            </w:r>
            <w:r w:rsidR="00975895" w:rsidRPr="0002642E">
              <w:t xml:space="preserve"> </w:t>
            </w:r>
            <w:r w:rsidRPr="003015FD">
              <w:t>by</w:t>
            </w:r>
            <w:r w:rsidR="00975895" w:rsidRPr="003015FD">
              <w:t xml:space="preserve"> </w:t>
            </w:r>
            <w:r w:rsidRPr="003015FD">
              <w:t>restricting</w:t>
            </w:r>
            <w:r w:rsidR="00975895" w:rsidRPr="003015FD">
              <w:t xml:space="preserve"> </w:t>
            </w:r>
            <w:r w:rsidRPr="003015FD">
              <w:t>capacity</w:t>
            </w:r>
            <w:r w:rsidR="00975895" w:rsidRPr="003015FD">
              <w:t xml:space="preserve"> </w:t>
            </w:r>
            <w:r w:rsidRPr="003015FD">
              <w:t>of</w:t>
            </w:r>
            <w:r w:rsidR="00975895" w:rsidRPr="003015FD">
              <w:t xml:space="preserve"> </w:t>
            </w:r>
            <w:r w:rsidRPr="003015FD">
              <w:t>Parole</w:t>
            </w:r>
            <w:r w:rsidR="00975895" w:rsidRPr="003015FD">
              <w:t xml:space="preserve"> </w:t>
            </w:r>
            <w:r w:rsidRPr="003015FD">
              <w:t>Board</w:t>
            </w:r>
            <w:r w:rsidR="00975895" w:rsidRPr="003015FD">
              <w:t xml:space="preserve"> </w:t>
            </w:r>
            <w:r w:rsidRPr="003015FD">
              <w:t>to</w:t>
            </w:r>
            <w:r w:rsidR="00975895" w:rsidRPr="003015FD">
              <w:t xml:space="preserve"> </w:t>
            </w:r>
            <w:r w:rsidRPr="003015FD">
              <w:t>grant</w:t>
            </w:r>
            <w:r w:rsidR="00975895" w:rsidRPr="003015FD">
              <w:t xml:space="preserve"> </w:t>
            </w:r>
            <w:r w:rsidRPr="003015FD">
              <w:t>convicted</w:t>
            </w:r>
            <w:r w:rsidR="00975895" w:rsidRPr="003015FD">
              <w:t xml:space="preserve"> </w:t>
            </w:r>
            <w:r w:rsidRPr="003015FD">
              <w:t>murderer</w:t>
            </w:r>
            <w:r w:rsidR="00975895" w:rsidRPr="003015FD">
              <w:t xml:space="preserve"> </w:t>
            </w:r>
            <w:r w:rsidRPr="003015FD">
              <w:t>Julian</w:t>
            </w:r>
            <w:r w:rsidR="00975895" w:rsidRPr="003015FD">
              <w:t xml:space="preserve"> </w:t>
            </w:r>
            <w:r w:rsidRPr="003015FD">
              <w:t>Knight</w:t>
            </w:r>
            <w:r w:rsidR="00975895" w:rsidRPr="003015FD">
              <w:t xml:space="preserve"> </w:t>
            </w:r>
            <w:r w:rsidRPr="003015FD">
              <w:t>(responsible</w:t>
            </w:r>
            <w:r w:rsidR="00975895" w:rsidRPr="003015FD">
              <w:t xml:space="preserve"> </w:t>
            </w:r>
            <w:r w:rsidRPr="003015FD">
              <w:t>for</w:t>
            </w:r>
            <w:r w:rsidR="00975895" w:rsidRPr="003015FD">
              <w:t xml:space="preserve"> </w:t>
            </w:r>
            <w:r w:rsidRPr="003015FD">
              <w:t>1987</w:t>
            </w:r>
            <w:r w:rsidR="00975895" w:rsidRPr="003015FD">
              <w:t xml:space="preserve"> </w:t>
            </w:r>
            <w:r w:rsidRPr="003015FD">
              <w:t>Hoddle</w:t>
            </w:r>
            <w:r w:rsidR="00975895" w:rsidRPr="003015FD">
              <w:t xml:space="preserve"> </w:t>
            </w:r>
            <w:r w:rsidRPr="003015FD">
              <w:t>Street</w:t>
            </w:r>
            <w:r w:rsidR="00975895" w:rsidRPr="003015FD">
              <w:t xml:space="preserve"> </w:t>
            </w:r>
            <w:r w:rsidRPr="003015FD">
              <w:t>Massacre)</w:t>
            </w:r>
            <w:r w:rsidR="00975895" w:rsidRPr="003015FD">
              <w:t xml:space="preserve"> </w:t>
            </w:r>
            <w:r w:rsidRPr="003015FD">
              <w:t>parole</w:t>
            </w:r>
            <w:r w:rsidR="00975895" w:rsidRPr="003015FD">
              <w:t xml:space="preserve"> </w:t>
            </w:r>
            <w:r w:rsidRPr="003015FD">
              <w:t>unless</w:t>
            </w:r>
            <w:r w:rsidR="00975895" w:rsidRPr="003015FD">
              <w:t xml:space="preserve"> </w:t>
            </w:r>
            <w:r w:rsidR="00BB1F36">
              <w:t>“</w:t>
            </w:r>
            <w:r w:rsidRPr="003015FD">
              <w:t>in</w:t>
            </w:r>
            <w:r w:rsidR="00975895" w:rsidRPr="003015FD">
              <w:t xml:space="preserve"> </w:t>
            </w:r>
            <w:r w:rsidRPr="003015FD">
              <w:t>imminent</w:t>
            </w:r>
            <w:r w:rsidR="00975895" w:rsidRPr="003015FD">
              <w:t xml:space="preserve"> </w:t>
            </w:r>
            <w:r w:rsidRPr="003015FD">
              <w:t>danger</w:t>
            </w:r>
            <w:r w:rsidR="00975895" w:rsidRPr="003015FD">
              <w:t xml:space="preserve"> </w:t>
            </w:r>
            <w:r w:rsidRPr="003015FD">
              <w:t>of</w:t>
            </w:r>
            <w:r w:rsidR="00975895" w:rsidRPr="003015FD">
              <w:t xml:space="preserve"> </w:t>
            </w:r>
            <w:r w:rsidRPr="003015FD">
              <w:t>dying/seriously</w:t>
            </w:r>
            <w:r w:rsidR="00975895" w:rsidRPr="003015FD">
              <w:t xml:space="preserve"> </w:t>
            </w:r>
            <w:r w:rsidRPr="003015FD">
              <w:t>incapacitated</w:t>
            </w:r>
            <w:r w:rsidR="00BB1F36">
              <w:t>”</w:t>
            </w:r>
            <w:r w:rsidRPr="003015FD">
              <w:t>.</w:t>
            </w:r>
            <w:r w:rsidR="00975895" w:rsidRPr="003015FD">
              <w:t xml:space="preserve"> </w:t>
            </w:r>
            <w:r w:rsidRPr="003015FD">
              <w:t>Enacted</w:t>
            </w:r>
            <w:r w:rsidR="00975895" w:rsidRPr="003015FD">
              <w:t xml:space="preserve"> </w:t>
            </w:r>
            <w:r w:rsidRPr="003015FD">
              <w:t>in</w:t>
            </w:r>
            <w:r w:rsidR="00975895" w:rsidRPr="003015FD">
              <w:t xml:space="preserve"> </w:t>
            </w:r>
            <w:r w:rsidRPr="003015FD">
              <w:t>case</w:t>
            </w:r>
            <w:r w:rsidR="00975895" w:rsidRPr="003015FD">
              <w:t xml:space="preserve"> </w:t>
            </w:r>
            <w:r w:rsidRPr="003015FD">
              <w:t>a</w:t>
            </w:r>
            <w:r w:rsidR="00975895" w:rsidRPr="003015FD">
              <w:t xml:space="preserve"> </w:t>
            </w:r>
            <w:r w:rsidRPr="003015FD">
              <w:t>court</w:t>
            </w:r>
            <w:r w:rsidR="00975895" w:rsidRPr="003015FD">
              <w:t xml:space="preserve"> </w:t>
            </w:r>
            <w:r w:rsidRPr="003015FD">
              <w:t>considered</w:t>
            </w:r>
            <w:r w:rsidR="00975895" w:rsidRPr="003015FD">
              <w:t xml:space="preserve"> </w:t>
            </w:r>
            <w:r w:rsidRPr="003015FD">
              <w:t>that</w:t>
            </w:r>
            <w:r w:rsidR="00975895" w:rsidRPr="003015FD">
              <w:t xml:space="preserve"> </w:t>
            </w:r>
            <w:r w:rsidRPr="003015FD">
              <w:t>the</w:t>
            </w:r>
            <w:r w:rsidR="00975895" w:rsidRPr="003015FD">
              <w:t xml:space="preserve"> </w:t>
            </w:r>
            <w:r w:rsidRPr="003015FD">
              <w:t>legislation</w:t>
            </w:r>
            <w:r w:rsidR="00975895" w:rsidRPr="003015FD">
              <w:t xml:space="preserve"> </w:t>
            </w:r>
            <w:r w:rsidRPr="003015FD">
              <w:t>not</w:t>
            </w:r>
            <w:r w:rsidR="00975895" w:rsidRPr="003015FD">
              <w:t xml:space="preserve"> </w:t>
            </w:r>
            <w:r w:rsidRPr="003015FD">
              <w:t>Charter</w:t>
            </w:r>
            <w:r w:rsidR="00975895" w:rsidRPr="003015FD">
              <w:t xml:space="preserve"> </w:t>
            </w:r>
            <w:r w:rsidRPr="003015FD">
              <w:t>compatible.</w:t>
            </w:r>
          </w:p>
        </w:tc>
        <w:tc>
          <w:tcPr>
            <w:tcW w:w="2006" w:type="dxa"/>
          </w:tcPr>
          <w:p w14:paraId="6ECB6B7A" w14:textId="2C7E7B41" w:rsidR="008E0945" w:rsidRPr="003015FD" w:rsidRDefault="008E0945" w:rsidP="00C873BC">
            <w:pPr>
              <w:pStyle w:val="TableBodyTextcentred"/>
              <w:jc w:val="left"/>
            </w:pPr>
            <w:r w:rsidRPr="003015FD">
              <w:t>Perpetual:</w:t>
            </w:r>
            <w:r w:rsidR="00975895" w:rsidRPr="003015FD">
              <w:t xml:space="preserve"> </w:t>
            </w:r>
            <w:r w:rsidRPr="003015FD">
              <w:t>new</w:t>
            </w:r>
            <w:r w:rsidR="00975895" w:rsidRPr="003015FD">
              <w:t xml:space="preserve"> </w:t>
            </w:r>
            <w:r w:rsidRPr="003015FD">
              <w:t>section</w:t>
            </w:r>
            <w:r w:rsidR="00975895" w:rsidRPr="003015FD">
              <w:t xml:space="preserve"> </w:t>
            </w:r>
            <w:r w:rsidRPr="003015FD">
              <w:t>74AA</w:t>
            </w:r>
            <w:r w:rsidR="00975895" w:rsidRPr="003015FD">
              <w:t xml:space="preserve"> </w:t>
            </w:r>
            <w:r w:rsidRPr="003015FD">
              <w:t>states</w:t>
            </w:r>
            <w:r w:rsidR="00975895" w:rsidRPr="003015FD">
              <w:t xml:space="preserve"> </w:t>
            </w:r>
            <w:r w:rsidRPr="003015FD">
              <w:t>that</w:t>
            </w:r>
            <w:r w:rsidR="00975895" w:rsidRPr="003015FD">
              <w:t xml:space="preserve"> </w:t>
            </w:r>
            <w:r w:rsidRPr="003015FD">
              <w:t>Charter</w:t>
            </w:r>
            <w:r w:rsidR="00975895" w:rsidRPr="003015FD">
              <w:t xml:space="preserve"> </w:t>
            </w:r>
            <w:r w:rsidRPr="003015FD">
              <w:t>section</w:t>
            </w:r>
            <w:r w:rsidR="00975895" w:rsidRPr="003015FD">
              <w:t xml:space="preserve"> </w:t>
            </w:r>
            <w:r w:rsidRPr="003015FD">
              <w:t>31(7),</w:t>
            </w:r>
            <w:r w:rsidR="00975895" w:rsidRPr="003015FD">
              <w:t xml:space="preserve"> </w:t>
            </w:r>
            <w:r w:rsidRPr="003015FD">
              <w:t>which</w:t>
            </w:r>
            <w:r w:rsidR="00975895" w:rsidRPr="003015FD">
              <w:t xml:space="preserve"> </w:t>
            </w:r>
            <w:r w:rsidRPr="003015FD">
              <w:t>limits</w:t>
            </w:r>
            <w:r w:rsidR="00975895" w:rsidRPr="003015FD">
              <w:t xml:space="preserve"> </w:t>
            </w:r>
            <w:r w:rsidRPr="003015FD">
              <w:t>overrides</w:t>
            </w:r>
            <w:r w:rsidR="00975895" w:rsidRPr="003015FD">
              <w:t xml:space="preserve"> </w:t>
            </w:r>
            <w:r w:rsidRPr="003015FD">
              <w:t>to</w:t>
            </w:r>
            <w:r w:rsidR="00975895" w:rsidRPr="003015FD">
              <w:t xml:space="preserve"> </w:t>
            </w:r>
            <w:r w:rsidRPr="003015FD">
              <w:t>five</w:t>
            </w:r>
            <w:r w:rsidR="00975895" w:rsidRPr="003015FD">
              <w:t xml:space="preserve"> </w:t>
            </w:r>
            <w:r w:rsidRPr="003015FD">
              <w:t>years,</w:t>
            </w:r>
            <w:r w:rsidR="00975895" w:rsidRPr="003015FD">
              <w:t xml:space="preserve"> </w:t>
            </w:r>
            <w:r w:rsidRPr="003015FD">
              <w:t>does</w:t>
            </w:r>
            <w:r w:rsidR="00975895" w:rsidRPr="003015FD">
              <w:t xml:space="preserve"> </w:t>
            </w:r>
            <w:r w:rsidRPr="003015FD">
              <w:t>not</w:t>
            </w:r>
            <w:r w:rsidR="00975895" w:rsidRPr="003015FD">
              <w:t xml:space="preserve"> </w:t>
            </w:r>
            <w:r w:rsidRPr="003015FD">
              <w:t>apply.</w:t>
            </w:r>
          </w:p>
        </w:tc>
        <w:tc>
          <w:tcPr>
            <w:tcW w:w="2006" w:type="dxa"/>
          </w:tcPr>
          <w:p w14:paraId="0CE7098E" w14:textId="5EEC6391" w:rsidR="008E0945" w:rsidRPr="003015FD" w:rsidRDefault="008E0945" w:rsidP="00C873BC">
            <w:pPr>
              <w:pStyle w:val="TableBodyTextcentred"/>
              <w:jc w:val="left"/>
            </w:pPr>
            <w:r w:rsidRPr="003015FD">
              <w:t>Minister</w:t>
            </w:r>
            <w:r w:rsidR="00975895" w:rsidRPr="003015FD">
              <w:t xml:space="preserve"> </w:t>
            </w:r>
            <w:r w:rsidRPr="003015FD">
              <w:t>considered</w:t>
            </w:r>
            <w:r w:rsidR="00975895" w:rsidRPr="003015FD">
              <w:t xml:space="preserve"> </w:t>
            </w:r>
            <w:r w:rsidRPr="003015FD">
              <w:t>amendment</w:t>
            </w:r>
            <w:r w:rsidR="00975895" w:rsidRPr="003015FD">
              <w:t xml:space="preserve"> </w:t>
            </w:r>
            <w:r w:rsidRPr="003015FD">
              <w:t>was</w:t>
            </w:r>
            <w:r w:rsidR="00975895" w:rsidRPr="003015FD">
              <w:t xml:space="preserve"> </w:t>
            </w:r>
            <w:r w:rsidRPr="003015FD">
              <w:t>Charter</w:t>
            </w:r>
            <w:r w:rsidR="00975895" w:rsidRPr="003015FD">
              <w:t xml:space="preserve"> </w:t>
            </w:r>
            <w:r w:rsidRPr="003015FD">
              <w:t>compatible</w:t>
            </w:r>
            <w:r w:rsidR="00975895" w:rsidRPr="003015FD">
              <w:t xml:space="preserve"> </w:t>
            </w:r>
            <w:r w:rsidRPr="003015FD">
              <w:t>because</w:t>
            </w:r>
            <w:r w:rsidR="00975895" w:rsidRPr="003015FD">
              <w:t xml:space="preserve"> </w:t>
            </w:r>
            <w:r w:rsidRPr="003015FD">
              <w:t>any</w:t>
            </w:r>
            <w:r w:rsidR="00975895" w:rsidRPr="003015FD">
              <w:t xml:space="preserve"> </w:t>
            </w:r>
            <w:r w:rsidRPr="003015FD">
              <w:t>limitations</w:t>
            </w:r>
            <w:r w:rsidR="00975895" w:rsidRPr="003015FD">
              <w:t xml:space="preserve"> </w:t>
            </w:r>
            <w:r w:rsidRPr="003015FD">
              <w:t>on</w:t>
            </w:r>
            <w:r w:rsidR="00975895" w:rsidRPr="003015FD">
              <w:t xml:space="preserve"> </w:t>
            </w:r>
            <w:r w:rsidRPr="003015FD">
              <w:t>Charter</w:t>
            </w:r>
            <w:r w:rsidR="00975895" w:rsidRPr="003015FD">
              <w:t xml:space="preserve"> </w:t>
            </w:r>
            <w:r w:rsidRPr="003015FD">
              <w:t>rights</w:t>
            </w:r>
            <w:r w:rsidR="00975895" w:rsidRPr="003015FD">
              <w:t xml:space="preserve"> </w:t>
            </w:r>
            <w:r w:rsidRPr="003015FD">
              <w:t>it</w:t>
            </w:r>
            <w:r w:rsidR="00975895" w:rsidRPr="003015FD">
              <w:t xml:space="preserve"> </w:t>
            </w:r>
            <w:r w:rsidRPr="003015FD">
              <w:t>included</w:t>
            </w:r>
            <w:r w:rsidR="00975895" w:rsidRPr="003015FD">
              <w:t xml:space="preserve"> </w:t>
            </w:r>
            <w:r w:rsidRPr="003015FD">
              <w:t>were</w:t>
            </w:r>
            <w:r w:rsidR="00975895" w:rsidRPr="003015FD">
              <w:t xml:space="preserve"> </w:t>
            </w:r>
            <w:r w:rsidRPr="003015FD">
              <w:t>reasonable</w:t>
            </w:r>
            <w:r w:rsidR="00975895" w:rsidRPr="003015FD">
              <w:t xml:space="preserve"> </w:t>
            </w:r>
            <w:r w:rsidRPr="003015FD">
              <w:t>and</w:t>
            </w:r>
            <w:r w:rsidR="00975895" w:rsidRPr="003015FD">
              <w:t xml:space="preserve"> </w:t>
            </w:r>
            <w:r w:rsidRPr="003015FD">
              <w:t>justified</w:t>
            </w:r>
            <w:r w:rsidR="00975895" w:rsidRPr="003015FD">
              <w:t xml:space="preserve"> </w:t>
            </w:r>
            <w:r w:rsidRPr="003015FD">
              <w:t>due</w:t>
            </w:r>
            <w:r w:rsidR="00975895" w:rsidRPr="003015FD">
              <w:t xml:space="preserve"> </w:t>
            </w:r>
            <w:r w:rsidRPr="003015FD">
              <w:t>to</w:t>
            </w:r>
            <w:r w:rsidR="00975895" w:rsidRPr="003015FD">
              <w:t xml:space="preserve"> </w:t>
            </w:r>
            <w:r w:rsidRPr="003015FD">
              <w:t>the</w:t>
            </w:r>
            <w:r w:rsidR="00975895" w:rsidRPr="003015FD">
              <w:t xml:space="preserve"> </w:t>
            </w:r>
            <w:r w:rsidRPr="003015FD">
              <w:t>nature</w:t>
            </w:r>
            <w:r w:rsidR="00975895" w:rsidRPr="003015FD">
              <w:t xml:space="preserve"> </w:t>
            </w:r>
            <w:r w:rsidRPr="003015FD">
              <w:t>of</w:t>
            </w:r>
            <w:r w:rsidR="00975895" w:rsidRPr="003015FD">
              <w:t xml:space="preserve"> </w:t>
            </w:r>
            <w:r w:rsidRPr="003015FD">
              <w:t>Knight</w:t>
            </w:r>
            <w:r w:rsidR="000C5726">
              <w:t>'</w:t>
            </w:r>
            <w:r w:rsidRPr="003015FD">
              <w:t>s</w:t>
            </w:r>
            <w:r w:rsidR="00975895" w:rsidRPr="003015FD">
              <w:t xml:space="preserve"> </w:t>
            </w:r>
            <w:r w:rsidRPr="003015FD">
              <w:t>crimes</w:t>
            </w:r>
            <w:r w:rsidR="00975895" w:rsidRPr="003015FD">
              <w:t xml:space="preserve"> </w:t>
            </w:r>
            <w:r w:rsidRPr="003015FD">
              <w:t>and</w:t>
            </w:r>
            <w:r w:rsidR="00975895" w:rsidRPr="003015FD">
              <w:t xml:space="preserve"> </w:t>
            </w:r>
            <w:r w:rsidRPr="003015FD">
              <w:t>his</w:t>
            </w:r>
            <w:r w:rsidR="00975895" w:rsidRPr="003015FD">
              <w:t xml:space="preserve"> </w:t>
            </w:r>
            <w:r w:rsidRPr="003015FD">
              <w:t>ongoing</w:t>
            </w:r>
            <w:r w:rsidR="00975895" w:rsidRPr="003015FD">
              <w:t xml:space="preserve"> </w:t>
            </w:r>
            <w:r w:rsidRPr="003015FD">
              <w:t>risk</w:t>
            </w:r>
          </w:p>
        </w:tc>
      </w:tr>
      <w:tr w:rsidR="008E0945" w:rsidRPr="003015FD" w14:paraId="2CFBA484" w14:textId="77777777" w:rsidTr="0002642E">
        <w:trPr>
          <w:cnfStyle w:val="000000100000" w:firstRow="0" w:lastRow="0" w:firstColumn="0" w:lastColumn="0" w:oddVBand="0" w:evenVBand="0" w:oddHBand="1" w:evenHBand="0" w:firstRowFirstColumn="0" w:firstRowLastColumn="0" w:lastRowFirstColumn="0" w:lastRowLastColumn="0"/>
        </w:trPr>
        <w:tc>
          <w:tcPr>
            <w:tcW w:w="1271" w:type="dxa"/>
          </w:tcPr>
          <w:p w14:paraId="6C77EEB0" w14:textId="77777777" w:rsidR="008E0945" w:rsidRPr="003015FD" w:rsidRDefault="008E0945" w:rsidP="00C873BC">
            <w:pPr>
              <w:pStyle w:val="TableBodyTextcentred"/>
              <w:jc w:val="left"/>
            </w:pPr>
            <w:r w:rsidRPr="003015FD">
              <w:t>2018</w:t>
            </w:r>
          </w:p>
        </w:tc>
        <w:tc>
          <w:tcPr>
            <w:tcW w:w="1559" w:type="dxa"/>
          </w:tcPr>
          <w:p w14:paraId="500CCA00" w14:textId="35CD44E0" w:rsidR="008E0945" w:rsidRPr="003015FD" w:rsidRDefault="008E0945" w:rsidP="00C873BC">
            <w:pPr>
              <w:pStyle w:val="TableBodyTextcentred"/>
              <w:jc w:val="left"/>
            </w:pPr>
            <w:r w:rsidRPr="003015FD">
              <w:t>Corrections</w:t>
            </w:r>
            <w:r w:rsidR="00975895" w:rsidRPr="003015FD">
              <w:t xml:space="preserve"> </w:t>
            </w:r>
            <w:r w:rsidRPr="003015FD">
              <w:t>Amendment</w:t>
            </w:r>
            <w:r w:rsidR="00975895" w:rsidRPr="003015FD">
              <w:t xml:space="preserve"> </w:t>
            </w:r>
            <w:r w:rsidRPr="003015FD">
              <w:t>(Parole)</w:t>
            </w:r>
            <w:r w:rsidR="00975895" w:rsidRPr="003015FD">
              <w:t xml:space="preserve"> </w:t>
            </w:r>
            <w:r w:rsidRPr="003015FD">
              <w:t>Bill</w:t>
            </w:r>
            <w:r w:rsidR="00975895" w:rsidRPr="003015FD">
              <w:t xml:space="preserve"> </w:t>
            </w:r>
            <w:r w:rsidRPr="003015FD">
              <w:t>2018</w:t>
            </w:r>
            <w:r w:rsidR="003B428A">
              <w:t xml:space="preserve">. The Corrections Amendment (Parole) Bill 2016 was similar in </w:t>
            </w:r>
            <w:r w:rsidR="003B428A">
              <w:lastRenderedPageBreak/>
              <w:t>substance, but the High Court found the law did not apply to Dr Minogue.</w:t>
            </w:r>
          </w:p>
        </w:tc>
        <w:tc>
          <w:tcPr>
            <w:tcW w:w="2219" w:type="dxa"/>
          </w:tcPr>
          <w:p w14:paraId="15AE49C7" w14:textId="2C803359" w:rsidR="008E0945" w:rsidRPr="003015FD" w:rsidRDefault="008E0945" w:rsidP="00C873BC">
            <w:pPr>
              <w:pStyle w:val="TableBodyTextcentred"/>
              <w:jc w:val="left"/>
            </w:pPr>
            <w:r w:rsidRPr="003015FD">
              <w:lastRenderedPageBreak/>
              <w:t>Amends</w:t>
            </w:r>
            <w:r w:rsidR="00975895" w:rsidRPr="003015FD">
              <w:t xml:space="preserve"> </w:t>
            </w:r>
            <w:r w:rsidRPr="0002642E">
              <w:t>Corrections</w:t>
            </w:r>
            <w:r w:rsidR="00975895" w:rsidRPr="0002642E">
              <w:t xml:space="preserve"> </w:t>
            </w:r>
            <w:r w:rsidRPr="0002642E">
              <w:t>Act</w:t>
            </w:r>
            <w:r w:rsidR="00975895" w:rsidRPr="0002642E">
              <w:t xml:space="preserve"> </w:t>
            </w:r>
            <w:r w:rsidRPr="0002642E">
              <w:t>1986</w:t>
            </w:r>
            <w:r w:rsidR="00975895" w:rsidRPr="003015FD">
              <w:t xml:space="preserve"> </w:t>
            </w:r>
            <w:r w:rsidRPr="003015FD">
              <w:t>to</w:t>
            </w:r>
            <w:r w:rsidR="00975895" w:rsidRPr="003015FD">
              <w:t xml:space="preserve"> </w:t>
            </w:r>
            <w:r w:rsidRPr="003015FD">
              <w:t>restrict</w:t>
            </w:r>
            <w:r w:rsidR="00975895" w:rsidRPr="003015FD">
              <w:t xml:space="preserve"> </w:t>
            </w:r>
            <w:r w:rsidRPr="003015FD">
              <w:t>capacity</w:t>
            </w:r>
            <w:r w:rsidR="00975895" w:rsidRPr="003015FD">
              <w:t xml:space="preserve"> </w:t>
            </w:r>
            <w:r w:rsidRPr="003015FD">
              <w:t>of</w:t>
            </w:r>
            <w:r w:rsidR="00975895" w:rsidRPr="003015FD">
              <w:t xml:space="preserve"> </w:t>
            </w:r>
            <w:r w:rsidRPr="003015FD">
              <w:t>Parole</w:t>
            </w:r>
            <w:r w:rsidR="00975895" w:rsidRPr="003015FD">
              <w:t xml:space="preserve"> </w:t>
            </w:r>
            <w:r w:rsidRPr="003015FD">
              <w:t>Board</w:t>
            </w:r>
            <w:r w:rsidR="00975895" w:rsidRPr="003015FD">
              <w:t xml:space="preserve"> </w:t>
            </w:r>
            <w:r w:rsidRPr="003015FD">
              <w:t>to</w:t>
            </w:r>
            <w:r w:rsidR="00975895" w:rsidRPr="003015FD">
              <w:t xml:space="preserve"> </w:t>
            </w:r>
            <w:r w:rsidRPr="003015FD">
              <w:t>grant</w:t>
            </w:r>
            <w:r w:rsidR="00975895" w:rsidRPr="003015FD">
              <w:t xml:space="preserve"> </w:t>
            </w:r>
            <w:r w:rsidRPr="003015FD">
              <w:t>Dr</w:t>
            </w:r>
            <w:r w:rsidR="00975895" w:rsidRPr="003015FD">
              <w:t xml:space="preserve"> </w:t>
            </w:r>
            <w:r w:rsidRPr="003015FD">
              <w:t>Craig</w:t>
            </w:r>
            <w:r w:rsidR="00975895" w:rsidRPr="003015FD">
              <w:t xml:space="preserve"> </w:t>
            </w:r>
            <w:r w:rsidRPr="003015FD">
              <w:t>Minogue</w:t>
            </w:r>
            <w:r w:rsidR="00975895" w:rsidRPr="003015FD">
              <w:t xml:space="preserve"> </w:t>
            </w:r>
            <w:r w:rsidRPr="003015FD">
              <w:t>(convicted</w:t>
            </w:r>
            <w:r w:rsidR="00975895" w:rsidRPr="003015FD">
              <w:t xml:space="preserve"> </w:t>
            </w:r>
            <w:r w:rsidRPr="003015FD">
              <w:t>murderer</w:t>
            </w:r>
            <w:r w:rsidR="00975895" w:rsidRPr="003015FD">
              <w:t xml:space="preserve"> </w:t>
            </w:r>
            <w:r w:rsidRPr="003015FD">
              <w:t>involved</w:t>
            </w:r>
            <w:r w:rsidR="00975895" w:rsidRPr="003015FD">
              <w:t xml:space="preserve"> </w:t>
            </w:r>
            <w:r w:rsidRPr="003015FD">
              <w:t>in</w:t>
            </w:r>
            <w:r w:rsidR="00975895" w:rsidRPr="003015FD">
              <w:t xml:space="preserve"> </w:t>
            </w:r>
            <w:r w:rsidRPr="003015FD">
              <w:t>1986</w:t>
            </w:r>
            <w:r w:rsidR="00975895" w:rsidRPr="003015FD">
              <w:t xml:space="preserve"> </w:t>
            </w:r>
            <w:r w:rsidRPr="003015FD">
              <w:t>Russell</w:t>
            </w:r>
            <w:r w:rsidR="00975895" w:rsidRPr="003015FD">
              <w:t xml:space="preserve"> </w:t>
            </w:r>
            <w:r w:rsidRPr="003015FD">
              <w:t>Street</w:t>
            </w:r>
            <w:r w:rsidR="00975895" w:rsidRPr="003015FD">
              <w:t xml:space="preserve"> </w:t>
            </w:r>
            <w:r w:rsidRPr="003015FD">
              <w:t>bombings)</w:t>
            </w:r>
            <w:r w:rsidR="00975895" w:rsidRPr="003015FD">
              <w:t xml:space="preserve"> </w:t>
            </w:r>
            <w:r w:rsidRPr="003015FD">
              <w:t>parole</w:t>
            </w:r>
            <w:r w:rsidR="00975895" w:rsidRPr="003015FD">
              <w:t xml:space="preserve"> </w:t>
            </w:r>
            <w:r w:rsidRPr="003015FD">
              <w:lastRenderedPageBreak/>
              <w:t>unless</w:t>
            </w:r>
            <w:r w:rsidR="00975895" w:rsidRPr="003015FD">
              <w:t xml:space="preserve"> </w:t>
            </w:r>
            <w:r w:rsidR="00BB1F36">
              <w:t>“</w:t>
            </w:r>
            <w:r w:rsidRPr="003015FD">
              <w:t>in</w:t>
            </w:r>
            <w:r w:rsidR="00975895" w:rsidRPr="003015FD">
              <w:t xml:space="preserve"> </w:t>
            </w:r>
            <w:r w:rsidRPr="003015FD">
              <w:t>imminent</w:t>
            </w:r>
            <w:r w:rsidR="00975895" w:rsidRPr="003015FD">
              <w:t xml:space="preserve"> </w:t>
            </w:r>
            <w:r w:rsidRPr="003015FD">
              <w:t>danger</w:t>
            </w:r>
            <w:r w:rsidR="00975895" w:rsidRPr="003015FD">
              <w:t xml:space="preserve"> </w:t>
            </w:r>
            <w:r w:rsidRPr="003015FD">
              <w:t>of</w:t>
            </w:r>
            <w:r w:rsidR="00975895" w:rsidRPr="003015FD">
              <w:t xml:space="preserve"> </w:t>
            </w:r>
            <w:r w:rsidRPr="003015FD">
              <w:t>dying/seriously</w:t>
            </w:r>
            <w:r w:rsidR="00975895" w:rsidRPr="003015FD">
              <w:t xml:space="preserve"> </w:t>
            </w:r>
            <w:r w:rsidRPr="003015FD">
              <w:t>incapacitated</w:t>
            </w:r>
            <w:r w:rsidR="00BB1F36">
              <w:t>”</w:t>
            </w:r>
            <w:r w:rsidR="00F20640">
              <w:t>.</w:t>
            </w:r>
          </w:p>
        </w:tc>
        <w:tc>
          <w:tcPr>
            <w:tcW w:w="2006" w:type="dxa"/>
          </w:tcPr>
          <w:p w14:paraId="5A5120B9" w14:textId="4C51EC4A" w:rsidR="008E0945" w:rsidRPr="003015FD" w:rsidRDefault="008E0945" w:rsidP="00C873BC">
            <w:pPr>
              <w:pStyle w:val="TableBodyTextcentred"/>
              <w:jc w:val="left"/>
            </w:pPr>
            <w:r w:rsidRPr="003015FD">
              <w:lastRenderedPageBreak/>
              <w:t>Perpetual:</w:t>
            </w:r>
            <w:r w:rsidR="00975895" w:rsidRPr="003015FD">
              <w:t xml:space="preserve"> </w:t>
            </w:r>
            <w:r w:rsidRPr="003015FD">
              <w:t>new</w:t>
            </w:r>
            <w:r w:rsidR="00975895" w:rsidRPr="003015FD">
              <w:t xml:space="preserve"> </w:t>
            </w:r>
            <w:r w:rsidRPr="003015FD">
              <w:t>section</w:t>
            </w:r>
            <w:r w:rsidR="00975895" w:rsidRPr="003015FD">
              <w:t xml:space="preserve"> </w:t>
            </w:r>
            <w:r w:rsidRPr="003015FD">
              <w:t>74AAA</w:t>
            </w:r>
            <w:r w:rsidR="00975895" w:rsidRPr="003015FD">
              <w:t xml:space="preserve"> </w:t>
            </w:r>
            <w:r w:rsidRPr="003015FD">
              <w:t>and</w:t>
            </w:r>
            <w:r w:rsidR="00975895" w:rsidRPr="003015FD">
              <w:t xml:space="preserve"> </w:t>
            </w:r>
            <w:r w:rsidRPr="003015FD">
              <w:t>74AB</w:t>
            </w:r>
            <w:r w:rsidR="00975895" w:rsidRPr="003015FD">
              <w:t xml:space="preserve"> </w:t>
            </w:r>
            <w:r w:rsidRPr="003015FD">
              <w:t>state</w:t>
            </w:r>
            <w:r w:rsidR="00975895" w:rsidRPr="003015FD">
              <w:t xml:space="preserve"> </w:t>
            </w:r>
            <w:r w:rsidRPr="003015FD">
              <w:t>that</w:t>
            </w:r>
            <w:r w:rsidR="00975895" w:rsidRPr="003015FD">
              <w:t xml:space="preserve"> </w:t>
            </w:r>
            <w:r w:rsidRPr="003015FD">
              <w:t>Charter</w:t>
            </w:r>
            <w:r w:rsidR="00975895" w:rsidRPr="003015FD">
              <w:t xml:space="preserve"> </w:t>
            </w:r>
            <w:r w:rsidRPr="003015FD">
              <w:t>section</w:t>
            </w:r>
            <w:r w:rsidR="00975895" w:rsidRPr="003015FD">
              <w:t xml:space="preserve"> </w:t>
            </w:r>
            <w:r w:rsidRPr="003015FD">
              <w:t>31(7),</w:t>
            </w:r>
            <w:r w:rsidR="00975895" w:rsidRPr="003015FD">
              <w:t xml:space="preserve"> </w:t>
            </w:r>
            <w:r w:rsidRPr="003015FD">
              <w:t>which</w:t>
            </w:r>
            <w:r w:rsidR="00975895" w:rsidRPr="003015FD">
              <w:t xml:space="preserve"> </w:t>
            </w:r>
            <w:r w:rsidRPr="003015FD">
              <w:t>limits</w:t>
            </w:r>
            <w:r w:rsidR="00975895" w:rsidRPr="003015FD">
              <w:t xml:space="preserve"> </w:t>
            </w:r>
            <w:r w:rsidRPr="003015FD">
              <w:t>overrides</w:t>
            </w:r>
            <w:r w:rsidR="00975895" w:rsidRPr="003015FD">
              <w:t xml:space="preserve"> </w:t>
            </w:r>
            <w:r w:rsidRPr="003015FD">
              <w:t>to</w:t>
            </w:r>
            <w:r w:rsidR="00975895" w:rsidRPr="003015FD">
              <w:t xml:space="preserve"> </w:t>
            </w:r>
            <w:r w:rsidRPr="003015FD">
              <w:t>five</w:t>
            </w:r>
            <w:r w:rsidR="00975895" w:rsidRPr="003015FD">
              <w:t xml:space="preserve"> </w:t>
            </w:r>
            <w:r w:rsidRPr="003015FD">
              <w:t>years,</w:t>
            </w:r>
            <w:r w:rsidR="00975895" w:rsidRPr="003015FD">
              <w:t xml:space="preserve"> </w:t>
            </w:r>
            <w:r w:rsidRPr="003015FD">
              <w:t>does</w:t>
            </w:r>
            <w:r w:rsidR="00975895" w:rsidRPr="003015FD">
              <w:t xml:space="preserve"> </w:t>
            </w:r>
            <w:r w:rsidRPr="003015FD">
              <w:t>not</w:t>
            </w:r>
            <w:r w:rsidR="00975895" w:rsidRPr="003015FD">
              <w:t xml:space="preserve"> </w:t>
            </w:r>
            <w:r w:rsidRPr="003015FD">
              <w:t>apply.</w:t>
            </w:r>
          </w:p>
        </w:tc>
        <w:tc>
          <w:tcPr>
            <w:tcW w:w="2006" w:type="dxa"/>
          </w:tcPr>
          <w:p w14:paraId="75613358" w14:textId="7B231139" w:rsidR="008E0945" w:rsidRPr="003015FD" w:rsidRDefault="008E0945" w:rsidP="00C873BC">
            <w:pPr>
              <w:pStyle w:val="TableBodyTextcentred"/>
              <w:jc w:val="left"/>
            </w:pPr>
            <w:r w:rsidRPr="003015FD">
              <w:t>Minister</w:t>
            </w:r>
            <w:r w:rsidR="00975895" w:rsidRPr="003015FD">
              <w:t xml:space="preserve"> </w:t>
            </w:r>
            <w:r w:rsidRPr="003015FD">
              <w:t>included</w:t>
            </w:r>
            <w:r w:rsidR="00975895" w:rsidRPr="003015FD">
              <w:t xml:space="preserve"> </w:t>
            </w:r>
            <w:r w:rsidRPr="003015FD">
              <w:t>override</w:t>
            </w:r>
            <w:r w:rsidR="00975895" w:rsidRPr="003015FD">
              <w:t xml:space="preserve"> </w:t>
            </w:r>
            <w:r w:rsidRPr="003015FD">
              <w:t>to</w:t>
            </w:r>
            <w:r w:rsidR="00975895" w:rsidRPr="003015FD">
              <w:t xml:space="preserve"> </w:t>
            </w:r>
            <w:r w:rsidRPr="003015FD">
              <w:t>provide</w:t>
            </w:r>
            <w:r w:rsidR="00975895" w:rsidRPr="003015FD">
              <w:t xml:space="preserve"> </w:t>
            </w:r>
            <w:r w:rsidRPr="003015FD">
              <w:t>legal</w:t>
            </w:r>
            <w:r w:rsidR="00975895" w:rsidRPr="003015FD">
              <w:t xml:space="preserve"> </w:t>
            </w:r>
            <w:r w:rsidRPr="003015FD">
              <w:t>certainty</w:t>
            </w:r>
            <w:r w:rsidR="00975895" w:rsidRPr="003015FD">
              <w:t xml:space="preserve"> </w:t>
            </w:r>
            <w:r w:rsidRPr="003015FD">
              <w:t>and</w:t>
            </w:r>
            <w:r w:rsidR="00975895" w:rsidRPr="003015FD">
              <w:t xml:space="preserve"> </w:t>
            </w:r>
            <w:r w:rsidRPr="003015FD">
              <w:t>to</w:t>
            </w:r>
            <w:r w:rsidR="00975895" w:rsidRPr="003015FD">
              <w:t xml:space="preserve"> </w:t>
            </w:r>
            <w:r w:rsidRPr="003015FD">
              <w:t>avoid</w:t>
            </w:r>
            <w:r w:rsidR="00975895" w:rsidRPr="003015FD">
              <w:t xml:space="preserve"> </w:t>
            </w:r>
            <w:r w:rsidRPr="003015FD">
              <w:t>a</w:t>
            </w:r>
            <w:r w:rsidR="00975895" w:rsidRPr="003015FD">
              <w:t xml:space="preserve"> </w:t>
            </w:r>
            <w:r w:rsidRPr="003015FD">
              <w:t>court</w:t>
            </w:r>
            <w:r w:rsidR="00975895" w:rsidRPr="003015FD">
              <w:t xml:space="preserve"> </w:t>
            </w:r>
            <w:r w:rsidRPr="003015FD">
              <w:t>giving</w:t>
            </w:r>
            <w:r w:rsidR="00975895" w:rsidRPr="003015FD">
              <w:t xml:space="preserve"> </w:t>
            </w:r>
            <w:r w:rsidRPr="003015FD">
              <w:t>the</w:t>
            </w:r>
            <w:r w:rsidR="00975895" w:rsidRPr="003015FD">
              <w:t xml:space="preserve"> </w:t>
            </w:r>
            <w:r w:rsidRPr="003015FD">
              <w:t>Bill</w:t>
            </w:r>
            <w:r w:rsidR="00975895" w:rsidRPr="003015FD">
              <w:t xml:space="preserve"> </w:t>
            </w:r>
            <w:r w:rsidRPr="003015FD">
              <w:t>an</w:t>
            </w:r>
            <w:r w:rsidR="00975895" w:rsidRPr="003015FD">
              <w:t xml:space="preserve"> </w:t>
            </w:r>
            <w:r w:rsidRPr="003015FD">
              <w:t>interpretation</w:t>
            </w:r>
            <w:r w:rsidR="00975895" w:rsidRPr="003015FD">
              <w:t xml:space="preserve"> </w:t>
            </w:r>
            <w:r w:rsidRPr="003015FD">
              <w:t>based</w:t>
            </w:r>
            <w:r w:rsidR="00975895" w:rsidRPr="003015FD">
              <w:t xml:space="preserve"> </w:t>
            </w:r>
            <w:r w:rsidRPr="003015FD">
              <w:t>on</w:t>
            </w:r>
            <w:r w:rsidR="00975895" w:rsidRPr="003015FD">
              <w:t xml:space="preserve"> </w:t>
            </w:r>
            <w:r w:rsidRPr="003015FD">
              <w:t>Charter</w:t>
            </w:r>
            <w:r w:rsidR="00975895" w:rsidRPr="003015FD">
              <w:t xml:space="preserve"> </w:t>
            </w:r>
            <w:r w:rsidRPr="003015FD">
              <w:t>rights</w:t>
            </w:r>
            <w:r w:rsidR="00975895" w:rsidRPr="003015FD">
              <w:t xml:space="preserve"> </w:t>
            </w:r>
            <w:r w:rsidRPr="003015FD">
              <w:t>which</w:t>
            </w:r>
            <w:r w:rsidR="00975895" w:rsidRPr="003015FD">
              <w:t xml:space="preserve"> </w:t>
            </w:r>
            <w:r w:rsidRPr="003015FD">
              <w:t>do</w:t>
            </w:r>
            <w:r w:rsidR="00975895" w:rsidRPr="003015FD">
              <w:t xml:space="preserve"> </w:t>
            </w:r>
            <w:r w:rsidRPr="003015FD">
              <w:t>not</w:t>
            </w:r>
            <w:r w:rsidR="00975895" w:rsidRPr="003015FD">
              <w:t xml:space="preserve"> </w:t>
            </w:r>
            <w:r w:rsidRPr="003015FD">
              <w:t>achieve</w:t>
            </w:r>
            <w:r w:rsidR="00975895" w:rsidRPr="003015FD">
              <w:t xml:space="preserve"> </w:t>
            </w:r>
            <w:r w:rsidRPr="003015FD">
              <w:t>the</w:t>
            </w:r>
            <w:r w:rsidR="00975895" w:rsidRPr="003015FD">
              <w:t xml:space="preserve"> </w:t>
            </w:r>
            <w:r w:rsidR="00054270">
              <w:lastRenderedPageBreak/>
              <w:t>g</w:t>
            </w:r>
            <w:r w:rsidRPr="003015FD">
              <w:t>overnment</w:t>
            </w:r>
            <w:r w:rsidR="000C5726">
              <w:t>'</w:t>
            </w:r>
            <w:r w:rsidRPr="003015FD">
              <w:t>s</w:t>
            </w:r>
            <w:r w:rsidR="00975895" w:rsidRPr="003015FD">
              <w:t xml:space="preserve"> </w:t>
            </w:r>
            <w:r w:rsidRPr="003015FD">
              <w:t>intention.</w:t>
            </w:r>
          </w:p>
        </w:tc>
      </w:tr>
    </w:tbl>
    <w:p w14:paraId="4CE32502" w14:textId="0B58A807" w:rsidR="008E0945" w:rsidRPr="003015FD" w:rsidRDefault="00D90DB7" w:rsidP="0002642E">
      <w:pPr>
        <w:pStyle w:val="Heading2"/>
      </w:pPr>
      <w:bookmarkStart w:id="92" w:name="_Toc15045123"/>
      <w:bookmarkStart w:id="93" w:name="_Toc22011537"/>
      <w:r w:rsidRPr="003015FD">
        <w:lastRenderedPageBreak/>
        <w:t>3.4</w:t>
      </w:r>
      <w:r w:rsidRPr="003015FD">
        <w:tab/>
      </w:r>
      <w:r w:rsidR="008E0945" w:rsidRPr="003015FD">
        <w:t>The</w:t>
      </w:r>
      <w:r w:rsidR="00975895" w:rsidRPr="003015FD">
        <w:t xml:space="preserve"> </w:t>
      </w:r>
      <w:r w:rsidR="008E0945" w:rsidRPr="003015FD">
        <w:t>Scrutiny</w:t>
      </w:r>
      <w:r w:rsidR="00975895" w:rsidRPr="003015FD">
        <w:t xml:space="preserve"> </w:t>
      </w:r>
      <w:r w:rsidR="008E0945" w:rsidRPr="003015FD">
        <w:t>of</w:t>
      </w:r>
      <w:r w:rsidR="00975895" w:rsidRPr="003015FD">
        <w:t xml:space="preserve"> </w:t>
      </w:r>
      <w:r w:rsidR="008E0945" w:rsidRPr="003015FD">
        <w:t>Acts</w:t>
      </w:r>
      <w:r w:rsidR="00975895" w:rsidRPr="003015FD">
        <w:t xml:space="preserve"> </w:t>
      </w:r>
      <w:r w:rsidR="008E0945" w:rsidRPr="003015FD">
        <w:t>and</w:t>
      </w:r>
      <w:r w:rsidR="00975895" w:rsidRPr="003015FD">
        <w:t xml:space="preserve"> </w:t>
      </w:r>
      <w:r w:rsidR="008E0945" w:rsidRPr="003015FD">
        <w:t>Regulations</w:t>
      </w:r>
      <w:r w:rsidR="00975895" w:rsidRPr="003015FD">
        <w:t xml:space="preserve"> </w:t>
      </w:r>
      <w:r w:rsidR="008E0945" w:rsidRPr="003015FD">
        <w:t>Committee</w:t>
      </w:r>
      <w:bookmarkEnd w:id="92"/>
      <w:bookmarkEnd w:id="93"/>
    </w:p>
    <w:p w14:paraId="410F9B63" w14:textId="151F215A" w:rsidR="008E0945" w:rsidRPr="003015FD" w:rsidRDefault="008E0945" w:rsidP="0002642E">
      <w:r w:rsidRPr="003015FD">
        <w:t>SARC</w:t>
      </w:r>
      <w:r w:rsidR="00975895" w:rsidRPr="003015FD">
        <w:t xml:space="preserve"> </w:t>
      </w:r>
      <w:r w:rsidRPr="003015FD">
        <w:t>is</w:t>
      </w:r>
      <w:r w:rsidR="00975895" w:rsidRPr="003015FD">
        <w:t xml:space="preserve"> </w:t>
      </w:r>
      <w:r w:rsidRPr="003015FD">
        <w:t>a</w:t>
      </w:r>
      <w:r w:rsidR="00975895" w:rsidRPr="003015FD">
        <w:t xml:space="preserve"> </w:t>
      </w:r>
      <w:r w:rsidRPr="003015FD">
        <w:t>bipartisan</w:t>
      </w:r>
      <w:r w:rsidR="00975895" w:rsidRPr="003015FD">
        <w:t xml:space="preserve"> </w:t>
      </w:r>
      <w:r w:rsidRPr="003015FD">
        <w:t>parliamentary</w:t>
      </w:r>
      <w:r w:rsidR="00975895" w:rsidRPr="003015FD">
        <w:t xml:space="preserve"> </w:t>
      </w:r>
      <w:r w:rsidRPr="003015FD">
        <w:t>committee</w:t>
      </w:r>
      <w:r w:rsidR="00975895" w:rsidRPr="003015FD">
        <w:t xml:space="preserve"> </w:t>
      </w:r>
      <w:r w:rsidRPr="003015FD">
        <w:t>that</w:t>
      </w:r>
      <w:r w:rsidR="00975895" w:rsidRPr="003015FD">
        <w:t xml:space="preserve"> </w:t>
      </w:r>
      <w:r w:rsidRPr="003015FD">
        <w:t>provides</w:t>
      </w:r>
      <w:r w:rsidR="00975895" w:rsidRPr="003015FD">
        <w:t xml:space="preserve"> </w:t>
      </w:r>
      <w:r w:rsidRPr="003015FD">
        <w:t>independent</w:t>
      </w:r>
      <w:r w:rsidR="00975895" w:rsidRPr="003015FD">
        <w:t xml:space="preserve"> </w:t>
      </w:r>
      <w:r w:rsidRPr="003015FD">
        <w:t>scrutiny</w:t>
      </w:r>
      <w:r w:rsidR="00975895" w:rsidRPr="003015FD">
        <w:t xml:space="preserve"> </w:t>
      </w:r>
      <w:r w:rsidRPr="003015FD">
        <w:t>of</w:t>
      </w:r>
      <w:r w:rsidR="00975895" w:rsidRPr="003015FD">
        <w:t xml:space="preserve"> </w:t>
      </w:r>
      <w:r w:rsidRPr="003015FD">
        <w:t>Bills</w:t>
      </w:r>
      <w:r w:rsidR="00975895" w:rsidRPr="003015FD">
        <w:t xml:space="preserve"> </w:t>
      </w:r>
      <w:r w:rsidRPr="003015FD">
        <w:t>and</w:t>
      </w:r>
      <w:r w:rsidR="00975895" w:rsidRPr="003015FD">
        <w:t xml:space="preserve"> </w:t>
      </w:r>
      <w:r w:rsidRPr="003015FD">
        <w:t>statutory</w:t>
      </w:r>
      <w:r w:rsidR="00975895" w:rsidRPr="003015FD">
        <w:t xml:space="preserve"> </w:t>
      </w:r>
      <w:r w:rsidRPr="003015FD">
        <w:t>rules</w:t>
      </w:r>
      <w:r w:rsidR="00975895" w:rsidRPr="003015FD">
        <w:t xml:space="preserve"> </w:t>
      </w:r>
      <w:r w:rsidRPr="003015FD">
        <w:t>for</w:t>
      </w:r>
      <w:r w:rsidR="00975895" w:rsidRPr="003015FD">
        <w:t xml:space="preserve"> </w:t>
      </w:r>
      <w:r w:rsidRPr="003015FD">
        <w:t>compatibility</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SARC</w:t>
      </w:r>
      <w:r w:rsidR="00975895" w:rsidRPr="003015FD">
        <w:t xml:space="preserve"> </w:t>
      </w:r>
      <w:r w:rsidRPr="003015FD">
        <w:t>reports</w:t>
      </w:r>
      <w:r w:rsidR="00975895" w:rsidRPr="003015FD">
        <w:t xml:space="preserve"> </w:t>
      </w:r>
      <w:r w:rsidRPr="003015FD">
        <w:t>on</w:t>
      </w:r>
      <w:r w:rsidR="00975895" w:rsidRPr="003015FD">
        <w:t xml:space="preserve"> </w:t>
      </w:r>
      <w:r w:rsidRPr="003015FD">
        <w:t>the</w:t>
      </w:r>
      <w:r w:rsidR="00975895" w:rsidRPr="003015FD">
        <w:t xml:space="preserve"> </w:t>
      </w:r>
      <w:r w:rsidRPr="003015FD">
        <w:t>compatibility</w:t>
      </w:r>
      <w:r w:rsidR="00975895" w:rsidRPr="003015FD">
        <w:t xml:space="preserve"> </w:t>
      </w:r>
      <w:r w:rsidRPr="003015FD">
        <w:t>of</w:t>
      </w:r>
      <w:r w:rsidR="00975895" w:rsidRPr="003015FD">
        <w:t xml:space="preserve"> </w:t>
      </w:r>
      <w:r w:rsidRPr="003015FD">
        <w:t>Bills</w:t>
      </w:r>
      <w:r w:rsidR="00975895" w:rsidRPr="003015FD">
        <w:t xml:space="preserve"> </w:t>
      </w:r>
      <w:r w:rsidRPr="003015FD">
        <w:t>in</w:t>
      </w:r>
      <w:r w:rsidR="00975895" w:rsidRPr="003015FD">
        <w:t xml:space="preserve"> </w:t>
      </w:r>
      <w:r w:rsidRPr="003015FD">
        <w:t>Alert</w:t>
      </w:r>
      <w:r w:rsidR="00975895" w:rsidRPr="003015FD">
        <w:t xml:space="preserve"> </w:t>
      </w:r>
      <w:r w:rsidRPr="003015FD">
        <w:t>Digests</w:t>
      </w:r>
      <w:r w:rsidR="00975895" w:rsidRPr="003015FD">
        <w:t xml:space="preserve"> </w:t>
      </w:r>
      <w:r w:rsidRPr="003015FD">
        <w:t>tabled</w:t>
      </w:r>
      <w:r w:rsidR="00975895" w:rsidRPr="003015FD">
        <w:t xml:space="preserve"> </w:t>
      </w:r>
      <w:r w:rsidRPr="003015FD">
        <w:t>in</w:t>
      </w:r>
      <w:r w:rsidR="00975895" w:rsidRPr="003015FD">
        <w:t xml:space="preserve"> </w:t>
      </w:r>
      <w:r w:rsidRPr="003015FD">
        <w:t>Parliament</w:t>
      </w:r>
      <w:r w:rsidR="00975895" w:rsidRPr="003015FD">
        <w:t xml:space="preserve"> </w:t>
      </w:r>
      <w:r w:rsidRPr="003015FD">
        <w:t>each</w:t>
      </w:r>
      <w:r w:rsidR="00975895" w:rsidRPr="003015FD">
        <w:t xml:space="preserve"> </w:t>
      </w:r>
      <w:r w:rsidRPr="003015FD">
        <w:t>sitting</w:t>
      </w:r>
      <w:r w:rsidR="00975895" w:rsidRPr="003015FD">
        <w:t xml:space="preserve"> </w:t>
      </w:r>
      <w:r w:rsidRPr="003015FD">
        <w:t>week.</w:t>
      </w:r>
    </w:p>
    <w:p w14:paraId="0EC900C1" w14:textId="4D3EA87C" w:rsidR="008E0945" w:rsidRPr="003015FD" w:rsidRDefault="008E0945" w:rsidP="0002642E">
      <w:r w:rsidRPr="003015FD">
        <w:t>SARC</w:t>
      </w:r>
      <w:r w:rsidR="00975895" w:rsidRPr="003015FD">
        <w:t xml:space="preserve"> </w:t>
      </w:r>
      <w:r w:rsidRPr="003015FD">
        <w:t>provides</w:t>
      </w:r>
      <w:r w:rsidR="00975895" w:rsidRPr="003015FD">
        <w:t xml:space="preserve"> </w:t>
      </w:r>
      <w:r w:rsidRPr="003015FD">
        <w:t>a</w:t>
      </w:r>
      <w:r w:rsidR="00975895" w:rsidRPr="003015FD">
        <w:t xml:space="preserve"> </w:t>
      </w:r>
      <w:r w:rsidRPr="003015FD">
        <w:t>crucial</w:t>
      </w:r>
      <w:r w:rsidR="00975895" w:rsidRPr="003015FD">
        <w:t xml:space="preserve"> </w:t>
      </w:r>
      <w:r w:rsidRPr="003015FD">
        <w:t>mechanism</w:t>
      </w:r>
      <w:r w:rsidR="00975895" w:rsidRPr="003015FD">
        <w:t xml:space="preserve"> </w:t>
      </w:r>
      <w:r w:rsidRPr="003015FD">
        <w:t>for</w:t>
      </w:r>
      <w:r w:rsidR="00975895" w:rsidRPr="003015FD">
        <w:t xml:space="preserve"> </w:t>
      </w:r>
      <w:r w:rsidRPr="003015FD">
        <w:t>independent</w:t>
      </w:r>
      <w:r w:rsidR="00975895" w:rsidRPr="003015FD">
        <w:t xml:space="preserve"> </w:t>
      </w:r>
      <w:r w:rsidRPr="003015FD">
        <w:t>scrutiny</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particularly</w:t>
      </w:r>
      <w:r w:rsidR="00975895" w:rsidRPr="003015FD">
        <w:t xml:space="preserve"> </w:t>
      </w:r>
      <w:r w:rsidRPr="003015FD">
        <w:t>when</w:t>
      </w:r>
      <w:r w:rsidR="00975895" w:rsidRPr="003015FD">
        <w:t xml:space="preserve"> </w:t>
      </w:r>
      <w:r w:rsidRPr="003015FD">
        <w:t>a</w:t>
      </w:r>
      <w:r w:rsidR="00975895" w:rsidRPr="003015FD">
        <w:t xml:space="preserve"> </w:t>
      </w:r>
      <w:r w:rsidRPr="003015FD">
        <w:t>statement</w:t>
      </w:r>
      <w:r w:rsidR="00975895" w:rsidRPr="003015FD">
        <w:t xml:space="preserve"> </w:t>
      </w:r>
      <w:r w:rsidRPr="003015FD">
        <w:t>of</w:t>
      </w:r>
      <w:r w:rsidR="00975895" w:rsidRPr="003015FD">
        <w:t xml:space="preserve"> </w:t>
      </w:r>
      <w:r w:rsidRPr="003015FD">
        <w:t>compatibility</w:t>
      </w:r>
      <w:r w:rsidR="00975895" w:rsidRPr="003015FD">
        <w:t xml:space="preserve"> </w:t>
      </w:r>
      <w:r w:rsidRPr="003015FD">
        <w:t>has</w:t>
      </w:r>
      <w:r w:rsidR="00975895" w:rsidRPr="003015FD">
        <w:t xml:space="preserve"> </w:t>
      </w:r>
      <w:r w:rsidRPr="003015FD">
        <w:t>not</w:t>
      </w:r>
      <w:r w:rsidR="00975895" w:rsidRPr="003015FD">
        <w:t xml:space="preserve"> </w:t>
      </w:r>
      <w:r w:rsidRPr="003015FD">
        <w:t>adequately</w:t>
      </w:r>
      <w:r w:rsidR="00975895" w:rsidRPr="003015FD">
        <w:t xml:space="preserve"> </w:t>
      </w:r>
      <w:r w:rsidRPr="003015FD">
        <w:t>considered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implications.</w:t>
      </w:r>
      <w:r w:rsidR="00975895" w:rsidRPr="003015FD">
        <w:t xml:space="preserve"> </w:t>
      </w:r>
      <w:r w:rsidRPr="003015FD">
        <w:t>A</w:t>
      </w:r>
      <w:r w:rsidR="00975895" w:rsidRPr="003015FD">
        <w:t xml:space="preserve"> </w:t>
      </w:r>
      <w:r w:rsidRPr="003015FD">
        <w:t>SARC</w:t>
      </w:r>
      <w:r w:rsidR="00975895" w:rsidRPr="003015FD">
        <w:t xml:space="preserve"> </w:t>
      </w:r>
      <w:r w:rsidRPr="003015FD">
        <w:t>report</w:t>
      </w:r>
      <w:r w:rsidR="00975895" w:rsidRPr="003015FD">
        <w:t xml:space="preserve"> </w:t>
      </w:r>
      <w:r w:rsidRPr="003015FD">
        <w:t>provides</w:t>
      </w:r>
      <w:r w:rsidR="00975895" w:rsidRPr="003015FD">
        <w:t xml:space="preserve"> </w:t>
      </w:r>
      <w:r w:rsidRPr="003015FD">
        <w:t>feedback</w:t>
      </w:r>
      <w:r w:rsidR="00975895" w:rsidRPr="003015FD">
        <w:t xml:space="preserve"> </w:t>
      </w:r>
      <w:r w:rsidRPr="003015FD">
        <w:t>to</w:t>
      </w:r>
      <w:r w:rsidR="00975895" w:rsidRPr="003015FD">
        <w:t xml:space="preserve"> </w:t>
      </w:r>
      <w:r w:rsidRPr="003015FD">
        <w:t>Parliament,</w:t>
      </w:r>
      <w:r w:rsidR="00975895" w:rsidRPr="003015FD">
        <w:t xml:space="preserve"> </w:t>
      </w:r>
      <w:r w:rsidRPr="003015FD">
        <w:t>the</w:t>
      </w:r>
      <w:r w:rsidR="00975895" w:rsidRPr="003015FD">
        <w:t xml:space="preserve"> </w:t>
      </w:r>
      <w:r w:rsidRPr="003015FD">
        <w:t>executive</w:t>
      </w:r>
      <w:r w:rsidR="00975895" w:rsidRPr="003015FD">
        <w:t xml:space="preserve"> </w:t>
      </w:r>
      <w:r w:rsidRPr="003015FD">
        <w:t>and</w:t>
      </w:r>
      <w:r w:rsidR="00975895" w:rsidRPr="003015FD">
        <w:t xml:space="preserve"> </w:t>
      </w:r>
      <w:r w:rsidRPr="003015FD">
        <w:t>the</w:t>
      </w:r>
      <w:r w:rsidR="00975895" w:rsidRPr="003015FD">
        <w:t xml:space="preserve"> </w:t>
      </w:r>
      <w:r w:rsidRPr="003015FD">
        <w:t>community</w:t>
      </w:r>
      <w:r w:rsidR="00975895" w:rsidRPr="003015FD">
        <w:t xml:space="preserve"> </w:t>
      </w:r>
      <w:r w:rsidRPr="003015FD">
        <w:t>on</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issues</w:t>
      </w:r>
      <w:r w:rsidR="00975895" w:rsidRPr="003015FD">
        <w:t xml:space="preserve"> </w:t>
      </w:r>
      <w:r w:rsidRPr="003015FD">
        <w:t>in</w:t>
      </w:r>
      <w:r w:rsidR="00975895" w:rsidRPr="003015FD">
        <w:t xml:space="preserve"> </w:t>
      </w:r>
      <w:r w:rsidRPr="003015FD">
        <w:t>a</w:t>
      </w:r>
      <w:r w:rsidR="00975895" w:rsidRPr="003015FD">
        <w:t xml:space="preserve"> </w:t>
      </w:r>
      <w:r w:rsidRPr="003015FD">
        <w:t>Bill.</w:t>
      </w:r>
      <w:r w:rsidR="00975895" w:rsidRPr="003015FD">
        <w:t xml:space="preserve"> </w:t>
      </w:r>
      <w:r w:rsidRPr="003015FD">
        <w:t>It</w:t>
      </w:r>
      <w:r w:rsidR="00975895" w:rsidRPr="003015FD">
        <w:t xml:space="preserve"> </w:t>
      </w:r>
      <w:r w:rsidRPr="003015FD">
        <w:t>also</w:t>
      </w:r>
      <w:r w:rsidR="00975895" w:rsidRPr="003015FD">
        <w:t xml:space="preserve"> </w:t>
      </w:r>
      <w:r w:rsidRPr="003015FD">
        <w:t>provides</w:t>
      </w:r>
      <w:r w:rsidR="00975895" w:rsidRPr="003015FD">
        <w:t xml:space="preserve"> </w:t>
      </w:r>
      <w:r w:rsidRPr="003015FD">
        <w:t>an</w:t>
      </w:r>
      <w:r w:rsidR="00975895" w:rsidRPr="003015FD">
        <w:t xml:space="preserve"> </w:t>
      </w:r>
      <w:r w:rsidRPr="003015FD">
        <w:t>avenue</w:t>
      </w:r>
      <w:r w:rsidR="00975895" w:rsidRPr="003015FD">
        <w:t xml:space="preserve"> </w:t>
      </w:r>
      <w:r w:rsidRPr="003015FD">
        <w:t>for</w:t>
      </w:r>
      <w:r w:rsidR="00975895" w:rsidRPr="003015FD">
        <w:t xml:space="preserve"> </w:t>
      </w:r>
      <w:r w:rsidRPr="003015FD">
        <w:t>questions</w:t>
      </w:r>
      <w:r w:rsidR="00975895" w:rsidRPr="003015FD">
        <w:t xml:space="preserve"> </w:t>
      </w:r>
      <w:r w:rsidRPr="003015FD">
        <w:t>to</w:t>
      </w:r>
      <w:r w:rsidR="00975895" w:rsidRPr="003015FD">
        <w:t xml:space="preserve"> </w:t>
      </w:r>
      <w:r w:rsidRPr="003015FD">
        <w:t>be</w:t>
      </w:r>
      <w:r w:rsidR="00975895" w:rsidRPr="003015FD">
        <w:t xml:space="preserve"> </w:t>
      </w:r>
      <w:r w:rsidRPr="003015FD">
        <w:t>put</w:t>
      </w:r>
      <w:r w:rsidR="00975895" w:rsidRPr="003015FD">
        <w:t xml:space="preserve"> </w:t>
      </w:r>
      <w:r w:rsidRPr="003015FD">
        <w:t>to</w:t>
      </w:r>
      <w:r w:rsidR="00975895" w:rsidRPr="003015FD">
        <w:t xml:space="preserve"> </w:t>
      </w:r>
      <w:r w:rsidRPr="003015FD">
        <w:t>a</w:t>
      </w:r>
      <w:r w:rsidR="00975895" w:rsidRPr="003015FD">
        <w:t xml:space="preserve"> </w:t>
      </w:r>
      <w:r w:rsidR="00F20640">
        <w:t>m</w:t>
      </w:r>
      <w:r w:rsidRPr="003015FD">
        <w:t>inister</w:t>
      </w:r>
      <w:r w:rsidR="00975895" w:rsidRPr="003015FD">
        <w:t xml:space="preserve"> </w:t>
      </w:r>
      <w:r w:rsidRPr="003015FD">
        <w:t>or</w:t>
      </w:r>
      <w:r w:rsidR="00975895" w:rsidRPr="003015FD">
        <w:t xml:space="preserve"> </w:t>
      </w:r>
      <w:r w:rsidRPr="003015FD">
        <w:t>member</w:t>
      </w:r>
      <w:r w:rsidR="00975895" w:rsidRPr="003015FD">
        <w:t xml:space="preserve"> </w:t>
      </w:r>
      <w:r w:rsidRPr="003015FD">
        <w:t>and</w:t>
      </w:r>
      <w:r w:rsidR="00975895" w:rsidRPr="003015FD">
        <w:t xml:space="preserve"> </w:t>
      </w:r>
      <w:r w:rsidRPr="003015FD">
        <w:t>for</w:t>
      </w:r>
      <w:r w:rsidR="00975895" w:rsidRPr="003015FD">
        <w:t xml:space="preserve"> </w:t>
      </w:r>
      <w:r w:rsidRPr="003015FD">
        <w:t>community</w:t>
      </w:r>
      <w:r w:rsidR="00975895" w:rsidRPr="003015FD">
        <w:t xml:space="preserve"> </w:t>
      </w:r>
      <w:r w:rsidRPr="003015FD">
        <w:t>organisations</w:t>
      </w:r>
      <w:r w:rsidR="00975895" w:rsidRPr="003015FD">
        <w:t xml:space="preserve"> </w:t>
      </w:r>
      <w:r w:rsidRPr="003015FD">
        <w:t>and</w:t>
      </w:r>
      <w:r w:rsidR="00975895" w:rsidRPr="003015FD">
        <w:t xml:space="preserve"> </w:t>
      </w:r>
      <w:r w:rsidRPr="003015FD">
        <w:t>individuals</w:t>
      </w:r>
      <w:r w:rsidR="00975895" w:rsidRPr="003015FD">
        <w:t xml:space="preserve"> </w:t>
      </w:r>
      <w:r w:rsidRPr="003015FD">
        <w:t>to</w:t>
      </w:r>
      <w:r w:rsidR="00975895" w:rsidRPr="003015FD">
        <w:t xml:space="preserve"> </w:t>
      </w:r>
      <w:r w:rsidRPr="003015FD">
        <w:t>make</w:t>
      </w:r>
      <w:r w:rsidR="00975895" w:rsidRPr="003015FD">
        <w:t xml:space="preserve"> </w:t>
      </w:r>
      <w:r w:rsidRPr="003015FD">
        <w:t>submissions</w:t>
      </w:r>
      <w:r w:rsidR="00975895" w:rsidRPr="003015FD">
        <w:t xml:space="preserve"> </w:t>
      </w:r>
      <w:r w:rsidRPr="003015FD">
        <w:t>on</w:t>
      </w:r>
      <w:r w:rsidR="00975895" w:rsidRPr="003015FD">
        <w:t xml:space="preserve"> </w:t>
      </w:r>
      <w:r w:rsidRPr="003015FD">
        <w:t>a</w:t>
      </w:r>
      <w:r w:rsidR="00975895" w:rsidRPr="003015FD">
        <w:t xml:space="preserve"> </w:t>
      </w:r>
      <w:r w:rsidRPr="003015FD">
        <w:t>Bill.</w:t>
      </w:r>
      <w:r w:rsidR="00975895" w:rsidRPr="003015FD">
        <w:t xml:space="preserve"> </w:t>
      </w:r>
      <w:r w:rsidRPr="003015FD">
        <w:t>As</w:t>
      </w:r>
      <w:r w:rsidR="00975895" w:rsidRPr="003015FD">
        <w:t xml:space="preserve"> </w:t>
      </w:r>
      <w:r w:rsidRPr="003015FD">
        <w:t>such,</w:t>
      </w:r>
      <w:r w:rsidR="00975895" w:rsidRPr="003015FD">
        <w:t xml:space="preserve"> </w:t>
      </w:r>
      <w:r w:rsidRPr="003015FD">
        <w:t>the</w:t>
      </w:r>
      <w:r w:rsidR="00975895" w:rsidRPr="003015FD">
        <w:t xml:space="preserve"> </w:t>
      </w:r>
      <w:r w:rsidRPr="003015FD">
        <w:t>SARC</w:t>
      </w:r>
      <w:r w:rsidR="00975895" w:rsidRPr="003015FD">
        <w:t xml:space="preserve"> </w:t>
      </w:r>
      <w:r w:rsidRPr="003015FD">
        <w:t>process</w:t>
      </w:r>
      <w:r w:rsidR="00975895" w:rsidRPr="003015FD">
        <w:t xml:space="preserve"> </w:t>
      </w:r>
      <w:r w:rsidRPr="003015FD">
        <w:t>can</w:t>
      </w:r>
      <w:r w:rsidR="00975895" w:rsidRPr="003015FD">
        <w:t xml:space="preserve"> </w:t>
      </w:r>
      <w:r w:rsidRPr="003015FD">
        <w:t>facilitate</w:t>
      </w:r>
      <w:r w:rsidR="00975895" w:rsidRPr="003015FD">
        <w:t xml:space="preserve"> </w:t>
      </w:r>
      <w:r w:rsidRPr="003015FD">
        <w:t>a</w:t>
      </w:r>
      <w:r w:rsidR="00975895" w:rsidRPr="003015FD">
        <w:t xml:space="preserve"> </w:t>
      </w:r>
      <w:r w:rsidRPr="003015FD">
        <w:t>meaningful</w:t>
      </w:r>
      <w:r w:rsidR="00975895" w:rsidRPr="003015FD">
        <w:t xml:space="preserve"> </w:t>
      </w:r>
      <w:r w:rsidRPr="003015FD">
        <w:t>human</w:t>
      </w:r>
      <w:r w:rsidR="00975895" w:rsidRPr="003015FD">
        <w:t xml:space="preserve"> </w:t>
      </w:r>
      <w:r w:rsidRPr="003015FD">
        <w:t>rights</w:t>
      </w:r>
      <w:r w:rsidR="00975895" w:rsidRPr="003015FD">
        <w:t xml:space="preserve"> </w:t>
      </w:r>
      <w:r w:rsidRPr="003015FD">
        <w:t>dialogue</w:t>
      </w:r>
      <w:r w:rsidR="00975895" w:rsidRPr="003015FD">
        <w:t xml:space="preserve"> </w:t>
      </w:r>
      <w:r w:rsidRPr="003015FD">
        <w:t>between</w:t>
      </w:r>
      <w:r w:rsidR="00975895" w:rsidRPr="003015FD">
        <w:t xml:space="preserve"> </w:t>
      </w:r>
      <w:r w:rsidRPr="003015FD">
        <w:t>the</w:t>
      </w:r>
      <w:r w:rsidR="00975895" w:rsidRPr="003015FD">
        <w:t xml:space="preserve"> </w:t>
      </w:r>
      <w:r w:rsidRPr="003015FD">
        <w:t>community</w:t>
      </w:r>
      <w:r w:rsidR="00975895" w:rsidRPr="003015FD">
        <w:t xml:space="preserve"> </w:t>
      </w:r>
      <w:r w:rsidRPr="003015FD">
        <w:t>and</w:t>
      </w:r>
      <w:r w:rsidR="00975895" w:rsidRPr="003015FD">
        <w:t xml:space="preserve"> </w:t>
      </w:r>
      <w:r w:rsidRPr="003015FD">
        <w:t>government.</w:t>
      </w:r>
    </w:p>
    <w:p w14:paraId="502EB325" w14:textId="6332D2CE" w:rsidR="008E0945" w:rsidRPr="003015FD" w:rsidRDefault="008E0945" w:rsidP="0002642E">
      <w:r w:rsidRPr="003015FD">
        <w:t>The</w:t>
      </w:r>
      <w:r w:rsidR="00975895" w:rsidRPr="003015FD">
        <w:t xml:space="preserve"> </w:t>
      </w:r>
      <w:r w:rsidRPr="003015FD">
        <w:t>Commission</w:t>
      </w:r>
      <w:r w:rsidR="00975895" w:rsidRPr="003015FD">
        <w:t xml:space="preserve"> </w:t>
      </w:r>
      <w:r w:rsidRPr="003015FD">
        <w:t>considers</w:t>
      </w:r>
      <w:r w:rsidR="00975895" w:rsidRPr="003015FD">
        <w:t xml:space="preserve"> </w:t>
      </w:r>
      <w:r w:rsidRPr="003015FD">
        <w:t>SARC</w:t>
      </w:r>
      <w:r w:rsidR="000C5726">
        <w:t>'</w:t>
      </w:r>
      <w:r w:rsidRPr="003015FD">
        <w:t>s</w:t>
      </w:r>
      <w:r w:rsidR="00975895" w:rsidRPr="003015FD">
        <w:t xml:space="preserve"> </w:t>
      </w:r>
      <w:r w:rsidRPr="003015FD">
        <w:t>role</w:t>
      </w:r>
      <w:r w:rsidR="00975895" w:rsidRPr="003015FD">
        <w:t xml:space="preserve"> </w:t>
      </w:r>
      <w:r w:rsidRPr="003015FD">
        <w:t>could</w:t>
      </w:r>
      <w:r w:rsidR="00975895" w:rsidRPr="003015FD">
        <w:t xml:space="preserve"> </w:t>
      </w:r>
      <w:r w:rsidRPr="003015FD">
        <w:t>be</w:t>
      </w:r>
      <w:r w:rsidR="00975895" w:rsidRPr="003015FD">
        <w:t xml:space="preserve"> </w:t>
      </w:r>
      <w:r w:rsidRPr="003015FD">
        <w:t>strengthened</w:t>
      </w:r>
      <w:r w:rsidR="00975895" w:rsidRPr="003015FD">
        <w:t xml:space="preserve"> </w:t>
      </w:r>
      <w:r w:rsidRPr="003015FD">
        <w:t>by:</w:t>
      </w:r>
    </w:p>
    <w:p w14:paraId="2A9B73C6" w14:textId="50B4EEDF" w:rsidR="008E0945" w:rsidRPr="003015FD" w:rsidRDefault="008E0945" w:rsidP="0002642E">
      <w:pPr>
        <w:pStyle w:val="ListBullet"/>
      </w:pPr>
      <w:r w:rsidRPr="003015FD">
        <w:t>allowing</w:t>
      </w:r>
      <w:r w:rsidR="00975895" w:rsidRPr="003015FD">
        <w:t xml:space="preserve"> </w:t>
      </w:r>
      <w:r w:rsidRPr="003015FD">
        <w:t>more</w:t>
      </w:r>
      <w:r w:rsidR="00975895" w:rsidRPr="003015FD">
        <w:t xml:space="preserve"> </w:t>
      </w:r>
      <w:r w:rsidRPr="003015FD">
        <w:t>time</w:t>
      </w:r>
      <w:r w:rsidR="00975895" w:rsidRPr="003015FD">
        <w:t xml:space="preserve"> </w:t>
      </w:r>
      <w:r w:rsidRPr="003015FD">
        <w:t>for</w:t>
      </w:r>
      <w:r w:rsidR="00975895" w:rsidRPr="003015FD">
        <w:t xml:space="preserve"> </w:t>
      </w:r>
      <w:r w:rsidRPr="003015FD">
        <w:t>SARC</w:t>
      </w:r>
      <w:r w:rsidR="00975895" w:rsidRPr="003015FD">
        <w:t xml:space="preserve"> </w:t>
      </w:r>
      <w:r w:rsidRPr="003015FD">
        <w:t>reports</w:t>
      </w:r>
    </w:p>
    <w:p w14:paraId="28B54AE6" w14:textId="00F6B98D" w:rsidR="008E0945" w:rsidRPr="003015FD" w:rsidRDefault="008E0945" w:rsidP="0002642E">
      <w:pPr>
        <w:pStyle w:val="ListBullet"/>
      </w:pPr>
      <w:r w:rsidRPr="003015FD">
        <w:t>increasing</w:t>
      </w:r>
      <w:r w:rsidR="00975895" w:rsidRPr="003015FD">
        <w:t xml:space="preserve"> </w:t>
      </w:r>
      <w:r w:rsidRPr="003015FD">
        <w:t>the</w:t>
      </w:r>
      <w:r w:rsidR="00975895" w:rsidRPr="003015FD">
        <w:t xml:space="preserve"> </w:t>
      </w:r>
      <w:r w:rsidRPr="003015FD">
        <w:t>accessibility</w:t>
      </w:r>
      <w:r w:rsidR="00975895" w:rsidRPr="003015FD">
        <w:t xml:space="preserve"> </w:t>
      </w:r>
      <w:r w:rsidRPr="003015FD">
        <w:t>of</w:t>
      </w:r>
      <w:r w:rsidR="00975895" w:rsidRPr="003015FD">
        <w:t xml:space="preserve"> </w:t>
      </w:r>
      <w:r w:rsidRPr="003015FD">
        <w:t>the</w:t>
      </w:r>
      <w:r w:rsidR="00975895" w:rsidRPr="003015FD">
        <w:t xml:space="preserve"> </w:t>
      </w:r>
      <w:r w:rsidRPr="003015FD">
        <w:t>public</w:t>
      </w:r>
      <w:r w:rsidR="00975895" w:rsidRPr="003015FD">
        <w:t xml:space="preserve"> </w:t>
      </w:r>
      <w:r w:rsidRPr="003015FD">
        <w:t>submission</w:t>
      </w:r>
      <w:r w:rsidR="00975895" w:rsidRPr="003015FD">
        <w:t xml:space="preserve"> </w:t>
      </w:r>
      <w:r w:rsidRPr="003015FD">
        <w:t>process</w:t>
      </w:r>
    </w:p>
    <w:p w14:paraId="4E071679" w14:textId="1BA35E46" w:rsidR="008E0945" w:rsidRPr="003015FD" w:rsidRDefault="008E0945" w:rsidP="0002642E">
      <w:pPr>
        <w:pStyle w:val="ListBullet"/>
      </w:pPr>
      <w:r w:rsidRPr="003015FD">
        <w:t>ensuring</w:t>
      </w:r>
      <w:r w:rsidR="00975895" w:rsidRPr="003015FD">
        <w:t xml:space="preserve"> </w:t>
      </w:r>
      <w:r w:rsidRPr="003015FD">
        <w:t>public</w:t>
      </w:r>
      <w:r w:rsidR="00975895" w:rsidRPr="003015FD">
        <w:t xml:space="preserve"> </w:t>
      </w:r>
      <w:r w:rsidRPr="003015FD">
        <w:t>submissions</w:t>
      </w:r>
      <w:r w:rsidR="00975895" w:rsidRPr="003015FD">
        <w:t xml:space="preserve"> </w:t>
      </w:r>
      <w:r w:rsidRPr="003015FD">
        <w:t>are</w:t>
      </w:r>
      <w:r w:rsidR="00975895" w:rsidRPr="003015FD">
        <w:t xml:space="preserve"> </w:t>
      </w:r>
      <w:r w:rsidRPr="003015FD">
        <w:t>reflected</w:t>
      </w:r>
      <w:r w:rsidR="00975895" w:rsidRPr="003015FD">
        <w:t xml:space="preserve"> </w:t>
      </w:r>
      <w:r w:rsidRPr="003015FD">
        <w:t>in</w:t>
      </w:r>
      <w:r w:rsidR="00975895" w:rsidRPr="003015FD">
        <w:t xml:space="preserve"> </w:t>
      </w:r>
      <w:r w:rsidRPr="003015FD">
        <w:t>SARC</w:t>
      </w:r>
      <w:r w:rsidR="00975895" w:rsidRPr="003015FD">
        <w:t xml:space="preserve"> </w:t>
      </w:r>
      <w:r w:rsidRPr="003015FD">
        <w:t>reports</w:t>
      </w:r>
      <w:r w:rsidR="00F20640">
        <w:t>.</w:t>
      </w:r>
    </w:p>
    <w:p w14:paraId="00F5ED4A" w14:textId="77D27E00" w:rsidR="008E0945" w:rsidRPr="003015FD" w:rsidRDefault="008E0945" w:rsidP="0002642E">
      <w:r w:rsidRPr="003015FD">
        <w:t>These</w:t>
      </w:r>
      <w:r w:rsidR="00975895" w:rsidRPr="003015FD">
        <w:t xml:space="preserve"> </w:t>
      </w:r>
      <w:r w:rsidRPr="003015FD">
        <w:t>recommendations</w:t>
      </w:r>
      <w:r w:rsidR="00975895" w:rsidRPr="003015FD">
        <w:t xml:space="preserve"> </w:t>
      </w:r>
      <w:r w:rsidRPr="003015FD">
        <w:t>are</w:t>
      </w:r>
      <w:r w:rsidR="00975895" w:rsidRPr="003015FD">
        <w:t xml:space="preserve"> </w:t>
      </w:r>
      <w:r w:rsidRPr="003015FD">
        <w:t>consistent</w:t>
      </w:r>
      <w:r w:rsidR="00975895" w:rsidRPr="003015FD">
        <w:t xml:space="preserve"> </w:t>
      </w:r>
      <w:r w:rsidRPr="003015FD">
        <w:t>with</w:t>
      </w:r>
      <w:r w:rsidR="00975895" w:rsidRPr="003015FD">
        <w:t xml:space="preserve"> </w:t>
      </w:r>
      <w:r w:rsidRPr="003015FD">
        <w:t>the</w:t>
      </w:r>
      <w:r w:rsidR="00975895" w:rsidRPr="003015FD">
        <w:t xml:space="preserve"> </w:t>
      </w:r>
      <w:r w:rsidRPr="003015FD">
        <w:t>recommendations</w:t>
      </w:r>
      <w:r w:rsidR="00975895" w:rsidRPr="003015FD">
        <w:t xml:space="preserve"> </w:t>
      </w:r>
      <w:r w:rsidRPr="003015FD">
        <w:t>of</w:t>
      </w:r>
      <w:r w:rsidR="00975895" w:rsidRPr="003015FD">
        <w:t xml:space="preserve"> </w:t>
      </w:r>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into</w:t>
      </w:r>
      <w:r w:rsidR="00975895" w:rsidRPr="003015FD">
        <w:t xml:space="preserve"> </w:t>
      </w:r>
      <w:r w:rsidRPr="003015FD">
        <w:t>the</w:t>
      </w:r>
      <w:r w:rsidR="00975895" w:rsidRPr="003015FD">
        <w:t xml:space="preserve"> </w:t>
      </w:r>
      <w:r w:rsidRPr="003015FD">
        <w:t>Charter,</w:t>
      </w:r>
      <w:r w:rsidR="00975895" w:rsidRPr="003015FD">
        <w:t xml:space="preserve"> </w:t>
      </w:r>
      <w:r w:rsidRPr="003015FD">
        <w:t>discussed</w:t>
      </w:r>
      <w:r w:rsidR="00975895" w:rsidRPr="003015FD">
        <w:t xml:space="preserve"> </w:t>
      </w:r>
      <w:r w:rsidRPr="003015FD">
        <w:t>in</w:t>
      </w:r>
      <w:r w:rsidR="00975895" w:rsidRPr="003015FD">
        <w:t xml:space="preserve"> </w:t>
      </w:r>
      <w:r w:rsidRPr="003015FD">
        <w:t>Chapter</w:t>
      </w:r>
      <w:r w:rsidR="00975895" w:rsidRPr="003015FD">
        <w:t xml:space="preserve"> </w:t>
      </w:r>
      <w:r w:rsidRPr="003015FD">
        <w:t>6.</w:t>
      </w:r>
      <w:r w:rsidR="00975895" w:rsidRPr="003015FD">
        <w:t xml:space="preserve"> </w:t>
      </w:r>
      <w:r w:rsidRPr="003015FD">
        <w:t>These</w:t>
      </w:r>
      <w:r w:rsidR="00975895" w:rsidRPr="003015FD">
        <w:t xml:space="preserve"> </w:t>
      </w:r>
      <w:r w:rsidRPr="003015FD">
        <w:t>recommendations</w:t>
      </w:r>
      <w:r w:rsidR="00975895" w:rsidRPr="003015FD">
        <w:t xml:space="preserve"> </w:t>
      </w:r>
      <w:r w:rsidRPr="003015FD">
        <w:t>were</w:t>
      </w:r>
      <w:r w:rsidR="00975895" w:rsidRPr="003015FD">
        <w:t xml:space="preserve"> </w:t>
      </w:r>
      <w:r w:rsidRPr="003015FD">
        <w:t>accepted</w:t>
      </w:r>
      <w:r w:rsidR="00975895" w:rsidRPr="003015FD">
        <w:t xml:space="preserve"> </w:t>
      </w:r>
      <w:r w:rsidRPr="003015FD">
        <w:t>in</w:t>
      </w:r>
      <w:r w:rsidR="00975895" w:rsidRPr="003015FD">
        <w:t xml:space="preserve"> </w:t>
      </w:r>
      <w:r w:rsidRPr="003015FD">
        <w:t>principle</w:t>
      </w:r>
      <w:r w:rsidR="00975895" w:rsidRPr="003015FD">
        <w:t xml:space="preserve"> </w:t>
      </w:r>
      <w:r w:rsidRPr="003015FD">
        <w:t>by</w:t>
      </w:r>
      <w:r w:rsidR="00975895" w:rsidRPr="003015FD">
        <w:t xml:space="preserve"> </w:t>
      </w:r>
      <w:r w:rsidRPr="003015FD">
        <w:t>the</w:t>
      </w:r>
      <w:r w:rsidR="00975895" w:rsidRPr="003015FD">
        <w:t xml:space="preserve"> </w:t>
      </w:r>
      <w:r w:rsidRPr="003015FD">
        <w:t>government</w:t>
      </w:r>
      <w:r w:rsidR="00975895" w:rsidRPr="003015FD">
        <w:t xml:space="preserve"> </w:t>
      </w:r>
      <w:r w:rsidRPr="003015FD">
        <w:t>at</w:t>
      </w:r>
      <w:r w:rsidR="00975895" w:rsidRPr="003015FD">
        <w:t xml:space="preserve"> </w:t>
      </w:r>
      <w:r w:rsidRPr="003015FD">
        <w:t>the</w:t>
      </w:r>
      <w:r w:rsidR="00975895" w:rsidRPr="003015FD">
        <w:t xml:space="preserve"> </w:t>
      </w:r>
      <w:r w:rsidRPr="003015FD">
        <w:t>time</w:t>
      </w:r>
      <w:r w:rsidR="00975895" w:rsidRPr="003015FD">
        <w:t xml:space="preserve"> </w:t>
      </w:r>
      <w:r w:rsidRPr="003015FD">
        <w:t>but</w:t>
      </w:r>
      <w:r w:rsidR="00975895" w:rsidRPr="003015FD">
        <w:t xml:space="preserve"> </w:t>
      </w:r>
      <w:r w:rsidRPr="003015FD">
        <w:t>remain</w:t>
      </w:r>
      <w:r w:rsidR="00975895" w:rsidRPr="003015FD">
        <w:t xml:space="preserve"> </w:t>
      </w:r>
      <w:r w:rsidRPr="003015FD">
        <w:t>open.</w:t>
      </w:r>
      <w:r w:rsidR="00975895" w:rsidRPr="003015FD">
        <w:t xml:space="preserve"> </w:t>
      </w:r>
    </w:p>
    <w:p w14:paraId="759CCE60" w14:textId="2FCE26DE" w:rsidR="008E0945" w:rsidRPr="003015FD" w:rsidRDefault="00D90DB7" w:rsidP="0002642E">
      <w:pPr>
        <w:pStyle w:val="Heading3"/>
      </w:pPr>
      <w:bookmarkStart w:id="94" w:name="_Toc15045124"/>
      <w:r w:rsidRPr="003015FD">
        <w:t>3.4.1</w:t>
      </w:r>
      <w:r w:rsidRPr="003015FD">
        <w:tab/>
      </w:r>
      <w:r w:rsidR="008E0945" w:rsidRPr="003015FD">
        <w:t>A</w:t>
      </w:r>
      <w:r w:rsidR="00975895" w:rsidRPr="003015FD">
        <w:t xml:space="preserve"> </w:t>
      </w:r>
      <w:r w:rsidR="008E0945" w:rsidRPr="003015FD">
        <w:t>snapshot</w:t>
      </w:r>
      <w:r w:rsidR="00975895" w:rsidRPr="003015FD">
        <w:t xml:space="preserve"> </w:t>
      </w:r>
      <w:r w:rsidR="008E0945" w:rsidRPr="003015FD">
        <w:t>of</w:t>
      </w:r>
      <w:r w:rsidR="00975895" w:rsidRPr="003015FD">
        <w:t xml:space="preserve"> </w:t>
      </w:r>
      <w:r w:rsidR="008E0945" w:rsidRPr="003015FD">
        <w:t>SARC</w:t>
      </w:r>
      <w:r w:rsidR="00975895" w:rsidRPr="003015FD">
        <w:t xml:space="preserve"> </w:t>
      </w:r>
      <w:r w:rsidR="008E0945" w:rsidRPr="003015FD">
        <w:t>Charter</w:t>
      </w:r>
      <w:r w:rsidR="00975895" w:rsidRPr="003015FD">
        <w:t xml:space="preserve"> </w:t>
      </w:r>
      <w:r w:rsidR="008E0945" w:rsidRPr="003015FD">
        <w:t>reporting</w:t>
      </w:r>
      <w:bookmarkEnd w:id="94"/>
    </w:p>
    <w:p w14:paraId="1BA6364F" w14:textId="7498892A" w:rsidR="008E0945" w:rsidRPr="003015FD" w:rsidRDefault="008E0945" w:rsidP="0002642E">
      <w:proofErr w:type="gramStart"/>
      <w:r w:rsidRPr="003015FD">
        <w:t>Fifty-five</w:t>
      </w:r>
      <w:proofErr w:type="gramEnd"/>
      <w:r w:rsidR="00975895" w:rsidRPr="003015FD">
        <w:t xml:space="preserve"> </w:t>
      </w:r>
      <w:r w:rsidRPr="003015FD">
        <w:t>Bills</w:t>
      </w:r>
      <w:r w:rsidR="00975895" w:rsidRPr="003015FD">
        <w:t xml:space="preserve"> </w:t>
      </w:r>
      <w:r w:rsidRPr="003015FD">
        <w:t>were</w:t>
      </w:r>
      <w:r w:rsidR="00975895" w:rsidRPr="003015FD">
        <w:t xml:space="preserve"> </w:t>
      </w:r>
      <w:r w:rsidRPr="003015FD">
        <w:t>introduced</w:t>
      </w:r>
      <w:r w:rsidR="00975895" w:rsidRPr="003015FD">
        <w:t xml:space="preserve"> </w:t>
      </w:r>
      <w:r w:rsidRPr="003015FD">
        <w:t>into</w:t>
      </w:r>
      <w:r w:rsidR="00975895" w:rsidRPr="003015FD">
        <w:t xml:space="preserve"> </w:t>
      </w:r>
      <w:r w:rsidRPr="003015FD">
        <w:t>Parliament</w:t>
      </w:r>
      <w:r w:rsidR="00975895" w:rsidRPr="003015FD">
        <w:t xml:space="preserve"> </w:t>
      </w:r>
      <w:r w:rsidRPr="003015FD">
        <w:t>in</w:t>
      </w:r>
      <w:r w:rsidR="00975895" w:rsidRPr="003015FD">
        <w:t xml:space="preserve"> </w:t>
      </w:r>
      <w:r w:rsidRPr="003015FD">
        <w:t>2018.</w:t>
      </w:r>
      <w:r w:rsidR="00975895" w:rsidRPr="003015FD">
        <w:t xml:space="preserve"> </w:t>
      </w:r>
      <w:r w:rsidRPr="003015FD">
        <w:t>This</w:t>
      </w:r>
      <w:r w:rsidR="00975895" w:rsidRPr="003015FD">
        <w:t xml:space="preserve"> </w:t>
      </w:r>
      <w:r w:rsidRPr="003015FD">
        <w:t>is</w:t>
      </w:r>
      <w:r w:rsidR="00975895" w:rsidRPr="003015FD">
        <w:t xml:space="preserve"> </w:t>
      </w:r>
      <w:r w:rsidR="00F20640">
        <w:t>fewer</w:t>
      </w:r>
      <w:r w:rsidR="00F20640" w:rsidRPr="003015FD">
        <w:t xml:space="preserve"> </w:t>
      </w:r>
      <w:r w:rsidRPr="003015FD">
        <w:t>than</w:t>
      </w:r>
      <w:r w:rsidR="00975895" w:rsidRPr="003015FD">
        <w:t xml:space="preserve"> </w:t>
      </w:r>
      <w:r w:rsidRPr="003015FD">
        <w:t>in</w:t>
      </w:r>
      <w:r w:rsidR="00975895" w:rsidRPr="003015FD">
        <w:t xml:space="preserve"> </w:t>
      </w:r>
      <w:r w:rsidRPr="003015FD">
        <w:t>previous</w:t>
      </w:r>
      <w:r w:rsidR="00975895" w:rsidRPr="003015FD">
        <w:t xml:space="preserve"> </w:t>
      </w:r>
      <w:r w:rsidRPr="003015FD">
        <w:t>years,</w:t>
      </w:r>
      <w:r w:rsidRPr="004862C5">
        <w:rPr>
          <w:rStyle w:val="FootnoteReference"/>
        </w:rPr>
        <w:footnoteReference w:id="49"/>
      </w:r>
      <w:r w:rsidR="00975895" w:rsidRPr="003015FD">
        <w:t xml:space="preserve"> </w:t>
      </w:r>
      <w:r w:rsidRPr="003015FD">
        <w:t>presumably</w:t>
      </w:r>
      <w:r w:rsidR="00975895" w:rsidRPr="003015FD">
        <w:t xml:space="preserve"> </w:t>
      </w:r>
      <w:r w:rsidRPr="003015FD">
        <w:t>due</w:t>
      </w:r>
      <w:r w:rsidR="00975895" w:rsidRPr="003015FD">
        <w:t xml:space="preserve"> </w:t>
      </w:r>
      <w:r w:rsidRPr="003015FD">
        <w:t>to</w:t>
      </w:r>
      <w:r w:rsidR="00975895" w:rsidRPr="003015FD">
        <w:t xml:space="preserve"> </w:t>
      </w:r>
      <w:r w:rsidRPr="003015FD">
        <w:t>the</w:t>
      </w:r>
      <w:r w:rsidR="00975895" w:rsidRPr="003015FD">
        <w:t xml:space="preserve"> </w:t>
      </w:r>
      <w:r w:rsidR="00F20640">
        <w:t>g</w:t>
      </w:r>
      <w:r w:rsidRPr="003015FD">
        <w:t>overnment</w:t>
      </w:r>
      <w:r w:rsidR="00975895" w:rsidRPr="003015FD">
        <w:t xml:space="preserve"> </w:t>
      </w:r>
      <w:r w:rsidRPr="003015FD">
        <w:t>going</w:t>
      </w:r>
      <w:r w:rsidR="00975895" w:rsidRPr="003015FD">
        <w:t xml:space="preserve"> </w:t>
      </w:r>
      <w:r w:rsidRPr="003015FD">
        <w:t>into</w:t>
      </w:r>
      <w:r w:rsidR="00975895" w:rsidRPr="003015FD">
        <w:t xml:space="preserve"> </w:t>
      </w:r>
      <w:r w:rsidRPr="003015FD">
        <w:t>caretaker</w:t>
      </w:r>
      <w:r w:rsidR="00975895" w:rsidRPr="003015FD">
        <w:t xml:space="preserve"> </w:t>
      </w:r>
      <w:r w:rsidRPr="003015FD">
        <w:t>in</w:t>
      </w:r>
      <w:r w:rsidR="00975895" w:rsidRPr="003015FD">
        <w:t xml:space="preserve"> </w:t>
      </w:r>
      <w:r w:rsidRPr="003015FD">
        <w:t>October</w:t>
      </w:r>
      <w:r w:rsidR="00975895" w:rsidRPr="003015FD">
        <w:t xml:space="preserve"> </w:t>
      </w:r>
      <w:r w:rsidRPr="003015FD">
        <w:t>2018</w:t>
      </w:r>
      <w:r w:rsidR="00975895" w:rsidRPr="003015FD">
        <w:t xml:space="preserve"> </w:t>
      </w:r>
      <w:r w:rsidRPr="003015FD">
        <w:t>ahead</w:t>
      </w:r>
      <w:r w:rsidR="00975895" w:rsidRPr="003015FD">
        <w:t xml:space="preserve"> </w:t>
      </w:r>
      <w:r w:rsidRPr="003015FD">
        <w:t>of</w:t>
      </w:r>
      <w:r w:rsidR="00975895" w:rsidRPr="003015FD">
        <w:t xml:space="preserve"> </w:t>
      </w:r>
      <w:r w:rsidRPr="003015FD">
        <w:t>the</w:t>
      </w:r>
      <w:r w:rsidR="00975895" w:rsidRPr="003015FD">
        <w:t xml:space="preserve"> </w:t>
      </w:r>
      <w:r w:rsidRPr="003015FD">
        <w:t>state</w:t>
      </w:r>
      <w:r w:rsidR="00975895" w:rsidRPr="003015FD">
        <w:t xml:space="preserve"> </w:t>
      </w:r>
      <w:r w:rsidRPr="003015FD">
        <w:t>election</w:t>
      </w:r>
      <w:r w:rsidR="00975895" w:rsidRPr="003015FD">
        <w:t xml:space="preserve"> </w:t>
      </w:r>
      <w:r w:rsidRPr="003015FD">
        <w:t>on</w:t>
      </w:r>
      <w:r w:rsidR="00975895" w:rsidRPr="003015FD">
        <w:t xml:space="preserve"> </w:t>
      </w:r>
      <w:r w:rsidRPr="003015FD">
        <w:t>24</w:t>
      </w:r>
      <w:r w:rsidR="00975895" w:rsidRPr="003015FD">
        <w:t xml:space="preserve"> </w:t>
      </w:r>
      <w:r w:rsidRPr="003015FD">
        <w:t>November</w:t>
      </w:r>
      <w:r w:rsidR="00975895" w:rsidRPr="003015FD">
        <w:t xml:space="preserve"> </w:t>
      </w:r>
      <w:r w:rsidRPr="003015FD">
        <w:t>2018.</w:t>
      </w:r>
      <w:r w:rsidR="00975895" w:rsidRPr="003015FD">
        <w:t xml:space="preserve"> </w:t>
      </w:r>
    </w:p>
    <w:p w14:paraId="527E3643" w14:textId="7967FB62" w:rsidR="008E0945" w:rsidRPr="003015FD" w:rsidRDefault="008E0945" w:rsidP="0002642E">
      <w:r w:rsidRPr="003015FD">
        <w:t>SARC</w:t>
      </w:r>
      <w:r w:rsidR="00975895" w:rsidRPr="003015FD">
        <w:t xml:space="preserve"> </w:t>
      </w:r>
      <w:r w:rsidRPr="003015FD">
        <w:t>produced</w:t>
      </w:r>
      <w:r w:rsidR="00975895" w:rsidRPr="003015FD">
        <w:t xml:space="preserve"> </w:t>
      </w:r>
      <w:r w:rsidRPr="003015FD">
        <w:t>reports</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62</w:t>
      </w:r>
      <w:r w:rsidR="00975895" w:rsidRPr="003015FD">
        <w:t xml:space="preserve"> </w:t>
      </w:r>
      <w:r w:rsidRPr="003015FD">
        <w:t>Bills,</w:t>
      </w:r>
      <w:r w:rsidR="00975895" w:rsidRPr="003015FD">
        <w:t xml:space="preserve"> </w:t>
      </w:r>
      <w:r w:rsidRPr="003015FD">
        <w:t>including</w:t>
      </w:r>
      <w:r w:rsidR="00975895" w:rsidRPr="003015FD">
        <w:t xml:space="preserve"> </w:t>
      </w:r>
      <w:r w:rsidRPr="003015FD">
        <w:t>reports</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Bills</w:t>
      </w:r>
      <w:r w:rsidR="00975895" w:rsidRPr="003015FD">
        <w:t xml:space="preserve"> </w:t>
      </w:r>
      <w:r w:rsidRPr="003015FD">
        <w:t>introduced</w:t>
      </w:r>
      <w:r w:rsidR="00975895" w:rsidRPr="003015FD">
        <w:t xml:space="preserve"> </w:t>
      </w:r>
      <w:r w:rsidRPr="003015FD">
        <w:t>in</w:t>
      </w:r>
      <w:r w:rsidR="00975895" w:rsidRPr="003015FD">
        <w:t xml:space="preserve"> </w:t>
      </w:r>
      <w:r w:rsidRPr="003015FD">
        <w:t>previous</w:t>
      </w:r>
      <w:r w:rsidR="00975895" w:rsidRPr="003015FD">
        <w:t xml:space="preserve"> </w:t>
      </w:r>
      <w:r w:rsidRPr="003015FD">
        <w:t>years.</w:t>
      </w:r>
      <w:r w:rsidR="00975895" w:rsidRPr="004862C5">
        <w:rPr>
          <w:rStyle w:val="FootnoteReference"/>
        </w:rPr>
        <w:t xml:space="preserve"> </w:t>
      </w:r>
      <w:r w:rsidRPr="004862C5">
        <w:rPr>
          <w:rStyle w:val="FootnoteReference"/>
        </w:rPr>
        <w:footnoteReference w:id="50"/>
      </w:r>
      <w:r w:rsidR="00975895" w:rsidRPr="003015FD">
        <w:t xml:space="preserve"> </w:t>
      </w:r>
      <w:r w:rsidRPr="003015FD">
        <w:t>SARC</w:t>
      </w:r>
      <w:r w:rsidR="00975895" w:rsidRPr="003015FD">
        <w:t xml:space="preserve"> </w:t>
      </w:r>
      <w:r w:rsidRPr="003015FD">
        <w:t>identified</w:t>
      </w:r>
      <w:r w:rsidR="00975895" w:rsidRPr="003015FD">
        <w:t xml:space="preserve"> </w:t>
      </w:r>
      <w:r w:rsidRPr="003015FD">
        <w:t>and</w:t>
      </w:r>
      <w:r w:rsidR="00975895" w:rsidRPr="003015FD">
        <w:t xml:space="preserve"> </w:t>
      </w:r>
      <w:r w:rsidRPr="003015FD">
        <w:t>substantively</w:t>
      </w:r>
      <w:r w:rsidR="00975895" w:rsidRPr="003015FD">
        <w:t xml:space="preserve"> </w:t>
      </w:r>
      <w:r w:rsidRPr="003015FD">
        <w:t>reported</w:t>
      </w:r>
      <w:r w:rsidR="00975895" w:rsidRPr="003015FD">
        <w:t xml:space="preserve"> </w:t>
      </w:r>
      <w:r w:rsidRPr="003015FD">
        <w:t>on</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issues</w:t>
      </w:r>
      <w:r w:rsidR="00975895" w:rsidRPr="003015FD">
        <w:t xml:space="preserve"> </w:t>
      </w:r>
      <w:r w:rsidRPr="003015FD">
        <w:t>in</w:t>
      </w:r>
      <w:r w:rsidR="00975895" w:rsidRPr="003015FD">
        <w:t xml:space="preserve"> </w:t>
      </w:r>
      <w:r w:rsidRPr="003015FD">
        <w:t>just</w:t>
      </w:r>
      <w:r w:rsidR="00975895" w:rsidRPr="003015FD">
        <w:t xml:space="preserve"> </w:t>
      </w:r>
      <w:r w:rsidRPr="003015FD">
        <w:t>over</w:t>
      </w:r>
      <w:r w:rsidR="00975895" w:rsidRPr="003015FD">
        <w:t xml:space="preserve"> </w:t>
      </w:r>
      <w:r w:rsidRPr="003015FD">
        <w:t>half</w:t>
      </w:r>
      <w:r w:rsidR="00975895" w:rsidRPr="003015FD">
        <w:t xml:space="preserve"> </w:t>
      </w:r>
      <w:r w:rsidRPr="003015FD">
        <w:t>of</w:t>
      </w:r>
      <w:r w:rsidR="00975895" w:rsidRPr="003015FD">
        <w:t xml:space="preserve"> </w:t>
      </w:r>
      <w:r w:rsidRPr="003015FD">
        <w:t>those</w:t>
      </w:r>
      <w:r w:rsidR="00975895" w:rsidRPr="003015FD">
        <w:t xml:space="preserve"> </w:t>
      </w:r>
      <w:r w:rsidRPr="003015FD">
        <w:t>Bills.</w:t>
      </w:r>
      <w:r w:rsidR="00975895" w:rsidRPr="003015FD">
        <w:t xml:space="preserve"> </w:t>
      </w:r>
    </w:p>
    <w:p w14:paraId="4EF47FB5" w14:textId="5CE88010" w:rsidR="008E0945" w:rsidRPr="003015FD" w:rsidRDefault="008E0945" w:rsidP="0002642E">
      <w:pPr>
        <w:pStyle w:val="TableHeading1"/>
      </w:pPr>
      <w:r w:rsidRPr="003015FD">
        <w:t>Table</w:t>
      </w:r>
      <w:r w:rsidR="00975895" w:rsidRPr="003015FD">
        <w:t xml:space="preserve"> </w:t>
      </w:r>
      <w:r w:rsidR="003B428A">
        <w:t>5</w:t>
      </w:r>
      <w:r w:rsidRPr="003015FD">
        <w:t>:</w:t>
      </w:r>
      <w:r w:rsidR="00975895" w:rsidRPr="003015FD">
        <w:t xml:space="preserve"> </w:t>
      </w:r>
      <w:r w:rsidRPr="003015FD">
        <w:t>Number</w:t>
      </w:r>
      <w:r w:rsidR="00975895" w:rsidRPr="003015FD">
        <w:t xml:space="preserve"> </w:t>
      </w:r>
      <w:r w:rsidRPr="003015FD">
        <w:t>of</w:t>
      </w:r>
      <w:r w:rsidR="00975895" w:rsidRPr="003015FD">
        <w:t xml:space="preserve"> </w:t>
      </w:r>
      <w:r w:rsidRPr="003015FD">
        <w:t>Bills</w:t>
      </w:r>
      <w:r w:rsidR="00975895" w:rsidRPr="003015FD">
        <w:t xml:space="preserve"> </w:t>
      </w:r>
      <w:r w:rsidRPr="003015FD">
        <w:t>in</w:t>
      </w:r>
      <w:r w:rsidR="00975895" w:rsidRPr="003015FD">
        <w:t xml:space="preserve"> </w:t>
      </w:r>
      <w:r w:rsidRPr="003015FD">
        <w:t>which</w:t>
      </w:r>
      <w:r w:rsidR="00975895" w:rsidRPr="003015FD">
        <w:t xml:space="preserve"> </w:t>
      </w:r>
      <w:r w:rsidRPr="003015FD">
        <w:t>SARC</w:t>
      </w:r>
      <w:r w:rsidR="00975895" w:rsidRPr="003015FD">
        <w:t xml:space="preserve"> </w:t>
      </w:r>
      <w:r w:rsidRPr="003015FD">
        <w:t>reported</w:t>
      </w:r>
      <w:r w:rsidR="00975895" w:rsidRPr="003015FD">
        <w:t xml:space="preserve"> </w:t>
      </w:r>
      <w:r w:rsidRPr="003015FD">
        <w:t>on</w:t>
      </w:r>
      <w:r w:rsidR="00975895" w:rsidRPr="003015FD">
        <w:t xml:space="preserve"> </w:t>
      </w:r>
      <w:r w:rsidRPr="003015FD">
        <w:t>human</w:t>
      </w:r>
      <w:r w:rsidR="00975895" w:rsidRPr="003015FD">
        <w:t xml:space="preserve"> </w:t>
      </w:r>
      <w:r w:rsidRPr="003015FD">
        <w:t>rights</w:t>
      </w:r>
    </w:p>
    <w:tbl>
      <w:tblPr>
        <w:tblStyle w:val="CustomTableblue"/>
        <w:tblW w:w="0" w:type="auto"/>
        <w:tblLook w:val="0420" w:firstRow="1" w:lastRow="0" w:firstColumn="0" w:lastColumn="0" w:noHBand="0" w:noVBand="1"/>
      </w:tblPr>
      <w:tblGrid>
        <w:gridCol w:w="2689"/>
        <w:gridCol w:w="992"/>
        <w:gridCol w:w="992"/>
        <w:gridCol w:w="992"/>
        <w:gridCol w:w="851"/>
        <w:gridCol w:w="850"/>
        <w:gridCol w:w="851"/>
        <w:gridCol w:w="844"/>
      </w:tblGrid>
      <w:tr w:rsidR="006B0171" w:rsidRPr="003015FD" w14:paraId="4F366822" w14:textId="77777777" w:rsidTr="00C26A05">
        <w:trPr>
          <w:cnfStyle w:val="100000000000" w:firstRow="1" w:lastRow="0" w:firstColumn="0" w:lastColumn="0" w:oddVBand="0" w:evenVBand="0" w:oddHBand="0" w:evenHBand="0" w:firstRowFirstColumn="0" w:firstRowLastColumn="0" w:lastRowFirstColumn="0" w:lastRowLastColumn="0"/>
        </w:trPr>
        <w:tc>
          <w:tcPr>
            <w:tcW w:w="2689" w:type="dxa"/>
          </w:tcPr>
          <w:p w14:paraId="14D414A7" w14:textId="77777777" w:rsidR="008E0945" w:rsidRPr="003015FD" w:rsidRDefault="008E0945" w:rsidP="0002642E">
            <w:pPr>
              <w:pStyle w:val="TableBodyText"/>
            </w:pPr>
            <w:r w:rsidRPr="003015FD">
              <w:t>Year</w:t>
            </w:r>
          </w:p>
        </w:tc>
        <w:tc>
          <w:tcPr>
            <w:tcW w:w="992" w:type="dxa"/>
          </w:tcPr>
          <w:p w14:paraId="2729129A" w14:textId="77777777" w:rsidR="008E0945" w:rsidRPr="003015FD" w:rsidRDefault="008E0945" w:rsidP="0002642E">
            <w:pPr>
              <w:pStyle w:val="TableBodyText"/>
            </w:pPr>
            <w:r w:rsidRPr="003015FD">
              <w:t>2018</w:t>
            </w:r>
          </w:p>
        </w:tc>
        <w:tc>
          <w:tcPr>
            <w:tcW w:w="992" w:type="dxa"/>
          </w:tcPr>
          <w:p w14:paraId="6DBB5FCE" w14:textId="77777777" w:rsidR="008E0945" w:rsidRPr="003015FD" w:rsidRDefault="008E0945" w:rsidP="0002642E">
            <w:pPr>
              <w:pStyle w:val="TableBodyText"/>
            </w:pPr>
            <w:r w:rsidRPr="003015FD">
              <w:t>2017</w:t>
            </w:r>
          </w:p>
        </w:tc>
        <w:tc>
          <w:tcPr>
            <w:tcW w:w="992" w:type="dxa"/>
          </w:tcPr>
          <w:p w14:paraId="48575513" w14:textId="77777777" w:rsidR="008E0945" w:rsidRPr="003015FD" w:rsidRDefault="008E0945" w:rsidP="0002642E">
            <w:pPr>
              <w:pStyle w:val="TableBodyText"/>
            </w:pPr>
            <w:r w:rsidRPr="003015FD">
              <w:t>2016</w:t>
            </w:r>
          </w:p>
        </w:tc>
        <w:tc>
          <w:tcPr>
            <w:tcW w:w="851" w:type="dxa"/>
          </w:tcPr>
          <w:p w14:paraId="5967A1D4" w14:textId="77777777" w:rsidR="008E0945" w:rsidRPr="003015FD" w:rsidRDefault="008E0945" w:rsidP="0002642E">
            <w:pPr>
              <w:pStyle w:val="TableBodyText"/>
            </w:pPr>
            <w:r w:rsidRPr="003015FD">
              <w:t>2015</w:t>
            </w:r>
          </w:p>
        </w:tc>
        <w:tc>
          <w:tcPr>
            <w:tcW w:w="850" w:type="dxa"/>
          </w:tcPr>
          <w:p w14:paraId="77B81961" w14:textId="77777777" w:rsidR="008E0945" w:rsidRPr="003015FD" w:rsidRDefault="008E0945" w:rsidP="0002642E">
            <w:pPr>
              <w:pStyle w:val="TableBodyText"/>
            </w:pPr>
            <w:r w:rsidRPr="003015FD">
              <w:t>2014</w:t>
            </w:r>
          </w:p>
        </w:tc>
        <w:tc>
          <w:tcPr>
            <w:tcW w:w="851" w:type="dxa"/>
          </w:tcPr>
          <w:p w14:paraId="6CB2967F" w14:textId="77777777" w:rsidR="008E0945" w:rsidRPr="003015FD" w:rsidRDefault="008E0945" w:rsidP="0002642E">
            <w:pPr>
              <w:pStyle w:val="TableBodyText"/>
            </w:pPr>
            <w:r w:rsidRPr="003015FD">
              <w:t>2013</w:t>
            </w:r>
          </w:p>
        </w:tc>
        <w:tc>
          <w:tcPr>
            <w:tcW w:w="844" w:type="dxa"/>
          </w:tcPr>
          <w:p w14:paraId="1A447482" w14:textId="77777777" w:rsidR="008E0945" w:rsidRPr="003015FD" w:rsidRDefault="008E0945" w:rsidP="0002642E">
            <w:pPr>
              <w:pStyle w:val="TableBodyText"/>
            </w:pPr>
            <w:r w:rsidRPr="003015FD">
              <w:t>2012</w:t>
            </w:r>
          </w:p>
        </w:tc>
      </w:tr>
      <w:tr w:rsidR="006B0171" w:rsidRPr="003015FD" w14:paraId="5021A68F" w14:textId="77777777" w:rsidTr="00C26A05">
        <w:trPr>
          <w:cnfStyle w:val="000000100000" w:firstRow="0" w:lastRow="0" w:firstColumn="0" w:lastColumn="0" w:oddVBand="0" w:evenVBand="0" w:oddHBand="1" w:evenHBand="0" w:firstRowFirstColumn="0" w:firstRowLastColumn="0" w:lastRowFirstColumn="0" w:lastRowLastColumn="0"/>
        </w:trPr>
        <w:tc>
          <w:tcPr>
            <w:tcW w:w="2689" w:type="dxa"/>
          </w:tcPr>
          <w:p w14:paraId="7545B013" w14:textId="77777777" w:rsidR="008E0945" w:rsidRPr="003015FD" w:rsidRDefault="008E0945" w:rsidP="0002642E">
            <w:pPr>
              <w:pStyle w:val="TableBodyTextcentred"/>
              <w:jc w:val="left"/>
            </w:pPr>
            <w:r w:rsidRPr="003015FD">
              <w:t>Bills</w:t>
            </w:r>
          </w:p>
        </w:tc>
        <w:tc>
          <w:tcPr>
            <w:tcW w:w="992" w:type="dxa"/>
          </w:tcPr>
          <w:p w14:paraId="0D80ACEF" w14:textId="77777777" w:rsidR="008E0945" w:rsidRPr="003015FD" w:rsidRDefault="008E0945" w:rsidP="0002642E">
            <w:pPr>
              <w:pStyle w:val="TableBodyTextcentred"/>
              <w:jc w:val="left"/>
            </w:pPr>
            <w:r w:rsidRPr="003015FD">
              <w:t>32</w:t>
            </w:r>
          </w:p>
        </w:tc>
        <w:tc>
          <w:tcPr>
            <w:tcW w:w="992" w:type="dxa"/>
          </w:tcPr>
          <w:p w14:paraId="1C77132F" w14:textId="77777777" w:rsidR="008E0945" w:rsidRPr="003015FD" w:rsidRDefault="008E0945" w:rsidP="0002642E">
            <w:pPr>
              <w:pStyle w:val="TableBodyTextcentred"/>
              <w:jc w:val="left"/>
            </w:pPr>
            <w:r w:rsidRPr="003015FD">
              <w:t>26</w:t>
            </w:r>
          </w:p>
        </w:tc>
        <w:tc>
          <w:tcPr>
            <w:tcW w:w="992" w:type="dxa"/>
          </w:tcPr>
          <w:p w14:paraId="1F27BB0F" w14:textId="77777777" w:rsidR="008E0945" w:rsidRPr="003015FD" w:rsidRDefault="008E0945" w:rsidP="0002642E">
            <w:pPr>
              <w:pStyle w:val="TableBodyTextcentred"/>
              <w:jc w:val="left"/>
            </w:pPr>
            <w:r w:rsidRPr="003015FD">
              <w:t>34</w:t>
            </w:r>
          </w:p>
        </w:tc>
        <w:tc>
          <w:tcPr>
            <w:tcW w:w="851" w:type="dxa"/>
          </w:tcPr>
          <w:p w14:paraId="523FDEC7" w14:textId="77777777" w:rsidR="008E0945" w:rsidRPr="003015FD" w:rsidRDefault="008E0945" w:rsidP="0002642E">
            <w:pPr>
              <w:pStyle w:val="TableBodyTextcentred"/>
              <w:jc w:val="left"/>
            </w:pPr>
            <w:r w:rsidRPr="003015FD">
              <w:t>23</w:t>
            </w:r>
          </w:p>
        </w:tc>
        <w:tc>
          <w:tcPr>
            <w:tcW w:w="850" w:type="dxa"/>
          </w:tcPr>
          <w:p w14:paraId="77525833" w14:textId="77777777" w:rsidR="008E0945" w:rsidRPr="003015FD" w:rsidRDefault="008E0945" w:rsidP="0002642E">
            <w:pPr>
              <w:pStyle w:val="TableBodyTextcentred"/>
              <w:jc w:val="left"/>
            </w:pPr>
            <w:r w:rsidRPr="003015FD">
              <w:t>16</w:t>
            </w:r>
          </w:p>
        </w:tc>
        <w:tc>
          <w:tcPr>
            <w:tcW w:w="851" w:type="dxa"/>
          </w:tcPr>
          <w:p w14:paraId="2D0E898D" w14:textId="77777777" w:rsidR="008E0945" w:rsidRPr="003015FD" w:rsidRDefault="008E0945" w:rsidP="0002642E">
            <w:pPr>
              <w:pStyle w:val="TableBodyTextcentred"/>
              <w:jc w:val="left"/>
            </w:pPr>
            <w:r w:rsidRPr="003015FD">
              <w:t>14</w:t>
            </w:r>
          </w:p>
        </w:tc>
        <w:tc>
          <w:tcPr>
            <w:tcW w:w="844" w:type="dxa"/>
          </w:tcPr>
          <w:p w14:paraId="21BFA4CA" w14:textId="77777777" w:rsidR="008E0945" w:rsidRPr="003015FD" w:rsidRDefault="008E0945" w:rsidP="0002642E">
            <w:pPr>
              <w:pStyle w:val="TableBodyTextcentred"/>
              <w:jc w:val="left"/>
            </w:pPr>
            <w:r w:rsidRPr="003015FD">
              <w:t>19</w:t>
            </w:r>
          </w:p>
        </w:tc>
      </w:tr>
    </w:tbl>
    <w:p w14:paraId="35FF993C" w14:textId="5E85C5F2" w:rsidR="008E0945" w:rsidRPr="003015FD" w:rsidRDefault="008E0945" w:rsidP="0002642E">
      <w:r w:rsidRPr="003015FD">
        <w:t>SARC</w:t>
      </w:r>
      <w:r w:rsidR="00975895" w:rsidRPr="003015FD">
        <w:t xml:space="preserve"> </w:t>
      </w:r>
      <w:r w:rsidRPr="003015FD">
        <w:t>referred</w:t>
      </w:r>
      <w:r w:rsidR="00975895" w:rsidRPr="003015FD">
        <w:t xml:space="preserve"> </w:t>
      </w:r>
      <w:r w:rsidRPr="003015FD">
        <w:t>questions</w:t>
      </w:r>
      <w:r w:rsidR="00975895" w:rsidRPr="003015FD">
        <w:t xml:space="preserve"> </w:t>
      </w:r>
      <w:r w:rsidRPr="003015FD">
        <w:t>regarding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to</w:t>
      </w:r>
      <w:r w:rsidR="00975895" w:rsidRPr="003015FD">
        <w:t xml:space="preserve"> </w:t>
      </w:r>
      <w:r w:rsidRPr="003015FD">
        <w:t>a</w:t>
      </w:r>
      <w:r w:rsidR="00975895" w:rsidRPr="003015FD">
        <w:t xml:space="preserve"> </w:t>
      </w:r>
      <w:r w:rsidRPr="003015FD">
        <w:t>member</w:t>
      </w:r>
      <w:r w:rsidR="00975895" w:rsidRPr="003015FD">
        <w:t xml:space="preserve"> </w:t>
      </w:r>
      <w:r w:rsidRPr="003015FD">
        <w:t>or</w:t>
      </w:r>
      <w:r w:rsidR="00975895" w:rsidRPr="003015FD">
        <w:t xml:space="preserve"> </w:t>
      </w:r>
      <w:r w:rsidRPr="003015FD">
        <w:t>minister</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all</w:t>
      </w:r>
      <w:r w:rsidR="00975895" w:rsidRPr="003015FD">
        <w:t xml:space="preserve"> </w:t>
      </w:r>
      <w:r w:rsidRPr="003015FD">
        <w:t>32</w:t>
      </w:r>
      <w:r w:rsidR="00975895" w:rsidRPr="003015FD">
        <w:t xml:space="preserve"> </w:t>
      </w:r>
      <w:r w:rsidRPr="003015FD">
        <w:t>Bills</w:t>
      </w:r>
      <w:r w:rsidR="00975895" w:rsidRPr="003015FD">
        <w:t xml:space="preserve"> </w:t>
      </w:r>
      <w:r w:rsidRPr="003015FD">
        <w:t>it</w:t>
      </w:r>
      <w:r w:rsidR="00975895" w:rsidRPr="003015FD">
        <w:t xml:space="preserve"> </w:t>
      </w:r>
      <w:r w:rsidRPr="003015FD">
        <w:t>identified</w:t>
      </w:r>
      <w:r w:rsidR="00975895" w:rsidRPr="003015FD">
        <w:t xml:space="preserve"> </w:t>
      </w:r>
      <w:r w:rsidRPr="003015FD">
        <w:t>as</w:t>
      </w:r>
      <w:r w:rsidR="00975895" w:rsidRPr="003015FD">
        <w:t xml:space="preserve"> </w:t>
      </w:r>
      <w:r w:rsidRPr="003015FD">
        <w:t>having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issues</w:t>
      </w:r>
      <w:r w:rsidR="00975895" w:rsidRPr="003015FD">
        <w:t xml:space="preserve"> </w:t>
      </w:r>
      <w:r w:rsidRPr="003015FD">
        <w:t>and</w:t>
      </w:r>
      <w:r w:rsidR="00975895" w:rsidRPr="003015FD">
        <w:t xml:space="preserve"> </w:t>
      </w:r>
      <w:r w:rsidRPr="003015FD">
        <w:t>received</w:t>
      </w:r>
      <w:r w:rsidR="00975895" w:rsidRPr="003015FD">
        <w:t xml:space="preserve"> </w:t>
      </w:r>
      <w:r w:rsidRPr="003015FD">
        <w:t>28</w:t>
      </w:r>
      <w:r w:rsidR="00975895" w:rsidRPr="003015FD">
        <w:t xml:space="preserve"> </w:t>
      </w:r>
      <w:r w:rsidRPr="003015FD">
        <w:t>responses.</w:t>
      </w:r>
    </w:p>
    <w:p w14:paraId="29A6721B" w14:textId="4D07B07A" w:rsidR="008E0945" w:rsidRPr="0002642E" w:rsidRDefault="008E0945" w:rsidP="0002642E">
      <w:pPr>
        <w:rPr>
          <w:highlight w:val="yellow"/>
        </w:rPr>
      </w:pPr>
      <w:r w:rsidRPr="003015FD">
        <w:lastRenderedPageBreak/>
        <w:t>SARC</w:t>
      </w:r>
      <w:r w:rsidR="00975895" w:rsidRPr="003015FD">
        <w:t xml:space="preserve"> </w:t>
      </w:r>
      <w:r w:rsidRPr="003015FD">
        <w:t>referred</w:t>
      </w:r>
      <w:r w:rsidR="00975895" w:rsidRPr="003015FD">
        <w:t xml:space="preserve"> </w:t>
      </w:r>
      <w:r w:rsidRPr="003015FD">
        <w:t>questions</w:t>
      </w:r>
      <w:r w:rsidR="00975895" w:rsidRPr="003015FD">
        <w:t xml:space="preserve"> </w:t>
      </w:r>
      <w:r w:rsidRPr="003015FD">
        <w:t>regarding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to</w:t>
      </w:r>
      <w:r w:rsidR="00975895" w:rsidRPr="003015FD">
        <w:t xml:space="preserve"> </w:t>
      </w:r>
      <w:r w:rsidRPr="003015FD">
        <w:t>Parliament</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two</w:t>
      </w:r>
      <w:r w:rsidR="00975895" w:rsidRPr="003015FD">
        <w:t xml:space="preserve"> </w:t>
      </w:r>
      <w:r w:rsidRPr="003015FD">
        <w:t>Bills</w:t>
      </w:r>
      <w:r w:rsidR="00975895" w:rsidRPr="003015FD">
        <w:t xml:space="preserve"> </w:t>
      </w:r>
      <w:r w:rsidRPr="003015FD">
        <w:t>that</w:t>
      </w:r>
      <w:r w:rsidR="00975895" w:rsidRPr="003015FD">
        <w:t xml:space="preserve"> </w:t>
      </w:r>
      <w:r w:rsidRPr="003015FD">
        <w:t>were</w:t>
      </w:r>
      <w:r w:rsidR="00975895" w:rsidRPr="003015FD">
        <w:t xml:space="preserve"> </w:t>
      </w:r>
      <w:r w:rsidRPr="003015FD">
        <w:t>scrutinised</w:t>
      </w:r>
      <w:r w:rsidR="00975895" w:rsidRPr="003015FD">
        <w:t xml:space="preserve"> </w:t>
      </w:r>
      <w:r w:rsidRPr="003015FD">
        <w:t>in</w:t>
      </w:r>
      <w:r w:rsidR="00975895" w:rsidRPr="003015FD">
        <w:t xml:space="preserve"> </w:t>
      </w:r>
      <w:r w:rsidRPr="003015FD">
        <w:t>2018</w:t>
      </w:r>
      <w:r w:rsidR="00975895" w:rsidRPr="003015FD">
        <w:t xml:space="preserve"> </w:t>
      </w:r>
      <w:r w:rsidRPr="003015FD">
        <w:t>and</w:t>
      </w:r>
      <w:r w:rsidR="00975895" w:rsidRPr="003015FD">
        <w:t xml:space="preserve"> </w:t>
      </w:r>
      <w:r w:rsidRPr="003015FD">
        <w:t>received</w:t>
      </w:r>
      <w:r w:rsidR="00975895" w:rsidRPr="003015FD">
        <w:t xml:space="preserve"> </w:t>
      </w:r>
      <w:r w:rsidRPr="003015FD">
        <w:t>responses</w:t>
      </w:r>
      <w:r w:rsidR="00975895" w:rsidRPr="003015FD">
        <w:t xml:space="preserve"> </w:t>
      </w:r>
      <w:r w:rsidRPr="003015FD">
        <w:t>in</w:t>
      </w:r>
      <w:r w:rsidR="00975895" w:rsidRPr="003015FD">
        <w:t xml:space="preserve"> </w:t>
      </w:r>
      <w:r w:rsidRPr="003015FD">
        <w:t>both</w:t>
      </w:r>
      <w:r w:rsidR="00975895" w:rsidRPr="003015FD">
        <w:t xml:space="preserve"> </w:t>
      </w:r>
      <w:r w:rsidRPr="003015FD">
        <w:t>cases.</w:t>
      </w:r>
    </w:p>
    <w:p w14:paraId="71745171" w14:textId="3B0A10D0" w:rsidR="008E0945" w:rsidRPr="003015FD" w:rsidRDefault="00F20640" w:rsidP="0002642E">
      <w:r>
        <w:t>The first of these, t</w:t>
      </w:r>
      <w:r w:rsidR="008E0945" w:rsidRPr="003015FD">
        <w:t>he</w:t>
      </w:r>
      <w:r w:rsidR="00975895" w:rsidRPr="003015FD">
        <w:t xml:space="preserve"> </w:t>
      </w:r>
      <w:r w:rsidR="008E0945" w:rsidRPr="0002642E">
        <w:t>Corrections</w:t>
      </w:r>
      <w:r w:rsidR="00975895" w:rsidRPr="0002642E">
        <w:t xml:space="preserve"> </w:t>
      </w:r>
      <w:r w:rsidR="008E0945" w:rsidRPr="0002642E">
        <w:t>Amendment</w:t>
      </w:r>
      <w:r w:rsidR="00975895" w:rsidRPr="0002642E">
        <w:t xml:space="preserve"> </w:t>
      </w:r>
      <w:r w:rsidR="008E0945" w:rsidRPr="0002642E">
        <w:t>(Parole)</w:t>
      </w:r>
      <w:r w:rsidR="00975895" w:rsidRPr="0002642E">
        <w:t xml:space="preserve"> </w:t>
      </w:r>
      <w:r w:rsidR="008E0945" w:rsidRPr="0002642E">
        <w:t>Act</w:t>
      </w:r>
      <w:r w:rsidR="00975895" w:rsidRPr="0002642E">
        <w:t xml:space="preserve"> </w:t>
      </w:r>
      <w:r w:rsidR="008E0945" w:rsidRPr="0002642E">
        <w:t>2018</w:t>
      </w:r>
      <w:r w:rsidRPr="00BB1F36">
        <w:t>,</w:t>
      </w:r>
      <w:r w:rsidR="00975895" w:rsidRPr="003015FD">
        <w:t xml:space="preserve"> </w:t>
      </w:r>
      <w:r w:rsidR="008E0945" w:rsidRPr="003015FD">
        <w:t>is</w:t>
      </w:r>
      <w:r w:rsidR="00975895" w:rsidRPr="003015FD">
        <w:t xml:space="preserve"> </w:t>
      </w:r>
      <w:r w:rsidR="008E0945" w:rsidRPr="003015FD">
        <w:t>discussed</w:t>
      </w:r>
      <w:r w:rsidR="00975895" w:rsidRPr="003015FD">
        <w:t xml:space="preserve"> </w:t>
      </w:r>
      <w:r w:rsidR="008E0945" w:rsidRPr="003015FD">
        <w:t>above.</w:t>
      </w:r>
    </w:p>
    <w:p w14:paraId="166561E0" w14:textId="38C8A209" w:rsidR="008E0945" w:rsidRPr="003015FD" w:rsidRDefault="008E0945" w:rsidP="0002642E">
      <w:r w:rsidRPr="003015FD">
        <w:t>The</w:t>
      </w:r>
      <w:r w:rsidR="00975895" w:rsidRPr="003015FD">
        <w:t xml:space="preserve"> </w:t>
      </w:r>
      <w:r w:rsidR="00F20640">
        <w:t xml:space="preserve">second is the </w:t>
      </w:r>
      <w:r w:rsidRPr="0002642E">
        <w:rPr>
          <w:rStyle w:val="Characterbold"/>
          <w:b w:val="0"/>
          <w:lang w:val="en-GB"/>
        </w:rPr>
        <w:t>National</w:t>
      </w:r>
      <w:r w:rsidR="00975895" w:rsidRPr="0002642E">
        <w:rPr>
          <w:rStyle w:val="Characterbold"/>
          <w:b w:val="0"/>
          <w:lang w:val="en-GB"/>
        </w:rPr>
        <w:t xml:space="preserve"> </w:t>
      </w:r>
      <w:r w:rsidRPr="0002642E">
        <w:rPr>
          <w:rStyle w:val="Characterbold"/>
          <w:b w:val="0"/>
          <w:lang w:val="en-GB"/>
        </w:rPr>
        <w:t>Redress</w:t>
      </w:r>
      <w:r w:rsidR="00975895" w:rsidRPr="0002642E">
        <w:rPr>
          <w:rStyle w:val="Characterbold"/>
          <w:b w:val="0"/>
          <w:lang w:val="en-GB"/>
        </w:rPr>
        <w:t xml:space="preserve"> </w:t>
      </w:r>
      <w:r w:rsidRPr="0002642E">
        <w:rPr>
          <w:rStyle w:val="Characterbold"/>
          <w:b w:val="0"/>
          <w:lang w:val="en-GB"/>
        </w:rPr>
        <w:t>Scheme</w:t>
      </w:r>
      <w:r w:rsidR="00975895" w:rsidRPr="0002642E">
        <w:rPr>
          <w:rStyle w:val="Characterbold"/>
          <w:b w:val="0"/>
          <w:lang w:val="en-GB"/>
        </w:rPr>
        <w:t xml:space="preserve"> </w:t>
      </w:r>
      <w:r w:rsidRPr="0002642E">
        <w:rPr>
          <w:rStyle w:val="Characterbold"/>
          <w:b w:val="0"/>
          <w:lang w:val="en-GB"/>
        </w:rPr>
        <w:t>for</w:t>
      </w:r>
      <w:r w:rsidR="00975895" w:rsidRPr="0002642E">
        <w:rPr>
          <w:rStyle w:val="Characterbold"/>
          <w:b w:val="0"/>
          <w:lang w:val="en-GB"/>
        </w:rPr>
        <w:t xml:space="preserve"> </w:t>
      </w:r>
      <w:r w:rsidRPr="0002642E">
        <w:rPr>
          <w:rStyle w:val="Characterbold"/>
          <w:b w:val="0"/>
          <w:lang w:val="en-GB"/>
        </w:rPr>
        <w:t>Institutional</w:t>
      </w:r>
      <w:r w:rsidR="00975895" w:rsidRPr="0002642E">
        <w:rPr>
          <w:rStyle w:val="Characterbold"/>
          <w:b w:val="0"/>
          <w:lang w:val="en-GB"/>
        </w:rPr>
        <w:t xml:space="preserve"> </w:t>
      </w:r>
      <w:r w:rsidRPr="0002642E">
        <w:rPr>
          <w:rStyle w:val="Characterbold"/>
          <w:b w:val="0"/>
          <w:lang w:val="en-GB"/>
        </w:rPr>
        <w:t>Child</w:t>
      </w:r>
      <w:r w:rsidR="00975895" w:rsidRPr="0002642E">
        <w:rPr>
          <w:rStyle w:val="Characterbold"/>
          <w:b w:val="0"/>
          <w:lang w:val="en-GB"/>
        </w:rPr>
        <w:t xml:space="preserve"> </w:t>
      </w:r>
      <w:r w:rsidRPr="0002642E">
        <w:rPr>
          <w:rStyle w:val="Characterbold"/>
          <w:b w:val="0"/>
          <w:lang w:val="en-GB"/>
        </w:rPr>
        <w:t>Sexual</w:t>
      </w:r>
      <w:r w:rsidR="00975895" w:rsidRPr="0002642E">
        <w:rPr>
          <w:rStyle w:val="Characterbold"/>
          <w:b w:val="0"/>
          <w:lang w:val="en-GB"/>
        </w:rPr>
        <w:t xml:space="preserve"> </w:t>
      </w:r>
      <w:r w:rsidRPr="0002642E">
        <w:rPr>
          <w:rStyle w:val="Characterbold"/>
          <w:b w:val="0"/>
          <w:lang w:val="en-GB"/>
        </w:rPr>
        <w:t>Abuse</w:t>
      </w:r>
      <w:r w:rsidR="00975895" w:rsidRPr="0002642E">
        <w:rPr>
          <w:rStyle w:val="Characterbold"/>
          <w:b w:val="0"/>
          <w:lang w:val="en-GB"/>
        </w:rPr>
        <w:t xml:space="preserve"> </w:t>
      </w:r>
      <w:r w:rsidRPr="0002642E">
        <w:rPr>
          <w:rStyle w:val="Characterbold"/>
          <w:b w:val="0"/>
          <w:lang w:val="en-GB"/>
        </w:rPr>
        <w:t>(Commonwealth</w:t>
      </w:r>
      <w:r w:rsidR="00975895" w:rsidRPr="0002642E">
        <w:rPr>
          <w:rStyle w:val="Characterbold"/>
          <w:b w:val="0"/>
          <w:lang w:val="en-GB"/>
        </w:rPr>
        <w:t xml:space="preserve"> </w:t>
      </w:r>
      <w:r w:rsidRPr="0002642E">
        <w:rPr>
          <w:rStyle w:val="Characterbold"/>
          <w:b w:val="0"/>
          <w:lang w:val="en-GB"/>
        </w:rPr>
        <w:t>Powers)</w:t>
      </w:r>
      <w:r w:rsidR="00975895" w:rsidRPr="0002642E">
        <w:rPr>
          <w:rStyle w:val="Characterbold"/>
          <w:b w:val="0"/>
          <w:lang w:val="en-GB"/>
        </w:rPr>
        <w:t xml:space="preserve"> </w:t>
      </w:r>
      <w:r w:rsidRPr="0002642E">
        <w:rPr>
          <w:rStyle w:val="Characterbold"/>
          <w:b w:val="0"/>
          <w:lang w:val="en-GB"/>
        </w:rPr>
        <w:t>Bill</w:t>
      </w:r>
      <w:r w:rsidR="00975895" w:rsidRPr="0002642E">
        <w:rPr>
          <w:rStyle w:val="Characterbold"/>
          <w:b w:val="0"/>
          <w:lang w:val="en-GB"/>
        </w:rPr>
        <w:t xml:space="preserve"> </w:t>
      </w:r>
      <w:r w:rsidRPr="0002642E">
        <w:rPr>
          <w:rStyle w:val="Characterbold"/>
          <w:b w:val="0"/>
          <w:lang w:val="en-GB"/>
        </w:rPr>
        <w:t>2018</w:t>
      </w:r>
      <w:r w:rsidR="00F20640" w:rsidRPr="0002642E">
        <w:rPr>
          <w:rStyle w:val="Characterbold"/>
          <w:b w:val="0"/>
          <w:lang w:val="en-GB"/>
        </w:rPr>
        <w:t>. This Bill</w:t>
      </w:r>
      <w:r w:rsidR="00975895" w:rsidRPr="003015FD">
        <w:t xml:space="preserve"> </w:t>
      </w:r>
      <w:r w:rsidRPr="003015FD">
        <w:t>referred</w:t>
      </w:r>
      <w:r w:rsidR="00975895" w:rsidRPr="003015FD">
        <w:t xml:space="preserve"> </w:t>
      </w:r>
      <w:r w:rsidRPr="003015FD">
        <w:t>powers</w:t>
      </w:r>
      <w:r w:rsidR="00975895" w:rsidRPr="003015FD">
        <w:t xml:space="preserve"> </w:t>
      </w:r>
      <w:r w:rsidRPr="003015FD">
        <w:t>to</w:t>
      </w:r>
      <w:r w:rsidR="00975895" w:rsidRPr="003015FD">
        <w:t xml:space="preserve"> </w:t>
      </w:r>
      <w:r w:rsidRPr="003015FD">
        <w:t>the</w:t>
      </w:r>
      <w:r w:rsidR="00975895" w:rsidRPr="003015FD">
        <w:t xml:space="preserve"> </w:t>
      </w:r>
      <w:r w:rsidRPr="003015FD">
        <w:t>Commonwealth</w:t>
      </w:r>
      <w:r w:rsidR="00975895" w:rsidRPr="003015FD">
        <w:t xml:space="preserve"> </w:t>
      </w:r>
      <w:r w:rsidRPr="003015FD">
        <w:t>Parliament</w:t>
      </w:r>
      <w:r w:rsidR="00975895" w:rsidRPr="003015FD">
        <w:t xml:space="preserve"> </w:t>
      </w:r>
      <w:r w:rsidRPr="003015FD">
        <w:t>for</w:t>
      </w:r>
      <w:r w:rsidR="00975895" w:rsidRPr="003015FD">
        <w:t xml:space="preserve"> </w:t>
      </w:r>
      <w:r w:rsidRPr="003015FD">
        <w:t>Victorian</w:t>
      </w:r>
      <w:r w:rsidR="00975895" w:rsidRPr="003015FD">
        <w:t xml:space="preserve"> </w:t>
      </w:r>
      <w:r w:rsidRPr="003015FD">
        <w:t>government</w:t>
      </w:r>
      <w:r w:rsidR="00975895" w:rsidRPr="003015FD">
        <w:t xml:space="preserve"> </w:t>
      </w:r>
      <w:r w:rsidRPr="003015FD">
        <w:t>and</w:t>
      </w:r>
      <w:r w:rsidR="00975895" w:rsidRPr="003015FD">
        <w:t xml:space="preserve"> </w:t>
      </w:r>
      <w:r w:rsidRPr="003015FD">
        <w:t>non-government</w:t>
      </w:r>
      <w:r w:rsidR="00975895" w:rsidRPr="003015FD">
        <w:t xml:space="preserve"> </w:t>
      </w:r>
      <w:r w:rsidRPr="003015FD">
        <w:t>institutions</w:t>
      </w:r>
      <w:r w:rsidR="00975895" w:rsidRPr="003015FD">
        <w:t xml:space="preserve"> </w:t>
      </w:r>
      <w:r w:rsidRPr="003015FD">
        <w:t>to</w:t>
      </w:r>
      <w:r w:rsidR="00975895" w:rsidRPr="003015FD">
        <w:t xml:space="preserve"> </w:t>
      </w:r>
      <w:r w:rsidRPr="003015FD">
        <w:t>participate</w:t>
      </w:r>
      <w:r w:rsidR="00975895" w:rsidRPr="003015FD">
        <w:t xml:space="preserve"> </w:t>
      </w:r>
      <w:r w:rsidRPr="003015FD">
        <w:t>in</w:t>
      </w:r>
      <w:r w:rsidR="00975895" w:rsidRPr="003015FD">
        <w:t xml:space="preserve"> </w:t>
      </w:r>
      <w:r w:rsidRPr="003015FD">
        <w:t>the</w:t>
      </w:r>
      <w:r w:rsidR="00975895" w:rsidRPr="003015FD">
        <w:t xml:space="preserve"> </w:t>
      </w:r>
      <w:r w:rsidRPr="003015FD">
        <w:t>national</w:t>
      </w:r>
      <w:r w:rsidR="00975895" w:rsidRPr="003015FD">
        <w:t xml:space="preserve"> </w:t>
      </w:r>
      <w:r w:rsidRPr="003015FD">
        <w:t>redress</w:t>
      </w:r>
      <w:r w:rsidR="00975895" w:rsidRPr="003015FD">
        <w:t xml:space="preserve"> </w:t>
      </w:r>
      <w:r w:rsidRPr="003015FD">
        <w:t>scheme</w:t>
      </w:r>
      <w:r w:rsidR="00975895" w:rsidRPr="003015FD">
        <w:t xml:space="preserve"> </w:t>
      </w:r>
      <w:r w:rsidRPr="003015FD">
        <w:t>for</w:t>
      </w:r>
      <w:r w:rsidR="00975895" w:rsidRPr="003015FD">
        <w:t xml:space="preserve"> </w:t>
      </w:r>
      <w:r w:rsidRPr="003015FD">
        <w:t>institutional</w:t>
      </w:r>
      <w:r w:rsidR="00975895" w:rsidRPr="003015FD">
        <w:t xml:space="preserve"> </w:t>
      </w:r>
      <w:r w:rsidRPr="003015FD">
        <w:t>child</w:t>
      </w:r>
      <w:r w:rsidR="00975895" w:rsidRPr="003015FD">
        <w:t xml:space="preserve"> </w:t>
      </w:r>
      <w:r w:rsidRPr="003015FD">
        <w:t>sexual</w:t>
      </w:r>
      <w:r w:rsidR="00975895" w:rsidRPr="003015FD">
        <w:t xml:space="preserve"> </w:t>
      </w:r>
      <w:r w:rsidRPr="003015FD">
        <w:t>abuse</w:t>
      </w:r>
      <w:r w:rsidR="00975895" w:rsidRPr="003015FD">
        <w:t xml:space="preserve"> </w:t>
      </w:r>
      <w:r w:rsidRPr="003015FD">
        <w:t>as</w:t>
      </w:r>
      <w:r w:rsidR="00975895" w:rsidRPr="003015FD">
        <w:t xml:space="preserve"> </w:t>
      </w:r>
      <w:r w:rsidRPr="003015FD">
        <w:t>recommended</w:t>
      </w:r>
      <w:r w:rsidR="00975895" w:rsidRPr="003015FD">
        <w:t xml:space="preserve"> </w:t>
      </w:r>
      <w:r w:rsidRPr="003015FD">
        <w:t>by</w:t>
      </w:r>
      <w:r w:rsidR="00975895" w:rsidRPr="003015FD">
        <w:t xml:space="preserve"> </w:t>
      </w:r>
      <w:r w:rsidRPr="003015FD">
        <w:t>the</w:t>
      </w:r>
      <w:r w:rsidR="00975895" w:rsidRPr="003015FD">
        <w:t xml:space="preserve"> </w:t>
      </w:r>
      <w:r w:rsidRPr="003015FD">
        <w:t>Royal</w:t>
      </w:r>
      <w:r w:rsidR="00975895" w:rsidRPr="003015FD">
        <w:t xml:space="preserve"> </w:t>
      </w:r>
      <w:r w:rsidRPr="003015FD">
        <w:t>Commission</w:t>
      </w:r>
      <w:r w:rsidR="00975895" w:rsidRPr="003015FD">
        <w:t xml:space="preserve"> </w:t>
      </w:r>
      <w:r w:rsidRPr="003015FD">
        <w:t>into</w:t>
      </w:r>
      <w:r w:rsidR="00975895" w:rsidRPr="003015FD">
        <w:t xml:space="preserve"> </w:t>
      </w:r>
      <w:r w:rsidRPr="003015FD">
        <w:t>Institutional</w:t>
      </w:r>
      <w:r w:rsidR="00975895" w:rsidRPr="003015FD">
        <w:t xml:space="preserve"> </w:t>
      </w:r>
      <w:r w:rsidRPr="003015FD">
        <w:t>Responses</w:t>
      </w:r>
      <w:r w:rsidR="00975895" w:rsidRPr="003015FD">
        <w:t xml:space="preserve"> </w:t>
      </w:r>
      <w:r w:rsidRPr="003015FD">
        <w:t>to</w:t>
      </w:r>
      <w:r w:rsidR="00975895" w:rsidRPr="003015FD">
        <w:t xml:space="preserve"> </w:t>
      </w:r>
      <w:r w:rsidRPr="003015FD">
        <w:t>Child</w:t>
      </w:r>
      <w:r w:rsidR="00975895" w:rsidRPr="003015FD">
        <w:t xml:space="preserve"> </w:t>
      </w:r>
      <w:r w:rsidRPr="003015FD">
        <w:t>Sexual</w:t>
      </w:r>
      <w:r w:rsidR="00975895" w:rsidRPr="003015FD">
        <w:t xml:space="preserve"> </w:t>
      </w:r>
      <w:r w:rsidRPr="003015FD">
        <w:t>Abuse.</w:t>
      </w:r>
      <w:r w:rsidR="00975895" w:rsidRPr="003015FD">
        <w:t xml:space="preserve"> </w:t>
      </w:r>
    </w:p>
    <w:p w14:paraId="1A46823F" w14:textId="1B2C7C88" w:rsidR="00F3204A" w:rsidRDefault="008E0945" w:rsidP="0002642E">
      <w:r w:rsidRPr="003015FD">
        <w:t>The</w:t>
      </w:r>
      <w:r w:rsidR="00975895" w:rsidRPr="003015FD">
        <w:t xml:space="preserve"> </w:t>
      </w:r>
      <w:r w:rsidRPr="003015FD">
        <w:t>scheme</w:t>
      </w:r>
      <w:r w:rsidR="00975895" w:rsidRPr="003015FD">
        <w:t xml:space="preserve"> </w:t>
      </w:r>
      <w:r w:rsidRPr="003015FD">
        <w:t>prevents</w:t>
      </w:r>
      <w:r w:rsidR="00975895" w:rsidRPr="003015FD">
        <w:t xml:space="preserve"> </w:t>
      </w:r>
      <w:r w:rsidRPr="003015FD">
        <w:t>redress</w:t>
      </w:r>
      <w:r w:rsidR="00975895" w:rsidRPr="003015FD">
        <w:t xml:space="preserve"> </w:t>
      </w:r>
      <w:r w:rsidRPr="003015FD">
        <w:t>to</w:t>
      </w:r>
      <w:r w:rsidR="00975895" w:rsidRPr="003015FD">
        <w:t xml:space="preserve"> </w:t>
      </w:r>
      <w:r w:rsidRPr="003015FD">
        <w:t>victims</w:t>
      </w:r>
      <w:r w:rsidR="00975895" w:rsidRPr="003015FD">
        <w:t xml:space="preserve"> </w:t>
      </w:r>
      <w:r w:rsidRPr="003015FD">
        <w:t>of</w:t>
      </w:r>
      <w:r w:rsidR="00975895" w:rsidRPr="003015FD">
        <w:t xml:space="preserve"> </w:t>
      </w:r>
      <w:r w:rsidRPr="003015FD">
        <w:t>sexual</w:t>
      </w:r>
      <w:r w:rsidR="00975895" w:rsidRPr="003015FD">
        <w:t xml:space="preserve"> </w:t>
      </w:r>
      <w:r w:rsidRPr="003015FD">
        <w:t>abuse</w:t>
      </w:r>
      <w:r w:rsidR="00975895" w:rsidRPr="003015FD">
        <w:t xml:space="preserve"> </w:t>
      </w:r>
      <w:r w:rsidRPr="003015FD">
        <w:t>who</w:t>
      </w:r>
      <w:r w:rsidR="00975895" w:rsidRPr="003015FD">
        <w:t xml:space="preserve"> </w:t>
      </w:r>
      <w:r w:rsidRPr="003015FD">
        <w:t>are</w:t>
      </w:r>
      <w:r w:rsidR="00975895" w:rsidRPr="003015FD">
        <w:t xml:space="preserve"> </w:t>
      </w:r>
      <w:r w:rsidRPr="003015FD">
        <w:t>being</w:t>
      </w:r>
      <w:r w:rsidR="00975895" w:rsidRPr="003015FD">
        <w:t xml:space="preserve"> </w:t>
      </w:r>
      <w:r w:rsidRPr="003015FD">
        <w:t>lawfully</w:t>
      </w:r>
      <w:r w:rsidR="00975895" w:rsidRPr="003015FD">
        <w:t xml:space="preserve"> </w:t>
      </w:r>
      <w:r w:rsidRPr="003015FD">
        <w:t>detained</w:t>
      </w:r>
      <w:r w:rsidR="00975895" w:rsidRPr="003015FD">
        <w:t xml:space="preserve"> </w:t>
      </w:r>
      <w:r w:rsidRPr="003015FD">
        <w:t>following</w:t>
      </w:r>
      <w:r w:rsidR="00975895" w:rsidRPr="003015FD">
        <w:t xml:space="preserve"> </w:t>
      </w:r>
      <w:r w:rsidRPr="003015FD">
        <w:t>conviction</w:t>
      </w:r>
      <w:r w:rsidR="00975895" w:rsidRPr="003015FD">
        <w:t xml:space="preserve"> </w:t>
      </w:r>
      <w:r w:rsidRPr="003015FD">
        <w:t>for</w:t>
      </w:r>
      <w:r w:rsidR="00975895" w:rsidRPr="003015FD">
        <w:t xml:space="preserve"> </w:t>
      </w:r>
      <w:r w:rsidRPr="003015FD">
        <w:t>an</w:t>
      </w:r>
      <w:r w:rsidR="00975895" w:rsidRPr="003015FD">
        <w:t xml:space="preserve"> </w:t>
      </w:r>
      <w:r w:rsidRPr="003015FD">
        <w:t>offence</w:t>
      </w:r>
      <w:r w:rsidR="00975895" w:rsidRPr="003015FD">
        <w:t xml:space="preserve"> </w:t>
      </w:r>
      <w:r w:rsidRPr="003015FD">
        <w:t>or</w:t>
      </w:r>
      <w:r w:rsidR="00975895" w:rsidRPr="003015FD">
        <w:t xml:space="preserve"> </w:t>
      </w:r>
      <w:r w:rsidRPr="003015FD">
        <w:t>pending</w:t>
      </w:r>
      <w:r w:rsidR="00975895" w:rsidRPr="003015FD">
        <w:t xml:space="preserve"> </w:t>
      </w:r>
      <w:r w:rsidRPr="003015FD">
        <w:t>trial</w:t>
      </w:r>
      <w:r w:rsidR="00975895" w:rsidRPr="003015FD">
        <w:t xml:space="preserve"> </w:t>
      </w:r>
      <w:r w:rsidRPr="003015FD">
        <w:t>or</w:t>
      </w:r>
      <w:r w:rsidR="00975895" w:rsidRPr="003015FD">
        <w:t xml:space="preserve"> </w:t>
      </w:r>
      <w:r w:rsidRPr="003015FD">
        <w:t>sentencing</w:t>
      </w:r>
      <w:r w:rsidR="00975895" w:rsidRPr="003015FD">
        <w:t xml:space="preserve"> </w:t>
      </w:r>
      <w:r w:rsidRPr="003015FD">
        <w:t>for</w:t>
      </w:r>
      <w:r w:rsidR="00975895" w:rsidRPr="003015FD">
        <w:t xml:space="preserve"> </w:t>
      </w:r>
      <w:r w:rsidRPr="003015FD">
        <w:t>an</w:t>
      </w:r>
      <w:r w:rsidR="00975895" w:rsidRPr="003015FD">
        <w:t xml:space="preserve"> </w:t>
      </w:r>
      <w:r w:rsidRPr="003015FD">
        <w:t>offence</w:t>
      </w:r>
      <w:r w:rsidR="00975895" w:rsidRPr="003015FD">
        <w:t xml:space="preserve"> </w:t>
      </w:r>
      <w:r w:rsidRPr="003015FD">
        <w:t>(except</w:t>
      </w:r>
      <w:r w:rsidR="00975895" w:rsidRPr="003015FD">
        <w:t xml:space="preserve"> </w:t>
      </w:r>
      <w:r w:rsidRPr="003015FD">
        <w:t>in</w:t>
      </w:r>
      <w:r w:rsidR="00975895" w:rsidRPr="003015FD">
        <w:t xml:space="preserve"> </w:t>
      </w:r>
      <w:r w:rsidRPr="003015FD">
        <w:t>exceptional</w:t>
      </w:r>
      <w:r w:rsidR="00975895" w:rsidRPr="003015FD">
        <w:t xml:space="preserve"> </w:t>
      </w:r>
      <w:r w:rsidRPr="003015FD">
        <w:t>circumstances)</w:t>
      </w:r>
      <w:r w:rsidR="00F20640">
        <w:t>,</w:t>
      </w:r>
      <w:r w:rsidR="00975895" w:rsidRPr="003015FD">
        <w:t xml:space="preserve"> </w:t>
      </w:r>
      <w:r w:rsidRPr="003015FD">
        <w:t>or</w:t>
      </w:r>
      <w:r w:rsidR="00975895" w:rsidRPr="003015FD">
        <w:t xml:space="preserve"> </w:t>
      </w:r>
      <w:r w:rsidRPr="003015FD">
        <w:t>who</w:t>
      </w:r>
      <w:r w:rsidR="00975895" w:rsidRPr="003015FD">
        <w:t xml:space="preserve"> </w:t>
      </w:r>
      <w:r w:rsidRPr="003015FD">
        <w:t>are</w:t>
      </w:r>
      <w:r w:rsidR="00975895" w:rsidRPr="003015FD">
        <w:t xml:space="preserve"> </w:t>
      </w:r>
      <w:r w:rsidRPr="003015FD">
        <w:t>subject</w:t>
      </w:r>
      <w:r w:rsidR="00975895" w:rsidRPr="003015FD">
        <w:t xml:space="preserve"> </w:t>
      </w:r>
      <w:r w:rsidRPr="003015FD">
        <w:t>to</w:t>
      </w:r>
      <w:r w:rsidR="00975895" w:rsidRPr="003015FD">
        <w:t xml:space="preserve"> </w:t>
      </w:r>
      <w:r w:rsidRPr="003015FD">
        <w:t>a</w:t>
      </w:r>
      <w:r w:rsidR="00975895" w:rsidRPr="003015FD">
        <w:t xml:space="preserve"> </w:t>
      </w:r>
      <w:r w:rsidRPr="003015FD">
        <w:t>security</w:t>
      </w:r>
      <w:r w:rsidR="00975895" w:rsidRPr="003015FD">
        <w:t xml:space="preserve"> </w:t>
      </w:r>
      <w:r w:rsidRPr="003015FD">
        <w:t>notice</w:t>
      </w:r>
      <w:r w:rsidR="00975895" w:rsidRPr="003015FD">
        <w:t xml:space="preserve"> </w:t>
      </w:r>
      <w:r w:rsidRPr="003015FD">
        <w:t>due</w:t>
      </w:r>
      <w:r w:rsidR="00975895" w:rsidRPr="003015FD">
        <w:t xml:space="preserve"> </w:t>
      </w:r>
      <w:r w:rsidRPr="003015FD">
        <w:t>to</w:t>
      </w:r>
      <w:r w:rsidR="00975895" w:rsidRPr="003015FD">
        <w:t xml:space="preserve"> </w:t>
      </w:r>
      <w:r w:rsidRPr="003015FD">
        <w:t>the</w:t>
      </w:r>
      <w:r w:rsidR="00975895" w:rsidRPr="003015FD">
        <w:t xml:space="preserve"> </w:t>
      </w:r>
      <w:r w:rsidRPr="003015FD">
        <w:t>cancellation</w:t>
      </w:r>
      <w:r w:rsidR="00975895" w:rsidRPr="003015FD">
        <w:t xml:space="preserve"> </w:t>
      </w:r>
      <w:r w:rsidRPr="003015FD">
        <w:t>of</w:t>
      </w:r>
      <w:r w:rsidR="00975895" w:rsidRPr="003015FD">
        <w:t xml:space="preserve"> </w:t>
      </w:r>
      <w:r w:rsidRPr="003015FD">
        <w:t>their</w:t>
      </w:r>
      <w:r w:rsidR="00975895" w:rsidRPr="003015FD">
        <w:t xml:space="preserve"> </w:t>
      </w:r>
      <w:r w:rsidRPr="003015FD">
        <w:t>visa</w:t>
      </w:r>
      <w:r w:rsidR="00975895" w:rsidRPr="003015FD">
        <w:t xml:space="preserve"> </w:t>
      </w:r>
      <w:r w:rsidRPr="003015FD">
        <w:t>or</w:t>
      </w:r>
      <w:r w:rsidR="00975895" w:rsidRPr="003015FD">
        <w:t xml:space="preserve"> </w:t>
      </w:r>
      <w:r w:rsidRPr="003015FD">
        <w:t>passport</w:t>
      </w:r>
      <w:r w:rsidR="00975895" w:rsidRPr="003015FD">
        <w:t xml:space="preserve"> </w:t>
      </w:r>
      <w:r w:rsidRPr="003015FD">
        <w:t>for</w:t>
      </w:r>
      <w:r w:rsidR="00975895" w:rsidRPr="003015FD">
        <w:t xml:space="preserve"> </w:t>
      </w:r>
      <w:r w:rsidRPr="003015FD">
        <w:t>security</w:t>
      </w:r>
      <w:r w:rsidR="00975895" w:rsidRPr="003015FD">
        <w:t xml:space="preserve"> </w:t>
      </w:r>
      <w:r w:rsidRPr="003015FD">
        <w:t>reasons.</w:t>
      </w:r>
      <w:r w:rsidR="00975895" w:rsidRPr="003015FD">
        <w:t xml:space="preserve"> </w:t>
      </w:r>
      <w:r w:rsidR="00F3204A">
        <w:t xml:space="preserve">These </w:t>
      </w:r>
      <w:r w:rsidR="00DA3091">
        <w:t>survivors</w:t>
      </w:r>
      <w:r w:rsidR="00F3204A">
        <w:t xml:space="preserve"> </w:t>
      </w:r>
      <w:r w:rsidR="00F3204A" w:rsidRPr="00F3204A">
        <w:t xml:space="preserve">can still apply for </w:t>
      </w:r>
      <w:r w:rsidR="00DA3091" w:rsidRPr="00F3204A">
        <w:t>redress</w:t>
      </w:r>
      <w:r w:rsidR="00DA3091">
        <w:t>. H</w:t>
      </w:r>
      <w:r w:rsidR="00F3204A" w:rsidRPr="00F3204A">
        <w:t>owever</w:t>
      </w:r>
      <w:r w:rsidR="00DA3091">
        <w:t>,</w:t>
      </w:r>
      <w:r w:rsidR="00F3204A" w:rsidRPr="00F3204A">
        <w:t xml:space="preserve"> </w:t>
      </w:r>
      <w:r w:rsidR="00F3204A">
        <w:t xml:space="preserve">they will </w:t>
      </w:r>
      <w:r w:rsidR="00F3204A" w:rsidRPr="00F3204A">
        <w:t xml:space="preserve">need to go through a special assessment process before </w:t>
      </w:r>
      <w:r w:rsidR="00F3204A">
        <w:t>they</w:t>
      </w:r>
      <w:r w:rsidR="00F3204A" w:rsidRPr="00F3204A">
        <w:t xml:space="preserve"> can access redress</w:t>
      </w:r>
      <w:r w:rsidR="00F3204A">
        <w:t>.</w:t>
      </w:r>
    </w:p>
    <w:p w14:paraId="4A6891BC" w14:textId="14B22CA6" w:rsidR="008E0945" w:rsidRPr="003015FD" w:rsidRDefault="008E0945" w:rsidP="0002642E">
      <w:r w:rsidRPr="003015FD">
        <w:t>SARC</w:t>
      </w:r>
      <w:r w:rsidR="00975895" w:rsidRPr="003015FD">
        <w:t xml:space="preserve"> </w:t>
      </w:r>
      <w:r w:rsidRPr="003015FD">
        <w:t>considered</w:t>
      </w:r>
      <w:r w:rsidR="00975895" w:rsidRPr="003015FD">
        <w:t xml:space="preserve"> </w:t>
      </w:r>
      <w:r w:rsidRPr="003015FD">
        <w:t>that</w:t>
      </w:r>
      <w:r w:rsidR="00975895" w:rsidRPr="003015FD">
        <w:t xml:space="preserve"> </w:t>
      </w:r>
      <w:r w:rsidRPr="003015FD">
        <w:t>the</w:t>
      </w:r>
      <w:r w:rsidR="00975895" w:rsidRPr="003015FD">
        <w:t xml:space="preserve"> </w:t>
      </w:r>
      <w:r w:rsidRPr="003015FD">
        <w:t>effect</w:t>
      </w:r>
      <w:r w:rsidR="00975895" w:rsidRPr="003015FD">
        <w:t xml:space="preserve"> </w:t>
      </w:r>
      <w:r w:rsidRPr="003015FD">
        <w:t>of</w:t>
      </w:r>
      <w:r w:rsidR="00975895" w:rsidRPr="003015FD">
        <w:t xml:space="preserve"> </w:t>
      </w:r>
      <w:r w:rsidRPr="003015FD">
        <w:t>those</w:t>
      </w:r>
      <w:r w:rsidR="00975895" w:rsidRPr="003015FD">
        <w:t xml:space="preserve"> </w:t>
      </w:r>
      <w:r w:rsidRPr="003015FD">
        <w:t>limitations</w:t>
      </w:r>
      <w:r w:rsidR="00975895" w:rsidRPr="003015FD">
        <w:t xml:space="preserve"> </w:t>
      </w:r>
      <w:r w:rsidRPr="003015FD">
        <w:t>may</w:t>
      </w:r>
      <w:r w:rsidR="00975895" w:rsidRPr="003015FD">
        <w:t xml:space="preserve"> </w:t>
      </w:r>
      <w:r w:rsidRPr="003015FD">
        <w:t>be</w:t>
      </w:r>
      <w:r w:rsidR="00975895" w:rsidRPr="003015FD">
        <w:t xml:space="preserve"> </w:t>
      </w:r>
      <w:r w:rsidRPr="003015FD">
        <w:t>to</w:t>
      </w:r>
      <w:r w:rsidR="00975895" w:rsidRPr="003015FD">
        <w:t xml:space="preserve"> </w:t>
      </w:r>
      <w:r w:rsidRPr="003015FD">
        <w:t>largely</w:t>
      </w:r>
      <w:r w:rsidR="00975895" w:rsidRPr="003015FD">
        <w:t xml:space="preserve"> </w:t>
      </w:r>
      <w:r w:rsidRPr="003015FD">
        <w:t>deny</w:t>
      </w:r>
      <w:r w:rsidR="00975895" w:rsidRPr="003015FD">
        <w:t xml:space="preserve"> </w:t>
      </w:r>
      <w:r w:rsidRPr="003015FD">
        <w:t>redress</w:t>
      </w:r>
      <w:r w:rsidR="00975895" w:rsidRPr="003015FD">
        <w:t xml:space="preserve"> </w:t>
      </w:r>
      <w:r w:rsidRPr="003015FD">
        <w:t>under</w:t>
      </w:r>
      <w:r w:rsidR="00975895" w:rsidRPr="003015FD">
        <w:t xml:space="preserve"> </w:t>
      </w:r>
      <w:r w:rsidRPr="003015FD">
        <w:t>the</w:t>
      </w:r>
      <w:r w:rsidR="00975895" w:rsidRPr="003015FD">
        <w:t xml:space="preserve"> </w:t>
      </w:r>
      <w:r w:rsidRPr="003015FD">
        <w:t>national</w:t>
      </w:r>
      <w:r w:rsidR="00975895" w:rsidRPr="003015FD">
        <w:t xml:space="preserve"> </w:t>
      </w:r>
      <w:r w:rsidRPr="003015FD">
        <w:t>scheme</w:t>
      </w:r>
      <w:r w:rsidR="00975895" w:rsidRPr="003015FD">
        <w:t xml:space="preserve"> </w:t>
      </w:r>
      <w:r w:rsidRPr="003015FD">
        <w:t>to</w:t>
      </w:r>
      <w:r w:rsidR="00975895" w:rsidRPr="003015FD">
        <w:t xml:space="preserve"> </w:t>
      </w:r>
      <w:r w:rsidRPr="003015FD">
        <w:t>Victorian</w:t>
      </w:r>
      <w:r w:rsidR="00975895" w:rsidRPr="003015FD">
        <w:t xml:space="preserve"> </w:t>
      </w:r>
      <w:r w:rsidRPr="003015FD">
        <w:t>victims</w:t>
      </w:r>
      <w:r w:rsidR="00975895" w:rsidRPr="003015FD">
        <w:t xml:space="preserve"> </w:t>
      </w:r>
      <w:r w:rsidRPr="003015FD">
        <w:t>who</w:t>
      </w:r>
      <w:r w:rsidR="00975895" w:rsidRPr="003015FD">
        <w:t xml:space="preserve"> </w:t>
      </w:r>
      <w:r w:rsidRPr="003015FD">
        <w:t>are</w:t>
      </w:r>
      <w:r w:rsidR="00975895" w:rsidRPr="003015FD">
        <w:t xml:space="preserve"> </w:t>
      </w:r>
      <w:r w:rsidRPr="003015FD">
        <w:t>not</w:t>
      </w:r>
      <w:r w:rsidR="00975895" w:rsidRPr="003015FD">
        <w:t xml:space="preserve"> </w:t>
      </w:r>
      <w:r w:rsidRPr="003015FD">
        <w:t>(or</w:t>
      </w:r>
      <w:r w:rsidR="00975895" w:rsidRPr="003015FD">
        <w:t xml:space="preserve"> </w:t>
      </w:r>
      <w:r w:rsidRPr="003015FD">
        <w:t>no</w:t>
      </w:r>
      <w:r w:rsidR="00975895" w:rsidRPr="003015FD">
        <w:t xml:space="preserve"> </w:t>
      </w:r>
      <w:r w:rsidRPr="003015FD">
        <w:t>longer)</w:t>
      </w:r>
      <w:r w:rsidR="00975895" w:rsidRPr="003015FD">
        <w:t xml:space="preserve"> </w:t>
      </w:r>
      <w:r w:rsidRPr="003015FD">
        <w:t>Australian</w:t>
      </w:r>
      <w:r w:rsidR="00975895" w:rsidRPr="003015FD">
        <w:t xml:space="preserve"> </w:t>
      </w:r>
      <w:r w:rsidRPr="003015FD">
        <w:t>citizens</w:t>
      </w:r>
      <w:r w:rsidR="00975895" w:rsidRPr="003015FD">
        <w:t xml:space="preserve"> </w:t>
      </w:r>
      <w:r w:rsidRPr="003015FD">
        <w:t>or</w:t>
      </w:r>
      <w:r w:rsidR="00975895" w:rsidRPr="003015FD">
        <w:t xml:space="preserve"> </w:t>
      </w:r>
      <w:r w:rsidRPr="003015FD">
        <w:t>permanent</w:t>
      </w:r>
      <w:r w:rsidR="00975895" w:rsidRPr="003015FD">
        <w:t xml:space="preserve"> </w:t>
      </w:r>
      <w:r w:rsidRPr="003015FD">
        <w:t>residents.</w:t>
      </w:r>
      <w:r w:rsidR="00975895" w:rsidRPr="003015FD">
        <w:t xml:space="preserve"> </w:t>
      </w:r>
      <w:r w:rsidRPr="003015FD">
        <w:t>SARC</w:t>
      </w:r>
      <w:r w:rsidR="00975895" w:rsidRPr="003015FD">
        <w:t xml:space="preserve"> </w:t>
      </w:r>
      <w:r w:rsidRPr="003015FD">
        <w:t>referred</w:t>
      </w:r>
      <w:r w:rsidR="00975895" w:rsidRPr="003015FD">
        <w:t xml:space="preserve"> </w:t>
      </w:r>
      <w:r w:rsidRPr="003015FD">
        <w:t>to</w:t>
      </w:r>
      <w:r w:rsidR="00975895" w:rsidRPr="003015FD">
        <w:t xml:space="preserve"> </w:t>
      </w:r>
      <w:r w:rsidRPr="003015FD">
        <w:t>Parliament</w:t>
      </w:r>
      <w:r w:rsidR="00975895" w:rsidRPr="003015FD">
        <w:t xml:space="preserve"> </w:t>
      </w:r>
      <w:r w:rsidRPr="003015FD">
        <w:t>the</w:t>
      </w:r>
      <w:r w:rsidR="00975895" w:rsidRPr="003015FD">
        <w:t xml:space="preserve"> </w:t>
      </w:r>
      <w:r w:rsidRPr="003015FD">
        <w:t>question</w:t>
      </w:r>
      <w:r w:rsidR="00975895" w:rsidRPr="003015FD">
        <w:t xml:space="preserve"> </w:t>
      </w:r>
      <w:r w:rsidRPr="003015FD">
        <w:t>of</w:t>
      </w:r>
      <w:r w:rsidR="00975895" w:rsidRPr="003015FD">
        <w:t xml:space="preserve"> </w:t>
      </w:r>
      <w:r w:rsidRPr="003015FD">
        <w:t>whether</w:t>
      </w:r>
      <w:r w:rsidR="00975895" w:rsidRPr="003015FD">
        <w:t xml:space="preserve"> </w:t>
      </w:r>
      <w:r w:rsidRPr="003015FD">
        <w:t>the</w:t>
      </w:r>
      <w:r w:rsidR="00975895" w:rsidRPr="003015FD">
        <w:t xml:space="preserve"> </w:t>
      </w:r>
      <w:r w:rsidRPr="003015FD">
        <w:t>limitations</w:t>
      </w:r>
      <w:r w:rsidR="00975895" w:rsidRPr="003015FD">
        <w:t xml:space="preserve"> </w:t>
      </w:r>
      <w:r w:rsidRPr="003015FD">
        <w:t>therefore</w:t>
      </w:r>
      <w:r w:rsidR="00975895" w:rsidRPr="003015FD">
        <w:t xml:space="preserve"> </w:t>
      </w:r>
      <w:r w:rsidRPr="003015FD">
        <w:t>indirectly</w:t>
      </w:r>
      <w:r w:rsidR="00975895" w:rsidRPr="003015FD">
        <w:t xml:space="preserve"> </w:t>
      </w:r>
      <w:r w:rsidRPr="003015FD">
        <w:t>discriminated</w:t>
      </w:r>
      <w:r w:rsidR="00975895" w:rsidRPr="003015FD">
        <w:t xml:space="preserve"> </w:t>
      </w:r>
      <w:r w:rsidRPr="003015FD">
        <w:t>on</w:t>
      </w:r>
      <w:r w:rsidR="00975895" w:rsidRPr="003015FD">
        <w:t xml:space="preserve"> </w:t>
      </w:r>
      <w:r w:rsidRPr="003015FD">
        <w:t>the</w:t>
      </w:r>
      <w:r w:rsidR="00975895" w:rsidRPr="003015FD">
        <w:t xml:space="preserve"> </w:t>
      </w:r>
      <w:r w:rsidRPr="003015FD">
        <w:t>grounds</w:t>
      </w:r>
      <w:r w:rsidR="00975895" w:rsidRPr="003015FD">
        <w:t xml:space="preserve"> </w:t>
      </w:r>
      <w:r w:rsidRPr="003015FD">
        <w:t>of</w:t>
      </w:r>
      <w:r w:rsidR="00975895" w:rsidRPr="003015FD">
        <w:t xml:space="preserve"> </w:t>
      </w:r>
      <w:r w:rsidRPr="003015FD">
        <w:t>race</w:t>
      </w:r>
      <w:r w:rsidR="00975895" w:rsidRPr="003015FD">
        <w:t xml:space="preserve"> </w:t>
      </w:r>
      <w:r w:rsidRPr="003015FD">
        <w:t>and,</w:t>
      </w:r>
      <w:r w:rsidR="00975895" w:rsidRPr="003015FD">
        <w:t xml:space="preserve"> </w:t>
      </w:r>
      <w:r w:rsidRPr="003015FD">
        <w:t>if</w:t>
      </w:r>
      <w:r w:rsidR="00975895" w:rsidRPr="003015FD">
        <w:t xml:space="preserve"> </w:t>
      </w:r>
      <w:r w:rsidRPr="003015FD">
        <w:t>so,</w:t>
      </w:r>
      <w:r w:rsidR="00975895" w:rsidRPr="003015FD">
        <w:t xml:space="preserve"> </w:t>
      </w:r>
      <w:r w:rsidRPr="003015FD">
        <w:t>whether</w:t>
      </w:r>
      <w:r w:rsidR="00975895" w:rsidRPr="003015FD">
        <w:t xml:space="preserve"> </w:t>
      </w:r>
      <w:r w:rsidRPr="003015FD">
        <w:t>they</w:t>
      </w:r>
      <w:r w:rsidR="00975895" w:rsidRPr="003015FD">
        <w:t xml:space="preserve"> </w:t>
      </w:r>
      <w:r w:rsidRPr="003015FD">
        <w:t>were</w:t>
      </w:r>
      <w:r w:rsidR="00975895" w:rsidRPr="003015FD">
        <w:t xml:space="preserve"> </w:t>
      </w:r>
      <w:r w:rsidRPr="003015FD">
        <w:t>a</w:t>
      </w:r>
      <w:r w:rsidR="00975895" w:rsidRPr="003015FD">
        <w:t xml:space="preserve"> </w:t>
      </w:r>
      <w:r w:rsidRPr="003015FD">
        <w:t>reasonable</w:t>
      </w:r>
      <w:r w:rsidR="00975895" w:rsidRPr="003015FD">
        <w:t xml:space="preserve"> </w:t>
      </w:r>
      <w:r w:rsidRPr="003015FD">
        <w:t>limitation</w:t>
      </w:r>
      <w:r w:rsidR="00975895" w:rsidRPr="003015FD">
        <w:t xml:space="preserve"> </w:t>
      </w:r>
      <w:r w:rsidRPr="003015FD">
        <w:t>on</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equality.</w:t>
      </w:r>
      <w:r w:rsidRPr="004862C5">
        <w:rPr>
          <w:rStyle w:val="FootnoteReference"/>
        </w:rPr>
        <w:footnoteReference w:id="51"/>
      </w:r>
      <w:r w:rsidR="00975895" w:rsidRPr="003015FD">
        <w:t xml:space="preserve"> </w:t>
      </w:r>
    </w:p>
    <w:p w14:paraId="28ABBE74" w14:textId="7EE02A22" w:rsidR="008E0945" w:rsidRPr="003015FD" w:rsidRDefault="008E0945" w:rsidP="0002642E">
      <w:r w:rsidRPr="003015FD">
        <w:t>SARC</w:t>
      </w:r>
      <w:r w:rsidR="00975895" w:rsidRPr="003015FD">
        <w:t xml:space="preserve"> </w:t>
      </w:r>
      <w:r w:rsidRPr="003015FD">
        <w:t>also</w:t>
      </w:r>
      <w:r w:rsidR="00975895" w:rsidRPr="003015FD">
        <w:t xml:space="preserve"> </w:t>
      </w:r>
      <w:r w:rsidRPr="003015FD">
        <w:t>raised</w:t>
      </w:r>
      <w:r w:rsidR="00975895" w:rsidRPr="003015FD">
        <w:t xml:space="preserve"> </w:t>
      </w:r>
      <w:r w:rsidRPr="003015FD">
        <w:t>various</w:t>
      </w:r>
      <w:r w:rsidR="00975895" w:rsidRPr="003015FD">
        <w:t xml:space="preserve"> </w:t>
      </w:r>
      <w:r w:rsidRPr="003015FD">
        <w:t>issues</w:t>
      </w:r>
      <w:r w:rsidR="00975895" w:rsidRPr="003015FD">
        <w:t xml:space="preserve"> </w:t>
      </w:r>
      <w:r w:rsidRPr="003015FD">
        <w:t>directly</w:t>
      </w:r>
      <w:r w:rsidR="00975895" w:rsidRPr="003015FD">
        <w:t xml:space="preserve"> </w:t>
      </w:r>
      <w:r w:rsidRPr="003015FD">
        <w:t>with</w:t>
      </w:r>
      <w:r w:rsidR="00975895" w:rsidRPr="003015FD">
        <w:t xml:space="preserve"> </w:t>
      </w:r>
      <w:r w:rsidRPr="003015FD">
        <w:t>the</w:t>
      </w:r>
      <w:r w:rsidR="00975895" w:rsidRPr="003015FD">
        <w:t xml:space="preserve"> </w:t>
      </w:r>
      <w:r w:rsidRPr="003015FD">
        <w:t>Attorney-General,</w:t>
      </w:r>
      <w:r w:rsidR="00975895" w:rsidRPr="003015FD">
        <w:t xml:space="preserve"> </w:t>
      </w:r>
      <w:r w:rsidRPr="003015FD">
        <w:t>including</w:t>
      </w:r>
      <w:r w:rsidR="00975895" w:rsidRPr="003015FD">
        <w:t xml:space="preserve"> </w:t>
      </w:r>
      <w:r w:rsidRPr="003015FD">
        <w:t>the</w:t>
      </w:r>
      <w:r w:rsidR="00975895" w:rsidRPr="003015FD">
        <w:t xml:space="preserve"> </w:t>
      </w:r>
      <w:r w:rsidRPr="003015FD">
        <w:t>question</w:t>
      </w:r>
      <w:r w:rsidR="00975895" w:rsidRPr="003015FD">
        <w:t xml:space="preserve"> </w:t>
      </w:r>
      <w:r w:rsidRPr="003015FD">
        <w:t>of</w:t>
      </w:r>
      <w:r w:rsidR="00975895" w:rsidRPr="003015FD">
        <w:t xml:space="preserve"> </w:t>
      </w:r>
      <w:r w:rsidRPr="003015FD">
        <w:t>what</w:t>
      </w:r>
      <w:r w:rsidR="00975895" w:rsidRPr="003015FD">
        <w:t xml:space="preserve"> </w:t>
      </w:r>
      <w:r w:rsidRPr="003015FD">
        <w:t>mechanisms</w:t>
      </w:r>
      <w:r w:rsidR="00975895" w:rsidRPr="003015FD">
        <w:t xml:space="preserve"> </w:t>
      </w:r>
      <w:r w:rsidRPr="003015FD">
        <w:t>exist</w:t>
      </w:r>
      <w:r w:rsidR="00975895" w:rsidRPr="003015FD">
        <w:t xml:space="preserve"> </w:t>
      </w:r>
      <w:r w:rsidRPr="003015FD">
        <w:t>for</w:t>
      </w:r>
      <w:r w:rsidR="00975895" w:rsidRPr="003015FD">
        <w:t xml:space="preserve"> </w:t>
      </w:r>
      <w:r w:rsidRPr="003015FD">
        <w:t>the</w:t>
      </w:r>
      <w:r w:rsidR="00975895" w:rsidRPr="003015FD">
        <w:t xml:space="preserve"> </w:t>
      </w:r>
      <w:r w:rsidRPr="003015FD">
        <w:t>consideration</w:t>
      </w:r>
      <w:r w:rsidR="00975895" w:rsidRPr="003015FD">
        <w:t xml:space="preserve"> </w:t>
      </w:r>
      <w:r w:rsidRPr="003015FD">
        <w:t>of</w:t>
      </w:r>
      <w:r w:rsidR="00975895" w:rsidRPr="003015FD">
        <w:t xml:space="preserve"> </w:t>
      </w:r>
      <w:r w:rsidRPr="003015FD">
        <w:t>compatibility</w:t>
      </w:r>
      <w:r w:rsidR="00975895" w:rsidRPr="003015FD">
        <w:t xml:space="preserve"> </w:t>
      </w:r>
      <w:r w:rsidRPr="003015FD">
        <w:t>with</w:t>
      </w:r>
      <w:r w:rsidR="00975895" w:rsidRPr="003015FD">
        <w:t xml:space="preserve"> </w:t>
      </w:r>
      <w:r w:rsidRPr="003015FD">
        <w:t>Charter</w:t>
      </w:r>
      <w:r w:rsidR="00975895" w:rsidRPr="003015FD">
        <w:t xml:space="preserve"> </w:t>
      </w:r>
      <w:r w:rsidRPr="003015FD">
        <w:t>rights</w:t>
      </w:r>
      <w:r w:rsidR="00975895" w:rsidRPr="003015FD">
        <w:t xml:space="preserve"> </w:t>
      </w:r>
      <w:r w:rsidRPr="003015FD">
        <w:t>in</w:t>
      </w:r>
      <w:r w:rsidR="00975895" w:rsidRPr="003015FD">
        <w:t xml:space="preserve"> </w:t>
      </w:r>
      <w:r w:rsidRPr="003015FD">
        <w:t>the</w:t>
      </w:r>
      <w:r w:rsidR="00975895" w:rsidRPr="003015FD">
        <w:t xml:space="preserve"> </w:t>
      </w:r>
      <w:r w:rsidRPr="003015FD">
        <w:t>development</w:t>
      </w:r>
      <w:r w:rsidR="00975895" w:rsidRPr="003015FD">
        <w:t xml:space="preserve"> </w:t>
      </w:r>
      <w:r w:rsidRPr="003015FD">
        <w:t>of</w:t>
      </w:r>
      <w:r w:rsidR="00975895" w:rsidRPr="003015FD">
        <w:t xml:space="preserve"> </w:t>
      </w:r>
      <w:r w:rsidRPr="003015FD">
        <w:t>the</w:t>
      </w:r>
      <w:r w:rsidR="00975895" w:rsidRPr="003015FD">
        <w:t xml:space="preserve"> </w:t>
      </w:r>
      <w:r w:rsidRPr="003015FD">
        <w:t>national</w:t>
      </w:r>
      <w:r w:rsidR="00975895" w:rsidRPr="003015FD">
        <w:t xml:space="preserve"> </w:t>
      </w:r>
      <w:r w:rsidRPr="003015FD">
        <w:t>scheme.</w:t>
      </w:r>
      <w:r w:rsidR="00975895" w:rsidRPr="003015FD">
        <w:t xml:space="preserve"> </w:t>
      </w:r>
      <w:r w:rsidRPr="003015FD">
        <w:t>The</w:t>
      </w:r>
      <w:r w:rsidR="00975895" w:rsidRPr="003015FD">
        <w:t xml:space="preserve"> </w:t>
      </w:r>
      <w:r w:rsidRPr="003015FD">
        <w:t>application</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to</w:t>
      </w:r>
      <w:r w:rsidR="00975895" w:rsidRPr="003015FD">
        <w:t xml:space="preserve"> </w:t>
      </w:r>
      <w:r w:rsidRPr="003015FD">
        <w:t>national</w:t>
      </w:r>
      <w:r w:rsidR="00975895" w:rsidRPr="003015FD">
        <w:t xml:space="preserve"> </w:t>
      </w:r>
      <w:r w:rsidRPr="003015FD">
        <w:t>schemes</w:t>
      </w:r>
      <w:r w:rsidR="00975895" w:rsidRPr="003015FD">
        <w:t xml:space="preserve"> </w:t>
      </w:r>
      <w:r w:rsidRPr="003015FD">
        <w:t>remains</w:t>
      </w:r>
      <w:r w:rsidR="00975895" w:rsidRPr="003015FD">
        <w:t xml:space="preserve"> </w:t>
      </w:r>
      <w:r w:rsidRPr="003015FD">
        <w:t>unclear,</w:t>
      </w:r>
      <w:r w:rsidR="00975895" w:rsidRPr="003015FD">
        <w:t xml:space="preserve"> </w:t>
      </w:r>
      <w:r w:rsidRPr="003015FD">
        <w:t>as</w:t>
      </w:r>
      <w:r w:rsidR="00975895" w:rsidRPr="003015FD">
        <w:t xml:space="preserve"> </w:t>
      </w:r>
      <w:r w:rsidRPr="003015FD">
        <w:t>generally</w:t>
      </w:r>
      <w:r w:rsidR="00975895" w:rsidRPr="003015FD">
        <w:t xml:space="preserve"> </w:t>
      </w:r>
      <w:r w:rsidRPr="003015FD">
        <w:t>states</w:t>
      </w:r>
      <w:r w:rsidR="00975895" w:rsidRPr="003015FD">
        <w:t xml:space="preserve"> </w:t>
      </w:r>
      <w:r w:rsidRPr="003015FD">
        <w:t>will</w:t>
      </w:r>
      <w:r w:rsidR="00975895" w:rsidRPr="003015FD">
        <w:t xml:space="preserve"> </w:t>
      </w:r>
      <w:r w:rsidRPr="003015FD">
        <w:t>have</w:t>
      </w:r>
      <w:r w:rsidR="00975895" w:rsidRPr="003015FD">
        <w:t xml:space="preserve"> </w:t>
      </w:r>
      <w:r w:rsidRPr="003015FD">
        <w:t>referred</w:t>
      </w:r>
      <w:r w:rsidR="00975895" w:rsidRPr="003015FD">
        <w:t xml:space="preserve"> </w:t>
      </w:r>
      <w:r w:rsidRPr="003015FD">
        <w:t>power</w:t>
      </w:r>
      <w:r w:rsidR="00975895" w:rsidRPr="003015FD">
        <w:t xml:space="preserve"> </w:t>
      </w:r>
      <w:r w:rsidRPr="003015FD">
        <w:t>to</w:t>
      </w:r>
      <w:r w:rsidR="00975895" w:rsidRPr="003015FD">
        <w:t xml:space="preserve"> </w:t>
      </w:r>
      <w:r w:rsidRPr="003015FD">
        <w:t>enable</w:t>
      </w:r>
      <w:r w:rsidR="00975895" w:rsidRPr="003015FD">
        <w:t xml:space="preserve"> </w:t>
      </w:r>
      <w:r w:rsidRPr="003015FD">
        <w:t>the</w:t>
      </w:r>
      <w:r w:rsidR="00975895" w:rsidRPr="003015FD">
        <w:t xml:space="preserve"> </w:t>
      </w:r>
      <w:r w:rsidRPr="003015FD">
        <w:t>Commonwealth</w:t>
      </w:r>
      <w:r w:rsidR="00975895" w:rsidRPr="003015FD">
        <w:t xml:space="preserve"> </w:t>
      </w:r>
      <w:r w:rsidRPr="003015FD">
        <w:t>to</w:t>
      </w:r>
      <w:r w:rsidR="00975895" w:rsidRPr="003015FD">
        <w:t xml:space="preserve"> </w:t>
      </w:r>
      <w:r w:rsidRPr="003015FD">
        <w:t>make</w:t>
      </w:r>
      <w:r w:rsidR="00975895" w:rsidRPr="003015FD">
        <w:t xml:space="preserve"> </w:t>
      </w:r>
      <w:r w:rsidRPr="003015FD">
        <w:t>a</w:t>
      </w:r>
      <w:r w:rsidR="00975895" w:rsidRPr="003015FD">
        <w:t xml:space="preserve"> </w:t>
      </w:r>
      <w:r w:rsidRPr="003015FD">
        <w:t>single</w:t>
      </w:r>
      <w:r w:rsidR="00975895" w:rsidRPr="003015FD">
        <w:t xml:space="preserve"> </w:t>
      </w:r>
      <w:r w:rsidRPr="003015FD">
        <w:t>law</w:t>
      </w:r>
      <w:r w:rsidR="00975895" w:rsidRPr="003015FD">
        <w:t xml:space="preserve"> </w:t>
      </w:r>
      <w:r w:rsidRPr="003015FD">
        <w:t>extending</w:t>
      </w:r>
      <w:r w:rsidR="00975895" w:rsidRPr="003015FD">
        <w:t xml:space="preserve"> </w:t>
      </w:r>
      <w:r w:rsidRPr="003015FD">
        <w:t>to</w:t>
      </w:r>
      <w:r w:rsidR="00975895" w:rsidRPr="003015FD">
        <w:t xml:space="preserve"> </w:t>
      </w:r>
      <w:r w:rsidRPr="003015FD">
        <w:t>all</w:t>
      </w:r>
      <w:r w:rsidR="00975895" w:rsidRPr="003015FD">
        <w:t xml:space="preserve"> </w:t>
      </w:r>
      <w:r w:rsidRPr="003015FD">
        <w:t>participating</w:t>
      </w:r>
      <w:r w:rsidR="00975895" w:rsidRPr="003015FD">
        <w:t xml:space="preserve"> </w:t>
      </w:r>
      <w:r w:rsidRPr="003015FD">
        <w:t>jurisdictions.</w:t>
      </w:r>
      <w:r w:rsidR="00975895" w:rsidRPr="003015FD">
        <w:t xml:space="preserve"> </w:t>
      </w:r>
      <w:r w:rsidRPr="003015FD">
        <w:t>As</w:t>
      </w:r>
      <w:r w:rsidR="00975895" w:rsidRPr="003015FD">
        <w:t xml:space="preserve"> </w:t>
      </w:r>
      <w:r w:rsidRPr="003015FD">
        <w:t>such,</w:t>
      </w:r>
      <w:r w:rsidR="00975895" w:rsidRPr="003015FD">
        <w:t xml:space="preserve"> </w:t>
      </w:r>
      <w:r w:rsidRPr="003015FD">
        <w:t>any</w:t>
      </w:r>
      <w:r w:rsidR="00975895" w:rsidRPr="003015FD">
        <w:t xml:space="preserve"> </w:t>
      </w:r>
      <w:r w:rsidRPr="003015FD">
        <w:t>resulting</w:t>
      </w:r>
      <w:r w:rsidR="00975895" w:rsidRPr="003015FD">
        <w:t xml:space="preserve"> </w:t>
      </w:r>
      <w:r w:rsidRPr="003015FD">
        <w:t>legislation</w:t>
      </w:r>
      <w:r w:rsidR="00975895" w:rsidRPr="003015FD">
        <w:t xml:space="preserve"> </w:t>
      </w:r>
      <w:r w:rsidRPr="003015FD">
        <w:t>is</w:t>
      </w:r>
      <w:r w:rsidR="00975895" w:rsidRPr="003015FD">
        <w:t xml:space="preserve"> </w:t>
      </w:r>
      <w:r w:rsidRPr="003015FD">
        <w:t>a</w:t>
      </w:r>
      <w:r w:rsidR="00975895" w:rsidRPr="003015FD">
        <w:t xml:space="preserve"> </w:t>
      </w:r>
      <w:r w:rsidRPr="003015FD">
        <w:t>law</w:t>
      </w:r>
      <w:r w:rsidR="00975895" w:rsidRPr="003015FD">
        <w:t xml:space="preserve"> </w:t>
      </w:r>
      <w:r w:rsidRPr="003015FD">
        <w:t>of</w:t>
      </w:r>
      <w:r w:rsidR="00975895" w:rsidRPr="003015FD">
        <w:t xml:space="preserve"> </w:t>
      </w:r>
      <w:r w:rsidRPr="003015FD">
        <w:t>the</w:t>
      </w:r>
      <w:r w:rsidR="00975895" w:rsidRPr="003015FD">
        <w:t xml:space="preserve"> </w:t>
      </w:r>
      <w:r w:rsidRPr="003015FD">
        <w:t>Commonwealth.</w:t>
      </w:r>
      <w:r w:rsidRPr="004862C5">
        <w:rPr>
          <w:rStyle w:val="FootnoteReference"/>
        </w:rPr>
        <w:footnoteReference w:id="52"/>
      </w:r>
      <w:r w:rsidR="00975895" w:rsidRPr="003015FD">
        <w:t xml:space="preserve"> </w:t>
      </w:r>
    </w:p>
    <w:p w14:paraId="5FB623DB" w14:textId="1513B6A5" w:rsidR="008E0945" w:rsidRDefault="008E0945" w:rsidP="0002642E">
      <w:r w:rsidRPr="003015FD">
        <w:t>The</w:t>
      </w:r>
      <w:r w:rsidR="00975895" w:rsidRPr="003015FD">
        <w:t xml:space="preserve"> </w:t>
      </w:r>
      <w:r w:rsidRPr="003015FD">
        <w:t>Attorney-General</w:t>
      </w:r>
      <w:r w:rsidR="000C5726">
        <w:t>'</w:t>
      </w:r>
      <w:r w:rsidRPr="003015FD">
        <w:t>s</w:t>
      </w:r>
      <w:r w:rsidR="00975895" w:rsidRPr="003015FD">
        <w:t xml:space="preserve"> </w:t>
      </w:r>
      <w:r w:rsidRPr="003015FD">
        <w:t>response</w:t>
      </w:r>
      <w:r w:rsidR="00975895" w:rsidRPr="003015FD">
        <w:t xml:space="preserve"> </w:t>
      </w:r>
      <w:r w:rsidRPr="003015FD">
        <w:t>acknowledged</w:t>
      </w:r>
      <w:r w:rsidR="00975895" w:rsidRPr="003015FD">
        <w:t xml:space="preserve"> </w:t>
      </w:r>
      <w:r w:rsidRPr="003015FD">
        <w:t>that</w:t>
      </w:r>
      <w:r w:rsidR="00975895" w:rsidRPr="003015FD">
        <w:t xml:space="preserve"> </w:t>
      </w:r>
      <w:r w:rsidRPr="003015FD">
        <w:t>the</w:t>
      </w:r>
      <w:r w:rsidR="00975895" w:rsidRPr="003015FD">
        <w:t xml:space="preserve"> </w:t>
      </w:r>
      <w:r w:rsidRPr="003015FD">
        <w:t>provisions</w:t>
      </w:r>
      <w:r w:rsidR="00975895" w:rsidRPr="003015FD">
        <w:t xml:space="preserve"> </w:t>
      </w:r>
      <w:r w:rsidRPr="003015FD">
        <w:t>in</w:t>
      </w:r>
      <w:r w:rsidR="00975895" w:rsidRPr="003015FD">
        <w:t xml:space="preserve"> </w:t>
      </w:r>
      <w:r w:rsidRPr="003015FD">
        <w:t>question</w:t>
      </w:r>
      <w:r w:rsidR="00975895" w:rsidRPr="003015FD">
        <w:t xml:space="preserve"> </w:t>
      </w:r>
      <w:r w:rsidRPr="003015FD">
        <w:t>may</w:t>
      </w:r>
      <w:r w:rsidR="00975895" w:rsidRPr="003015FD">
        <w:t xml:space="preserve"> </w:t>
      </w:r>
      <w:r w:rsidRPr="003015FD">
        <w:t>limit</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equality,</w:t>
      </w:r>
      <w:r w:rsidR="00975895" w:rsidRPr="003015FD">
        <w:t xml:space="preserve"> </w:t>
      </w:r>
      <w:r w:rsidRPr="003015FD">
        <w:t>but</w:t>
      </w:r>
      <w:r w:rsidR="00975895" w:rsidRPr="003015FD">
        <w:t xml:space="preserve"> </w:t>
      </w:r>
      <w:r w:rsidRPr="003015FD">
        <w:t>that</w:t>
      </w:r>
      <w:r w:rsidR="00975895" w:rsidRPr="003015FD">
        <w:t xml:space="preserve"> </w:t>
      </w:r>
      <w:r w:rsidRPr="003015FD">
        <w:t>in</w:t>
      </w:r>
      <w:r w:rsidR="00975895" w:rsidRPr="003015FD">
        <w:t xml:space="preserve"> </w:t>
      </w:r>
      <w:r w:rsidRPr="003015FD">
        <w:t>both</w:t>
      </w:r>
      <w:r w:rsidR="00975895" w:rsidRPr="003015FD">
        <w:t xml:space="preserve"> </w:t>
      </w:r>
      <w:r w:rsidRPr="003015FD">
        <w:t>cases</w:t>
      </w:r>
      <w:r w:rsidR="00975895" w:rsidRPr="003015FD">
        <w:t xml:space="preserve"> </w:t>
      </w:r>
      <w:r w:rsidRPr="003015FD">
        <w:t>he</w:t>
      </w:r>
      <w:r w:rsidR="00975895" w:rsidRPr="003015FD">
        <w:t xml:space="preserve"> </w:t>
      </w:r>
      <w:r w:rsidRPr="003015FD">
        <w:t>considered</w:t>
      </w:r>
      <w:r w:rsidR="00975895" w:rsidRPr="003015FD">
        <w:t xml:space="preserve"> </w:t>
      </w:r>
      <w:r w:rsidRPr="003015FD">
        <w:t>the</w:t>
      </w:r>
      <w:r w:rsidR="00975895" w:rsidRPr="003015FD">
        <w:t xml:space="preserve"> </w:t>
      </w:r>
      <w:r w:rsidRPr="003015FD">
        <w:t>limitation</w:t>
      </w:r>
      <w:r w:rsidR="00975895" w:rsidRPr="003015FD">
        <w:t xml:space="preserve"> </w:t>
      </w:r>
      <w:r w:rsidRPr="003015FD">
        <w:t>reasonable</w:t>
      </w:r>
      <w:r w:rsidR="00975895" w:rsidRPr="003015FD">
        <w:t xml:space="preserve"> </w:t>
      </w:r>
      <w:r w:rsidRPr="003015FD">
        <w:t>and</w:t>
      </w:r>
      <w:r w:rsidR="00975895" w:rsidRPr="003015FD">
        <w:t xml:space="preserve"> </w:t>
      </w:r>
      <w:r w:rsidRPr="003015FD">
        <w:t>justified.</w:t>
      </w:r>
      <w:r w:rsidR="00975895" w:rsidRPr="003015FD">
        <w:t xml:space="preserve"> </w:t>
      </w:r>
      <w:r w:rsidRPr="003015FD">
        <w:t>Specifically,</w:t>
      </w:r>
      <w:r w:rsidR="00975895" w:rsidRPr="003015FD">
        <w:t xml:space="preserve"> </w:t>
      </w:r>
      <w:r w:rsidRPr="003015FD">
        <w:t>the</w:t>
      </w:r>
      <w:r w:rsidR="00975895" w:rsidRPr="003015FD">
        <w:t xml:space="preserve"> </w:t>
      </w:r>
      <w:r w:rsidRPr="003015FD">
        <w:t>Attorney-General</w:t>
      </w:r>
      <w:r w:rsidR="00975895" w:rsidRPr="003015FD">
        <w:t xml:space="preserve"> </w:t>
      </w:r>
      <w:r w:rsidRPr="003015FD">
        <w:t>wrote</w:t>
      </w:r>
      <w:r w:rsidR="00975895" w:rsidRPr="003015FD">
        <w:t xml:space="preserve"> </w:t>
      </w:r>
      <w:r w:rsidRPr="003015FD">
        <w:t>that</w:t>
      </w:r>
      <w:r w:rsidR="00975895" w:rsidRPr="003015FD">
        <w:t xml:space="preserve"> </w:t>
      </w:r>
      <w:r w:rsidRPr="003015FD">
        <w:t>the</w:t>
      </w:r>
      <w:r w:rsidR="00975895" w:rsidRPr="003015FD">
        <w:t xml:space="preserve"> </w:t>
      </w:r>
      <w:r w:rsidRPr="003015FD">
        <w:t>restriction</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people</w:t>
      </w:r>
      <w:r w:rsidR="00975895" w:rsidRPr="003015FD">
        <w:t xml:space="preserve"> </w:t>
      </w:r>
      <w:r w:rsidRPr="003015FD">
        <w:t>who</w:t>
      </w:r>
      <w:r w:rsidR="00975895" w:rsidRPr="003015FD">
        <w:t xml:space="preserve"> </w:t>
      </w:r>
      <w:r w:rsidRPr="003015FD">
        <w:t>are</w:t>
      </w:r>
      <w:r w:rsidR="00975895" w:rsidRPr="003015FD">
        <w:t xml:space="preserve"> </w:t>
      </w:r>
      <w:r w:rsidRPr="003015FD">
        <w:t>subject</w:t>
      </w:r>
      <w:r w:rsidR="00975895" w:rsidRPr="003015FD">
        <w:t xml:space="preserve"> </w:t>
      </w:r>
      <w:r w:rsidRPr="003015FD">
        <w:t>to</w:t>
      </w:r>
      <w:r w:rsidR="00975895" w:rsidRPr="003015FD">
        <w:t xml:space="preserve"> </w:t>
      </w:r>
      <w:r w:rsidRPr="003015FD">
        <w:t>a</w:t>
      </w:r>
      <w:r w:rsidR="00975895" w:rsidRPr="003015FD">
        <w:t xml:space="preserve"> </w:t>
      </w:r>
      <w:r w:rsidRPr="003015FD">
        <w:t>security</w:t>
      </w:r>
      <w:r w:rsidR="00975895" w:rsidRPr="003015FD">
        <w:t xml:space="preserve"> </w:t>
      </w:r>
      <w:r w:rsidRPr="003015FD">
        <w:t>notice</w:t>
      </w:r>
      <w:r w:rsidR="00975895" w:rsidRPr="003015FD">
        <w:t xml:space="preserve"> </w:t>
      </w:r>
      <w:r w:rsidRPr="003015FD">
        <w:t>is</w:t>
      </w:r>
      <w:r w:rsidR="00975895" w:rsidRPr="003015FD">
        <w:t xml:space="preserve"> </w:t>
      </w:r>
      <w:r w:rsidRPr="003015FD">
        <w:t>intended</w:t>
      </w:r>
      <w:r w:rsidR="00975895" w:rsidRPr="003015FD">
        <w:t xml:space="preserve"> </w:t>
      </w:r>
      <w:r w:rsidRPr="003015FD">
        <w:t>to</w:t>
      </w:r>
      <w:r w:rsidR="00975895" w:rsidRPr="003015FD">
        <w:t xml:space="preserve"> </w:t>
      </w:r>
      <w:r w:rsidRPr="003015FD">
        <w:t>ensure</w:t>
      </w:r>
      <w:r w:rsidR="00975895" w:rsidRPr="003015FD">
        <w:t xml:space="preserve"> </w:t>
      </w:r>
      <w:r w:rsidRPr="003015FD">
        <w:t>that</w:t>
      </w:r>
      <w:r w:rsidR="00975895" w:rsidRPr="003015FD">
        <w:t xml:space="preserve"> </w:t>
      </w:r>
      <w:r w:rsidRPr="003015FD">
        <w:t>redress</w:t>
      </w:r>
      <w:r w:rsidR="00975895" w:rsidRPr="003015FD">
        <w:t xml:space="preserve"> </w:t>
      </w:r>
      <w:r w:rsidRPr="003015FD">
        <w:t>funds</w:t>
      </w:r>
      <w:r w:rsidR="00975895" w:rsidRPr="003015FD">
        <w:t xml:space="preserve"> </w:t>
      </w:r>
      <w:r w:rsidRPr="003015FD">
        <w:t>are</w:t>
      </w:r>
      <w:r w:rsidR="00975895" w:rsidRPr="003015FD">
        <w:t xml:space="preserve"> </w:t>
      </w:r>
      <w:r w:rsidRPr="003015FD">
        <w:t>not</w:t>
      </w:r>
      <w:r w:rsidR="00975895" w:rsidRPr="003015FD">
        <w:t xml:space="preserve"> </w:t>
      </w:r>
      <w:r w:rsidRPr="003015FD">
        <w:t>used</w:t>
      </w:r>
      <w:r w:rsidR="00975895" w:rsidRPr="003015FD">
        <w:t xml:space="preserve"> </w:t>
      </w:r>
      <w:r w:rsidRPr="003015FD">
        <w:t>to</w:t>
      </w:r>
      <w:r w:rsidR="00975895" w:rsidRPr="003015FD">
        <w:t xml:space="preserve"> </w:t>
      </w:r>
      <w:r w:rsidRPr="003015FD">
        <w:t>undermine</w:t>
      </w:r>
      <w:r w:rsidR="00975895" w:rsidRPr="003015FD">
        <w:t xml:space="preserve"> </w:t>
      </w:r>
      <w:r w:rsidRPr="003015FD">
        <w:t>Australia</w:t>
      </w:r>
      <w:r w:rsidR="000C5726">
        <w:t>'</w:t>
      </w:r>
      <w:r w:rsidRPr="003015FD">
        <w:t>s</w:t>
      </w:r>
      <w:r w:rsidR="00975895" w:rsidRPr="003015FD">
        <w:t xml:space="preserve"> </w:t>
      </w:r>
      <w:r w:rsidRPr="003015FD">
        <w:t>national</w:t>
      </w:r>
      <w:r w:rsidR="00975895" w:rsidRPr="003015FD">
        <w:t xml:space="preserve"> </w:t>
      </w:r>
      <w:r w:rsidRPr="003015FD">
        <w:t>security</w:t>
      </w:r>
      <w:r w:rsidR="00975895" w:rsidRPr="003015FD">
        <w:t xml:space="preserve"> </w:t>
      </w:r>
      <w:r w:rsidRPr="003015FD">
        <w:t>interests,</w:t>
      </w:r>
      <w:r w:rsidR="00975895" w:rsidRPr="003015FD">
        <w:t xml:space="preserve"> </w:t>
      </w:r>
      <w:r w:rsidRPr="003015FD">
        <w:t>while</w:t>
      </w:r>
      <w:r w:rsidR="00975895" w:rsidRPr="003015FD">
        <w:t xml:space="preserve"> </w:t>
      </w:r>
      <w:r w:rsidRPr="003015FD">
        <w:t>survivors</w:t>
      </w:r>
      <w:r w:rsidR="00975895" w:rsidRPr="003015FD">
        <w:t xml:space="preserve"> </w:t>
      </w:r>
      <w:r w:rsidRPr="003015FD">
        <w:t>of</w:t>
      </w:r>
      <w:r w:rsidR="00975895" w:rsidRPr="003015FD">
        <w:t xml:space="preserve"> </w:t>
      </w:r>
      <w:r w:rsidRPr="003015FD">
        <w:t>child</w:t>
      </w:r>
      <w:r w:rsidR="00975895" w:rsidRPr="003015FD">
        <w:t xml:space="preserve"> </w:t>
      </w:r>
      <w:r w:rsidRPr="003015FD">
        <w:t>sex</w:t>
      </w:r>
      <w:r w:rsidR="00975895" w:rsidRPr="003015FD">
        <w:t xml:space="preserve"> </w:t>
      </w:r>
      <w:r w:rsidRPr="003015FD">
        <w:t>abuse</w:t>
      </w:r>
      <w:r w:rsidR="00975895" w:rsidRPr="003015FD">
        <w:t xml:space="preserve"> </w:t>
      </w:r>
      <w:r w:rsidRPr="003015FD">
        <w:t>who</w:t>
      </w:r>
      <w:r w:rsidR="00975895" w:rsidRPr="003015FD">
        <w:t xml:space="preserve"> </w:t>
      </w:r>
      <w:r w:rsidRPr="003015FD">
        <w:t>are</w:t>
      </w:r>
      <w:r w:rsidR="00975895" w:rsidRPr="003015FD">
        <w:t xml:space="preserve"> </w:t>
      </w:r>
      <w:r w:rsidRPr="003015FD">
        <w:t>incarcerated</w:t>
      </w:r>
      <w:r w:rsidR="00975895" w:rsidRPr="003015FD">
        <w:t xml:space="preserve"> </w:t>
      </w:r>
      <w:r w:rsidRPr="003015FD">
        <w:t>could</w:t>
      </w:r>
      <w:r w:rsidR="00975895" w:rsidRPr="003015FD">
        <w:t xml:space="preserve"> </w:t>
      </w:r>
      <w:r w:rsidRPr="003015FD">
        <w:t>not</w:t>
      </w:r>
      <w:r w:rsidR="00975895" w:rsidRPr="003015FD">
        <w:t xml:space="preserve"> </w:t>
      </w:r>
      <w:r w:rsidRPr="003015FD">
        <w:t>be</w:t>
      </w:r>
      <w:r w:rsidR="00975895" w:rsidRPr="003015FD">
        <w:t xml:space="preserve"> </w:t>
      </w:r>
      <w:r w:rsidRPr="003015FD">
        <w:t>properly</w:t>
      </w:r>
      <w:r w:rsidR="00975895" w:rsidRPr="003015FD">
        <w:t xml:space="preserve"> </w:t>
      </w:r>
      <w:r w:rsidRPr="003015FD">
        <w:t>supported</w:t>
      </w:r>
      <w:r w:rsidR="00975895" w:rsidRPr="003015FD">
        <w:t xml:space="preserve"> </w:t>
      </w:r>
      <w:r w:rsidRPr="003015FD">
        <w:t>to</w:t>
      </w:r>
      <w:r w:rsidR="00975895" w:rsidRPr="003015FD">
        <w:t xml:space="preserve"> </w:t>
      </w:r>
      <w:r w:rsidRPr="003015FD">
        <w:t>participate</w:t>
      </w:r>
      <w:r w:rsidR="00975895" w:rsidRPr="003015FD">
        <w:t xml:space="preserve"> </w:t>
      </w:r>
      <w:r w:rsidRPr="003015FD">
        <w:t>in</w:t>
      </w:r>
      <w:r w:rsidR="00975895" w:rsidRPr="003015FD">
        <w:t xml:space="preserve"> </w:t>
      </w:r>
      <w:r w:rsidRPr="003015FD">
        <w:t>the</w:t>
      </w:r>
      <w:r w:rsidR="00975895" w:rsidRPr="003015FD">
        <w:t xml:space="preserve"> </w:t>
      </w:r>
      <w:r w:rsidRPr="003015FD">
        <w:t>redress</w:t>
      </w:r>
      <w:r w:rsidR="00975895" w:rsidRPr="003015FD">
        <w:t xml:space="preserve"> </w:t>
      </w:r>
      <w:r w:rsidRPr="003015FD">
        <w:t>process.</w:t>
      </w:r>
      <w:r w:rsidR="00975895" w:rsidRPr="003015FD">
        <w:t xml:space="preserve"> </w:t>
      </w:r>
      <w:r w:rsidRPr="003015FD">
        <w:t>Survivors</w:t>
      </w:r>
      <w:r w:rsidR="00975895" w:rsidRPr="003015FD">
        <w:t xml:space="preserve"> </w:t>
      </w:r>
      <w:r w:rsidRPr="003015FD">
        <w:t>incarcerated</w:t>
      </w:r>
      <w:r w:rsidR="00975895" w:rsidRPr="003015FD">
        <w:t xml:space="preserve"> </w:t>
      </w:r>
      <w:r w:rsidRPr="003015FD">
        <w:t>for</w:t>
      </w:r>
      <w:r w:rsidR="00975895" w:rsidRPr="003015FD">
        <w:t xml:space="preserve"> </w:t>
      </w:r>
      <w:r w:rsidRPr="003015FD">
        <w:t>short</w:t>
      </w:r>
      <w:r w:rsidR="00975895" w:rsidRPr="003015FD">
        <w:t xml:space="preserve"> </w:t>
      </w:r>
      <w:r w:rsidRPr="003015FD">
        <w:t>periods</w:t>
      </w:r>
      <w:r w:rsidR="00975895" w:rsidRPr="003015FD">
        <w:t xml:space="preserve"> </w:t>
      </w:r>
      <w:r w:rsidRPr="003015FD">
        <w:t>may</w:t>
      </w:r>
      <w:r w:rsidR="00975895" w:rsidRPr="003015FD">
        <w:t xml:space="preserve"> </w:t>
      </w:r>
      <w:r w:rsidRPr="003015FD">
        <w:t>be</w:t>
      </w:r>
      <w:r w:rsidR="00975895" w:rsidRPr="003015FD">
        <w:t xml:space="preserve"> </w:t>
      </w:r>
      <w:r w:rsidRPr="003015FD">
        <w:t>able</w:t>
      </w:r>
      <w:r w:rsidR="00975895" w:rsidRPr="003015FD">
        <w:t xml:space="preserve"> </w:t>
      </w:r>
      <w:r w:rsidRPr="003015FD">
        <w:t>to</w:t>
      </w:r>
      <w:r w:rsidR="00975895" w:rsidRPr="003015FD">
        <w:t xml:space="preserve"> </w:t>
      </w:r>
      <w:r w:rsidRPr="003015FD">
        <w:t>apply</w:t>
      </w:r>
      <w:r w:rsidR="00975895" w:rsidRPr="003015FD">
        <w:t xml:space="preserve"> </w:t>
      </w:r>
      <w:r w:rsidRPr="003015FD">
        <w:t>for</w:t>
      </w:r>
      <w:r w:rsidR="00975895" w:rsidRPr="003015FD">
        <w:t xml:space="preserve"> </w:t>
      </w:r>
      <w:r w:rsidRPr="003015FD">
        <w:t>redress</w:t>
      </w:r>
      <w:r w:rsidR="00975895" w:rsidRPr="003015FD">
        <w:t xml:space="preserve"> </w:t>
      </w:r>
      <w:r w:rsidRPr="003015FD">
        <w:t>upon</w:t>
      </w:r>
      <w:r w:rsidR="00975895" w:rsidRPr="003015FD">
        <w:t xml:space="preserve"> </w:t>
      </w:r>
      <w:r w:rsidRPr="003015FD">
        <w:t>release,</w:t>
      </w:r>
      <w:r w:rsidR="00975895" w:rsidRPr="003015FD">
        <w:t xml:space="preserve"> </w:t>
      </w:r>
      <w:r w:rsidRPr="003015FD">
        <w:t>while</w:t>
      </w:r>
      <w:r w:rsidR="00975895" w:rsidRPr="003015FD">
        <w:t xml:space="preserve"> </w:t>
      </w:r>
      <w:r w:rsidRPr="003015FD">
        <w:t>there</w:t>
      </w:r>
      <w:r w:rsidR="00975895" w:rsidRPr="003015FD">
        <w:t xml:space="preserve"> </w:t>
      </w:r>
      <w:r w:rsidRPr="003015FD">
        <w:t>is</w:t>
      </w:r>
      <w:r w:rsidR="00975895" w:rsidRPr="003015FD">
        <w:t xml:space="preserve"> </w:t>
      </w:r>
      <w:r w:rsidRPr="003015FD">
        <w:t>a</w:t>
      </w:r>
      <w:r w:rsidR="00975895" w:rsidRPr="003015FD">
        <w:t xml:space="preserve"> </w:t>
      </w:r>
      <w:r w:rsidRPr="003015FD">
        <w:t>discretion</w:t>
      </w:r>
      <w:r w:rsidR="00975895" w:rsidRPr="003015FD">
        <w:t xml:space="preserve"> </w:t>
      </w:r>
      <w:r w:rsidRPr="003015FD">
        <w:t>for</w:t>
      </w:r>
      <w:r w:rsidR="00975895" w:rsidRPr="003015FD">
        <w:t xml:space="preserve"> </w:t>
      </w:r>
      <w:r w:rsidRPr="003015FD">
        <w:t>other</w:t>
      </w:r>
      <w:r w:rsidR="00975895" w:rsidRPr="003015FD">
        <w:t xml:space="preserve"> </w:t>
      </w:r>
      <w:r w:rsidRPr="003015FD">
        <w:t>incarcerated</w:t>
      </w:r>
      <w:r w:rsidR="00975895" w:rsidRPr="003015FD">
        <w:t xml:space="preserve"> </w:t>
      </w:r>
      <w:r w:rsidRPr="003015FD">
        <w:t>survivors</w:t>
      </w:r>
      <w:r w:rsidR="00975895" w:rsidRPr="003015FD">
        <w:t xml:space="preserve"> </w:t>
      </w:r>
      <w:r w:rsidRPr="003015FD">
        <w:t>to</w:t>
      </w:r>
      <w:r w:rsidR="00975895" w:rsidRPr="003015FD">
        <w:t xml:space="preserve"> </w:t>
      </w:r>
      <w:r w:rsidRPr="003015FD">
        <w:t>receive</w:t>
      </w:r>
      <w:r w:rsidR="00975895" w:rsidRPr="003015FD">
        <w:t xml:space="preserve"> </w:t>
      </w:r>
      <w:r w:rsidRPr="003015FD">
        <w:t>redress</w:t>
      </w:r>
      <w:r w:rsidR="00975895" w:rsidRPr="003015FD">
        <w:t xml:space="preserve"> </w:t>
      </w:r>
      <w:r w:rsidRPr="003015FD">
        <w:t>if</w:t>
      </w:r>
      <w:r w:rsidR="00975895" w:rsidRPr="003015FD">
        <w:t xml:space="preserve"> </w:t>
      </w:r>
      <w:r w:rsidRPr="003015FD">
        <w:t>it</w:t>
      </w:r>
      <w:r w:rsidR="00975895" w:rsidRPr="003015FD">
        <w:t xml:space="preserve"> </w:t>
      </w:r>
      <w:r w:rsidRPr="003015FD">
        <w:t>would</w:t>
      </w:r>
      <w:r w:rsidR="00975895" w:rsidRPr="003015FD">
        <w:t xml:space="preserve"> </w:t>
      </w:r>
      <w:r w:rsidRPr="003015FD">
        <w:t>not</w:t>
      </w:r>
      <w:r w:rsidR="00975895" w:rsidRPr="003015FD">
        <w:t xml:space="preserve"> </w:t>
      </w:r>
      <w:r w:rsidRPr="003015FD">
        <w:t>bring</w:t>
      </w:r>
      <w:r w:rsidR="00975895" w:rsidRPr="003015FD">
        <w:t xml:space="preserve"> </w:t>
      </w:r>
      <w:r w:rsidRPr="003015FD">
        <w:t>the</w:t>
      </w:r>
      <w:r w:rsidR="00975895" w:rsidRPr="003015FD">
        <w:t xml:space="preserve"> </w:t>
      </w:r>
      <w:r w:rsidRPr="003015FD">
        <w:t>scheme</w:t>
      </w:r>
      <w:r w:rsidR="00975895" w:rsidRPr="003015FD">
        <w:t xml:space="preserve"> </w:t>
      </w:r>
      <w:r w:rsidRPr="003015FD">
        <w:t>into</w:t>
      </w:r>
      <w:r w:rsidR="00975895" w:rsidRPr="003015FD">
        <w:t xml:space="preserve"> </w:t>
      </w:r>
      <w:r w:rsidRPr="003015FD">
        <w:t>disrepute</w:t>
      </w:r>
      <w:r w:rsidR="00975895" w:rsidRPr="003015FD">
        <w:t xml:space="preserve"> </w:t>
      </w:r>
      <w:r w:rsidRPr="003015FD">
        <w:t>or</w:t>
      </w:r>
      <w:r w:rsidR="00975895" w:rsidRPr="003015FD">
        <w:t xml:space="preserve"> </w:t>
      </w:r>
      <w:r w:rsidRPr="003015FD">
        <w:t>affect</w:t>
      </w:r>
      <w:r w:rsidR="00975895" w:rsidRPr="003015FD">
        <w:t xml:space="preserve"> </w:t>
      </w:r>
      <w:r w:rsidRPr="003015FD">
        <w:t>public</w:t>
      </w:r>
      <w:r w:rsidR="00975895" w:rsidRPr="003015FD">
        <w:t xml:space="preserve"> </w:t>
      </w:r>
      <w:r w:rsidRPr="003015FD">
        <w:t>confidence</w:t>
      </w:r>
      <w:r w:rsidR="00975895" w:rsidRPr="003015FD">
        <w:t xml:space="preserve"> </w:t>
      </w:r>
      <w:r w:rsidRPr="003015FD">
        <w:t>in</w:t>
      </w:r>
      <w:r w:rsidR="00975895" w:rsidRPr="003015FD">
        <w:t xml:space="preserve"> </w:t>
      </w:r>
      <w:r w:rsidRPr="003015FD">
        <w:t>the</w:t>
      </w:r>
      <w:r w:rsidR="00975895" w:rsidRPr="003015FD">
        <w:t xml:space="preserve"> </w:t>
      </w:r>
      <w:r w:rsidRPr="003015FD">
        <w:t>scheme.</w:t>
      </w:r>
      <w:r w:rsidRPr="004862C5">
        <w:rPr>
          <w:rStyle w:val="FootnoteReference"/>
        </w:rPr>
        <w:footnoteReference w:id="53"/>
      </w:r>
      <w:r w:rsidR="00975895" w:rsidRPr="003015FD">
        <w:t xml:space="preserve"> </w:t>
      </w:r>
    </w:p>
    <w:p w14:paraId="698A7FD8" w14:textId="5C8B5C5F" w:rsidR="008E0945" w:rsidRPr="0002642E" w:rsidRDefault="008E0945" w:rsidP="0002642E">
      <w:pPr>
        <w:pStyle w:val="Heading4"/>
      </w:pPr>
      <w:r w:rsidRPr="0002642E">
        <w:t>Reference</w:t>
      </w:r>
      <w:r w:rsidR="00975895" w:rsidRPr="0002642E">
        <w:t xml:space="preserve"> </w:t>
      </w:r>
      <w:r w:rsidRPr="0002642E">
        <w:t>to</w:t>
      </w:r>
      <w:r w:rsidR="00975895" w:rsidRPr="0002642E">
        <w:t xml:space="preserve"> </w:t>
      </w:r>
      <w:r w:rsidRPr="0002642E">
        <w:t>SARC</w:t>
      </w:r>
      <w:r w:rsidR="00975895" w:rsidRPr="0002642E">
        <w:t xml:space="preserve"> </w:t>
      </w:r>
      <w:r w:rsidRPr="0002642E">
        <w:t>reports</w:t>
      </w:r>
      <w:r w:rsidR="00975895" w:rsidRPr="0002642E">
        <w:t xml:space="preserve"> </w:t>
      </w:r>
      <w:r w:rsidRPr="0002642E">
        <w:t>in</w:t>
      </w:r>
      <w:r w:rsidR="00975895" w:rsidRPr="0002642E">
        <w:t xml:space="preserve"> </w:t>
      </w:r>
      <w:r w:rsidRPr="0002642E">
        <w:t>Parliament</w:t>
      </w:r>
    </w:p>
    <w:p w14:paraId="015761E8" w14:textId="30528AD2" w:rsidR="008E0945" w:rsidRPr="003015FD" w:rsidRDefault="008E0945" w:rsidP="0002642E">
      <w:r w:rsidRPr="003015FD">
        <w:t>During</w:t>
      </w:r>
      <w:r w:rsidR="00975895" w:rsidRPr="003015FD">
        <w:t xml:space="preserve"> </w:t>
      </w:r>
      <w:r w:rsidRPr="003015FD">
        <w:t>2018,</w:t>
      </w:r>
      <w:r w:rsidR="00975895" w:rsidRPr="003015FD">
        <w:t xml:space="preserve"> </w:t>
      </w:r>
      <w:r w:rsidRPr="003015FD">
        <w:t>SARC</w:t>
      </w:r>
      <w:r w:rsidR="00975895" w:rsidRPr="003015FD">
        <w:t xml:space="preserve"> </w:t>
      </w:r>
      <w:r w:rsidRPr="003015FD">
        <w:t>reports</w:t>
      </w:r>
      <w:r w:rsidR="00975895" w:rsidRPr="003015FD">
        <w:t xml:space="preserve"> </w:t>
      </w:r>
      <w:r w:rsidRPr="003015FD">
        <w:t>on</w:t>
      </w:r>
      <w:r w:rsidR="00975895" w:rsidRPr="003015FD">
        <w:t xml:space="preserve"> </w:t>
      </w:r>
      <w:r w:rsidRPr="003015FD">
        <w:t>Bills</w:t>
      </w:r>
      <w:r w:rsidR="00975895" w:rsidRPr="003015FD">
        <w:t xml:space="preserve"> </w:t>
      </w:r>
      <w:r w:rsidRPr="003015FD">
        <w:t>informed</w:t>
      </w:r>
      <w:r w:rsidR="00975895" w:rsidRPr="003015FD">
        <w:t xml:space="preserve"> </w:t>
      </w:r>
      <w:r w:rsidRPr="003015FD">
        <w:t>parliamentary</w:t>
      </w:r>
      <w:r w:rsidR="00975895" w:rsidRPr="003015FD">
        <w:t xml:space="preserve"> </w:t>
      </w:r>
      <w:r w:rsidRPr="003015FD">
        <w:t>debate</w:t>
      </w:r>
      <w:r w:rsidR="00975895" w:rsidRPr="003015FD">
        <w:t xml:space="preserve"> </w:t>
      </w:r>
      <w:r w:rsidRPr="003015FD">
        <w:t>in</w:t>
      </w:r>
      <w:r w:rsidR="00975895" w:rsidRPr="003015FD">
        <w:t xml:space="preserve"> </w:t>
      </w:r>
      <w:r w:rsidRPr="003015FD">
        <w:t>various</w:t>
      </w:r>
      <w:r w:rsidR="00975895" w:rsidRPr="003015FD">
        <w:t xml:space="preserve"> </w:t>
      </w:r>
      <w:r w:rsidRPr="003015FD">
        <w:t>contexts.</w:t>
      </w:r>
      <w:r w:rsidR="00975895" w:rsidRPr="003015FD">
        <w:t xml:space="preserve"> </w:t>
      </w:r>
      <w:r w:rsidR="00F20640">
        <w:t>P</w:t>
      </w:r>
      <w:r w:rsidRPr="003015FD">
        <w:t>arliamentary</w:t>
      </w:r>
      <w:r w:rsidR="00975895" w:rsidRPr="003015FD">
        <w:t xml:space="preserve"> </w:t>
      </w:r>
      <w:r w:rsidRPr="003015FD">
        <w:t>debate</w:t>
      </w:r>
      <w:r w:rsidR="00975895" w:rsidRPr="003015FD">
        <w:t xml:space="preserve"> </w:t>
      </w:r>
      <w:r w:rsidRPr="003015FD">
        <w:t>included</w:t>
      </w:r>
      <w:r w:rsidR="00975895" w:rsidRPr="003015FD">
        <w:t xml:space="preserve"> </w:t>
      </w:r>
      <w:r w:rsidRPr="003015FD">
        <w:t>reference</w:t>
      </w:r>
      <w:r w:rsidR="00975895" w:rsidRPr="003015FD">
        <w:t xml:space="preserve"> </w:t>
      </w:r>
      <w:r w:rsidRPr="003015FD">
        <w:t>to</w:t>
      </w:r>
      <w:r w:rsidR="00975895" w:rsidRPr="003015FD">
        <w:t xml:space="preserve"> </w:t>
      </w:r>
      <w:r w:rsidRPr="003015FD">
        <w:t>SARC</w:t>
      </w:r>
      <w:r w:rsidR="000C5726">
        <w:t>'</w:t>
      </w:r>
      <w:r w:rsidRPr="003015FD">
        <w:t>s</w:t>
      </w:r>
      <w:r w:rsidR="00975895" w:rsidRPr="003015FD">
        <w:t xml:space="preserve"> </w:t>
      </w:r>
      <w:r w:rsidRPr="003015FD">
        <w:t>human</w:t>
      </w:r>
      <w:r w:rsidR="00975895" w:rsidRPr="003015FD">
        <w:t xml:space="preserve"> </w:t>
      </w:r>
      <w:r w:rsidRPr="003015FD">
        <w:t>rights</w:t>
      </w:r>
      <w:r w:rsidR="00975895" w:rsidRPr="003015FD">
        <w:t xml:space="preserve"> </w:t>
      </w:r>
      <w:r w:rsidRPr="003015FD">
        <w:t>analysis</w:t>
      </w:r>
      <w:r w:rsidR="00975895" w:rsidRPr="003015FD">
        <w:t xml:space="preserve"> </w:t>
      </w:r>
      <w:r w:rsidRPr="003015FD">
        <w:t>on</w:t>
      </w:r>
      <w:r w:rsidR="00975895" w:rsidRPr="003015FD">
        <w:t xml:space="preserve"> </w:t>
      </w:r>
      <w:r w:rsidRPr="003015FD">
        <w:t>the</w:t>
      </w:r>
      <w:r w:rsidR="00975895" w:rsidRPr="003015FD">
        <w:t xml:space="preserve"> </w:t>
      </w:r>
      <w:r w:rsidRPr="003015FD">
        <w:t>following</w:t>
      </w:r>
      <w:r w:rsidR="00975895" w:rsidRPr="003015FD">
        <w:t xml:space="preserve"> </w:t>
      </w:r>
      <w:r w:rsidRPr="003015FD">
        <w:t>Bills:</w:t>
      </w:r>
    </w:p>
    <w:p w14:paraId="1053ABFE" w14:textId="62B183CF" w:rsidR="008E0945" w:rsidRPr="003015FD" w:rsidRDefault="005D3541" w:rsidP="005B74F5">
      <w:pPr>
        <w:pStyle w:val="ListBullet"/>
      </w:pPr>
      <w:bookmarkStart w:id="95" w:name="_Hlk14172640"/>
      <w:r>
        <w:t>T</w:t>
      </w:r>
      <w:r w:rsidR="008E0945" w:rsidRPr="003015FD">
        <w:t>he</w:t>
      </w:r>
      <w:r w:rsidR="00975895" w:rsidRPr="003015FD">
        <w:t xml:space="preserve"> </w:t>
      </w:r>
      <w:r w:rsidR="008E0945" w:rsidRPr="003015FD">
        <w:t>Environment</w:t>
      </w:r>
      <w:r w:rsidR="00975895" w:rsidRPr="003015FD">
        <w:t xml:space="preserve"> </w:t>
      </w:r>
      <w:r w:rsidR="008E0945" w:rsidRPr="003015FD">
        <w:t>Protection</w:t>
      </w:r>
      <w:r w:rsidR="00975895" w:rsidRPr="003015FD">
        <w:t xml:space="preserve"> </w:t>
      </w:r>
      <w:r w:rsidR="008E0945" w:rsidRPr="003015FD">
        <w:t>Amendment</w:t>
      </w:r>
      <w:r w:rsidR="00975895" w:rsidRPr="003015FD">
        <w:t xml:space="preserve"> </w:t>
      </w:r>
      <w:r w:rsidR="008E0945" w:rsidRPr="003015FD">
        <w:t>Bill</w:t>
      </w:r>
      <w:r w:rsidR="00975895" w:rsidRPr="003015FD">
        <w:t xml:space="preserve"> </w:t>
      </w:r>
      <w:r w:rsidR="008E0945" w:rsidRPr="003015FD">
        <w:t>2018.</w:t>
      </w:r>
      <w:r w:rsidR="00975895" w:rsidRPr="003015FD">
        <w:t xml:space="preserve"> </w:t>
      </w:r>
      <w:r w:rsidR="008E0945" w:rsidRPr="003015FD">
        <w:t>Members</w:t>
      </w:r>
      <w:r w:rsidR="00975895" w:rsidRPr="003015FD">
        <w:t xml:space="preserve"> </w:t>
      </w:r>
      <w:r w:rsidR="008E0945" w:rsidRPr="003015FD">
        <w:t>referred</w:t>
      </w:r>
      <w:r w:rsidR="00975895" w:rsidRPr="003015FD">
        <w:t xml:space="preserve"> </w:t>
      </w:r>
      <w:r w:rsidR="008E0945" w:rsidRPr="003015FD">
        <w:t>to</w:t>
      </w:r>
      <w:r w:rsidR="00975895" w:rsidRPr="003015FD">
        <w:t xml:space="preserve"> </w:t>
      </w:r>
      <w:r w:rsidR="008E0945" w:rsidRPr="003015FD">
        <w:t>SARC</w:t>
      </w:r>
      <w:r w:rsidR="000C5726">
        <w:t>'</w:t>
      </w:r>
      <w:r w:rsidR="008E0945" w:rsidRPr="003015FD">
        <w:t>s</w:t>
      </w:r>
      <w:r w:rsidR="00975895" w:rsidRPr="003015FD">
        <w:t xml:space="preserve"> </w:t>
      </w:r>
      <w:r w:rsidR="008E0945" w:rsidRPr="003015FD">
        <w:t>analysis</w:t>
      </w:r>
      <w:r w:rsidR="00975895" w:rsidRPr="003015FD">
        <w:t xml:space="preserve"> </w:t>
      </w:r>
      <w:r w:rsidR="008E0945" w:rsidRPr="003015FD">
        <w:t>of,</w:t>
      </w:r>
      <w:r w:rsidR="00975895" w:rsidRPr="003015FD">
        <w:t xml:space="preserve"> </w:t>
      </w:r>
      <w:r w:rsidR="008E0945" w:rsidRPr="003015FD">
        <w:t>among</w:t>
      </w:r>
      <w:r w:rsidR="00975895" w:rsidRPr="003015FD">
        <w:t xml:space="preserve"> </w:t>
      </w:r>
      <w:r w:rsidR="008E0945" w:rsidRPr="003015FD">
        <w:t>other</w:t>
      </w:r>
      <w:r w:rsidR="00975895" w:rsidRPr="003015FD">
        <w:t xml:space="preserve"> </w:t>
      </w:r>
      <w:r w:rsidR="008E0945" w:rsidRPr="003015FD">
        <w:t>things,</w:t>
      </w:r>
      <w:r w:rsidR="00975895" w:rsidRPr="003015FD">
        <w:t xml:space="preserve"> </w:t>
      </w:r>
      <w:r w:rsidR="00A601D1" w:rsidRPr="003015FD">
        <w:t>whether</w:t>
      </w:r>
      <w:r w:rsidR="00975895" w:rsidRPr="003015FD">
        <w:t xml:space="preserve"> </w:t>
      </w:r>
      <w:r w:rsidR="00A601D1" w:rsidRPr="003015FD">
        <w:t>the</w:t>
      </w:r>
      <w:r w:rsidR="00975895" w:rsidRPr="003015FD">
        <w:t xml:space="preserve"> </w:t>
      </w:r>
      <w:r w:rsidR="00A601D1" w:rsidRPr="003015FD">
        <w:t>strict</w:t>
      </w:r>
      <w:r w:rsidR="00975895" w:rsidRPr="003015FD">
        <w:t xml:space="preserve"> </w:t>
      </w:r>
      <w:r w:rsidR="00A601D1" w:rsidRPr="003015FD">
        <w:t>liability</w:t>
      </w:r>
      <w:r w:rsidR="00975895" w:rsidRPr="003015FD">
        <w:t xml:space="preserve"> </w:t>
      </w:r>
      <w:r w:rsidR="00A601D1" w:rsidRPr="003015FD">
        <w:t>offence</w:t>
      </w:r>
      <w:r w:rsidR="00975895" w:rsidRPr="003015FD">
        <w:t xml:space="preserve"> </w:t>
      </w:r>
      <w:r w:rsidR="00A601D1" w:rsidRPr="003015FD">
        <w:t>could</w:t>
      </w:r>
      <w:r w:rsidR="00975895" w:rsidRPr="003015FD">
        <w:t xml:space="preserve"> </w:t>
      </w:r>
      <w:r w:rsidR="00A601D1" w:rsidRPr="003015FD">
        <w:t>result</w:t>
      </w:r>
      <w:r w:rsidR="00975895" w:rsidRPr="003015FD">
        <w:t xml:space="preserve"> </w:t>
      </w:r>
      <w:r w:rsidR="00A601D1" w:rsidRPr="003015FD">
        <w:t>in</w:t>
      </w:r>
      <w:r w:rsidR="00975895" w:rsidRPr="003015FD">
        <w:t xml:space="preserve"> </w:t>
      </w:r>
      <w:r w:rsidR="00A601D1" w:rsidRPr="003015FD">
        <w:t>arbitrary</w:t>
      </w:r>
      <w:r w:rsidR="00975895" w:rsidRPr="003015FD">
        <w:t xml:space="preserve"> </w:t>
      </w:r>
      <w:r w:rsidR="00A601D1" w:rsidRPr="003015FD">
        <w:t>detention</w:t>
      </w:r>
      <w:r w:rsidR="00975895" w:rsidRPr="003015FD">
        <w:t xml:space="preserve"> </w:t>
      </w:r>
      <w:r w:rsidR="00A601D1" w:rsidRPr="003015FD">
        <w:t>in</w:t>
      </w:r>
      <w:r w:rsidR="00975895" w:rsidRPr="003015FD">
        <w:t xml:space="preserve"> </w:t>
      </w:r>
      <w:r w:rsidR="00A601D1" w:rsidRPr="003015FD">
        <w:t>breach</w:t>
      </w:r>
      <w:r w:rsidR="00975895" w:rsidRPr="003015FD">
        <w:t xml:space="preserve"> </w:t>
      </w:r>
      <w:r w:rsidR="00A601D1" w:rsidRPr="003015FD">
        <w:t>of</w:t>
      </w:r>
      <w:r w:rsidR="00975895" w:rsidRPr="003015FD">
        <w:t xml:space="preserve"> </w:t>
      </w:r>
      <w:r w:rsidR="00A601D1" w:rsidRPr="003015FD">
        <w:t>s</w:t>
      </w:r>
      <w:r>
        <w:t>ection</w:t>
      </w:r>
      <w:r w:rsidR="00975895" w:rsidRPr="003015FD">
        <w:t xml:space="preserve"> </w:t>
      </w:r>
      <w:r w:rsidR="00A601D1" w:rsidRPr="003015FD">
        <w:t>21(2)</w:t>
      </w:r>
      <w:r w:rsidR="00975895" w:rsidRPr="003015FD">
        <w:t xml:space="preserve"> </w:t>
      </w:r>
      <w:r w:rsidR="00A601D1" w:rsidRPr="003015FD">
        <w:t>of</w:t>
      </w:r>
      <w:r w:rsidR="00975895" w:rsidRPr="003015FD">
        <w:t xml:space="preserve"> </w:t>
      </w:r>
      <w:r w:rsidR="00A601D1" w:rsidRPr="003015FD">
        <w:t>the</w:t>
      </w:r>
      <w:r w:rsidR="00975895" w:rsidRPr="003015FD">
        <w:t xml:space="preserve"> </w:t>
      </w:r>
      <w:r w:rsidR="00A601D1" w:rsidRPr="003015FD">
        <w:t>Charter</w:t>
      </w:r>
      <w:r w:rsidR="00975895" w:rsidRPr="003015FD">
        <w:t xml:space="preserve"> </w:t>
      </w:r>
      <w:r w:rsidR="00A601D1" w:rsidRPr="003015FD">
        <w:t>(the</w:t>
      </w:r>
      <w:r w:rsidR="00975895" w:rsidRPr="003015FD">
        <w:t xml:space="preserve"> </w:t>
      </w:r>
      <w:r w:rsidR="00A601D1" w:rsidRPr="003015FD">
        <w:t>privilege</w:t>
      </w:r>
      <w:r w:rsidR="00975895" w:rsidRPr="003015FD">
        <w:t xml:space="preserve"> </w:t>
      </w:r>
      <w:r w:rsidR="00A601D1" w:rsidRPr="003015FD">
        <w:t>against</w:t>
      </w:r>
      <w:r w:rsidR="00975895" w:rsidRPr="003015FD">
        <w:t xml:space="preserve"> </w:t>
      </w:r>
      <w:r w:rsidR="00A601D1" w:rsidRPr="003015FD">
        <w:lastRenderedPageBreak/>
        <w:t>self-incrimination)</w:t>
      </w:r>
      <w:r>
        <w:t>,</w:t>
      </w:r>
      <w:r w:rsidR="00975895" w:rsidRPr="003015FD">
        <w:t xml:space="preserve"> </w:t>
      </w:r>
      <w:r w:rsidR="00A601D1" w:rsidRPr="003015FD">
        <w:t>given</w:t>
      </w:r>
      <w:r w:rsidR="00975895" w:rsidRPr="003015FD">
        <w:t xml:space="preserve"> </w:t>
      </w:r>
      <w:r w:rsidR="00A601D1" w:rsidRPr="003015FD">
        <w:t>that</w:t>
      </w:r>
      <w:r w:rsidR="00975895" w:rsidRPr="003015FD">
        <w:t xml:space="preserve"> </w:t>
      </w:r>
      <w:r w:rsidR="00A601D1" w:rsidRPr="003015FD">
        <w:t>the</w:t>
      </w:r>
      <w:r w:rsidR="00975895" w:rsidRPr="003015FD">
        <w:t xml:space="preserve"> </w:t>
      </w:r>
      <w:r w:rsidR="00A601D1" w:rsidRPr="003015FD">
        <w:t>scope</w:t>
      </w:r>
      <w:r w:rsidR="00975895" w:rsidRPr="003015FD">
        <w:t xml:space="preserve"> </w:t>
      </w:r>
      <w:r w:rsidR="00A601D1" w:rsidRPr="003015FD">
        <w:t>of</w:t>
      </w:r>
      <w:r w:rsidR="00975895" w:rsidRPr="003015FD">
        <w:t xml:space="preserve"> </w:t>
      </w:r>
      <w:r w:rsidR="00A601D1" w:rsidRPr="003015FD">
        <w:t>the</w:t>
      </w:r>
      <w:r w:rsidR="00975895" w:rsidRPr="003015FD">
        <w:t xml:space="preserve"> </w:t>
      </w:r>
      <w:r w:rsidR="00A601D1" w:rsidRPr="003015FD">
        <w:t>prohibited</w:t>
      </w:r>
      <w:r w:rsidR="00975895" w:rsidRPr="003015FD">
        <w:t xml:space="preserve"> </w:t>
      </w:r>
      <w:r w:rsidR="00A601D1" w:rsidRPr="003015FD">
        <w:t>behaviour</w:t>
      </w:r>
      <w:r w:rsidR="00975895" w:rsidRPr="003015FD">
        <w:t xml:space="preserve"> </w:t>
      </w:r>
      <w:r w:rsidR="00A601D1" w:rsidRPr="003015FD">
        <w:t>appeared</w:t>
      </w:r>
      <w:r w:rsidR="00975895" w:rsidRPr="003015FD">
        <w:t xml:space="preserve"> </w:t>
      </w:r>
      <w:r w:rsidR="00A601D1" w:rsidRPr="003015FD">
        <w:t>to</w:t>
      </w:r>
      <w:r w:rsidR="00975895" w:rsidRPr="003015FD">
        <w:t xml:space="preserve"> </w:t>
      </w:r>
      <w:r w:rsidR="00A601D1" w:rsidRPr="003015FD">
        <w:t>be</w:t>
      </w:r>
      <w:r w:rsidR="00975895" w:rsidRPr="003015FD">
        <w:t xml:space="preserve"> </w:t>
      </w:r>
      <w:r w:rsidR="00A601D1" w:rsidRPr="003015FD">
        <w:t>unclear</w:t>
      </w:r>
      <w:r w:rsidR="00975895" w:rsidRPr="003015FD">
        <w:t xml:space="preserve"> </w:t>
      </w:r>
      <w:r w:rsidR="00A601D1" w:rsidRPr="003015FD">
        <w:t>and</w:t>
      </w:r>
      <w:r w:rsidR="00975895" w:rsidRPr="003015FD">
        <w:t xml:space="preserve"> </w:t>
      </w:r>
      <w:r w:rsidR="00A601D1" w:rsidRPr="003015FD">
        <w:t>difficult</w:t>
      </w:r>
      <w:r w:rsidR="00975895" w:rsidRPr="003015FD">
        <w:t xml:space="preserve"> </w:t>
      </w:r>
      <w:r w:rsidR="00A601D1" w:rsidRPr="003015FD">
        <w:t>to</w:t>
      </w:r>
      <w:r w:rsidR="00975895" w:rsidRPr="003015FD">
        <w:t xml:space="preserve"> </w:t>
      </w:r>
      <w:r w:rsidR="00A601D1" w:rsidRPr="003015FD">
        <w:t>ascertain</w:t>
      </w:r>
      <w:r w:rsidR="00975895" w:rsidRPr="003015FD">
        <w:t xml:space="preserve"> </w:t>
      </w:r>
      <w:r w:rsidR="00A601D1" w:rsidRPr="003015FD">
        <w:t>and</w:t>
      </w:r>
      <w:r w:rsidR="00975895" w:rsidRPr="003015FD">
        <w:t xml:space="preserve"> </w:t>
      </w:r>
      <w:r w:rsidR="00A601D1" w:rsidRPr="003015FD">
        <w:t>there</w:t>
      </w:r>
      <w:r w:rsidR="00975895" w:rsidRPr="003015FD">
        <w:t xml:space="preserve"> </w:t>
      </w:r>
      <w:r w:rsidR="00A601D1" w:rsidRPr="003015FD">
        <w:t>is</w:t>
      </w:r>
      <w:r w:rsidR="00975895" w:rsidRPr="003015FD">
        <w:t xml:space="preserve"> </w:t>
      </w:r>
      <w:r w:rsidR="00A601D1" w:rsidRPr="003015FD">
        <w:t>no</w:t>
      </w:r>
      <w:r w:rsidR="00975895" w:rsidRPr="003015FD">
        <w:t xml:space="preserve"> </w:t>
      </w:r>
      <w:r w:rsidR="00A601D1" w:rsidRPr="003015FD">
        <w:t>requirement</w:t>
      </w:r>
      <w:r w:rsidR="00975895" w:rsidRPr="003015FD">
        <w:t xml:space="preserve"> </w:t>
      </w:r>
      <w:r w:rsidR="00A601D1" w:rsidRPr="003015FD">
        <w:t>to</w:t>
      </w:r>
      <w:r w:rsidR="00975895" w:rsidRPr="003015FD">
        <w:t xml:space="preserve"> </w:t>
      </w:r>
      <w:r w:rsidR="00A601D1" w:rsidRPr="003015FD">
        <w:t>prove</w:t>
      </w:r>
      <w:r w:rsidR="00975895" w:rsidRPr="003015FD">
        <w:t xml:space="preserve"> </w:t>
      </w:r>
      <w:r w:rsidR="00A601D1" w:rsidRPr="003015FD">
        <w:t>intent.</w:t>
      </w:r>
      <w:r w:rsidR="00975895" w:rsidRPr="003015FD">
        <w:t xml:space="preserve"> </w:t>
      </w:r>
      <w:r w:rsidR="00A601D1" w:rsidRPr="003015FD">
        <w:t>SARC</w:t>
      </w:r>
      <w:r w:rsidR="00975895" w:rsidRPr="003015FD">
        <w:t xml:space="preserve"> </w:t>
      </w:r>
      <w:r w:rsidR="00A601D1" w:rsidRPr="003015FD">
        <w:t>had</w:t>
      </w:r>
      <w:r w:rsidR="00975895" w:rsidRPr="003015FD">
        <w:t xml:space="preserve"> </w:t>
      </w:r>
      <w:r w:rsidR="00A601D1" w:rsidRPr="003015FD">
        <w:t>also</w:t>
      </w:r>
      <w:r w:rsidR="00975895" w:rsidRPr="003015FD">
        <w:t xml:space="preserve"> </w:t>
      </w:r>
      <w:r w:rsidR="00A601D1" w:rsidRPr="003015FD">
        <w:t>considered</w:t>
      </w:r>
      <w:r w:rsidR="00975895" w:rsidRPr="003015FD">
        <w:t xml:space="preserve"> </w:t>
      </w:r>
      <w:r w:rsidR="00A601D1" w:rsidRPr="003015FD">
        <w:t>whether</w:t>
      </w:r>
      <w:r w:rsidR="00975895" w:rsidRPr="003015FD">
        <w:t xml:space="preserve"> </w:t>
      </w:r>
      <w:r w:rsidR="00A601D1" w:rsidRPr="003015FD">
        <w:t>the</w:t>
      </w:r>
      <w:r w:rsidR="00975895" w:rsidRPr="003015FD">
        <w:t xml:space="preserve"> </w:t>
      </w:r>
      <w:r w:rsidR="00A601D1" w:rsidRPr="003015FD">
        <w:t>proposed</w:t>
      </w:r>
      <w:r w:rsidR="00975895" w:rsidRPr="003015FD">
        <w:t xml:space="preserve"> </w:t>
      </w:r>
      <w:r w:rsidR="00A601D1" w:rsidRPr="003015FD">
        <w:t>noise</w:t>
      </w:r>
      <w:r w:rsidR="00975895" w:rsidRPr="003015FD">
        <w:t xml:space="preserve"> </w:t>
      </w:r>
      <w:r w:rsidR="00A601D1" w:rsidRPr="003015FD">
        <w:t>restrictions</w:t>
      </w:r>
      <w:r w:rsidR="00975895" w:rsidRPr="003015FD">
        <w:t xml:space="preserve"> </w:t>
      </w:r>
      <w:r w:rsidR="00A601D1" w:rsidRPr="003015FD">
        <w:t>for</w:t>
      </w:r>
      <w:r w:rsidR="00975895" w:rsidRPr="003015FD">
        <w:t xml:space="preserve"> </w:t>
      </w:r>
      <w:r w:rsidR="00A601D1" w:rsidRPr="003015FD">
        <w:t>non-residential</w:t>
      </w:r>
      <w:r w:rsidR="00975895" w:rsidRPr="003015FD">
        <w:t xml:space="preserve"> </w:t>
      </w:r>
      <w:r w:rsidR="00A601D1" w:rsidRPr="003015FD">
        <w:t>premises</w:t>
      </w:r>
      <w:r w:rsidR="00975895" w:rsidRPr="003015FD">
        <w:t xml:space="preserve"> </w:t>
      </w:r>
      <w:r w:rsidR="00A601D1" w:rsidRPr="003015FD">
        <w:t>limited</w:t>
      </w:r>
      <w:r w:rsidR="00975895" w:rsidRPr="003015FD">
        <w:t xml:space="preserve"> </w:t>
      </w:r>
      <w:r w:rsidR="00A601D1" w:rsidRPr="003015FD">
        <w:t>the</w:t>
      </w:r>
      <w:r w:rsidR="00975895" w:rsidRPr="003015FD">
        <w:t xml:space="preserve"> </w:t>
      </w:r>
      <w:r w:rsidR="00A601D1" w:rsidRPr="003015FD">
        <w:t>freedom</w:t>
      </w:r>
      <w:r w:rsidR="00975895" w:rsidRPr="003015FD">
        <w:t xml:space="preserve"> </w:t>
      </w:r>
      <w:r w:rsidR="00A601D1" w:rsidRPr="003015FD">
        <w:t>of</w:t>
      </w:r>
      <w:r w:rsidR="00975895" w:rsidRPr="003015FD">
        <w:t xml:space="preserve"> </w:t>
      </w:r>
      <w:r w:rsidR="00A601D1" w:rsidRPr="003015FD">
        <w:t>expression</w:t>
      </w:r>
      <w:r w:rsidR="00975895" w:rsidRPr="003015FD">
        <w:t xml:space="preserve"> </w:t>
      </w:r>
      <w:r w:rsidR="00A601D1" w:rsidRPr="003015FD">
        <w:t>of</w:t>
      </w:r>
      <w:r w:rsidR="00975895" w:rsidRPr="003015FD">
        <w:t xml:space="preserve"> </w:t>
      </w:r>
      <w:r w:rsidR="00A601D1" w:rsidRPr="003015FD">
        <w:t>musicians</w:t>
      </w:r>
      <w:r w:rsidR="00975895" w:rsidRPr="003015FD">
        <w:t xml:space="preserve"> </w:t>
      </w:r>
      <w:r w:rsidR="00A601D1" w:rsidRPr="003015FD">
        <w:t>and</w:t>
      </w:r>
      <w:r w:rsidR="00975895" w:rsidRPr="003015FD">
        <w:t xml:space="preserve"> </w:t>
      </w:r>
      <w:r w:rsidR="00A601D1" w:rsidRPr="003015FD">
        <w:t>music</w:t>
      </w:r>
      <w:r w:rsidR="00975895" w:rsidRPr="003015FD">
        <w:t xml:space="preserve"> </w:t>
      </w:r>
      <w:r w:rsidR="00A601D1" w:rsidRPr="003015FD">
        <w:t>venues</w:t>
      </w:r>
      <w:r w:rsidR="008E0945" w:rsidRPr="003015FD">
        <w:t>.</w:t>
      </w:r>
      <w:r w:rsidR="008E0945" w:rsidRPr="004862C5">
        <w:rPr>
          <w:rStyle w:val="FootnoteReference"/>
        </w:rPr>
        <w:footnoteReference w:id="54"/>
      </w:r>
    </w:p>
    <w:p w14:paraId="74F9F747" w14:textId="4F1A9475" w:rsidR="008E0945" w:rsidRPr="003015FD" w:rsidRDefault="005D3541" w:rsidP="005B74F5">
      <w:pPr>
        <w:pStyle w:val="ListBullet"/>
      </w:pPr>
      <w:r>
        <w:t>T</w:t>
      </w:r>
      <w:r w:rsidR="008E0945" w:rsidRPr="003015FD">
        <w:t>he</w:t>
      </w:r>
      <w:r w:rsidR="00975895" w:rsidRPr="003015FD">
        <w:t xml:space="preserve"> </w:t>
      </w:r>
      <w:r w:rsidR="008E0945" w:rsidRPr="003015FD">
        <w:t>Corrections</w:t>
      </w:r>
      <w:r w:rsidR="00975895" w:rsidRPr="003015FD">
        <w:t xml:space="preserve"> </w:t>
      </w:r>
      <w:r w:rsidR="008E0945" w:rsidRPr="003015FD">
        <w:t>Amendment</w:t>
      </w:r>
      <w:r w:rsidR="00975895" w:rsidRPr="003015FD">
        <w:t xml:space="preserve"> </w:t>
      </w:r>
      <w:r w:rsidR="008E0945" w:rsidRPr="003015FD">
        <w:t>(Parole)</w:t>
      </w:r>
      <w:r w:rsidR="00975895" w:rsidRPr="003015FD">
        <w:t xml:space="preserve"> </w:t>
      </w:r>
      <w:r w:rsidR="008E0945" w:rsidRPr="003015FD">
        <w:t>Bill</w:t>
      </w:r>
      <w:r w:rsidR="00975895" w:rsidRPr="003015FD">
        <w:t xml:space="preserve"> </w:t>
      </w:r>
      <w:r w:rsidR="008E0945" w:rsidRPr="003015FD">
        <w:t>2018</w:t>
      </w:r>
      <w:r w:rsidR="00975895" w:rsidRPr="003015FD">
        <w:t xml:space="preserve"> </w:t>
      </w:r>
      <w:r w:rsidR="008E0945" w:rsidRPr="003015FD">
        <w:t>(discussed</w:t>
      </w:r>
      <w:r w:rsidR="00975895" w:rsidRPr="003015FD">
        <w:t xml:space="preserve"> </w:t>
      </w:r>
      <w:r w:rsidR="008E0945" w:rsidRPr="003015FD">
        <w:t>above).</w:t>
      </w:r>
      <w:r w:rsidR="00975895" w:rsidRPr="003015FD">
        <w:t xml:space="preserve"> </w:t>
      </w:r>
      <w:r w:rsidR="008E0945" w:rsidRPr="003015FD">
        <w:t>Although</w:t>
      </w:r>
      <w:r w:rsidR="00975895" w:rsidRPr="003015FD">
        <w:t xml:space="preserve"> </w:t>
      </w:r>
      <w:r w:rsidR="008E0945" w:rsidRPr="003015FD">
        <w:t>the</w:t>
      </w:r>
      <w:r w:rsidR="00975895" w:rsidRPr="003015FD">
        <w:t xml:space="preserve"> </w:t>
      </w:r>
      <w:r w:rsidR="008E0945" w:rsidRPr="003015FD">
        <w:t>Bill</w:t>
      </w:r>
      <w:r w:rsidR="00975895" w:rsidRPr="003015FD">
        <w:t xml:space="preserve"> </w:t>
      </w:r>
      <w:r w:rsidR="008E0945" w:rsidRPr="003015FD">
        <w:t>was</w:t>
      </w:r>
      <w:r w:rsidR="00975895" w:rsidRPr="003015FD">
        <w:t xml:space="preserve"> </w:t>
      </w:r>
      <w:r w:rsidR="008E0945" w:rsidRPr="003015FD">
        <w:t>introduced</w:t>
      </w:r>
      <w:r w:rsidR="00975895" w:rsidRPr="003015FD">
        <w:t xml:space="preserve"> </w:t>
      </w:r>
      <w:r w:rsidR="008E0945" w:rsidRPr="003015FD">
        <w:t>and</w:t>
      </w:r>
      <w:r w:rsidR="00975895" w:rsidRPr="003015FD">
        <w:t xml:space="preserve"> </w:t>
      </w:r>
      <w:r w:rsidR="008E0945" w:rsidRPr="003015FD">
        <w:t>passed</w:t>
      </w:r>
      <w:r w:rsidR="00975895" w:rsidRPr="003015FD">
        <w:t xml:space="preserve"> </w:t>
      </w:r>
      <w:r w:rsidR="008E0945" w:rsidRPr="003015FD">
        <w:t>before</w:t>
      </w:r>
      <w:r w:rsidR="00975895" w:rsidRPr="003015FD">
        <w:t xml:space="preserve"> </w:t>
      </w:r>
      <w:r w:rsidR="008E0945" w:rsidRPr="003015FD">
        <w:t>SARC</w:t>
      </w:r>
      <w:r w:rsidR="00975895" w:rsidRPr="003015FD">
        <w:t xml:space="preserve"> </w:t>
      </w:r>
      <w:r w:rsidR="008E0945" w:rsidRPr="003015FD">
        <w:t>had</w:t>
      </w:r>
      <w:r w:rsidR="00975895" w:rsidRPr="003015FD">
        <w:t xml:space="preserve"> </w:t>
      </w:r>
      <w:r w:rsidR="008E0945" w:rsidRPr="003015FD">
        <w:t>the</w:t>
      </w:r>
      <w:r w:rsidR="00975895" w:rsidRPr="003015FD">
        <w:t xml:space="preserve"> </w:t>
      </w:r>
      <w:r w:rsidR="008E0945" w:rsidRPr="003015FD">
        <w:t>opportunity</w:t>
      </w:r>
      <w:r w:rsidR="00975895" w:rsidRPr="003015FD">
        <w:t xml:space="preserve"> </w:t>
      </w:r>
      <w:r w:rsidR="008E0945" w:rsidRPr="003015FD">
        <w:t>to</w:t>
      </w:r>
      <w:r w:rsidR="00975895" w:rsidRPr="003015FD">
        <w:t xml:space="preserve"> </w:t>
      </w:r>
      <w:r w:rsidR="008E0945" w:rsidRPr="003015FD">
        <w:t>report</w:t>
      </w:r>
      <w:r w:rsidR="00975895" w:rsidRPr="003015FD">
        <w:t xml:space="preserve"> </w:t>
      </w:r>
      <w:r w:rsidR="008E0945" w:rsidRPr="003015FD">
        <w:t>on</w:t>
      </w:r>
      <w:r w:rsidR="00975895" w:rsidRPr="003015FD">
        <w:t xml:space="preserve"> </w:t>
      </w:r>
      <w:r w:rsidR="008E0945" w:rsidRPr="003015FD">
        <w:t>it,</w:t>
      </w:r>
      <w:r w:rsidR="00975895" w:rsidRPr="003015FD">
        <w:t xml:space="preserve"> </w:t>
      </w:r>
      <w:r w:rsidR="008E0945" w:rsidRPr="003015FD">
        <w:t>a</w:t>
      </w:r>
      <w:r w:rsidR="00975895" w:rsidRPr="003015FD">
        <w:t xml:space="preserve"> </w:t>
      </w:r>
      <w:r w:rsidR="008E0945" w:rsidRPr="003015FD">
        <w:t>member</w:t>
      </w:r>
      <w:r w:rsidR="00975895" w:rsidRPr="003015FD">
        <w:t xml:space="preserve"> </w:t>
      </w:r>
      <w:r w:rsidR="008E0945" w:rsidRPr="003015FD">
        <w:t>referred</w:t>
      </w:r>
      <w:r w:rsidR="00975895" w:rsidRPr="003015FD">
        <w:t xml:space="preserve"> </w:t>
      </w:r>
      <w:r w:rsidR="008E0945" w:rsidRPr="003015FD">
        <w:t>to</w:t>
      </w:r>
      <w:r w:rsidR="00975895" w:rsidRPr="003015FD">
        <w:t xml:space="preserve"> </w:t>
      </w:r>
      <w:r w:rsidR="008E0945" w:rsidRPr="003015FD">
        <w:t>the</w:t>
      </w:r>
      <w:r w:rsidR="00975895" w:rsidRPr="003015FD">
        <w:t xml:space="preserve"> </w:t>
      </w:r>
      <w:r w:rsidR="008E0945" w:rsidRPr="003015FD">
        <w:t>SARC</w:t>
      </w:r>
      <w:r w:rsidR="00975895" w:rsidRPr="003015FD">
        <w:t xml:space="preserve"> </w:t>
      </w:r>
      <w:r w:rsidR="008E0945" w:rsidRPr="003015FD">
        <w:t>report</w:t>
      </w:r>
      <w:r w:rsidR="00975895" w:rsidRPr="003015FD">
        <w:t xml:space="preserve"> </w:t>
      </w:r>
      <w:r w:rsidR="008E0945" w:rsidRPr="003015FD">
        <w:t>on</w:t>
      </w:r>
      <w:r w:rsidR="00975895" w:rsidRPr="003015FD">
        <w:t xml:space="preserve"> </w:t>
      </w:r>
      <w:r w:rsidR="008E0945" w:rsidRPr="003015FD">
        <w:t>the</w:t>
      </w:r>
      <w:r w:rsidR="00975895" w:rsidRPr="003015FD">
        <w:t xml:space="preserve"> </w:t>
      </w:r>
      <w:r w:rsidR="008E0945" w:rsidRPr="003015FD">
        <w:t>2016</w:t>
      </w:r>
      <w:r w:rsidR="00975895" w:rsidRPr="003015FD">
        <w:t xml:space="preserve"> </w:t>
      </w:r>
      <w:r w:rsidR="008E0945" w:rsidRPr="003015FD">
        <w:t>amendments</w:t>
      </w:r>
      <w:r w:rsidR="00975895" w:rsidRPr="003015FD">
        <w:t xml:space="preserve"> </w:t>
      </w:r>
      <w:r w:rsidR="008E0945" w:rsidRPr="003015FD">
        <w:t>that</w:t>
      </w:r>
      <w:r w:rsidR="00975895" w:rsidRPr="003015FD">
        <w:t xml:space="preserve"> </w:t>
      </w:r>
      <w:r w:rsidR="008E0945" w:rsidRPr="003015FD">
        <w:t>were</w:t>
      </w:r>
      <w:r w:rsidR="00975895" w:rsidRPr="003015FD">
        <w:t xml:space="preserve"> </w:t>
      </w:r>
      <w:r w:rsidR="008E0945" w:rsidRPr="003015FD">
        <w:t>substantially</w:t>
      </w:r>
      <w:r w:rsidR="00975895" w:rsidRPr="003015FD">
        <w:t xml:space="preserve"> </w:t>
      </w:r>
      <w:r w:rsidR="008E0945" w:rsidRPr="003015FD">
        <w:t>the</w:t>
      </w:r>
      <w:r w:rsidR="00975895" w:rsidRPr="003015FD">
        <w:t xml:space="preserve"> </w:t>
      </w:r>
      <w:r w:rsidR="008E0945" w:rsidRPr="003015FD">
        <w:t>same.</w:t>
      </w:r>
      <w:r w:rsidR="008E0945" w:rsidRPr="004862C5">
        <w:rPr>
          <w:rStyle w:val="FootnoteReference"/>
        </w:rPr>
        <w:footnoteReference w:id="55"/>
      </w:r>
      <w:r w:rsidR="00975895" w:rsidRPr="003015FD">
        <w:t xml:space="preserve"> </w:t>
      </w:r>
      <w:r w:rsidR="008E0945" w:rsidRPr="003015FD">
        <w:t>Another</w:t>
      </w:r>
      <w:r w:rsidR="00975895" w:rsidRPr="003015FD">
        <w:t xml:space="preserve"> </w:t>
      </w:r>
      <w:r w:rsidR="008E0945" w:rsidRPr="003015FD">
        <w:t>member</w:t>
      </w:r>
      <w:r w:rsidR="00975895" w:rsidRPr="003015FD">
        <w:t xml:space="preserve"> </w:t>
      </w:r>
      <w:r w:rsidR="008E0945" w:rsidRPr="003015FD">
        <w:t>also</w:t>
      </w:r>
      <w:r w:rsidR="00975895" w:rsidRPr="003015FD">
        <w:t xml:space="preserve"> </w:t>
      </w:r>
      <w:r w:rsidR="008E0945" w:rsidRPr="003015FD">
        <w:t>noted</w:t>
      </w:r>
      <w:r w:rsidR="00975895" w:rsidRPr="003015FD">
        <w:t xml:space="preserve"> </w:t>
      </w:r>
      <w:r w:rsidR="008E0945" w:rsidRPr="003015FD">
        <w:t>the</w:t>
      </w:r>
      <w:r w:rsidR="00975895" w:rsidRPr="003015FD">
        <w:t xml:space="preserve"> </w:t>
      </w:r>
      <w:r w:rsidR="008E0945" w:rsidRPr="003015FD">
        <w:t>limitations</w:t>
      </w:r>
      <w:r w:rsidR="00975895" w:rsidRPr="003015FD">
        <w:t xml:space="preserve"> </w:t>
      </w:r>
      <w:r w:rsidR="008E0945" w:rsidRPr="003015FD">
        <w:t>of</w:t>
      </w:r>
      <w:r w:rsidR="00975895" w:rsidRPr="003015FD">
        <w:t xml:space="preserve"> </w:t>
      </w:r>
      <w:r w:rsidR="008E0945" w:rsidRPr="003015FD">
        <w:t>not</w:t>
      </w:r>
      <w:r w:rsidR="00975895" w:rsidRPr="003015FD">
        <w:t xml:space="preserve"> </w:t>
      </w:r>
      <w:r w:rsidR="008E0945" w:rsidRPr="003015FD">
        <w:t>having</w:t>
      </w:r>
      <w:r w:rsidR="00975895" w:rsidRPr="003015FD">
        <w:t xml:space="preserve"> </w:t>
      </w:r>
      <w:r w:rsidR="008E0945" w:rsidRPr="003015FD">
        <w:t>a</w:t>
      </w:r>
      <w:r w:rsidR="00975895" w:rsidRPr="003015FD">
        <w:t xml:space="preserve"> </w:t>
      </w:r>
      <w:r w:rsidR="008E0945" w:rsidRPr="003015FD">
        <w:t>SARC</w:t>
      </w:r>
      <w:r w:rsidR="00975895" w:rsidRPr="003015FD">
        <w:t xml:space="preserve"> </w:t>
      </w:r>
      <w:r w:rsidR="008E0945" w:rsidRPr="003015FD">
        <w:t>report</w:t>
      </w:r>
      <w:r w:rsidR="00975895" w:rsidRPr="003015FD">
        <w:t xml:space="preserve"> </w:t>
      </w:r>
      <w:r w:rsidR="008E0945" w:rsidRPr="003015FD">
        <w:t>available</w:t>
      </w:r>
      <w:r w:rsidR="00975895" w:rsidRPr="003015FD">
        <w:t xml:space="preserve"> </w:t>
      </w:r>
      <w:r w:rsidR="008E0945" w:rsidRPr="003015FD">
        <w:t>on</w:t>
      </w:r>
      <w:r w:rsidR="00975895" w:rsidRPr="003015FD">
        <w:t xml:space="preserve"> </w:t>
      </w:r>
      <w:r w:rsidR="008E0945" w:rsidRPr="003015FD">
        <w:t>the</w:t>
      </w:r>
      <w:r w:rsidR="00975895" w:rsidRPr="003015FD">
        <w:t xml:space="preserve"> </w:t>
      </w:r>
      <w:r w:rsidR="008E0945" w:rsidRPr="003015FD">
        <w:t>current</w:t>
      </w:r>
      <w:r w:rsidR="00975895" w:rsidRPr="003015FD">
        <w:t xml:space="preserve"> </w:t>
      </w:r>
      <w:r w:rsidR="008E0945" w:rsidRPr="003015FD">
        <w:t>amendments</w:t>
      </w:r>
      <w:r w:rsidR="00975895" w:rsidRPr="003015FD">
        <w:t xml:space="preserve"> </w:t>
      </w:r>
      <w:r w:rsidR="008E0945" w:rsidRPr="003015FD">
        <w:t>to</w:t>
      </w:r>
      <w:r w:rsidR="00975895" w:rsidRPr="003015FD">
        <w:t xml:space="preserve"> </w:t>
      </w:r>
      <w:r w:rsidR="008E0945" w:rsidRPr="003015FD">
        <w:t>provide</w:t>
      </w:r>
      <w:r w:rsidR="00975895" w:rsidRPr="003015FD">
        <w:t xml:space="preserve"> </w:t>
      </w:r>
      <w:r w:rsidR="008E0945" w:rsidRPr="003015FD">
        <w:t>guidance</w:t>
      </w:r>
      <w:r w:rsidR="00975895" w:rsidRPr="003015FD">
        <w:t xml:space="preserve"> </w:t>
      </w:r>
      <w:r w:rsidR="008E0945" w:rsidRPr="003015FD">
        <w:t>on</w:t>
      </w:r>
      <w:r w:rsidR="00975895" w:rsidRPr="003015FD">
        <w:t xml:space="preserve"> </w:t>
      </w:r>
      <w:r w:rsidR="008E0945" w:rsidRPr="003015FD">
        <w:t>human</w:t>
      </w:r>
      <w:r w:rsidR="00975895" w:rsidRPr="003015FD">
        <w:t xml:space="preserve"> </w:t>
      </w:r>
      <w:r w:rsidR="008E0945" w:rsidRPr="003015FD">
        <w:t>rights</w:t>
      </w:r>
      <w:r w:rsidR="00975895" w:rsidRPr="003015FD">
        <w:t xml:space="preserve"> </w:t>
      </w:r>
      <w:r w:rsidR="008E0945" w:rsidRPr="003015FD">
        <w:t>issues.</w:t>
      </w:r>
      <w:r w:rsidR="008E0945" w:rsidRPr="004862C5">
        <w:rPr>
          <w:rStyle w:val="FootnoteReference"/>
        </w:rPr>
        <w:footnoteReference w:id="56"/>
      </w:r>
    </w:p>
    <w:p w14:paraId="3490597D" w14:textId="21E28C56" w:rsidR="008E0945" w:rsidRPr="003015FD" w:rsidRDefault="005D3541" w:rsidP="0002642E">
      <w:pPr>
        <w:pStyle w:val="ListBullet"/>
      </w:pPr>
      <w:r>
        <w:t>T</w:t>
      </w:r>
      <w:r w:rsidR="008E0945" w:rsidRPr="003015FD">
        <w:t>he</w:t>
      </w:r>
      <w:r w:rsidR="00975895" w:rsidRPr="003015FD">
        <w:t xml:space="preserve"> </w:t>
      </w:r>
      <w:r w:rsidR="008E0945" w:rsidRPr="003015FD">
        <w:t>Advancing</w:t>
      </w:r>
      <w:r w:rsidR="00975895" w:rsidRPr="003015FD">
        <w:t xml:space="preserve"> </w:t>
      </w:r>
      <w:r w:rsidR="008E0945" w:rsidRPr="003015FD">
        <w:t>the</w:t>
      </w:r>
      <w:r w:rsidR="00975895" w:rsidRPr="003015FD">
        <w:t xml:space="preserve"> </w:t>
      </w:r>
      <w:r w:rsidR="008E0945" w:rsidRPr="003015FD">
        <w:t>Treaty</w:t>
      </w:r>
      <w:r w:rsidR="00975895" w:rsidRPr="003015FD">
        <w:t xml:space="preserve"> </w:t>
      </w:r>
      <w:r w:rsidR="008E0945" w:rsidRPr="003015FD">
        <w:t>Process</w:t>
      </w:r>
      <w:r w:rsidR="00975895" w:rsidRPr="003015FD">
        <w:t xml:space="preserve"> </w:t>
      </w:r>
      <w:r w:rsidR="008E0945" w:rsidRPr="003015FD">
        <w:t>with</w:t>
      </w:r>
      <w:r w:rsidR="00975895" w:rsidRPr="003015FD">
        <w:t xml:space="preserve"> </w:t>
      </w:r>
      <w:r w:rsidR="008E0945" w:rsidRPr="003015FD">
        <w:t>Aboriginal</w:t>
      </w:r>
      <w:r w:rsidR="00975895" w:rsidRPr="003015FD">
        <w:t xml:space="preserve"> </w:t>
      </w:r>
      <w:r w:rsidR="008E0945" w:rsidRPr="003015FD">
        <w:t>Victorians</w:t>
      </w:r>
      <w:r w:rsidR="00975895" w:rsidRPr="003015FD">
        <w:t xml:space="preserve"> </w:t>
      </w:r>
      <w:r w:rsidR="008E0945" w:rsidRPr="003015FD">
        <w:t>Bill</w:t>
      </w:r>
      <w:r w:rsidR="00975895" w:rsidRPr="003015FD">
        <w:t xml:space="preserve"> </w:t>
      </w:r>
      <w:r w:rsidR="008E0945" w:rsidRPr="003015FD">
        <w:t>2018.</w:t>
      </w:r>
      <w:r w:rsidR="00975895" w:rsidRPr="003015FD">
        <w:t xml:space="preserve"> </w:t>
      </w:r>
      <w:r w:rsidR="008E0945" w:rsidRPr="003015FD">
        <w:t>Members</w:t>
      </w:r>
      <w:r w:rsidR="00975895" w:rsidRPr="003015FD">
        <w:t xml:space="preserve"> </w:t>
      </w:r>
      <w:r w:rsidR="008E0945" w:rsidRPr="003015FD">
        <w:t>referred</w:t>
      </w:r>
      <w:r w:rsidR="00975895" w:rsidRPr="003015FD">
        <w:t xml:space="preserve"> </w:t>
      </w:r>
      <w:r w:rsidR="008E0945" w:rsidRPr="003015FD">
        <w:t>to</w:t>
      </w:r>
      <w:r w:rsidR="00975895" w:rsidRPr="003015FD">
        <w:t xml:space="preserve"> </w:t>
      </w:r>
      <w:r w:rsidR="008E0945" w:rsidRPr="003015FD">
        <w:t>the</w:t>
      </w:r>
      <w:r w:rsidR="00975895" w:rsidRPr="003015FD">
        <w:t xml:space="preserve"> </w:t>
      </w:r>
      <w:r w:rsidR="008E0945" w:rsidRPr="003015FD">
        <w:t>SARC</w:t>
      </w:r>
      <w:r w:rsidR="00975895" w:rsidRPr="003015FD">
        <w:t xml:space="preserve"> </w:t>
      </w:r>
      <w:r w:rsidR="008E0945" w:rsidRPr="003015FD">
        <w:t>discussion</w:t>
      </w:r>
      <w:r w:rsidR="00975895" w:rsidRPr="003015FD">
        <w:t xml:space="preserve"> </w:t>
      </w:r>
      <w:r w:rsidR="008E0945" w:rsidRPr="003015FD">
        <w:t>of</w:t>
      </w:r>
      <w:r w:rsidR="00975895" w:rsidRPr="003015FD">
        <w:t xml:space="preserve"> </w:t>
      </w:r>
      <w:r w:rsidR="008E0945" w:rsidRPr="003015FD">
        <w:t>the</w:t>
      </w:r>
      <w:r w:rsidR="00975895" w:rsidRPr="003015FD">
        <w:t xml:space="preserve"> </w:t>
      </w:r>
      <w:r w:rsidR="008E0945" w:rsidRPr="003015FD">
        <w:t>Bill</w:t>
      </w:r>
      <w:r w:rsidR="000C5726">
        <w:t>'</w:t>
      </w:r>
      <w:r w:rsidR="008E0945" w:rsidRPr="003015FD">
        <w:t>s</w:t>
      </w:r>
      <w:r w:rsidR="00975895" w:rsidRPr="003015FD">
        <w:t xml:space="preserve"> </w:t>
      </w:r>
      <w:r w:rsidR="008E0945" w:rsidRPr="003015FD">
        <w:t>potential</w:t>
      </w:r>
      <w:r w:rsidR="00975895" w:rsidRPr="003015FD">
        <w:t xml:space="preserve"> </w:t>
      </w:r>
      <w:r w:rsidR="008E0945" w:rsidRPr="003015FD">
        <w:t>impact</w:t>
      </w:r>
      <w:r w:rsidR="00975895" w:rsidRPr="003015FD">
        <w:t xml:space="preserve"> </w:t>
      </w:r>
      <w:r w:rsidR="008E0945" w:rsidRPr="003015FD">
        <w:t>on</w:t>
      </w:r>
      <w:r w:rsidR="00975895" w:rsidRPr="003015FD">
        <w:t xml:space="preserve"> </w:t>
      </w:r>
      <w:r w:rsidR="008E0945" w:rsidRPr="003015FD">
        <w:t>Aboriginal</w:t>
      </w:r>
      <w:r w:rsidR="00975895" w:rsidRPr="003015FD">
        <w:t xml:space="preserve"> </w:t>
      </w:r>
      <w:r w:rsidR="008E0945" w:rsidRPr="003015FD">
        <w:t>Victorians</w:t>
      </w:r>
      <w:r w:rsidR="000C5726">
        <w:t>'</w:t>
      </w:r>
      <w:r w:rsidR="00975895" w:rsidRPr="003015FD">
        <w:t xml:space="preserve"> </w:t>
      </w:r>
      <w:r w:rsidR="008E0945" w:rsidRPr="003015FD">
        <w:t>cultural</w:t>
      </w:r>
      <w:r w:rsidR="00975895" w:rsidRPr="003015FD">
        <w:t xml:space="preserve"> </w:t>
      </w:r>
      <w:r w:rsidR="008E0945" w:rsidRPr="003015FD">
        <w:t>rights</w:t>
      </w:r>
      <w:r w:rsidR="00975895" w:rsidRPr="003015FD">
        <w:t xml:space="preserve"> </w:t>
      </w:r>
      <w:r w:rsidR="008E0945" w:rsidRPr="003015FD">
        <w:t>in</w:t>
      </w:r>
      <w:r w:rsidR="00975895" w:rsidRPr="003015FD">
        <w:t xml:space="preserve"> </w:t>
      </w:r>
      <w:r w:rsidR="008E0945" w:rsidRPr="003015FD">
        <w:t>relation</w:t>
      </w:r>
      <w:r w:rsidR="00975895" w:rsidRPr="003015FD">
        <w:t xml:space="preserve"> </w:t>
      </w:r>
      <w:r w:rsidR="008E0945" w:rsidRPr="003015FD">
        <w:t>to</w:t>
      </w:r>
      <w:r w:rsidR="00975895" w:rsidRPr="003015FD">
        <w:t xml:space="preserve"> </w:t>
      </w:r>
      <w:r w:rsidR="008E0945" w:rsidRPr="003015FD">
        <w:t>representation</w:t>
      </w:r>
      <w:r w:rsidR="00975895" w:rsidRPr="003015FD">
        <w:t xml:space="preserve"> </w:t>
      </w:r>
      <w:r w:rsidR="008E0945" w:rsidRPr="003015FD">
        <w:t>in</w:t>
      </w:r>
      <w:r w:rsidR="00975895" w:rsidRPr="003015FD">
        <w:t xml:space="preserve"> </w:t>
      </w:r>
      <w:r w:rsidR="008E0945" w:rsidRPr="003015FD">
        <w:t>support</w:t>
      </w:r>
      <w:r w:rsidR="00975895" w:rsidRPr="003015FD">
        <w:t xml:space="preserve"> </w:t>
      </w:r>
      <w:r w:rsidR="008E0945" w:rsidRPr="003015FD">
        <w:t>for</w:t>
      </w:r>
      <w:r w:rsidR="00975895" w:rsidRPr="003015FD">
        <w:t xml:space="preserve"> </w:t>
      </w:r>
      <w:r w:rsidR="008E0945" w:rsidRPr="003015FD">
        <w:t>the</w:t>
      </w:r>
      <w:r w:rsidR="00975895" w:rsidRPr="003015FD">
        <w:t xml:space="preserve"> </w:t>
      </w:r>
      <w:r w:rsidR="008E0945" w:rsidRPr="003015FD">
        <w:t>treaty</w:t>
      </w:r>
      <w:r w:rsidR="00975895" w:rsidRPr="003015FD">
        <w:t xml:space="preserve"> </w:t>
      </w:r>
      <w:r w:rsidR="008E0945" w:rsidRPr="003015FD">
        <w:t>negotiation</w:t>
      </w:r>
      <w:r w:rsidR="00975895" w:rsidRPr="003015FD">
        <w:t xml:space="preserve"> </w:t>
      </w:r>
      <w:r w:rsidR="008E0945" w:rsidRPr="003015FD">
        <w:t>process</w:t>
      </w:r>
      <w:r w:rsidR="00975895" w:rsidRPr="003015FD">
        <w:t xml:space="preserve"> </w:t>
      </w:r>
      <w:r w:rsidR="008E0945" w:rsidRPr="003015FD">
        <w:t>and</w:t>
      </w:r>
      <w:r w:rsidR="00975895" w:rsidRPr="003015FD">
        <w:t xml:space="preserve"> </w:t>
      </w:r>
      <w:r w:rsidR="008E0945" w:rsidRPr="003015FD">
        <w:t>the</w:t>
      </w:r>
      <w:r w:rsidR="00975895" w:rsidRPr="003015FD">
        <w:t xml:space="preserve"> </w:t>
      </w:r>
      <w:r w:rsidR="008E0945" w:rsidRPr="003015FD">
        <w:t>Aboriginal</w:t>
      </w:r>
      <w:r w:rsidR="00975895" w:rsidRPr="003015FD">
        <w:t xml:space="preserve"> </w:t>
      </w:r>
      <w:r w:rsidR="008E0945" w:rsidRPr="003015FD">
        <w:t>Representative</w:t>
      </w:r>
      <w:r w:rsidR="00975895" w:rsidRPr="003015FD">
        <w:t xml:space="preserve"> </w:t>
      </w:r>
      <w:r w:rsidR="008E0945" w:rsidRPr="003015FD">
        <w:t>Body</w:t>
      </w:r>
      <w:r>
        <w:t>.</w:t>
      </w:r>
      <w:r w:rsidR="008E0945" w:rsidRPr="004862C5">
        <w:rPr>
          <w:rStyle w:val="FootnoteReference"/>
        </w:rPr>
        <w:footnoteReference w:id="57"/>
      </w:r>
      <w:r w:rsidR="00975895" w:rsidRPr="003015FD">
        <w:t xml:space="preserve"> </w:t>
      </w:r>
    </w:p>
    <w:p w14:paraId="20C5E7DB" w14:textId="13C242AD" w:rsidR="008E0945" w:rsidRPr="003015FD" w:rsidRDefault="005D3541" w:rsidP="0002642E">
      <w:pPr>
        <w:pStyle w:val="ListBullet"/>
      </w:pPr>
      <w:r>
        <w:t>T</w:t>
      </w:r>
      <w:r w:rsidR="008E0945" w:rsidRPr="003015FD">
        <w:t>he</w:t>
      </w:r>
      <w:r w:rsidR="00975895" w:rsidRPr="003015FD">
        <w:t xml:space="preserve"> </w:t>
      </w:r>
      <w:r w:rsidR="008E0945" w:rsidRPr="003015FD">
        <w:t>Serious</w:t>
      </w:r>
      <w:r w:rsidR="00975895" w:rsidRPr="003015FD">
        <w:t xml:space="preserve"> </w:t>
      </w:r>
      <w:r w:rsidR="008E0945" w:rsidRPr="003015FD">
        <w:t>Offenders</w:t>
      </w:r>
      <w:r w:rsidR="00975895" w:rsidRPr="003015FD">
        <w:t xml:space="preserve"> </w:t>
      </w:r>
      <w:r w:rsidR="008E0945" w:rsidRPr="003015FD">
        <w:t>Bill</w:t>
      </w:r>
      <w:r w:rsidR="00975895" w:rsidRPr="003015FD">
        <w:t xml:space="preserve"> </w:t>
      </w:r>
      <w:r w:rsidR="008E0945" w:rsidRPr="003015FD">
        <w:t>2018.</w:t>
      </w:r>
      <w:r w:rsidR="00975895" w:rsidRPr="003015FD">
        <w:t xml:space="preserve"> </w:t>
      </w:r>
      <w:r w:rsidR="008E0945" w:rsidRPr="003015FD">
        <w:t>A</w:t>
      </w:r>
      <w:r w:rsidR="00975895" w:rsidRPr="003015FD">
        <w:t xml:space="preserve"> </w:t>
      </w:r>
      <w:r w:rsidR="008E0945" w:rsidRPr="003015FD">
        <w:t>member</w:t>
      </w:r>
      <w:r w:rsidR="00975895" w:rsidRPr="003015FD">
        <w:t xml:space="preserve"> </w:t>
      </w:r>
      <w:r w:rsidR="008E0945" w:rsidRPr="003015FD">
        <w:t>referred</w:t>
      </w:r>
      <w:r w:rsidR="00975895" w:rsidRPr="003015FD">
        <w:t xml:space="preserve"> </w:t>
      </w:r>
      <w:r w:rsidR="008E0945" w:rsidRPr="003015FD">
        <w:t>to</w:t>
      </w:r>
      <w:r w:rsidR="00975895" w:rsidRPr="003015FD">
        <w:t xml:space="preserve"> </w:t>
      </w:r>
      <w:r w:rsidR="008E0945" w:rsidRPr="003015FD">
        <w:t>SARC</w:t>
      </w:r>
      <w:r w:rsidR="000C5726">
        <w:t>'</w:t>
      </w:r>
      <w:r w:rsidR="008E0945" w:rsidRPr="003015FD">
        <w:t>s</w:t>
      </w:r>
      <w:r w:rsidR="00975895" w:rsidRPr="003015FD">
        <w:t xml:space="preserve"> </w:t>
      </w:r>
      <w:r w:rsidR="008E0945" w:rsidRPr="003015FD">
        <w:t>report</w:t>
      </w:r>
      <w:r w:rsidR="00975895" w:rsidRPr="003015FD">
        <w:t xml:space="preserve"> </w:t>
      </w:r>
      <w:r w:rsidR="008E0945" w:rsidRPr="003015FD">
        <w:t>in</w:t>
      </w:r>
      <w:r w:rsidR="00975895" w:rsidRPr="003015FD">
        <w:t xml:space="preserve"> </w:t>
      </w:r>
      <w:r w:rsidR="008E0945" w:rsidRPr="003015FD">
        <w:t>relation</w:t>
      </w:r>
      <w:r w:rsidR="00975895" w:rsidRPr="003015FD">
        <w:t xml:space="preserve"> </w:t>
      </w:r>
      <w:r w:rsidR="008E0945" w:rsidRPr="003015FD">
        <w:t>to</w:t>
      </w:r>
      <w:r w:rsidR="00975895" w:rsidRPr="003015FD">
        <w:t xml:space="preserve"> </w:t>
      </w:r>
      <w:r w:rsidR="008E0945" w:rsidRPr="003015FD">
        <w:t>the</w:t>
      </w:r>
      <w:r w:rsidR="00975895" w:rsidRPr="003015FD">
        <w:t xml:space="preserve"> </w:t>
      </w:r>
      <w:r w:rsidR="008E0945" w:rsidRPr="003015FD">
        <w:t>right</w:t>
      </w:r>
      <w:r w:rsidR="00975895" w:rsidRPr="003015FD">
        <w:t xml:space="preserve"> </w:t>
      </w:r>
      <w:r w:rsidR="008E0945" w:rsidRPr="003015FD">
        <w:t>to</w:t>
      </w:r>
      <w:r w:rsidR="00975895" w:rsidRPr="003015FD">
        <w:t xml:space="preserve"> </w:t>
      </w:r>
      <w:r w:rsidR="008E0945" w:rsidRPr="003015FD">
        <w:t>a</w:t>
      </w:r>
      <w:r w:rsidR="00975895" w:rsidRPr="003015FD">
        <w:t xml:space="preserve"> </w:t>
      </w:r>
      <w:r w:rsidR="008E0945" w:rsidRPr="003015FD">
        <w:t>fair</w:t>
      </w:r>
      <w:r w:rsidR="00975895" w:rsidRPr="003015FD">
        <w:t xml:space="preserve"> </w:t>
      </w:r>
      <w:r w:rsidR="008E0945" w:rsidRPr="003015FD">
        <w:t>hearing</w:t>
      </w:r>
      <w:r w:rsidR="00975895" w:rsidRPr="003015FD">
        <w:t xml:space="preserve"> </w:t>
      </w:r>
      <w:r w:rsidR="008E0945" w:rsidRPr="003015FD">
        <w:t>and</w:t>
      </w:r>
      <w:r w:rsidR="00975895" w:rsidRPr="003015FD">
        <w:t xml:space="preserve"> </w:t>
      </w:r>
      <w:r w:rsidR="008E0945" w:rsidRPr="003015FD">
        <w:t>the</w:t>
      </w:r>
      <w:r w:rsidR="00975895" w:rsidRPr="003015FD">
        <w:t xml:space="preserve"> </w:t>
      </w:r>
      <w:r w:rsidR="008E0945" w:rsidRPr="003015FD">
        <w:t>proposed</w:t>
      </w:r>
      <w:r w:rsidR="00975895" w:rsidRPr="003015FD">
        <w:t xml:space="preserve"> </w:t>
      </w:r>
      <w:r w:rsidR="008E0945" w:rsidRPr="003015FD">
        <w:t>powers</w:t>
      </w:r>
      <w:r w:rsidR="00975895" w:rsidRPr="003015FD">
        <w:t xml:space="preserve"> </w:t>
      </w:r>
      <w:r w:rsidR="008E0945" w:rsidRPr="003015FD">
        <w:t>of</w:t>
      </w:r>
      <w:r w:rsidR="00975895" w:rsidRPr="003015FD">
        <w:t xml:space="preserve"> </w:t>
      </w:r>
      <w:r w:rsidR="008E0945" w:rsidRPr="003015FD">
        <w:t>arrest,</w:t>
      </w:r>
      <w:r w:rsidR="00975895" w:rsidRPr="003015FD">
        <w:t xml:space="preserve"> </w:t>
      </w:r>
      <w:r w:rsidR="008E0945" w:rsidRPr="003015FD">
        <w:t>entry</w:t>
      </w:r>
      <w:r w:rsidR="00975895" w:rsidRPr="003015FD">
        <w:t xml:space="preserve"> </w:t>
      </w:r>
      <w:r w:rsidR="008E0945" w:rsidRPr="003015FD">
        <w:t>and</w:t>
      </w:r>
      <w:r w:rsidR="00975895" w:rsidRPr="003015FD">
        <w:t xml:space="preserve"> </w:t>
      </w:r>
      <w:r w:rsidR="008E0945" w:rsidRPr="003015FD">
        <w:t>search</w:t>
      </w:r>
      <w:r w:rsidR="00975895" w:rsidRPr="003015FD">
        <w:t xml:space="preserve"> </w:t>
      </w:r>
      <w:r w:rsidR="008E0945" w:rsidRPr="003015FD">
        <w:t>without</w:t>
      </w:r>
      <w:r w:rsidR="00975895" w:rsidRPr="003015FD">
        <w:t xml:space="preserve"> </w:t>
      </w:r>
      <w:r w:rsidR="008E0945" w:rsidRPr="003015FD">
        <w:t>a</w:t>
      </w:r>
      <w:r w:rsidR="00975895" w:rsidRPr="003015FD">
        <w:t xml:space="preserve"> </w:t>
      </w:r>
      <w:r w:rsidR="008E0945" w:rsidRPr="003015FD">
        <w:t>warrant</w:t>
      </w:r>
      <w:r w:rsidR="00975895" w:rsidRPr="003015FD">
        <w:t xml:space="preserve"> </w:t>
      </w:r>
      <w:r w:rsidR="008E0945" w:rsidRPr="003015FD">
        <w:t>and</w:t>
      </w:r>
      <w:r w:rsidR="00975895" w:rsidRPr="003015FD">
        <w:t xml:space="preserve"> </w:t>
      </w:r>
      <w:r w:rsidR="008E0945" w:rsidRPr="003015FD">
        <w:t>also</w:t>
      </w:r>
      <w:r w:rsidR="00975895" w:rsidRPr="003015FD">
        <w:t xml:space="preserve"> </w:t>
      </w:r>
      <w:r w:rsidR="008E0945" w:rsidRPr="003015FD">
        <w:t>the</w:t>
      </w:r>
      <w:r w:rsidR="00975895" w:rsidRPr="003015FD">
        <w:t xml:space="preserve"> </w:t>
      </w:r>
      <w:r w:rsidR="008E0945" w:rsidRPr="003015FD">
        <w:t>privilege</w:t>
      </w:r>
      <w:r w:rsidR="00975895" w:rsidRPr="003015FD">
        <w:t xml:space="preserve"> </w:t>
      </w:r>
      <w:r w:rsidR="008E0945" w:rsidRPr="003015FD">
        <w:t>against</w:t>
      </w:r>
      <w:r w:rsidR="00975895" w:rsidRPr="003015FD">
        <w:t xml:space="preserve"> </w:t>
      </w:r>
      <w:r w:rsidR="008E0945" w:rsidRPr="003015FD">
        <w:t>self-incrimination</w:t>
      </w:r>
      <w:r w:rsidR="00975895" w:rsidRPr="003015FD">
        <w:t xml:space="preserve"> </w:t>
      </w:r>
      <w:r w:rsidR="008E0945" w:rsidRPr="003015FD">
        <w:t>in</w:t>
      </w:r>
      <w:r w:rsidR="00975895" w:rsidRPr="003015FD">
        <w:t xml:space="preserve"> </w:t>
      </w:r>
      <w:r w:rsidR="008E0945" w:rsidRPr="003015FD">
        <w:t>relation</w:t>
      </w:r>
      <w:r w:rsidR="00975895" w:rsidRPr="003015FD">
        <w:t xml:space="preserve"> </w:t>
      </w:r>
      <w:r w:rsidR="008E0945" w:rsidRPr="003015FD">
        <w:t>to</w:t>
      </w:r>
      <w:r w:rsidR="00975895" w:rsidRPr="003015FD">
        <w:t xml:space="preserve"> </w:t>
      </w:r>
      <w:r w:rsidR="008E0945" w:rsidRPr="003015FD">
        <w:t>the</w:t>
      </w:r>
      <w:r w:rsidR="00975895" w:rsidRPr="003015FD">
        <w:t xml:space="preserve"> </w:t>
      </w:r>
      <w:r w:rsidR="008E0945" w:rsidRPr="003015FD">
        <w:t>provision</w:t>
      </w:r>
      <w:r w:rsidR="00975895" w:rsidRPr="003015FD">
        <w:t xml:space="preserve"> </w:t>
      </w:r>
      <w:r w:rsidR="008E0945" w:rsidRPr="003015FD">
        <w:t>that</w:t>
      </w:r>
      <w:r w:rsidR="00975895" w:rsidRPr="003015FD">
        <w:t xml:space="preserve"> </w:t>
      </w:r>
      <w:r w:rsidR="008E0945" w:rsidRPr="003015FD">
        <w:t>empowers</w:t>
      </w:r>
      <w:r w:rsidR="00975895" w:rsidRPr="003015FD">
        <w:t xml:space="preserve"> </w:t>
      </w:r>
      <w:r w:rsidR="008E0945" w:rsidRPr="003015FD">
        <w:t>a</w:t>
      </w:r>
      <w:r w:rsidR="00975895" w:rsidRPr="003015FD">
        <w:t xml:space="preserve"> </w:t>
      </w:r>
      <w:r w:rsidR="008E0945" w:rsidRPr="003015FD">
        <w:t>relevant</w:t>
      </w:r>
      <w:r w:rsidR="00975895" w:rsidRPr="003015FD">
        <w:t xml:space="preserve"> </w:t>
      </w:r>
      <w:r w:rsidR="008E0945" w:rsidRPr="003015FD">
        <w:t>officer</w:t>
      </w:r>
      <w:r w:rsidR="00975895" w:rsidRPr="003015FD">
        <w:t xml:space="preserve"> </w:t>
      </w:r>
      <w:r w:rsidR="008E0945" w:rsidRPr="003015FD">
        <w:t>during</w:t>
      </w:r>
      <w:r w:rsidR="00975895" w:rsidRPr="003015FD">
        <w:t xml:space="preserve"> </w:t>
      </w:r>
      <w:r w:rsidR="008E0945" w:rsidRPr="003015FD">
        <w:t>a</w:t>
      </w:r>
      <w:r w:rsidR="00975895" w:rsidRPr="003015FD">
        <w:t xml:space="preserve"> </w:t>
      </w:r>
      <w:r w:rsidR="008E0945" w:rsidRPr="003015FD">
        <w:t>search</w:t>
      </w:r>
      <w:r w:rsidR="00975895" w:rsidRPr="003015FD">
        <w:t xml:space="preserve"> </w:t>
      </w:r>
      <w:r w:rsidR="008E0945" w:rsidRPr="003015FD">
        <w:t>to</w:t>
      </w:r>
      <w:r w:rsidR="00975895" w:rsidRPr="003015FD">
        <w:t xml:space="preserve"> </w:t>
      </w:r>
      <w:r w:rsidR="008E0945" w:rsidRPr="003015FD">
        <w:t>direct</w:t>
      </w:r>
      <w:r w:rsidR="00975895" w:rsidRPr="003015FD">
        <w:t xml:space="preserve"> </w:t>
      </w:r>
      <w:r w:rsidR="008E0945" w:rsidRPr="003015FD">
        <w:t>an</w:t>
      </w:r>
      <w:r w:rsidR="00975895" w:rsidRPr="003015FD">
        <w:t xml:space="preserve"> </w:t>
      </w:r>
      <w:r w:rsidR="008E0945" w:rsidRPr="003015FD">
        <w:t>offender</w:t>
      </w:r>
      <w:r w:rsidR="00975895" w:rsidRPr="003015FD">
        <w:t xml:space="preserve"> </w:t>
      </w:r>
      <w:r w:rsidR="008E0945" w:rsidRPr="003015FD">
        <w:t>to</w:t>
      </w:r>
      <w:r w:rsidR="00975895" w:rsidRPr="003015FD">
        <w:t xml:space="preserve"> </w:t>
      </w:r>
      <w:r w:rsidR="008E0945" w:rsidRPr="003015FD">
        <w:t>provide</w:t>
      </w:r>
      <w:r w:rsidR="00975895" w:rsidRPr="003015FD">
        <w:t xml:space="preserve"> </w:t>
      </w:r>
      <w:r w:rsidR="008E0945" w:rsidRPr="003015FD">
        <w:t>information.</w:t>
      </w:r>
      <w:r w:rsidR="008E0945" w:rsidRPr="004862C5">
        <w:rPr>
          <w:rStyle w:val="FootnoteReference"/>
        </w:rPr>
        <w:footnoteReference w:id="58"/>
      </w:r>
      <w:r w:rsidR="00975895" w:rsidRPr="003015FD">
        <w:t xml:space="preserve"> </w:t>
      </w:r>
      <w:r w:rsidR="008E0945" w:rsidRPr="003015FD">
        <w:t>Other</w:t>
      </w:r>
      <w:r w:rsidR="00975895" w:rsidRPr="003015FD">
        <w:t xml:space="preserve"> </w:t>
      </w:r>
      <w:r w:rsidR="008E0945" w:rsidRPr="003015FD">
        <w:t>members</w:t>
      </w:r>
      <w:r w:rsidR="00975895" w:rsidRPr="003015FD">
        <w:t xml:space="preserve"> </w:t>
      </w:r>
      <w:r w:rsidR="008E0945" w:rsidRPr="003015FD">
        <w:t>noted</w:t>
      </w:r>
      <w:r w:rsidR="00975895" w:rsidRPr="003015FD">
        <w:t xml:space="preserve"> </w:t>
      </w:r>
      <w:r w:rsidR="008E0945" w:rsidRPr="003015FD">
        <w:t>SARC</w:t>
      </w:r>
      <w:r w:rsidR="000C5726">
        <w:t>'</w:t>
      </w:r>
      <w:r w:rsidR="008E0945" w:rsidRPr="003015FD">
        <w:t>s</w:t>
      </w:r>
      <w:r w:rsidR="00975895" w:rsidRPr="003015FD">
        <w:t xml:space="preserve"> </w:t>
      </w:r>
      <w:r w:rsidR="008E0945" w:rsidRPr="003015FD">
        <w:t>concerns</w:t>
      </w:r>
      <w:r w:rsidR="00975895" w:rsidRPr="003015FD">
        <w:t xml:space="preserve"> </w:t>
      </w:r>
      <w:r w:rsidR="008E0945" w:rsidRPr="003015FD">
        <w:t>around</w:t>
      </w:r>
      <w:r w:rsidR="00975895" w:rsidRPr="003015FD">
        <w:t xml:space="preserve"> </w:t>
      </w:r>
      <w:r w:rsidR="008E0945" w:rsidRPr="003015FD">
        <w:t>the</w:t>
      </w:r>
      <w:r w:rsidR="00975895" w:rsidRPr="003015FD">
        <w:t xml:space="preserve"> </w:t>
      </w:r>
      <w:r w:rsidR="008E0945" w:rsidRPr="003015FD">
        <w:t>lack</w:t>
      </w:r>
      <w:r w:rsidR="00975895" w:rsidRPr="003015FD">
        <w:t xml:space="preserve"> </w:t>
      </w:r>
      <w:r w:rsidR="008E0945" w:rsidRPr="003015FD">
        <w:t>of</w:t>
      </w:r>
      <w:r w:rsidR="00975895" w:rsidRPr="003015FD">
        <w:t xml:space="preserve"> </w:t>
      </w:r>
      <w:r w:rsidR="008E0945" w:rsidRPr="003015FD">
        <w:t>minimum</w:t>
      </w:r>
      <w:r w:rsidR="00975895" w:rsidRPr="003015FD">
        <w:t xml:space="preserve"> </w:t>
      </w:r>
      <w:r w:rsidR="008E0945" w:rsidRPr="003015FD">
        <w:t>sentence</w:t>
      </w:r>
      <w:r w:rsidR="00975895" w:rsidRPr="003015FD">
        <w:t xml:space="preserve"> </w:t>
      </w:r>
      <w:r w:rsidR="008E0945" w:rsidRPr="003015FD">
        <w:t>length</w:t>
      </w:r>
      <w:r w:rsidR="00975895" w:rsidRPr="003015FD">
        <w:t xml:space="preserve"> </w:t>
      </w:r>
      <w:r w:rsidR="008E0945" w:rsidRPr="003015FD">
        <w:t>before</w:t>
      </w:r>
      <w:r w:rsidR="00975895" w:rsidRPr="003015FD">
        <w:t xml:space="preserve"> </w:t>
      </w:r>
      <w:r w:rsidR="008E0945" w:rsidRPr="003015FD">
        <w:t>an</w:t>
      </w:r>
      <w:r w:rsidR="00975895" w:rsidRPr="003015FD">
        <w:t xml:space="preserve"> </w:t>
      </w:r>
      <w:r w:rsidR="008E0945" w:rsidRPr="003015FD">
        <w:t>offender</w:t>
      </w:r>
      <w:r w:rsidR="00975895" w:rsidRPr="003015FD">
        <w:t xml:space="preserve"> </w:t>
      </w:r>
      <w:r w:rsidR="008E0945" w:rsidRPr="003015FD">
        <w:t>can</w:t>
      </w:r>
      <w:r w:rsidR="00975895" w:rsidRPr="003015FD">
        <w:t xml:space="preserve"> </w:t>
      </w:r>
      <w:r w:rsidR="008E0945" w:rsidRPr="003015FD">
        <w:t>be</w:t>
      </w:r>
      <w:r w:rsidR="00975895" w:rsidRPr="003015FD">
        <w:t xml:space="preserve"> </w:t>
      </w:r>
      <w:r w:rsidR="008E0945" w:rsidRPr="003015FD">
        <w:t>subjected</w:t>
      </w:r>
      <w:r w:rsidR="00975895" w:rsidRPr="003015FD">
        <w:t xml:space="preserve"> </w:t>
      </w:r>
      <w:r w:rsidR="008E0945" w:rsidRPr="003015FD">
        <w:t>to</w:t>
      </w:r>
      <w:r w:rsidR="00975895" w:rsidRPr="003015FD">
        <w:t xml:space="preserve"> </w:t>
      </w:r>
      <w:r w:rsidR="008E0945" w:rsidRPr="003015FD">
        <w:t>a</w:t>
      </w:r>
      <w:r w:rsidR="00975895" w:rsidRPr="003015FD">
        <w:t xml:space="preserve"> </w:t>
      </w:r>
      <w:r w:rsidR="008E0945" w:rsidRPr="003015FD">
        <w:t>post-sentence</w:t>
      </w:r>
      <w:r w:rsidR="00975895" w:rsidRPr="003015FD">
        <w:t xml:space="preserve"> </w:t>
      </w:r>
      <w:r w:rsidR="008E0945" w:rsidRPr="003015FD">
        <w:t>order.</w:t>
      </w:r>
      <w:r w:rsidR="008E0945" w:rsidRPr="004862C5">
        <w:rPr>
          <w:rStyle w:val="FootnoteReference"/>
        </w:rPr>
        <w:footnoteReference w:id="59"/>
      </w:r>
      <w:r w:rsidR="00975895" w:rsidRPr="0002642E">
        <w:t xml:space="preserve"> </w:t>
      </w:r>
    </w:p>
    <w:p w14:paraId="635C6F0F" w14:textId="1E84B048" w:rsidR="008E0945" w:rsidRPr="003015FD" w:rsidRDefault="005D3541" w:rsidP="0002642E">
      <w:pPr>
        <w:pStyle w:val="ListBullet"/>
      </w:pPr>
      <w:r>
        <w:t>T</w:t>
      </w:r>
      <w:r w:rsidR="008E0945" w:rsidRPr="003015FD">
        <w:t>he</w:t>
      </w:r>
      <w:r w:rsidR="00975895" w:rsidRPr="003015FD">
        <w:t xml:space="preserve"> </w:t>
      </w:r>
      <w:r w:rsidR="008E0945" w:rsidRPr="003015FD">
        <w:t>Children</w:t>
      </w:r>
      <w:r w:rsidR="00975895" w:rsidRPr="003015FD">
        <w:t xml:space="preserve"> </w:t>
      </w:r>
      <w:r w:rsidR="008E0945" w:rsidRPr="003015FD">
        <w:t>Legislation</w:t>
      </w:r>
      <w:r w:rsidR="00975895" w:rsidRPr="003015FD">
        <w:t xml:space="preserve"> </w:t>
      </w:r>
      <w:r w:rsidR="008E0945" w:rsidRPr="003015FD">
        <w:t>Amendment</w:t>
      </w:r>
      <w:r w:rsidR="00975895" w:rsidRPr="003015FD">
        <w:t xml:space="preserve"> </w:t>
      </w:r>
      <w:r w:rsidR="008E0945" w:rsidRPr="003015FD">
        <w:t>(Information</w:t>
      </w:r>
      <w:r w:rsidR="00975895" w:rsidRPr="003015FD">
        <w:t xml:space="preserve"> </w:t>
      </w:r>
      <w:r w:rsidR="008E0945" w:rsidRPr="003015FD">
        <w:t>Sharing)</w:t>
      </w:r>
      <w:r w:rsidR="00975895" w:rsidRPr="003015FD">
        <w:t xml:space="preserve"> </w:t>
      </w:r>
      <w:r w:rsidR="008E0945" w:rsidRPr="003015FD">
        <w:t>Bill</w:t>
      </w:r>
      <w:r w:rsidR="00975895" w:rsidRPr="003015FD">
        <w:t xml:space="preserve"> </w:t>
      </w:r>
      <w:r w:rsidR="008E0945" w:rsidRPr="003015FD">
        <w:t>2017.</w:t>
      </w:r>
      <w:r w:rsidR="00975895" w:rsidRPr="003015FD">
        <w:t xml:space="preserve"> </w:t>
      </w:r>
      <w:r w:rsidR="00A601D1" w:rsidRPr="003015FD">
        <w:t>The</w:t>
      </w:r>
      <w:r w:rsidR="00975895" w:rsidRPr="003015FD">
        <w:t xml:space="preserve"> </w:t>
      </w:r>
      <w:r w:rsidR="00A601D1" w:rsidRPr="003015FD">
        <w:t>Bill</w:t>
      </w:r>
      <w:r w:rsidR="00975895" w:rsidRPr="003015FD">
        <w:t xml:space="preserve"> </w:t>
      </w:r>
      <w:r w:rsidR="00A601D1" w:rsidRPr="003015FD">
        <w:t>sought</w:t>
      </w:r>
      <w:r w:rsidR="00975895" w:rsidRPr="003015FD">
        <w:t xml:space="preserve"> </w:t>
      </w:r>
      <w:r w:rsidR="00A601D1" w:rsidRPr="003015FD">
        <w:t>to</w:t>
      </w:r>
      <w:r w:rsidR="00975895" w:rsidRPr="003015FD">
        <w:t xml:space="preserve"> </w:t>
      </w:r>
      <w:r w:rsidR="00A601D1" w:rsidRPr="003015FD">
        <w:t>establish</w:t>
      </w:r>
      <w:r w:rsidR="00975895" w:rsidRPr="003015FD">
        <w:t xml:space="preserve"> </w:t>
      </w:r>
      <w:r w:rsidR="00A601D1" w:rsidRPr="003015FD">
        <w:t>a</w:t>
      </w:r>
      <w:r w:rsidR="00975895" w:rsidRPr="003015FD">
        <w:t xml:space="preserve"> </w:t>
      </w:r>
      <w:r w:rsidR="00A601D1" w:rsidRPr="003015FD">
        <w:t>framework</w:t>
      </w:r>
      <w:r w:rsidR="00975895" w:rsidRPr="003015FD">
        <w:t xml:space="preserve"> </w:t>
      </w:r>
      <w:r w:rsidR="00A601D1" w:rsidRPr="003015FD">
        <w:t>to</w:t>
      </w:r>
      <w:r w:rsidR="00975895" w:rsidRPr="003015FD">
        <w:t xml:space="preserve"> </w:t>
      </w:r>
      <w:r w:rsidR="00A601D1" w:rsidRPr="003015FD">
        <w:t>allow</w:t>
      </w:r>
      <w:r w:rsidR="00975895" w:rsidRPr="003015FD">
        <w:t xml:space="preserve"> </w:t>
      </w:r>
      <w:r w:rsidR="00A601D1" w:rsidRPr="003015FD">
        <w:t>certain</w:t>
      </w:r>
      <w:r w:rsidR="00975895" w:rsidRPr="003015FD">
        <w:t xml:space="preserve"> </w:t>
      </w:r>
      <w:r w:rsidR="00A601D1" w:rsidRPr="003015FD">
        <w:t>professional</w:t>
      </w:r>
      <w:r w:rsidR="00975895" w:rsidRPr="003015FD">
        <w:t xml:space="preserve"> </w:t>
      </w:r>
      <w:r w:rsidR="00A601D1" w:rsidRPr="003015FD">
        <w:t>entities,</w:t>
      </w:r>
      <w:r w:rsidR="00975895" w:rsidRPr="003015FD">
        <w:t xml:space="preserve"> </w:t>
      </w:r>
      <w:r w:rsidR="00A601D1" w:rsidRPr="003015FD">
        <w:t>such</w:t>
      </w:r>
      <w:r w:rsidR="00975895" w:rsidRPr="003015FD">
        <w:t xml:space="preserve"> </w:t>
      </w:r>
      <w:r w:rsidR="00A601D1" w:rsidRPr="003015FD">
        <w:t>as</w:t>
      </w:r>
      <w:r w:rsidR="00975895" w:rsidRPr="003015FD">
        <w:t xml:space="preserve"> </w:t>
      </w:r>
      <w:r w:rsidR="00A601D1" w:rsidRPr="003015FD">
        <w:t>Maternal</w:t>
      </w:r>
      <w:r w:rsidR="00975895" w:rsidRPr="003015FD">
        <w:t xml:space="preserve"> </w:t>
      </w:r>
      <w:r w:rsidR="00A601D1" w:rsidRPr="003015FD">
        <w:t>and</w:t>
      </w:r>
      <w:r w:rsidR="00975895" w:rsidRPr="003015FD">
        <w:t xml:space="preserve"> </w:t>
      </w:r>
      <w:r w:rsidR="00A601D1" w:rsidRPr="003015FD">
        <w:t>Child</w:t>
      </w:r>
      <w:r w:rsidR="00975895" w:rsidRPr="003015FD">
        <w:t xml:space="preserve"> </w:t>
      </w:r>
      <w:r w:rsidR="00A601D1" w:rsidRPr="003015FD">
        <w:t>Health</w:t>
      </w:r>
      <w:r>
        <w:t xml:space="preserve"> nurses</w:t>
      </w:r>
      <w:r w:rsidR="00A601D1" w:rsidRPr="003015FD">
        <w:t>,</w:t>
      </w:r>
      <w:r w:rsidR="00975895" w:rsidRPr="003015FD">
        <w:t xml:space="preserve"> </w:t>
      </w:r>
      <w:r w:rsidR="00A601D1" w:rsidRPr="003015FD">
        <w:t>hospitals</w:t>
      </w:r>
      <w:r w:rsidR="00975895" w:rsidRPr="003015FD">
        <w:t xml:space="preserve"> </w:t>
      </w:r>
      <w:r w:rsidR="00A601D1" w:rsidRPr="003015FD">
        <w:t>and</w:t>
      </w:r>
      <w:r w:rsidR="00975895" w:rsidRPr="003015FD">
        <w:t xml:space="preserve"> </w:t>
      </w:r>
      <w:r w:rsidR="00A601D1" w:rsidRPr="003015FD">
        <w:t>schools,</w:t>
      </w:r>
      <w:r w:rsidR="00975895" w:rsidRPr="003015FD">
        <w:t xml:space="preserve"> </w:t>
      </w:r>
      <w:r w:rsidR="00A601D1" w:rsidRPr="003015FD">
        <w:t>to</w:t>
      </w:r>
      <w:r w:rsidR="00975895" w:rsidRPr="003015FD">
        <w:t xml:space="preserve"> </w:t>
      </w:r>
      <w:r w:rsidR="00A601D1" w:rsidRPr="003015FD">
        <w:t>share</w:t>
      </w:r>
      <w:r w:rsidR="00975895" w:rsidRPr="003015FD">
        <w:t xml:space="preserve"> </w:t>
      </w:r>
      <w:r w:rsidR="00A601D1" w:rsidRPr="003015FD">
        <w:t>information</w:t>
      </w:r>
      <w:r w:rsidR="00975895" w:rsidRPr="003015FD">
        <w:t xml:space="preserve"> </w:t>
      </w:r>
      <w:r w:rsidR="00A601D1" w:rsidRPr="003015FD">
        <w:t>about</w:t>
      </w:r>
      <w:r w:rsidR="00975895" w:rsidRPr="003015FD">
        <w:t xml:space="preserve"> </w:t>
      </w:r>
      <w:r w:rsidR="00A601D1" w:rsidRPr="003015FD">
        <w:t>children</w:t>
      </w:r>
      <w:r w:rsidR="00975895" w:rsidRPr="003015FD">
        <w:t xml:space="preserve"> </w:t>
      </w:r>
      <w:r w:rsidR="00A601D1" w:rsidRPr="003015FD">
        <w:t>to</w:t>
      </w:r>
      <w:r w:rsidR="00975895" w:rsidRPr="003015FD">
        <w:t xml:space="preserve"> </w:t>
      </w:r>
      <w:r w:rsidR="00A601D1" w:rsidRPr="003015FD">
        <w:t>promote</w:t>
      </w:r>
      <w:r w:rsidR="00975895" w:rsidRPr="003015FD">
        <w:t xml:space="preserve"> </w:t>
      </w:r>
      <w:r w:rsidR="00A601D1" w:rsidRPr="003015FD">
        <w:t>their</w:t>
      </w:r>
      <w:r w:rsidR="00975895" w:rsidRPr="003015FD">
        <w:t xml:space="preserve"> </w:t>
      </w:r>
      <w:r w:rsidR="00A601D1" w:rsidRPr="003015FD">
        <w:t>safety.</w:t>
      </w:r>
      <w:r w:rsidR="00975895" w:rsidRPr="003015FD">
        <w:t xml:space="preserve"> </w:t>
      </w:r>
      <w:r w:rsidR="008E0945" w:rsidRPr="003015FD">
        <w:t>The</w:t>
      </w:r>
      <w:r w:rsidR="00975895" w:rsidRPr="003015FD">
        <w:t xml:space="preserve"> </w:t>
      </w:r>
      <w:r w:rsidR="008E0945" w:rsidRPr="003015FD">
        <w:t>issues</w:t>
      </w:r>
      <w:r w:rsidR="00975895" w:rsidRPr="003015FD">
        <w:t xml:space="preserve"> </w:t>
      </w:r>
      <w:r w:rsidR="008E0945" w:rsidRPr="003015FD">
        <w:t>raised</w:t>
      </w:r>
      <w:r w:rsidR="00975895" w:rsidRPr="003015FD">
        <w:t xml:space="preserve"> </w:t>
      </w:r>
      <w:r w:rsidR="008E0945" w:rsidRPr="003015FD">
        <w:t>by</w:t>
      </w:r>
      <w:r w:rsidR="00975895" w:rsidRPr="003015FD">
        <w:t xml:space="preserve"> </w:t>
      </w:r>
      <w:r w:rsidR="008E0945" w:rsidRPr="003015FD">
        <w:t>SARC,</w:t>
      </w:r>
      <w:r w:rsidR="00975895" w:rsidRPr="003015FD">
        <w:t xml:space="preserve"> </w:t>
      </w:r>
      <w:r w:rsidR="008E0945" w:rsidRPr="003015FD">
        <w:t>particularly</w:t>
      </w:r>
      <w:r w:rsidR="00975895" w:rsidRPr="003015FD">
        <w:t xml:space="preserve"> </w:t>
      </w:r>
      <w:r w:rsidR="008E0945" w:rsidRPr="003015FD">
        <w:t>in</w:t>
      </w:r>
      <w:r w:rsidR="00975895" w:rsidRPr="003015FD">
        <w:t xml:space="preserve"> </w:t>
      </w:r>
      <w:r w:rsidR="008E0945" w:rsidRPr="003015FD">
        <w:t>relation</w:t>
      </w:r>
      <w:r w:rsidR="00975895" w:rsidRPr="003015FD">
        <w:t xml:space="preserve"> </w:t>
      </w:r>
      <w:r w:rsidR="008E0945" w:rsidRPr="003015FD">
        <w:t>to</w:t>
      </w:r>
      <w:r w:rsidR="00975895" w:rsidRPr="003015FD">
        <w:t xml:space="preserve"> </w:t>
      </w:r>
      <w:r w:rsidR="008E0945" w:rsidRPr="003015FD">
        <w:t>the</w:t>
      </w:r>
      <w:r w:rsidR="00975895" w:rsidRPr="003015FD">
        <w:t xml:space="preserve"> </w:t>
      </w:r>
      <w:r w:rsidR="008E0945" w:rsidRPr="003015FD">
        <w:t>right</w:t>
      </w:r>
      <w:r w:rsidR="00975895" w:rsidRPr="003015FD">
        <w:t xml:space="preserve"> </w:t>
      </w:r>
      <w:r w:rsidR="008E0945" w:rsidRPr="003015FD">
        <w:t>to</w:t>
      </w:r>
      <w:r w:rsidR="00975895" w:rsidRPr="003015FD">
        <w:t xml:space="preserve"> </w:t>
      </w:r>
      <w:r w:rsidR="008E0945" w:rsidRPr="003015FD">
        <w:t>privacy,</w:t>
      </w:r>
      <w:r w:rsidR="00975895" w:rsidRPr="003015FD">
        <w:t xml:space="preserve"> </w:t>
      </w:r>
      <w:r w:rsidR="008E0945" w:rsidRPr="003015FD">
        <w:t>were</w:t>
      </w:r>
      <w:r w:rsidR="00975895" w:rsidRPr="003015FD">
        <w:t xml:space="preserve"> </w:t>
      </w:r>
      <w:r w:rsidR="008E0945" w:rsidRPr="003015FD">
        <w:t>referred</w:t>
      </w:r>
      <w:r w:rsidR="00975895" w:rsidRPr="003015FD">
        <w:t xml:space="preserve"> </w:t>
      </w:r>
      <w:r w:rsidR="008E0945" w:rsidRPr="003015FD">
        <w:t>to</w:t>
      </w:r>
      <w:r w:rsidR="00975895" w:rsidRPr="003015FD">
        <w:t xml:space="preserve"> </w:t>
      </w:r>
      <w:r w:rsidR="008E0945" w:rsidRPr="003015FD">
        <w:t>by</w:t>
      </w:r>
      <w:r w:rsidR="00975895" w:rsidRPr="003015FD">
        <w:t xml:space="preserve"> </w:t>
      </w:r>
      <w:r w:rsidR="008E0945" w:rsidRPr="003015FD">
        <w:t>members</w:t>
      </w:r>
      <w:r w:rsidR="00975895" w:rsidRPr="003015FD">
        <w:t xml:space="preserve"> </w:t>
      </w:r>
      <w:r w:rsidR="008E0945" w:rsidRPr="003015FD">
        <w:t>in</w:t>
      </w:r>
      <w:r w:rsidR="00975895" w:rsidRPr="003015FD">
        <w:t xml:space="preserve"> </w:t>
      </w:r>
      <w:r w:rsidR="008E0945" w:rsidRPr="003015FD">
        <w:t>support</w:t>
      </w:r>
      <w:r w:rsidR="00975895" w:rsidRPr="003015FD">
        <w:t xml:space="preserve"> </w:t>
      </w:r>
      <w:r w:rsidR="008E0945" w:rsidRPr="003015FD">
        <w:t>of</w:t>
      </w:r>
      <w:r w:rsidR="00975895" w:rsidRPr="003015FD">
        <w:t xml:space="preserve"> </w:t>
      </w:r>
      <w:r w:rsidR="008E0945" w:rsidRPr="003015FD">
        <w:t>sending</w:t>
      </w:r>
      <w:r w:rsidR="00975895" w:rsidRPr="003015FD">
        <w:t xml:space="preserve"> </w:t>
      </w:r>
      <w:r w:rsidR="008E0945" w:rsidRPr="003015FD">
        <w:t>the</w:t>
      </w:r>
      <w:r w:rsidR="00975895" w:rsidRPr="003015FD">
        <w:t xml:space="preserve"> </w:t>
      </w:r>
      <w:r w:rsidR="008E0945" w:rsidRPr="003015FD">
        <w:t>Bill</w:t>
      </w:r>
      <w:r w:rsidR="00975895" w:rsidRPr="003015FD">
        <w:t xml:space="preserve"> </w:t>
      </w:r>
      <w:r w:rsidR="008E0945" w:rsidRPr="003015FD">
        <w:t>to</w:t>
      </w:r>
      <w:r w:rsidR="00975895" w:rsidRPr="003015FD">
        <w:t xml:space="preserve"> </w:t>
      </w:r>
      <w:r w:rsidR="008E0945" w:rsidRPr="003015FD">
        <w:t>committee.</w:t>
      </w:r>
      <w:r w:rsidR="008E0945" w:rsidRPr="004862C5">
        <w:rPr>
          <w:rStyle w:val="FootnoteReference"/>
        </w:rPr>
        <w:footnoteReference w:id="60"/>
      </w:r>
      <w:r w:rsidR="00975895" w:rsidRPr="0002642E">
        <w:t xml:space="preserve"> </w:t>
      </w:r>
    </w:p>
    <w:bookmarkEnd w:id="95"/>
    <w:p w14:paraId="6C1D7C9F" w14:textId="6415E2A1" w:rsidR="008E0945" w:rsidRPr="003015FD" w:rsidRDefault="008E0945" w:rsidP="0002642E">
      <w:r w:rsidRPr="003015FD">
        <w:t>The</w:t>
      </w:r>
      <w:r w:rsidR="00975895" w:rsidRPr="003015FD">
        <w:t xml:space="preserve"> </w:t>
      </w:r>
      <w:r w:rsidRPr="003015FD">
        <w:t>use</w:t>
      </w:r>
      <w:r w:rsidR="00975895" w:rsidRPr="003015FD">
        <w:t xml:space="preserve"> </w:t>
      </w:r>
      <w:r w:rsidRPr="003015FD">
        <w:t>of</w:t>
      </w:r>
      <w:r w:rsidR="00975895" w:rsidRPr="003015FD">
        <w:t xml:space="preserve"> </w:t>
      </w:r>
      <w:r w:rsidRPr="003015FD">
        <w:t>SARC</w:t>
      </w:r>
      <w:r w:rsidR="00975895" w:rsidRPr="003015FD">
        <w:t xml:space="preserve"> </w:t>
      </w:r>
      <w:r w:rsidRPr="003015FD">
        <w:t>reports</w:t>
      </w:r>
      <w:r w:rsidR="00975895" w:rsidRPr="003015FD">
        <w:t xml:space="preserve"> </w:t>
      </w:r>
      <w:r w:rsidRPr="003015FD">
        <w:t>by</w:t>
      </w:r>
      <w:r w:rsidR="00975895" w:rsidRPr="003015FD">
        <w:t xml:space="preserve"> </w:t>
      </w:r>
      <w:r w:rsidRPr="003015FD">
        <w:t>members</w:t>
      </w:r>
      <w:r w:rsidR="00975895" w:rsidRPr="003015FD">
        <w:t xml:space="preserve"> </w:t>
      </w:r>
      <w:r w:rsidRPr="003015FD">
        <w:t>during</w:t>
      </w:r>
      <w:r w:rsidR="00975895" w:rsidRPr="003015FD">
        <w:t xml:space="preserve"> </w:t>
      </w:r>
      <w:r w:rsidRPr="003015FD">
        <w:t>parliamentary</w:t>
      </w:r>
      <w:r w:rsidR="00975895" w:rsidRPr="003015FD">
        <w:t xml:space="preserve"> </w:t>
      </w:r>
      <w:r w:rsidRPr="003015FD">
        <w:t>debate</w:t>
      </w:r>
      <w:r w:rsidR="00975895" w:rsidRPr="003015FD">
        <w:t xml:space="preserve"> </w:t>
      </w:r>
      <w:r w:rsidRPr="003015FD">
        <w:t>on</w:t>
      </w:r>
      <w:r w:rsidR="00975895" w:rsidRPr="003015FD">
        <w:t xml:space="preserve"> </w:t>
      </w:r>
      <w:r w:rsidRPr="003015FD">
        <w:t>proposed</w:t>
      </w:r>
      <w:r w:rsidR="00975895" w:rsidRPr="003015FD">
        <w:t xml:space="preserve"> </w:t>
      </w:r>
      <w:r w:rsidRPr="003015FD">
        <w:t>legislation</w:t>
      </w:r>
      <w:r w:rsidR="00975895" w:rsidRPr="003015FD">
        <w:t xml:space="preserve"> </w:t>
      </w:r>
      <w:r w:rsidRPr="003015FD">
        <w:t>is</w:t>
      </w:r>
      <w:r w:rsidR="00975895" w:rsidRPr="003015FD">
        <w:t xml:space="preserve"> </w:t>
      </w:r>
      <w:r w:rsidRPr="003015FD">
        <w:t>an</w:t>
      </w:r>
      <w:r w:rsidR="00975895" w:rsidRPr="003015FD">
        <w:t xml:space="preserve"> </w:t>
      </w:r>
      <w:r w:rsidRPr="003015FD">
        <w:t>example</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0C5726">
        <w:t>'</w:t>
      </w:r>
      <w:r w:rsidRPr="003015FD">
        <w:t>s</w:t>
      </w:r>
      <w:r w:rsidR="00975895" w:rsidRPr="003015FD">
        <w:t xml:space="preserve"> </w:t>
      </w:r>
      <w:r w:rsidRPr="003015FD">
        <w:t>dialogue</w:t>
      </w:r>
      <w:r w:rsidR="00975895" w:rsidRPr="003015FD">
        <w:t xml:space="preserve"> </w:t>
      </w:r>
      <w:r w:rsidRPr="003015FD">
        <w:t>model</w:t>
      </w:r>
      <w:r w:rsidR="00975895" w:rsidRPr="003015FD">
        <w:t xml:space="preserve"> </w:t>
      </w:r>
      <w:r w:rsidRPr="003015FD">
        <w:t>in</w:t>
      </w:r>
      <w:r w:rsidR="00975895" w:rsidRPr="003015FD">
        <w:t xml:space="preserve"> </w:t>
      </w:r>
      <w:r w:rsidRPr="003015FD">
        <w:t>practice</w:t>
      </w:r>
      <w:r w:rsidR="00975895" w:rsidRPr="003015FD">
        <w:t xml:space="preserve"> </w:t>
      </w:r>
      <w:r w:rsidRPr="003015FD">
        <w:t>and</w:t>
      </w:r>
      <w:r w:rsidR="00975895" w:rsidRPr="003015FD">
        <w:t xml:space="preserve"> </w:t>
      </w:r>
      <w:r w:rsidRPr="003015FD">
        <w:t>ensures</w:t>
      </w:r>
      <w:r w:rsidR="00975895" w:rsidRPr="003015FD">
        <w:t xml:space="preserve"> </w:t>
      </w:r>
      <w:r w:rsidRPr="003015FD">
        <w:t>proper</w:t>
      </w:r>
      <w:r w:rsidR="00975895" w:rsidRPr="003015FD">
        <w:t xml:space="preserve"> </w:t>
      </w:r>
      <w:r w:rsidRPr="003015FD">
        <w:t>scrutiny</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issues.</w:t>
      </w:r>
      <w:r w:rsidR="00975895" w:rsidRPr="003015FD">
        <w:t xml:space="preserve"> </w:t>
      </w:r>
    </w:p>
    <w:p w14:paraId="4242C85D" w14:textId="36A43093" w:rsidR="008E0945" w:rsidRPr="003015FD" w:rsidRDefault="00D90DB7" w:rsidP="0002642E">
      <w:pPr>
        <w:pStyle w:val="Heading3"/>
      </w:pPr>
      <w:bookmarkStart w:id="96" w:name="_Toc15045125"/>
      <w:r w:rsidRPr="003015FD">
        <w:t>3.4.2</w:t>
      </w:r>
      <w:r w:rsidRPr="003015FD">
        <w:tab/>
      </w:r>
      <w:r w:rsidR="008E0945" w:rsidRPr="003015FD">
        <w:t>House</w:t>
      </w:r>
      <w:r w:rsidR="00975895" w:rsidRPr="003015FD">
        <w:t xml:space="preserve"> </w:t>
      </w:r>
      <w:r w:rsidR="008E0945" w:rsidRPr="003015FD">
        <w:t>amendments</w:t>
      </w:r>
      <w:r w:rsidR="00975895" w:rsidRPr="003015FD">
        <w:t xml:space="preserve"> </w:t>
      </w:r>
      <w:r w:rsidR="008E0945" w:rsidRPr="003015FD">
        <w:t>to</w:t>
      </w:r>
      <w:r w:rsidR="00975895" w:rsidRPr="003015FD">
        <w:t xml:space="preserve"> </w:t>
      </w:r>
      <w:r w:rsidR="008E0945" w:rsidRPr="003015FD">
        <w:t>Bills</w:t>
      </w:r>
      <w:bookmarkEnd w:id="96"/>
    </w:p>
    <w:p w14:paraId="170D6125" w14:textId="23E15DB0" w:rsidR="008E0945" w:rsidRPr="003015FD" w:rsidRDefault="008E0945" w:rsidP="0002642E">
      <w:r w:rsidRPr="003015FD">
        <w:t>Members</w:t>
      </w:r>
      <w:r w:rsidR="00975895" w:rsidRPr="003015FD">
        <w:t xml:space="preserve"> </w:t>
      </w:r>
      <w:r w:rsidRPr="003015FD">
        <w:t>of</w:t>
      </w:r>
      <w:r w:rsidR="00975895" w:rsidRPr="003015FD">
        <w:t xml:space="preserve"> </w:t>
      </w:r>
      <w:r w:rsidRPr="003015FD">
        <w:t>Parliament</w:t>
      </w:r>
      <w:r w:rsidR="00975895" w:rsidRPr="003015FD">
        <w:t xml:space="preserve"> </w:t>
      </w:r>
      <w:r w:rsidRPr="003015FD">
        <w:t>can</w:t>
      </w:r>
      <w:r w:rsidR="00975895" w:rsidRPr="003015FD">
        <w:t xml:space="preserve"> </w:t>
      </w:r>
      <w:r w:rsidRPr="003015FD">
        <w:t>propose</w:t>
      </w:r>
      <w:r w:rsidR="00975895" w:rsidRPr="003015FD">
        <w:t xml:space="preserve"> </w:t>
      </w:r>
      <w:r w:rsidRPr="003015FD">
        <w:t>amendments</w:t>
      </w:r>
      <w:r w:rsidR="00975895" w:rsidRPr="003015FD">
        <w:t xml:space="preserve"> </w:t>
      </w:r>
      <w:r w:rsidRPr="003015FD">
        <w:t>to</w:t>
      </w:r>
      <w:r w:rsidR="00975895" w:rsidRPr="003015FD">
        <w:t xml:space="preserve"> </w:t>
      </w:r>
      <w:r w:rsidRPr="003015FD">
        <w:t>Bills</w:t>
      </w:r>
      <w:r w:rsidR="00975895" w:rsidRPr="003015FD">
        <w:t xml:space="preserve"> </w:t>
      </w:r>
      <w:r w:rsidRPr="003015FD">
        <w:t>during</w:t>
      </w:r>
      <w:r w:rsidR="00975895" w:rsidRPr="003015FD">
        <w:t xml:space="preserve"> </w:t>
      </w:r>
      <w:r w:rsidRPr="003015FD">
        <w:t>parliamentary</w:t>
      </w:r>
      <w:r w:rsidR="00975895" w:rsidRPr="003015FD">
        <w:t xml:space="preserve"> </w:t>
      </w:r>
      <w:r w:rsidRPr="003015FD">
        <w:t>debate.</w:t>
      </w:r>
      <w:r w:rsidR="00975895" w:rsidRPr="003015FD">
        <w:t xml:space="preserve"> </w:t>
      </w:r>
      <w:r w:rsidRPr="003015FD">
        <w:t>In</w:t>
      </w:r>
      <w:r w:rsidR="00975895" w:rsidRPr="003015FD">
        <w:t xml:space="preserve"> </w:t>
      </w:r>
      <w:r w:rsidRPr="003015FD">
        <w:t>2018,</w:t>
      </w:r>
      <w:r w:rsidR="00975895" w:rsidRPr="003015FD">
        <w:t xml:space="preserve"> </w:t>
      </w:r>
      <w:r w:rsidRPr="003015FD">
        <w:t>25</w:t>
      </w:r>
      <w:r w:rsidR="00975895" w:rsidRPr="003015FD">
        <w:t xml:space="preserve"> </w:t>
      </w:r>
      <w:r w:rsidRPr="003015FD">
        <w:t>House</w:t>
      </w:r>
      <w:r w:rsidR="00975895" w:rsidRPr="003015FD">
        <w:t xml:space="preserve"> </w:t>
      </w:r>
      <w:r w:rsidR="005D3541">
        <w:t>a</w:t>
      </w:r>
      <w:r w:rsidRPr="003015FD">
        <w:t>mendments</w:t>
      </w:r>
      <w:r w:rsidR="00975895" w:rsidRPr="003015FD">
        <w:t xml:space="preserve"> </w:t>
      </w:r>
      <w:r w:rsidRPr="003015FD">
        <w:t>were</w:t>
      </w:r>
      <w:r w:rsidR="00975895" w:rsidRPr="003015FD">
        <w:t xml:space="preserve"> </w:t>
      </w:r>
      <w:r w:rsidRPr="003015FD">
        <w:t>made</w:t>
      </w:r>
      <w:r w:rsidR="00975895" w:rsidRPr="003015FD">
        <w:t xml:space="preserve"> </w:t>
      </w:r>
      <w:r w:rsidRPr="003015FD">
        <w:t>to</w:t>
      </w:r>
      <w:r w:rsidR="00975895" w:rsidRPr="003015FD">
        <w:t xml:space="preserve"> </w:t>
      </w:r>
      <w:r w:rsidRPr="003015FD">
        <w:t>Bills,</w:t>
      </w:r>
      <w:r w:rsidRPr="004862C5">
        <w:rPr>
          <w:rStyle w:val="FootnoteReference"/>
        </w:rPr>
        <w:footnoteReference w:id="61"/>
      </w:r>
      <w:r w:rsidR="00975895" w:rsidRPr="003015FD">
        <w:t xml:space="preserve"> </w:t>
      </w:r>
      <w:r w:rsidRPr="003015FD">
        <w:t>some</w:t>
      </w:r>
      <w:r w:rsidR="00975895" w:rsidRPr="003015FD">
        <w:t xml:space="preserve"> </w:t>
      </w:r>
      <w:r w:rsidRPr="003015FD">
        <w:t>of</w:t>
      </w:r>
      <w:r w:rsidR="00975895" w:rsidRPr="003015FD">
        <w:t xml:space="preserve"> </w:t>
      </w:r>
      <w:r w:rsidRPr="003015FD">
        <w:t>which</w:t>
      </w:r>
      <w:r w:rsidR="00975895" w:rsidRPr="003015FD">
        <w:t xml:space="preserve"> </w:t>
      </w:r>
      <w:r w:rsidRPr="003015FD">
        <w:t>raised</w:t>
      </w:r>
      <w:r w:rsidR="00975895" w:rsidRPr="003015FD">
        <w:t xml:space="preserve"> </w:t>
      </w:r>
      <w:r w:rsidRPr="003015FD">
        <w:t>significant</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issues.</w:t>
      </w:r>
      <w:r w:rsidR="00975895" w:rsidRPr="003015FD">
        <w:t xml:space="preserve"> </w:t>
      </w:r>
      <w:r w:rsidRPr="003015FD">
        <w:t>However,</w:t>
      </w:r>
      <w:r w:rsidR="00975895" w:rsidRPr="003015FD">
        <w:t xml:space="preserve"> </w:t>
      </w:r>
      <w:r w:rsidRPr="003015FD">
        <w:t>there</w:t>
      </w:r>
      <w:r w:rsidR="00975895" w:rsidRPr="003015FD">
        <w:t xml:space="preserve"> </w:t>
      </w:r>
      <w:r w:rsidRPr="003015FD">
        <w:t>is</w:t>
      </w:r>
      <w:r w:rsidR="00975895" w:rsidRPr="003015FD">
        <w:t xml:space="preserve"> </w:t>
      </w:r>
      <w:r w:rsidRPr="003015FD">
        <w:t>no</w:t>
      </w:r>
      <w:r w:rsidR="00975895" w:rsidRPr="003015FD">
        <w:t xml:space="preserve"> </w:t>
      </w:r>
      <w:r w:rsidRPr="003015FD">
        <w:t>requirement</w:t>
      </w:r>
      <w:r w:rsidR="00975895" w:rsidRPr="003015FD">
        <w:t xml:space="preserve"> </w:t>
      </w:r>
      <w:r w:rsidRPr="003015FD">
        <w:t>for</w:t>
      </w:r>
      <w:r w:rsidR="00975895" w:rsidRPr="003015FD">
        <w:t xml:space="preserve"> </w:t>
      </w:r>
      <w:r w:rsidRPr="003015FD">
        <w:t>a</w:t>
      </w:r>
      <w:r w:rsidR="00975895" w:rsidRPr="003015FD">
        <w:t xml:space="preserve"> </w:t>
      </w:r>
      <w:r w:rsidRPr="003015FD">
        <w:t>statement</w:t>
      </w:r>
      <w:r w:rsidR="00975895" w:rsidRPr="003015FD">
        <w:t xml:space="preserve"> </w:t>
      </w:r>
      <w:r w:rsidRPr="003015FD">
        <w:t>of</w:t>
      </w:r>
      <w:r w:rsidR="00975895" w:rsidRPr="003015FD">
        <w:t xml:space="preserve"> </w:t>
      </w:r>
      <w:r w:rsidRPr="003015FD">
        <w:t>compatibility</w:t>
      </w:r>
      <w:r w:rsidR="00975895" w:rsidRPr="003015FD">
        <w:t xml:space="preserve"> </w:t>
      </w:r>
      <w:r w:rsidRPr="003015FD">
        <w:t>to</w:t>
      </w:r>
      <w:r w:rsidR="00975895" w:rsidRPr="003015FD">
        <w:t xml:space="preserve"> </w:t>
      </w:r>
      <w:r w:rsidRPr="003015FD">
        <w:t>be</w:t>
      </w:r>
      <w:r w:rsidR="00975895" w:rsidRPr="003015FD">
        <w:t xml:space="preserve"> </w:t>
      </w:r>
      <w:r w:rsidRPr="003015FD">
        <w:t>prepared</w:t>
      </w:r>
      <w:r w:rsidR="00975895" w:rsidRPr="003015FD">
        <w:t xml:space="preserve"> </w:t>
      </w:r>
      <w:r w:rsidRPr="003015FD">
        <w:t>or</w:t>
      </w:r>
      <w:r w:rsidR="00975895" w:rsidRPr="003015FD">
        <w:t xml:space="preserve"> </w:t>
      </w:r>
      <w:r w:rsidRPr="003015FD">
        <w:t>updated</w:t>
      </w:r>
      <w:r w:rsidR="00975895" w:rsidRPr="003015FD">
        <w:t xml:space="preserve"> </w:t>
      </w:r>
      <w:r w:rsidRPr="003015FD">
        <w:t>when</w:t>
      </w:r>
      <w:r w:rsidR="00975895" w:rsidRPr="003015FD">
        <w:t xml:space="preserve"> </w:t>
      </w:r>
      <w:r w:rsidRPr="003015FD">
        <w:t>amendments</w:t>
      </w:r>
      <w:r w:rsidR="00975895" w:rsidRPr="003015FD">
        <w:t xml:space="preserve"> </w:t>
      </w:r>
      <w:r w:rsidRPr="003015FD">
        <w:t>are</w:t>
      </w:r>
      <w:r w:rsidR="00975895" w:rsidRPr="003015FD">
        <w:t xml:space="preserve"> </w:t>
      </w:r>
      <w:r w:rsidRPr="003015FD">
        <w:t>proposed.</w:t>
      </w:r>
      <w:r w:rsidR="00975895" w:rsidRPr="003015FD">
        <w:t xml:space="preserve"> </w:t>
      </w:r>
      <w:r w:rsidRPr="003015FD">
        <w:t>The</w:t>
      </w:r>
      <w:r w:rsidR="00975895" w:rsidRPr="003015FD">
        <w:t xml:space="preserve"> </w:t>
      </w:r>
      <w:r w:rsidRPr="003015FD">
        <w:lastRenderedPageBreak/>
        <w:t>Commission</w:t>
      </w:r>
      <w:r w:rsidR="00975895" w:rsidRPr="003015FD">
        <w:t xml:space="preserve"> </w:t>
      </w:r>
      <w:r w:rsidRPr="003015FD">
        <w:t>considers</w:t>
      </w:r>
      <w:r w:rsidR="00975895" w:rsidRPr="003015FD">
        <w:t xml:space="preserve"> </w:t>
      </w:r>
      <w:r w:rsidRPr="003015FD">
        <w:t>that</w:t>
      </w:r>
      <w:r w:rsidR="00975895" w:rsidRPr="003015FD">
        <w:t xml:space="preserve"> </w:t>
      </w:r>
      <w:r w:rsidRPr="003015FD">
        <w:t>public</w:t>
      </w:r>
      <w:r w:rsidR="00975895" w:rsidRPr="003015FD">
        <w:t xml:space="preserve"> </w:t>
      </w:r>
      <w:r w:rsidRPr="003015FD">
        <w:t>accountability</w:t>
      </w:r>
      <w:r w:rsidR="00975895" w:rsidRPr="003015FD">
        <w:t xml:space="preserve"> </w:t>
      </w:r>
      <w:r w:rsidRPr="003015FD">
        <w:t>of</w:t>
      </w:r>
      <w:r w:rsidR="00975895" w:rsidRPr="003015FD">
        <w:t xml:space="preserve"> </w:t>
      </w:r>
      <w:r w:rsidRPr="003015FD">
        <w:t>the</w:t>
      </w:r>
      <w:r w:rsidR="00975895" w:rsidRPr="003015FD">
        <w:t xml:space="preserve"> </w:t>
      </w:r>
      <w:r w:rsidRPr="003015FD">
        <w:t>law-making</w:t>
      </w:r>
      <w:r w:rsidR="00975895" w:rsidRPr="003015FD">
        <w:t xml:space="preserve"> </w:t>
      </w:r>
      <w:r w:rsidRPr="003015FD">
        <w:t>process</w:t>
      </w:r>
      <w:r w:rsidR="00975895" w:rsidRPr="003015FD">
        <w:t xml:space="preserve"> </w:t>
      </w:r>
      <w:r w:rsidRPr="003015FD">
        <w:t>may</w:t>
      </w:r>
      <w:r w:rsidR="00975895" w:rsidRPr="003015FD">
        <w:t xml:space="preserve"> </w:t>
      </w:r>
      <w:r w:rsidRPr="003015FD">
        <w:t>be</w:t>
      </w:r>
      <w:r w:rsidR="00975895" w:rsidRPr="003015FD">
        <w:t xml:space="preserve"> </w:t>
      </w:r>
      <w:r w:rsidRPr="003015FD">
        <w:t>compromised</w:t>
      </w:r>
      <w:r w:rsidR="00975895" w:rsidRPr="003015FD">
        <w:t xml:space="preserve"> </w:t>
      </w:r>
      <w:r w:rsidRPr="003015FD">
        <w:t>where</w:t>
      </w:r>
      <w:r w:rsidR="00975895" w:rsidRPr="003015FD">
        <w:t xml:space="preserve"> </w:t>
      </w:r>
      <w:r w:rsidRPr="003015FD">
        <w:t>new</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issues</w:t>
      </w:r>
      <w:r w:rsidR="00975895" w:rsidRPr="003015FD">
        <w:t xml:space="preserve"> </w:t>
      </w:r>
      <w:r w:rsidRPr="003015FD">
        <w:t>raised</w:t>
      </w:r>
      <w:r w:rsidR="00975895" w:rsidRPr="003015FD">
        <w:t xml:space="preserve"> </w:t>
      </w:r>
      <w:r w:rsidRPr="003015FD">
        <w:t>in</w:t>
      </w:r>
      <w:r w:rsidR="00975895" w:rsidRPr="003015FD">
        <w:t xml:space="preserve"> </w:t>
      </w:r>
      <w:r w:rsidR="005D3541">
        <w:t>H</w:t>
      </w:r>
      <w:r w:rsidRPr="003015FD">
        <w:t>ouse</w:t>
      </w:r>
      <w:r w:rsidR="00975895" w:rsidRPr="003015FD">
        <w:t xml:space="preserve"> </w:t>
      </w:r>
      <w:r w:rsidRPr="003015FD">
        <w:t>amendments</w:t>
      </w:r>
      <w:r w:rsidR="00975895" w:rsidRPr="003015FD">
        <w:t xml:space="preserve"> </w:t>
      </w:r>
      <w:r w:rsidRPr="003015FD">
        <w:t>are</w:t>
      </w:r>
      <w:r w:rsidR="00975895" w:rsidRPr="003015FD">
        <w:t xml:space="preserve"> </w:t>
      </w:r>
      <w:r w:rsidRPr="003015FD">
        <w:t>not</w:t>
      </w:r>
      <w:r w:rsidR="00975895" w:rsidRPr="003015FD">
        <w:t xml:space="preserve"> </w:t>
      </w:r>
      <w:r w:rsidRPr="003015FD">
        <w:t>properly</w:t>
      </w:r>
      <w:r w:rsidR="00975895" w:rsidRPr="003015FD">
        <w:t xml:space="preserve"> </w:t>
      </w:r>
      <w:r w:rsidRPr="003015FD">
        <w:t>scrutinised.</w:t>
      </w:r>
    </w:p>
    <w:p w14:paraId="7754753F" w14:textId="13903EAF" w:rsidR="008E0945" w:rsidRPr="003015FD" w:rsidRDefault="008E0945" w:rsidP="0002642E">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made</w:t>
      </w:r>
      <w:r w:rsidR="00975895" w:rsidRPr="003015FD">
        <w:t xml:space="preserve"> </w:t>
      </w:r>
      <w:r w:rsidR="00DC5DAF">
        <w:t>several</w:t>
      </w:r>
      <w:r w:rsidR="00975895" w:rsidRPr="003015FD">
        <w:t xml:space="preserve"> </w:t>
      </w:r>
      <w:r w:rsidRPr="003015FD">
        <w:t>recommendations</w:t>
      </w:r>
      <w:r w:rsidR="00975895" w:rsidRPr="003015FD">
        <w:t xml:space="preserve"> </w:t>
      </w:r>
      <w:r w:rsidR="00DC5DAF">
        <w:t>for</w:t>
      </w:r>
      <w:r w:rsidR="00DC5DAF" w:rsidRPr="003015FD">
        <w:t xml:space="preserve"> </w:t>
      </w:r>
      <w:r w:rsidRPr="003015FD">
        <w:t>more</w:t>
      </w:r>
      <w:r w:rsidR="00975895" w:rsidRPr="003015FD">
        <w:t xml:space="preserve"> </w:t>
      </w:r>
      <w:r w:rsidRPr="003015FD">
        <w:t>effective</w:t>
      </w:r>
      <w:r w:rsidR="00975895" w:rsidRPr="003015FD">
        <w:t xml:space="preserve"> </w:t>
      </w:r>
      <w:r w:rsidRPr="003015FD">
        <w:t>parliamentary</w:t>
      </w:r>
      <w:r w:rsidR="00975895" w:rsidRPr="003015FD">
        <w:t xml:space="preserve"> </w:t>
      </w:r>
      <w:r w:rsidRPr="003015FD">
        <w:t>scrutiny,</w:t>
      </w:r>
      <w:r w:rsidR="00975895" w:rsidRPr="003015FD">
        <w:t xml:space="preserve"> </w:t>
      </w:r>
      <w:r w:rsidRPr="003015FD">
        <w:t>including</w:t>
      </w:r>
      <w:r w:rsidR="00975895" w:rsidRPr="003015FD">
        <w:t xml:space="preserve"> </w:t>
      </w:r>
      <w:r w:rsidRPr="003015FD">
        <w:t>that</w:t>
      </w:r>
      <w:r w:rsidR="00975895" w:rsidRPr="003015FD">
        <w:t xml:space="preserve"> </w:t>
      </w:r>
      <w:r w:rsidR="003B428A">
        <w:t>members</w:t>
      </w:r>
      <w:r w:rsidR="00975895" w:rsidRPr="003015FD">
        <w:t xml:space="preserve"> </w:t>
      </w:r>
      <w:r w:rsidRPr="003015FD">
        <w:t>of</w:t>
      </w:r>
      <w:r w:rsidR="00975895" w:rsidRPr="003015FD">
        <w:t xml:space="preserve"> </w:t>
      </w:r>
      <w:r w:rsidRPr="003015FD">
        <w:t>Parliament</w:t>
      </w:r>
      <w:r w:rsidR="00975895" w:rsidRPr="003015FD">
        <w:t xml:space="preserve"> </w:t>
      </w:r>
      <w:r w:rsidRPr="003015FD">
        <w:t>be</w:t>
      </w:r>
      <w:r w:rsidR="00975895" w:rsidRPr="003015FD">
        <w:t xml:space="preserve"> </w:t>
      </w:r>
      <w:r w:rsidRPr="003015FD">
        <w:t>encouraged</w:t>
      </w:r>
      <w:r w:rsidR="00975895" w:rsidRPr="003015FD">
        <w:t xml:space="preserve"> </w:t>
      </w:r>
      <w:r w:rsidRPr="003015FD">
        <w:t>to</w:t>
      </w:r>
      <w:r w:rsidR="00975895" w:rsidRPr="003015FD">
        <w:t xml:space="preserve"> </w:t>
      </w:r>
      <w:r w:rsidRPr="003015FD">
        <w:t>provide</w:t>
      </w:r>
      <w:r w:rsidR="00975895" w:rsidRPr="003015FD">
        <w:t xml:space="preserve"> </w:t>
      </w:r>
      <w:r w:rsidRPr="003015FD">
        <w:t>a</w:t>
      </w:r>
      <w:r w:rsidR="00975895" w:rsidRPr="003015FD">
        <w:t xml:space="preserve"> </w:t>
      </w:r>
      <w:r w:rsidRPr="003015FD">
        <w:t>short</w:t>
      </w:r>
      <w:r w:rsidR="00975895" w:rsidRPr="003015FD">
        <w:t xml:space="preserve"> </w:t>
      </w:r>
      <w:r w:rsidRPr="003015FD">
        <w:t>statement</w:t>
      </w:r>
      <w:r w:rsidR="00975895" w:rsidRPr="003015FD">
        <w:t xml:space="preserve"> </w:t>
      </w:r>
      <w:r w:rsidRPr="003015FD">
        <w:t>on</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compatibility</w:t>
      </w:r>
      <w:r w:rsidR="00975895" w:rsidRPr="003015FD">
        <w:t xml:space="preserve"> </w:t>
      </w:r>
      <w:r w:rsidRPr="003015FD">
        <w:t>of</w:t>
      </w:r>
      <w:r w:rsidR="00975895" w:rsidRPr="003015FD">
        <w:t xml:space="preserve"> </w:t>
      </w:r>
      <w:r w:rsidRPr="003015FD">
        <w:t>their</w:t>
      </w:r>
      <w:r w:rsidR="00975895" w:rsidRPr="003015FD">
        <w:t xml:space="preserve"> </w:t>
      </w:r>
      <w:r w:rsidRPr="003015FD">
        <w:t>proposed</w:t>
      </w:r>
      <w:r w:rsidR="00975895" w:rsidRPr="003015FD">
        <w:t xml:space="preserve"> </w:t>
      </w:r>
      <w:r w:rsidRPr="003015FD">
        <w:t>House</w:t>
      </w:r>
      <w:r w:rsidR="00975895" w:rsidRPr="003015FD">
        <w:t xml:space="preserve"> </w:t>
      </w:r>
      <w:r w:rsidRPr="003015FD">
        <w:t>amendments</w:t>
      </w:r>
      <w:r w:rsidR="00975895" w:rsidRPr="003015FD">
        <w:t xml:space="preserve"> </w:t>
      </w:r>
      <w:r w:rsidRPr="003015FD">
        <w:t>to</w:t>
      </w:r>
      <w:r w:rsidR="00975895" w:rsidRPr="003015FD">
        <w:t xml:space="preserve"> </w:t>
      </w:r>
      <w:r w:rsidRPr="003015FD">
        <w:t>Parliament,</w:t>
      </w:r>
      <w:r w:rsidR="00975895" w:rsidRPr="003015FD">
        <w:t xml:space="preserve"> </w:t>
      </w:r>
      <w:r w:rsidRPr="003015FD">
        <w:t>when</w:t>
      </w:r>
      <w:r w:rsidR="00975895" w:rsidRPr="003015FD">
        <w:t xml:space="preserve"> </w:t>
      </w:r>
      <w:r w:rsidRPr="003015FD">
        <w:t>time</w:t>
      </w:r>
      <w:r w:rsidR="00975895" w:rsidRPr="003015FD">
        <w:t xml:space="preserve"> </w:t>
      </w:r>
      <w:r w:rsidRPr="003015FD">
        <w:t>permits.</w:t>
      </w:r>
      <w:r w:rsidRPr="004862C5">
        <w:rPr>
          <w:rStyle w:val="FootnoteReference"/>
        </w:rPr>
        <w:footnoteReference w:id="62"/>
      </w:r>
      <w:r w:rsidR="00975895" w:rsidRPr="003015FD">
        <w:t xml:space="preserve"> </w:t>
      </w:r>
      <w:r w:rsidRPr="003015FD">
        <w:t>The</w:t>
      </w:r>
      <w:r w:rsidR="00975895" w:rsidRPr="003015FD">
        <w:t xml:space="preserve"> </w:t>
      </w:r>
      <w:r w:rsidRPr="003015FD">
        <w:t>Commission</w:t>
      </w:r>
      <w:r w:rsidR="00975895" w:rsidRPr="003015FD">
        <w:t xml:space="preserve"> </w:t>
      </w:r>
      <w:r w:rsidRPr="003015FD">
        <w:t>has</w:t>
      </w:r>
      <w:r w:rsidR="00975895" w:rsidRPr="003015FD">
        <w:t xml:space="preserve"> </w:t>
      </w:r>
      <w:r w:rsidRPr="003015FD">
        <w:t>noted</w:t>
      </w:r>
      <w:r w:rsidR="00975895" w:rsidRPr="003015FD">
        <w:t xml:space="preserve"> </w:t>
      </w:r>
      <w:r w:rsidRPr="003015FD">
        <w:t>the</w:t>
      </w:r>
      <w:r w:rsidR="00975895" w:rsidRPr="003015FD">
        <w:t xml:space="preserve"> </w:t>
      </w:r>
      <w:r w:rsidRPr="003015FD">
        <w:t>status</w:t>
      </w:r>
      <w:r w:rsidR="00975895" w:rsidRPr="003015FD">
        <w:t xml:space="preserve"> </w:t>
      </w:r>
      <w:r w:rsidRPr="003015FD">
        <w:t>of</w:t>
      </w:r>
      <w:r w:rsidR="00975895" w:rsidRPr="003015FD">
        <w:t xml:space="preserve"> </w:t>
      </w:r>
      <w:r w:rsidRPr="003015FD">
        <w:t>the</w:t>
      </w:r>
      <w:r w:rsidR="00975895" w:rsidRPr="003015FD">
        <w:t xml:space="preserve"> </w:t>
      </w:r>
      <w:r w:rsidRPr="003015FD">
        <w:t>implementation</w:t>
      </w:r>
      <w:r w:rsidR="00975895" w:rsidRPr="003015FD">
        <w:t xml:space="preserve"> </w:t>
      </w:r>
      <w:r w:rsidRPr="003015FD">
        <w:t>of</w:t>
      </w:r>
      <w:r w:rsidR="00975895" w:rsidRPr="003015FD">
        <w:t xml:space="preserve"> </w:t>
      </w:r>
      <w:r w:rsidRPr="003015FD">
        <w:t>these</w:t>
      </w:r>
      <w:r w:rsidR="00975895" w:rsidRPr="003015FD">
        <w:t xml:space="preserve"> </w:t>
      </w:r>
      <w:r w:rsidRPr="003015FD">
        <w:t>recommendations</w:t>
      </w:r>
      <w:r w:rsidR="00975895" w:rsidRPr="003015FD">
        <w:t xml:space="preserve"> </w:t>
      </w:r>
      <w:r w:rsidRPr="003015FD">
        <w:t>in</w:t>
      </w:r>
      <w:r w:rsidR="00975895" w:rsidRPr="003015FD">
        <w:t xml:space="preserve"> </w:t>
      </w:r>
      <w:r w:rsidRPr="003015FD">
        <w:t>Chapter</w:t>
      </w:r>
      <w:r w:rsidR="00975895" w:rsidRPr="003015FD">
        <w:t xml:space="preserve"> </w:t>
      </w:r>
      <w:r w:rsidRPr="003015FD">
        <w:t>5</w:t>
      </w:r>
      <w:r w:rsidR="00975895" w:rsidRPr="003015FD">
        <w:t xml:space="preserve"> </w:t>
      </w:r>
      <w:r w:rsidRPr="003015FD">
        <w:t>of</w:t>
      </w:r>
      <w:r w:rsidR="00975895" w:rsidRPr="003015FD">
        <w:t xml:space="preserve"> </w:t>
      </w:r>
      <w:r w:rsidRPr="003015FD">
        <w:t>this</w:t>
      </w:r>
      <w:r w:rsidR="00975895" w:rsidRPr="003015FD">
        <w:t xml:space="preserve"> </w:t>
      </w:r>
      <w:r w:rsidRPr="003015FD">
        <w:t>report.</w:t>
      </w:r>
      <w:r w:rsidR="00975895" w:rsidRPr="003015FD">
        <w:t xml:space="preserve"> </w:t>
      </w:r>
    </w:p>
    <w:p w14:paraId="7E22E38D" w14:textId="699A40EB" w:rsidR="008E0945" w:rsidRPr="003015FD" w:rsidRDefault="008E0945" w:rsidP="0002642E">
      <w:r w:rsidRPr="003015FD">
        <w:t>SARC</w:t>
      </w:r>
      <w:r w:rsidR="00975895" w:rsidRPr="003015FD">
        <w:t xml:space="preserve"> </w:t>
      </w:r>
      <w:r w:rsidRPr="003015FD">
        <w:t>reports</w:t>
      </w:r>
      <w:r w:rsidR="00975895" w:rsidRPr="003015FD">
        <w:t xml:space="preserve"> </w:t>
      </w:r>
      <w:r w:rsidRPr="003015FD">
        <w:t>are</w:t>
      </w:r>
      <w:r w:rsidR="00975895" w:rsidRPr="003015FD">
        <w:t xml:space="preserve"> </w:t>
      </w:r>
      <w:r w:rsidRPr="003015FD">
        <w:t>sometimes</w:t>
      </w:r>
      <w:r w:rsidR="00975895" w:rsidRPr="003015FD">
        <w:t xml:space="preserve"> </w:t>
      </w:r>
      <w:r w:rsidRPr="003015FD">
        <w:t>used</w:t>
      </w:r>
      <w:r w:rsidR="00975895" w:rsidRPr="003015FD">
        <w:t xml:space="preserve"> </w:t>
      </w:r>
      <w:r w:rsidRPr="003015FD">
        <w:t>directly</w:t>
      </w:r>
      <w:r w:rsidR="00975895" w:rsidRPr="003015FD">
        <w:t xml:space="preserve"> </w:t>
      </w:r>
      <w:r w:rsidRPr="003015FD">
        <w:t>by</w:t>
      </w:r>
      <w:r w:rsidR="00975895" w:rsidRPr="003015FD">
        <w:t xml:space="preserve"> </w:t>
      </w:r>
      <w:r w:rsidR="003B428A">
        <w:t>members</w:t>
      </w:r>
      <w:r w:rsidR="00975895" w:rsidRPr="003015FD">
        <w:t xml:space="preserve"> </w:t>
      </w:r>
      <w:r w:rsidRPr="003015FD">
        <w:t>of</w:t>
      </w:r>
      <w:r w:rsidR="00975895" w:rsidRPr="003015FD">
        <w:t xml:space="preserve"> </w:t>
      </w:r>
      <w:r w:rsidRPr="003015FD">
        <w:t>Parliament</w:t>
      </w:r>
      <w:r w:rsidR="00975895" w:rsidRPr="003015FD">
        <w:t xml:space="preserve"> </w:t>
      </w:r>
      <w:r w:rsidRPr="003015FD">
        <w:t>to</w:t>
      </w:r>
      <w:r w:rsidR="00975895" w:rsidRPr="003015FD">
        <w:t xml:space="preserve"> </w:t>
      </w:r>
      <w:r w:rsidRPr="003015FD">
        <w:t>support</w:t>
      </w:r>
      <w:r w:rsidR="00975895" w:rsidRPr="003015FD">
        <w:t xml:space="preserve"> </w:t>
      </w:r>
      <w:r w:rsidRPr="003015FD">
        <w:t>the</w:t>
      </w:r>
      <w:r w:rsidR="00975895" w:rsidRPr="003015FD">
        <w:t xml:space="preserve"> </w:t>
      </w:r>
      <w:r w:rsidRPr="003015FD">
        <w:t>tabling</w:t>
      </w:r>
      <w:r w:rsidR="00975895" w:rsidRPr="003015FD">
        <w:t xml:space="preserve"> </w:t>
      </w:r>
      <w:r w:rsidRPr="003015FD">
        <w:t>of</w:t>
      </w:r>
      <w:r w:rsidR="00975895" w:rsidRPr="003015FD">
        <w:t xml:space="preserve"> </w:t>
      </w:r>
      <w:r w:rsidRPr="003015FD">
        <w:t>House</w:t>
      </w:r>
      <w:r w:rsidR="00975895" w:rsidRPr="003015FD">
        <w:t xml:space="preserve"> </w:t>
      </w:r>
      <w:r w:rsidRPr="003015FD">
        <w:t>amendments.</w:t>
      </w:r>
      <w:r w:rsidR="00975895" w:rsidRPr="003015FD">
        <w:t xml:space="preserve"> </w:t>
      </w:r>
      <w:r w:rsidRPr="003015FD">
        <w:t>In</w:t>
      </w:r>
      <w:r w:rsidR="00975895" w:rsidRPr="003015FD">
        <w:t xml:space="preserve"> </w:t>
      </w:r>
      <w:r w:rsidRPr="003015FD">
        <w:t>2018,</w:t>
      </w:r>
      <w:r w:rsidR="00975895" w:rsidRPr="003015FD">
        <w:t xml:space="preserve"> </w:t>
      </w:r>
      <w:r w:rsidRPr="003015FD">
        <w:t>two</w:t>
      </w:r>
      <w:r w:rsidR="00975895" w:rsidRPr="003015FD">
        <w:t xml:space="preserve"> </w:t>
      </w:r>
      <w:r w:rsidRPr="003015FD">
        <w:t>House</w:t>
      </w:r>
      <w:r w:rsidR="00975895" w:rsidRPr="003015FD">
        <w:t xml:space="preserve"> </w:t>
      </w:r>
      <w:r w:rsidR="005D3541">
        <w:t>a</w:t>
      </w:r>
      <w:r w:rsidRPr="003015FD">
        <w:t>mendments</w:t>
      </w:r>
      <w:r w:rsidR="00975895" w:rsidRPr="003015FD">
        <w:t xml:space="preserve"> </w:t>
      </w:r>
      <w:r w:rsidRPr="003015FD">
        <w:t>were</w:t>
      </w:r>
      <w:r w:rsidR="00975895" w:rsidRPr="003015FD">
        <w:t xml:space="preserve"> </w:t>
      </w:r>
      <w:r w:rsidRPr="003015FD">
        <w:t>made</w:t>
      </w:r>
      <w:r w:rsidR="00975895" w:rsidRPr="003015FD">
        <w:t xml:space="preserve"> </w:t>
      </w:r>
      <w:r w:rsidRPr="003015FD">
        <w:t>that</w:t>
      </w:r>
      <w:r w:rsidR="00975895" w:rsidRPr="003015FD">
        <w:t xml:space="preserve"> </w:t>
      </w:r>
      <w:r w:rsidRPr="003015FD">
        <w:t>referenced</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issues</w:t>
      </w:r>
      <w:r w:rsidR="00975895" w:rsidRPr="003015FD">
        <w:t xml:space="preserve"> </w:t>
      </w:r>
      <w:r w:rsidRPr="003015FD">
        <w:t>raised</w:t>
      </w:r>
      <w:r w:rsidR="00975895" w:rsidRPr="003015FD">
        <w:t xml:space="preserve"> </w:t>
      </w:r>
      <w:r w:rsidRPr="003015FD">
        <w:t>in</w:t>
      </w:r>
      <w:r w:rsidR="00975895" w:rsidRPr="003015FD">
        <w:t xml:space="preserve"> </w:t>
      </w:r>
      <w:r w:rsidRPr="003015FD">
        <w:t>SARC</w:t>
      </w:r>
      <w:r w:rsidR="00975895" w:rsidRPr="003015FD">
        <w:t xml:space="preserve"> </w:t>
      </w:r>
      <w:r w:rsidRPr="003015FD">
        <w:t>reports.</w:t>
      </w:r>
      <w:r w:rsidR="00975895" w:rsidRPr="003015FD">
        <w:t xml:space="preserve"> </w:t>
      </w:r>
    </w:p>
    <w:p w14:paraId="1B808732" w14:textId="7B39E6CE" w:rsidR="008E0945" w:rsidRPr="0002642E" w:rsidRDefault="008E0945" w:rsidP="0002642E">
      <w:pPr>
        <w:pStyle w:val="Heading4"/>
      </w:pPr>
      <w:r w:rsidRPr="0002642E">
        <w:t>Serious</w:t>
      </w:r>
      <w:r w:rsidR="00975895" w:rsidRPr="0002642E">
        <w:t xml:space="preserve"> </w:t>
      </w:r>
      <w:r w:rsidRPr="0002642E">
        <w:t>Offenders</w:t>
      </w:r>
      <w:r w:rsidR="00975895" w:rsidRPr="0002642E">
        <w:t xml:space="preserve"> </w:t>
      </w:r>
      <w:r w:rsidRPr="0002642E">
        <w:t>Bill</w:t>
      </w:r>
      <w:r w:rsidR="00975895" w:rsidRPr="0002642E">
        <w:t xml:space="preserve"> </w:t>
      </w:r>
      <w:r w:rsidRPr="0002642E">
        <w:t>2018</w:t>
      </w:r>
    </w:p>
    <w:p w14:paraId="2CCF3D17" w14:textId="6C04BA84" w:rsidR="008E0945" w:rsidRPr="003015FD" w:rsidRDefault="008E0945" w:rsidP="0002642E">
      <w:r w:rsidRPr="003015FD">
        <w:t>The</w:t>
      </w:r>
      <w:r w:rsidR="00975895" w:rsidRPr="003015FD">
        <w:t xml:space="preserve"> </w:t>
      </w:r>
      <w:r w:rsidRPr="003015FD">
        <w:t>Serious</w:t>
      </w:r>
      <w:r w:rsidR="00975895" w:rsidRPr="003015FD">
        <w:t xml:space="preserve"> </w:t>
      </w:r>
      <w:r w:rsidRPr="003015FD">
        <w:t>Offenders</w:t>
      </w:r>
      <w:r w:rsidR="00975895" w:rsidRPr="003015FD">
        <w:t xml:space="preserve"> </w:t>
      </w:r>
      <w:r w:rsidRPr="003015FD">
        <w:t>Bill</w:t>
      </w:r>
      <w:r w:rsidR="00975895" w:rsidRPr="003015FD">
        <w:t xml:space="preserve"> </w:t>
      </w:r>
      <w:r w:rsidRPr="003015FD">
        <w:t>2018</w:t>
      </w:r>
      <w:r w:rsidR="00975895" w:rsidRPr="003015FD">
        <w:t xml:space="preserve"> </w:t>
      </w:r>
      <w:r w:rsidRPr="003015FD">
        <w:t>(discussed</w:t>
      </w:r>
      <w:r w:rsidR="00975895" w:rsidRPr="003015FD">
        <w:t xml:space="preserve"> </w:t>
      </w:r>
      <w:r w:rsidRPr="003015FD">
        <w:t>above)</w:t>
      </w:r>
      <w:r w:rsidR="00975895" w:rsidRPr="003015FD">
        <w:t xml:space="preserve"> </w:t>
      </w:r>
      <w:r w:rsidRPr="003015FD">
        <w:t>established</w:t>
      </w:r>
      <w:r w:rsidR="00975895" w:rsidRPr="003015FD">
        <w:t xml:space="preserve"> </w:t>
      </w:r>
      <w:r w:rsidRPr="003015FD">
        <w:t>a</w:t>
      </w:r>
      <w:r w:rsidR="00975895" w:rsidRPr="003015FD">
        <w:t xml:space="preserve"> </w:t>
      </w:r>
      <w:r w:rsidRPr="003015FD">
        <w:t>scheme</w:t>
      </w:r>
      <w:r w:rsidR="00975895" w:rsidRPr="003015FD">
        <w:t xml:space="preserve"> </w:t>
      </w:r>
      <w:r w:rsidRPr="003015FD">
        <w:t>under</w:t>
      </w:r>
      <w:r w:rsidR="00975895" w:rsidRPr="003015FD">
        <w:t xml:space="preserve"> </w:t>
      </w:r>
      <w:r w:rsidRPr="003015FD">
        <w:t>which</w:t>
      </w:r>
      <w:r w:rsidR="00975895" w:rsidRPr="003015FD">
        <w:t xml:space="preserve"> </w:t>
      </w:r>
      <w:r w:rsidRPr="003015FD">
        <w:t>offenders</w:t>
      </w:r>
      <w:r w:rsidR="00975895" w:rsidRPr="003015FD">
        <w:t xml:space="preserve"> </w:t>
      </w:r>
      <w:r w:rsidRPr="003015FD">
        <w:t>who</w:t>
      </w:r>
      <w:r w:rsidR="00975895" w:rsidRPr="003015FD">
        <w:t xml:space="preserve"> </w:t>
      </w:r>
      <w:r w:rsidRPr="003015FD">
        <w:t>have</w:t>
      </w:r>
      <w:r w:rsidR="00975895" w:rsidRPr="003015FD">
        <w:t xml:space="preserve"> </w:t>
      </w:r>
      <w:r w:rsidRPr="003015FD">
        <w:t>served</w:t>
      </w:r>
      <w:r w:rsidR="00975895" w:rsidRPr="003015FD">
        <w:t xml:space="preserve"> </w:t>
      </w:r>
      <w:r w:rsidRPr="003015FD">
        <w:t>custodial</w:t>
      </w:r>
      <w:r w:rsidR="00975895" w:rsidRPr="003015FD">
        <w:t xml:space="preserve"> </w:t>
      </w:r>
      <w:r w:rsidRPr="003015FD">
        <w:t>sentences</w:t>
      </w:r>
      <w:r w:rsidR="00975895" w:rsidRPr="003015FD">
        <w:t xml:space="preserve"> </w:t>
      </w:r>
      <w:r w:rsidRPr="003015FD">
        <w:t>for</w:t>
      </w:r>
      <w:r w:rsidR="00975895" w:rsidRPr="003015FD">
        <w:t xml:space="preserve"> </w:t>
      </w:r>
      <w:r w:rsidRPr="003015FD">
        <w:t>certain</w:t>
      </w:r>
      <w:r w:rsidR="00975895" w:rsidRPr="003015FD">
        <w:t xml:space="preserve"> </w:t>
      </w:r>
      <w:r w:rsidRPr="003015FD">
        <w:t>serious</w:t>
      </w:r>
      <w:r w:rsidR="00975895" w:rsidRPr="003015FD">
        <w:t xml:space="preserve"> </w:t>
      </w:r>
      <w:r w:rsidRPr="003015FD">
        <w:t>sex</w:t>
      </w:r>
      <w:r w:rsidR="00975895" w:rsidRPr="003015FD">
        <w:t xml:space="preserve"> </w:t>
      </w:r>
      <w:r w:rsidRPr="003015FD">
        <w:t>offences</w:t>
      </w:r>
      <w:r w:rsidR="00975895" w:rsidRPr="003015FD">
        <w:t xml:space="preserve"> </w:t>
      </w:r>
      <w:r w:rsidRPr="003015FD">
        <w:t>and</w:t>
      </w:r>
      <w:r w:rsidR="00975895" w:rsidRPr="003015FD">
        <w:t xml:space="preserve"> </w:t>
      </w:r>
      <w:r w:rsidRPr="003015FD">
        <w:t>serious</w:t>
      </w:r>
      <w:r w:rsidR="00975895" w:rsidRPr="003015FD">
        <w:t xml:space="preserve"> </w:t>
      </w:r>
      <w:r w:rsidRPr="003015FD">
        <w:t>violence</w:t>
      </w:r>
      <w:r w:rsidR="00975895" w:rsidRPr="003015FD">
        <w:t xml:space="preserve"> </w:t>
      </w:r>
      <w:r w:rsidRPr="003015FD">
        <w:t>offences</w:t>
      </w:r>
      <w:r w:rsidR="00975895" w:rsidRPr="003015FD">
        <w:t xml:space="preserve"> </w:t>
      </w:r>
      <w:r w:rsidRPr="003015FD">
        <w:t>could</w:t>
      </w:r>
      <w:r w:rsidR="00975895" w:rsidRPr="003015FD">
        <w:t xml:space="preserve"> </w:t>
      </w:r>
      <w:r w:rsidRPr="003015FD">
        <w:t>be</w:t>
      </w:r>
      <w:r w:rsidR="00975895" w:rsidRPr="003015FD">
        <w:t xml:space="preserve"> </w:t>
      </w:r>
      <w:r w:rsidRPr="003015FD">
        <w:t>made</w:t>
      </w:r>
      <w:r w:rsidR="00975895" w:rsidRPr="003015FD">
        <w:t xml:space="preserve"> </w:t>
      </w:r>
      <w:r w:rsidRPr="003015FD">
        <w:t>subject</w:t>
      </w:r>
      <w:r w:rsidR="00975895" w:rsidRPr="003015FD">
        <w:t xml:space="preserve"> </w:t>
      </w:r>
      <w:r w:rsidRPr="003015FD">
        <w:t>to</w:t>
      </w:r>
      <w:r w:rsidR="00975895" w:rsidRPr="003015FD">
        <w:t xml:space="preserve"> </w:t>
      </w:r>
      <w:r w:rsidRPr="003015FD">
        <w:t>ongoing</w:t>
      </w:r>
      <w:r w:rsidR="00975895" w:rsidRPr="003015FD">
        <w:t xml:space="preserve"> </w:t>
      </w:r>
      <w:r w:rsidRPr="003015FD">
        <w:t>detention</w:t>
      </w:r>
      <w:r w:rsidR="00975895" w:rsidRPr="003015FD">
        <w:t xml:space="preserve"> </w:t>
      </w:r>
      <w:r w:rsidRPr="003015FD">
        <w:t>and</w:t>
      </w:r>
      <w:r w:rsidR="00975895" w:rsidRPr="003015FD">
        <w:t xml:space="preserve"> </w:t>
      </w:r>
      <w:r w:rsidRPr="003015FD">
        <w:t>supervision.</w:t>
      </w:r>
      <w:r w:rsidR="00975895" w:rsidRPr="003015FD">
        <w:t xml:space="preserve"> </w:t>
      </w:r>
      <w:r w:rsidRPr="003015FD">
        <w:t>SARC</w:t>
      </w:r>
      <w:r w:rsidR="00975895" w:rsidRPr="003015FD">
        <w:t xml:space="preserve"> </w:t>
      </w:r>
      <w:r w:rsidRPr="003015FD">
        <w:t>identified</w:t>
      </w:r>
      <w:r w:rsidR="00975895" w:rsidRPr="003015FD">
        <w:t xml:space="preserve"> </w:t>
      </w:r>
      <w:r w:rsidRPr="003015FD">
        <w:t>drafting</w:t>
      </w:r>
      <w:r w:rsidR="00975895" w:rsidRPr="003015FD">
        <w:t xml:space="preserve"> </w:t>
      </w:r>
      <w:r w:rsidRPr="003015FD">
        <w:t>issues</w:t>
      </w:r>
      <w:r w:rsidR="00975895" w:rsidRPr="003015FD">
        <w:t xml:space="preserve"> </w:t>
      </w:r>
      <w:r w:rsidRPr="003015FD">
        <w:t>that</w:t>
      </w:r>
      <w:r w:rsidR="00975895" w:rsidRPr="003015FD">
        <w:t xml:space="preserve"> </w:t>
      </w:r>
      <w:r w:rsidRPr="003015FD">
        <w:t>gave</w:t>
      </w:r>
      <w:r w:rsidR="00975895" w:rsidRPr="003015FD">
        <w:t xml:space="preserve"> </w:t>
      </w:r>
      <w:r w:rsidRPr="003015FD">
        <w:t>rise</w:t>
      </w:r>
      <w:r w:rsidR="00975895" w:rsidRPr="003015FD">
        <w:t xml:space="preserve"> </w:t>
      </w:r>
      <w:r w:rsidRPr="003015FD">
        <w:t>to</w:t>
      </w:r>
      <w:r w:rsidR="00975895" w:rsidRPr="003015FD">
        <w:t xml:space="preserve"> </w:t>
      </w:r>
      <w:r w:rsidRPr="003015FD">
        <w:t>possible</w:t>
      </w:r>
      <w:r w:rsidR="00975895" w:rsidRPr="003015FD">
        <w:t xml:space="preserve"> </w:t>
      </w:r>
      <w:r w:rsidRPr="003015FD">
        <w:t>ambiguities</w:t>
      </w:r>
      <w:r w:rsidR="00975895" w:rsidRPr="003015FD">
        <w:t xml:space="preserve"> </w:t>
      </w:r>
      <w:r w:rsidRPr="003015FD">
        <w:t>and</w:t>
      </w:r>
      <w:r w:rsidR="00975895" w:rsidRPr="003015FD">
        <w:t xml:space="preserve"> </w:t>
      </w:r>
      <w:r w:rsidRPr="003015FD">
        <w:t>might</w:t>
      </w:r>
      <w:r w:rsidR="00975895" w:rsidRPr="003015FD">
        <w:t xml:space="preserve"> </w:t>
      </w:r>
      <w:r w:rsidRPr="003015FD">
        <w:t>affect</w:t>
      </w:r>
      <w:r w:rsidR="00975895" w:rsidRPr="003015FD">
        <w:t xml:space="preserve"> </w:t>
      </w:r>
      <w:r w:rsidRPr="003015FD">
        <w:t>how</w:t>
      </w:r>
      <w:r w:rsidR="00975895" w:rsidRPr="003015FD">
        <w:t xml:space="preserve"> </w:t>
      </w:r>
      <w:r w:rsidRPr="003015FD">
        <w:t>these</w:t>
      </w:r>
      <w:r w:rsidR="00975895" w:rsidRPr="003015FD">
        <w:t xml:space="preserve"> </w:t>
      </w:r>
      <w:r w:rsidRPr="003015FD">
        <w:t>provisions</w:t>
      </w:r>
      <w:r w:rsidR="00975895" w:rsidRPr="003015FD">
        <w:t xml:space="preserve"> </w:t>
      </w:r>
      <w:r w:rsidRPr="003015FD">
        <w:t>were</w:t>
      </w:r>
      <w:r w:rsidR="00975895" w:rsidRPr="003015FD">
        <w:t xml:space="preserve"> </w:t>
      </w:r>
      <w:r w:rsidRPr="003015FD">
        <w:t>interpreted</w:t>
      </w:r>
      <w:r w:rsidR="00975895" w:rsidRPr="003015FD">
        <w:t xml:space="preserve"> </w:t>
      </w:r>
      <w:r w:rsidRPr="003015FD">
        <w:t>by</w:t>
      </w:r>
      <w:r w:rsidR="00975895" w:rsidRPr="003015FD">
        <w:t xml:space="preserve"> </w:t>
      </w:r>
      <w:r w:rsidRPr="003015FD">
        <w:t>the</w:t>
      </w:r>
      <w:r w:rsidR="00975895" w:rsidRPr="003015FD">
        <w:t xml:space="preserve"> </w:t>
      </w:r>
      <w:r w:rsidRPr="003015FD">
        <w:t>courts.</w:t>
      </w:r>
      <w:r w:rsidR="00975895" w:rsidRPr="003015FD">
        <w:t xml:space="preserve"> </w:t>
      </w:r>
      <w:r w:rsidRPr="003015FD">
        <w:t>SARC</w:t>
      </w:r>
      <w:r w:rsidR="00975895" w:rsidRPr="003015FD">
        <w:t xml:space="preserve"> </w:t>
      </w:r>
      <w:r w:rsidRPr="003015FD">
        <w:t>noted</w:t>
      </w:r>
      <w:r w:rsidR="00975895" w:rsidRPr="003015FD">
        <w:t xml:space="preserve"> </w:t>
      </w:r>
      <w:r w:rsidRPr="003015FD">
        <w:t>the</w:t>
      </w:r>
      <w:r w:rsidR="00975895" w:rsidRPr="003015FD">
        <w:t xml:space="preserve"> </w:t>
      </w:r>
      <w:r w:rsidRPr="003015FD">
        <w:t>Bill</w:t>
      </w:r>
      <w:r w:rsidR="00975895" w:rsidRPr="003015FD">
        <w:t xml:space="preserve"> </w:t>
      </w:r>
      <w:r w:rsidRPr="003015FD">
        <w:t>could</w:t>
      </w:r>
      <w:r w:rsidR="00975895" w:rsidRPr="003015FD">
        <w:t xml:space="preserve"> </w:t>
      </w:r>
      <w:r w:rsidRPr="003015FD">
        <w:t>impact</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a</w:t>
      </w:r>
      <w:r w:rsidR="00975895" w:rsidRPr="003015FD">
        <w:t xml:space="preserve"> </w:t>
      </w:r>
      <w:r w:rsidRPr="003015FD">
        <w:t>fair</w:t>
      </w:r>
      <w:r w:rsidR="00975895" w:rsidRPr="003015FD">
        <w:t xml:space="preserve"> </w:t>
      </w:r>
      <w:r w:rsidRPr="003015FD">
        <w:t>hearing</w:t>
      </w:r>
      <w:r w:rsidR="00975895" w:rsidRPr="003015FD">
        <w:t xml:space="preserve"> </w:t>
      </w:r>
      <w:r w:rsidRPr="003015FD">
        <w:t>and</w:t>
      </w:r>
      <w:r w:rsidR="00975895" w:rsidRPr="003015FD">
        <w:t xml:space="preserve"> </w:t>
      </w:r>
      <w:r w:rsidRPr="003015FD">
        <w:t>liberty</w:t>
      </w:r>
      <w:r w:rsidR="00975895" w:rsidRPr="003015FD">
        <w:t xml:space="preserve"> </w:t>
      </w:r>
      <w:r w:rsidRPr="003015FD">
        <w:t>rights</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00975895" w:rsidRPr="003015FD">
        <w:t xml:space="preserve"> </w:t>
      </w:r>
      <w:r w:rsidRPr="003015FD">
        <w:t>if</w:t>
      </w:r>
      <w:r w:rsidR="00975895" w:rsidRPr="003015FD">
        <w:t xml:space="preserve"> </w:t>
      </w:r>
      <w:r w:rsidRPr="003015FD">
        <w:t>the</w:t>
      </w:r>
      <w:r w:rsidR="00975895" w:rsidRPr="003015FD">
        <w:t xml:space="preserve"> </w:t>
      </w:r>
      <w:r w:rsidRPr="003015FD">
        <w:t>issue</w:t>
      </w:r>
      <w:r w:rsidR="00975895" w:rsidRPr="003015FD">
        <w:t xml:space="preserve"> </w:t>
      </w:r>
      <w:r w:rsidRPr="003015FD">
        <w:t>of</w:t>
      </w:r>
      <w:r w:rsidR="00975895" w:rsidRPr="003015FD">
        <w:t xml:space="preserve"> </w:t>
      </w:r>
      <w:r w:rsidRPr="003015FD">
        <w:t>how</w:t>
      </w:r>
      <w:r w:rsidR="00975895" w:rsidRPr="003015FD">
        <w:t xml:space="preserve"> </w:t>
      </w:r>
      <w:r w:rsidRPr="003015FD">
        <w:t>contravention</w:t>
      </w:r>
      <w:r w:rsidR="00975895" w:rsidRPr="003015FD">
        <w:t xml:space="preserve"> </w:t>
      </w:r>
      <w:r w:rsidRPr="003015FD">
        <w:t>offences</w:t>
      </w:r>
      <w:r w:rsidR="00975895" w:rsidRPr="003015FD">
        <w:t xml:space="preserve"> </w:t>
      </w:r>
      <w:r w:rsidRPr="003015FD">
        <w:t>may</w:t>
      </w:r>
      <w:r w:rsidR="00975895" w:rsidRPr="003015FD">
        <w:t xml:space="preserve"> </w:t>
      </w:r>
      <w:r w:rsidRPr="003015FD">
        <w:t>be</w:t>
      </w:r>
      <w:r w:rsidR="00975895" w:rsidRPr="003015FD">
        <w:t xml:space="preserve"> </w:t>
      </w:r>
      <w:r w:rsidRPr="003015FD">
        <w:t>dealt</w:t>
      </w:r>
      <w:r w:rsidR="00975895" w:rsidRPr="003015FD">
        <w:t xml:space="preserve"> </w:t>
      </w:r>
      <w:r w:rsidRPr="003015FD">
        <w:t>with</w:t>
      </w:r>
      <w:r w:rsidR="00975895" w:rsidRPr="003015FD">
        <w:t xml:space="preserve"> </w:t>
      </w:r>
      <w:r w:rsidRPr="003015FD">
        <w:t>summarily</w:t>
      </w:r>
      <w:r w:rsidR="00975895" w:rsidRPr="003015FD">
        <w:t xml:space="preserve"> </w:t>
      </w:r>
      <w:r w:rsidRPr="003015FD">
        <w:t>in</w:t>
      </w:r>
      <w:r w:rsidR="00975895" w:rsidRPr="003015FD">
        <w:t xml:space="preserve"> </w:t>
      </w:r>
      <w:r w:rsidRPr="003015FD">
        <w:t>the</w:t>
      </w:r>
      <w:r w:rsidR="00975895" w:rsidRPr="003015FD">
        <w:t xml:space="preserve"> </w:t>
      </w:r>
      <w:r w:rsidRPr="003015FD">
        <w:t>Supreme</w:t>
      </w:r>
      <w:r w:rsidR="00975895" w:rsidRPr="003015FD">
        <w:t xml:space="preserve"> </w:t>
      </w:r>
      <w:r w:rsidRPr="003015FD">
        <w:t>Court</w:t>
      </w:r>
      <w:r w:rsidR="00975895" w:rsidRPr="003015FD">
        <w:t xml:space="preserve"> </w:t>
      </w:r>
      <w:r w:rsidRPr="003015FD">
        <w:t>and</w:t>
      </w:r>
      <w:r w:rsidR="00975895" w:rsidRPr="003015FD">
        <w:t xml:space="preserve"> </w:t>
      </w:r>
      <w:r w:rsidRPr="003015FD">
        <w:t>County</w:t>
      </w:r>
      <w:r w:rsidR="00975895" w:rsidRPr="003015FD">
        <w:t xml:space="preserve"> </w:t>
      </w:r>
      <w:r w:rsidRPr="003015FD">
        <w:t>Court</w:t>
      </w:r>
      <w:r w:rsidR="00975895" w:rsidRPr="003015FD">
        <w:t xml:space="preserve"> </w:t>
      </w:r>
      <w:r w:rsidRPr="003015FD">
        <w:t>was</w:t>
      </w:r>
      <w:r w:rsidR="00975895" w:rsidRPr="003015FD">
        <w:t xml:space="preserve"> </w:t>
      </w:r>
      <w:r w:rsidRPr="003015FD">
        <w:t>not</w:t>
      </w:r>
      <w:r w:rsidR="00975895" w:rsidRPr="003015FD">
        <w:t xml:space="preserve"> </w:t>
      </w:r>
      <w:r w:rsidRPr="003015FD">
        <w:t>clarified.</w:t>
      </w:r>
      <w:r w:rsidR="00975895" w:rsidRPr="003015FD">
        <w:t xml:space="preserve"> </w:t>
      </w:r>
      <w:r w:rsidRPr="003015FD">
        <w:t>House</w:t>
      </w:r>
      <w:r w:rsidR="00975895" w:rsidRPr="003015FD">
        <w:t xml:space="preserve"> </w:t>
      </w:r>
      <w:r w:rsidR="005D3541">
        <w:t>a</w:t>
      </w:r>
      <w:r w:rsidRPr="003015FD">
        <w:t>mendments</w:t>
      </w:r>
      <w:r w:rsidR="00975895" w:rsidRPr="003015FD">
        <w:t xml:space="preserve"> </w:t>
      </w:r>
      <w:r w:rsidRPr="003015FD">
        <w:t>were</w:t>
      </w:r>
      <w:r w:rsidR="00975895" w:rsidRPr="003015FD">
        <w:t xml:space="preserve"> </w:t>
      </w:r>
      <w:r w:rsidRPr="003015FD">
        <w:t>tabled</w:t>
      </w:r>
      <w:r w:rsidR="00975895" w:rsidRPr="003015FD">
        <w:t xml:space="preserve"> </w:t>
      </w:r>
      <w:r w:rsidRPr="003015FD">
        <w:t>in</w:t>
      </w:r>
      <w:r w:rsidR="00975895" w:rsidRPr="003015FD">
        <w:t xml:space="preserve"> </w:t>
      </w:r>
      <w:r w:rsidRPr="003015FD">
        <w:t>response</w:t>
      </w:r>
      <w:r w:rsidR="00975895" w:rsidRPr="003015FD">
        <w:t xml:space="preserve"> </w:t>
      </w:r>
      <w:r w:rsidRPr="003015FD">
        <w:t>to</w:t>
      </w:r>
      <w:r w:rsidR="00975895" w:rsidRPr="003015FD">
        <w:t xml:space="preserve"> </w:t>
      </w:r>
      <w:r w:rsidRPr="003015FD">
        <w:t>provide</w:t>
      </w:r>
      <w:r w:rsidR="00975895" w:rsidRPr="003015FD">
        <w:t xml:space="preserve"> </w:t>
      </w:r>
      <w:r w:rsidRPr="003015FD">
        <w:t>certainty</w:t>
      </w:r>
      <w:r w:rsidR="00975895" w:rsidRPr="003015FD">
        <w:t xml:space="preserve"> </w:t>
      </w:r>
      <w:r w:rsidRPr="003015FD">
        <w:t>regarding</w:t>
      </w:r>
      <w:r w:rsidR="00975895" w:rsidRPr="003015FD">
        <w:t xml:space="preserve"> </w:t>
      </w:r>
      <w:r w:rsidRPr="003015FD">
        <w:t>the</w:t>
      </w:r>
      <w:r w:rsidR="00975895" w:rsidRPr="003015FD">
        <w:t xml:space="preserve"> </w:t>
      </w:r>
      <w:r w:rsidRPr="003015FD">
        <w:t>rules,</w:t>
      </w:r>
      <w:r w:rsidR="00975895" w:rsidRPr="003015FD">
        <w:t xml:space="preserve"> </w:t>
      </w:r>
      <w:r w:rsidRPr="003015FD">
        <w:t>practice</w:t>
      </w:r>
      <w:r w:rsidR="00975895" w:rsidRPr="003015FD">
        <w:t xml:space="preserve"> </w:t>
      </w:r>
      <w:r w:rsidRPr="003015FD">
        <w:t>and</w:t>
      </w:r>
      <w:r w:rsidR="00975895" w:rsidRPr="003015FD">
        <w:t xml:space="preserve"> </w:t>
      </w:r>
      <w:r w:rsidRPr="003015FD">
        <w:t>procedure</w:t>
      </w:r>
      <w:r w:rsidR="00975895" w:rsidRPr="003015FD">
        <w:t xml:space="preserve"> </w:t>
      </w:r>
      <w:r w:rsidRPr="003015FD">
        <w:t>for</w:t>
      </w:r>
      <w:r w:rsidR="00975895" w:rsidRPr="003015FD">
        <w:t xml:space="preserve"> </w:t>
      </w:r>
      <w:r w:rsidRPr="003015FD">
        <w:t>a</w:t>
      </w:r>
      <w:r w:rsidR="00975895" w:rsidRPr="003015FD">
        <w:t xml:space="preserve"> </w:t>
      </w:r>
      <w:r w:rsidRPr="003015FD">
        <w:t>contravention</w:t>
      </w:r>
      <w:r w:rsidR="00975895" w:rsidRPr="003015FD">
        <w:t xml:space="preserve"> </w:t>
      </w:r>
      <w:r w:rsidRPr="003015FD">
        <w:t>offence.</w:t>
      </w:r>
      <w:r w:rsidR="00975895" w:rsidRPr="003015FD">
        <w:t xml:space="preserve"> </w:t>
      </w:r>
      <w:r w:rsidRPr="003015FD">
        <w:t>Where</w:t>
      </w:r>
      <w:r w:rsidR="00975895" w:rsidRPr="003015FD">
        <w:t xml:space="preserve"> </w:t>
      </w:r>
      <w:r w:rsidRPr="003015FD">
        <w:t>the</w:t>
      </w:r>
      <w:r w:rsidR="00975895" w:rsidRPr="003015FD">
        <w:t xml:space="preserve"> </w:t>
      </w:r>
      <w:r w:rsidRPr="003015FD">
        <w:t>charge</w:t>
      </w:r>
      <w:r w:rsidR="00975895" w:rsidRPr="003015FD">
        <w:t xml:space="preserve"> </w:t>
      </w:r>
      <w:r w:rsidRPr="003015FD">
        <w:t>is</w:t>
      </w:r>
      <w:r w:rsidR="00975895" w:rsidRPr="003015FD">
        <w:t xml:space="preserve"> </w:t>
      </w:r>
      <w:r w:rsidRPr="003015FD">
        <w:t>to</w:t>
      </w:r>
      <w:r w:rsidR="00975895" w:rsidRPr="003015FD">
        <w:t xml:space="preserve"> </w:t>
      </w:r>
      <w:r w:rsidRPr="003015FD">
        <w:t>be</w:t>
      </w:r>
      <w:r w:rsidR="00975895" w:rsidRPr="003015FD">
        <w:t xml:space="preserve"> </w:t>
      </w:r>
      <w:proofErr w:type="gramStart"/>
      <w:r w:rsidRPr="003015FD">
        <w:t>heard</w:t>
      </w:r>
      <w:proofErr w:type="gramEnd"/>
      <w:r w:rsidR="00975895" w:rsidRPr="003015FD">
        <w:t xml:space="preserve"> </w:t>
      </w:r>
      <w:r w:rsidRPr="003015FD">
        <w:t>and</w:t>
      </w:r>
      <w:r w:rsidR="00975895" w:rsidRPr="003015FD">
        <w:t xml:space="preserve"> </w:t>
      </w:r>
      <w:r w:rsidRPr="003015FD">
        <w:t>determined</w:t>
      </w:r>
      <w:r w:rsidR="00975895" w:rsidRPr="003015FD">
        <w:t xml:space="preserve"> </w:t>
      </w:r>
      <w:r w:rsidRPr="003015FD">
        <w:t>summarily,</w:t>
      </w:r>
      <w:r w:rsidR="00975895" w:rsidRPr="003015FD">
        <w:t xml:space="preserve"> </w:t>
      </w:r>
      <w:r w:rsidRPr="003015FD">
        <w:t>the</w:t>
      </w:r>
      <w:r w:rsidR="00975895" w:rsidRPr="003015FD">
        <w:t xml:space="preserve"> </w:t>
      </w:r>
      <w:r w:rsidRPr="003015FD">
        <w:t>consent</w:t>
      </w:r>
      <w:r w:rsidR="00975895" w:rsidRPr="003015FD">
        <w:t xml:space="preserve"> </w:t>
      </w:r>
      <w:r w:rsidRPr="003015FD">
        <w:t>of</w:t>
      </w:r>
      <w:r w:rsidR="00975895" w:rsidRPr="003015FD">
        <w:t xml:space="preserve"> </w:t>
      </w:r>
      <w:r w:rsidRPr="003015FD">
        <w:t>the</w:t>
      </w:r>
      <w:r w:rsidR="00975895" w:rsidRPr="003015FD">
        <w:t xml:space="preserve"> </w:t>
      </w:r>
      <w:r w:rsidRPr="003015FD">
        <w:t>accused</w:t>
      </w:r>
      <w:r w:rsidR="00975895" w:rsidRPr="003015FD">
        <w:t xml:space="preserve"> </w:t>
      </w:r>
      <w:r w:rsidRPr="003015FD">
        <w:t>is</w:t>
      </w:r>
      <w:r w:rsidR="00975895" w:rsidRPr="003015FD">
        <w:t xml:space="preserve"> </w:t>
      </w:r>
      <w:r w:rsidRPr="003015FD">
        <w:t>required,</w:t>
      </w:r>
      <w:r w:rsidR="00975895" w:rsidRPr="003015FD">
        <w:t xml:space="preserve"> </w:t>
      </w:r>
      <w:r w:rsidRPr="003015FD">
        <w:t>and</w:t>
      </w:r>
      <w:r w:rsidR="00975895" w:rsidRPr="003015FD">
        <w:t xml:space="preserve"> </w:t>
      </w:r>
      <w:r w:rsidRPr="003015FD">
        <w:t>where</w:t>
      </w:r>
      <w:r w:rsidR="00975895" w:rsidRPr="003015FD">
        <w:t xml:space="preserve"> </w:t>
      </w:r>
      <w:r w:rsidRPr="003015FD">
        <w:t>the</w:t>
      </w:r>
      <w:r w:rsidR="00975895" w:rsidRPr="003015FD">
        <w:t xml:space="preserve"> </w:t>
      </w:r>
      <w:r w:rsidRPr="003015FD">
        <w:t>court</w:t>
      </w:r>
      <w:r w:rsidR="00975895" w:rsidRPr="003015FD">
        <w:t xml:space="preserve"> </w:t>
      </w:r>
      <w:r w:rsidRPr="003015FD">
        <w:t>grants</w:t>
      </w:r>
      <w:r w:rsidR="00975895" w:rsidRPr="003015FD">
        <w:t xml:space="preserve"> </w:t>
      </w:r>
      <w:r w:rsidRPr="003015FD">
        <w:t>a</w:t>
      </w:r>
      <w:r w:rsidR="00975895" w:rsidRPr="003015FD">
        <w:t xml:space="preserve"> </w:t>
      </w:r>
      <w:r w:rsidRPr="003015FD">
        <w:t>summary</w:t>
      </w:r>
      <w:r w:rsidR="00975895" w:rsidRPr="003015FD">
        <w:t xml:space="preserve"> </w:t>
      </w:r>
      <w:r w:rsidRPr="003015FD">
        <w:t>hearing,</w:t>
      </w:r>
      <w:r w:rsidR="00975895" w:rsidRPr="003015FD">
        <w:t xml:space="preserve"> </w:t>
      </w:r>
      <w:r w:rsidRPr="003015FD">
        <w:t>the</w:t>
      </w:r>
      <w:r w:rsidR="00975895" w:rsidRPr="003015FD">
        <w:t xml:space="preserve"> </w:t>
      </w:r>
      <w:r w:rsidRPr="003015FD">
        <w:t>maximum</w:t>
      </w:r>
      <w:r w:rsidR="00975895" w:rsidRPr="003015FD">
        <w:t xml:space="preserve"> </w:t>
      </w:r>
      <w:r w:rsidRPr="003015FD">
        <w:t>term</w:t>
      </w:r>
      <w:r w:rsidR="00975895" w:rsidRPr="003015FD">
        <w:t xml:space="preserve"> </w:t>
      </w:r>
      <w:r w:rsidRPr="003015FD">
        <w:t>of</w:t>
      </w:r>
      <w:r w:rsidR="00975895" w:rsidRPr="003015FD">
        <w:t xml:space="preserve"> </w:t>
      </w:r>
      <w:r w:rsidRPr="003015FD">
        <w:t>imprisonment</w:t>
      </w:r>
      <w:r w:rsidR="00975895" w:rsidRPr="003015FD">
        <w:t xml:space="preserve"> </w:t>
      </w:r>
      <w:r w:rsidRPr="003015FD">
        <w:t>that</w:t>
      </w:r>
      <w:r w:rsidR="00975895" w:rsidRPr="003015FD">
        <w:t xml:space="preserve"> </w:t>
      </w:r>
      <w:r w:rsidRPr="003015FD">
        <w:t>may</w:t>
      </w:r>
      <w:r w:rsidR="00975895" w:rsidRPr="003015FD">
        <w:t xml:space="preserve"> </w:t>
      </w:r>
      <w:r w:rsidRPr="003015FD">
        <w:t>be</w:t>
      </w:r>
      <w:r w:rsidR="00975895" w:rsidRPr="003015FD">
        <w:t xml:space="preserve"> </w:t>
      </w:r>
      <w:r w:rsidRPr="003015FD">
        <w:t>imposed</w:t>
      </w:r>
      <w:r w:rsidR="00975895" w:rsidRPr="003015FD">
        <w:t xml:space="preserve"> </w:t>
      </w:r>
      <w:r w:rsidRPr="003015FD">
        <w:t>is</w:t>
      </w:r>
      <w:r w:rsidR="00975895" w:rsidRPr="003015FD">
        <w:t xml:space="preserve"> </w:t>
      </w:r>
      <w:r w:rsidRPr="003015FD">
        <w:t>two</w:t>
      </w:r>
      <w:r w:rsidR="00975895" w:rsidRPr="003015FD">
        <w:t xml:space="preserve"> </w:t>
      </w:r>
      <w:r w:rsidRPr="003015FD">
        <w:t>years.</w:t>
      </w:r>
      <w:r w:rsidRPr="004862C5">
        <w:rPr>
          <w:rStyle w:val="FootnoteReference"/>
        </w:rPr>
        <w:footnoteReference w:id="63"/>
      </w:r>
    </w:p>
    <w:p w14:paraId="2567707A" w14:textId="4B25BDB2" w:rsidR="008E0945" w:rsidRPr="0002642E" w:rsidRDefault="008E0945" w:rsidP="0002642E">
      <w:pPr>
        <w:pStyle w:val="Heading4"/>
      </w:pPr>
      <w:r w:rsidRPr="0002642E">
        <w:t>Advancing</w:t>
      </w:r>
      <w:r w:rsidR="00975895" w:rsidRPr="0002642E">
        <w:t xml:space="preserve"> </w:t>
      </w:r>
      <w:r w:rsidRPr="0002642E">
        <w:t>the</w:t>
      </w:r>
      <w:r w:rsidR="00975895" w:rsidRPr="0002642E">
        <w:t xml:space="preserve"> </w:t>
      </w:r>
      <w:r w:rsidRPr="0002642E">
        <w:t>Treaty</w:t>
      </w:r>
      <w:r w:rsidR="00975895" w:rsidRPr="0002642E">
        <w:t xml:space="preserve"> </w:t>
      </w:r>
      <w:r w:rsidRPr="0002642E">
        <w:t>Process</w:t>
      </w:r>
      <w:r w:rsidR="00975895" w:rsidRPr="0002642E">
        <w:t xml:space="preserve"> </w:t>
      </w:r>
      <w:r w:rsidRPr="0002642E">
        <w:t>with</w:t>
      </w:r>
      <w:r w:rsidR="00975895" w:rsidRPr="0002642E">
        <w:t xml:space="preserve"> </w:t>
      </w:r>
      <w:r w:rsidRPr="0002642E">
        <w:t>Aboriginal</w:t>
      </w:r>
      <w:r w:rsidR="00975895" w:rsidRPr="0002642E">
        <w:t xml:space="preserve"> </w:t>
      </w:r>
      <w:r w:rsidRPr="0002642E">
        <w:t>Victorians</w:t>
      </w:r>
      <w:r w:rsidR="00975895" w:rsidRPr="0002642E">
        <w:t xml:space="preserve"> </w:t>
      </w:r>
      <w:r w:rsidRPr="0002642E">
        <w:t>Bill</w:t>
      </w:r>
      <w:r w:rsidR="00975895" w:rsidRPr="0002642E">
        <w:t xml:space="preserve"> </w:t>
      </w:r>
      <w:r w:rsidRPr="0002642E">
        <w:t>2018</w:t>
      </w:r>
    </w:p>
    <w:p w14:paraId="0C52B8FD" w14:textId="6706DE73" w:rsidR="008E0945" w:rsidRPr="003015FD" w:rsidRDefault="008E0945" w:rsidP="0002642E">
      <w:bookmarkStart w:id="97" w:name="_Hlk4677134"/>
      <w:r w:rsidRPr="003015FD">
        <w:t>The</w:t>
      </w:r>
      <w:r w:rsidR="00975895" w:rsidRPr="003015FD">
        <w:t xml:space="preserve"> </w:t>
      </w:r>
      <w:r w:rsidRPr="003015FD">
        <w:t>Advancing</w:t>
      </w:r>
      <w:r w:rsidR="00975895" w:rsidRPr="003015FD">
        <w:t xml:space="preserve"> </w:t>
      </w:r>
      <w:r w:rsidRPr="003015FD">
        <w:t>the</w:t>
      </w:r>
      <w:r w:rsidR="00975895" w:rsidRPr="003015FD">
        <w:t xml:space="preserve"> </w:t>
      </w:r>
      <w:r w:rsidRPr="003015FD">
        <w:t>Treaty</w:t>
      </w:r>
      <w:r w:rsidR="00975895" w:rsidRPr="003015FD">
        <w:t xml:space="preserve"> </w:t>
      </w:r>
      <w:r w:rsidRPr="003015FD">
        <w:t>Process</w:t>
      </w:r>
      <w:r w:rsidR="00975895" w:rsidRPr="003015FD">
        <w:t xml:space="preserve"> </w:t>
      </w:r>
      <w:r w:rsidRPr="003015FD">
        <w:t>with</w:t>
      </w:r>
      <w:r w:rsidR="00975895" w:rsidRPr="003015FD">
        <w:t xml:space="preserve"> </w:t>
      </w:r>
      <w:r w:rsidRPr="003015FD">
        <w:t>Aboriginal</w:t>
      </w:r>
      <w:r w:rsidR="00975895" w:rsidRPr="003015FD">
        <w:t xml:space="preserve"> </w:t>
      </w:r>
      <w:r w:rsidRPr="003015FD">
        <w:t>Victorians</w:t>
      </w:r>
      <w:r w:rsidR="00975895" w:rsidRPr="003015FD">
        <w:t xml:space="preserve"> </w:t>
      </w:r>
      <w:r w:rsidRPr="003015FD">
        <w:t>Bill</w:t>
      </w:r>
      <w:r w:rsidR="00975895" w:rsidRPr="003015FD">
        <w:t xml:space="preserve"> </w:t>
      </w:r>
      <w:r w:rsidRPr="003015FD">
        <w:t>2018</w:t>
      </w:r>
      <w:r w:rsidR="00975895" w:rsidRPr="003015FD">
        <w:t xml:space="preserve"> </w:t>
      </w:r>
      <w:bookmarkEnd w:id="97"/>
      <w:r w:rsidRPr="003015FD">
        <w:t>(discussed</w:t>
      </w:r>
      <w:r w:rsidR="00975895" w:rsidRPr="003015FD">
        <w:t xml:space="preserve"> </w:t>
      </w:r>
      <w:r w:rsidRPr="003015FD">
        <w:t>above)</w:t>
      </w:r>
      <w:r w:rsidR="00975895" w:rsidRPr="003015FD">
        <w:t xml:space="preserve"> </w:t>
      </w:r>
      <w:r w:rsidRPr="003015FD">
        <w:t>facilitated</w:t>
      </w:r>
      <w:r w:rsidR="00975895" w:rsidRPr="003015FD">
        <w:t xml:space="preserve"> </w:t>
      </w:r>
      <w:r w:rsidRPr="003015FD">
        <w:t>treaty</w:t>
      </w:r>
      <w:r w:rsidR="00975895" w:rsidRPr="003015FD">
        <w:t xml:space="preserve"> </w:t>
      </w:r>
      <w:r w:rsidRPr="003015FD">
        <w:t>making</w:t>
      </w:r>
      <w:r w:rsidR="00975895" w:rsidRPr="003015FD">
        <w:t xml:space="preserve"> </w:t>
      </w:r>
      <w:r w:rsidRPr="003015FD">
        <w:t>between</w:t>
      </w:r>
      <w:r w:rsidR="00975895" w:rsidRPr="003015FD">
        <w:t xml:space="preserve"> </w:t>
      </w:r>
      <w:r w:rsidRPr="003015FD">
        <w:t>Aboriginal</w:t>
      </w:r>
      <w:r w:rsidR="00975895" w:rsidRPr="003015FD">
        <w:t xml:space="preserve"> </w:t>
      </w:r>
      <w:r w:rsidRPr="003015FD">
        <w:t>Victorians</w:t>
      </w:r>
      <w:r w:rsidR="00975895" w:rsidRPr="003015FD">
        <w:t xml:space="preserve"> </w:t>
      </w:r>
      <w:r w:rsidRPr="003015FD">
        <w:t>and</w:t>
      </w:r>
      <w:r w:rsidR="00975895" w:rsidRPr="003015FD">
        <w:t xml:space="preserve"> </w:t>
      </w:r>
      <w:r w:rsidRPr="003015FD">
        <w:t>the</w:t>
      </w:r>
      <w:r w:rsidR="00975895" w:rsidRPr="003015FD">
        <w:t xml:space="preserve"> </w:t>
      </w:r>
      <w:r w:rsidRPr="003015FD">
        <w:t>Victorian</w:t>
      </w:r>
      <w:r w:rsidR="00975895" w:rsidRPr="003015FD">
        <w:t xml:space="preserve"> </w:t>
      </w:r>
      <w:r w:rsidRPr="003015FD">
        <w:t>Government</w:t>
      </w:r>
      <w:r w:rsidR="00975895" w:rsidRPr="003015FD">
        <w:t xml:space="preserve"> </w:t>
      </w:r>
      <w:r w:rsidRPr="003015FD">
        <w:t>and</w:t>
      </w:r>
      <w:r w:rsidR="00975895" w:rsidRPr="003015FD">
        <w:t xml:space="preserve"> </w:t>
      </w:r>
      <w:r w:rsidRPr="003015FD">
        <w:t>provided</w:t>
      </w:r>
      <w:r w:rsidR="00975895" w:rsidRPr="003015FD">
        <w:t xml:space="preserve"> </w:t>
      </w:r>
      <w:r w:rsidRPr="003015FD">
        <w:t>for</w:t>
      </w:r>
      <w:r w:rsidR="00975895" w:rsidRPr="003015FD">
        <w:t xml:space="preserve"> </w:t>
      </w:r>
      <w:r w:rsidRPr="003015FD">
        <w:t>the</w:t>
      </w:r>
      <w:r w:rsidR="00975895" w:rsidRPr="003015FD">
        <w:t xml:space="preserve"> </w:t>
      </w:r>
      <w:r w:rsidR="005D3541">
        <w:t>g</w:t>
      </w:r>
      <w:r w:rsidRPr="003015FD">
        <w:t>overnment</w:t>
      </w:r>
      <w:r w:rsidR="00975895" w:rsidRPr="003015FD">
        <w:t xml:space="preserve"> </w:t>
      </w:r>
      <w:r w:rsidRPr="003015FD">
        <w:t>to</w:t>
      </w:r>
      <w:r w:rsidR="00975895" w:rsidRPr="003015FD">
        <w:t xml:space="preserve"> </w:t>
      </w:r>
      <w:r w:rsidRPr="003015FD">
        <w:t>recognise</w:t>
      </w:r>
      <w:r w:rsidR="00975895" w:rsidRPr="003015FD">
        <w:t xml:space="preserve"> </w:t>
      </w:r>
      <w:r w:rsidRPr="003015FD">
        <w:t>the</w:t>
      </w:r>
      <w:r w:rsidR="00975895" w:rsidRPr="003015FD">
        <w:t xml:space="preserve"> </w:t>
      </w:r>
      <w:r w:rsidRPr="003015FD">
        <w:t>Aboriginal</w:t>
      </w:r>
      <w:r w:rsidR="00975895" w:rsidRPr="003015FD">
        <w:t xml:space="preserve"> </w:t>
      </w:r>
      <w:r w:rsidRPr="003015FD">
        <w:t>Representative</w:t>
      </w:r>
      <w:r w:rsidR="00975895" w:rsidRPr="003015FD">
        <w:t xml:space="preserve"> </w:t>
      </w:r>
      <w:r w:rsidRPr="003015FD">
        <w:t>Body</w:t>
      </w:r>
      <w:r w:rsidR="00975895" w:rsidRPr="003015FD">
        <w:t xml:space="preserve"> </w:t>
      </w:r>
      <w:r w:rsidRPr="003015FD">
        <w:t>as</w:t>
      </w:r>
      <w:r w:rsidR="00975895" w:rsidRPr="003015FD">
        <w:t xml:space="preserve"> </w:t>
      </w:r>
      <w:r w:rsidRPr="003015FD">
        <w:t>the</w:t>
      </w:r>
      <w:r w:rsidR="00975895" w:rsidRPr="003015FD">
        <w:t xml:space="preserve"> </w:t>
      </w:r>
      <w:r w:rsidRPr="003015FD">
        <w:t>sole</w:t>
      </w:r>
      <w:r w:rsidR="00975895" w:rsidRPr="003015FD">
        <w:t xml:space="preserve"> </w:t>
      </w:r>
      <w:r w:rsidRPr="003015FD">
        <w:t>representative</w:t>
      </w:r>
      <w:r w:rsidR="00975895" w:rsidRPr="003015FD">
        <w:t xml:space="preserve"> </w:t>
      </w:r>
      <w:r w:rsidRPr="003015FD">
        <w:t>of</w:t>
      </w:r>
      <w:r w:rsidR="00975895" w:rsidRPr="003015FD">
        <w:t xml:space="preserve"> </w:t>
      </w:r>
      <w:r w:rsidRPr="003015FD">
        <w:t>Aboriginal</w:t>
      </w:r>
      <w:r w:rsidR="00975895" w:rsidRPr="003015FD">
        <w:t xml:space="preserve"> </w:t>
      </w:r>
      <w:r w:rsidRPr="003015FD">
        <w:t>Victorians</w:t>
      </w:r>
      <w:r w:rsidR="00975895" w:rsidRPr="003015FD">
        <w:t xml:space="preserve"> </w:t>
      </w:r>
      <w:r w:rsidRPr="003015FD">
        <w:t>for</w:t>
      </w:r>
      <w:r w:rsidR="00975895" w:rsidRPr="003015FD">
        <w:t xml:space="preserve"> </w:t>
      </w:r>
      <w:r w:rsidRPr="003015FD">
        <w:t>the</w:t>
      </w:r>
      <w:r w:rsidR="00975895" w:rsidRPr="003015FD">
        <w:t xml:space="preserve"> </w:t>
      </w:r>
      <w:r w:rsidRPr="003015FD">
        <w:t>purpose</w:t>
      </w:r>
      <w:r w:rsidR="00975895" w:rsidRPr="003015FD">
        <w:t xml:space="preserve"> </w:t>
      </w:r>
      <w:r w:rsidRPr="003015FD">
        <w:t>of</w:t>
      </w:r>
      <w:r w:rsidR="00975895" w:rsidRPr="003015FD">
        <w:t xml:space="preserve"> </w:t>
      </w:r>
      <w:r w:rsidRPr="003015FD">
        <w:t>treaty</w:t>
      </w:r>
      <w:r w:rsidR="00975895" w:rsidRPr="003015FD">
        <w:t xml:space="preserve"> </w:t>
      </w:r>
      <w:r w:rsidRPr="003015FD">
        <w:t>negotiations.</w:t>
      </w:r>
      <w:r w:rsidR="00975895" w:rsidRPr="003015FD">
        <w:t xml:space="preserve"> </w:t>
      </w:r>
      <w:r w:rsidRPr="003015FD">
        <w:t>SARC</w:t>
      </w:r>
      <w:r w:rsidR="00975895" w:rsidRPr="003015FD">
        <w:t xml:space="preserve"> </w:t>
      </w:r>
      <w:r w:rsidRPr="003015FD">
        <w:t>raised</w:t>
      </w:r>
      <w:r w:rsidR="00975895" w:rsidRPr="003015FD">
        <w:t xml:space="preserve"> </w:t>
      </w:r>
      <w:r w:rsidRPr="003015FD">
        <w:t>concerns</w:t>
      </w:r>
      <w:r w:rsidR="00975895" w:rsidRPr="003015FD">
        <w:t xml:space="preserve"> </w:t>
      </w:r>
      <w:r w:rsidRPr="003015FD">
        <w:t>regarding</w:t>
      </w:r>
      <w:r w:rsidR="00975895" w:rsidRPr="003015FD">
        <w:t xml:space="preserve"> </w:t>
      </w:r>
      <w:r w:rsidRPr="003015FD">
        <w:t>the</w:t>
      </w:r>
      <w:r w:rsidR="00975895" w:rsidRPr="003015FD">
        <w:t xml:space="preserve"> </w:t>
      </w:r>
      <w:r w:rsidRPr="003015FD">
        <w:t>cultural</w:t>
      </w:r>
      <w:r w:rsidR="00975895" w:rsidRPr="003015FD">
        <w:t xml:space="preserve"> </w:t>
      </w:r>
      <w:r w:rsidRPr="003015FD">
        <w:t>rights</w:t>
      </w:r>
      <w:r w:rsidR="00975895" w:rsidRPr="003015FD">
        <w:t xml:space="preserve"> </w:t>
      </w:r>
      <w:r w:rsidRPr="003015FD">
        <w:t>of</w:t>
      </w:r>
      <w:r w:rsidR="00975895" w:rsidRPr="003015FD">
        <w:t xml:space="preserve"> </w:t>
      </w:r>
      <w:r w:rsidRPr="003015FD">
        <w:t>Aboriginal</w:t>
      </w:r>
      <w:r w:rsidR="00975895" w:rsidRPr="003015FD">
        <w:t xml:space="preserve"> </w:t>
      </w:r>
      <w:r w:rsidR="005D3541">
        <w:t>people</w:t>
      </w:r>
      <w:r w:rsidRPr="003015FD">
        <w:t>.</w:t>
      </w:r>
      <w:r w:rsidRPr="004862C5">
        <w:rPr>
          <w:rStyle w:val="FootnoteReference"/>
        </w:rPr>
        <w:footnoteReference w:id="64"/>
      </w:r>
      <w:r w:rsidR="00975895" w:rsidRPr="003015FD">
        <w:t xml:space="preserve"> </w:t>
      </w:r>
      <w:r w:rsidRPr="003015FD">
        <w:t>The</w:t>
      </w:r>
      <w:r w:rsidR="00975895" w:rsidRPr="003015FD">
        <w:t xml:space="preserve"> </w:t>
      </w:r>
      <w:r w:rsidRPr="003015FD">
        <w:t>SARC</w:t>
      </w:r>
      <w:r w:rsidR="00975895" w:rsidRPr="003015FD">
        <w:t xml:space="preserve"> </w:t>
      </w:r>
      <w:r w:rsidRPr="003015FD">
        <w:t>report</w:t>
      </w:r>
      <w:r w:rsidR="00975895" w:rsidRPr="003015FD">
        <w:t xml:space="preserve"> </w:t>
      </w:r>
      <w:r w:rsidRPr="003015FD">
        <w:t>noted</w:t>
      </w:r>
      <w:r w:rsidR="00975895" w:rsidRPr="003015FD">
        <w:t xml:space="preserve"> </w:t>
      </w:r>
      <w:r w:rsidRPr="003015FD">
        <w:t>that</w:t>
      </w:r>
      <w:r w:rsidR="00975895" w:rsidRPr="003015FD">
        <w:t xml:space="preserve"> </w:t>
      </w:r>
      <w:r w:rsidRPr="003015FD">
        <w:t>the</w:t>
      </w:r>
      <w:r w:rsidR="00975895" w:rsidRPr="003015FD">
        <w:t xml:space="preserve"> </w:t>
      </w:r>
      <w:r w:rsidRPr="003015FD">
        <w:t>Bill</w:t>
      </w:r>
      <w:r w:rsidR="00975895" w:rsidRPr="003015FD">
        <w:t xml:space="preserve"> </w:t>
      </w:r>
      <w:r w:rsidRPr="003015FD">
        <w:t>did</w:t>
      </w:r>
      <w:r w:rsidR="00975895" w:rsidRPr="003015FD">
        <w:t xml:space="preserve"> </w:t>
      </w:r>
      <w:r w:rsidRPr="003015FD">
        <w:t>not</w:t>
      </w:r>
      <w:r w:rsidR="00975895" w:rsidRPr="003015FD">
        <w:t xml:space="preserve"> </w:t>
      </w:r>
      <w:r w:rsidRPr="003015FD">
        <w:t>require</w:t>
      </w:r>
      <w:r w:rsidR="00975895" w:rsidRPr="003015FD">
        <w:t xml:space="preserve"> </w:t>
      </w:r>
      <w:r w:rsidRPr="003015FD">
        <w:t>that</w:t>
      </w:r>
      <w:r w:rsidR="00975895" w:rsidRPr="003015FD">
        <w:t xml:space="preserve"> </w:t>
      </w:r>
      <w:r w:rsidRPr="003015FD">
        <w:t>the</w:t>
      </w:r>
      <w:r w:rsidR="00975895" w:rsidRPr="003015FD">
        <w:t xml:space="preserve"> </w:t>
      </w:r>
      <w:r w:rsidRPr="003015FD">
        <w:t>members</w:t>
      </w:r>
      <w:r w:rsidR="00975895" w:rsidRPr="003015FD">
        <w:t xml:space="preserve"> </w:t>
      </w:r>
      <w:r w:rsidRPr="003015FD">
        <w:t>of</w:t>
      </w:r>
      <w:r w:rsidR="00975895" w:rsidRPr="003015FD">
        <w:t xml:space="preserve"> </w:t>
      </w:r>
      <w:r w:rsidRPr="003015FD">
        <w:t>the</w:t>
      </w:r>
      <w:r w:rsidR="00975895" w:rsidRPr="003015FD">
        <w:t xml:space="preserve"> </w:t>
      </w:r>
      <w:r w:rsidRPr="003015FD">
        <w:t>Aboriginal</w:t>
      </w:r>
      <w:r w:rsidR="00975895" w:rsidRPr="003015FD">
        <w:t xml:space="preserve"> </w:t>
      </w:r>
      <w:r w:rsidRPr="003015FD">
        <w:t>Representative</w:t>
      </w:r>
      <w:r w:rsidR="00975895" w:rsidRPr="003015FD">
        <w:t xml:space="preserve"> </w:t>
      </w:r>
      <w:r w:rsidRPr="003015FD">
        <w:t>Body</w:t>
      </w:r>
      <w:r w:rsidR="00975895" w:rsidRPr="003015FD">
        <w:t xml:space="preserve"> </w:t>
      </w:r>
      <w:r w:rsidRPr="003015FD">
        <w:t>must</w:t>
      </w:r>
      <w:r w:rsidR="00975895" w:rsidRPr="003015FD">
        <w:t xml:space="preserve"> </w:t>
      </w:r>
      <w:r w:rsidRPr="003015FD">
        <w:t>be</w:t>
      </w:r>
      <w:r w:rsidR="00975895" w:rsidRPr="003015FD">
        <w:t xml:space="preserve"> </w:t>
      </w:r>
      <w:r w:rsidRPr="003015FD">
        <w:t>Aboriginal</w:t>
      </w:r>
      <w:r w:rsidR="00975895" w:rsidRPr="003015FD">
        <w:t xml:space="preserve"> </w:t>
      </w:r>
      <w:r w:rsidRPr="003015FD">
        <w:t>Victorians</w:t>
      </w:r>
      <w:r w:rsidR="00975895" w:rsidRPr="003015FD">
        <w:t xml:space="preserve"> </w:t>
      </w:r>
      <w:r w:rsidRPr="003015FD">
        <w:t>or</w:t>
      </w:r>
      <w:r w:rsidR="00975895" w:rsidRPr="003015FD">
        <w:t xml:space="preserve"> </w:t>
      </w:r>
      <w:r w:rsidRPr="003015FD">
        <w:t>that</w:t>
      </w:r>
      <w:r w:rsidR="00975895" w:rsidRPr="003015FD">
        <w:t xml:space="preserve"> </w:t>
      </w:r>
      <w:r w:rsidRPr="003015FD">
        <w:t>they</w:t>
      </w:r>
      <w:r w:rsidR="00975895" w:rsidRPr="003015FD">
        <w:t xml:space="preserve"> </w:t>
      </w:r>
      <w:r w:rsidRPr="003015FD">
        <w:t>hold</w:t>
      </w:r>
      <w:r w:rsidR="00975895" w:rsidRPr="003015FD">
        <w:t xml:space="preserve"> </w:t>
      </w:r>
      <w:r w:rsidRPr="003015FD">
        <w:t>cultural</w:t>
      </w:r>
      <w:r w:rsidR="00975895" w:rsidRPr="003015FD">
        <w:t xml:space="preserve"> </w:t>
      </w:r>
      <w:r w:rsidRPr="003015FD">
        <w:t>authority</w:t>
      </w:r>
      <w:r w:rsidR="00975895" w:rsidRPr="003015FD">
        <w:t xml:space="preserve"> </w:t>
      </w:r>
      <w:r w:rsidRPr="003015FD">
        <w:t>to</w:t>
      </w:r>
      <w:r w:rsidR="00975895" w:rsidRPr="003015FD">
        <w:t xml:space="preserve"> </w:t>
      </w:r>
      <w:r w:rsidRPr="003015FD">
        <w:t>represent</w:t>
      </w:r>
      <w:r w:rsidR="00975895" w:rsidRPr="003015FD">
        <w:t xml:space="preserve"> </w:t>
      </w:r>
      <w:r w:rsidRPr="003015FD">
        <w:t>Aboriginal</w:t>
      </w:r>
      <w:r w:rsidR="00975895" w:rsidRPr="003015FD">
        <w:t xml:space="preserve"> </w:t>
      </w:r>
      <w:r w:rsidRPr="003015FD">
        <w:t>Victorians.</w:t>
      </w:r>
    </w:p>
    <w:p w14:paraId="5C8F6C05" w14:textId="5DB9709B" w:rsidR="008E0945" w:rsidRPr="003015FD" w:rsidRDefault="008E0945" w:rsidP="005B74F5">
      <w:pPr>
        <w:pStyle w:val="Quote"/>
      </w:pPr>
      <w:r w:rsidRPr="003015FD">
        <w:t>The</w:t>
      </w:r>
      <w:r w:rsidR="00975895" w:rsidRPr="003015FD">
        <w:t xml:space="preserve"> </w:t>
      </w:r>
      <w:r w:rsidRPr="003015FD">
        <w:t>choice</w:t>
      </w:r>
      <w:r w:rsidR="00975895" w:rsidRPr="003015FD">
        <w:t xml:space="preserve"> </w:t>
      </w:r>
      <w:r w:rsidRPr="003015FD">
        <w:t>of</w:t>
      </w:r>
      <w:r w:rsidR="00975895" w:rsidRPr="003015FD">
        <w:t xml:space="preserve"> </w:t>
      </w:r>
      <w:r w:rsidRPr="003015FD">
        <w:t>representatives</w:t>
      </w:r>
      <w:r w:rsidR="00975895" w:rsidRPr="003015FD">
        <w:t xml:space="preserve"> </w:t>
      </w:r>
      <w:r w:rsidRPr="003015FD">
        <w:t>may</w:t>
      </w:r>
      <w:r w:rsidR="00975895" w:rsidRPr="003015FD">
        <w:t xml:space="preserve"> </w:t>
      </w:r>
      <w:r w:rsidRPr="003015FD">
        <w:t>be</w:t>
      </w:r>
      <w:r w:rsidR="00975895" w:rsidRPr="003015FD">
        <w:t xml:space="preserve"> </w:t>
      </w:r>
      <w:r w:rsidRPr="003015FD">
        <w:t>an</w:t>
      </w:r>
      <w:r w:rsidR="00975895" w:rsidRPr="003015FD">
        <w:t xml:space="preserve"> </w:t>
      </w:r>
      <w:r w:rsidRPr="003015FD">
        <w:t>expression</w:t>
      </w:r>
      <w:r w:rsidR="00975895" w:rsidRPr="003015FD">
        <w:t xml:space="preserve"> </w:t>
      </w:r>
      <w:r w:rsidRPr="003015FD">
        <w:t>of</w:t>
      </w:r>
      <w:r w:rsidR="00975895" w:rsidRPr="003015FD">
        <w:t xml:space="preserve"> </w:t>
      </w:r>
      <w:r w:rsidRPr="003015FD">
        <w:t>cultural</w:t>
      </w:r>
      <w:r w:rsidR="00975895" w:rsidRPr="003015FD">
        <w:t xml:space="preserve"> </w:t>
      </w:r>
      <w:r w:rsidRPr="003015FD">
        <w:t>identity</w:t>
      </w:r>
      <w:r w:rsidR="00975895" w:rsidRPr="003015FD">
        <w:t xml:space="preserve"> </w:t>
      </w:r>
      <w:r w:rsidRPr="003015FD">
        <w:t>or</w:t>
      </w:r>
      <w:r w:rsidR="00975895" w:rsidRPr="003015FD">
        <w:t xml:space="preserve"> </w:t>
      </w:r>
      <w:r w:rsidRPr="003015FD">
        <w:t>it</w:t>
      </w:r>
      <w:r w:rsidR="00975895" w:rsidRPr="003015FD">
        <w:t xml:space="preserve"> </w:t>
      </w:r>
      <w:r w:rsidRPr="003015FD">
        <w:t>could</w:t>
      </w:r>
      <w:r w:rsidR="00975895" w:rsidRPr="003015FD">
        <w:t xml:space="preserve"> </w:t>
      </w:r>
      <w:r w:rsidRPr="003015FD">
        <w:t>be</w:t>
      </w:r>
      <w:r w:rsidR="00975895" w:rsidRPr="003015FD">
        <w:t xml:space="preserve"> </w:t>
      </w:r>
      <w:r w:rsidRPr="003015FD">
        <w:t>considered</w:t>
      </w:r>
      <w:r w:rsidR="00975895" w:rsidRPr="003015FD">
        <w:t xml:space="preserve"> </w:t>
      </w:r>
      <w:r w:rsidRPr="003015FD">
        <w:t>to</w:t>
      </w:r>
      <w:r w:rsidR="00975895" w:rsidRPr="003015FD">
        <w:t xml:space="preserve"> </w:t>
      </w:r>
      <w:r w:rsidRPr="003015FD">
        <w:t>be</w:t>
      </w:r>
      <w:r w:rsidR="00975895" w:rsidRPr="003015FD">
        <w:t xml:space="preserve"> </w:t>
      </w:r>
      <w:r w:rsidRPr="003015FD">
        <w:t>a</w:t>
      </w:r>
      <w:r w:rsidR="00975895" w:rsidRPr="003015FD">
        <w:t xml:space="preserve"> </w:t>
      </w:r>
      <w:r w:rsidRPr="003015FD">
        <w:t>cultural</w:t>
      </w:r>
      <w:r w:rsidR="00975895" w:rsidRPr="003015FD">
        <w:t xml:space="preserve"> </w:t>
      </w:r>
      <w:r w:rsidRPr="003015FD">
        <w:t>practice.</w:t>
      </w:r>
      <w:r w:rsidR="00975895" w:rsidRPr="003015FD">
        <w:t xml:space="preserve"> </w:t>
      </w:r>
      <w:r w:rsidRPr="003015FD">
        <w:t>Because</w:t>
      </w:r>
      <w:r w:rsidR="00975895" w:rsidRPr="003015FD">
        <w:t xml:space="preserve"> </w:t>
      </w:r>
      <w:r w:rsidRPr="003015FD">
        <w:t>certain</w:t>
      </w:r>
      <w:r w:rsidR="00975895" w:rsidRPr="003015FD">
        <w:t xml:space="preserve"> </w:t>
      </w:r>
      <w:r w:rsidRPr="003015FD">
        <w:t>representatives</w:t>
      </w:r>
      <w:r w:rsidR="00975895" w:rsidRPr="003015FD">
        <w:t xml:space="preserve"> </w:t>
      </w:r>
      <w:r w:rsidRPr="003015FD">
        <w:t>carry</w:t>
      </w:r>
      <w:r w:rsidR="00975895" w:rsidRPr="003015FD">
        <w:t xml:space="preserve"> </w:t>
      </w:r>
      <w:r w:rsidRPr="003015FD">
        <w:t>authority</w:t>
      </w:r>
      <w:r w:rsidR="00975895" w:rsidRPr="003015FD">
        <w:t xml:space="preserve"> </w:t>
      </w:r>
      <w:r w:rsidRPr="003015FD">
        <w:t>within</w:t>
      </w:r>
      <w:r w:rsidR="00975895" w:rsidRPr="003015FD">
        <w:t xml:space="preserve"> </w:t>
      </w:r>
      <w:r w:rsidRPr="003015FD">
        <w:t>Aboriginal</w:t>
      </w:r>
      <w:r w:rsidR="00975895" w:rsidRPr="003015FD">
        <w:t xml:space="preserve"> </w:t>
      </w:r>
      <w:r w:rsidRPr="003015FD">
        <w:t>culture,</w:t>
      </w:r>
      <w:r w:rsidR="00975895" w:rsidRPr="003015FD">
        <w:t xml:space="preserve"> </w:t>
      </w:r>
      <w:r w:rsidRPr="003015FD">
        <w:t>such</w:t>
      </w:r>
      <w:r w:rsidR="00975895" w:rsidRPr="003015FD">
        <w:t xml:space="preserve"> </w:t>
      </w:r>
      <w:r w:rsidRPr="003015FD">
        <w:t>as</w:t>
      </w:r>
      <w:r w:rsidR="00975895" w:rsidRPr="003015FD">
        <w:t xml:space="preserve"> </w:t>
      </w:r>
      <w:r w:rsidRPr="003015FD">
        <w:t>elders,</w:t>
      </w:r>
      <w:r w:rsidR="00975895" w:rsidRPr="003015FD">
        <w:t xml:space="preserve"> </w:t>
      </w:r>
      <w:r w:rsidRPr="003015FD">
        <w:t>allowing</w:t>
      </w:r>
      <w:r w:rsidR="00975895" w:rsidRPr="003015FD">
        <w:t xml:space="preserve"> </w:t>
      </w:r>
      <w:r w:rsidRPr="003015FD">
        <w:t>those</w:t>
      </w:r>
      <w:r w:rsidR="00975895" w:rsidRPr="003015FD">
        <w:t xml:space="preserve"> </w:t>
      </w:r>
      <w:r w:rsidRPr="003015FD">
        <w:t>elders</w:t>
      </w:r>
      <w:r w:rsidR="00975895" w:rsidRPr="003015FD">
        <w:t xml:space="preserve"> </w:t>
      </w:r>
      <w:r w:rsidRPr="003015FD">
        <w:t>to</w:t>
      </w:r>
      <w:r w:rsidR="00975895" w:rsidRPr="003015FD">
        <w:t xml:space="preserve"> </w:t>
      </w:r>
      <w:r w:rsidRPr="003015FD">
        <w:t>represent</w:t>
      </w:r>
      <w:r w:rsidR="00975895" w:rsidRPr="003015FD">
        <w:t xml:space="preserve"> </w:t>
      </w:r>
      <w:r w:rsidRPr="003015FD">
        <w:t>the</w:t>
      </w:r>
      <w:r w:rsidR="00975895" w:rsidRPr="003015FD">
        <w:t xml:space="preserve"> </w:t>
      </w:r>
      <w:r w:rsidRPr="003015FD">
        <w:t>community</w:t>
      </w:r>
      <w:r w:rsidR="00975895" w:rsidRPr="003015FD">
        <w:t xml:space="preserve"> </w:t>
      </w:r>
      <w:r w:rsidRPr="003015FD">
        <w:t>in</w:t>
      </w:r>
      <w:r w:rsidR="00975895" w:rsidRPr="003015FD">
        <w:t xml:space="preserve"> </w:t>
      </w:r>
      <w:r w:rsidRPr="003015FD">
        <w:t>establishing</w:t>
      </w:r>
      <w:r w:rsidR="00975895" w:rsidRPr="003015FD">
        <w:t xml:space="preserve"> </w:t>
      </w:r>
      <w:r w:rsidRPr="003015FD">
        <w:t>the</w:t>
      </w:r>
      <w:r w:rsidR="00975895" w:rsidRPr="003015FD">
        <w:t xml:space="preserve"> </w:t>
      </w:r>
      <w:r w:rsidRPr="003015FD">
        <w:t>treaty</w:t>
      </w:r>
      <w:r w:rsidR="00975895" w:rsidRPr="003015FD">
        <w:t xml:space="preserve"> </w:t>
      </w:r>
      <w:r w:rsidRPr="003015FD">
        <w:t>process</w:t>
      </w:r>
      <w:r w:rsidR="00975895" w:rsidRPr="003015FD">
        <w:t xml:space="preserve"> </w:t>
      </w:r>
      <w:r w:rsidRPr="003015FD">
        <w:t>may</w:t>
      </w:r>
      <w:r w:rsidR="00975895" w:rsidRPr="003015FD">
        <w:t xml:space="preserve"> </w:t>
      </w:r>
      <w:r w:rsidRPr="003015FD">
        <w:t>allow</w:t>
      </w:r>
      <w:r w:rsidR="00975895" w:rsidRPr="003015FD">
        <w:t xml:space="preserve"> </w:t>
      </w:r>
      <w:r w:rsidRPr="003015FD">
        <w:t>the</w:t>
      </w:r>
      <w:r w:rsidR="00975895" w:rsidRPr="003015FD">
        <w:t xml:space="preserve"> </w:t>
      </w:r>
      <w:r w:rsidRPr="003015FD">
        <w:t>expression</w:t>
      </w:r>
      <w:r w:rsidR="00975895" w:rsidRPr="003015FD">
        <w:t xml:space="preserve"> </w:t>
      </w:r>
      <w:r w:rsidRPr="003015FD">
        <w:t>of</w:t>
      </w:r>
      <w:r w:rsidR="00975895" w:rsidRPr="003015FD">
        <w:t xml:space="preserve"> </w:t>
      </w:r>
      <w:r w:rsidRPr="003015FD">
        <w:t>that</w:t>
      </w:r>
      <w:r w:rsidR="00975895" w:rsidRPr="003015FD">
        <w:t xml:space="preserve"> </w:t>
      </w:r>
      <w:r w:rsidRPr="003015FD">
        <w:t>cultural</w:t>
      </w:r>
      <w:r w:rsidR="00975895" w:rsidRPr="003015FD">
        <w:t xml:space="preserve"> </w:t>
      </w:r>
      <w:r w:rsidRPr="003015FD">
        <w:t>identity</w:t>
      </w:r>
      <w:r w:rsidR="00975895" w:rsidRPr="003015FD">
        <w:t xml:space="preserve"> </w:t>
      </w:r>
      <w:r w:rsidRPr="003015FD">
        <w:t>and</w:t>
      </w:r>
      <w:r w:rsidR="00975895" w:rsidRPr="003015FD">
        <w:t xml:space="preserve"> </w:t>
      </w:r>
      <w:r w:rsidRPr="003015FD">
        <w:t>respect</w:t>
      </w:r>
      <w:r w:rsidR="00975895" w:rsidRPr="003015FD">
        <w:t xml:space="preserve"> </w:t>
      </w:r>
      <w:r w:rsidRPr="003015FD">
        <w:t>that</w:t>
      </w:r>
      <w:r w:rsidR="00975895" w:rsidRPr="003015FD">
        <w:t xml:space="preserve"> </w:t>
      </w:r>
      <w:r w:rsidRPr="003015FD">
        <w:t>cultural</w:t>
      </w:r>
      <w:r w:rsidR="00975895" w:rsidRPr="003015FD">
        <w:t xml:space="preserve"> </w:t>
      </w:r>
      <w:r w:rsidRPr="003015FD">
        <w:t>practice.</w:t>
      </w:r>
      <w:r w:rsidRPr="004862C5">
        <w:rPr>
          <w:rStyle w:val="FootnoteReference"/>
        </w:rPr>
        <w:footnoteReference w:id="65"/>
      </w:r>
    </w:p>
    <w:p w14:paraId="052FD8CE" w14:textId="2E21C01A" w:rsidR="008E0945" w:rsidRPr="003015FD" w:rsidRDefault="008E0945" w:rsidP="0002642E">
      <w:r w:rsidRPr="003015FD">
        <w:t>The</w:t>
      </w:r>
      <w:r w:rsidR="00975895" w:rsidRPr="003015FD">
        <w:t xml:space="preserve"> </w:t>
      </w:r>
      <w:r w:rsidR="005D3541">
        <w:t>g</w:t>
      </w:r>
      <w:r w:rsidRPr="003015FD">
        <w:t>overnment</w:t>
      </w:r>
      <w:r w:rsidR="00975895" w:rsidRPr="003015FD">
        <w:t xml:space="preserve"> </w:t>
      </w:r>
      <w:r w:rsidRPr="003015FD">
        <w:t>responded</w:t>
      </w:r>
      <w:r w:rsidR="00975895" w:rsidRPr="003015FD">
        <w:t xml:space="preserve"> </w:t>
      </w:r>
      <w:r w:rsidRPr="003015FD">
        <w:t>to</w:t>
      </w:r>
      <w:r w:rsidR="00975895" w:rsidRPr="003015FD">
        <w:t xml:space="preserve"> </w:t>
      </w:r>
      <w:r w:rsidRPr="003015FD">
        <w:t>this</w:t>
      </w:r>
      <w:r w:rsidR="00975895" w:rsidRPr="003015FD">
        <w:t xml:space="preserve"> </w:t>
      </w:r>
      <w:r w:rsidRPr="003015FD">
        <w:t>issue</w:t>
      </w:r>
      <w:r w:rsidR="00975895" w:rsidRPr="003015FD">
        <w:t xml:space="preserve"> </w:t>
      </w:r>
      <w:r w:rsidRPr="003015FD">
        <w:t>by</w:t>
      </w:r>
      <w:r w:rsidR="00975895" w:rsidRPr="003015FD">
        <w:t xml:space="preserve"> </w:t>
      </w:r>
      <w:r w:rsidRPr="003015FD">
        <w:t>tabling</w:t>
      </w:r>
      <w:r w:rsidR="00975895" w:rsidRPr="003015FD">
        <w:t xml:space="preserve"> </w:t>
      </w:r>
      <w:r w:rsidRPr="003015FD">
        <w:t>a</w:t>
      </w:r>
      <w:r w:rsidR="00975895" w:rsidRPr="003015FD">
        <w:t xml:space="preserve"> </w:t>
      </w:r>
      <w:r w:rsidR="005D3541">
        <w:t>House amendment</w:t>
      </w:r>
      <w:r w:rsidR="00975895" w:rsidRPr="003015FD">
        <w:t xml:space="preserve"> </w:t>
      </w:r>
      <w:r w:rsidRPr="003015FD">
        <w:t>providing</w:t>
      </w:r>
      <w:r w:rsidR="00975895" w:rsidRPr="003015FD">
        <w:t xml:space="preserve"> </w:t>
      </w:r>
      <w:r w:rsidRPr="003015FD">
        <w:t>that,</w:t>
      </w:r>
      <w:r w:rsidR="00975895" w:rsidRPr="003015FD">
        <w:t xml:space="preserve"> </w:t>
      </w:r>
      <w:r w:rsidRPr="003015FD">
        <w:t>among</w:t>
      </w:r>
      <w:r w:rsidR="00975895" w:rsidRPr="003015FD">
        <w:t xml:space="preserve"> </w:t>
      </w:r>
      <w:r w:rsidRPr="003015FD">
        <w:t>other</w:t>
      </w:r>
      <w:r w:rsidR="00975895" w:rsidRPr="003015FD">
        <w:t xml:space="preserve"> </w:t>
      </w:r>
      <w:r w:rsidRPr="003015FD">
        <w:t>things,</w:t>
      </w:r>
      <w:r w:rsidR="00975895" w:rsidRPr="003015FD">
        <w:t xml:space="preserve"> </w:t>
      </w:r>
      <w:r w:rsidRPr="003015FD">
        <w:t>only</w:t>
      </w:r>
      <w:r w:rsidR="00975895" w:rsidRPr="003015FD">
        <w:t xml:space="preserve"> </w:t>
      </w:r>
      <w:r w:rsidRPr="003015FD">
        <w:t>traditional</w:t>
      </w:r>
      <w:r w:rsidR="00975895" w:rsidRPr="003015FD">
        <w:t xml:space="preserve"> </w:t>
      </w:r>
      <w:r w:rsidRPr="003015FD">
        <w:t>owners</w:t>
      </w:r>
      <w:r w:rsidR="00975895" w:rsidRPr="003015FD">
        <w:t xml:space="preserve"> </w:t>
      </w:r>
      <w:r w:rsidRPr="003015FD">
        <w:t>can</w:t>
      </w:r>
      <w:r w:rsidR="00975895" w:rsidRPr="003015FD">
        <w:t xml:space="preserve"> </w:t>
      </w:r>
      <w:r w:rsidRPr="003015FD">
        <w:t>be</w:t>
      </w:r>
      <w:r w:rsidR="00975895" w:rsidRPr="003015FD">
        <w:t xml:space="preserve"> </w:t>
      </w:r>
      <w:r w:rsidRPr="003015FD">
        <w:t>on</w:t>
      </w:r>
      <w:r w:rsidR="00975895" w:rsidRPr="003015FD">
        <w:t xml:space="preserve"> </w:t>
      </w:r>
      <w:r w:rsidRPr="003015FD">
        <w:t>the</w:t>
      </w:r>
      <w:r w:rsidR="00975895" w:rsidRPr="003015FD">
        <w:t xml:space="preserve"> </w:t>
      </w:r>
      <w:r w:rsidRPr="003015FD">
        <w:t>Aboriginal</w:t>
      </w:r>
      <w:r w:rsidR="00975895" w:rsidRPr="003015FD">
        <w:t xml:space="preserve"> </w:t>
      </w:r>
      <w:r w:rsidRPr="003015FD">
        <w:t>Representative</w:t>
      </w:r>
      <w:r w:rsidR="00975895" w:rsidRPr="003015FD">
        <w:t xml:space="preserve"> </w:t>
      </w:r>
      <w:r w:rsidRPr="003015FD">
        <w:t>Body.</w:t>
      </w:r>
      <w:r w:rsidRPr="004862C5">
        <w:rPr>
          <w:rStyle w:val="FootnoteReference"/>
        </w:rPr>
        <w:footnoteReference w:id="66"/>
      </w:r>
      <w:r w:rsidR="00975895" w:rsidRPr="003015FD">
        <w:t xml:space="preserve"> </w:t>
      </w:r>
      <w:bookmarkStart w:id="98" w:name="hit243"/>
      <w:bookmarkEnd w:id="98"/>
      <w:r w:rsidRPr="003015FD">
        <w:t>This</w:t>
      </w:r>
      <w:r w:rsidR="00975895" w:rsidRPr="003015FD">
        <w:t xml:space="preserve"> </w:t>
      </w:r>
      <w:r w:rsidRPr="003015FD">
        <w:t>change</w:t>
      </w:r>
      <w:r w:rsidR="00975895" w:rsidRPr="003015FD">
        <w:t xml:space="preserve"> </w:t>
      </w:r>
      <w:r w:rsidRPr="003015FD">
        <w:t>recognises</w:t>
      </w:r>
      <w:r w:rsidR="00975895" w:rsidRPr="003015FD">
        <w:t xml:space="preserve"> </w:t>
      </w:r>
      <w:r w:rsidRPr="003015FD">
        <w:t>that</w:t>
      </w:r>
      <w:r w:rsidR="00975895" w:rsidRPr="003015FD">
        <w:t xml:space="preserve"> </w:t>
      </w:r>
      <w:r w:rsidRPr="003015FD">
        <w:t>mandating</w:t>
      </w:r>
      <w:r w:rsidR="00975895" w:rsidRPr="003015FD">
        <w:t xml:space="preserve"> </w:t>
      </w:r>
      <w:r w:rsidRPr="003015FD">
        <w:t>Aboriginal</w:t>
      </w:r>
      <w:r w:rsidR="00975895" w:rsidRPr="003015FD">
        <w:t xml:space="preserve"> </w:t>
      </w:r>
      <w:r w:rsidRPr="003015FD">
        <w:lastRenderedPageBreak/>
        <w:t>representation</w:t>
      </w:r>
      <w:r w:rsidR="00975895" w:rsidRPr="003015FD">
        <w:t xml:space="preserve"> </w:t>
      </w:r>
      <w:r w:rsidRPr="003015FD">
        <w:t>in</w:t>
      </w:r>
      <w:r w:rsidR="00975895" w:rsidRPr="003015FD">
        <w:t xml:space="preserve"> </w:t>
      </w:r>
      <w:r w:rsidRPr="003015FD">
        <w:t>establishing</w:t>
      </w:r>
      <w:r w:rsidR="00975895" w:rsidRPr="003015FD">
        <w:t xml:space="preserve"> </w:t>
      </w:r>
      <w:r w:rsidRPr="003015FD">
        <w:t>the</w:t>
      </w:r>
      <w:r w:rsidR="00975895" w:rsidRPr="003015FD">
        <w:t xml:space="preserve"> </w:t>
      </w:r>
      <w:r w:rsidRPr="003015FD">
        <w:t>treaty</w:t>
      </w:r>
      <w:r w:rsidR="00975895" w:rsidRPr="003015FD">
        <w:t xml:space="preserve"> </w:t>
      </w:r>
      <w:r w:rsidRPr="003015FD">
        <w:t>process</w:t>
      </w:r>
      <w:r w:rsidR="00975895" w:rsidRPr="003015FD">
        <w:t xml:space="preserve"> </w:t>
      </w:r>
      <w:r w:rsidRPr="003015FD">
        <w:t>will</w:t>
      </w:r>
      <w:r w:rsidR="00975895" w:rsidRPr="003015FD">
        <w:t xml:space="preserve"> </w:t>
      </w:r>
      <w:r w:rsidRPr="003015FD">
        <w:t>promote</w:t>
      </w:r>
      <w:r w:rsidR="00975895" w:rsidRPr="003015FD">
        <w:t xml:space="preserve"> </w:t>
      </w:r>
      <w:r w:rsidRPr="003015FD">
        <w:t>the</w:t>
      </w:r>
      <w:r w:rsidR="00975895" w:rsidRPr="003015FD">
        <w:t xml:space="preserve"> </w:t>
      </w:r>
      <w:r w:rsidRPr="003015FD">
        <w:t>expression</w:t>
      </w:r>
      <w:r w:rsidR="00975895" w:rsidRPr="003015FD">
        <w:t xml:space="preserve"> </w:t>
      </w:r>
      <w:r w:rsidRPr="003015FD">
        <w:t>of</w:t>
      </w:r>
      <w:r w:rsidR="00975895" w:rsidRPr="003015FD">
        <w:t xml:space="preserve"> </w:t>
      </w:r>
      <w:r w:rsidRPr="003015FD">
        <w:t>cultural</w:t>
      </w:r>
      <w:r w:rsidR="00975895" w:rsidRPr="003015FD">
        <w:t xml:space="preserve"> </w:t>
      </w:r>
      <w:r w:rsidRPr="003015FD">
        <w:t>identity</w:t>
      </w:r>
      <w:r w:rsidR="00975895" w:rsidRPr="003015FD">
        <w:t xml:space="preserve"> </w:t>
      </w:r>
      <w:r w:rsidRPr="003015FD">
        <w:t>and</w:t>
      </w:r>
      <w:r w:rsidR="00975895" w:rsidRPr="003015FD">
        <w:t xml:space="preserve"> </w:t>
      </w:r>
      <w:r w:rsidRPr="003015FD">
        <w:t>practice</w:t>
      </w:r>
      <w:r w:rsidR="00975895" w:rsidRPr="003015FD">
        <w:t xml:space="preserve"> </w:t>
      </w:r>
      <w:r w:rsidRPr="003015FD">
        <w:t>required</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00975895" w:rsidRPr="003015FD">
        <w:t xml:space="preserve"> </w:t>
      </w:r>
    </w:p>
    <w:p w14:paraId="179D1A46" w14:textId="5FD37E75" w:rsidR="008E0945" w:rsidRPr="0002642E" w:rsidRDefault="008E0945" w:rsidP="0002642E">
      <w:pPr>
        <w:pStyle w:val="TableHeading1"/>
      </w:pPr>
      <w:r w:rsidRPr="0002642E">
        <w:t>Table</w:t>
      </w:r>
      <w:r w:rsidR="00975895" w:rsidRPr="0002642E">
        <w:t xml:space="preserve"> </w:t>
      </w:r>
      <w:r w:rsidR="003B428A">
        <w:rPr>
          <w:rStyle w:val="HRVBold"/>
        </w:rPr>
        <w:t>6</w:t>
      </w:r>
      <w:r w:rsidRPr="0002642E">
        <w:t>:</w:t>
      </w:r>
      <w:r w:rsidR="00975895" w:rsidRPr="0002642E">
        <w:t xml:space="preserve"> </w:t>
      </w:r>
      <w:r w:rsidR="005D3541" w:rsidRPr="0002642E">
        <w:t xml:space="preserve">House amendments </w:t>
      </w:r>
      <w:r w:rsidRPr="0002642E">
        <w:t>supported</w:t>
      </w:r>
      <w:r w:rsidR="00975895" w:rsidRPr="0002642E">
        <w:t xml:space="preserve"> </w:t>
      </w:r>
      <w:r w:rsidRPr="0002642E">
        <w:t>by</w:t>
      </w:r>
      <w:r w:rsidR="00975895" w:rsidRPr="0002642E">
        <w:t xml:space="preserve"> </w:t>
      </w:r>
      <w:r w:rsidRPr="0002642E">
        <w:t>SARC</w:t>
      </w:r>
      <w:r w:rsidR="00975895" w:rsidRPr="0002642E">
        <w:t xml:space="preserve"> </w:t>
      </w:r>
      <w:r w:rsidRPr="0002642E">
        <w:t>reports</w:t>
      </w:r>
    </w:p>
    <w:tbl>
      <w:tblPr>
        <w:tblStyle w:val="CustomTableblue"/>
        <w:tblW w:w="0" w:type="auto"/>
        <w:tblLook w:val="0420" w:firstRow="1" w:lastRow="0" w:firstColumn="0" w:lastColumn="0" w:noHBand="0" w:noVBand="1"/>
      </w:tblPr>
      <w:tblGrid>
        <w:gridCol w:w="2689"/>
        <w:gridCol w:w="992"/>
        <w:gridCol w:w="992"/>
        <w:gridCol w:w="992"/>
        <w:gridCol w:w="851"/>
        <w:gridCol w:w="850"/>
        <w:gridCol w:w="851"/>
        <w:gridCol w:w="844"/>
      </w:tblGrid>
      <w:tr w:rsidR="006B0171" w:rsidRPr="003015FD" w14:paraId="12FEB2EE" w14:textId="77777777" w:rsidTr="00C26A05">
        <w:trPr>
          <w:cnfStyle w:val="100000000000" w:firstRow="1" w:lastRow="0" w:firstColumn="0" w:lastColumn="0" w:oddVBand="0" w:evenVBand="0" w:oddHBand="0" w:evenHBand="0" w:firstRowFirstColumn="0" w:firstRowLastColumn="0" w:lastRowFirstColumn="0" w:lastRowLastColumn="0"/>
        </w:trPr>
        <w:tc>
          <w:tcPr>
            <w:tcW w:w="2689" w:type="dxa"/>
          </w:tcPr>
          <w:p w14:paraId="0105B531" w14:textId="77777777" w:rsidR="008E0945" w:rsidRPr="003015FD" w:rsidRDefault="008E0945" w:rsidP="0002642E">
            <w:pPr>
              <w:pStyle w:val="TableBodyText"/>
            </w:pPr>
            <w:r w:rsidRPr="003015FD">
              <w:t>Year</w:t>
            </w:r>
          </w:p>
        </w:tc>
        <w:tc>
          <w:tcPr>
            <w:tcW w:w="992" w:type="dxa"/>
          </w:tcPr>
          <w:p w14:paraId="5304D066" w14:textId="77777777" w:rsidR="008E0945" w:rsidRPr="003015FD" w:rsidRDefault="008E0945" w:rsidP="0002642E">
            <w:pPr>
              <w:pStyle w:val="TableBodyText"/>
            </w:pPr>
            <w:r w:rsidRPr="003015FD">
              <w:t>2018</w:t>
            </w:r>
          </w:p>
        </w:tc>
        <w:tc>
          <w:tcPr>
            <w:tcW w:w="992" w:type="dxa"/>
          </w:tcPr>
          <w:p w14:paraId="7ABBAA5A" w14:textId="77777777" w:rsidR="008E0945" w:rsidRPr="003015FD" w:rsidRDefault="008E0945" w:rsidP="0002642E">
            <w:pPr>
              <w:pStyle w:val="TableBodyText"/>
            </w:pPr>
            <w:r w:rsidRPr="003015FD">
              <w:t>2017</w:t>
            </w:r>
          </w:p>
        </w:tc>
        <w:tc>
          <w:tcPr>
            <w:tcW w:w="992" w:type="dxa"/>
          </w:tcPr>
          <w:p w14:paraId="0C832713" w14:textId="77777777" w:rsidR="008E0945" w:rsidRPr="003015FD" w:rsidRDefault="008E0945" w:rsidP="0002642E">
            <w:pPr>
              <w:pStyle w:val="TableBodyText"/>
            </w:pPr>
            <w:r w:rsidRPr="003015FD">
              <w:t>2016</w:t>
            </w:r>
          </w:p>
        </w:tc>
        <w:tc>
          <w:tcPr>
            <w:tcW w:w="851" w:type="dxa"/>
          </w:tcPr>
          <w:p w14:paraId="1E7EB86E" w14:textId="77777777" w:rsidR="008E0945" w:rsidRPr="003015FD" w:rsidRDefault="008E0945" w:rsidP="0002642E">
            <w:pPr>
              <w:pStyle w:val="TableBodyText"/>
            </w:pPr>
            <w:r w:rsidRPr="003015FD">
              <w:t>2015</w:t>
            </w:r>
          </w:p>
        </w:tc>
        <w:tc>
          <w:tcPr>
            <w:tcW w:w="850" w:type="dxa"/>
          </w:tcPr>
          <w:p w14:paraId="7E761419" w14:textId="77777777" w:rsidR="008E0945" w:rsidRPr="003015FD" w:rsidRDefault="008E0945" w:rsidP="0002642E">
            <w:pPr>
              <w:pStyle w:val="TableBodyText"/>
            </w:pPr>
            <w:r w:rsidRPr="003015FD">
              <w:t>2014</w:t>
            </w:r>
          </w:p>
        </w:tc>
        <w:tc>
          <w:tcPr>
            <w:tcW w:w="851" w:type="dxa"/>
          </w:tcPr>
          <w:p w14:paraId="12EDEF82" w14:textId="77777777" w:rsidR="008E0945" w:rsidRPr="003015FD" w:rsidRDefault="008E0945" w:rsidP="0002642E">
            <w:pPr>
              <w:pStyle w:val="TableBodyText"/>
            </w:pPr>
            <w:r w:rsidRPr="003015FD">
              <w:t>2013</w:t>
            </w:r>
          </w:p>
        </w:tc>
        <w:tc>
          <w:tcPr>
            <w:tcW w:w="844" w:type="dxa"/>
          </w:tcPr>
          <w:p w14:paraId="4D09FB68" w14:textId="77777777" w:rsidR="008E0945" w:rsidRPr="003015FD" w:rsidRDefault="008E0945" w:rsidP="0002642E">
            <w:pPr>
              <w:pStyle w:val="TableBodyText"/>
            </w:pPr>
            <w:r w:rsidRPr="003015FD">
              <w:t>2012</w:t>
            </w:r>
          </w:p>
        </w:tc>
      </w:tr>
      <w:tr w:rsidR="006B0171" w:rsidRPr="003015FD" w14:paraId="0FC8E80F" w14:textId="77777777" w:rsidTr="00C26A05">
        <w:trPr>
          <w:cnfStyle w:val="000000100000" w:firstRow="0" w:lastRow="0" w:firstColumn="0" w:lastColumn="0" w:oddVBand="0" w:evenVBand="0" w:oddHBand="1" w:evenHBand="0" w:firstRowFirstColumn="0" w:firstRowLastColumn="0" w:lastRowFirstColumn="0" w:lastRowLastColumn="0"/>
        </w:trPr>
        <w:tc>
          <w:tcPr>
            <w:tcW w:w="2689" w:type="dxa"/>
          </w:tcPr>
          <w:p w14:paraId="50230863" w14:textId="3C8E8E35" w:rsidR="008E0945" w:rsidRPr="003015FD" w:rsidRDefault="008E0945" w:rsidP="0002642E">
            <w:pPr>
              <w:pStyle w:val="TableBodyTextcentred"/>
              <w:jc w:val="left"/>
            </w:pPr>
            <w:r w:rsidRPr="003015FD">
              <w:t>Number</w:t>
            </w:r>
            <w:r w:rsidR="00975895" w:rsidRPr="003015FD">
              <w:t xml:space="preserve"> </w:t>
            </w:r>
            <w:r w:rsidRPr="003015FD">
              <w:t>of</w:t>
            </w:r>
            <w:r w:rsidR="00975895" w:rsidRPr="003015FD">
              <w:t xml:space="preserve"> </w:t>
            </w:r>
            <w:r w:rsidRPr="003015FD">
              <w:t>amendments</w:t>
            </w:r>
          </w:p>
        </w:tc>
        <w:tc>
          <w:tcPr>
            <w:tcW w:w="992" w:type="dxa"/>
          </w:tcPr>
          <w:p w14:paraId="6B059315" w14:textId="77777777" w:rsidR="008E0945" w:rsidRPr="003015FD" w:rsidRDefault="008E0945" w:rsidP="0002642E">
            <w:pPr>
              <w:pStyle w:val="TableBodyTextcentred"/>
              <w:jc w:val="left"/>
            </w:pPr>
            <w:r w:rsidRPr="003015FD">
              <w:t>2</w:t>
            </w:r>
          </w:p>
        </w:tc>
        <w:tc>
          <w:tcPr>
            <w:tcW w:w="992" w:type="dxa"/>
          </w:tcPr>
          <w:p w14:paraId="4FE873A8" w14:textId="77777777" w:rsidR="008E0945" w:rsidRPr="003015FD" w:rsidRDefault="008E0945" w:rsidP="0002642E">
            <w:pPr>
              <w:pStyle w:val="TableBodyTextcentred"/>
              <w:jc w:val="left"/>
            </w:pPr>
            <w:r w:rsidRPr="003015FD">
              <w:t>2</w:t>
            </w:r>
          </w:p>
        </w:tc>
        <w:tc>
          <w:tcPr>
            <w:tcW w:w="992" w:type="dxa"/>
          </w:tcPr>
          <w:p w14:paraId="23A9C495" w14:textId="77777777" w:rsidR="008E0945" w:rsidRPr="003015FD" w:rsidRDefault="008E0945" w:rsidP="0002642E">
            <w:pPr>
              <w:pStyle w:val="TableBodyTextcentred"/>
              <w:jc w:val="left"/>
            </w:pPr>
            <w:r w:rsidRPr="003015FD">
              <w:t>0</w:t>
            </w:r>
          </w:p>
        </w:tc>
        <w:tc>
          <w:tcPr>
            <w:tcW w:w="851" w:type="dxa"/>
          </w:tcPr>
          <w:p w14:paraId="42E745B8" w14:textId="77777777" w:rsidR="008E0945" w:rsidRPr="003015FD" w:rsidRDefault="008E0945" w:rsidP="0002642E">
            <w:pPr>
              <w:pStyle w:val="TableBodyTextcentred"/>
              <w:jc w:val="left"/>
            </w:pPr>
            <w:r w:rsidRPr="003015FD">
              <w:t>3</w:t>
            </w:r>
          </w:p>
        </w:tc>
        <w:tc>
          <w:tcPr>
            <w:tcW w:w="850" w:type="dxa"/>
          </w:tcPr>
          <w:p w14:paraId="3D6A8986" w14:textId="77777777" w:rsidR="008E0945" w:rsidRPr="003015FD" w:rsidRDefault="008E0945" w:rsidP="0002642E">
            <w:pPr>
              <w:pStyle w:val="TableBodyTextcentred"/>
              <w:jc w:val="left"/>
            </w:pPr>
            <w:r w:rsidRPr="003015FD">
              <w:t>3</w:t>
            </w:r>
          </w:p>
        </w:tc>
        <w:tc>
          <w:tcPr>
            <w:tcW w:w="851" w:type="dxa"/>
          </w:tcPr>
          <w:p w14:paraId="3B2A9FD0" w14:textId="77777777" w:rsidR="008E0945" w:rsidRPr="003015FD" w:rsidRDefault="008E0945" w:rsidP="0002642E">
            <w:pPr>
              <w:pStyle w:val="TableBodyTextcentred"/>
              <w:jc w:val="left"/>
            </w:pPr>
            <w:r w:rsidRPr="003015FD">
              <w:t>0</w:t>
            </w:r>
          </w:p>
        </w:tc>
        <w:tc>
          <w:tcPr>
            <w:tcW w:w="844" w:type="dxa"/>
          </w:tcPr>
          <w:p w14:paraId="6D41C900" w14:textId="77777777" w:rsidR="008E0945" w:rsidRPr="003015FD" w:rsidRDefault="008E0945" w:rsidP="0002642E">
            <w:pPr>
              <w:pStyle w:val="TableBodyTextcentred"/>
              <w:jc w:val="left"/>
            </w:pPr>
            <w:r w:rsidRPr="003015FD">
              <w:t>1</w:t>
            </w:r>
          </w:p>
        </w:tc>
      </w:tr>
    </w:tbl>
    <w:p w14:paraId="297B4006" w14:textId="30D6898F" w:rsidR="008E0945" w:rsidRPr="003015FD" w:rsidRDefault="008E0945" w:rsidP="0002642E">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recommended</w:t>
      </w:r>
      <w:r w:rsidR="00975895" w:rsidRPr="003015FD">
        <w:t xml:space="preserve"> </w:t>
      </w:r>
      <w:r w:rsidRPr="003015FD">
        <w:t>that</w:t>
      </w:r>
      <w:r w:rsidR="00975895" w:rsidRPr="003015FD">
        <w:t xml:space="preserve"> </w:t>
      </w:r>
      <w:r w:rsidR="003B428A">
        <w:t>members</w:t>
      </w:r>
      <w:r w:rsidR="00975895" w:rsidRPr="003015FD">
        <w:t xml:space="preserve"> </w:t>
      </w:r>
      <w:r w:rsidRPr="003015FD">
        <w:t>of</w:t>
      </w:r>
      <w:r w:rsidR="00975895" w:rsidRPr="003015FD">
        <w:t xml:space="preserve"> </w:t>
      </w:r>
      <w:r w:rsidRPr="003015FD">
        <w:t>Parliament</w:t>
      </w:r>
      <w:r w:rsidR="00975895" w:rsidRPr="003015FD">
        <w:t xml:space="preserve"> </w:t>
      </w:r>
      <w:r w:rsidRPr="003015FD">
        <w:t>be</w:t>
      </w:r>
      <w:r w:rsidR="00975895" w:rsidRPr="003015FD">
        <w:t xml:space="preserve"> </w:t>
      </w:r>
      <w:r w:rsidRPr="003015FD">
        <w:t>encouraged</w:t>
      </w:r>
      <w:r w:rsidR="00975895" w:rsidRPr="003015FD">
        <w:t xml:space="preserve"> </w:t>
      </w:r>
      <w:r w:rsidRPr="003015FD">
        <w:t>to</w:t>
      </w:r>
      <w:r w:rsidR="00975895" w:rsidRPr="003015FD">
        <w:t xml:space="preserve"> </w:t>
      </w:r>
      <w:r w:rsidRPr="003015FD">
        <w:t>provide</w:t>
      </w:r>
      <w:r w:rsidR="00975895" w:rsidRPr="003015FD">
        <w:t xml:space="preserve"> </w:t>
      </w:r>
      <w:r w:rsidRPr="003015FD">
        <w:t>a</w:t>
      </w:r>
      <w:r w:rsidR="00975895" w:rsidRPr="003015FD">
        <w:t xml:space="preserve"> </w:t>
      </w:r>
      <w:r w:rsidRPr="003015FD">
        <w:t>short</w:t>
      </w:r>
      <w:r w:rsidR="00975895" w:rsidRPr="003015FD">
        <w:t xml:space="preserve"> </w:t>
      </w:r>
      <w:r w:rsidRPr="003015FD">
        <w:t>statement</w:t>
      </w:r>
      <w:r w:rsidR="00975895" w:rsidRPr="003015FD">
        <w:t xml:space="preserve"> </w:t>
      </w:r>
      <w:r w:rsidRPr="003015FD">
        <w:t>on</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compatibility</w:t>
      </w:r>
      <w:r w:rsidR="00975895" w:rsidRPr="003015FD">
        <w:t xml:space="preserve"> </w:t>
      </w:r>
      <w:r w:rsidRPr="003015FD">
        <w:t>of</w:t>
      </w:r>
      <w:r w:rsidR="00975895" w:rsidRPr="003015FD">
        <w:t xml:space="preserve"> </w:t>
      </w:r>
      <w:r w:rsidRPr="003015FD">
        <w:t>their</w:t>
      </w:r>
      <w:r w:rsidR="00975895" w:rsidRPr="003015FD">
        <w:t xml:space="preserve"> </w:t>
      </w:r>
      <w:r w:rsidRPr="003015FD">
        <w:t>proposed</w:t>
      </w:r>
      <w:r w:rsidR="00975895" w:rsidRPr="003015FD">
        <w:t xml:space="preserve"> </w:t>
      </w:r>
      <w:r w:rsidR="005D3541">
        <w:t xml:space="preserve">House amendments </w:t>
      </w:r>
      <w:r w:rsidRPr="003015FD">
        <w:t>to</w:t>
      </w:r>
      <w:r w:rsidR="00975895" w:rsidRPr="003015FD">
        <w:t xml:space="preserve"> </w:t>
      </w:r>
      <w:r w:rsidRPr="003015FD">
        <w:t>Parliament,</w:t>
      </w:r>
      <w:r w:rsidR="00975895" w:rsidRPr="003015FD">
        <w:t xml:space="preserve"> </w:t>
      </w:r>
      <w:r w:rsidRPr="003015FD">
        <w:t>when</w:t>
      </w:r>
      <w:r w:rsidR="00975895" w:rsidRPr="003015FD">
        <w:t xml:space="preserve"> </w:t>
      </w:r>
      <w:r w:rsidRPr="003015FD">
        <w:t>time</w:t>
      </w:r>
      <w:r w:rsidR="00975895" w:rsidRPr="003015FD">
        <w:t xml:space="preserve"> </w:t>
      </w:r>
      <w:r w:rsidRPr="003015FD">
        <w:t>permits.</w:t>
      </w:r>
      <w:r w:rsidRPr="004862C5">
        <w:rPr>
          <w:rStyle w:val="FootnoteReference"/>
        </w:rPr>
        <w:footnoteReference w:id="67"/>
      </w:r>
      <w:r w:rsidR="00975895" w:rsidRPr="003015FD">
        <w:t xml:space="preserve"> </w:t>
      </w:r>
      <w:r w:rsidRPr="003015FD">
        <w:t>The</w:t>
      </w:r>
      <w:r w:rsidR="00975895" w:rsidRPr="003015FD">
        <w:t xml:space="preserve"> </w:t>
      </w:r>
      <w:r w:rsidR="005D3541">
        <w:t>g</w:t>
      </w:r>
      <w:r w:rsidR="005D3541" w:rsidRPr="003015FD">
        <w:t xml:space="preserve">overnment </w:t>
      </w:r>
      <w:r w:rsidRPr="003015FD">
        <w:t>indicated</w:t>
      </w:r>
      <w:r w:rsidR="00975895" w:rsidRPr="003015FD">
        <w:t xml:space="preserve"> </w:t>
      </w:r>
      <w:r w:rsidRPr="003015FD">
        <w:t>its</w:t>
      </w:r>
      <w:r w:rsidR="00975895" w:rsidRPr="003015FD">
        <w:t xml:space="preserve"> </w:t>
      </w:r>
      <w:r w:rsidRPr="003015FD">
        <w:t>support</w:t>
      </w:r>
      <w:r w:rsidR="00975895" w:rsidRPr="003015FD">
        <w:t xml:space="preserve"> </w:t>
      </w:r>
      <w:r w:rsidRPr="003015FD">
        <w:t>for</w:t>
      </w:r>
      <w:r w:rsidR="00975895" w:rsidRPr="003015FD">
        <w:t xml:space="preserve"> </w:t>
      </w:r>
      <w:r w:rsidRPr="003015FD">
        <w:t>this</w:t>
      </w:r>
      <w:r w:rsidR="00975895" w:rsidRPr="003015FD">
        <w:t xml:space="preserve"> </w:t>
      </w:r>
      <w:r w:rsidRPr="003015FD">
        <w:t>recommendation,</w:t>
      </w:r>
      <w:r w:rsidR="00975895" w:rsidRPr="003015FD">
        <w:t xml:space="preserve"> </w:t>
      </w:r>
      <w:r w:rsidRPr="003015FD">
        <w:t>however,</w:t>
      </w:r>
      <w:r w:rsidR="00975895" w:rsidRPr="003015FD">
        <w:t xml:space="preserve"> </w:t>
      </w:r>
      <w:r w:rsidRPr="003015FD">
        <w:t>it</w:t>
      </w:r>
      <w:r w:rsidR="00975895" w:rsidRPr="003015FD">
        <w:t xml:space="preserve"> </w:t>
      </w:r>
      <w:r w:rsidRPr="003015FD">
        <w:t>has</w:t>
      </w:r>
      <w:r w:rsidR="00975895" w:rsidRPr="003015FD">
        <w:t xml:space="preserve"> </w:t>
      </w:r>
      <w:r w:rsidRPr="003015FD">
        <w:t>not</w:t>
      </w:r>
      <w:r w:rsidR="00975895" w:rsidRPr="003015FD">
        <w:t xml:space="preserve"> </w:t>
      </w:r>
      <w:r w:rsidRPr="003015FD">
        <w:t>yet</w:t>
      </w:r>
      <w:r w:rsidR="00975895" w:rsidRPr="003015FD">
        <w:t xml:space="preserve"> </w:t>
      </w:r>
      <w:r w:rsidRPr="003015FD">
        <w:t>been</w:t>
      </w:r>
      <w:r w:rsidR="00975895" w:rsidRPr="003015FD">
        <w:t xml:space="preserve"> </w:t>
      </w:r>
      <w:r w:rsidRPr="003015FD">
        <w:t>implemented.</w:t>
      </w:r>
      <w:r w:rsidR="00975895" w:rsidRPr="003015FD">
        <w:t xml:space="preserve"> </w:t>
      </w:r>
    </w:p>
    <w:p w14:paraId="7853DEF9" w14:textId="31680A18" w:rsidR="008E0945" w:rsidRPr="003015FD" w:rsidRDefault="00D90DB7" w:rsidP="0002642E">
      <w:pPr>
        <w:pStyle w:val="Heading3"/>
      </w:pPr>
      <w:bookmarkStart w:id="99" w:name="_Toc15045126"/>
      <w:r w:rsidRPr="003015FD">
        <w:t>3.4.3</w:t>
      </w:r>
      <w:r w:rsidRPr="003015FD">
        <w:tab/>
      </w:r>
      <w:r w:rsidR="008E0945" w:rsidRPr="003015FD">
        <w:t>Public</w:t>
      </w:r>
      <w:r w:rsidR="00975895" w:rsidRPr="003015FD">
        <w:t xml:space="preserve"> </w:t>
      </w:r>
      <w:r w:rsidR="008E0945" w:rsidRPr="003015FD">
        <w:t>submissions</w:t>
      </w:r>
      <w:r w:rsidR="00975895" w:rsidRPr="003015FD">
        <w:t xml:space="preserve"> </w:t>
      </w:r>
      <w:r w:rsidR="008E0945" w:rsidRPr="003015FD">
        <w:t>process</w:t>
      </w:r>
      <w:bookmarkEnd w:id="99"/>
    </w:p>
    <w:p w14:paraId="449DEA85" w14:textId="0101FE96" w:rsidR="008E0945" w:rsidRPr="0002642E" w:rsidRDefault="008E0945" w:rsidP="0002642E">
      <w:r w:rsidRPr="0002642E">
        <w:t>Organisations</w:t>
      </w:r>
      <w:r w:rsidR="00975895" w:rsidRPr="0002642E">
        <w:t xml:space="preserve"> </w:t>
      </w:r>
      <w:r w:rsidRPr="0002642E">
        <w:t>and</w:t>
      </w:r>
      <w:r w:rsidR="00975895" w:rsidRPr="0002642E">
        <w:t xml:space="preserve"> </w:t>
      </w:r>
      <w:r w:rsidRPr="0002642E">
        <w:t>individuals</w:t>
      </w:r>
      <w:r w:rsidR="00975895" w:rsidRPr="0002642E">
        <w:t xml:space="preserve"> </w:t>
      </w:r>
      <w:r w:rsidRPr="0002642E">
        <w:t>may</w:t>
      </w:r>
      <w:r w:rsidR="00975895" w:rsidRPr="0002642E">
        <w:t xml:space="preserve"> </w:t>
      </w:r>
      <w:r w:rsidRPr="0002642E">
        <w:t>provide</w:t>
      </w:r>
      <w:r w:rsidR="00975895" w:rsidRPr="0002642E">
        <w:t xml:space="preserve"> </w:t>
      </w:r>
      <w:r w:rsidRPr="0002642E">
        <w:t>submissions</w:t>
      </w:r>
      <w:r w:rsidR="00975895" w:rsidRPr="0002642E">
        <w:t xml:space="preserve"> </w:t>
      </w:r>
      <w:r w:rsidRPr="0002642E">
        <w:t>to</w:t>
      </w:r>
      <w:r w:rsidR="00975895" w:rsidRPr="0002642E">
        <w:t xml:space="preserve"> </w:t>
      </w:r>
      <w:r w:rsidRPr="0002642E">
        <w:t>SARC</w:t>
      </w:r>
      <w:r w:rsidR="00975895" w:rsidRPr="0002642E">
        <w:t xml:space="preserve"> </w:t>
      </w:r>
      <w:r w:rsidRPr="0002642E">
        <w:t>on</w:t>
      </w:r>
      <w:r w:rsidR="00975895" w:rsidRPr="0002642E">
        <w:t xml:space="preserve"> </w:t>
      </w:r>
      <w:r w:rsidRPr="0002642E">
        <w:t>Bills</w:t>
      </w:r>
      <w:r w:rsidR="00975895" w:rsidRPr="0002642E">
        <w:t xml:space="preserve"> </w:t>
      </w:r>
      <w:r w:rsidRPr="0002642E">
        <w:t>introduced</w:t>
      </w:r>
      <w:r w:rsidR="00975895" w:rsidRPr="0002642E">
        <w:t xml:space="preserve"> </w:t>
      </w:r>
      <w:r w:rsidRPr="0002642E">
        <w:t>into</w:t>
      </w:r>
      <w:r w:rsidR="00975895" w:rsidRPr="0002642E">
        <w:t xml:space="preserve"> </w:t>
      </w:r>
      <w:r w:rsidRPr="0002642E">
        <w:t>Parliament.</w:t>
      </w:r>
      <w:r w:rsidR="00975895" w:rsidRPr="0002642E">
        <w:t xml:space="preserve"> </w:t>
      </w:r>
      <w:r w:rsidRPr="0002642E">
        <w:t>This</w:t>
      </w:r>
      <w:r w:rsidR="00975895" w:rsidRPr="0002642E">
        <w:t xml:space="preserve"> </w:t>
      </w:r>
      <w:r w:rsidRPr="0002642E">
        <w:t>promotes</w:t>
      </w:r>
      <w:r w:rsidR="00975895" w:rsidRPr="0002642E">
        <w:t xml:space="preserve"> </w:t>
      </w:r>
      <w:r w:rsidRPr="0002642E">
        <w:t>public</w:t>
      </w:r>
      <w:r w:rsidR="00975895" w:rsidRPr="0002642E">
        <w:t xml:space="preserve"> </w:t>
      </w:r>
      <w:r w:rsidRPr="0002642E">
        <w:t>accountability</w:t>
      </w:r>
      <w:r w:rsidR="00975895" w:rsidRPr="0002642E">
        <w:t xml:space="preserve"> </w:t>
      </w:r>
      <w:r w:rsidRPr="0002642E">
        <w:t>in</w:t>
      </w:r>
      <w:r w:rsidR="00975895" w:rsidRPr="0002642E">
        <w:t xml:space="preserve"> </w:t>
      </w:r>
      <w:r w:rsidRPr="0002642E">
        <w:t>the</w:t>
      </w:r>
      <w:r w:rsidR="00975895" w:rsidRPr="0002642E">
        <w:t xml:space="preserve"> </w:t>
      </w:r>
      <w:r w:rsidR="00DC5DAF" w:rsidRPr="0002642E">
        <w:t>law-making</w:t>
      </w:r>
      <w:r w:rsidR="00975895" w:rsidRPr="0002642E">
        <w:t xml:space="preserve"> </w:t>
      </w:r>
      <w:r w:rsidRPr="0002642E">
        <w:t>process.</w:t>
      </w:r>
      <w:r w:rsidR="00975895" w:rsidRPr="0002642E">
        <w:t xml:space="preserve"> </w:t>
      </w:r>
      <w:r w:rsidRPr="0002642E">
        <w:t>Generally,</w:t>
      </w:r>
      <w:r w:rsidR="00975895" w:rsidRPr="0002642E">
        <w:t xml:space="preserve"> </w:t>
      </w:r>
      <w:r w:rsidRPr="0002642E">
        <w:t>SARC</w:t>
      </w:r>
      <w:r w:rsidR="00975895" w:rsidRPr="0002642E">
        <w:t xml:space="preserve"> </w:t>
      </w:r>
      <w:r w:rsidRPr="0002642E">
        <w:t>has</w:t>
      </w:r>
      <w:r w:rsidR="00975895" w:rsidRPr="0002642E">
        <w:t xml:space="preserve"> </w:t>
      </w:r>
      <w:r w:rsidRPr="0002642E">
        <w:t>about</w:t>
      </w:r>
      <w:r w:rsidR="00975895" w:rsidRPr="0002642E">
        <w:t xml:space="preserve"> </w:t>
      </w:r>
      <w:r w:rsidRPr="0002642E">
        <w:t>two</w:t>
      </w:r>
      <w:r w:rsidR="00975895" w:rsidRPr="0002642E">
        <w:t xml:space="preserve"> </w:t>
      </w:r>
      <w:r w:rsidRPr="0002642E">
        <w:t>weeks</w:t>
      </w:r>
      <w:r w:rsidR="00975895" w:rsidRPr="0002642E">
        <w:t xml:space="preserve"> </w:t>
      </w:r>
      <w:r w:rsidRPr="0002642E">
        <w:t>after</w:t>
      </w:r>
      <w:r w:rsidR="00975895" w:rsidRPr="0002642E">
        <w:t xml:space="preserve"> </w:t>
      </w:r>
      <w:r w:rsidRPr="0002642E">
        <w:t>a</w:t>
      </w:r>
      <w:r w:rsidR="00975895" w:rsidRPr="0002642E">
        <w:t xml:space="preserve"> </w:t>
      </w:r>
      <w:r w:rsidRPr="0002642E">
        <w:t>Bill</w:t>
      </w:r>
      <w:r w:rsidR="00975895" w:rsidRPr="0002642E">
        <w:t xml:space="preserve"> </w:t>
      </w:r>
      <w:r w:rsidRPr="0002642E">
        <w:t>is</w:t>
      </w:r>
      <w:r w:rsidR="00975895" w:rsidRPr="0002642E">
        <w:t xml:space="preserve"> </w:t>
      </w:r>
      <w:r w:rsidRPr="0002642E">
        <w:t>introduced</w:t>
      </w:r>
      <w:r w:rsidR="00975895" w:rsidRPr="0002642E">
        <w:t xml:space="preserve"> </w:t>
      </w:r>
      <w:r w:rsidRPr="0002642E">
        <w:t>until</w:t>
      </w:r>
      <w:r w:rsidR="00975895" w:rsidRPr="0002642E">
        <w:t xml:space="preserve"> </w:t>
      </w:r>
      <w:r w:rsidRPr="0002642E">
        <w:t>it</w:t>
      </w:r>
      <w:r w:rsidR="00975895" w:rsidRPr="0002642E">
        <w:t xml:space="preserve"> </w:t>
      </w:r>
      <w:r w:rsidRPr="0002642E">
        <w:t>is</w:t>
      </w:r>
      <w:r w:rsidR="00975895" w:rsidRPr="0002642E">
        <w:t xml:space="preserve"> </w:t>
      </w:r>
      <w:r w:rsidRPr="0002642E">
        <w:t>debated,</w:t>
      </w:r>
      <w:r w:rsidR="00975895" w:rsidRPr="0002642E">
        <w:t xml:space="preserve"> </w:t>
      </w:r>
      <w:r w:rsidRPr="0002642E">
        <w:t>to</w:t>
      </w:r>
      <w:r w:rsidR="00975895" w:rsidRPr="0002642E">
        <w:t xml:space="preserve"> </w:t>
      </w:r>
      <w:r w:rsidRPr="0002642E">
        <w:t>table</w:t>
      </w:r>
      <w:r w:rsidR="00975895" w:rsidRPr="0002642E">
        <w:t xml:space="preserve"> </w:t>
      </w:r>
      <w:r w:rsidRPr="0002642E">
        <w:t>a</w:t>
      </w:r>
      <w:r w:rsidR="00975895" w:rsidRPr="0002642E">
        <w:t xml:space="preserve"> </w:t>
      </w:r>
      <w:r w:rsidRPr="0002642E">
        <w:t>Charter</w:t>
      </w:r>
      <w:r w:rsidR="00975895" w:rsidRPr="0002642E">
        <w:t xml:space="preserve"> </w:t>
      </w:r>
      <w:r w:rsidRPr="0002642E">
        <w:t>report.</w:t>
      </w:r>
      <w:r w:rsidR="00975895" w:rsidRPr="0002642E">
        <w:t xml:space="preserve"> </w:t>
      </w:r>
      <w:r w:rsidRPr="0002642E">
        <w:t>However,</w:t>
      </w:r>
      <w:r w:rsidR="00975895" w:rsidRPr="0002642E">
        <w:t xml:space="preserve"> </w:t>
      </w:r>
      <w:r w:rsidRPr="0002642E">
        <w:t>in</w:t>
      </w:r>
      <w:r w:rsidR="00975895" w:rsidRPr="0002642E">
        <w:t xml:space="preserve"> </w:t>
      </w:r>
      <w:r w:rsidRPr="0002642E">
        <w:t>some</w:t>
      </w:r>
      <w:r w:rsidR="00975895" w:rsidRPr="0002642E">
        <w:t xml:space="preserve"> </w:t>
      </w:r>
      <w:r w:rsidRPr="0002642E">
        <w:t>cases,</w:t>
      </w:r>
      <w:r w:rsidR="00975895" w:rsidRPr="0002642E">
        <w:t xml:space="preserve"> </w:t>
      </w:r>
      <w:r w:rsidRPr="0002642E">
        <w:t>SARC</w:t>
      </w:r>
      <w:r w:rsidR="00975895" w:rsidRPr="0002642E">
        <w:t xml:space="preserve"> </w:t>
      </w:r>
      <w:r w:rsidRPr="0002642E">
        <w:t>will</w:t>
      </w:r>
      <w:r w:rsidR="00975895" w:rsidRPr="0002642E">
        <w:t xml:space="preserve"> </w:t>
      </w:r>
      <w:r w:rsidRPr="0002642E">
        <w:t>have</w:t>
      </w:r>
      <w:r w:rsidR="00975895" w:rsidRPr="0002642E">
        <w:t xml:space="preserve"> </w:t>
      </w:r>
      <w:r w:rsidRPr="0002642E">
        <w:t>less</w:t>
      </w:r>
      <w:r w:rsidR="00975895" w:rsidRPr="0002642E">
        <w:t xml:space="preserve"> </w:t>
      </w:r>
      <w:r w:rsidRPr="0002642E">
        <w:t>time</w:t>
      </w:r>
      <w:r w:rsidR="00975895" w:rsidRPr="0002642E">
        <w:t xml:space="preserve"> </w:t>
      </w:r>
      <w:r w:rsidRPr="0002642E">
        <w:t>than</w:t>
      </w:r>
      <w:r w:rsidR="00975895" w:rsidRPr="0002642E">
        <w:t xml:space="preserve"> </w:t>
      </w:r>
      <w:r w:rsidRPr="0002642E">
        <w:t>this,</w:t>
      </w:r>
      <w:r w:rsidR="00975895" w:rsidRPr="0002642E">
        <w:t xml:space="preserve"> </w:t>
      </w:r>
      <w:r w:rsidRPr="0002642E">
        <w:t>or</w:t>
      </w:r>
      <w:r w:rsidR="00975895" w:rsidRPr="0002642E">
        <w:t xml:space="preserve"> </w:t>
      </w:r>
      <w:r w:rsidRPr="0002642E">
        <w:t>will</w:t>
      </w:r>
      <w:r w:rsidR="00975895" w:rsidRPr="0002642E">
        <w:t xml:space="preserve"> </w:t>
      </w:r>
      <w:r w:rsidRPr="0002642E">
        <w:t>be</w:t>
      </w:r>
      <w:r w:rsidR="00975895" w:rsidRPr="0002642E">
        <w:t xml:space="preserve"> </w:t>
      </w:r>
      <w:r w:rsidRPr="0002642E">
        <w:t>unable</w:t>
      </w:r>
      <w:r w:rsidR="00975895" w:rsidRPr="0002642E">
        <w:t xml:space="preserve"> </w:t>
      </w:r>
      <w:r w:rsidRPr="0002642E">
        <w:t>to</w:t>
      </w:r>
      <w:r w:rsidR="00975895" w:rsidRPr="0002642E">
        <w:t xml:space="preserve"> </w:t>
      </w:r>
      <w:r w:rsidRPr="0002642E">
        <w:t>provide</w:t>
      </w:r>
      <w:r w:rsidR="00975895" w:rsidRPr="0002642E">
        <w:t xml:space="preserve"> </w:t>
      </w:r>
      <w:r w:rsidRPr="0002642E">
        <w:t>a</w:t>
      </w:r>
      <w:r w:rsidR="00975895" w:rsidRPr="0002642E">
        <w:t xml:space="preserve"> </w:t>
      </w:r>
      <w:r w:rsidRPr="0002642E">
        <w:t>report</w:t>
      </w:r>
      <w:r w:rsidR="00975895" w:rsidRPr="0002642E">
        <w:t xml:space="preserve"> </w:t>
      </w:r>
      <w:r w:rsidRPr="0002642E">
        <w:t>until</w:t>
      </w:r>
      <w:r w:rsidR="00975895" w:rsidRPr="0002642E">
        <w:t xml:space="preserve"> </w:t>
      </w:r>
      <w:r w:rsidRPr="0002642E">
        <w:t>after</w:t>
      </w:r>
      <w:r w:rsidR="00975895" w:rsidRPr="0002642E">
        <w:t xml:space="preserve"> </w:t>
      </w:r>
      <w:r w:rsidRPr="0002642E">
        <w:t>the</w:t>
      </w:r>
      <w:r w:rsidR="00975895" w:rsidRPr="0002642E">
        <w:t xml:space="preserve"> </w:t>
      </w:r>
      <w:r w:rsidRPr="0002642E">
        <w:t>Bill</w:t>
      </w:r>
      <w:r w:rsidR="00975895" w:rsidRPr="0002642E">
        <w:t xml:space="preserve"> </w:t>
      </w:r>
      <w:r w:rsidRPr="0002642E">
        <w:t>has</w:t>
      </w:r>
      <w:r w:rsidR="00975895" w:rsidRPr="0002642E">
        <w:t xml:space="preserve"> </w:t>
      </w:r>
      <w:r w:rsidRPr="0002642E">
        <w:t>passed,</w:t>
      </w:r>
      <w:r w:rsidR="00975895" w:rsidRPr="0002642E">
        <w:t xml:space="preserve"> </w:t>
      </w:r>
      <w:r w:rsidRPr="0002642E">
        <w:t>as</w:t>
      </w:r>
      <w:r w:rsidR="00975895" w:rsidRPr="0002642E">
        <w:t xml:space="preserve"> </w:t>
      </w:r>
      <w:r w:rsidR="003165F0" w:rsidRPr="0002642E">
        <w:t xml:space="preserve">was the case </w:t>
      </w:r>
      <w:r w:rsidRPr="0002642E">
        <w:t>with</w:t>
      </w:r>
      <w:r w:rsidR="00975895" w:rsidRPr="0002642E">
        <w:t xml:space="preserve"> </w:t>
      </w:r>
      <w:r w:rsidRPr="0002642E">
        <w:t>the</w:t>
      </w:r>
      <w:r w:rsidR="00975895" w:rsidRPr="0002642E">
        <w:t xml:space="preserve"> </w:t>
      </w:r>
      <w:r w:rsidRPr="0002642E">
        <w:t>Corrections</w:t>
      </w:r>
      <w:r w:rsidR="00975895" w:rsidRPr="0002642E">
        <w:t xml:space="preserve"> </w:t>
      </w:r>
      <w:r w:rsidRPr="0002642E">
        <w:t>Amendment</w:t>
      </w:r>
      <w:r w:rsidR="00975895" w:rsidRPr="0002642E">
        <w:t xml:space="preserve"> </w:t>
      </w:r>
      <w:r w:rsidRPr="0002642E">
        <w:t>(Parole)</w:t>
      </w:r>
      <w:r w:rsidR="00975895" w:rsidRPr="0002642E">
        <w:t xml:space="preserve"> </w:t>
      </w:r>
      <w:r w:rsidRPr="0002642E">
        <w:t>Bill</w:t>
      </w:r>
      <w:r w:rsidR="00975895" w:rsidRPr="0002642E">
        <w:t xml:space="preserve"> </w:t>
      </w:r>
      <w:r w:rsidRPr="0002642E">
        <w:t>2018</w:t>
      </w:r>
      <w:r w:rsidR="00975895" w:rsidRPr="0002642E">
        <w:t xml:space="preserve"> </w:t>
      </w:r>
      <w:r w:rsidRPr="0002642E">
        <w:t>(discussed</w:t>
      </w:r>
      <w:r w:rsidR="00975895" w:rsidRPr="0002642E">
        <w:t xml:space="preserve"> </w:t>
      </w:r>
      <w:r w:rsidRPr="0002642E">
        <w:t>above).</w:t>
      </w:r>
      <w:r w:rsidR="00975895" w:rsidRPr="0002642E">
        <w:t xml:space="preserve"> </w:t>
      </w:r>
    </w:p>
    <w:p w14:paraId="793AD817" w14:textId="69E0D25A" w:rsidR="008E0945" w:rsidRPr="003015FD" w:rsidRDefault="008E0945" w:rsidP="0002642E">
      <w:r w:rsidRPr="003015FD">
        <w:t>Even</w:t>
      </w:r>
      <w:r w:rsidR="00975895" w:rsidRPr="003015FD">
        <w:t xml:space="preserve"> </w:t>
      </w:r>
      <w:r w:rsidRPr="003015FD">
        <w:t>where</w:t>
      </w:r>
      <w:r w:rsidR="00975895" w:rsidRPr="003015FD">
        <w:t xml:space="preserve"> </w:t>
      </w:r>
      <w:r w:rsidRPr="003015FD">
        <w:t>Bills</w:t>
      </w:r>
      <w:r w:rsidR="00975895" w:rsidRPr="003015FD">
        <w:t xml:space="preserve"> </w:t>
      </w:r>
      <w:r w:rsidRPr="003015FD">
        <w:t>have</w:t>
      </w:r>
      <w:r w:rsidR="00975895" w:rsidRPr="003015FD">
        <w:t xml:space="preserve"> </w:t>
      </w:r>
      <w:r w:rsidRPr="003015FD">
        <w:t>not</w:t>
      </w:r>
      <w:r w:rsidR="00975895" w:rsidRPr="003015FD">
        <w:t xml:space="preserve"> </w:t>
      </w:r>
      <w:r w:rsidRPr="003015FD">
        <w:t>been</w:t>
      </w:r>
      <w:r w:rsidR="00975895" w:rsidRPr="003015FD">
        <w:t xml:space="preserve"> </w:t>
      </w:r>
      <w:r w:rsidRPr="003015FD">
        <w:t>expedited</w:t>
      </w:r>
      <w:r w:rsidR="00975895" w:rsidRPr="003015FD">
        <w:t xml:space="preserve"> </w:t>
      </w:r>
      <w:r w:rsidRPr="003015FD">
        <w:t>due</w:t>
      </w:r>
      <w:r w:rsidR="00975895" w:rsidRPr="003015FD">
        <w:t xml:space="preserve"> </w:t>
      </w:r>
      <w:r w:rsidRPr="003015FD">
        <w:t>to</w:t>
      </w:r>
      <w:r w:rsidR="00975895" w:rsidRPr="003015FD">
        <w:t xml:space="preserve"> </w:t>
      </w:r>
      <w:r w:rsidRPr="003015FD">
        <w:t>urgency,</w:t>
      </w:r>
      <w:r w:rsidR="00975895" w:rsidRPr="003015FD">
        <w:t xml:space="preserve"> </w:t>
      </w:r>
      <w:r w:rsidRPr="003015FD">
        <w:t>the</w:t>
      </w:r>
      <w:r w:rsidR="00975895" w:rsidRPr="003015FD">
        <w:t xml:space="preserve"> </w:t>
      </w:r>
      <w:r w:rsidRPr="003015FD">
        <w:t>current</w:t>
      </w:r>
      <w:r w:rsidR="00975895" w:rsidRPr="003015FD">
        <w:t xml:space="preserve"> </w:t>
      </w:r>
      <w:r w:rsidRPr="003015FD">
        <w:t>process</w:t>
      </w:r>
      <w:r w:rsidR="00975895" w:rsidRPr="003015FD">
        <w:t xml:space="preserve"> </w:t>
      </w:r>
      <w:r w:rsidRPr="003015FD">
        <w:t>provides</w:t>
      </w:r>
      <w:r w:rsidR="00975895" w:rsidRPr="003015FD">
        <w:t xml:space="preserve"> </w:t>
      </w:r>
      <w:r w:rsidRPr="003015FD">
        <w:t>the</w:t>
      </w:r>
      <w:r w:rsidR="00975895" w:rsidRPr="003015FD">
        <w:t xml:space="preserve"> </w:t>
      </w:r>
      <w:r w:rsidRPr="003015FD">
        <w:t>community</w:t>
      </w:r>
      <w:r w:rsidR="00975895" w:rsidRPr="003015FD">
        <w:t xml:space="preserve"> </w:t>
      </w:r>
      <w:r w:rsidRPr="003015FD">
        <w:t>with</w:t>
      </w:r>
      <w:r w:rsidR="00975895" w:rsidRPr="003015FD">
        <w:t xml:space="preserve"> </w:t>
      </w:r>
      <w:r w:rsidRPr="003015FD">
        <w:t>a</w:t>
      </w:r>
      <w:r w:rsidR="00975895" w:rsidRPr="003015FD">
        <w:t xml:space="preserve"> </w:t>
      </w:r>
      <w:r w:rsidRPr="003015FD">
        <w:t>very</w:t>
      </w:r>
      <w:r w:rsidR="00975895" w:rsidRPr="003015FD">
        <w:t xml:space="preserve"> </w:t>
      </w:r>
      <w:r w:rsidRPr="003015FD">
        <w:t>short</w:t>
      </w:r>
      <w:r w:rsidR="00975895" w:rsidRPr="003015FD">
        <w:t xml:space="preserve"> </w:t>
      </w:r>
      <w:r w:rsidRPr="003015FD">
        <w:t>time</w:t>
      </w:r>
      <w:r w:rsidR="00975895" w:rsidRPr="003015FD">
        <w:t xml:space="preserve"> </w:t>
      </w:r>
      <w:r w:rsidRPr="003015FD">
        <w:t>frame</w:t>
      </w:r>
      <w:r w:rsidR="00975895" w:rsidRPr="003015FD">
        <w:t xml:space="preserve"> </w:t>
      </w:r>
      <w:r w:rsidRPr="003015FD">
        <w:t>to</w:t>
      </w:r>
      <w:r w:rsidR="00975895" w:rsidRPr="003015FD">
        <w:t xml:space="preserve"> </w:t>
      </w:r>
      <w:r w:rsidRPr="003015FD">
        <w:t>make</w:t>
      </w:r>
      <w:r w:rsidR="00975895" w:rsidRPr="003015FD">
        <w:t xml:space="preserve"> </w:t>
      </w:r>
      <w:r w:rsidRPr="003015FD">
        <w:t>a</w:t>
      </w:r>
      <w:r w:rsidR="00975895" w:rsidRPr="003015FD">
        <w:t xml:space="preserve"> </w:t>
      </w:r>
      <w:r w:rsidRPr="003015FD">
        <w:t>submission.</w:t>
      </w:r>
      <w:r w:rsidR="00975895" w:rsidRPr="003015FD">
        <w:t xml:space="preserve"> </w:t>
      </w:r>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included</w:t>
      </w:r>
      <w:r w:rsidR="00975895" w:rsidRPr="003015FD">
        <w:t xml:space="preserve"> </w:t>
      </w:r>
      <w:r w:rsidRPr="003015FD">
        <w:t>a</w:t>
      </w:r>
      <w:r w:rsidR="00975895" w:rsidRPr="003015FD">
        <w:t xml:space="preserve"> </w:t>
      </w:r>
      <w:r w:rsidRPr="003015FD">
        <w:t>recommendation</w:t>
      </w:r>
      <w:r w:rsidR="00975895" w:rsidRPr="003015FD">
        <w:t xml:space="preserve"> </w:t>
      </w:r>
      <w:r w:rsidRPr="003015FD">
        <w:t>that</w:t>
      </w:r>
      <w:r w:rsidR="00975895" w:rsidRPr="003015FD">
        <w:t xml:space="preserve"> </w:t>
      </w:r>
      <w:r w:rsidRPr="003015FD">
        <w:t>the</w:t>
      </w:r>
      <w:r w:rsidR="00975895" w:rsidRPr="003015FD">
        <w:t xml:space="preserve"> </w:t>
      </w:r>
      <w:r w:rsidRPr="003015FD">
        <w:t>government</w:t>
      </w:r>
      <w:r w:rsidR="00975895" w:rsidRPr="003015FD">
        <w:t xml:space="preserve"> </w:t>
      </w:r>
      <w:r w:rsidRPr="003015FD">
        <w:t>consider</w:t>
      </w:r>
      <w:r w:rsidR="00975895" w:rsidRPr="003015FD">
        <w:t xml:space="preserve"> </w:t>
      </w:r>
      <w:r w:rsidRPr="003015FD">
        <w:t>how</w:t>
      </w:r>
      <w:r w:rsidR="00975895" w:rsidRPr="003015FD">
        <w:t xml:space="preserve"> </w:t>
      </w:r>
      <w:r w:rsidRPr="003015FD">
        <w:t>best</w:t>
      </w:r>
      <w:r w:rsidR="00975895" w:rsidRPr="003015FD">
        <w:t xml:space="preserve"> </w:t>
      </w:r>
      <w:r w:rsidRPr="003015FD">
        <w:t>to</w:t>
      </w:r>
      <w:r w:rsidR="00975895" w:rsidRPr="003015FD">
        <w:t xml:space="preserve"> </w:t>
      </w:r>
      <w:r w:rsidRPr="003015FD">
        <w:t>ensure</w:t>
      </w:r>
      <w:r w:rsidR="00975895" w:rsidRPr="003015FD">
        <w:t xml:space="preserve"> </w:t>
      </w:r>
      <w:r w:rsidRPr="003015FD">
        <w:t>that</w:t>
      </w:r>
      <w:r w:rsidR="00975895" w:rsidRPr="003015FD">
        <w:t xml:space="preserve"> </w:t>
      </w:r>
      <w:r w:rsidRPr="003015FD">
        <w:t>SARC</w:t>
      </w:r>
      <w:r w:rsidR="00975895" w:rsidRPr="003015FD">
        <w:t xml:space="preserve"> </w:t>
      </w:r>
      <w:r w:rsidRPr="003015FD">
        <w:t>has</w:t>
      </w:r>
      <w:r w:rsidR="00975895" w:rsidRPr="003015FD">
        <w:t xml:space="preserve"> </w:t>
      </w:r>
      <w:r w:rsidR="005F4134" w:rsidRPr="003015FD">
        <w:t>enough</w:t>
      </w:r>
      <w:r w:rsidR="00975895" w:rsidRPr="003015FD">
        <w:t xml:space="preserve"> </w:t>
      </w:r>
      <w:r w:rsidRPr="003015FD">
        <w:t>time</w:t>
      </w:r>
      <w:r w:rsidR="00975895" w:rsidRPr="003015FD">
        <w:t xml:space="preserve"> </w:t>
      </w:r>
      <w:r w:rsidRPr="003015FD">
        <w:t>to</w:t>
      </w:r>
      <w:r w:rsidR="00975895" w:rsidRPr="003015FD">
        <w:t xml:space="preserve"> </w:t>
      </w:r>
      <w:r w:rsidRPr="003015FD">
        <w:t>scrutinise</w:t>
      </w:r>
      <w:r w:rsidR="00975895" w:rsidRPr="003015FD">
        <w:t xml:space="preserve"> </w:t>
      </w:r>
      <w:r w:rsidRPr="003015FD">
        <w:t>Bills</w:t>
      </w:r>
      <w:r w:rsidR="00975895" w:rsidRPr="003015FD">
        <w:t xml:space="preserve"> </w:t>
      </w:r>
      <w:r w:rsidRPr="003015FD">
        <w:t>that</w:t>
      </w:r>
      <w:r w:rsidR="00975895" w:rsidRPr="003015FD">
        <w:t xml:space="preserve"> </w:t>
      </w:r>
      <w:r w:rsidRPr="003015FD">
        <w:t>raise</w:t>
      </w:r>
      <w:r w:rsidR="00975895" w:rsidRPr="003015FD">
        <w:t xml:space="preserve"> </w:t>
      </w:r>
      <w:r w:rsidRPr="003015FD">
        <w:t>significant</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issues.</w:t>
      </w:r>
      <w:r w:rsidRPr="004862C5">
        <w:rPr>
          <w:rStyle w:val="FootnoteReference"/>
        </w:rPr>
        <w:footnoteReference w:id="68"/>
      </w:r>
      <w:r w:rsidR="00975895" w:rsidRPr="003015FD">
        <w:rPr>
          <w:vertAlign w:val="superscript"/>
        </w:rPr>
        <w:t xml:space="preserve"> </w:t>
      </w:r>
      <w:r w:rsidRPr="003015FD">
        <w:t>The</w:t>
      </w:r>
      <w:r w:rsidR="00975895" w:rsidRPr="003015FD">
        <w:t xml:space="preserve"> </w:t>
      </w:r>
      <w:r w:rsidRPr="003015FD">
        <w:t>Commission</w:t>
      </w:r>
      <w:r w:rsidR="00975895" w:rsidRPr="003015FD">
        <w:t xml:space="preserve"> </w:t>
      </w:r>
      <w:r w:rsidRPr="003015FD">
        <w:t>has</w:t>
      </w:r>
      <w:r w:rsidR="00975895" w:rsidRPr="003015FD">
        <w:t xml:space="preserve"> </w:t>
      </w:r>
      <w:r w:rsidRPr="003015FD">
        <w:t>noted</w:t>
      </w:r>
      <w:r w:rsidR="00975895" w:rsidRPr="003015FD">
        <w:t xml:space="preserve"> </w:t>
      </w:r>
      <w:r w:rsidRPr="003015FD">
        <w:t>the</w:t>
      </w:r>
      <w:r w:rsidR="00975895" w:rsidRPr="003015FD">
        <w:t xml:space="preserve"> </w:t>
      </w:r>
      <w:r w:rsidRPr="003015FD">
        <w:t>status</w:t>
      </w:r>
      <w:r w:rsidR="00975895" w:rsidRPr="003015FD">
        <w:t xml:space="preserve"> </w:t>
      </w:r>
      <w:r w:rsidRPr="003015FD">
        <w:t>of</w:t>
      </w:r>
      <w:r w:rsidR="00975895" w:rsidRPr="003015FD">
        <w:t xml:space="preserve"> </w:t>
      </w:r>
      <w:r w:rsidRPr="003015FD">
        <w:t>the</w:t>
      </w:r>
      <w:r w:rsidR="00975895" w:rsidRPr="003015FD">
        <w:t xml:space="preserve"> </w:t>
      </w:r>
      <w:r w:rsidRPr="003015FD">
        <w:t>implementation</w:t>
      </w:r>
      <w:r w:rsidR="00975895" w:rsidRPr="003015FD">
        <w:t xml:space="preserve"> </w:t>
      </w:r>
      <w:r w:rsidRPr="003015FD">
        <w:t>of</w:t>
      </w:r>
      <w:r w:rsidR="00975895" w:rsidRPr="003015FD">
        <w:t xml:space="preserve"> </w:t>
      </w:r>
      <w:r w:rsidRPr="003015FD">
        <w:t>these</w:t>
      </w:r>
      <w:r w:rsidR="00975895" w:rsidRPr="003015FD">
        <w:t xml:space="preserve"> </w:t>
      </w:r>
      <w:r w:rsidRPr="003015FD">
        <w:t>recommendations</w:t>
      </w:r>
      <w:r w:rsidR="00975895" w:rsidRPr="003015FD">
        <w:t xml:space="preserve"> </w:t>
      </w:r>
      <w:r w:rsidRPr="003015FD">
        <w:t>in</w:t>
      </w:r>
      <w:r w:rsidR="00975895" w:rsidRPr="003015FD">
        <w:t xml:space="preserve"> </w:t>
      </w:r>
      <w:r w:rsidRPr="003015FD">
        <w:t>Chapter</w:t>
      </w:r>
      <w:r w:rsidR="00975895" w:rsidRPr="003015FD">
        <w:t xml:space="preserve"> </w:t>
      </w:r>
      <w:r w:rsidRPr="003015FD">
        <w:t>5</w:t>
      </w:r>
      <w:r w:rsidR="00975895" w:rsidRPr="003015FD">
        <w:t xml:space="preserve"> </w:t>
      </w:r>
      <w:r w:rsidRPr="003015FD">
        <w:t>of</w:t>
      </w:r>
      <w:r w:rsidR="00975895" w:rsidRPr="003015FD">
        <w:t xml:space="preserve"> </w:t>
      </w:r>
      <w:r w:rsidRPr="003015FD">
        <w:t>this</w:t>
      </w:r>
      <w:r w:rsidR="00975895" w:rsidRPr="003015FD">
        <w:t xml:space="preserve"> </w:t>
      </w:r>
      <w:r w:rsidRPr="003015FD">
        <w:t>report.</w:t>
      </w:r>
      <w:r w:rsidR="00975895" w:rsidRPr="003015FD">
        <w:t xml:space="preserve"> </w:t>
      </w:r>
    </w:p>
    <w:p w14:paraId="6180DA26" w14:textId="7F57F7B5" w:rsidR="008E0945" w:rsidRPr="0002642E" w:rsidRDefault="008E0945" w:rsidP="0002642E">
      <w:r w:rsidRPr="003015FD">
        <w:t>Furthermore,</w:t>
      </w:r>
      <w:r w:rsidR="00975895" w:rsidRPr="003015FD">
        <w:t xml:space="preserve"> </w:t>
      </w:r>
      <w:r w:rsidRPr="003015FD">
        <w:t>although</w:t>
      </w:r>
      <w:r w:rsidR="00975895" w:rsidRPr="003015FD">
        <w:t xml:space="preserve"> </w:t>
      </w:r>
      <w:r w:rsidRPr="003015FD">
        <w:t>SARC</w:t>
      </w:r>
      <w:r w:rsidR="00975895" w:rsidRPr="003015FD">
        <w:t xml:space="preserve"> </w:t>
      </w:r>
      <w:r w:rsidRPr="003015FD">
        <w:t>publishes</w:t>
      </w:r>
      <w:r w:rsidR="00975895" w:rsidRPr="003015FD">
        <w:t xml:space="preserve"> </w:t>
      </w:r>
      <w:r w:rsidRPr="003015FD">
        <w:t>submissions</w:t>
      </w:r>
      <w:r w:rsidR="00975895" w:rsidRPr="003015FD">
        <w:t xml:space="preserve"> </w:t>
      </w:r>
      <w:r w:rsidRPr="003015FD">
        <w:t>on</w:t>
      </w:r>
      <w:r w:rsidR="00975895" w:rsidRPr="003015FD">
        <w:t xml:space="preserve"> </w:t>
      </w:r>
      <w:r w:rsidRPr="003015FD">
        <w:t>its</w:t>
      </w:r>
      <w:r w:rsidR="00975895" w:rsidRPr="003015FD">
        <w:t xml:space="preserve"> </w:t>
      </w:r>
      <w:r w:rsidRPr="003015FD">
        <w:t>website,</w:t>
      </w:r>
      <w:r w:rsidR="00975895" w:rsidRPr="003015FD">
        <w:t xml:space="preserve"> </w:t>
      </w:r>
      <w:r w:rsidRPr="003015FD">
        <w:t>the</w:t>
      </w:r>
      <w:r w:rsidR="00975895" w:rsidRPr="003015FD">
        <w:t xml:space="preserve"> </w:t>
      </w:r>
      <w:r w:rsidRPr="003015FD">
        <w:t>substance</w:t>
      </w:r>
      <w:r w:rsidR="00975895" w:rsidRPr="003015FD">
        <w:t xml:space="preserve"> </w:t>
      </w:r>
      <w:r w:rsidRPr="003015FD">
        <w:t>of</w:t>
      </w:r>
      <w:r w:rsidR="00975895" w:rsidRPr="003015FD">
        <w:t xml:space="preserve"> </w:t>
      </w:r>
      <w:r w:rsidRPr="003015FD">
        <w:t>the</w:t>
      </w:r>
      <w:r w:rsidR="00975895" w:rsidRPr="003015FD">
        <w:t xml:space="preserve"> </w:t>
      </w:r>
      <w:r w:rsidRPr="003015FD">
        <w:t>submissions</w:t>
      </w:r>
      <w:r w:rsidR="00975895" w:rsidRPr="003015FD">
        <w:t xml:space="preserve"> </w:t>
      </w:r>
      <w:r w:rsidRPr="003015FD">
        <w:t>is</w:t>
      </w:r>
      <w:r w:rsidR="00975895" w:rsidRPr="003015FD">
        <w:t xml:space="preserve"> </w:t>
      </w:r>
      <w:r w:rsidRPr="003015FD">
        <w:t>not</w:t>
      </w:r>
      <w:r w:rsidR="00975895" w:rsidRPr="003015FD">
        <w:t xml:space="preserve"> </w:t>
      </w:r>
      <w:r w:rsidRPr="003015FD">
        <w:t>always</w:t>
      </w:r>
      <w:r w:rsidR="00975895" w:rsidRPr="003015FD">
        <w:t xml:space="preserve"> </w:t>
      </w:r>
      <w:r w:rsidRPr="003015FD">
        <w:t>reflected</w:t>
      </w:r>
      <w:r w:rsidR="00975895" w:rsidRPr="003015FD">
        <w:t xml:space="preserve"> </w:t>
      </w:r>
      <w:r w:rsidRPr="003015FD">
        <w:t>in</w:t>
      </w:r>
      <w:r w:rsidR="00975895" w:rsidRPr="003015FD">
        <w:t xml:space="preserve"> </w:t>
      </w:r>
      <w:r w:rsidRPr="003015FD">
        <w:t>SARC</w:t>
      </w:r>
      <w:r w:rsidR="000C5726">
        <w:t>'</w:t>
      </w:r>
      <w:r w:rsidRPr="003015FD">
        <w:t>s</w:t>
      </w:r>
      <w:r w:rsidR="00975895" w:rsidRPr="003015FD">
        <w:t xml:space="preserve"> </w:t>
      </w:r>
      <w:r w:rsidRPr="003015FD">
        <w:t>reports.</w:t>
      </w:r>
      <w:r w:rsidR="00975895" w:rsidRPr="003015FD">
        <w:t xml:space="preserve"> </w:t>
      </w:r>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recommended</w:t>
      </w:r>
      <w:r w:rsidR="00975895" w:rsidRPr="003015FD">
        <w:t xml:space="preserve"> </w:t>
      </w:r>
      <w:r w:rsidRPr="003015FD">
        <w:t>that</w:t>
      </w:r>
      <w:r w:rsidR="00975895" w:rsidRPr="003015FD">
        <w:t xml:space="preserve"> </w:t>
      </w:r>
      <w:r w:rsidRPr="003015FD">
        <w:t>SARC</w:t>
      </w:r>
      <w:r w:rsidR="00975895" w:rsidRPr="003015FD">
        <w:t xml:space="preserve"> </w:t>
      </w:r>
      <w:r w:rsidRPr="003015FD">
        <w:t>should</w:t>
      </w:r>
      <w:r w:rsidR="00975895" w:rsidRPr="003015FD">
        <w:t xml:space="preserve"> </w:t>
      </w:r>
      <w:r w:rsidRPr="003015FD">
        <w:t>refer</w:t>
      </w:r>
      <w:r w:rsidR="00975895" w:rsidRPr="003015FD">
        <w:t xml:space="preserve"> </w:t>
      </w:r>
      <w:r w:rsidRPr="003015FD">
        <w:t>to</w:t>
      </w:r>
      <w:r w:rsidR="00975895" w:rsidRPr="003015FD">
        <w:t xml:space="preserve"> </w:t>
      </w:r>
      <w:r w:rsidRPr="003015FD">
        <w:t>the</w:t>
      </w:r>
      <w:r w:rsidR="00975895" w:rsidRPr="003015FD">
        <w:t xml:space="preserve"> </w:t>
      </w:r>
      <w:r w:rsidRPr="003015FD">
        <w:t>content</w:t>
      </w:r>
      <w:r w:rsidR="00975895" w:rsidRPr="003015FD">
        <w:t xml:space="preserve"> </w:t>
      </w:r>
      <w:r w:rsidRPr="003015FD">
        <w:t>of</w:t>
      </w:r>
      <w:r w:rsidR="00975895" w:rsidRPr="003015FD">
        <w:t xml:space="preserve"> </w:t>
      </w:r>
      <w:r w:rsidRPr="003015FD">
        <w:t>submissions</w:t>
      </w:r>
      <w:r w:rsidR="00975895" w:rsidRPr="003015FD">
        <w:t xml:space="preserve"> </w:t>
      </w:r>
      <w:r w:rsidRPr="003015FD">
        <w:t>in</w:t>
      </w:r>
      <w:r w:rsidR="00975895" w:rsidRPr="003015FD">
        <w:t xml:space="preserve"> </w:t>
      </w:r>
      <w:r w:rsidRPr="003015FD">
        <w:t>its</w:t>
      </w:r>
      <w:r w:rsidR="00975895" w:rsidRPr="003015FD">
        <w:t xml:space="preserve"> </w:t>
      </w:r>
      <w:r w:rsidRPr="003015FD">
        <w:t>reports</w:t>
      </w:r>
      <w:r w:rsidR="00975895" w:rsidRPr="003015FD">
        <w:t xml:space="preserve"> </w:t>
      </w:r>
      <w:r w:rsidRPr="003015FD">
        <w:t>in</w:t>
      </w:r>
      <w:r w:rsidR="00975895" w:rsidRPr="003015FD">
        <w:t xml:space="preserve"> </w:t>
      </w:r>
      <w:r w:rsidRPr="003015FD">
        <w:t>order</w:t>
      </w:r>
      <w:r w:rsidR="00975895" w:rsidRPr="003015FD">
        <w:t xml:space="preserve"> </w:t>
      </w:r>
      <w:r w:rsidRPr="003015FD">
        <w:t>to</w:t>
      </w:r>
      <w:r w:rsidR="00975895" w:rsidRPr="003015FD">
        <w:t xml:space="preserve"> </w:t>
      </w:r>
      <w:r w:rsidRPr="003015FD">
        <w:t>improve</w:t>
      </w:r>
      <w:r w:rsidR="00975895" w:rsidRPr="003015FD">
        <w:t xml:space="preserve"> </w:t>
      </w:r>
      <w:r w:rsidRPr="003015FD">
        <w:t>public</w:t>
      </w:r>
      <w:r w:rsidR="00975895" w:rsidRPr="003015FD">
        <w:t xml:space="preserve"> </w:t>
      </w:r>
      <w:r w:rsidRPr="003015FD">
        <w:t>engagement</w:t>
      </w:r>
      <w:r w:rsidR="00975895" w:rsidRPr="003015FD">
        <w:t xml:space="preserve"> </w:t>
      </w:r>
      <w:r w:rsidRPr="003015FD">
        <w:t>in</w:t>
      </w:r>
      <w:r w:rsidR="00975895" w:rsidRPr="003015FD">
        <w:t xml:space="preserve"> </w:t>
      </w:r>
      <w:r w:rsidRPr="003015FD">
        <w:t>the</w:t>
      </w:r>
      <w:r w:rsidR="00975895" w:rsidRPr="003015FD">
        <w:t xml:space="preserve"> </w:t>
      </w:r>
      <w:r w:rsidRPr="003015FD">
        <w:t>scrutiny</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issues.</w:t>
      </w:r>
      <w:r w:rsidRPr="004862C5">
        <w:rPr>
          <w:rStyle w:val="FootnoteReference"/>
        </w:rPr>
        <w:footnoteReference w:id="69"/>
      </w:r>
      <w:r w:rsidR="00975895" w:rsidRPr="003015FD">
        <w:t xml:space="preserve"> </w:t>
      </w:r>
      <w:r w:rsidRPr="003015FD">
        <w:t>In</w:t>
      </w:r>
      <w:r w:rsidR="00975895" w:rsidRPr="003015FD">
        <w:t xml:space="preserve"> </w:t>
      </w:r>
      <w:r w:rsidRPr="003015FD">
        <w:t>addition,</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has</w:t>
      </w:r>
      <w:r w:rsidR="00975895" w:rsidRPr="003015FD">
        <w:t xml:space="preserve"> </w:t>
      </w:r>
      <w:r w:rsidRPr="003015FD">
        <w:t>previously</w:t>
      </w:r>
      <w:r w:rsidR="00975895" w:rsidRPr="003015FD">
        <w:t xml:space="preserve"> </w:t>
      </w:r>
      <w:r w:rsidRPr="003015FD">
        <w:t>proposed</w:t>
      </w:r>
      <w:r w:rsidR="00975895" w:rsidRPr="003015FD">
        <w:t xml:space="preserve"> </w:t>
      </w:r>
      <w:r w:rsidRPr="003015FD">
        <w:t>that,</w:t>
      </w:r>
      <w:r w:rsidR="00975895" w:rsidRPr="003015FD">
        <w:t xml:space="preserve"> </w:t>
      </w:r>
      <w:r w:rsidRPr="003015FD">
        <w:t>where</w:t>
      </w:r>
      <w:r w:rsidR="00975895" w:rsidRPr="003015FD">
        <w:t xml:space="preserve"> </w:t>
      </w:r>
      <w:r w:rsidRPr="003015FD">
        <w:t>possible,</w:t>
      </w:r>
      <w:r w:rsidR="00975895" w:rsidRPr="003015FD">
        <w:t xml:space="preserve"> </w:t>
      </w:r>
      <w:r w:rsidRPr="003015FD">
        <w:t>SARC</w:t>
      </w:r>
      <w:r w:rsidR="00975895" w:rsidRPr="003015FD">
        <w:t xml:space="preserve"> </w:t>
      </w:r>
      <w:r w:rsidRPr="003015FD">
        <w:t>should</w:t>
      </w:r>
      <w:r w:rsidR="00975895" w:rsidRPr="003015FD">
        <w:t xml:space="preserve"> </w:t>
      </w:r>
      <w:r w:rsidRPr="003015FD">
        <w:t>also</w:t>
      </w:r>
      <w:r w:rsidR="00975895" w:rsidRPr="003015FD">
        <w:t xml:space="preserve"> </w:t>
      </w:r>
      <w:r w:rsidRPr="003015FD">
        <w:t>consider</w:t>
      </w:r>
      <w:r w:rsidR="00975895" w:rsidRPr="003015FD">
        <w:t xml:space="preserve"> </w:t>
      </w:r>
      <w:r w:rsidRPr="003015FD">
        <w:t>holding</w:t>
      </w:r>
      <w:r w:rsidR="00975895" w:rsidRPr="003015FD">
        <w:t xml:space="preserve"> </w:t>
      </w:r>
      <w:r w:rsidRPr="003015FD">
        <w:t>public</w:t>
      </w:r>
      <w:r w:rsidR="00975895" w:rsidRPr="003015FD">
        <w:t xml:space="preserve"> </w:t>
      </w:r>
      <w:r w:rsidRPr="003015FD">
        <w:t>or</w:t>
      </w:r>
      <w:r w:rsidR="00975895" w:rsidRPr="003015FD">
        <w:t xml:space="preserve"> </w:t>
      </w:r>
      <w:r w:rsidRPr="003015FD">
        <w:t>private</w:t>
      </w:r>
      <w:r w:rsidR="00975895" w:rsidRPr="003015FD">
        <w:t xml:space="preserve"> </w:t>
      </w:r>
      <w:r w:rsidRPr="003015FD">
        <w:t>hearings</w:t>
      </w:r>
      <w:r w:rsidR="00975895" w:rsidRPr="003015FD">
        <w:t xml:space="preserve"> </w:t>
      </w:r>
      <w:r w:rsidRPr="003015FD">
        <w:t>on</w:t>
      </w:r>
      <w:r w:rsidR="00975895" w:rsidRPr="003015FD">
        <w:t xml:space="preserve"> </w:t>
      </w:r>
      <w:r w:rsidRPr="003015FD">
        <w:t>Bills</w:t>
      </w:r>
      <w:r w:rsidR="00975895" w:rsidRPr="003015FD">
        <w:t xml:space="preserve"> </w:t>
      </w:r>
      <w:r w:rsidRPr="003015FD">
        <w:t>with</w:t>
      </w:r>
      <w:r w:rsidR="00975895" w:rsidRPr="003015FD">
        <w:t xml:space="preserve"> </w:t>
      </w:r>
      <w:r w:rsidRPr="003015FD">
        <w:t>substantial</w:t>
      </w:r>
      <w:r w:rsidR="00975895" w:rsidRPr="003015FD">
        <w:t xml:space="preserve"> </w:t>
      </w:r>
      <w:r w:rsidRPr="003015FD">
        <w:t>human</w:t>
      </w:r>
      <w:r w:rsidR="00975895" w:rsidRPr="003015FD">
        <w:t xml:space="preserve"> </w:t>
      </w:r>
      <w:r w:rsidRPr="003015FD">
        <w:t>rights</w:t>
      </w:r>
      <w:r w:rsidR="00975895" w:rsidRPr="003015FD">
        <w:t xml:space="preserve"> </w:t>
      </w:r>
      <w:r w:rsidRPr="003015FD">
        <w:t>implications</w:t>
      </w:r>
      <w:r w:rsidR="00975895" w:rsidRPr="003015FD">
        <w:t xml:space="preserve"> </w:t>
      </w:r>
      <w:r w:rsidRPr="003015FD">
        <w:t>in</w:t>
      </w:r>
      <w:r w:rsidR="00975895" w:rsidRPr="003015FD">
        <w:t xml:space="preserve"> </w:t>
      </w:r>
      <w:r w:rsidRPr="003015FD">
        <w:t>order</w:t>
      </w:r>
      <w:r w:rsidR="00975895" w:rsidRPr="003015FD">
        <w:t xml:space="preserve"> </w:t>
      </w:r>
      <w:r w:rsidRPr="003015FD">
        <w:t>to</w:t>
      </w:r>
      <w:r w:rsidR="00975895" w:rsidRPr="003015FD">
        <w:t xml:space="preserve"> </w:t>
      </w:r>
      <w:r w:rsidRPr="003015FD">
        <w:t>provide</w:t>
      </w:r>
      <w:r w:rsidR="00975895" w:rsidRPr="003015FD">
        <w:t xml:space="preserve"> </w:t>
      </w:r>
      <w:r w:rsidRPr="003015FD">
        <w:t>community</w:t>
      </w:r>
      <w:r w:rsidR="00975895" w:rsidRPr="003015FD">
        <w:t xml:space="preserve"> </w:t>
      </w:r>
      <w:r w:rsidRPr="003015FD">
        <w:t>groups</w:t>
      </w:r>
      <w:r w:rsidR="00975895" w:rsidRPr="003015FD">
        <w:t xml:space="preserve"> </w:t>
      </w:r>
      <w:r w:rsidRPr="003015FD">
        <w:t>and</w:t>
      </w:r>
      <w:r w:rsidR="00975895" w:rsidRPr="003015FD">
        <w:t xml:space="preserve"> </w:t>
      </w:r>
      <w:r w:rsidRPr="003015FD">
        <w:t>experts</w:t>
      </w:r>
      <w:r w:rsidR="00975895" w:rsidRPr="003015FD">
        <w:t xml:space="preserve"> </w:t>
      </w:r>
      <w:r w:rsidRPr="003015FD">
        <w:t>an</w:t>
      </w:r>
      <w:r w:rsidR="00975895" w:rsidRPr="003015FD">
        <w:t xml:space="preserve"> </w:t>
      </w:r>
      <w:r w:rsidRPr="003015FD">
        <w:t>opportunity</w:t>
      </w:r>
      <w:r w:rsidR="00975895" w:rsidRPr="003015FD">
        <w:t xml:space="preserve"> </w:t>
      </w:r>
      <w:r w:rsidRPr="003015FD">
        <w:t>to</w:t>
      </w:r>
      <w:r w:rsidR="00975895" w:rsidRPr="003015FD">
        <w:t xml:space="preserve"> </w:t>
      </w:r>
      <w:r w:rsidRPr="003015FD">
        <w:t>put</w:t>
      </w:r>
      <w:r w:rsidR="00975895" w:rsidRPr="003015FD">
        <w:t xml:space="preserve"> </w:t>
      </w:r>
      <w:r w:rsidRPr="003015FD">
        <w:t>evidence</w:t>
      </w:r>
      <w:r w:rsidR="00975895" w:rsidRPr="003015FD">
        <w:t xml:space="preserve"> </w:t>
      </w:r>
      <w:r w:rsidRPr="003015FD">
        <w:t>on</w:t>
      </w:r>
      <w:r w:rsidR="00975895" w:rsidRPr="003015FD">
        <w:t xml:space="preserve"> </w:t>
      </w:r>
      <w:r w:rsidRPr="003015FD">
        <w:t>the</w:t>
      </w:r>
      <w:r w:rsidR="00975895" w:rsidRPr="003015FD">
        <w:t xml:space="preserve"> </w:t>
      </w:r>
      <w:r w:rsidRPr="003015FD">
        <w:t>record</w:t>
      </w:r>
      <w:r w:rsidR="00975895" w:rsidRPr="003015FD">
        <w:t xml:space="preserve"> </w:t>
      </w:r>
      <w:r w:rsidRPr="003015FD">
        <w:t>in</w:t>
      </w:r>
      <w:r w:rsidR="00975895" w:rsidRPr="003015FD">
        <w:t xml:space="preserve"> </w:t>
      </w:r>
      <w:r w:rsidRPr="003015FD">
        <w:t>a</w:t>
      </w:r>
      <w:r w:rsidR="00975895" w:rsidRPr="003015FD">
        <w:t xml:space="preserve"> </w:t>
      </w:r>
      <w:r w:rsidRPr="003015FD">
        <w:t>public</w:t>
      </w:r>
      <w:r w:rsidR="00975895" w:rsidRPr="003015FD">
        <w:t xml:space="preserve"> </w:t>
      </w:r>
      <w:r w:rsidRPr="003015FD">
        <w:t>forum.</w:t>
      </w:r>
      <w:r w:rsidRPr="004862C5">
        <w:rPr>
          <w:rStyle w:val="FootnoteReference"/>
        </w:rPr>
        <w:footnoteReference w:id="70"/>
      </w:r>
      <w:r w:rsidR="00975895" w:rsidRPr="003015FD">
        <w:rPr>
          <w:vertAlign w:val="superscript"/>
        </w:rPr>
        <w:t xml:space="preserve"> </w:t>
      </w:r>
    </w:p>
    <w:p w14:paraId="4EE83D36" w14:textId="77777777" w:rsidR="005F4134" w:rsidRDefault="008E0945" w:rsidP="0002642E">
      <w:r w:rsidRPr="003015FD">
        <w:t>In</w:t>
      </w:r>
      <w:r w:rsidR="00975895" w:rsidRPr="003015FD">
        <w:t xml:space="preserve"> </w:t>
      </w:r>
      <w:r w:rsidRPr="003015FD">
        <w:t>2018,</w:t>
      </w:r>
      <w:r w:rsidR="00975895" w:rsidRPr="003015FD">
        <w:t xml:space="preserve"> </w:t>
      </w:r>
      <w:r w:rsidRPr="003015FD">
        <w:t>seven</w:t>
      </w:r>
      <w:r w:rsidR="00975895" w:rsidRPr="003015FD">
        <w:t xml:space="preserve"> </w:t>
      </w:r>
      <w:r w:rsidRPr="003015FD">
        <w:t>submissions</w:t>
      </w:r>
      <w:r w:rsidR="00975895" w:rsidRPr="003015FD">
        <w:t xml:space="preserve"> </w:t>
      </w:r>
      <w:r w:rsidRPr="003015FD">
        <w:t>were</w:t>
      </w:r>
      <w:r w:rsidR="00975895" w:rsidRPr="003015FD">
        <w:t xml:space="preserve"> </w:t>
      </w:r>
      <w:r w:rsidRPr="003015FD">
        <w:t>made</w:t>
      </w:r>
      <w:r w:rsidR="00975895" w:rsidRPr="003015FD">
        <w:t xml:space="preserve"> </w:t>
      </w:r>
      <w:r w:rsidRPr="003015FD">
        <w:t>to</w:t>
      </w:r>
      <w:r w:rsidR="00975895" w:rsidRPr="003015FD">
        <w:t xml:space="preserve"> </w:t>
      </w:r>
      <w:r w:rsidRPr="003015FD">
        <w:t>SARC</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four</w:t>
      </w:r>
      <w:r w:rsidR="00975895" w:rsidRPr="003015FD">
        <w:t xml:space="preserve"> </w:t>
      </w:r>
      <w:r w:rsidRPr="003015FD">
        <w:t>Bills:</w:t>
      </w:r>
      <w:r w:rsidR="00975895" w:rsidRPr="003015FD">
        <w:t xml:space="preserve"> </w:t>
      </w:r>
    </w:p>
    <w:p w14:paraId="369B4531" w14:textId="6CC6D569" w:rsidR="005F4134" w:rsidRDefault="008E0945" w:rsidP="00632213">
      <w:pPr>
        <w:pStyle w:val="ListBullet"/>
      </w:pPr>
      <w:r w:rsidRPr="003015FD">
        <w:t>the</w:t>
      </w:r>
      <w:r w:rsidR="00975895" w:rsidRPr="003015FD">
        <w:t xml:space="preserve"> </w:t>
      </w:r>
      <w:r w:rsidRPr="003015FD">
        <w:t>Justice</w:t>
      </w:r>
      <w:r w:rsidR="00975895" w:rsidRPr="003015FD">
        <w:t xml:space="preserve"> </w:t>
      </w:r>
      <w:r w:rsidRPr="003015FD">
        <w:t>Legislation</w:t>
      </w:r>
      <w:r w:rsidR="00975895" w:rsidRPr="003015FD">
        <w:t xml:space="preserve"> </w:t>
      </w:r>
      <w:r w:rsidRPr="003015FD">
        <w:t>Amendment</w:t>
      </w:r>
      <w:r w:rsidR="00975895" w:rsidRPr="003015FD">
        <w:t xml:space="preserve"> </w:t>
      </w:r>
      <w:r w:rsidRPr="003015FD">
        <w:t>(Unlawful</w:t>
      </w:r>
      <w:r w:rsidR="00975895" w:rsidRPr="003015FD">
        <w:t xml:space="preserve"> </w:t>
      </w:r>
      <w:r w:rsidRPr="003015FD">
        <w:t>Association</w:t>
      </w:r>
      <w:r w:rsidR="00975895" w:rsidRPr="003015FD">
        <w:t xml:space="preserve"> </w:t>
      </w:r>
      <w:r w:rsidRPr="003015FD">
        <w:t>and</w:t>
      </w:r>
      <w:r w:rsidR="00975895" w:rsidRPr="003015FD">
        <w:t xml:space="preserve"> </w:t>
      </w:r>
      <w:r w:rsidRPr="003015FD">
        <w:t>Criminal</w:t>
      </w:r>
      <w:r w:rsidR="00975895" w:rsidRPr="003015FD">
        <w:t xml:space="preserve"> </w:t>
      </w:r>
      <w:r w:rsidRPr="003015FD">
        <w:t>Appeal)</w:t>
      </w:r>
      <w:r w:rsidR="00975895" w:rsidRPr="003015FD">
        <w:t xml:space="preserve"> </w:t>
      </w:r>
      <w:r w:rsidRPr="003015FD">
        <w:t>Bill</w:t>
      </w:r>
      <w:r w:rsidR="00975895" w:rsidRPr="003015FD">
        <w:t xml:space="preserve"> </w:t>
      </w:r>
      <w:r w:rsidRPr="003015FD">
        <w:t>2018</w:t>
      </w:r>
      <w:r w:rsidRPr="001D1E54">
        <w:rPr>
          <w:rStyle w:val="FootnoteReference"/>
          <w:rFonts w:eastAsiaTheme="minorHAnsi" w:cstheme="minorBidi"/>
          <w:szCs w:val="20"/>
          <w:lang w:eastAsia="en-US"/>
        </w:rPr>
        <w:footnoteReference w:id="71"/>
      </w:r>
    </w:p>
    <w:p w14:paraId="7E88D7DA" w14:textId="53109C46" w:rsidR="005F4134" w:rsidRDefault="008E0945" w:rsidP="00632213">
      <w:pPr>
        <w:pStyle w:val="ListBullet"/>
      </w:pPr>
      <w:r w:rsidRPr="003015FD">
        <w:lastRenderedPageBreak/>
        <w:t>the</w:t>
      </w:r>
      <w:r w:rsidR="00975895" w:rsidRPr="003015FD">
        <w:t xml:space="preserve"> </w:t>
      </w:r>
      <w:r w:rsidRPr="003015FD">
        <w:t>Justice</w:t>
      </w:r>
      <w:r w:rsidR="00975895" w:rsidRPr="003015FD">
        <w:t xml:space="preserve"> </w:t>
      </w:r>
      <w:r w:rsidRPr="003015FD">
        <w:t>Legislation</w:t>
      </w:r>
      <w:r w:rsidR="00975895" w:rsidRPr="003015FD">
        <w:t xml:space="preserve"> </w:t>
      </w:r>
      <w:r w:rsidRPr="003015FD">
        <w:t>Miscellaneous</w:t>
      </w:r>
      <w:r w:rsidR="00975895" w:rsidRPr="003015FD">
        <w:t xml:space="preserve"> </w:t>
      </w:r>
      <w:r w:rsidRPr="003015FD">
        <w:t>Amendment</w:t>
      </w:r>
      <w:r w:rsidR="00975895" w:rsidRPr="003015FD">
        <w:t xml:space="preserve"> </w:t>
      </w:r>
      <w:r w:rsidRPr="003015FD">
        <w:t>Bill</w:t>
      </w:r>
      <w:r w:rsidR="00975895" w:rsidRPr="003015FD">
        <w:t xml:space="preserve"> </w:t>
      </w:r>
      <w:r w:rsidRPr="003015FD">
        <w:t>2018</w:t>
      </w:r>
      <w:r w:rsidRPr="001D1E54">
        <w:rPr>
          <w:rStyle w:val="FootnoteReference"/>
          <w:rFonts w:eastAsiaTheme="minorHAnsi" w:cstheme="minorBidi"/>
          <w:szCs w:val="20"/>
          <w:lang w:eastAsia="en-US"/>
        </w:rPr>
        <w:footnoteReference w:id="72"/>
      </w:r>
      <w:r w:rsidR="00975895" w:rsidRPr="001D1E54">
        <w:rPr>
          <w:rStyle w:val="FootnoteReference"/>
          <w:rFonts w:eastAsiaTheme="minorHAnsi" w:cstheme="minorBidi"/>
          <w:szCs w:val="20"/>
          <w:lang w:eastAsia="en-US"/>
        </w:rPr>
        <w:t xml:space="preserve"> </w:t>
      </w:r>
    </w:p>
    <w:p w14:paraId="61ADF8DF" w14:textId="48FA1C81" w:rsidR="005F4134" w:rsidRDefault="008E0945" w:rsidP="00632213">
      <w:pPr>
        <w:pStyle w:val="ListBullet"/>
      </w:pPr>
      <w:r w:rsidRPr="003015FD">
        <w:t>the</w:t>
      </w:r>
      <w:r w:rsidR="00975895" w:rsidRPr="003015FD">
        <w:t xml:space="preserve"> </w:t>
      </w:r>
      <w:r w:rsidRPr="003015FD">
        <w:t>Justice</w:t>
      </w:r>
      <w:r w:rsidR="00975895" w:rsidRPr="003015FD">
        <w:t xml:space="preserve"> </w:t>
      </w:r>
      <w:r w:rsidRPr="003015FD">
        <w:t>Legislation</w:t>
      </w:r>
      <w:r w:rsidR="00975895" w:rsidRPr="003015FD">
        <w:t xml:space="preserve"> </w:t>
      </w:r>
      <w:r w:rsidRPr="003015FD">
        <w:t>Amendment</w:t>
      </w:r>
      <w:r w:rsidR="00975895" w:rsidRPr="003015FD">
        <w:t xml:space="preserve"> </w:t>
      </w:r>
      <w:r w:rsidRPr="003015FD">
        <w:t>(Terrorism)</w:t>
      </w:r>
      <w:r w:rsidR="00975895" w:rsidRPr="003015FD">
        <w:t xml:space="preserve"> </w:t>
      </w:r>
      <w:r w:rsidRPr="003015FD">
        <w:t>Bill</w:t>
      </w:r>
      <w:r w:rsidR="00975895" w:rsidRPr="003015FD">
        <w:t xml:space="preserve"> </w:t>
      </w:r>
      <w:r w:rsidRPr="003015FD">
        <w:t>2018</w:t>
      </w:r>
      <w:r w:rsidRPr="001D1E54">
        <w:rPr>
          <w:rStyle w:val="FootnoteReference"/>
          <w:rFonts w:eastAsiaTheme="minorHAnsi" w:cstheme="minorBidi"/>
          <w:szCs w:val="20"/>
          <w:lang w:eastAsia="en-US"/>
        </w:rPr>
        <w:footnoteReference w:id="73"/>
      </w:r>
      <w:r w:rsidR="00975895" w:rsidRPr="001D1E54">
        <w:rPr>
          <w:rStyle w:val="FootnoteReference"/>
          <w:rFonts w:eastAsiaTheme="minorHAnsi" w:cstheme="minorBidi"/>
          <w:szCs w:val="20"/>
          <w:lang w:eastAsia="en-US"/>
        </w:rPr>
        <w:t xml:space="preserve"> </w:t>
      </w:r>
    </w:p>
    <w:p w14:paraId="550AA8AE" w14:textId="01DEAF64" w:rsidR="001D1E54" w:rsidRDefault="008E0945" w:rsidP="001D1E54">
      <w:pPr>
        <w:pStyle w:val="ListBullet"/>
      </w:pPr>
      <w:r w:rsidRPr="003015FD">
        <w:t>the</w:t>
      </w:r>
      <w:r w:rsidR="00975895" w:rsidRPr="003015FD">
        <w:t xml:space="preserve"> </w:t>
      </w:r>
      <w:r w:rsidRPr="003015FD">
        <w:t>Engineers</w:t>
      </w:r>
      <w:r w:rsidR="00975895" w:rsidRPr="003015FD">
        <w:t xml:space="preserve"> </w:t>
      </w:r>
      <w:r w:rsidRPr="003015FD">
        <w:t>Registration</w:t>
      </w:r>
      <w:r w:rsidR="00975895" w:rsidRPr="003015FD">
        <w:t xml:space="preserve"> </w:t>
      </w:r>
      <w:r w:rsidRPr="003015FD">
        <w:t>Bill</w:t>
      </w:r>
      <w:r w:rsidR="00975895" w:rsidRPr="003015FD">
        <w:t xml:space="preserve"> </w:t>
      </w:r>
      <w:r w:rsidRPr="003015FD">
        <w:t>2018.</w:t>
      </w:r>
      <w:r w:rsidRPr="001D1E54">
        <w:rPr>
          <w:rStyle w:val="FootnoteReference"/>
          <w:rFonts w:eastAsiaTheme="minorHAnsi" w:cstheme="minorBidi"/>
          <w:szCs w:val="20"/>
          <w:lang w:eastAsia="en-US"/>
        </w:rPr>
        <w:footnoteReference w:id="74"/>
      </w:r>
      <w:r w:rsidR="00975895" w:rsidRPr="001D1E54">
        <w:rPr>
          <w:rStyle w:val="FootnoteReference"/>
          <w:rFonts w:eastAsiaTheme="minorHAnsi" w:cstheme="minorBidi"/>
          <w:szCs w:val="20"/>
          <w:lang w:eastAsia="en-US"/>
        </w:rPr>
        <w:t xml:space="preserve"> </w:t>
      </w:r>
    </w:p>
    <w:tbl>
      <w:tblPr>
        <w:tblStyle w:val="CustomTablebreakoutbox"/>
        <w:tblW w:w="0" w:type="auto"/>
        <w:tblLook w:val="04A0" w:firstRow="1" w:lastRow="0" w:firstColumn="1" w:lastColumn="0" w:noHBand="0" w:noVBand="1"/>
      </w:tblPr>
      <w:tblGrid>
        <w:gridCol w:w="9061"/>
      </w:tblGrid>
      <w:tr w:rsidR="001D1E54" w14:paraId="6B85587F" w14:textId="77777777" w:rsidTr="00135C97">
        <w:tc>
          <w:tcPr>
            <w:tcW w:w="9061" w:type="dxa"/>
          </w:tcPr>
          <w:p w14:paraId="14F5F8F3" w14:textId="1DA6C2C6" w:rsidR="001D1E54" w:rsidRPr="003E33DC" w:rsidRDefault="001D1E54" w:rsidP="00135C97">
            <w:pPr>
              <w:pStyle w:val="BodyText"/>
              <w:rPr>
                <w:rStyle w:val="Characterbold"/>
              </w:rPr>
            </w:pPr>
            <w:r>
              <w:rPr>
                <w:rStyle w:val="Characterbold"/>
              </w:rPr>
              <w:t>Case study: Justice Legislation Amendment (Terrorism) Bill 2018</w:t>
            </w:r>
          </w:p>
          <w:p w14:paraId="711DA5EA" w14:textId="20C8097C" w:rsidR="001D1E54" w:rsidRPr="003015FD" w:rsidRDefault="001D1E54" w:rsidP="001D1E54">
            <w:r w:rsidRPr="003015FD">
              <w:t>The Justice Legislation Amendment (Terrorism) Bill 2018 strengthened Victoria</w:t>
            </w:r>
            <w:r>
              <w:t>'</w:t>
            </w:r>
            <w:r w:rsidRPr="003015FD">
              <w:t xml:space="preserve">s counter-terrorism framework and provided for new detention and inquisitorial powers for police to prevent terrorist acts and violent extremism. Both the Commission and the Commissioner for Children and Young People raised concerns around the preventative detention scheme applying to children as young as 14 and the lack of safeguards to protect the human rights of vulnerable </w:t>
            </w:r>
            <w:r>
              <w:t>people</w:t>
            </w:r>
            <w:r w:rsidRPr="003015FD">
              <w:t>.</w:t>
            </w:r>
            <w:r w:rsidRPr="004862C5">
              <w:rPr>
                <w:rStyle w:val="FootnoteReference"/>
              </w:rPr>
              <w:footnoteReference w:id="75"/>
            </w:r>
          </w:p>
          <w:p w14:paraId="27A47766" w14:textId="700E0BBF" w:rsidR="001D1E54" w:rsidRDefault="001D1E54" w:rsidP="001D1E54">
            <w:pPr>
              <w:pStyle w:val="BodyText"/>
            </w:pPr>
            <w:r w:rsidRPr="003015FD">
              <w:t>The parliamentary debate expressly referred to the submission from the Commissioner for Children and Young people in relation to the Bill allowing children to be detained even in situations where they were peripheral to or even unaware of a terrorist attack.</w:t>
            </w:r>
            <w:r w:rsidRPr="004862C5">
              <w:rPr>
                <w:rStyle w:val="FootnoteReference"/>
              </w:rPr>
              <w:footnoteReference w:id="76"/>
            </w:r>
            <w:r w:rsidRPr="003015FD">
              <w:t xml:space="preserve"> This issue, among others, was examined at committee stage in the Legislative Council. The Bill was ultimately passed without amendment</w:t>
            </w:r>
            <w:r>
              <w:t>.</w:t>
            </w:r>
          </w:p>
        </w:tc>
      </w:tr>
    </w:tbl>
    <w:p w14:paraId="1AACE2E2" w14:textId="56FB49C5" w:rsidR="008E0945" w:rsidRPr="0002642E" w:rsidRDefault="008E0945" w:rsidP="0002642E">
      <w:pPr>
        <w:pStyle w:val="TableHeading1"/>
      </w:pPr>
      <w:r w:rsidRPr="0002642E">
        <w:t>Table</w:t>
      </w:r>
      <w:r w:rsidR="00975895" w:rsidRPr="0002642E">
        <w:t xml:space="preserve"> </w:t>
      </w:r>
      <w:r w:rsidR="003B428A">
        <w:rPr>
          <w:rStyle w:val="HRVBold"/>
        </w:rPr>
        <w:t>7</w:t>
      </w:r>
      <w:r w:rsidRPr="0002642E">
        <w:t>:</w:t>
      </w:r>
      <w:r w:rsidR="00975895" w:rsidRPr="0002642E">
        <w:t xml:space="preserve"> </w:t>
      </w:r>
      <w:r w:rsidRPr="0002642E">
        <w:t>Number</w:t>
      </w:r>
      <w:r w:rsidR="00975895" w:rsidRPr="0002642E">
        <w:t xml:space="preserve"> </w:t>
      </w:r>
      <w:r w:rsidRPr="0002642E">
        <w:t>of</w:t>
      </w:r>
      <w:r w:rsidR="00975895" w:rsidRPr="0002642E">
        <w:t xml:space="preserve"> </w:t>
      </w:r>
      <w:r w:rsidRPr="0002642E">
        <w:t>public</w:t>
      </w:r>
      <w:r w:rsidR="00975895" w:rsidRPr="0002642E">
        <w:t xml:space="preserve"> </w:t>
      </w:r>
      <w:r w:rsidRPr="0002642E">
        <w:t>submissions</w:t>
      </w:r>
      <w:r w:rsidR="00975895" w:rsidRPr="0002642E">
        <w:t xml:space="preserve"> </w:t>
      </w:r>
      <w:r w:rsidRPr="0002642E">
        <w:t>to</w:t>
      </w:r>
      <w:r w:rsidR="00975895" w:rsidRPr="0002642E">
        <w:t xml:space="preserve"> </w:t>
      </w:r>
      <w:r w:rsidRPr="0002642E">
        <w:t>SARC</w:t>
      </w:r>
    </w:p>
    <w:tbl>
      <w:tblPr>
        <w:tblStyle w:val="CustomTableblue"/>
        <w:tblW w:w="0" w:type="auto"/>
        <w:tblLook w:val="0420" w:firstRow="1" w:lastRow="0" w:firstColumn="0" w:lastColumn="0" w:noHBand="0" w:noVBand="1"/>
      </w:tblPr>
      <w:tblGrid>
        <w:gridCol w:w="2689"/>
        <w:gridCol w:w="992"/>
        <w:gridCol w:w="992"/>
        <w:gridCol w:w="992"/>
        <w:gridCol w:w="851"/>
        <w:gridCol w:w="850"/>
        <w:gridCol w:w="851"/>
        <w:gridCol w:w="844"/>
      </w:tblGrid>
      <w:tr w:rsidR="006B0171" w:rsidRPr="003015FD" w14:paraId="7985ED08" w14:textId="77777777" w:rsidTr="00C26A05">
        <w:trPr>
          <w:cnfStyle w:val="100000000000" w:firstRow="1" w:lastRow="0" w:firstColumn="0" w:lastColumn="0" w:oddVBand="0" w:evenVBand="0" w:oddHBand="0" w:evenHBand="0" w:firstRowFirstColumn="0" w:firstRowLastColumn="0" w:lastRowFirstColumn="0" w:lastRowLastColumn="0"/>
        </w:trPr>
        <w:tc>
          <w:tcPr>
            <w:tcW w:w="2689" w:type="dxa"/>
          </w:tcPr>
          <w:p w14:paraId="7588BE75" w14:textId="77777777" w:rsidR="008E0945" w:rsidRPr="003015FD" w:rsidRDefault="008E0945" w:rsidP="0002642E">
            <w:pPr>
              <w:pStyle w:val="TableBodyText"/>
            </w:pPr>
            <w:r w:rsidRPr="003015FD">
              <w:t>Year</w:t>
            </w:r>
          </w:p>
        </w:tc>
        <w:tc>
          <w:tcPr>
            <w:tcW w:w="992" w:type="dxa"/>
          </w:tcPr>
          <w:p w14:paraId="19FF7DDA" w14:textId="77777777" w:rsidR="008E0945" w:rsidRPr="003015FD" w:rsidRDefault="008E0945" w:rsidP="0002642E">
            <w:pPr>
              <w:pStyle w:val="TableBodyText"/>
            </w:pPr>
            <w:r w:rsidRPr="003015FD">
              <w:t>2018</w:t>
            </w:r>
          </w:p>
        </w:tc>
        <w:tc>
          <w:tcPr>
            <w:tcW w:w="992" w:type="dxa"/>
          </w:tcPr>
          <w:p w14:paraId="798BC4AC" w14:textId="77777777" w:rsidR="008E0945" w:rsidRPr="003015FD" w:rsidRDefault="008E0945" w:rsidP="0002642E">
            <w:pPr>
              <w:pStyle w:val="TableBodyText"/>
            </w:pPr>
            <w:r w:rsidRPr="003015FD">
              <w:t>2017</w:t>
            </w:r>
          </w:p>
        </w:tc>
        <w:tc>
          <w:tcPr>
            <w:tcW w:w="992" w:type="dxa"/>
          </w:tcPr>
          <w:p w14:paraId="0204E855" w14:textId="77777777" w:rsidR="008E0945" w:rsidRPr="003015FD" w:rsidRDefault="008E0945" w:rsidP="0002642E">
            <w:pPr>
              <w:pStyle w:val="TableBodyText"/>
            </w:pPr>
            <w:r w:rsidRPr="003015FD">
              <w:t>2016</w:t>
            </w:r>
          </w:p>
        </w:tc>
        <w:tc>
          <w:tcPr>
            <w:tcW w:w="851" w:type="dxa"/>
          </w:tcPr>
          <w:p w14:paraId="1151C372" w14:textId="77777777" w:rsidR="008E0945" w:rsidRPr="003015FD" w:rsidRDefault="008E0945" w:rsidP="0002642E">
            <w:pPr>
              <w:pStyle w:val="TableBodyText"/>
            </w:pPr>
            <w:r w:rsidRPr="003015FD">
              <w:t>2015</w:t>
            </w:r>
          </w:p>
        </w:tc>
        <w:tc>
          <w:tcPr>
            <w:tcW w:w="850" w:type="dxa"/>
          </w:tcPr>
          <w:p w14:paraId="08C3B999" w14:textId="77777777" w:rsidR="008E0945" w:rsidRPr="003015FD" w:rsidRDefault="008E0945" w:rsidP="0002642E">
            <w:pPr>
              <w:pStyle w:val="TableBodyText"/>
            </w:pPr>
            <w:r w:rsidRPr="003015FD">
              <w:t>2014</w:t>
            </w:r>
          </w:p>
        </w:tc>
        <w:tc>
          <w:tcPr>
            <w:tcW w:w="851" w:type="dxa"/>
          </w:tcPr>
          <w:p w14:paraId="57B3CA25" w14:textId="77777777" w:rsidR="008E0945" w:rsidRPr="003015FD" w:rsidRDefault="008E0945" w:rsidP="0002642E">
            <w:pPr>
              <w:pStyle w:val="TableBodyText"/>
            </w:pPr>
            <w:r w:rsidRPr="003015FD">
              <w:t>2013</w:t>
            </w:r>
          </w:p>
        </w:tc>
        <w:tc>
          <w:tcPr>
            <w:tcW w:w="844" w:type="dxa"/>
          </w:tcPr>
          <w:p w14:paraId="275EC3B0" w14:textId="77777777" w:rsidR="008E0945" w:rsidRPr="003015FD" w:rsidRDefault="008E0945" w:rsidP="0002642E">
            <w:pPr>
              <w:pStyle w:val="TableBodyText"/>
            </w:pPr>
            <w:r w:rsidRPr="003015FD">
              <w:t>2012</w:t>
            </w:r>
          </w:p>
        </w:tc>
      </w:tr>
      <w:tr w:rsidR="006B0171" w:rsidRPr="003015FD" w14:paraId="24973C61" w14:textId="77777777" w:rsidTr="00C26A05">
        <w:trPr>
          <w:cnfStyle w:val="000000100000" w:firstRow="0" w:lastRow="0" w:firstColumn="0" w:lastColumn="0" w:oddVBand="0" w:evenVBand="0" w:oddHBand="1" w:evenHBand="0" w:firstRowFirstColumn="0" w:firstRowLastColumn="0" w:lastRowFirstColumn="0" w:lastRowLastColumn="0"/>
        </w:trPr>
        <w:tc>
          <w:tcPr>
            <w:tcW w:w="2689" w:type="dxa"/>
          </w:tcPr>
          <w:p w14:paraId="21E351A8" w14:textId="77777777" w:rsidR="008E0945" w:rsidRPr="003015FD" w:rsidRDefault="008E0945" w:rsidP="0002642E">
            <w:pPr>
              <w:pStyle w:val="TableBodyTextcentred"/>
              <w:jc w:val="left"/>
            </w:pPr>
            <w:r w:rsidRPr="003015FD">
              <w:t>Submissions</w:t>
            </w:r>
          </w:p>
        </w:tc>
        <w:tc>
          <w:tcPr>
            <w:tcW w:w="992" w:type="dxa"/>
          </w:tcPr>
          <w:p w14:paraId="28C0565A" w14:textId="77777777" w:rsidR="008E0945" w:rsidRPr="003015FD" w:rsidRDefault="008E0945" w:rsidP="0002642E">
            <w:pPr>
              <w:pStyle w:val="TableBodyTextcentred"/>
              <w:jc w:val="left"/>
            </w:pPr>
            <w:r w:rsidRPr="003015FD">
              <w:t>7</w:t>
            </w:r>
          </w:p>
        </w:tc>
        <w:tc>
          <w:tcPr>
            <w:tcW w:w="992" w:type="dxa"/>
          </w:tcPr>
          <w:p w14:paraId="75BD76A3" w14:textId="77777777" w:rsidR="008E0945" w:rsidRPr="003015FD" w:rsidRDefault="008E0945" w:rsidP="0002642E">
            <w:pPr>
              <w:pStyle w:val="TableBodyTextcentred"/>
              <w:jc w:val="left"/>
            </w:pPr>
            <w:r w:rsidRPr="003015FD">
              <w:t>14</w:t>
            </w:r>
          </w:p>
        </w:tc>
        <w:tc>
          <w:tcPr>
            <w:tcW w:w="992" w:type="dxa"/>
          </w:tcPr>
          <w:p w14:paraId="007D310C" w14:textId="77777777" w:rsidR="008E0945" w:rsidRPr="003015FD" w:rsidRDefault="008E0945" w:rsidP="0002642E">
            <w:pPr>
              <w:pStyle w:val="TableBodyTextcentred"/>
              <w:jc w:val="left"/>
            </w:pPr>
            <w:r w:rsidRPr="003015FD">
              <w:t>5</w:t>
            </w:r>
          </w:p>
        </w:tc>
        <w:tc>
          <w:tcPr>
            <w:tcW w:w="851" w:type="dxa"/>
          </w:tcPr>
          <w:p w14:paraId="5DCF4724" w14:textId="77777777" w:rsidR="008E0945" w:rsidRPr="003015FD" w:rsidRDefault="008E0945" w:rsidP="0002642E">
            <w:pPr>
              <w:pStyle w:val="TableBodyTextcentred"/>
              <w:jc w:val="left"/>
            </w:pPr>
            <w:r w:rsidRPr="003015FD">
              <w:t>14</w:t>
            </w:r>
          </w:p>
        </w:tc>
        <w:tc>
          <w:tcPr>
            <w:tcW w:w="850" w:type="dxa"/>
          </w:tcPr>
          <w:p w14:paraId="73E9093E" w14:textId="77777777" w:rsidR="008E0945" w:rsidRPr="003015FD" w:rsidRDefault="008E0945" w:rsidP="0002642E">
            <w:pPr>
              <w:pStyle w:val="TableBodyTextcentred"/>
              <w:jc w:val="left"/>
            </w:pPr>
            <w:r w:rsidRPr="003015FD">
              <w:t>15</w:t>
            </w:r>
          </w:p>
        </w:tc>
        <w:tc>
          <w:tcPr>
            <w:tcW w:w="851" w:type="dxa"/>
          </w:tcPr>
          <w:p w14:paraId="4E147AAC" w14:textId="77777777" w:rsidR="008E0945" w:rsidRPr="003015FD" w:rsidRDefault="008E0945" w:rsidP="0002642E">
            <w:pPr>
              <w:pStyle w:val="TableBodyTextcentred"/>
              <w:jc w:val="left"/>
            </w:pPr>
            <w:r w:rsidRPr="003015FD">
              <w:t>21</w:t>
            </w:r>
          </w:p>
        </w:tc>
        <w:tc>
          <w:tcPr>
            <w:tcW w:w="844" w:type="dxa"/>
          </w:tcPr>
          <w:p w14:paraId="02B2E8BD" w14:textId="77777777" w:rsidR="008E0945" w:rsidRPr="003015FD" w:rsidRDefault="008E0945" w:rsidP="0002642E">
            <w:pPr>
              <w:pStyle w:val="TableBodyTextcentred"/>
              <w:jc w:val="left"/>
            </w:pPr>
            <w:r w:rsidRPr="003015FD">
              <w:t>0</w:t>
            </w:r>
          </w:p>
        </w:tc>
      </w:tr>
    </w:tbl>
    <w:p w14:paraId="293DCC46" w14:textId="0EB4A574" w:rsidR="008E0945" w:rsidRPr="003015FD" w:rsidRDefault="008E0945" w:rsidP="0002642E">
      <w:pPr>
        <w:pStyle w:val="Heading1"/>
        <w:numPr>
          <w:ilvl w:val="0"/>
          <w:numId w:val="53"/>
        </w:numPr>
      </w:pPr>
      <w:bookmarkStart w:id="100" w:name="_Toc15656276"/>
      <w:bookmarkStart w:id="101" w:name="_Toc22011538"/>
      <w:r w:rsidRPr="003015FD">
        <w:lastRenderedPageBreak/>
        <w:t>Human</w:t>
      </w:r>
      <w:r w:rsidR="00975895" w:rsidRPr="003015FD">
        <w:t xml:space="preserve"> </w:t>
      </w:r>
      <w:r w:rsidRPr="003015FD">
        <w:t>rights</w:t>
      </w:r>
      <w:r w:rsidR="00975895" w:rsidRPr="003015FD">
        <w:t xml:space="preserve"> </w:t>
      </w:r>
      <w:r w:rsidRPr="003015FD">
        <w:t>in</w:t>
      </w:r>
      <w:r w:rsidR="00975895" w:rsidRPr="003015FD">
        <w:t xml:space="preserve"> </w:t>
      </w:r>
      <w:r w:rsidRPr="003015FD">
        <w:t>courts</w:t>
      </w:r>
      <w:r w:rsidR="00975895" w:rsidRPr="003015FD">
        <w:t xml:space="preserve"> </w:t>
      </w:r>
      <w:r w:rsidRPr="003015FD">
        <w:t>and</w:t>
      </w:r>
      <w:r w:rsidR="00975895" w:rsidRPr="003015FD">
        <w:t xml:space="preserve"> </w:t>
      </w:r>
      <w:r w:rsidRPr="003015FD">
        <w:t>tribunals</w:t>
      </w:r>
      <w:bookmarkEnd w:id="100"/>
      <w:bookmarkEnd w:id="101"/>
    </w:p>
    <w:p w14:paraId="42D25286" w14:textId="72F60020" w:rsidR="008E0945" w:rsidRPr="003015FD" w:rsidRDefault="00D90DB7" w:rsidP="0002642E">
      <w:pPr>
        <w:pStyle w:val="Heading2"/>
      </w:pPr>
      <w:bookmarkStart w:id="102" w:name="_Toc15045127"/>
      <w:bookmarkStart w:id="103" w:name="_Toc22011539"/>
      <w:r w:rsidRPr="003015FD">
        <w:t>4.1</w:t>
      </w:r>
      <w:r w:rsidRPr="003015FD">
        <w:tab/>
      </w:r>
      <w:r w:rsidR="008E0945" w:rsidRPr="003015FD">
        <w:t>The</w:t>
      </w:r>
      <w:r w:rsidR="00975895" w:rsidRPr="003015FD">
        <w:t xml:space="preserve"> </w:t>
      </w:r>
      <w:r w:rsidR="008E0945" w:rsidRPr="003015FD">
        <w:t>Charter</w:t>
      </w:r>
      <w:r w:rsidR="00975895" w:rsidRPr="003015FD">
        <w:t xml:space="preserve"> </w:t>
      </w:r>
      <w:r w:rsidR="008E0945" w:rsidRPr="003015FD">
        <w:t>as</w:t>
      </w:r>
      <w:r w:rsidR="00975895" w:rsidRPr="003015FD">
        <w:t xml:space="preserve"> </w:t>
      </w:r>
      <w:r w:rsidR="008E0945" w:rsidRPr="003015FD">
        <w:t>an</w:t>
      </w:r>
      <w:r w:rsidR="00975895" w:rsidRPr="003015FD">
        <w:t xml:space="preserve"> </w:t>
      </w:r>
      <w:r w:rsidR="008E0945" w:rsidRPr="003015FD">
        <w:t>effective</w:t>
      </w:r>
      <w:r w:rsidR="00975895" w:rsidRPr="003015FD">
        <w:t xml:space="preserve"> </w:t>
      </w:r>
      <w:r w:rsidR="008E0945" w:rsidRPr="003015FD">
        <w:t>litigation</w:t>
      </w:r>
      <w:r w:rsidR="00975895" w:rsidRPr="003015FD">
        <w:t xml:space="preserve"> </w:t>
      </w:r>
      <w:r w:rsidR="008E0945" w:rsidRPr="003015FD">
        <w:t>tool</w:t>
      </w:r>
      <w:bookmarkEnd w:id="102"/>
      <w:bookmarkEnd w:id="103"/>
    </w:p>
    <w:p w14:paraId="19B4C842" w14:textId="626FCE73" w:rsidR="008E0945" w:rsidRPr="003015FD" w:rsidRDefault="008E0945" w:rsidP="0002642E">
      <w:r w:rsidRPr="003015FD">
        <w:t>In</w:t>
      </w:r>
      <w:r w:rsidR="00975895" w:rsidRPr="003015FD">
        <w:t xml:space="preserve"> </w:t>
      </w:r>
      <w:proofErr w:type="gramStart"/>
      <w:r w:rsidRPr="003015FD">
        <w:t>2018</w:t>
      </w:r>
      <w:proofErr w:type="gramEnd"/>
      <w:r w:rsidR="00975895" w:rsidRPr="003015FD">
        <w:t xml:space="preserve"> </w:t>
      </w:r>
      <w:r w:rsidRPr="003015FD">
        <w:t>the</w:t>
      </w:r>
      <w:r w:rsidR="00975895" w:rsidRPr="003015FD">
        <w:t xml:space="preserve"> </w:t>
      </w:r>
      <w:r w:rsidRPr="003015FD">
        <w:t>Charter</w:t>
      </w:r>
      <w:r w:rsidR="00975895" w:rsidRPr="003015FD">
        <w:t xml:space="preserve"> </w:t>
      </w:r>
      <w:r w:rsidRPr="003015FD">
        <w:t>was</w:t>
      </w:r>
      <w:r w:rsidR="00975895" w:rsidRPr="003015FD">
        <w:t xml:space="preserve"> </w:t>
      </w:r>
      <w:r w:rsidRPr="003015FD">
        <w:t>raised</w:t>
      </w:r>
      <w:r w:rsidR="00975895" w:rsidRPr="003015FD">
        <w:t xml:space="preserve"> </w:t>
      </w:r>
      <w:r w:rsidRPr="003015FD">
        <w:t>or</w:t>
      </w:r>
      <w:r w:rsidR="00975895" w:rsidRPr="003015FD">
        <w:t xml:space="preserve"> </w:t>
      </w:r>
      <w:r w:rsidRPr="003015FD">
        <w:t>considered</w:t>
      </w:r>
      <w:r w:rsidR="00975895" w:rsidRPr="003015FD">
        <w:t xml:space="preserve"> </w:t>
      </w:r>
      <w:r w:rsidRPr="003015FD">
        <w:t>in</w:t>
      </w:r>
      <w:r w:rsidR="00975895" w:rsidRPr="003015FD">
        <w:t xml:space="preserve"> </w:t>
      </w:r>
      <w:r w:rsidRPr="003015FD">
        <w:t>more</w:t>
      </w:r>
      <w:r w:rsidR="00975895" w:rsidRPr="003015FD">
        <w:t xml:space="preserve"> </w:t>
      </w:r>
      <w:r w:rsidRPr="003015FD">
        <w:t>than</w:t>
      </w:r>
      <w:r w:rsidR="00975895" w:rsidRPr="003015FD">
        <w:t xml:space="preserve"> </w:t>
      </w:r>
      <w:r w:rsidRPr="003015FD">
        <w:t>40</w:t>
      </w:r>
      <w:r w:rsidR="00975895" w:rsidRPr="003015FD">
        <w:t xml:space="preserve"> </w:t>
      </w:r>
      <w:r w:rsidRPr="003015FD">
        <w:t>cases</w:t>
      </w:r>
      <w:r w:rsidR="00975895" w:rsidRPr="003015FD">
        <w:t xml:space="preserve"> </w:t>
      </w:r>
      <w:r w:rsidRPr="003015FD">
        <w:t>in</w:t>
      </w:r>
      <w:r w:rsidR="00975895" w:rsidRPr="003015FD">
        <w:t xml:space="preserve"> </w:t>
      </w:r>
      <w:r w:rsidRPr="003015FD">
        <w:t>Victoria</w:t>
      </w:r>
      <w:r w:rsidR="000C5726">
        <w:t>'</w:t>
      </w:r>
      <w:r w:rsidRPr="003015FD">
        <w:t>s</w:t>
      </w:r>
      <w:r w:rsidR="00975895" w:rsidRPr="003015FD">
        <w:t xml:space="preserve"> </w:t>
      </w:r>
      <w:r w:rsidRPr="003015FD">
        <w:t>higher</w:t>
      </w:r>
      <w:r w:rsidR="00975895" w:rsidRPr="003015FD">
        <w:t xml:space="preserve"> </w:t>
      </w:r>
      <w:r w:rsidRPr="003015FD">
        <w:t>courts</w:t>
      </w:r>
      <w:r w:rsidR="00975895" w:rsidRPr="003015FD">
        <w:t xml:space="preserve"> </w:t>
      </w:r>
      <w:r w:rsidRPr="003015FD">
        <w:t>(see</w:t>
      </w:r>
      <w:r w:rsidR="00975895" w:rsidRPr="003015FD">
        <w:t xml:space="preserve"> </w:t>
      </w:r>
      <w:r w:rsidRPr="003015FD">
        <w:t>Appendix</w:t>
      </w:r>
      <w:r w:rsidR="00975895" w:rsidRPr="003015FD">
        <w:t xml:space="preserve"> </w:t>
      </w:r>
      <w:r w:rsidR="00082CF3" w:rsidRPr="003015FD">
        <w:t>E</w:t>
      </w:r>
      <w:r w:rsidRPr="003015FD">
        <w:t>),</w:t>
      </w:r>
      <w:r w:rsidR="00975895" w:rsidRPr="003015FD">
        <w:t xml:space="preserve"> </w:t>
      </w:r>
      <w:r w:rsidRPr="003015FD">
        <w:t>including</w:t>
      </w:r>
      <w:r w:rsidR="00975895" w:rsidRPr="003015FD">
        <w:t xml:space="preserve"> </w:t>
      </w:r>
      <w:r w:rsidRPr="003015FD">
        <w:t>the</w:t>
      </w:r>
      <w:r w:rsidR="00975895" w:rsidRPr="003015FD">
        <w:t xml:space="preserve"> </w:t>
      </w:r>
      <w:r w:rsidRPr="003015FD">
        <w:t>Supreme</w:t>
      </w:r>
      <w:r w:rsidR="00975895" w:rsidRPr="003015FD">
        <w:t xml:space="preserve"> </w:t>
      </w:r>
      <w:r w:rsidRPr="003015FD">
        <w:t>Court,</w:t>
      </w:r>
      <w:r w:rsidR="00975895" w:rsidRPr="003015FD">
        <w:t xml:space="preserve"> </w:t>
      </w:r>
      <w:r w:rsidRPr="003015FD">
        <w:t>Court</w:t>
      </w:r>
      <w:r w:rsidR="00975895" w:rsidRPr="003015FD">
        <w:t xml:space="preserve"> </w:t>
      </w:r>
      <w:r w:rsidRPr="003015FD">
        <w:t>of</w:t>
      </w:r>
      <w:r w:rsidR="00975895" w:rsidRPr="003015FD">
        <w:t xml:space="preserve"> </w:t>
      </w:r>
      <w:r w:rsidRPr="003015FD">
        <w:t>Appeal</w:t>
      </w:r>
      <w:r w:rsidR="00975895" w:rsidRPr="003015FD">
        <w:t xml:space="preserve"> </w:t>
      </w:r>
      <w:r w:rsidRPr="003015FD">
        <w:t>and</w:t>
      </w:r>
      <w:r w:rsidR="00975895" w:rsidRPr="003015FD">
        <w:t xml:space="preserve"> </w:t>
      </w:r>
      <w:r w:rsidRPr="003015FD">
        <w:t>County</w:t>
      </w:r>
      <w:r w:rsidR="00975895" w:rsidRPr="003015FD">
        <w:t xml:space="preserve"> </w:t>
      </w:r>
      <w:r w:rsidRPr="003015FD">
        <w:t>Court.</w:t>
      </w:r>
      <w:r w:rsidR="00975895" w:rsidRPr="003015FD">
        <w:t xml:space="preserve"> </w:t>
      </w:r>
      <w:r w:rsidRPr="003015FD">
        <w:t>These</w:t>
      </w:r>
      <w:r w:rsidR="00975895" w:rsidRPr="003015FD">
        <w:t xml:space="preserve"> </w:t>
      </w:r>
      <w:r w:rsidRPr="003015FD">
        <w:t>cases</w:t>
      </w:r>
      <w:r w:rsidR="00975895" w:rsidRPr="003015FD">
        <w:t xml:space="preserve"> </w:t>
      </w:r>
      <w:r w:rsidRPr="003015FD">
        <w:t>demonstrate</w:t>
      </w:r>
      <w:r w:rsidR="00975895" w:rsidRPr="003015FD">
        <w:t xml:space="preserve"> </w:t>
      </w:r>
      <w:r w:rsidRPr="003015FD">
        <w:t>that</w:t>
      </w:r>
      <w:r w:rsidR="00975895" w:rsidRPr="003015FD">
        <w:t xml:space="preserve"> </w:t>
      </w:r>
      <w:r w:rsidRPr="003015FD">
        <w:t>the</w:t>
      </w:r>
      <w:r w:rsidR="00975895" w:rsidRPr="003015FD">
        <w:t xml:space="preserve"> </w:t>
      </w:r>
      <w:r w:rsidRPr="003015FD">
        <w:t>Charter</w:t>
      </w:r>
      <w:r w:rsidR="00975895" w:rsidRPr="003015FD">
        <w:t xml:space="preserve"> </w:t>
      </w:r>
      <w:r w:rsidRPr="003015FD">
        <w:t>continues</w:t>
      </w:r>
      <w:r w:rsidR="00975895" w:rsidRPr="003015FD">
        <w:t xml:space="preserve"> </w:t>
      </w:r>
      <w:r w:rsidRPr="003015FD">
        <w:t>to</w:t>
      </w:r>
      <w:r w:rsidR="00975895" w:rsidRPr="003015FD">
        <w:t xml:space="preserve"> </w:t>
      </w:r>
      <w:r w:rsidRPr="003015FD">
        <w:t>be</w:t>
      </w:r>
      <w:r w:rsidR="00975895" w:rsidRPr="003015FD">
        <w:t xml:space="preserve"> </w:t>
      </w:r>
      <w:r w:rsidRPr="003015FD">
        <w:t>used</w:t>
      </w:r>
      <w:r w:rsidR="00975895" w:rsidRPr="003015FD">
        <w:t xml:space="preserve"> </w:t>
      </w:r>
      <w:r w:rsidRPr="003015FD">
        <w:t>as</w:t>
      </w:r>
      <w:r w:rsidR="00975895" w:rsidRPr="003015FD">
        <w:t xml:space="preserve"> </w:t>
      </w:r>
      <w:r w:rsidRPr="003015FD">
        <w:t>an</w:t>
      </w:r>
      <w:r w:rsidR="00975895" w:rsidRPr="003015FD">
        <w:t xml:space="preserve"> </w:t>
      </w:r>
      <w:r w:rsidRPr="003015FD">
        <w:t>effective</w:t>
      </w:r>
      <w:r w:rsidR="00975895" w:rsidRPr="003015FD">
        <w:t xml:space="preserve"> </w:t>
      </w:r>
      <w:r w:rsidRPr="003015FD">
        <w:t>litigation</w:t>
      </w:r>
      <w:r w:rsidR="00975895" w:rsidRPr="003015FD">
        <w:t xml:space="preserve"> </w:t>
      </w:r>
      <w:r w:rsidRPr="003015FD">
        <w:t>tool,</w:t>
      </w:r>
      <w:r w:rsidR="00975895" w:rsidRPr="003015FD">
        <w:t xml:space="preserve"> </w:t>
      </w:r>
      <w:r w:rsidRPr="003015FD">
        <w:t>across</w:t>
      </w:r>
      <w:r w:rsidR="00975895" w:rsidRPr="003015FD">
        <w:t xml:space="preserve"> </w:t>
      </w:r>
      <w:r w:rsidRPr="003015FD">
        <w:t>an</w:t>
      </w:r>
      <w:r w:rsidR="00975895" w:rsidRPr="003015FD">
        <w:t xml:space="preserve"> </w:t>
      </w:r>
      <w:r w:rsidRPr="003015FD">
        <w:t>increasingly</w:t>
      </w:r>
      <w:r w:rsidR="00975895" w:rsidRPr="003015FD">
        <w:t xml:space="preserve"> </w:t>
      </w:r>
      <w:r w:rsidRPr="003015FD">
        <w:t>broad</w:t>
      </w:r>
      <w:r w:rsidR="00975895" w:rsidRPr="003015FD">
        <w:t xml:space="preserve"> </w:t>
      </w:r>
      <w:r w:rsidRPr="003015FD">
        <w:t>range</w:t>
      </w:r>
      <w:r w:rsidR="00975895" w:rsidRPr="003015FD">
        <w:t xml:space="preserve"> </w:t>
      </w:r>
      <w:r w:rsidRPr="003015FD">
        <w:t>of</w:t>
      </w:r>
      <w:r w:rsidR="00975895" w:rsidRPr="003015FD">
        <w:t xml:space="preserve"> </w:t>
      </w:r>
      <w:r w:rsidRPr="003015FD">
        <w:t>issues,</w:t>
      </w:r>
      <w:r w:rsidR="00975895" w:rsidRPr="003015FD">
        <w:t xml:space="preserve"> </w:t>
      </w:r>
      <w:r w:rsidRPr="003015FD">
        <w:t>ranging</w:t>
      </w:r>
      <w:r w:rsidR="00975895" w:rsidRPr="003015FD">
        <w:t xml:space="preserve"> </w:t>
      </w:r>
      <w:r w:rsidRPr="003015FD">
        <w:t>from</w:t>
      </w:r>
      <w:r w:rsidR="00975895" w:rsidRPr="003015FD">
        <w:t xml:space="preserve"> </w:t>
      </w:r>
      <w:r w:rsidRPr="003015FD">
        <w:t>the</w:t>
      </w:r>
      <w:r w:rsidR="00975895" w:rsidRPr="003015FD">
        <w:t xml:space="preserve"> </w:t>
      </w:r>
      <w:r w:rsidRPr="003015FD">
        <w:t>religious</w:t>
      </w:r>
      <w:r w:rsidR="00975895" w:rsidRPr="003015FD">
        <w:t xml:space="preserve"> </w:t>
      </w:r>
      <w:r w:rsidRPr="003015FD">
        <w:t>freedom</w:t>
      </w:r>
      <w:r w:rsidR="00975895" w:rsidRPr="003015FD">
        <w:t xml:space="preserve"> </w:t>
      </w:r>
      <w:r w:rsidRPr="003015FD">
        <w:t>and</w:t>
      </w:r>
      <w:r w:rsidR="00975895" w:rsidRPr="003015FD">
        <w:t xml:space="preserve"> </w:t>
      </w:r>
      <w:r w:rsidRPr="003015FD">
        <w:t>freedom</w:t>
      </w:r>
      <w:r w:rsidR="00975895" w:rsidRPr="003015FD">
        <w:t xml:space="preserve"> </w:t>
      </w:r>
      <w:r w:rsidRPr="003015FD">
        <w:t>of</w:t>
      </w:r>
      <w:r w:rsidR="00975895" w:rsidRPr="003015FD">
        <w:t xml:space="preserve"> </w:t>
      </w:r>
      <w:r w:rsidRPr="003015FD">
        <w:t>expression</w:t>
      </w:r>
      <w:r w:rsidR="00975895" w:rsidRPr="003015FD">
        <w:t xml:space="preserve"> </w:t>
      </w:r>
      <w:r w:rsidRPr="003015FD">
        <w:t>in</w:t>
      </w:r>
      <w:r w:rsidR="00975895" w:rsidRPr="003015FD">
        <w:t xml:space="preserve"> </w:t>
      </w:r>
      <w:r w:rsidRPr="003015FD">
        <w:t>prisons,</w:t>
      </w:r>
      <w:r w:rsidR="00975895" w:rsidRPr="003015FD">
        <w:t xml:space="preserve"> </w:t>
      </w:r>
      <w:r w:rsidRPr="003015FD">
        <w:t>freedom</w:t>
      </w:r>
      <w:r w:rsidR="00975895" w:rsidRPr="003015FD">
        <w:t xml:space="preserve"> </w:t>
      </w:r>
      <w:r w:rsidRPr="003015FD">
        <w:t>from</w:t>
      </w:r>
      <w:r w:rsidR="00975895" w:rsidRPr="003015FD">
        <w:t xml:space="preserve"> </w:t>
      </w:r>
      <w:r w:rsidRPr="003015FD">
        <w:t>medical</w:t>
      </w:r>
      <w:r w:rsidR="00975895" w:rsidRPr="003015FD">
        <w:t xml:space="preserve"> </w:t>
      </w:r>
      <w:r w:rsidRPr="003015FD">
        <w:t>treatment</w:t>
      </w:r>
      <w:r w:rsidR="00975895" w:rsidRPr="003015FD">
        <w:t xml:space="preserve"> </w:t>
      </w:r>
      <w:r w:rsidRPr="003015FD">
        <w:t>without</w:t>
      </w:r>
      <w:r w:rsidR="00975895" w:rsidRPr="003015FD">
        <w:t xml:space="preserve"> </w:t>
      </w:r>
      <w:r w:rsidRPr="003015FD">
        <w:t>full,</w:t>
      </w:r>
      <w:r w:rsidR="00975895" w:rsidRPr="003015FD">
        <w:t xml:space="preserve"> </w:t>
      </w:r>
      <w:r w:rsidRPr="003015FD">
        <w:t>free</w:t>
      </w:r>
      <w:r w:rsidR="00975895" w:rsidRPr="003015FD">
        <w:t xml:space="preserve"> </w:t>
      </w:r>
      <w:r w:rsidRPr="003015FD">
        <w:t>informed</w:t>
      </w:r>
      <w:r w:rsidR="00975895" w:rsidRPr="003015FD">
        <w:t xml:space="preserve"> </w:t>
      </w:r>
      <w:r w:rsidRPr="003015FD">
        <w:t>consent,</w:t>
      </w:r>
      <w:r w:rsidR="00975895" w:rsidRPr="003015FD">
        <w:t xml:space="preserve"> </w:t>
      </w:r>
      <w:r w:rsidRPr="003015FD">
        <w:t>and</w:t>
      </w:r>
      <w:r w:rsidR="00975895" w:rsidRPr="003015FD">
        <w:t xml:space="preserve"> </w:t>
      </w:r>
      <w:r w:rsidRPr="003015FD">
        <w:t>equality</w:t>
      </w:r>
      <w:r w:rsidR="00975895" w:rsidRPr="003015FD">
        <w:t xml:space="preserve"> </w:t>
      </w:r>
      <w:r w:rsidRPr="003015FD">
        <w:t>before</w:t>
      </w:r>
      <w:r w:rsidR="00975895" w:rsidRPr="003015FD">
        <w:t xml:space="preserve"> </w:t>
      </w:r>
      <w:r w:rsidRPr="003015FD">
        <w:t>the</w:t>
      </w:r>
      <w:r w:rsidR="00975895" w:rsidRPr="003015FD">
        <w:t xml:space="preserve"> </w:t>
      </w:r>
      <w:r w:rsidRPr="003015FD">
        <w:t>law.</w:t>
      </w:r>
    </w:p>
    <w:p w14:paraId="47733CD4" w14:textId="466FE063" w:rsidR="008E0945" w:rsidRPr="0002642E" w:rsidRDefault="008E0945" w:rsidP="0002642E">
      <w:r w:rsidRPr="0002642E">
        <w:rPr>
          <w:rStyle w:val="Characterbold"/>
          <w:b w:val="0"/>
          <w:lang w:val="en-GB"/>
        </w:rPr>
        <w:t>Litigation</w:t>
      </w:r>
      <w:r w:rsidR="00975895" w:rsidRPr="0002642E">
        <w:rPr>
          <w:rStyle w:val="Characterbold"/>
          <w:b w:val="0"/>
          <w:lang w:val="en-GB"/>
        </w:rPr>
        <w:t xml:space="preserve"> </w:t>
      </w:r>
      <w:r w:rsidRPr="0002642E">
        <w:rPr>
          <w:rStyle w:val="Characterbold"/>
          <w:b w:val="0"/>
          <w:lang w:val="en-GB"/>
        </w:rPr>
        <w:t>provides</w:t>
      </w:r>
      <w:r w:rsidR="00975895" w:rsidRPr="0002642E">
        <w:rPr>
          <w:rStyle w:val="Characterbold"/>
          <w:b w:val="0"/>
          <w:lang w:val="en-GB"/>
        </w:rPr>
        <w:t xml:space="preserve"> </w:t>
      </w:r>
      <w:r w:rsidRPr="0002642E">
        <w:rPr>
          <w:rStyle w:val="Characterbold"/>
          <w:b w:val="0"/>
          <w:lang w:val="en-GB"/>
        </w:rPr>
        <w:t>an</w:t>
      </w:r>
      <w:r w:rsidR="00975895" w:rsidRPr="0002642E">
        <w:rPr>
          <w:rStyle w:val="Characterbold"/>
          <w:b w:val="0"/>
          <w:lang w:val="en-GB"/>
        </w:rPr>
        <w:t xml:space="preserve"> </w:t>
      </w:r>
      <w:r w:rsidRPr="0002642E">
        <w:rPr>
          <w:rStyle w:val="Characterbold"/>
          <w:b w:val="0"/>
          <w:lang w:val="en-GB"/>
        </w:rPr>
        <w:t>important</w:t>
      </w:r>
      <w:r w:rsidR="00975895" w:rsidRPr="0002642E">
        <w:rPr>
          <w:rStyle w:val="Characterbold"/>
          <w:b w:val="0"/>
          <w:lang w:val="en-GB"/>
        </w:rPr>
        <w:t xml:space="preserve"> </w:t>
      </w:r>
      <w:r w:rsidRPr="0002642E">
        <w:rPr>
          <w:rStyle w:val="Characterbold"/>
          <w:b w:val="0"/>
          <w:lang w:val="en-GB"/>
        </w:rPr>
        <w:t>platform</w:t>
      </w:r>
      <w:r w:rsidR="00975895" w:rsidRPr="0002642E">
        <w:rPr>
          <w:rStyle w:val="Characterbold"/>
          <w:b w:val="0"/>
          <w:lang w:val="en-GB"/>
        </w:rPr>
        <w:t xml:space="preserve"> </w:t>
      </w:r>
      <w:r w:rsidRPr="0002642E">
        <w:rPr>
          <w:rStyle w:val="Characterbold"/>
          <w:b w:val="0"/>
          <w:lang w:val="en-GB"/>
        </w:rPr>
        <w:t>for</w:t>
      </w:r>
      <w:r w:rsidR="00975895" w:rsidRPr="0002642E">
        <w:rPr>
          <w:rStyle w:val="Characterbold"/>
          <w:b w:val="0"/>
          <w:lang w:val="en-GB"/>
        </w:rPr>
        <w:t xml:space="preserve"> </w:t>
      </w:r>
      <w:r w:rsidRPr="0002642E">
        <w:rPr>
          <w:rStyle w:val="Characterbold"/>
          <w:b w:val="0"/>
          <w:lang w:val="en-GB"/>
        </w:rPr>
        <w:t>individuals</w:t>
      </w:r>
      <w:r w:rsidR="00975895" w:rsidRPr="0002642E">
        <w:rPr>
          <w:rStyle w:val="Characterbold"/>
          <w:b w:val="0"/>
          <w:lang w:val="en-GB"/>
        </w:rPr>
        <w:t xml:space="preserve"> </w:t>
      </w:r>
      <w:r w:rsidRPr="0002642E">
        <w:rPr>
          <w:rStyle w:val="Characterbold"/>
          <w:b w:val="0"/>
          <w:lang w:val="en-GB"/>
        </w:rPr>
        <w:t>and</w:t>
      </w:r>
      <w:r w:rsidR="00975895" w:rsidRPr="0002642E">
        <w:rPr>
          <w:rStyle w:val="Characterbold"/>
          <w:b w:val="0"/>
          <w:lang w:val="en-GB"/>
        </w:rPr>
        <w:t xml:space="preserve"> </w:t>
      </w:r>
      <w:r w:rsidRPr="0002642E">
        <w:rPr>
          <w:rStyle w:val="Characterbold"/>
          <w:b w:val="0"/>
          <w:lang w:val="en-GB"/>
        </w:rPr>
        <w:t>groups</w:t>
      </w:r>
      <w:r w:rsidR="00975895" w:rsidRPr="0002642E">
        <w:rPr>
          <w:rStyle w:val="Characterbold"/>
          <w:b w:val="0"/>
          <w:lang w:val="en-GB"/>
        </w:rPr>
        <w:t xml:space="preserve"> </w:t>
      </w:r>
      <w:r w:rsidRPr="0002642E">
        <w:rPr>
          <w:rStyle w:val="Characterbold"/>
          <w:b w:val="0"/>
          <w:lang w:val="en-GB"/>
        </w:rPr>
        <w:t>to</w:t>
      </w:r>
      <w:r w:rsidR="00975895" w:rsidRPr="0002642E">
        <w:rPr>
          <w:rStyle w:val="Characterbold"/>
          <w:b w:val="0"/>
          <w:lang w:val="en-GB"/>
        </w:rPr>
        <w:t xml:space="preserve"> </w:t>
      </w:r>
      <w:r w:rsidRPr="0002642E">
        <w:rPr>
          <w:rStyle w:val="Characterbold"/>
          <w:b w:val="0"/>
          <w:lang w:val="en-GB"/>
        </w:rPr>
        <w:t>assert</w:t>
      </w:r>
      <w:r w:rsidR="00975895" w:rsidRPr="0002642E">
        <w:rPr>
          <w:rStyle w:val="Characterbold"/>
          <w:b w:val="0"/>
          <w:lang w:val="en-GB"/>
        </w:rPr>
        <w:t xml:space="preserve"> </w:t>
      </w:r>
      <w:r w:rsidRPr="0002642E">
        <w:rPr>
          <w:rStyle w:val="Characterbold"/>
          <w:b w:val="0"/>
          <w:lang w:val="en-GB"/>
        </w:rPr>
        <w:t>their</w:t>
      </w:r>
      <w:r w:rsidR="00975895" w:rsidRPr="0002642E">
        <w:rPr>
          <w:rStyle w:val="Characterbold"/>
          <w:b w:val="0"/>
          <w:lang w:val="en-GB"/>
        </w:rPr>
        <w:t xml:space="preserve"> </w:t>
      </w:r>
      <w:r w:rsidRPr="0002642E">
        <w:rPr>
          <w:rStyle w:val="Characterbold"/>
          <w:b w:val="0"/>
          <w:lang w:val="en-GB"/>
        </w:rPr>
        <w:t>human</w:t>
      </w:r>
      <w:r w:rsidR="00975895" w:rsidRPr="0002642E">
        <w:rPr>
          <w:rStyle w:val="Characterbold"/>
          <w:b w:val="0"/>
          <w:lang w:val="en-GB"/>
        </w:rPr>
        <w:t xml:space="preserve"> </w:t>
      </w:r>
      <w:r w:rsidRPr="0002642E">
        <w:rPr>
          <w:rStyle w:val="Characterbold"/>
          <w:b w:val="0"/>
          <w:lang w:val="en-GB"/>
        </w:rPr>
        <w:t>rights</w:t>
      </w:r>
      <w:r w:rsidR="00D82562" w:rsidRPr="0002642E">
        <w:rPr>
          <w:rStyle w:val="Characterbold"/>
          <w:b w:val="0"/>
          <w:lang w:val="en-GB"/>
        </w:rPr>
        <w:t>,</w:t>
      </w:r>
      <w:r w:rsidR="00975895" w:rsidRPr="0002642E">
        <w:rPr>
          <w:rStyle w:val="Characterbold"/>
          <w:b w:val="0"/>
          <w:lang w:val="en-GB"/>
        </w:rPr>
        <w:t xml:space="preserve"> </w:t>
      </w:r>
      <w:r w:rsidR="00D82562" w:rsidRPr="0002642E">
        <w:rPr>
          <w:rStyle w:val="Characterbold"/>
          <w:b w:val="0"/>
          <w:lang w:val="en-GB"/>
        </w:rPr>
        <w:t>obtain</w:t>
      </w:r>
      <w:r w:rsidR="00975895" w:rsidRPr="0002642E">
        <w:rPr>
          <w:rStyle w:val="Characterbold"/>
          <w:b w:val="0"/>
          <w:lang w:val="en-GB"/>
        </w:rPr>
        <w:t xml:space="preserve"> </w:t>
      </w:r>
      <w:r w:rsidR="00D82562" w:rsidRPr="0002642E">
        <w:rPr>
          <w:rStyle w:val="Characterbold"/>
          <w:b w:val="0"/>
          <w:lang w:val="en-GB"/>
        </w:rPr>
        <w:t>remedies</w:t>
      </w:r>
      <w:r w:rsidR="00975895" w:rsidRPr="0002642E">
        <w:rPr>
          <w:rStyle w:val="Characterbold"/>
          <w:b w:val="0"/>
          <w:lang w:val="en-GB"/>
        </w:rPr>
        <w:t xml:space="preserve"> </w:t>
      </w:r>
      <w:r w:rsidR="00D82562" w:rsidRPr="0002642E">
        <w:rPr>
          <w:rStyle w:val="Characterbold"/>
          <w:b w:val="0"/>
          <w:lang w:val="en-GB"/>
        </w:rPr>
        <w:t>for</w:t>
      </w:r>
      <w:r w:rsidR="00975895" w:rsidRPr="0002642E">
        <w:rPr>
          <w:rStyle w:val="Characterbold"/>
          <w:b w:val="0"/>
          <w:lang w:val="en-GB"/>
        </w:rPr>
        <w:t xml:space="preserve"> </w:t>
      </w:r>
      <w:r w:rsidR="00D82562" w:rsidRPr="0002642E">
        <w:rPr>
          <w:rStyle w:val="Characterbold"/>
          <w:b w:val="0"/>
          <w:lang w:val="en-GB"/>
        </w:rPr>
        <w:t>breaching</w:t>
      </w:r>
      <w:r w:rsidR="00975895" w:rsidRPr="0002642E">
        <w:rPr>
          <w:rStyle w:val="Characterbold"/>
          <w:b w:val="0"/>
          <w:lang w:val="en-GB"/>
        </w:rPr>
        <w:t xml:space="preserve"> </w:t>
      </w:r>
      <w:r w:rsidR="00D82562" w:rsidRPr="0002642E">
        <w:rPr>
          <w:rStyle w:val="Characterbold"/>
          <w:b w:val="0"/>
          <w:lang w:val="en-GB"/>
        </w:rPr>
        <w:t>rights</w:t>
      </w:r>
      <w:r w:rsidR="00975895" w:rsidRPr="0002642E">
        <w:rPr>
          <w:rStyle w:val="Characterbold"/>
          <w:b w:val="0"/>
          <w:lang w:val="en-GB"/>
        </w:rPr>
        <w:t xml:space="preserve"> </w:t>
      </w:r>
      <w:r w:rsidRPr="0002642E">
        <w:rPr>
          <w:rStyle w:val="Characterbold"/>
          <w:b w:val="0"/>
          <w:lang w:val="en-GB"/>
        </w:rPr>
        <w:t>and</w:t>
      </w:r>
      <w:r w:rsidR="00975895" w:rsidRPr="0002642E">
        <w:rPr>
          <w:rStyle w:val="Characterbold"/>
          <w:b w:val="0"/>
          <w:lang w:val="en-GB"/>
        </w:rPr>
        <w:t xml:space="preserve"> </w:t>
      </w:r>
      <w:r w:rsidRPr="0002642E">
        <w:rPr>
          <w:rStyle w:val="Characterbold"/>
          <w:b w:val="0"/>
          <w:lang w:val="en-GB"/>
        </w:rPr>
        <w:t>achieve</w:t>
      </w:r>
      <w:r w:rsidR="00975895" w:rsidRPr="0002642E">
        <w:rPr>
          <w:rStyle w:val="Characterbold"/>
          <w:b w:val="0"/>
          <w:lang w:val="en-GB"/>
        </w:rPr>
        <w:t xml:space="preserve"> </w:t>
      </w:r>
      <w:r w:rsidRPr="0002642E">
        <w:rPr>
          <w:rStyle w:val="Characterbold"/>
          <w:b w:val="0"/>
          <w:lang w:val="en-GB"/>
        </w:rPr>
        <w:t>more</w:t>
      </w:r>
      <w:r w:rsidR="00975895" w:rsidRPr="0002642E">
        <w:rPr>
          <w:rStyle w:val="Characterbold"/>
          <w:b w:val="0"/>
          <w:lang w:val="en-GB"/>
        </w:rPr>
        <w:t xml:space="preserve"> </w:t>
      </w:r>
      <w:r w:rsidRPr="0002642E">
        <w:rPr>
          <w:rStyle w:val="Characterbold"/>
          <w:b w:val="0"/>
          <w:lang w:val="en-GB"/>
        </w:rPr>
        <w:t>human</w:t>
      </w:r>
      <w:r w:rsidR="00975895" w:rsidRPr="0002642E">
        <w:rPr>
          <w:rStyle w:val="Characterbold"/>
          <w:b w:val="0"/>
          <w:lang w:val="en-GB"/>
        </w:rPr>
        <w:t xml:space="preserve"> </w:t>
      </w:r>
      <w:r w:rsidRPr="0002642E">
        <w:rPr>
          <w:rStyle w:val="Characterbold"/>
          <w:b w:val="0"/>
          <w:lang w:val="en-GB"/>
        </w:rPr>
        <w:t>rights</w:t>
      </w:r>
      <w:r w:rsidR="00975895" w:rsidRPr="0002642E">
        <w:rPr>
          <w:rStyle w:val="Characterbold"/>
          <w:b w:val="0"/>
          <w:lang w:val="en-GB"/>
        </w:rPr>
        <w:t xml:space="preserve"> </w:t>
      </w:r>
      <w:r w:rsidRPr="0002642E">
        <w:rPr>
          <w:rStyle w:val="Characterbold"/>
          <w:b w:val="0"/>
          <w:lang w:val="en-GB"/>
        </w:rPr>
        <w:t>compliant</w:t>
      </w:r>
      <w:r w:rsidR="00975895" w:rsidRPr="0002642E">
        <w:rPr>
          <w:rStyle w:val="Characterbold"/>
          <w:b w:val="0"/>
          <w:lang w:val="en-GB"/>
        </w:rPr>
        <w:t xml:space="preserve"> </w:t>
      </w:r>
      <w:r w:rsidRPr="0002642E">
        <w:rPr>
          <w:rStyle w:val="Characterbold"/>
          <w:b w:val="0"/>
          <w:lang w:val="en-GB"/>
        </w:rPr>
        <w:t>outcomes.</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decisions</w:t>
      </w:r>
      <w:r w:rsidR="00975895" w:rsidRPr="0002642E">
        <w:rPr>
          <w:rStyle w:val="Characterbold"/>
          <w:b w:val="0"/>
          <w:lang w:val="en-GB"/>
        </w:rPr>
        <w:t xml:space="preserve"> </w:t>
      </w:r>
      <w:r w:rsidRPr="0002642E">
        <w:rPr>
          <w:rStyle w:val="Characterbold"/>
          <w:b w:val="0"/>
          <w:lang w:val="en-GB"/>
        </w:rPr>
        <w:t>by</w:t>
      </w:r>
      <w:r w:rsidR="00975895" w:rsidRPr="0002642E">
        <w:rPr>
          <w:rStyle w:val="Characterbold"/>
          <w:b w:val="0"/>
          <w:lang w:val="en-GB"/>
        </w:rPr>
        <w:t xml:space="preserve"> </w:t>
      </w:r>
      <w:r w:rsidRPr="0002642E">
        <w:rPr>
          <w:rStyle w:val="Characterbold"/>
          <w:b w:val="0"/>
          <w:lang w:val="en-GB"/>
        </w:rPr>
        <w:t>courts</w:t>
      </w:r>
      <w:r w:rsidR="00975895" w:rsidRPr="0002642E">
        <w:rPr>
          <w:rStyle w:val="Characterbold"/>
          <w:b w:val="0"/>
          <w:lang w:val="en-GB"/>
        </w:rPr>
        <w:t xml:space="preserve"> </w:t>
      </w:r>
      <w:r w:rsidRPr="0002642E">
        <w:rPr>
          <w:rStyle w:val="Characterbold"/>
          <w:b w:val="0"/>
          <w:lang w:val="en-GB"/>
        </w:rPr>
        <w:t>and</w:t>
      </w:r>
      <w:r w:rsidR="00975895" w:rsidRPr="0002642E">
        <w:rPr>
          <w:rStyle w:val="Characterbold"/>
          <w:b w:val="0"/>
          <w:lang w:val="en-GB"/>
        </w:rPr>
        <w:t xml:space="preserve"> </w:t>
      </w:r>
      <w:r w:rsidRPr="0002642E">
        <w:rPr>
          <w:rStyle w:val="Characterbold"/>
          <w:b w:val="0"/>
          <w:lang w:val="en-GB"/>
        </w:rPr>
        <w:t>tribunals</w:t>
      </w:r>
      <w:r w:rsidR="00975895" w:rsidRPr="0002642E">
        <w:rPr>
          <w:rStyle w:val="Characterbold"/>
          <w:b w:val="0"/>
          <w:lang w:val="en-GB"/>
        </w:rPr>
        <w:t xml:space="preserve"> </w:t>
      </w:r>
      <w:r w:rsidRPr="0002642E">
        <w:rPr>
          <w:rStyle w:val="Characterbold"/>
          <w:b w:val="0"/>
          <w:lang w:val="en-GB"/>
        </w:rPr>
        <w:t>help</w:t>
      </w:r>
      <w:r w:rsidR="00975895" w:rsidRPr="0002642E">
        <w:rPr>
          <w:rStyle w:val="Characterbold"/>
          <w:b w:val="0"/>
          <w:lang w:val="en-GB"/>
        </w:rPr>
        <w:t xml:space="preserve"> </w:t>
      </w:r>
      <w:r w:rsidRPr="0002642E">
        <w:rPr>
          <w:rStyle w:val="Characterbold"/>
          <w:b w:val="0"/>
          <w:lang w:val="en-GB"/>
        </w:rPr>
        <w:t>in</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interpretation</w:t>
      </w:r>
      <w:r w:rsidR="00975895" w:rsidRPr="0002642E">
        <w:rPr>
          <w:rStyle w:val="Characterbold"/>
          <w:b w:val="0"/>
          <w:lang w:val="en-GB"/>
        </w:rPr>
        <w:t xml:space="preserve"> </w:t>
      </w:r>
      <w:r w:rsidRPr="0002642E">
        <w:rPr>
          <w:rStyle w:val="Characterbold"/>
          <w:b w:val="0"/>
          <w:lang w:val="en-GB"/>
        </w:rPr>
        <w:t>and</w:t>
      </w:r>
      <w:r w:rsidR="00975895" w:rsidRPr="0002642E">
        <w:rPr>
          <w:rStyle w:val="Characterbold"/>
          <w:b w:val="0"/>
          <w:lang w:val="en-GB"/>
        </w:rPr>
        <w:t xml:space="preserve"> </w:t>
      </w:r>
      <w:r w:rsidRPr="0002642E">
        <w:rPr>
          <w:rStyle w:val="Characterbold"/>
          <w:b w:val="0"/>
          <w:lang w:val="en-GB"/>
        </w:rPr>
        <w:t>application</w:t>
      </w:r>
      <w:r w:rsidR="00975895" w:rsidRPr="0002642E">
        <w:rPr>
          <w:rStyle w:val="Characterbold"/>
          <w:b w:val="0"/>
          <w:lang w:val="en-GB"/>
        </w:rPr>
        <w:t xml:space="preserve"> </w:t>
      </w:r>
      <w:r w:rsidRPr="0002642E">
        <w:rPr>
          <w:rStyle w:val="Characterbold"/>
          <w:b w:val="0"/>
          <w:lang w:val="en-GB"/>
        </w:rPr>
        <w:t>of</w:t>
      </w:r>
      <w:r w:rsidR="00975895" w:rsidRPr="0002642E">
        <w:rPr>
          <w:rStyle w:val="Characterbold"/>
          <w:b w:val="0"/>
          <w:lang w:val="en-GB"/>
        </w:rPr>
        <w:t xml:space="preserve"> </w:t>
      </w:r>
      <w:r w:rsidRPr="0002642E">
        <w:rPr>
          <w:rStyle w:val="Characterbold"/>
          <w:b w:val="0"/>
          <w:lang w:val="en-GB"/>
        </w:rPr>
        <w:t>Charter</w:t>
      </w:r>
      <w:r w:rsidR="00975895" w:rsidRPr="0002642E">
        <w:rPr>
          <w:rStyle w:val="Characterbold"/>
          <w:b w:val="0"/>
          <w:lang w:val="en-GB"/>
        </w:rPr>
        <w:t xml:space="preserve"> </w:t>
      </w:r>
      <w:r w:rsidRPr="0002642E">
        <w:rPr>
          <w:rStyle w:val="Characterbold"/>
          <w:b w:val="0"/>
          <w:lang w:val="en-GB"/>
        </w:rPr>
        <w:t>rights</w:t>
      </w:r>
      <w:r w:rsidR="00975895" w:rsidRPr="0002642E">
        <w:rPr>
          <w:rStyle w:val="Characterbold"/>
          <w:b w:val="0"/>
          <w:lang w:val="en-GB"/>
        </w:rPr>
        <w:t xml:space="preserve"> </w:t>
      </w:r>
      <w:r w:rsidRPr="0002642E">
        <w:rPr>
          <w:rStyle w:val="Characterbold"/>
          <w:b w:val="0"/>
          <w:lang w:val="en-GB"/>
        </w:rPr>
        <w:t>by</w:t>
      </w:r>
      <w:r w:rsidR="00975895" w:rsidRPr="0002642E">
        <w:rPr>
          <w:rStyle w:val="Characterbold"/>
          <w:b w:val="0"/>
          <w:lang w:val="en-GB"/>
        </w:rPr>
        <w:t xml:space="preserve"> </w:t>
      </w:r>
      <w:r w:rsidRPr="0002642E">
        <w:rPr>
          <w:rStyle w:val="Characterbold"/>
          <w:b w:val="0"/>
          <w:lang w:val="en-GB"/>
        </w:rPr>
        <w:t>public</w:t>
      </w:r>
      <w:r w:rsidR="00975895" w:rsidRPr="0002642E">
        <w:rPr>
          <w:rStyle w:val="Characterbold"/>
          <w:b w:val="0"/>
          <w:lang w:val="en-GB"/>
        </w:rPr>
        <w:t xml:space="preserve"> </w:t>
      </w:r>
      <w:r w:rsidRPr="0002642E">
        <w:rPr>
          <w:rStyle w:val="Characterbold"/>
          <w:b w:val="0"/>
          <w:lang w:val="en-GB"/>
        </w:rPr>
        <w:t>authorities.</w:t>
      </w:r>
      <w:r w:rsidR="00975895" w:rsidRPr="0002642E">
        <w:rPr>
          <w:rStyle w:val="Characterbold"/>
          <w:b w:val="0"/>
          <w:lang w:val="en-GB"/>
        </w:rPr>
        <w:t xml:space="preserve"> </w:t>
      </w:r>
      <w:r w:rsidRPr="0002642E">
        <w:rPr>
          <w:rStyle w:val="Characterbold"/>
          <w:b w:val="0"/>
          <w:lang w:val="en-GB"/>
        </w:rPr>
        <w:t>Public</w:t>
      </w:r>
      <w:r w:rsidR="00975895" w:rsidRPr="0002642E">
        <w:rPr>
          <w:rStyle w:val="Characterbold"/>
          <w:b w:val="0"/>
          <w:lang w:val="en-GB"/>
        </w:rPr>
        <w:t xml:space="preserve"> </w:t>
      </w:r>
      <w:r w:rsidRPr="0002642E">
        <w:rPr>
          <w:rStyle w:val="Characterbold"/>
          <w:b w:val="0"/>
          <w:lang w:val="en-GB"/>
        </w:rPr>
        <w:t>authorities</w:t>
      </w:r>
      <w:r w:rsidR="00975895" w:rsidRPr="0002642E">
        <w:rPr>
          <w:rStyle w:val="Characterbold"/>
          <w:b w:val="0"/>
          <w:lang w:val="en-GB"/>
        </w:rPr>
        <w:t xml:space="preserve"> </w:t>
      </w:r>
      <w:r w:rsidRPr="0002642E">
        <w:rPr>
          <w:rStyle w:val="Characterbold"/>
          <w:b w:val="0"/>
          <w:lang w:val="en-GB"/>
        </w:rPr>
        <w:t>can</w:t>
      </w:r>
      <w:r w:rsidR="00975895" w:rsidRPr="0002642E">
        <w:rPr>
          <w:rStyle w:val="Characterbold"/>
          <w:b w:val="0"/>
          <w:lang w:val="en-GB"/>
        </w:rPr>
        <w:t xml:space="preserve"> </w:t>
      </w:r>
      <w:r w:rsidRPr="0002642E">
        <w:rPr>
          <w:rStyle w:val="Characterbold"/>
          <w:b w:val="0"/>
          <w:lang w:val="en-GB"/>
        </w:rPr>
        <w:t>refer</w:t>
      </w:r>
      <w:r w:rsidR="00975895" w:rsidRPr="0002642E">
        <w:rPr>
          <w:rStyle w:val="Characterbold"/>
          <w:b w:val="0"/>
          <w:lang w:val="en-GB"/>
        </w:rPr>
        <w:t xml:space="preserve"> </w:t>
      </w:r>
      <w:r w:rsidRPr="0002642E">
        <w:rPr>
          <w:rStyle w:val="Characterbold"/>
          <w:b w:val="0"/>
          <w:lang w:val="en-GB"/>
        </w:rPr>
        <w:t>to</w:t>
      </w:r>
      <w:r w:rsidR="00975895" w:rsidRPr="0002642E">
        <w:rPr>
          <w:rStyle w:val="Characterbold"/>
          <w:b w:val="0"/>
          <w:lang w:val="en-GB"/>
        </w:rPr>
        <w:t xml:space="preserve"> </w:t>
      </w:r>
      <w:r w:rsidRPr="0002642E">
        <w:rPr>
          <w:rStyle w:val="Characterbold"/>
          <w:b w:val="0"/>
          <w:lang w:val="en-GB"/>
        </w:rPr>
        <w:t>these</w:t>
      </w:r>
      <w:r w:rsidR="00975895" w:rsidRPr="0002642E">
        <w:rPr>
          <w:rStyle w:val="Characterbold"/>
          <w:b w:val="0"/>
          <w:lang w:val="en-GB"/>
        </w:rPr>
        <w:t xml:space="preserve"> </w:t>
      </w:r>
      <w:r w:rsidRPr="0002642E">
        <w:rPr>
          <w:rStyle w:val="Characterbold"/>
          <w:b w:val="0"/>
          <w:lang w:val="en-GB"/>
        </w:rPr>
        <w:t>decisions</w:t>
      </w:r>
      <w:r w:rsidR="00975895" w:rsidRPr="0002642E">
        <w:rPr>
          <w:rStyle w:val="Characterbold"/>
          <w:b w:val="0"/>
          <w:lang w:val="en-GB"/>
        </w:rPr>
        <w:t xml:space="preserve"> </w:t>
      </w:r>
      <w:r w:rsidRPr="0002642E">
        <w:rPr>
          <w:rStyle w:val="Characterbold"/>
          <w:b w:val="0"/>
          <w:lang w:val="en-GB"/>
        </w:rPr>
        <w:t>when</w:t>
      </w:r>
      <w:r w:rsidR="00975895" w:rsidRPr="0002642E">
        <w:rPr>
          <w:rStyle w:val="Characterbold"/>
          <w:b w:val="0"/>
          <w:lang w:val="en-GB"/>
        </w:rPr>
        <w:t xml:space="preserve"> </w:t>
      </w:r>
      <w:r w:rsidRPr="0002642E">
        <w:rPr>
          <w:rStyle w:val="Characterbold"/>
          <w:b w:val="0"/>
          <w:lang w:val="en-GB"/>
        </w:rPr>
        <w:t>considering</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application</w:t>
      </w:r>
      <w:r w:rsidR="00975895" w:rsidRPr="0002642E">
        <w:rPr>
          <w:rStyle w:val="Characterbold"/>
          <w:b w:val="0"/>
          <w:lang w:val="en-GB"/>
        </w:rPr>
        <w:t xml:space="preserve"> </w:t>
      </w:r>
      <w:r w:rsidRPr="0002642E">
        <w:rPr>
          <w:rStyle w:val="Characterbold"/>
          <w:b w:val="0"/>
          <w:lang w:val="en-GB"/>
        </w:rPr>
        <w:t>of</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Charter</w:t>
      </w:r>
      <w:r w:rsidR="00975895" w:rsidRPr="0002642E">
        <w:rPr>
          <w:rStyle w:val="Characterbold"/>
          <w:b w:val="0"/>
          <w:lang w:val="en-GB"/>
        </w:rPr>
        <w:t xml:space="preserve"> </w:t>
      </w:r>
      <w:r w:rsidRPr="0002642E">
        <w:rPr>
          <w:rStyle w:val="Characterbold"/>
          <w:b w:val="0"/>
          <w:lang w:val="en-GB"/>
        </w:rPr>
        <w:t>in</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exercise</w:t>
      </w:r>
      <w:r w:rsidR="00975895" w:rsidRPr="0002642E">
        <w:rPr>
          <w:rStyle w:val="Characterbold"/>
          <w:b w:val="0"/>
          <w:lang w:val="en-GB"/>
        </w:rPr>
        <w:t xml:space="preserve"> </w:t>
      </w:r>
      <w:r w:rsidRPr="0002642E">
        <w:rPr>
          <w:rStyle w:val="Characterbold"/>
          <w:b w:val="0"/>
          <w:lang w:val="en-GB"/>
        </w:rPr>
        <w:t>of</w:t>
      </w:r>
      <w:r w:rsidR="00975895" w:rsidRPr="0002642E">
        <w:rPr>
          <w:rStyle w:val="Characterbold"/>
          <w:b w:val="0"/>
          <w:lang w:val="en-GB"/>
        </w:rPr>
        <w:t xml:space="preserve"> </w:t>
      </w:r>
      <w:r w:rsidRPr="0002642E">
        <w:rPr>
          <w:rStyle w:val="Characterbold"/>
          <w:b w:val="0"/>
          <w:lang w:val="en-GB"/>
        </w:rPr>
        <w:t>their</w:t>
      </w:r>
      <w:r w:rsidR="00975895" w:rsidRPr="0002642E">
        <w:rPr>
          <w:rStyle w:val="Characterbold"/>
          <w:b w:val="0"/>
          <w:lang w:val="en-GB"/>
        </w:rPr>
        <w:t xml:space="preserve"> </w:t>
      </w:r>
      <w:r w:rsidRPr="0002642E">
        <w:rPr>
          <w:rStyle w:val="Characterbold"/>
          <w:b w:val="0"/>
          <w:lang w:val="en-GB"/>
        </w:rPr>
        <w:t>functions.</w:t>
      </w:r>
    </w:p>
    <w:p w14:paraId="2AF17B57" w14:textId="4D000577" w:rsidR="008E0945" w:rsidRPr="003015FD" w:rsidRDefault="008E0945" w:rsidP="0002642E">
      <w:r w:rsidRPr="003015FD">
        <w:t>In</w:t>
      </w:r>
      <w:r w:rsidR="00975895" w:rsidRPr="003015FD">
        <w:t xml:space="preserve"> </w:t>
      </w:r>
      <w:proofErr w:type="gramStart"/>
      <w:r w:rsidRPr="003015FD">
        <w:t>2018</w:t>
      </w:r>
      <w:proofErr w:type="gramEnd"/>
      <w:r w:rsidR="00975895" w:rsidRPr="003015FD">
        <w:t xml:space="preserve"> </w:t>
      </w:r>
      <w:r w:rsidRPr="003015FD">
        <w:t>there</w:t>
      </w:r>
      <w:r w:rsidR="00975895" w:rsidRPr="003015FD">
        <w:t xml:space="preserve"> </w:t>
      </w:r>
      <w:r w:rsidRPr="003015FD">
        <w:t>were</w:t>
      </w:r>
      <w:r w:rsidR="00975895" w:rsidRPr="003015FD">
        <w:t xml:space="preserve"> </w:t>
      </w:r>
      <w:r w:rsidRPr="003015FD">
        <w:t>some</w:t>
      </w:r>
      <w:r w:rsidR="00975895" w:rsidRPr="003015FD">
        <w:t xml:space="preserve"> </w:t>
      </w:r>
      <w:r w:rsidRPr="003015FD">
        <w:t>clear</w:t>
      </w:r>
      <w:r w:rsidR="00975895" w:rsidRPr="003015FD">
        <w:t xml:space="preserve"> </w:t>
      </w:r>
      <w:r w:rsidRPr="003015FD">
        <w:t>themes</w:t>
      </w:r>
      <w:r w:rsidR="00975895" w:rsidRPr="003015FD">
        <w:t xml:space="preserve"> </w:t>
      </w:r>
      <w:r w:rsidRPr="003015FD">
        <w:t>to</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litigation.</w:t>
      </w:r>
      <w:r w:rsidR="00975895" w:rsidRPr="003015FD">
        <w:t xml:space="preserve"> </w:t>
      </w:r>
      <w:r w:rsidRPr="003015FD">
        <w:t>This</w:t>
      </w:r>
      <w:r w:rsidR="00975895" w:rsidRPr="003015FD">
        <w:t xml:space="preserve"> </w:t>
      </w:r>
      <w:r w:rsidRPr="003015FD">
        <w:t>chapter</w:t>
      </w:r>
      <w:r w:rsidR="00975895" w:rsidRPr="003015FD">
        <w:t xml:space="preserve"> </w:t>
      </w:r>
      <w:r w:rsidRPr="003015FD">
        <w:t>focuses</w:t>
      </w:r>
      <w:r w:rsidR="00975895" w:rsidRPr="003015FD">
        <w:t xml:space="preserve"> </w:t>
      </w:r>
      <w:r w:rsidRPr="003015FD">
        <w:t>on</w:t>
      </w:r>
      <w:r w:rsidR="00975895" w:rsidRPr="003015FD">
        <w:t xml:space="preserve"> </w:t>
      </w:r>
      <w:r w:rsidRPr="003015FD">
        <w:t>cases</w:t>
      </w:r>
      <w:r w:rsidR="00975895" w:rsidRPr="003015FD">
        <w:t xml:space="preserve"> </w:t>
      </w:r>
      <w:r w:rsidRPr="003015FD">
        <w:t>that</w:t>
      </w:r>
      <w:r w:rsidR="00975895" w:rsidRPr="003015FD">
        <w:t xml:space="preserve"> </w:t>
      </w:r>
      <w:r w:rsidRPr="003015FD">
        <w:t>involved:</w:t>
      </w:r>
    </w:p>
    <w:p w14:paraId="0D1588C8" w14:textId="0A7792CB" w:rsidR="008E0945" w:rsidRPr="0002642E" w:rsidRDefault="008E0945" w:rsidP="0002642E">
      <w:pPr>
        <w:pStyle w:val="ListBullet"/>
        <w:rPr>
          <w:rStyle w:val="Characterclear"/>
        </w:rPr>
      </w:pPr>
      <w:r w:rsidRPr="00632213">
        <w:t>the</w:t>
      </w:r>
      <w:r w:rsidR="00975895" w:rsidRPr="0002642E">
        <w:rPr>
          <w:rStyle w:val="Characterclear"/>
        </w:rPr>
        <w:t xml:space="preserve"> </w:t>
      </w:r>
      <w:r w:rsidRPr="0002642E">
        <w:rPr>
          <w:rStyle w:val="Characterbold"/>
          <w:lang w:val="en-GB"/>
        </w:rPr>
        <w:t>right</w:t>
      </w:r>
      <w:r w:rsidR="00975895" w:rsidRPr="0002642E">
        <w:rPr>
          <w:rStyle w:val="Characterbold"/>
          <w:lang w:val="en-GB"/>
        </w:rPr>
        <w:t xml:space="preserve"> </w:t>
      </w:r>
      <w:r w:rsidRPr="0002642E">
        <w:rPr>
          <w:rStyle w:val="Characterbold"/>
          <w:lang w:val="en-GB"/>
        </w:rPr>
        <w:t>to</w:t>
      </w:r>
      <w:r w:rsidR="00975895" w:rsidRPr="0002642E">
        <w:rPr>
          <w:rStyle w:val="Characterbold"/>
          <w:lang w:val="en-GB"/>
        </w:rPr>
        <w:t xml:space="preserve"> </w:t>
      </w:r>
      <w:r w:rsidRPr="0002642E">
        <w:rPr>
          <w:rStyle w:val="Characterbold"/>
          <w:lang w:val="en-GB"/>
        </w:rPr>
        <w:t>a</w:t>
      </w:r>
      <w:r w:rsidR="00975895" w:rsidRPr="0002642E">
        <w:rPr>
          <w:rStyle w:val="Characterbold"/>
          <w:lang w:val="en-GB"/>
        </w:rPr>
        <w:t xml:space="preserve"> </w:t>
      </w:r>
      <w:r w:rsidRPr="0002642E">
        <w:rPr>
          <w:rStyle w:val="Characterbold"/>
          <w:lang w:val="en-GB"/>
        </w:rPr>
        <w:t>fair</w:t>
      </w:r>
      <w:r w:rsidR="00975895" w:rsidRPr="0002642E">
        <w:rPr>
          <w:rStyle w:val="Characterbold"/>
          <w:lang w:val="en-GB"/>
        </w:rPr>
        <w:t xml:space="preserve"> </w:t>
      </w:r>
      <w:r w:rsidRPr="0002642E">
        <w:rPr>
          <w:rStyle w:val="Characterbold"/>
          <w:lang w:val="en-GB"/>
        </w:rPr>
        <w:t>hearing</w:t>
      </w:r>
      <w:r w:rsidR="00975895" w:rsidRPr="0002642E">
        <w:rPr>
          <w:rStyle w:val="Characterclear"/>
        </w:rPr>
        <w:t xml:space="preserve"> </w:t>
      </w:r>
      <w:r w:rsidRPr="0002642E">
        <w:rPr>
          <w:rStyle w:val="Characterclear"/>
        </w:rPr>
        <w:t>in</w:t>
      </w:r>
      <w:r w:rsidR="00975895" w:rsidRPr="0002642E">
        <w:rPr>
          <w:rStyle w:val="Characterclear"/>
        </w:rPr>
        <w:t xml:space="preserve"> </w:t>
      </w:r>
      <w:r w:rsidRPr="0002642E">
        <w:rPr>
          <w:rStyle w:val="Characterclear"/>
        </w:rPr>
        <w:t>the</w:t>
      </w:r>
      <w:r w:rsidR="00975895" w:rsidRPr="0002642E">
        <w:rPr>
          <w:rStyle w:val="Characterclear"/>
        </w:rPr>
        <w:t xml:space="preserve"> </w:t>
      </w:r>
      <w:r w:rsidRPr="0002642E">
        <w:rPr>
          <w:rStyle w:val="Characterclear"/>
        </w:rPr>
        <w:t>context</w:t>
      </w:r>
      <w:r w:rsidR="00975895" w:rsidRPr="0002642E">
        <w:rPr>
          <w:rStyle w:val="Characterclear"/>
        </w:rPr>
        <w:t xml:space="preserve"> </w:t>
      </w:r>
      <w:r w:rsidRPr="0002642E">
        <w:rPr>
          <w:rStyle w:val="Characterclear"/>
        </w:rPr>
        <w:t>of</w:t>
      </w:r>
      <w:r w:rsidR="00975895" w:rsidRPr="0002642E">
        <w:rPr>
          <w:rStyle w:val="Characterclear"/>
        </w:rPr>
        <w:t xml:space="preserve"> </w:t>
      </w:r>
      <w:r w:rsidRPr="0002642E">
        <w:rPr>
          <w:rStyle w:val="Characterclear"/>
        </w:rPr>
        <w:t>unrepresented</w:t>
      </w:r>
      <w:r w:rsidR="00975895" w:rsidRPr="0002642E">
        <w:rPr>
          <w:rStyle w:val="Characterclear"/>
        </w:rPr>
        <w:t xml:space="preserve"> </w:t>
      </w:r>
      <w:r w:rsidRPr="0002642E">
        <w:rPr>
          <w:rStyle w:val="Characterclear"/>
        </w:rPr>
        <w:t>litigants</w:t>
      </w:r>
      <w:r w:rsidR="00975895" w:rsidRPr="0002642E">
        <w:rPr>
          <w:rStyle w:val="Characterclear"/>
        </w:rPr>
        <w:t xml:space="preserve"> </w:t>
      </w:r>
      <w:r w:rsidRPr="0002642E">
        <w:rPr>
          <w:rStyle w:val="Characterclear"/>
        </w:rPr>
        <w:t>(</w:t>
      </w:r>
      <w:r w:rsidRPr="0002642E">
        <w:rPr>
          <w:rStyle w:val="Characteritalic"/>
          <w:lang w:val="en-GB"/>
        </w:rPr>
        <w:t>Roberts</w:t>
      </w:r>
      <w:r w:rsidR="00975895" w:rsidRPr="0002642E">
        <w:rPr>
          <w:rStyle w:val="Characteritalic"/>
          <w:lang w:val="en-GB"/>
        </w:rPr>
        <w:t xml:space="preserve"> </w:t>
      </w:r>
      <w:r w:rsidRPr="0002642E">
        <w:rPr>
          <w:rStyle w:val="Characteritalic"/>
          <w:lang w:val="en-GB"/>
        </w:rPr>
        <w:t>v</w:t>
      </w:r>
      <w:r w:rsidR="00975895" w:rsidRPr="0002642E">
        <w:rPr>
          <w:rStyle w:val="Characteritalic"/>
          <w:lang w:val="en-GB"/>
        </w:rPr>
        <w:t xml:space="preserve"> </w:t>
      </w:r>
      <w:r w:rsidRPr="0002642E">
        <w:rPr>
          <w:rStyle w:val="Characteritalic"/>
          <w:lang w:val="en-GB"/>
        </w:rPr>
        <w:t>Harkness</w:t>
      </w:r>
      <w:r w:rsidRPr="0002642E">
        <w:rPr>
          <w:rStyle w:val="Characterclear"/>
        </w:rPr>
        <w:t>)</w:t>
      </w:r>
      <w:r w:rsidR="00975895" w:rsidRPr="0002642E">
        <w:rPr>
          <w:rStyle w:val="Characterclear"/>
        </w:rPr>
        <w:t xml:space="preserve"> </w:t>
      </w:r>
      <w:r w:rsidRPr="0002642E">
        <w:rPr>
          <w:rStyle w:val="Characterclear"/>
        </w:rPr>
        <w:t>and</w:t>
      </w:r>
      <w:r w:rsidR="00975895" w:rsidRPr="0002642E">
        <w:rPr>
          <w:rStyle w:val="Characterclear"/>
        </w:rPr>
        <w:t xml:space="preserve"> </w:t>
      </w:r>
      <w:r w:rsidRPr="0002642E">
        <w:rPr>
          <w:rStyle w:val="Characterclear"/>
        </w:rPr>
        <w:t>in</w:t>
      </w:r>
      <w:r w:rsidR="00975895" w:rsidRPr="0002642E">
        <w:rPr>
          <w:rStyle w:val="Characterclear"/>
        </w:rPr>
        <w:t xml:space="preserve"> </w:t>
      </w:r>
      <w:r w:rsidRPr="0002642E">
        <w:rPr>
          <w:rStyle w:val="Characterclear"/>
        </w:rPr>
        <w:t>situations</w:t>
      </w:r>
      <w:r w:rsidR="00975895" w:rsidRPr="0002642E">
        <w:rPr>
          <w:rStyle w:val="Characterclear"/>
        </w:rPr>
        <w:t xml:space="preserve"> </w:t>
      </w:r>
      <w:r w:rsidRPr="0002642E">
        <w:rPr>
          <w:rStyle w:val="Characterclear"/>
        </w:rPr>
        <w:t>where</w:t>
      </w:r>
      <w:r w:rsidR="00975895" w:rsidRPr="0002642E">
        <w:rPr>
          <w:rStyle w:val="Characterclear"/>
        </w:rPr>
        <w:t xml:space="preserve"> </w:t>
      </w:r>
      <w:r w:rsidRPr="0002642E">
        <w:rPr>
          <w:rStyle w:val="Characterclear"/>
        </w:rPr>
        <w:t>the</w:t>
      </w:r>
      <w:r w:rsidR="00975895" w:rsidRPr="0002642E">
        <w:rPr>
          <w:rStyle w:val="Characterclear"/>
        </w:rPr>
        <w:t xml:space="preserve"> </w:t>
      </w:r>
      <w:r w:rsidRPr="0002642E">
        <w:rPr>
          <w:rStyle w:val="Characterclear"/>
        </w:rPr>
        <w:t>parties</w:t>
      </w:r>
      <w:r w:rsidR="00975895" w:rsidRPr="0002642E">
        <w:rPr>
          <w:rStyle w:val="Characterclear"/>
        </w:rPr>
        <w:t xml:space="preserve"> </w:t>
      </w:r>
      <w:r w:rsidRPr="0002642E">
        <w:rPr>
          <w:rStyle w:val="Characterclear"/>
        </w:rPr>
        <w:t>have</w:t>
      </w:r>
      <w:r w:rsidR="00975895" w:rsidRPr="0002642E">
        <w:rPr>
          <w:rStyle w:val="Characterclear"/>
        </w:rPr>
        <w:t xml:space="preserve"> </w:t>
      </w:r>
      <w:r w:rsidRPr="0002642E">
        <w:rPr>
          <w:rStyle w:val="Characterclear"/>
        </w:rPr>
        <w:t>not</w:t>
      </w:r>
      <w:r w:rsidR="00975895" w:rsidRPr="0002642E">
        <w:rPr>
          <w:rStyle w:val="Characterclear"/>
        </w:rPr>
        <w:t xml:space="preserve"> </w:t>
      </w:r>
      <w:r w:rsidRPr="0002642E">
        <w:rPr>
          <w:rStyle w:val="Characterclear"/>
        </w:rPr>
        <w:t>been</w:t>
      </w:r>
      <w:r w:rsidR="00975895" w:rsidRPr="0002642E">
        <w:rPr>
          <w:rStyle w:val="Characterclear"/>
        </w:rPr>
        <w:t xml:space="preserve"> </w:t>
      </w:r>
      <w:r w:rsidRPr="0002642E">
        <w:rPr>
          <w:rStyle w:val="Characterclear"/>
        </w:rPr>
        <w:t>notified</w:t>
      </w:r>
      <w:r w:rsidR="00975895" w:rsidRPr="0002642E">
        <w:rPr>
          <w:rStyle w:val="Characterclear"/>
        </w:rPr>
        <w:t xml:space="preserve"> </w:t>
      </w:r>
      <w:r w:rsidRPr="0002642E">
        <w:rPr>
          <w:rStyle w:val="Characterclear"/>
        </w:rPr>
        <w:t>of,</w:t>
      </w:r>
      <w:r w:rsidR="00975895" w:rsidRPr="0002642E">
        <w:rPr>
          <w:rStyle w:val="Characterclear"/>
        </w:rPr>
        <w:t xml:space="preserve"> </w:t>
      </w:r>
      <w:r w:rsidRPr="0002642E">
        <w:rPr>
          <w:rStyle w:val="Characterclear"/>
        </w:rPr>
        <w:t>and</w:t>
      </w:r>
      <w:r w:rsidR="00975895" w:rsidRPr="0002642E">
        <w:rPr>
          <w:rStyle w:val="Characterclear"/>
        </w:rPr>
        <w:t xml:space="preserve"> </w:t>
      </w:r>
      <w:r w:rsidRPr="0002642E">
        <w:rPr>
          <w:rStyle w:val="Characterclear"/>
        </w:rPr>
        <w:t>are</w:t>
      </w:r>
      <w:r w:rsidR="00975895" w:rsidRPr="0002642E">
        <w:rPr>
          <w:rStyle w:val="Characterclear"/>
        </w:rPr>
        <w:t xml:space="preserve"> </w:t>
      </w:r>
      <w:r w:rsidRPr="0002642E">
        <w:rPr>
          <w:rStyle w:val="Characterclear"/>
        </w:rPr>
        <w:t>not</w:t>
      </w:r>
      <w:r w:rsidR="00975895" w:rsidRPr="0002642E">
        <w:rPr>
          <w:rStyle w:val="Characterclear"/>
        </w:rPr>
        <w:t xml:space="preserve"> </w:t>
      </w:r>
      <w:r w:rsidRPr="0002642E">
        <w:rPr>
          <w:rStyle w:val="Characterclear"/>
        </w:rPr>
        <w:t>present</w:t>
      </w:r>
      <w:r w:rsidR="00975895" w:rsidRPr="0002642E">
        <w:rPr>
          <w:rStyle w:val="Characterclear"/>
        </w:rPr>
        <w:t xml:space="preserve"> </w:t>
      </w:r>
      <w:r w:rsidRPr="0002642E">
        <w:rPr>
          <w:rStyle w:val="Characterclear"/>
        </w:rPr>
        <w:t>at,</w:t>
      </w:r>
      <w:r w:rsidR="00975895" w:rsidRPr="0002642E">
        <w:rPr>
          <w:rStyle w:val="Characterclear"/>
        </w:rPr>
        <w:t xml:space="preserve"> </w:t>
      </w:r>
      <w:r w:rsidRPr="0002642E">
        <w:rPr>
          <w:rStyle w:val="Characterclear"/>
        </w:rPr>
        <w:t>the</w:t>
      </w:r>
      <w:r w:rsidR="00975895" w:rsidRPr="0002642E">
        <w:rPr>
          <w:rStyle w:val="Characterclear"/>
        </w:rPr>
        <w:t xml:space="preserve"> </w:t>
      </w:r>
      <w:r w:rsidRPr="0002642E">
        <w:rPr>
          <w:rStyle w:val="Characterclear"/>
        </w:rPr>
        <w:t>proceedings</w:t>
      </w:r>
      <w:r w:rsidR="00975895" w:rsidRPr="0002642E">
        <w:rPr>
          <w:rStyle w:val="Characterclear"/>
        </w:rPr>
        <w:t xml:space="preserve"> </w:t>
      </w:r>
      <w:r w:rsidRPr="0002642E">
        <w:rPr>
          <w:rStyle w:val="Characterclear"/>
        </w:rPr>
        <w:t>(</w:t>
      </w:r>
      <w:r w:rsidRPr="0002642E">
        <w:rPr>
          <w:rStyle w:val="Characteritalic"/>
          <w:lang w:val="en-GB"/>
        </w:rPr>
        <w:t>AB</w:t>
      </w:r>
      <w:r w:rsidR="00975895" w:rsidRPr="0002642E">
        <w:rPr>
          <w:rStyle w:val="Characteritalic"/>
          <w:lang w:val="en-GB"/>
        </w:rPr>
        <w:t xml:space="preserve"> </w:t>
      </w:r>
      <w:r w:rsidRPr="0002642E">
        <w:rPr>
          <w:rStyle w:val="Characteritalic"/>
          <w:lang w:val="en-GB"/>
        </w:rPr>
        <w:t>&amp;</w:t>
      </w:r>
      <w:r w:rsidR="00975895" w:rsidRPr="0002642E">
        <w:rPr>
          <w:rStyle w:val="Characteritalic"/>
          <w:lang w:val="en-GB"/>
        </w:rPr>
        <w:t xml:space="preserve"> </w:t>
      </w:r>
      <w:r w:rsidRPr="0002642E">
        <w:rPr>
          <w:rStyle w:val="Characteritalic"/>
          <w:lang w:val="en-GB"/>
        </w:rPr>
        <w:t>EF</w:t>
      </w:r>
      <w:r w:rsidR="00975895" w:rsidRPr="0002642E">
        <w:rPr>
          <w:rStyle w:val="Characteritalic"/>
          <w:lang w:val="en-GB"/>
        </w:rPr>
        <w:t xml:space="preserve"> </w:t>
      </w:r>
      <w:r w:rsidRPr="0002642E">
        <w:rPr>
          <w:rStyle w:val="Characteritalic"/>
          <w:lang w:val="en-GB"/>
        </w:rPr>
        <w:t>v</w:t>
      </w:r>
      <w:r w:rsidR="00975895" w:rsidRPr="0002642E">
        <w:rPr>
          <w:rStyle w:val="Characteritalic"/>
          <w:lang w:val="en-GB"/>
        </w:rPr>
        <w:t xml:space="preserve"> </w:t>
      </w:r>
      <w:r w:rsidRPr="0002642E">
        <w:rPr>
          <w:rStyle w:val="Characteritalic"/>
          <w:lang w:val="en-GB"/>
        </w:rPr>
        <w:t>CD</w:t>
      </w:r>
      <w:r w:rsidRPr="0002642E">
        <w:rPr>
          <w:rStyle w:val="Characterclear"/>
        </w:rPr>
        <w:t>)</w:t>
      </w:r>
    </w:p>
    <w:p w14:paraId="0E2D21C6" w14:textId="14DE755C" w:rsidR="008E0945" w:rsidRPr="0002642E" w:rsidRDefault="008E0945" w:rsidP="0002642E">
      <w:pPr>
        <w:pStyle w:val="ListBullet"/>
        <w:rPr>
          <w:rStyle w:val="Characterclear"/>
        </w:rPr>
      </w:pPr>
      <w:r w:rsidRPr="00632213">
        <w:t>the</w:t>
      </w:r>
      <w:r w:rsidR="00975895" w:rsidRPr="0002642E">
        <w:rPr>
          <w:rStyle w:val="Characterclear"/>
        </w:rPr>
        <w:t xml:space="preserve"> </w:t>
      </w:r>
      <w:r w:rsidRPr="0002642E">
        <w:rPr>
          <w:rStyle w:val="Characterbold"/>
          <w:lang w:val="en-GB"/>
        </w:rPr>
        <w:t>right</w:t>
      </w:r>
      <w:r w:rsidR="00975895" w:rsidRPr="0002642E">
        <w:rPr>
          <w:rStyle w:val="Characterbold"/>
          <w:lang w:val="en-GB"/>
        </w:rPr>
        <w:t xml:space="preserve"> </w:t>
      </w:r>
      <w:r w:rsidRPr="0002642E">
        <w:rPr>
          <w:rStyle w:val="Characterbold"/>
          <w:lang w:val="en-GB"/>
        </w:rPr>
        <w:t>to</w:t>
      </w:r>
      <w:r w:rsidR="00975895" w:rsidRPr="0002642E">
        <w:rPr>
          <w:rStyle w:val="Characterbold"/>
          <w:lang w:val="en-GB"/>
        </w:rPr>
        <w:t xml:space="preserve"> </w:t>
      </w:r>
      <w:r w:rsidRPr="0002642E">
        <w:rPr>
          <w:rStyle w:val="Characterbold"/>
          <w:lang w:val="en-GB"/>
        </w:rPr>
        <w:t>equality</w:t>
      </w:r>
      <w:r w:rsidR="00975895" w:rsidRPr="0002642E">
        <w:rPr>
          <w:rStyle w:val="Characterbold"/>
          <w:lang w:val="en-GB"/>
        </w:rPr>
        <w:t xml:space="preserve"> </w:t>
      </w:r>
      <w:r w:rsidRPr="0002642E">
        <w:rPr>
          <w:rStyle w:val="Characterbold"/>
          <w:lang w:val="en-GB"/>
        </w:rPr>
        <w:t>and</w:t>
      </w:r>
      <w:r w:rsidR="00975895" w:rsidRPr="0002642E">
        <w:rPr>
          <w:rStyle w:val="Characterbold"/>
          <w:lang w:val="en-GB"/>
        </w:rPr>
        <w:t xml:space="preserve"> </w:t>
      </w:r>
      <w:r w:rsidRPr="0002642E">
        <w:rPr>
          <w:rStyle w:val="Characterbold"/>
          <w:lang w:val="en-GB"/>
        </w:rPr>
        <w:t>non-discrimination</w:t>
      </w:r>
      <w:r w:rsidR="00975895" w:rsidRPr="0002642E">
        <w:rPr>
          <w:rStyle w:val="Characterbold"/>
          <w:lang w:val="en-GB"/>
        </w:rPr>
        <w:t xml:space="preserve"> </w:t>
      </w:r>
      <w:r w:rsidRPr="0002642E">
        <w:rPr>
          <w:rStyle w:val="Characterbold"/>
          <w:lang w:val="en-GB"/>
        </w:rPr>
        <w:t>before</w:t>
      </w:r>
      <w:r w:rsidR="00975895" w:rsidRPr="0002642E">
        <w:rPr>
          <w:rStyle w:val="Characterbold"/>
          <w:lang w:val="en-GB"/>
        </w:rPr>
        <w:t xml:space="preserve"> </w:t>
      </w:r>
      <w:r w:rsidRPr="0002642E">
        <w:rPr>
          <w:rStyle w:val="Characterbold"/>
          <w:lang w:val="en-GB"/>
        </w:rPr>
        <w:t>the</w:t>
      </w:r>
      <w:r w:rsidR="00975895" w:rsidRPr="0002642E">
        <w:rPr>
          <w:rStyle w:val="Characterbold"/>
          <w:lang w:val="en-GB"/>
        </w:rPr>
        <w:t xml:space="preserve"> </w:t>
      </w:r>
      <w:r w:rsidRPr="0002642E">
        <w:rPr>
          <w:rStyle w:val="Characterbold"/>
          <w:lang w:val="en-GB"/>
        </w:rPr>
        <w:t>law</w:t>
      </w:r>
      <w:r w:rsidR="00975895" w:rsidRPr="00C9414D">
        <w:rPr>
          <w:rFonts w:cs="Arial"/>
        </w:rPr>
        <w:t xml:space="preserve"> </w:t>
      </w:r>
      <w:r w:rsidRPr="00C9414D">
        <w:rPr>
          <w:rFonts w:cs="Arial"/>
        </w:rPr>
        <w:t>in</w:t>
      </w:r>
      <w:r w:rsidR="00975895" w:rsidRPr="00C9414D">
        <w:rPr>
          <w:rFonts w:cs="Arial"/>
        </w:rPr>
        <w:t xml:space="preserve"> </w:t>
      </w:r>
      <w:r w:rsidRPr="00C9414D">
        <w:rPr>
          <w:rFonts w:cs="Arial"/>
        </w:rPr>
        <w:t>relation</w:t>
      </w:r>
      <w:r w:rsidR="00975895" w:rsidRPr="00C9414D">
        <w:rPr>
          <w:rFonts w:cs="Arial"/>
        </w:rPr>
        <w:t xml:space="preserve"> </w:t>
      </w:r>
      <w:r w:rsidRPr="00C9414D">
        <w:rPr>
          <w:rFonts w:cs="Arial"/>
        </w:rPr>
        <w:t>to</w:t>
      </w:r>
      <w:r w:rsidR="00975895" w:rsidRPr="00C9414D">
        <w:rPr>
          <w:rFonts w:cs="Arial"/>
        </w:rPr>
        <w:t xml:space="preserve"> </w:t>
      </w:r>
      <w:r w:rsidR="005F4134" w:rsidRPr="00C9414D">
        <w:rPr>
          <w:rFonts w:cs="Arial"/>
        </w:rPr>
        <w:t xml:space="preserve">people </w:t>
      </w:r>
      <w:r w:rsidRPr="00C9414D">
        <w:rPr>
          <w:rFonts w:cs="Arial"/>
        </w:rPr>
        <w:t>with</w:t>
      </w:r>
      <w:r w:rsidR="00975895" w:rsidRPr="00C9414D">
        <w:rPr>
          <w:rFonts w:cs="Arial"/>
        </w:rPr>
        <w:t xml:space="preserve"> </w:t>
      </w:r>
      <w:r w:rsidRPr="00C9414D">
        <w:rPr>
          <w:rFonts w:cs="Arial"/>
        </w:rPr>
        <w:t>a</w:t>
      </w:r>
      <w:r w:rsidR="00975895" w:rsidRPr="00C9414D">
        <w:rPr>
          <w:rFonts w:cs="Arial"/>
        </w:rPr>
        <w:t xml:space="preserve"> </w:t>
      </w:r>
      <w:r w:rsidRPr="00C9414D">
        <w:rPr>
          <w:rFonts w:cs="Arial"/>
        </w:rPr>
        <w:t>mental</w:t>
      </w:r>
      <w:r w:rsidR="00975895" w:rsidRPr="00C9414D">
        <w:rPr>
          <w:rFonts w:cs="Arial"/>
        </w:rPr>
        <w:t xml:space="preserve"> </w:t>
      </w:r>
      <w:r w:rsidRPr="00C9414D">
        <w:rPr>
          <w:rFonts w:cs="Arial"/>
        </w:rPr>
        <w:t>illness</w:t>
      </w:r>
      <w:r w:rsidR="00975895" w:rsidRPr="00C9414D">
        <w:rPr>
          <w:rFonts w:cs="Arial"/>
        </w:rPr>
        <w:t xml:space="preserve"> </w:t>
      </w:r>
      <w:r w:rsidRPr="00C9414D">
        <w:rPr>
          <w:rFonts w:cs="Arial"/>
        </w:rPr>
        <w:t>(</w:t>
      </w:r>
      <w:r w:rsidRPr="0002642E">
        <w:rPr>
          <w:rStyle w:val="Characteritalic"/>
          <w:lang w:val="en-GB"/>
        </w:rPr>
        <w:t>PBU</w:t>
      </w:r>
      <w:r w:rsidR="00975895" w:rsidRPr="0002642E">
        <w:rPr>
          <w:rStyle w:val="Characteritalic"/>
          <w:lang w:val="en-GB"/>
        </w:rPr>
        <w:t xml:space="preserve"> </w:t>
      </w:r>
      <w:r w:rsidRPr="0002642E">
        <w:rPr>
          <w:rStyle w:val="Characteritalic"/>
          <w:lang w:val="en-GB"/>
        </w:rPr>
        <w:t>&amp;</w:t>
      </w:r>
      <w:r w:rsidR="00975895" w:rsidRPr="0002642E">
        <w:rPr>
          <w:rStyle w:val="Characteritalic"/>
          <w:lang w:val="en-GB"/>
        </w:rPr>
        <w:t xml:space="preserve"> </w:t>
      </w:r>
      <w:r w:rsidRPr="0002642E">
        <w:rPr>
          <w:rStyle w:val="Characteritalic"/>
          <w:lang w:val="en-GB"/>
        </w:rPr>
        <w:t>NJE</w:t>
      </w:r>
      <w:r w:rsidR="00975895" w:rsidRPr="0002642E">
        <w:rPr>
          <w:rStyle w:val="Characteritalic"/>
          <w:lang w:val="en-GB"/>
        </w:rPr>
        <w:t xml:space="preserve"> </w:t>
      </w:r>
      <w:r w:rsidRPr="0002642E">
        <w:rPr>
          <w:rStyle w:val="Characteritalic"/>
          <w:lang w:val="en-GB"/>
        </w:rPr>
        <w:t>v</w:t>
      </w:r>
      <w:r w:rsidR="00975895" w:rsidRPr="0002642E">
        <w:rPr>
          <w:rStyle w:val="Characteritalic"/>
          <w:lang w:val="en-GB"/>
        </w:rPr>
        <w:t xml:space="preserve"> </w:t>
      </w:r>
      <w:r w:rsidRPr="0002642E">
        <w:rPr>
          <w:rStyle w:val="Characteritalic"/>
          <w:lang w:val="en-GB"/>
        </w:rPr>
        <w:t>Mental</w:t>
      </w:r>
      <w:r w:rsidR="00975895" w:rsidRPr="0002642E">
        <w:rPr>
          <w:rStyle w:val="Characteritalic"/>
          <w:lang w:val="en-GB"/>
        </w:rPr>
        <w:t xml:space="preserve"> </w:t>
      </w:r>
      <w:r w:rsidRPr="0002642E">
        <w:rPr>
          <w:rStyle w:val="Characteritalic"/>
          <w:lang w:val="en-GB"/>
        </w:rPr>
        <w:t>Health</w:t>
      </w:r>
      <w:r w:rsidR="00975895" w:rsidRPr="0002642E">
        <w:rPr>
          <w:rStyle w:val="Characteritalic"/>
          <w:lang w:val="en-GB"/>
        </w:rPr>
        <w:t xml:space="preserve"> </w:t>
      </w:r>
      <w:r w:rsidRPr="0002642E">
        <w:rPr>
          <w:rStyle w:val="Characteritalic"/>
          <w:lang w:val="en-GB"/>
        </w:rPr>
        <w:t>Tribunal)</w:t>
      </w:r>
      <w:r w:rsidR="00975895" w:rsidRPr="0002642E">
        <w:rPr>
          <w:rStyle w:val="Characteritalic"/>
          <w:lang w:val="en-GB"/>
        </w:rPr>
        <w:t xml:space="preserve"> </w:t>
      </w:r>
      <w:r w:rsidRPr="0002642E">
        <w:rPr>
          <w:rStyle w:val="Characteritalic"/>
          <w:lang w:val="en-GB"/>
        </w:rPr>
        <w:t>and</w:t>
      </w:r>
      <w:r w:rsidR="00975895" w:rsidRPr="0002642E">
        <w:rPr>
          <w:rStyle w:val="Characteritalic"/>
          <w:lang w:val="en-GB"/>
        </w:rPr>
        <w:t xml:space="preserve"> </w:t>
      </w:r>
      <w:r w:rsidRPr="00C9414D">
        <w:rPr>
          <w:rFonts w:cs="Arial"/>
        </w:rPr>
        <w:t>access</w:t>
      </w:r>
      <w:r w:rsidR="00975895" w:rsidRPr="00C9414D">
        <w:rPr>
          <w:rFonts w:cs="Arial"/>
        </w:rPr>
        <w:t xml:space="preserve"> </w:t>
      </w:r>
      <w:r w:rsidRPr="00C9414D">
        <w:rPr>
          <w:rFonts w:cs="Arial"/>
        </w:rPr>
        <w:t>to,</w:t>
      </w:r>
      <w:r w:rsidR="00975895" w:rsidRPr="00C9414D">
        <w:rPr>
          <w:rFonts w:cs="Arial"/>
        </w:rPr>
        <w:t xml:space="preserve"> </w:t>
      </w:r>
      <w:r w:rsidRPr="00C9414D">
        <w:rPr>
          <w:rFonts w:cs="Arial"/>
        </w:rPr>
        <w:t>and</w:t>
      </w:r>
      <w:r w:rsidR="00975895" w:rsidRPr="00C9414D">
        <w:rPr>
          <w:rFonts w:cs="Arial"/>
        </w:rPr>
        <w:t xml:space="preserve"> </w:t>
      </w:r>
      <w:r w:rsidRPr="00C9414D">
        <w:rPr>
          <w:rFonts w:cs="Arial"/>
        </w:rPr>
        <w:t>use</w:t>
      </w:r>
      <w:r w:rsidR="00975895" w:rsidRPr="00C9414D">
        <w:rPr>
          <w:rFonts w:cs="Arial"/>
        </w:rPr>
        <w:t xml:space="preserve"> </w:t>
      </w:r>
      <w:r w:rsidRPr="00C9414D">
        <w:rPr>
          <w:rFonts w:cs="Arial"/>
        </w:rPr>
        <w:t>of,</w:t>
      </w:r>
      <w:r w:rsidR="00975895" w:rsidRPr="00C9414D">
        <w:rPr>
          <w:rFonts w:cs="Arial"/>
        </w:rPr>
        <w:t xml:space="preserve"> </w:t>
      </w:r>
      <w:r w:rsidRPr="00C9414D">
        <w:rPr>
          <w:rFonts w:cs="Arial"/>
        </w:rPr>
        <w:t>common</w:t>
      </w:r>
      <w:r w:rsidR="00975895" w:rsidRPr="00C9414D">
        <w:rPr>
          <w:rFonts w:cs="Arial"/>
        </w:rPr>
        <w:t xml:space="preserve"> </w:t>
      </w:r>
      <w:r w:rsidRPr="00C9414D">
        <w:rPr>
          <w:rFonts w:cs="Arial"/>
        </w:rPr>
        <w:t>property</w:t>
      </w:r>
      <w:r w:rsidR="00975895" w:rsidRPr="00C9414D">
        <w:rPr>
          <w:rFonts w:cs="Arial"/>
        </w:rPr>
        <w:t xml:space="preserve"> </w:t>
      </w:r>
      <w:r w:rsidRPr="00C9414D">
        <w:rPr>
          <w:rFonts w:cs="Arial"/>
        </w:rPr>
        <w:t>of</w:t>
      </w:r>
      <w:r w:rsidR="00975895" w:rsidRPr="00C9414D">
        <w:rPr>
          <w:rFonts w:cs="Arial"/>
        </w:rPr>
        <w:t xml:space="preserve"> </w:t>
      </w:r>
      <w:r w:rsidRPr="00C9414D">
        <w:rPr>
          <w:rFonts w:cs="Arial"/>
        </w:rPr>
        <w:t>an</w:t>
      </w:r>
      <w:r w:rsidR="00975895" w:rsidRPr="00C9414D">
        <w:rPr>
          <w:rFonts w:cs="Arial"/>
        </w:rPr>
        <w:t xml:space="preserve"> </w:t>
      </w:r>
      <w:r w:rsidRPr="00C9414D">
        <w:rPr>
          <w:rFonts w:cs="Arial"/>
        </w:rPr>
        <w:t>owners</w:t>
      </w:r>
      <w:r w:rsidR="000C5726" w:rsidRPr="00C9414D">
        <w:rPr>
          <w:rFonts w:cs="Arial"/>
        </w:rPr>
        <w:t>'</w:t>
      </w:r>
      <w:r w:rsidR="00975895" w:rsidRPr="00C9414D">
        <w:rPr>
          <w:rFonts w:cs="Arial"/>
        </w:rPr>
        <w:t xml:space="preserve"> </w:t>
      </w:r>
      <w:r w:rsidRPr="00C9414D">
        <w:rPr>
          <w:rFonts w:cs="Arial"/>
        </w:rPr>
        <w:t>corporation</w:t>
      </w:r>
      <w:r w:rsidR="00975895" w:rsidRPr="00C9414D">
        <w:rPr>
          <w:rFonts w:cs="Arial"/>
        </w:rPr>
        <w:t xml:space="preserve"> </w:t>
      </w:r>
      <w:r w:rsidRPr="00C9414D">
        <w:rPr>
          <w:rFonts w:cs="Arial"/>
        </w:rPr>
        <w:t>(</w:t>
      </w:r>
      <w:r w:rsidRPr="0002642E">
        <w:rPr>
          <w:rStyle w:val="Characteritalic"/>
          <w:lang w:val="en-GB"/>
        </w:rPr>
        <w:t>Owners</w:t>
      </w:r>
      <w:r w:rsidR="00975895" w:rsidRPr="0002642E">
        <w:rPr>
          <w:rStyle w:val="Characteritalic"/>
          <w:lang w:val="en-GB"/>
        </w:rPr>
        <w:t xml:space="preserve"> </w:t>
      </w:r>
      <w:r w:rsidRPr="0002642E">
        <w:rPr>
          <w:rStyle w:val="Characteritalic"/>
          <w:lang w:val="en-GB"/>
        </w:rPr>
        <w:t>Corporation</w:t>
      </w:r>
      <w:r w:rsidR="00975895" w:rsidRPr="0002642E">
        <w:rPr>
          <w:rStyle w:val="Characteritalic"/>
          <w:lang w:val="en-GB"/>
        </w:rPr>
        <w:t xml:space="preserve"> </w:t>
      </w:r>
      <w:r w:rsidRPr="0002642E">
        <w:rPr>
          <w:rStyle w:val="Characteritalic"/>
          <w:lang w:val="en-GB"/>
        </w:rPr>
        <w:t>v</w:t>
      </w:r>
      <w:r w:rsidR="00975895" w:rsidRPr="0002642E">
        <w:rPr>
          <w:rStyle w:val="Characteritalic"/>
          <w:lang w:val="en-GB"/>
        </w:rPr>
        <w:t xml:space="preserve"> </w:t>
      </w:r>
      <w:r w:rsidRPr="0002642E">
        <w:rPr>
          <w:rStyle w:val="Characteritalic"/>
          <w:lang w:val="en-GB"/>
        </w:rPr>
        <w:t>Black</w:t>
      </w:r>
      <w:r w:rsidRPr="00C9414D">
        <w:rPr>
          <w:rFonts w:cs="Arial"/>
        </w:rPr>
        <w:t>).</w:t>
      </w:r>
    </w:p>
    <w:p w14:paraId="7475567C" w14:textId="4B2D3EA4" w:rsidR="008E0945" w:rsidRPr="0002642E" w:rsidRDefault="008E0945" w:rsidP="0002642E">
      <w:pPr>
        <w:pStyle w:val="BodyText"/>
        <w:rPr>
          <w:rStyle w:val="Characterbold"/>
          <w:b w:val="0"/>
        </w:rPr>
      </w:pPr>
      <w:r w:rsidRPr="0002642E">
        <w:rPr>
          <w:rStyle w:val="Characterbold"/>
          <w:b w:val="0"/>
        </w:rPr>
        <w:t>The</w:t>
      </w:r>
      <w:r w:rsidR="00975895" w:rsidRPr="0002642E">
        <w:rPr>
          <w:rStyle w:val="Characterbold"/>
          <w:b w:val="0"/>
        </w:rPr>
        <w:t xml:space="preserve"> </w:t>
      </w:r>
      <w:r w:rsidRPr="0002642E">
        <w:rPr>
          <w:rStyle w:val="Characterbold"/>
          <w:b w:val="0"/>
        </w:rPr>
        <w:t>Commission</w:t>
      </w:r>
      <w:r w:rsidR="00975895" w:rsidRPr="0002642E">
        <w:rPr>
          <w:rStyle w:val="Characterbold"/>
          <w:b w:val="0"/>
        </w:rPr>
        <w:t xml:space="preserve"> </w:t>
      </w:r>
      <w:r w:rsidRPr="0002642E">
        <w:rPr>
          <w:rStyle w:val="Characterbold"/>
          <w:b w:val="0"/>
        </w:rPr>
        <w:t>has</w:t>
      </w:r>
      <w:r w:rsidR="00975895" w:rsidRPr="0002642E">
        <w:rPr>
          <w:rStyle w:val="Characterbold"/>
          <w:b w:val="0"/>
        </w:rPr>
        <w:t xml:space="preserve"> </w:t>
      </w:r>
      <w:r w:rsidRPr="0002642E">
        <w:rPr>
          <w:rStyle w:val="Characterbold"/>
          <w:b w:val="0"/>
        </w:rPr>
        <w:t>the</w:t>
      </w:r>
      <w:r w:rsidR="00975895" w:rsidRPr="0002642E">
        <w:rPr>
          <w:rStyle w:val="Characterbold"/>
          <w:b w:val="0"/>
        </w:rPr>
        <w:t xml:space="preserve"> </w:t>
      </w:r>
      <w:r w:rsidRPr="0002642E">
        <w:rPr>
          <w:rStyle w:val="Characterbold"/>
          <w:b w:val="0"/>
        </w:rPr>
        <w:t>power</w:t>
      </w:r>
      <w:r w:rsidR="00975895" w:rsidRPr="0002642E">
        <w:rPr>
          <w:rStyle w:val="Characterbold"/>
          <w:b w:val="0"/>
        </w:rPr>
        <w:t xml:space="preserve"> </w:t>
      </w:r>
      <w:r w:rsidRPr="0002642E">
        <w:rPr>
          <w:rStyle w:val="Characterbold"/>
          <w:b w:val="0"/>
        </w:rPr>
        <w:t>to</w:t>
      </w:r>
      <w:r w:rsidR="00975895" w:rsidRPr="0002642E">
        <w:rPr>
          <w:rStyle w:val="Characterbold"/>
          <w:b w:val="0"/>
        </w:rPr>
        <w:t xml:space="preserve"> </w:t>
      </w:r>
      <w:r w:rsidRPr="0002642E">
        <w:rPr>
          <w:rStyle w:val="Characterbold"/>
          <w:b w:val="0"/>
        </w:rPr>
        <w:t>intervene</w:t>
      </w:r>
      <w:r w:rsidR="00975895" w:rsidRPr="0002642E">
        <w:rPr>
          <w:rStyle w:val="Characterbold"/>
          <w:b w:val="0"/>
        </w:rPr>
        <w:t xml:space="preserve"> </w:t>
      </w:r>
      <w:r w:rsidRPr="0002642E">
        <w:rPr>
          <w:rStyle w:val="Characterbold"/>
          <w:b w:val="0"/>
        </w:rPr>
        <w:t>in</w:t>
      </w:r>
      <w:r w:rsidR="00975895" w:rsidRPr="0002642E">
        <w:rPr>
          <w:rStyle w:val="Characterbold"/>
          <w:b w:val="0"/>
        </w:rPr>
        <w:t xml:space="preserve"> </w:t>
      </w:r>
      <w:r w:rsidRPr="0002642E">
        <w:rPr>
          <w:rStyle w:val="Characterbold"/>
          <w:b w:val="0"/>
        </w:rPr>
        <w:t>court</w:t>
      </w:r>
      <w:r w:rsidR="00975895" w:rsidRPr="0002642E">
        <w:rPr>
          <w:rStyle w:val="Characterbold"/>
          <w:b w:val="0"/>
        </w:rPr>
        <w:t xml:space="preserve"> </w:t>
      </w:r>
      <w:r w:rsidRPr="0002642E">
        <w:rPr>
          <w:rStyle w:val="Characterbold"/>
          <w:b w:val="0"/>
        </w:rPr>
        <w:t>proceedings</w:t>
      </w:r>
      <w:r w:rsidR="00975895" w:rsidRPr="0002642E">
        <w:rPr>
          <w:rStyle w:val="Characterbold"/>
          <w:b w:val="0"/>
        </w:rPr>
        <w:t xml:space="preserve"> </w:t>
      </w:r>
      <w:r w:rsidRPr="0002642E">
        <w:rPr>
          <w:rStyle w:val="Characterbold"/>
          <w:b w:val="0"/>
        </w:rPr>
        <w:t>to</w:t>
      </w:r>
      <w:r w:rsidR="00975895" w:rsidRPr="0002642E">
        <w:rPr>
          <w:rStyle w:val="Characterbold"/>
          <w:b w:val="0"/>
        </w:rPr>
        <w:t xml:space="preserve"> </w:t>
      </w:r>
      <w:r w:rsidRPr="0002642E">
        <w:rPr>
          <w:rStyle w:val="Characterbold"/>
          <w:b w:val="0"/>
        </w:rPr>
        <w:t>assist</w:t>
      </w:r>
      <w:r w:rsidR="00975895" w:rsidRPr="0002642E">
        <w:rPr>
          <w:rStyle w:val="Characterbold"/>
          <w:b w:val="0"/>
        </w:rPr>
        <w:t xml:space="preserve"> </w:t>
      </w:r>
      <w:r w:rsidRPr="0002642E">
        <w:rPr>
          <w:rStyle w:val="Characterbold"/>
          <w:b w:val="0"/>
        </w:rPr>
        <w:t>the</w:t>
      </w:r>
      <w:r w:rsidR="00975895" w:rsidRPr="0002642E">
        <w:rPr>
          <w:rStyle w:val="Characterbold"/>
          <w:b w:val="0"/>
        </w:rPr>
        <w:t xml:space="preserve"> </w:t>
      </w:r>
      <w:r w:rsidR="007B5703" w:rsidRPr="0002642E">
        <w:rPr>
          <w:rStyle w:val="Characterbold"/>
          <w:b w:val="0"/>
        </w:rPr>
        <w:t>c</w:t>
      </w:r>
      <w:r w:rsidRPr="0002642E">
        <w:rPr>
          <w:rStyle w:val="Characterbold"/>
          <w:b w:val="0"/>
        </w:rPr>
        <w:t>ourt</w:t>
      </w:r>
      <w:r w:rsidR="00975895" w:rsidRPr="0002642E">
        <w:rPr>
          <w:rStyle w:val="Characterbold"/>
          <w:b w:val="0"/>
        </w:rPr>
        <w:t xml:space="preserve"> </w:t>
      </w:r>
      <w:r w:rsidRPr="0002642E">
        <w:rPr>
          <w:rStyle w:val="Characterbold"/>
          <w:b w:val="0"/>
        </w:rPr>
        <w:t>to</w:t>
      </w:r>
      <w:r w:rsidR="00975895" w:rsidRPr="0002642E">
        <w:rPr>
          <w:rStyle w:val="Characterbold"/>
          <w:b w:val="0"/>
        </w:rPr>
        <w:t xml:space="preserve"> </w:t>
      </w:r>
      <w:r w:rsidRPr="0002642E">
        <w:rPr>
          <w:rStyle w:val="Characterbold"/>
          <w:b w:val="0"/>
        </w:rPr>
        <w:t>understand</w:t>
      </w:r>
      <w:r w:rsidR="00975895" w:rsidRPr="0002642E">
        <w:rPr>
          <w:rStyle w:val="Characterbold"/>
          <w:b w:val="0"/>
        </w:rPr>
        <w:t xml:space="preserve"> </w:t>
      </w:r>
      <w:r w:rsidRPr="0002642E">
        <w:rPr>
          <w:rStyle w:val="Characterbold"/>
          <w:b w:val="0"/>
        </w:rPr>
        <w:t>and</w:t>
      </w:r>
      <w:r w:rsidR="00975895" w:rsidRPr="0002642E">
        <w:rPr>
          <w:rStyle w:val="Characterbold"/>
          <w:b w:val="0"/>
        </w:rPr>
        <w:t xml:space="preserve"> </w:t>
      </w:r>
      <w:r w:rsidRPr="0002642E">
        <w:rPr>
          <w:rStyle w:val="Characterbold"/>
          <w:b w:val="0"/>
        </w:rPr>
        <w:t>apply</w:t>
      </w:r>
      <w:r w:rsidR="00975895" w:rsidRPr="0002642E">
        <w:rPr>
          <w:rStyle w:val="Characterbold"/>
          <w:b w:val="0"/>
        </w:rPr>
        <w:t xml:space="preserve"> </w:t>
      </w:r>
      <w:r w:rsidRPr="0002642E">
        <w:rPr>
          <w:rStyle w:val="Characterbold"/>
          <w:b w:val="0"/>
        </w:rPr>
        <w:t>the</w:t>
      </w:r>
      <w:r w:rsidR="00975895" w:rsidRPr="0002642E">
        <w:rPr>
          <w:rStyle w:val="Characterbold"/>
          <w:b w:val="0"/>
        </w:rPr>
        <w:t xml:space="preserve"> </w:t>
      </w:r>
      <w:r w:rsidRPr="0002642E">
        <w:rPr>
          <w:rStyle w:val="Characterbold"/>
          <w:b w:val="0"/>
        </w:rPr>
        <w:t>Charter.</w:t>
      </w:r>
      <w:r w:rsidR="00975895" w:rsidRPr="0002642E">
        <w:rPr>
          <w:rStyle w:val="Characterbold"/>
          <w:b w:val="0"/>
        </w:rPr>
        <w:t xml:space="preserve"> </w:t>
      </w:r>
      <w:r w:rsidRPr="0002642E">
        <w:rPr>
          <w:rStyle w:val="Characterbold"/>
          <w:b w:val="0"/>
        </w:rPr>
        <w:t>We</w:t>
      </w:r>
      <w:r w:rsidR="00975895" w:rsidRPr="0002642E">
        <w:rPr>
          <w:rStyle w:val="Characterbold"/>
          <w:b w:val="0"/>
        </w:rPr>
        <w:t xml:space="preserve"> </w:t>
      </w:r>
      <w:r w:rsidRPr="0002642E">
        <w:rPr>
          <w:rStyle w:val="Characterbold"/>
          <w:b w:val="0"/>
        </w:rPr>
        <w:t>intervened</w:t>
      </w:r>
      <w:r w:rsidR="00975895" w:rsidRPr="0002642E">
        <w:rPr>
          <w:rStyle w:val="Characterbold"/>
          <w:b w:val="0"/>
        </w:rPr>
        <w:t xml:space="preserve"> </w:t>
      </w:r>
      <w:r w:rsidRPr="0002642E">
        <w:rPr>
          <w:rStyle w:val="Characterbold"/>
          <w:b w:val="0"/>
        </w:rPr>
        <w:t>in</w:t>
      </w:r>
      <w:r w:rsidR="00975895" w:rsidRPr="0002642E">
        <w:rPr>
          <w:rStyle w:val="Characterbold"/>
          <w:b w:val="0"/>
        </w:rPr>
        <w:t xml:space="preserve"> </w:t>
      </w:r>
      <w:r w:rsidRPr="0002642E">
        <w:rPr>
          <w:rStyle w:val="Characterbold"/>
          <w:b w:val="0"/>
        </w:rPr>
        <w:t>two</w:t>
      </w:r>
      <w:r w:rsidR="00975895" w:rsidRPr="0002642E">
        <w:rPr>
          <w:rStyle w:val="Characterbold"/>
          <w:b w:val="0"/>
        </w:rPr>
        <w:t xml:space="preserve"> </w:t>
      </w:r>
      <w:r w:rsidRPr="0002642E">
        <w:rPr>
          <w:rStyle w:val="Characterbold"/>
          <w:b w:val="0"/>
        </w:rPr>
        <w:t>significant</w:t>
      </w:r>
      <w:r w:rsidR="00975895" w:rsidRPr="0002642E">
        <w:rPr>
          <w:rStyle w:val="Characterbold"/>
          <w:b w:val="0"/>
        </w:rPr>
        <w:t xml:space="preserve"> </w:t>
      </w:r>
      <w:r w:rsidRPr="0002642E">
        <w:rPr>
          <w:rStyle w:val="Characterbold"/>
          <w:b w:val="0"/>
        </w:rPr>
        <w:t>matters</w:t>
      </w:r>
      <w:r w:rsidR="00975895" w:rsidRPr="0002642E">
        <w:rPr>
          <w:rStyle w:val="Characterbold"/>
          <w:b w:val="0"/>
        </w:rPr>
        <w:t xml:space="preserve"> </w:t>
      </w:r>
      <w:r w:rsidRPr="0002642E">
        <w:rPr>
          <w:rStyle w:val="Characterbold"/>
          <w:b w:val="0"/>
        </w:rPr>
        <w:t>in</w:t>
      </w:r>
      <w:r w:rsidR="00975895" w:rsidRPr="0002642E">
        <w:rPr>
          <w:rStyle w:val="Characterbold"/>
          <w:b w:val="0"/>
        </w:rPr>
        <w:t xml:space="preserve"> </w:t>
      </w:r>
      <w:r w:rsidRPr="0002642E">
        <w:rPr>
          <w:rStyle w:val="Characterbold"/>
          <w:b w:val="0"/>
        </w:rPr>
        <w:t>2018:</w:t>
      </w:r>
    </w:p>
    <w:p w14:paraId="5483BDAB" w14:textId="7831003C" w:rsidR="008E0945" w:rsidRPr="0002642E" w:rsidRDefault="008E0945" w:rsidP="0002642E">
      <w:pPr>
        <w:pStyle w:val="ListBullet"/>
        <w:rPr>
          <w:rStyle w:val="Characterbold"/>
          <w:b w:val="0"/>
          <w:lang w:val="en-GB"/>
        </w:rPr>
      </w:pPr>
      <w:proofErr w:type="spellStart"/>
      <w:r w:rsidRPr="0002642E">
        <w:rPr>
          <w:rStyle w:val="Characterbold"/>
          <w:lang w:val="en-GB"/>
        </w:rPr>
        <w:t>Cemino</w:t>
      </w:r>
      <w:proofErr w:type="spellEnd"/>
      <w:r w:rsidR="00975895" w:rsidRPr="0002642E">
        <w:rPr>
          <w:rStyle w:val="Characterbold"/>
          <w:lang w:val="en-GB"/>
        </w:rPr>
        <w:t xml:space="preserve"> </w:t>
      </w:r>
      <w:r w:rsidRPr="0002642E">
        <w:rPr>
          <w:rStyle w:val="Characterbold"/>
          <w:lang w:val="en-GB"/>
        </w:rPr>
        <w:t>v</w:t>
      </w:r>
      <w:r w:rsidR="00975895" w:rsidRPr="0002642E">
        <w:rPr>
          <w:rStyle w:val="Characterbold"/>
          <w:lang w:val="en-GB"/>
        </w:rPr>
        <w:t xml:space="preserve"> </w:t>
      </w:r>
      <w:proofErr w:type="spellStart"/>
      <w:r w:rsidRPr="0002642E">
        <w:rPr>
          <w:rStyle w:val="Characterbold"/>
          <w:lang w:val="en-GB"/>
        </w:rPr>
        <w:t>Cannan</w:t>
      </w:r>
      <w:proofErr w:type="spellEnd"/>
      <w:r w:rsidR="00975895" w:rsidRPr="0002642E">
        <w:rPr>
          <w:rStyle w:val="Characterbold"/>
          <w:lang w:val="en-GB"/>
        </w:rPr>
        <w:t xml:space="preserve"> </w:t>
      </w:r>
      <w:r w:rsidRPr="0002642E">
        <w:rPr>
          <w:rStyle w:val="Characterbold"/>
          <w:lang w:val="en-GB"/>
        </w:rPr>
        <w:t>&amp;</w:t>
      </w:r>
      <w:r w:rsidR="00975895" w:rsidRPr="0002642E">
        <w:rPr>
          <w:rStyle w:val="Characterbold"/>
          <w:lang w:val="en-GB"/>
        </w:rPr>
        <w:t xml:space="preserve"> </w:t>
      </w:r>
      <w:proofErr w:type="spellStart"/>
      <w:r w:rsidRPr="0002642E">
        <w:rPr>
          <w:rStyle w:val="Characterbold"/>
          <w:lang w:val="en-GB"/>
        </w:rPr>
        <w:t>Ors</w:t>
      </w:r>
      <w:proofErr w:type="spellEnd"/>
      <w:r w:rsidRPr="0002642E">
        <w:rPr>
          <w:rStyle w:val="Characterbold"/>
          <w:b w:val="0"/>
          <w:lang w:val="en-GB"/>
        </w:rPr>
        <w:t>:</w:t>
      </w:r>
      <w:r w:rsidR="00975895" w:rsidRPr="0002642E">
        <w:rPr>
          <w:rStyle w:val="Characterbold"/>
          <w:b w:val="0"/>
          <w:lang w:val="en-GB"/>
        </w:rPr>
        <w:t xml:space="preserve"> </w:t>
      </w:r>
      <w:r w:rsidR="00904C4A" w:rsidRPr="0002642E">
        <w:rPr>
          <w:rStyle w:val="Characterbold"/>
          <w:b w:val="0"/>
          <w:lang w:val="en-GB"/>
        </w:rPr>
        <w:t>T</w:t>
      </w:r>
      <w:r w:rsidRPr="0002642E">
        <w:rPr>
          <w:rStyle w:val="Characterbold"/>
          <w:b w:val="0"/>
          <w:lang w:val="en-GB"/>
        </w:rPr>
        <w:t>he</w:t>
      </w:r>
      <w:r w:rsidR="00975895" w:rsidRPr="0002642E">
        <w:rPr>
          <w:rStyle w:val="Characterbold"/>
          <w:b w:val="0"/>
          <w:lang w:val="en-GB"/>
        </w:rPr>
        <w:t xml:space="preserve"> </w:t>
      </w:r>
      <w:r w:rsidRPr="0002642E">
        <w:rPr>
          <w:rStyle w:val="Characterbold"/>
          <w:b w:val="0"/>
          <w:lang w:val="en-GB"/>
        </w:rPr>
        <w:t>Supreme</w:t>
      </w:r>
      <w:r w:rsidR="00975895" w:rsidRPr="0002642E">
        <w:rPr>
          <w:rStyle w:val="Characterbold"/>
          <w:b w:val="0"/>
          <w:lang w:val="en-GB"/>
        </w:rPr>
        <w:t xml:space="preserve"> </w:t>
      </w:r>
      <w:r w:rsidRPr="0002642E">
        <w:rPr>
          <w:rStyle w:val="Characterbold"/>
          <w:b w:val="0"/>
          <w:lang w:val="en-GB"/>
        </w:rPr>
        <w:t>Court</w:t>
      </w:r>
      <w:r w:rsidR="00975895" w:rsidRPr="0002642E">
        <w:rPr>
          <w:rStyle w:val="Characterbold"/>
          <w:b w:val="0"/>
          <w:lang w:val="en-GB"/>
        </w:rPr>
        <w:t xml:space="preserve"> </w:t>
      </w:r>
      <w:r w:rsidRPr="0002642E">
        <w:rPr>
          <w:rStyle w:val="Characterbold"/>
          <w:b w:val="0"/>
          <w:lang w:val="en-GB"/>
        </w:rPr>
        <w:t>confirmed</w:t>
      </w:r>
      <w:r w:rsidR="00975895" w:rsidRPr="0002642E">
        <w:rPr>
          <w:rStyle w:val="Characterbold"/>
          <w:b w:val="0"/>
          <w:lang w:val="en-GB"/>
        </w:rPr>
        <w:t xml:space="preserve"> </w:t>
      </w:r>
      <w:r w:rsidR="007B5703" w:rsidRPr="0002642E">
        <w:rPr>
          <w:rStyle w:val="Characterbold"/>
          <w:b w:val="0"/>
          <w:lang w:val="en-GB"/>
        </w:rPr>
        <w:t>c</w:t>
      </w:r>
      <w:r w:rsidRPr="0002642E">
        <w:rPr>
          <w:rStyle w:val="Characterbold"/>
          <w:b w:val="0"/>
          <w:lang w:val="en-GB"/>
        </w:rPr>
        <w:t>ourts</w:t>
      </w:r>
      <w:r w:rsidR="00975895" w:rsidRPr="0002642E">
        <w:rPr>
          <w:rStyle w:val="Characterbold"/>
          <w:b w:val="0"/>
          <w:lang w:val="en-GB"/>
        </w:rPr>
        <w:t xml:space="preserve"> </w:t>
      </w:r>
      <w:r w:rsidRPr="0002642E">
        <w:rPr>
          <w:rStyle w:val="Characterbold"/>
          <w:b w:val="0"/>
          <w:lang w:val="en-GB"/>
        </w:rPr>
        <w:t>must</w:t>
      </w:r>
      <w:r w:rsidR="00975895" w:rsidRPr="0002642E">
        <w:rPr>
          <w:rStyle w:val="Characterbold"/>
          <w:b w:val="0"/>
          <w:lang w:val="en-GB"/>
        </w:rPr>
        <w:t xml:space="preserve"> </w:t>
      </w:r>
      <w:r w:rsidRPr="0002642E">
        <w:rPr>
          <w:rStyle w:val="Characterbold"/>
          <w:b w:val="0"/>
          <w:lang w:val="en-GB"/>
        </w:rPr>
        <w:t>consider</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distinct</w:t>
      </w:r>
      <w:r w:rsidR="00975895" w:rsidRPr="0002642E">
        <w:rPr>
          <w:rStyle w:val="Characterbold"/>
          <w:b w:val="0"/>
          <w:lang w:val="en-GB"/>
        </w:rPr>
        <w:t xml:space="preserve"> </w:t>
      </w:r>
      <w:r w:rsidRPr="0002642E">
        <w:rPr>
          <w:rStyle w:val="Characterbold"/>
          <w:b w:val="0"/>
          <w:lang w:val="en-GB"/>
        </w:rPr>
        <w:t>cultural</w:t>
      </w:r>
      <w:r w:rsidR="00975895" w:rsidRPr="0002642E">
        <w:rPr>
          <w:rStyle w:val="Characterbold"/>
          <w:b w:val="0"/>
          <w:lang w:val="en-GB"/>
        </w:rPr>
        <w:t xml:space="preserve"> </w:t>
      </w:r>
      <w:r w:rsidRPr="0002642E">
        <w:rPr>
          <w:rStyle w:val="Characterbold"/>
          <w:b w:val="0"/>
          <w:lang w:val="en-GB"/>
        </w:rPr>
        <w:t>rights</w:t>
      </w:r>
      <w:r w:rsidR="00975895" w:rsidRPr="0002642E">
        <w:rPr>
          <w:rStyle w:val="Characterbold"/>
          <w:b w:val="0"/>
          <w:lang w:val="en-GB"/>
        </w:rPr>
        <w:t xml:space="preserve"> </w:t>
      </w:r>
      <w:r w:rsidRPr="0002642E">
        <w:rPr>
          <w:rStyle w:val="Characterbold"/>
          <w:b w:val="0"/>
          <w:lang w:val="en-GB"/>
        </w:rPr>
        <w:t>of</w:t>
      </w:r>
      <w:r w:rsidR="00975895" w:rsidRPr="0002642E">
        <w:rPr>
          <w:rStyle w:val="Characterbold"/>
          <w:b w:val="0"/>
          <w:lang w:val="en-GB"/>
        </w:rPr>
        <w:t xml:space="preserve"> </w:t>
      </w:r>
      <w:r w:rsidRPr="0002642E">
        <w:rPr>
          <w:rStyle w:val="Characterbold"/>
          <w:b w:val="0"/>
          <w:lang w:val="en-GB"/>
        </w:rPr>
        <w:t>Aboriginal</w:t>
      </w:r>
      <w:r w:rsidR="00975895" w:rsidRPr="0002642E">
        <w:rPr>
          <w:rStyle w:val="Characterbold"/>
          <w:b w:val="0"/>
          <w:lang w:val="en-GB"/>
        </w:rPr>
        <w:t xml:space="preserve"> </w:t>
      </w:r>
      <w:r w:rsidRPr="0002642E">
        <w:rPr>
          <w:rStyle w:val="Characterbold"/>
          <w:b w:val="0"/>
          <w:lang w:val="en-GB"/>
        </w:rPr>
        <w:t>people</w:t>
      </w:r>
      <w:r w:rsidR="00975895" w:rsidRPr="0002642E">
        <w:rPr>
          <w:rStyle w:val="Characterbold"/>
          <w:b w:val="0"/>
          <w:lang w:val="en-GB"/>
        </w:rPr>
        <w:t xml:space="preserve"> </w:t>
      </w:r>
      <w:r w:rsidRPr="0002642E">
        <w:rPr>
          <w:rStyle w:val="Characterbold"/>
          <w:b w:val="0"/>
          <w:lang w:val="en-GB"/>
        </w:rPr>
        <w:t>under</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Charter</w:t>
      </w:r>
      <w:r w:rsidR="00975895" w:rsidRPr="0002642E">
        <w:rPr>
          <w:rStyle w:val="Characterbold"/>
          <w:b w:val="0"/>
          <w:lang w:val="en-GB"/>
        </w:rPr>
        <w:t xml:space="preserve"> </w:t>
      </w:r>
      <w:r w:rsidRPr="0002642E">
        <w:rPr>
          <w:rStyle w:val="Characterbold"/>
          <w:b w:val="0"/>
          <w:lang w:val="en-GB"/>
        </w:rPr>
        <w:t>when</w:t>
      </w:r>
      <w:r w:rsidR="00975895" w:rsidRPr="0002642E">
        <w:rPr>
          <w:rStyle w:val="Characterbold"/>
          <w:b w:val="0"/>
          <w:lang w:val="en-GB"/>
        </w:rPr>
        <w:t xml:space="preserve"> </w:t>
      </w:r>
      <w:r w:rsidRPr="0002642E">
        <w:rPr>
          <w:rStyle w:val="Characterbold"/>
          <w:b w:val="0"/>
          <w:lang w:val="en-GB"/>
        </w:rPr>
        <w:t>making</w:t>
      </w:r>
      <w:r w:rsidR="00975895" w:rsidRPr="0002642E">
        <w:rPr>
          <w:rStyle w:val="Characterbold"/>
          <w:b w:val="0"/>
          <w:lang w:val="en-GB"/>
        </w:rPr>
        <w:t xml:space="preserve"> </w:t>
      </w:r>
      <w:r w:rsidRPr="0002642E">
        <w:rPr>
          <w:rStyle w:val="Characterbold"/>
          <w:b w:val="0"/>
          <w:lang w:val="en-GB"/>
        </w:rPr>
        <w:t>decisions</w:t>
      </w:r>
      <w:r w:rsidR="00975895" w:rsidRPr="0002642E">
        <w:rPr>
          <w:rStyle w:val="Characterbold"/>
          <w:b w:val="0"/>
          <w:lang w:val="en-GB"/>
        </w:rPr>
        <w:t xml:space="preserve"> </w:t>
      </w:r>
      <w:r w:rsidRPr="0002642E">
        <w:rPr>
          <w:rStyle w:val="Characterbold"/>
          <w:b w:val="0"/>
          <w:lang w:val="en-GB"/>
        </w:rPr>
        <w:t>in</w:t>
      </w:r>
      <w:r w:rsidR="00975895" w:rsidRPr="0002642E">
        <w:rPr>
          <w:rStyle w:val="Characterbold"/>
          <w:b w:val="0"/>
          <w:lang w:val="en-GB"/>
        </w:rPr>
        <w:t xml:space="preserve"> </w:t>
      </w:r>
      <w:r w:rsidRPr="0002642E">
        <w:rPr>
          <w:rStyle w:val="Characterbold"/>
          <w:b w:val="0"/>
          <w:lang w:val="en-GB"/>
        </w:rPr>
        <w:t>relation</w:t>
      </w:r>
      <w:r w:rsidR="00975895" w:rsidRPr="0002642E">
        <w:rPr>
          <w:rStyle w:val="Characterbold"/>
          <w:b w:val="0"/>
          <w:lang w:val="en-GB"/>
        </w:rPr>
        <w:t xml:space="preserve"> </w:t>
      </w:r>
      <w:r w:rsidRPr="0002642E">
        <w:rPr>
          <w:rStyle w:val="Characterbold"/>
          <w:b w:val="0"/>
          <w:lang w:val="en-GB"/>
        </w:rPr>
        <w:t>to</w:t>
      </w:r>
      <w:r w:rsidR="00975895" w:rsidRPr="0002642E">
        <w:rPr>
          <w:rStyle w:val="Characterbold"/>
          <w:b w:val="0"/>
          <w:lang w:val="en-GB"/>
        </w:rPr>
        <w:t xml:space="preserve"> </w:t>
      </w:r>
      <w:r w:rsidRPr="0002642E">
        <w:rPr>
          <w:rStyle w:val="Characterbold"/>
          <w:b w:val="0"/>
          <w:lang w:val="en-GB"/>
        </w:rPr>
        <w:t>a</w:t>
      </w:r>
      <w:r w:rsidR="00975895" w:rsidRPr="0002642E">
        <w:rPr>
          <w:rStyle w:val="Characterbold"/>
          <w:b w:val="0"/>
          <w:lang w:val="en-GB"/>
        </w:rPr>
        <w:t xml:space="preserve"> </w:t>
      </w:r>
      <w:r w:rsidRPr="0002642E">
        <w:rPr>
          <w:rStyle w:val="Characterbold"/>
          <w:b w:val="0"/>
          <w:lang w:val="en-GB"/>
        </w:rPr>
        <w:t>request</w:t>
      </w:r>
      <w:r w:rsidR="00975895" w:rsidRPr="0002642E">
        <w:rPr>
          <w:rStyle w:val="Characterbold"/>
          <w:b w:val="0"/>
          <w:lang w:val="en-GB"/>
        </w:rPr>
        <w:t xml:space="preserve"> </w:t>
      </w:r>
      <w:r w:rsidRPr="0002642E">
        <w:rPr>
          <w:rStyle w:val="Characterbold"/>
          <w:b w:val="0"/>
          <w:lang w:val="en-GB"/>
        </w:rPr>
        <w:t>to</w:t>
      </w:r>
      <w:r w:rsidR="00975895" w:rsidRPr="0002642E">
        <w:rPr>
          <w:rStyle w:val="Characterbold"/>
          <w:b w:val="0"/>
          <w:lang w:val="en-GB"/>
        </w:rPr>
        <w:t xml:space="preserve"> </w:t>
      </w:r>
      <w:r w:rsidRPr="0002642E">
        <w:rPr>
          <w:rStyle w:val="Characterbold"/>
          <w:b w:val="0"/>
          <w:lang w:val="en-GB"/>
        </w:rPr>
        <w:t>be</w:t>
      </w:r>
      <w:r w:rsidR="00975895" w:rsidRPr="0002642E">
        <w:rPr>
          <w:rStyle w:val="Characterbold"/>
          <w:b w:val="0"/>
          <w:lang w:val="en-GB"/>
        </w:rPr>
        <w:t xml:space="preserve"> </w:t>
      </w:r>
      <w:r w:rsidRPr="0002642E">
        <w:rPr>
          <w:rStyle w:val="Characterbold"/>
          <w:b w:val="0"/>
          <w:lang w:val="en-GB"/>
        </w:rPr>
        <w:t>heard</w:t>
      </w:r>
      <w:r w:rsidR="00975895" w:rsidRPr="0002642E">
        <w:rPr>
          <w:rStyle w:val="Characterbold"/>
          <w:b w:val="0"/>
          <w:lang w:val="en-GB"/>
        </w:rPr>
        <w:t xml:space="preserve"> </w:t>
      </w:r>
      <w:r w:rsidRPr="0002642E">
        <w:rPr>
          <w:rStyle w:val="Characterbold"/>
          <w:b w:val="0"/>
          <w:lang w:val="en-GB"/>
        </w:rPr>
        <w:t>in</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Koori</w:t>
      </w:r>
      <w:r w:rsidR="00975895" w:rsidRPr="0002642E">
        <w:rPr>
          <w:rStyle w:val="Characterbold"/>
          <w:b w:val="0"/>
          <w:lang w:val="en-GB"/>
        </w:rPr>
        <w:t xml:space="preserve"> </w:t>
      </w:r>
      <w:r w:rsidRPr="0002642E">
        <w:rPr>
          <w:rStyle w:val="Characterbold"/>
          <w:b w:val="0"/>
          <w:lang w:val="en-GB"/>
        </w:rPr>
        <w:t>Court.</w:t>
      </w:r>
      <w:r w:rsidR="00975895" w:rsidRPr="0002642E">
        <w:rPr>
          <w:rStyle w:val="Characterclear"/>
        </w:rPr>
        <w:t xml:space="preserve"> </w:t>
      </w:r>
      <w:r w:rsidRPr="0002642E">
        <w:rPr>
          <w:rStyle w:val="Characterclear"/>
        </w:rPr>
        <w:t>This</w:t>
      </w:r>
      <w:r w:rsidR="00975895" w:rsidRPr="0002642E">
        <w:rPr>
          <w:rStyle w:val="Characterclear"/>
        </w:rPr>
        <w:t xml:space="preserve"> </w:t>
      </w:r>
      <w:r w:rsidRPr="0002642E">
        <w:rPr>
          <w:rStyle w:val="Characterclear"/>
        </w:rPr>
        <w:t>decision</w:t>
      </w:r>
      <w:r w:rsidR="00975895" w:rsidRPr="0002642E">
        <w:rPr>
          <w:rStyle w:val="Characterclear"/>
        </w:rPr>
        <w:t xml:space="preserve"> </w:t>
      </w:r>
      <w:r w:rsidRPr="0002642E">
        <w:rPr>
          <w:rStyle w:val="Characterclear"/>
        </w:rPr>
        <w:t>has</w:t>
      </w:r>
      <w:r w:rsidR="00975895" w:rsidRPr="0002642E">
        <w:rPr>
          <w:rStyle w:val="Characterclear"/>
        </w:rPr>
        <w:t xml:space="preserve"> </w:t>
      </w:r>
      <w:r w:rsidRPr="0002642E">
        <w:rPr>
          <w:rStyle w:val="Characterclear"/>
        </w:rPr>
        <w:t>the</w:t>
      </w:r>
      <w:r w:rsidR="00975895" w:rsidRPr="0002642E">
        <w:rPr>
          <w:rStyle w:val="Characterclear"/>
        </w:rPr>
        <w:t xml:space="preserve"> </w:t>
      </w:r>
      <w:r w:rsidRPr="0002642E">
        <w:rPr>
          <w:rStyle w:val="Characterclear"/>
        </w:rPr>
        <w:t>potential</w:t>
      </w:r>
      <w:r w:rsidR="00975895" w:rsidRPr="0002642E">
        <w:rPr>
          <w:rStyle w:val="Characterclear"/>
        </w:rPr>
        <w:t xml:space="preserve"> </w:t>
      </w:r>
      <w:r w:rsidRPr="0002642E">
        <w:rPr>
          <w:rStyle w:val="Characterclear"/>
        </w:rPr>
        <w:t>to</w:t>
      </w:r>
      <w:r w:rsidR="00975895" w:rsidRPr="0002642E">
        <w:rPr>
          <w:rStyle w:val="Characterclear"/>
        </w:rPr>
        <w:t xml:space="preserve"> </w:t>
      </w:r>
      <w:r w:rsidRPr="0002642E">
        <w:rPr>
          <w:rStyle w:val="Characterclear"/>
        </w:rPr>
        <w:t>assist</w:t>
      </w:r>
      <w:r w:rsidR="00975895" w:rsidRPr="0002642E">
        <w:rPr>
          <w:rStyle w:val="Characterclear"/>
        </w:rPr>
        <w:t xml:space="preserve"> </w:t>
      </w:r>
      <w:r w:rsidRPr="0002642E">
        <w:rPr>
          <w:rStyle w:val="Characterclear"/>
        </w:rPr>
        <w:t>Aboriginal</w:t>
      </w:r>
      <w:r w:rsidR="00975895" w:rsidRPr="0002642E">
        <w:rPr>
          <w:rStyle w:val="Characterclear"/>
        </w:rPr>
        <w:t xml:space="preserve"> </w:t>
      </w:r>
      <w:r w:rsidRPr="0002642E">
        <w:rPr>
          <w:rStyle w:val="Characterclear"/>
        </w:rPr>
        <w:t>people</w:t>
      </w:r>
      <w:r w:rsidR="00975895" w:rsidRPr="0002642E">
        <w:rPr>
          <w:rStyle w:val="Characterclear"/>
        </w:rPr>
        <w:t xml:space="preserve"> </w:t>
      </w:r>
      <w:r w:rsidRPr="0002642E">
        <w:rPr>
          <w:rStyle w:val="Characterclear"/>
        </w:rPr>
        <w:t>to</w:t>
      </w:r>
      <w:r w:rsidR="00975895" w:rsidRPr="0002642E">
        <w:rPr>
          <w:rStyle w:val="Characterclear"/>
        </w:rPr>
        <w:t xml:space="preserve"> </w:t>
      </w:r>
      <w:r w:rsidRPr="0002642E">
        <w:rPr>
          <w:rStyle w:val="Characterclear"/>
        </w:rPr>
        <w:t>access</w:t>
      </w:r>
      <w:r w:rsidR="00975895" w:rsidRPr="0002642E">
        <w:rPr>
          <w:rStyle w:val="Characterclear"/>
        </w:rPr>
        <w:t xml:space="preserve"> </w:t>
      </w:r>
      <w:r w:rsidRPr="0002642E">
        <w:rPr>
          <w:rStyle w:val="Characterclear"/>
        </w:rPr>
        <w:t>the</w:t>
      </w:r>
      <w:r w:rsidR="00975895" w:rsidRPr="0002642E">
        <w:rPr>
          <w:rStyle w:val="Characterclear"/>
        </w:rPr>
        <w:t xml:space="preserve"> </w:t>
      </w:r>
      <w:r w:rsidRPr="0002642E">
        <w:rPr>
          <w:rStyle w:val="Characterclear"/>
        </w:rPr>
        <w:t>Koori</w:t>
      </w:r>
      <w:r w:rsidR="00975895" w:rsidRPr="0002642E">
        <w:rPr>
          <w:rStyle w:val="Characterclear"/>
        </w:rPr>
        <w:t xml:space="preserve"> </w:t>
      </w:r>
      <w:r w:rsidRPr="0002642E">
        <w:rPr>
          <w:rStyle w:val="Characterclear"/>
        </w:rPr>
        <w:t>Court,</w:t>
      </w:r>
      <w:r w:rsidR="00975895" w:rsidRPr="0002642E">
        <w:rPr>
          <w:rStyle w:val="Characterclear"/>
        </w:rPr>
        <w:t xml:space="preserve"> </w:t>
      </w:r>
      <w:r w:rsidRPr="0002642E">
        <w:rPr>
          <w:rStyle w:val="Characterclear"/>
        </w:rPr>
        <w:t>where</w:t>
      </w:r>
      <w:r w:rsidR="00975895" w:rsidRPr="0002642E">
        <w:rPr>
          <w:rStyle w:val="Characterclear"/>
        </w:rPr>
        <w:t xml:space="preserve"> </w:t>
      </w:r>
      <w:r w:rsidRPr="0002642E">
        <w:rPr>
          <w:rStyle w:val="Characterclear"/>
        </w:rPr>
        <w:t>matters</w:t>
      </w:r>
      <w:r w:rsidR="00975895" w:rsidRPr="0002642E">
        <w:rPr>
          <w:rStyle w:val="Characterclear"/>
        </w:rPr>
        <w:t xml:space="preserve"> </w:t>
      </w:r>
      <w:r w:rsidRPr="0002642E">
        <w:rPr>
          <w:rStyle w:val="Characterclear"/>
        </w:rPr>
        <w:t>can</w:t>
      </w:r>
      <w:r w:rsidR="00975895" w:rsidRPr="0002642E">
        <w:rPr>
          <w:rStyle w:val="Characterclear"/>
        </w:rPr>
        <w:t xml:space="preserve"> </w:t>
      </w:r>
      <w:r w:rsidRPr="0002642E">
        <w:rPr>
          <w:rStyle w:val="Characterclear"/>
        </w:rPr>
        <w:t>be</w:t>
      </w:r>
      <w:r w:rsidR="00975895" w:rsidRPr="0002642E">
        <w:rPr>
          <w:rStyle w:val="Characterclear"/>
        </w:rPr>
        <w:t xml:space="preserve"> </w:t>
      </w:r>
      <w:r w:rsidRPr="0002642E">
        <w:rPr>
          <w:rStyle w:val="Characterclear"/>
        </w:rPr>
        <w:t>heard</w:t>
      </w:r>
      <w:r w:rsidR="00975895" w:rsidRPr="0002642E">
        <w:rPr>
          <w:rStyle w:val="Characterclear"/>
        </w:rPr>
        <w:t xml:space="preserve"> </w:t>
      </w:r>
      <w:r w:rsidRPr="0002642E">
        <w:rPr>
          <w:rStyle w:val="Characterclear"/>
        </w:rPr>
        <w:t>in</w:t>
      </w:r>
      <w:r w:rsidR="00975895" w:rsidRPr="0002642E">
        <w:rPr>
          <w:rStyle w:val="Characterclear"/>
        </w:rPr>
        <w:t xml:space="preserve"> </w:t>
      </w:r>
      <w:r w:rsidRPr="0002642E">
        <w:rPr>
          <w:rStyle w:val="Characterclear"/>
        </w:rPr>
        <w:t>a</w:t>
      </w:r>
      <w:r w:rsidR="00975895" w:rsidRPr="0002642E">
        <w:rPr>
          <w:rStyle w:val="Characterclear"/>
        </w:rPr>
        <w:t xml:space="preserve"> </w:t>
      </w:r>
      <w:r w:rsidRPr="0002642E">
        <w:rPr>
          <w:rStyle w:val="Characterclear"/>
        </w:rPr>
        <w:t>culturally</w:t>
      </w:r>
      <w:r w:rsidR="00975895" w:rsidRPr="0002642E">
        <w:rPr>
          <w:rStyle w:val="Characterclear"/>
        </w:rPr>
        <w:t xml:space="preserve"> </w:t>
      </w:r>
      <w:r w:rsidRPr="0002642E">
        <w:rPr>
          <w:rStyle w:val="Characterclear"/>
        </w:rPr>
        <w:t>appropriate</w:t>
      </w:r>
      <w:r w:rsidR="00975895" w:rsidRPr="0002642E">
        <w:rPr>
          <w:rStyle w:val="Characterclear"/>
        </w:rPr>
        <w:t xml:space="preserve"> </w:t>
      </w:r>
      <w:r w:rsidRPr="0002642E">
        <w:rPr>
          <w:rStyle w:val="Characterclear"/>
        </w:rPr>
        <w:t>forum.</w:t>
      </w:r>
      <w:r w:rsidR="00975895" w:rsidRPr="0002642E">
        <w:rPr>
          <w:rStyle w:val="Characterclear"/>
        </w:rPr>
        <w:t xml:space="preserve"> </w:t>
      </w:r>
    </w:p>
    <w:p w14:paraId="5D10353E" w14:textId="22783058" w:rsidR="008E0945" w:rsidRPr="0002642E" w:rsidRDefault="008E0945" w:rsidP="0002642E">
      <w:pPr>
        <w:pStyle w:val="ListBullet"/>
        <w:rPr>
          <w:rStyle w:val="Characterbold"/>
          <w:b w:val="0"/>
        </w:rPr>
      </w:pPr>
      <w:r w:rsidRPr="0002642E">
        <w:rPr>
          <w:rStyle w:val="Characterbold"/>
          <w:lang w:val="en-GB"/>
        </w:rPr>
        <w:t>AB</w:t>
      </w:r>
      <w:r w:rsidR="00975895" w:rsidRPr="0002642E">
        <w:rPr>
          <w:rStyle w:val="Characterbold"/>
          <w:lang w:val="en-GB"/>
        </w:rPr>
        <w:t xml:space="preserve"> </w:t>
      </w:r>
      <w:r w:rsidRPr="0002642E">
        <w:rPr>
          <w:rStyle w:val="Characterbold"/>
          <w:lang w:val="en-GB"/>
        </w:rPr>
        <w:t>&amp;</w:t>
      </w:r>
      <w:r w:rsidR="00975895" w:rsidRPr="0002642E">
        <w:rPr>
          <w:rStyle w:val="Characterbold"/>
          <w:lang w:val="en-GB"/>
        </w:rPr>
        <w:t xml:space="preserve"> </w:t>
      </w:r>
      <w:r w:rsidRPr="0002642E">
        <w:rPr>
          <w:rStyle w:val="Characterbold"/>
          <w:lang w:val="en-GB"/>
        </w:rPr>
        <w:t>EF</w:t>
      </w:r>
      <w:r w:rsidR="00975895" w:rsidRPr="0002642E">
        <w:rPr>
          <w:rStyle w:val="Characterbold"/>
          <w:lang w:val="en-GB"/>
        </w:rPr>
        <w:t xml:space="preserve"> </w:t>
      </w:r>
      <w:r w:rsidRPr="0002642E">
        <w:rPr>
          <w:rStyle w:val="Characterbold"/>
          <w:lang w:val="en-GB"/>
        </w:rPr>
        <w:t>v</w:t>
      </w:r>
      <w:r w:rsidR="00975895" w:rsidRPr="0002642E">
        <w:rPr>
          <w:rStyle w:val="Characterbold"/>
          <w:lang w:val="en-GB"/>
        </w:rPr>
        <w:t xml:space="preserve"> </w:t>
      </w:r>
      <w:r w:rsidRPr="0002642E">
        <w:rPr>
          <w:rStyle w:val="Characterbold"/>
          <w:lang w:val="en-GB"/>
        </w:rPr>
        <w:t>CD</w:t>
      </w:r>
      <w:r w:rsidR="00E317EA" w:rsidRPr="0002642E">
        <w:rPr>
          <w:rStyle w:val="Characterbold"/>
          <w:i/>
          <w:lang w:val="en-GB"/>
        </w:rPr>
        <w:t xml:space="preserve">: </w:t>
      </w:r>
      <w:r w:rsidR="00E317EA" w:rsidRPr="0002642E">
        <w:rPr>
          <w:rStyle w:val="Characterbold"/>
          <w:b w:val="0"/>
          <w:lang w:val="en-GB"/>
        </w:rPr>
        <w:t>T</w:t>
      </w:r>
      <w:r w:rsidRPr="0002642E">
        <w:rPr>
          <w:rStyle w:val="Characterbold"/>
          <w:b w:val="0"/>
          <w:lang w:val="en-GB"/>
        </w:rPr>
        <w:t>his</w:t>
      </w:r>
      <w:r w:rsidR="00975895" w:rsidRPr="0002642E">
        <w:rPr>
          <w:rStyle w:val="Characterbold"/>
          <w:b w:val="0"/>
          <w:lang w:val="en-GB"/>
        </w:rPr>
        <w:t xml:space="preserve"> </w:t>
      </w:r>
      <w:r w:rsidRPr="0002642E">
        <w:rPr>
          <w:rStyle w:val="Characterbold"/>
          <w:b w:val="0"/>
          <w:lang w:val="en-GB"/>
        </w:rPr>
        <w:t>case</w:t>
      </w:r>
      <w:r w:rsidR="00975895" w:rsidRPr="0002642E">
        <w:rPr>
          <w:rStyle w:val="Characterbold"/>
          <w:b w:val="0"/>
          <w:lang w:val="en-GB"/>
        </w:rPr>
        <w:t xml:space="preserve"> </w:t>
      </w:r>
      <w:r w:rsidRPr="0002642E">
        <w:rPr>
          <w:rStyle w:val="Characterbold"/>
          <w:b w:val="0"/>
          <w:lang w:val="en-GB"/>
        </w:rPr>
        <w:t>eventually</w:t>
      </w:r>
      <w:r w:rsidR="00975895" w:rsidRPr="0002642E">
        <w:rPr>
          <w:rStyle w:val="Characterbold"/>
          <w:b w:val="0"/>
          <w:lang w:val="en-GB"/>
        </w:rPr>
        <w:t xml:space="preserve"> </w:t>
      </w:r>
      <w:r w:rsidRPr="0002642E">
        <w:rPr>
          <w:rStyle w:val="Characterbold"/>
          <w:b w:val="0"/>
          <w:lang w:val="en-GB"/>
        </w:rPr>
        <w:t>became</w:t>
      </w:r>
      <w:r w:rsidR="00975895" w:rsidRPr="0002642E">
        <w:rPr>
          <w:rStyle w:val="Characterbold"/>
          <w:b w:val="0"/>
          <w:lang w:val="en-GB"/>
        </w:rPr>
        <w:t xml:space="preserve"> </w:t>
      </w:r>
      <w:r w:rsidRPr="0002642E">
        <w:rPr>
          <w:rStyle w:val="Characterbold"/>
          <w:b w:val="0"/>
          <w:lang w:val="en-GB"/>
        </w:rPr>
        <w:t>known</w:t>
      </w:r>
      <w:r w:rsidR="00975895" w:rsidRPr="0002642E">
        <w:rPr>
          <w:rStyle w:val="Characterbold"/>
          <w:b w:val="0"/>
          <w:lang w:val="en-GB"/>
        </w:rPr>
        <w:t xml:space="preserve"> </w:t>
      </w:r>
      <w:r w:rsidRPr="0002642E">
        <w:rPr>
          <w:rStyle w:val="Characterbold"/>
          <w:b w:val="0"/>
          <w:lang w:val="en-GB"/>
        </w:rPr>
        <w:t>as</w:t>
      </w:r>
      <w:r w:rsidR="00975895" w:rsidRPr="0002642E">
        <w:rPr>
          <w:rStyle w:val="Characterbold"/>
          <w:b w:val="0"/>
          <w:lang w:val="en-GB"/>
        </w:rPr>
        <w:t xml:space="preserve"> </w:t>
      </w:r>
      <w:r w:rsidR="000C5726">
        <w:rPr>
          <w:rStyle w:val="Characterbold"/>
          <w:b w:val="0"/>
          <w:lang w:val="en-GB"/>
        </w:rPr>
        <w:t>'</w:t>
      </w:r>
      <w:r w:rsidRPr="003015FD">
        <w:rPr>
          <w:rStyle w:val="Characterbold"/>
          <w:b w:val="0"/>
          <w:lang w:val="en-GB"/>
        </w:rPr>
        <w:t>Lawyer</w:t>
      </w:r>
      <w:r w:rsidR="00975895" w:rsidRPr="003015FD">
        <w:rPr>
          <w:rStyle w:val="Characterbold"/>
          <w:b w:val="0"/>
          <w:lang w:val="en-GB"/>
        </w:rPr>
        <w:t xml:space="preserve"> </w:t>
      </w:r>
      <w:r w:rsidRPr="003015FD">
        <w:rPr>
          <w:rStyle w:val="Characterbold"/>
          <w:b w:val="0"/>
          <w:lang w:val="en-GB"/>
        </w:rPr>
        <w:t>X</w:t>
      </w:r>
      <w:r w:rsidR="000C5726">
        <w:rPr>
          <w:rStyle w:val="Characterbold"/>
          <w:b w:val="0"/>
          <w:lang w:val="en-GB"/>
        </w:rPr>
        <w:t>'</w:t>
      </w:r>
      <w:r w:rsidR="00E317EA" w:rsidRPr="0002642E">
        <w:rPr>
          <w:rStyle w:val="Characterbold"/>
          <w:b w:val="0"/>
          <w:lang w:val="en-GB"/>
        </w:rPr>
        <w:t xml:space="preserve">. It </w:t>
      </w:r>
      <w:r w:rsidR="00E317EA">
        <w:t>i</w:t>
      </w:r>
      <w:r w:rsidR="00904C4A" w:rsidRPr="003015FD">
        <w:t>nvolved</w:t>
      </w:r>
      <w:r w:rsidR="00975895" w:rsidRPr="003015FD">
        <w:t xml:space="preserve"> </w:t>
      </w:r>
      <w:r w:rsidR="00A5278D" w:rsidRPr="003015FD">
        <w:t>a</w:t>
      </w:r>
      <w:r w:rsidR="00975895" w:rsidRPr="003015FD">
        <w:t xml:space="preserve"> </w:t>
      </w:r>
      <w:r w:rsidR="00A5278D" w:rsidRPr="003015FD">
        <w:t>barrister</w:t>
      </w:r>
      <w:r w:rsidR="00975895" w:rsidRPr="003015FD">
        <w:t xml:space="preserve"> </w:t>
      </w:r>
      <w:r w:rsidR="00A5278D" w:rsidRPr="003015FD">
        <w:t>who</w:t>
      </w:r>
      <w:r w:rsidR="00975895" w:rsidRPr="003015FD">
        <w:t xml:space="preserve"> </w:t>
      </w:r>
      <w:r w:rsidR="00A5278D" w:rsidRPr="003015FD">
        <w:t>had</w:t>
      </w:r>
      <w:r w:rsidR="00975895" w:rsidRPr="003015FD">
        <w:t xml:space="preserve"> </w:t>
      </w:r>
      <w:r w:rsidR="00A5278D" w:rsidRPr="003015FD">
        <w:t>become</w:t>
      </w:r>
      <w:r w:rsidR="00975895" w:rsidRPr="003015FD">
        <w:t xml:space="preserve"> </w:t>
      </w:r>
      <w:r w:rsidR="00E317EA">
        <w:t>an</w:t>
      </w:r>
      <w:r w:rsidR="00975895" w:rsidRPr="003015FD">
        <w:t xml:space="preserve"> </w:t>
      </w:r>
      <w:r w:rsidR="00A5278D" w:rsidRPr="003015FD">
        <w:t>informer</w:t>
      </w:r>
      <w:r w:rsidR="00975895" w:rsidRPr="003015FD">
        <w:t xml:space="preserve"> </w:t>
      </w:r>
      <w:r w:rsidR="00A5278D" w:rsidRPr="003015FD">
        <w:t>for</w:t>
      </w:r>
      <w:r w:rsidR="00975895" w:rsidRPr="003015FD">
        <w:t xml:space="preserve"> </w:t>
      </w:r>
      <w:r w:rsidR="00A5278D" w:rsidRPr="003015FD">
        <w:t>Victoria</w:t>
      </w:r>
      <w:r w:rsidR="00975895" w:rsidRPr="003015FD">
        <w:t xml:space="preserve"> </w:t>
      </w:r>
      <w:r w:rsidR="00A5278D" w:rsidRPr="003015FD">
        <w:t>Police</w:t>
      </w:r>
      <w:r w:rsidRPr="0002642E">
        <w:rPr>
          <w:rStyle w:val="Characterbold"/>
          <w:b w:val="0"/>
          <w:lang w:val="en-GB"/>
        </w:rPr>
        <w:t>.</w:t>
      </w:r>
      <w:r w:rsidR="00975895" w:rsidRPr="0002642E">
        <w:rPr>
          <w:color w:val="000000"/>
        </w:rPr>
        <w:t xml:space="preserve"> </w:t>
      </w:r>
      <w:r w:rsidR="004F3906" w:rsidRPr="0002642E">
        <w:rPr>
          <w:color w:val="000000"/>
        </w:rPr>
        <w:t>The</w:t>
      </w:r>
      <w:r w:rsidR="00975895" w:rsidRPr="0002642E">
        <w:rPr>
          <w:color w:val="000000"/>
        </w:rPr>
        <w:t xml:space="preserve"> </w:t>
      </w:r>
      <w:r w:rsidR="007B5703" w:rsidRPr="0002642E">
        <w:rPr>
          <w:color w:val="000000"/>
        </w:rPr>
        <w:t>c</w:t>
      </w:r>
      <w:r w:rsidR="004F3906" w:rsidRPr="0002642E">
        <w:rPr>
          <w:color w:val="000000"/>
        </w:rPr>
        <w:t>ourt</w:t>
      </w:r>
      <w:r w:rsidR="003B428A">
        <w:t xml:space="preserve"> accepted</w:t>
      </w:r>
      <w:r w:rsidR="00975895" w:rsidRPr="0002642E">
        <w:rPr>
          <w:color w:val="000000"/>
        </w:rPr>
        <w:t xml:space="preserve"> </w:t>
      </w:r>
      <w:r w:rsidR="004F3906" w:rsidRPr="0002642E">
        <w:rPr>
          <w:color w:val="000000"/>
        </w:rPr>
        <w:t>that</w:t>
      </w:r>
      <w:r w:rsidR="00975895" w:rsidRPr="0002642E">
        <w:rPr>
          <w:color w:val="000000"/>
        </w:rPr>
        <w:t xml:space="preserve"> </w:t>
      </w:r>
      <w:r w:rsidR="004F3906" w:rsidRPr="0002642E">
        <w:rPr>
          <w:color w:val="000000"/>
        </w:rPr>
        <w:t>it</w:t>
      </w:r>
      <w:r w:rsidR="00975895" w:rsidRPr="0002642E">
        <w:rPr>
          <w:color w:val="000000"/>
        </w:rPr>
        <w:t xml:space="preserve"> </w:t>
      </w:r>
      <w:r w:rsidR="004F3906" w:rsidRPr="0002642E">
        <w:rPr>
          <w:color w:val="000000"/>
        </w:rPr>
        <w:t>had</w:t>
      </w:r>
      <w:r w:rsidR="00975895" w:rsidRPr="0002642E">
        <w:rPr>
          <w:color w:val="000000"/>
        </w:rPr>
        <w:t xml:space="preserve"> </w:t>
      </w:r>
      <w:r w:rsidR="004F3906" w:rsidRPr="0002642E">
        <w:rPr>
          <w:color w:val="000000"/>
        </w:rPr>
        <w:t>to</w:t>
      </w:r>
      <w:r w:rsidR="00975895" w:rsidRPr="0002642E">
        <w:rPr>
          <w:color w:val="000000"/>
        </w:rPr>
        <w:t xml:space="preserve"> </w:t>
      </w:r>
      <w:r w:rsidR="004F3906" w:rsidRPr="0002642E">
        <w:rPr>
          <w:color w:val="000000"/>
        </w:rPr>
        <w:t>act</w:t>
      </w:r>
      <w:r w:rsidR="00975895" w:rsidRPr="0002642E">
        <w:rPr>
          <w:color w:val="000000"/>
        </w:rPr>
        <w:t xml:space="preserve"> </w:t>
      </w:r>
      <w:r w:rsidR="004F3906" w:rsidRPr="0002642E">
        <w:rPr>
          <w:color w:val="000000"/>
        </w:rPr>
        <w:t>compatibly</w:t>
      </w:r>
      <w:r w:rsidR="00975895" w:rsidRPr="0002642E">
        <w:rPr>
          <w:color w:val="000000"/>
        </w:rPr>
        <w:t xml:space="preserve"> </w:t>
      </w:r>
      <w:r w:rsidR="004F3906" w:rsidRPr="0002642E">
        <w:rPr>
          <w:color w:val="000000"/>
        </w:rPr>
        <w:t>with</w:t>
      </w:r>
      <w:r w:rsidR="00975895" w:rsidRPr="0002642E">
        <w:rPr>
          <w:color w:val="000000"/>
        </w:rPr>
        <w:t xml:space="preserve"> </w:t>
      </w:r>
      <w:r w:rsidR="004F3906" w:rsidRPr="0002642E">
        <w:rPr>
          <w:color w:val="000000"/>
        </w:rPr>
        <w:t>the</w:t>
      </w:r>
      <w:r w:rsidR="00975895" w:rsidRPr="0002642E">
        <w:rPr>
          <w:color w:val="000000"/>
        </w:rPr>
        <w:t xml:space="preserve"> </w:t>
      </w:r>
      <w:r w:rsidR="004F3906" w:rsidRPr="0002642E">
        <w:rPr>
          <w:color w:val="000000"/>
        </w:rPr>
        <w:t>human</w:t>
      </w:r>
      <w:r w:rsidR="00975895" w:rsidRPr="0002642E">
        <w:rPr>
          <w:color w:val="000000"/>
        </w:rPr>
        <w:t xml:space="preserve"> </w:t>
      </w:r>
      <w:r w:rsidR="004F3906" w:rsidRPr="0002642E">
        <w:rPr>
          <w:color w:val="000000"/>
        </w:rPr>
        <w:t>rights</w:t>
      </w:r>
      <w:r w:rsidR="00975895" w:rsidRPr="0002642E">
        <w:rPr>
          <w:color w:val="000000"/>
        </w:rPr>
        <w:t xml:space="preserve"> </w:t>
      </w:r>
      <w:r w:rsidR="004F3906" w:rsidRPr="0002642E">
        <w:rPr>
          <w:color w:val="000000"/>
        </w:rPr>
        <w:t>of</w:t>
      </w:r>
      <w:r w:rsidR="00975895" w:rsidRPr="0002642E">
        <w:rPr>
          <w:color w:val="000000"/>
        </w:rPr>
        <w:t xml:space="preserve"> </w:t>
      </w:r>
      <w:r w:rsidR="004F3906" w:rsidRPr="0002642E">
        <w:rPr>
          <w:color w:val="000000"/>
        </w:rPr>
        <w:t>the</w:t>
      </w:r>
      <w:r w:rsidR="00975895" w:rsidRPr="0002642E">
        <w:rPr>
          <w:color w:val="000000"/>
        </w:rPr>
        <w:t xml:space="preserve"> </w:t>
      </w:r>
      <w:r w:rsidR="004F3906" w:rsidRPr="0002642E">
        <w:rPr>
          <w:color w:val="000000"/>
        </w:rPr>
        <w:t>convicted</w:t>
      </w:r>
      <w:r w:rsidR="00975895" w:rsidRPr="0002642E">
        <w:rPr>
          <w:color w:val="000000"/>
        </w:rPr>
        <w:t xml:space="preserve"> </w:t>
      </w:r>
      <w:r w:rsidR="004F3906" w:rsidRPr="0002642E">
        <w:rPr>
          <w:color w:val="000000"/>
        </w:rPr>
        <w:t>persons,</w:t>
      </w:r>
      <w:r w:rsidR="00975895" w:rsidRPr="0002642E">
        <w:rPr>
          <w:color w:val="000000"/>
        </w:rPr>
        <w:t xml:space="preserve"> </w:t>
      </w:r>
      <w:r w:rsidR="004F3906" w:rsidRPr="0002642E">
        <w:rPr>
          <w:color w:val="000000"/>
        </w:rPr>
        <w:t>balanced</w:t>
      </w:r>
      <w:r w:rsidR="00975895" w:rsidRPr="0002642E">
        <w:rPr>
          <w:color w:val="000000"/>
        </w:rPr>
        <w:t xml:space="preserve"> </w:t>
      </w:r>
      <w:r w:rsidR="004F3906" w:rsidRPr="0002642E">
        <w:rPr>
          <w:color w:val="000000"/>
        </w:rPr>
        <w:t>against</w:t>
      </w:r>
      <w:r w:rsidR="00975895" w:rsidRPr="0002642E">
        <w:rPr>
          <w:color w:val="000000"/>
        </w:rPr>
        <w:t xml:space="preserve"> </w:t>
      </w:r>
      <w:r w:rsidR="004F3906" w:rsidRPr="0002642E">
        <w:rPr>
          <w:color w:val="000000"/>
        </w:rPr>
        <w:t>the</w:t>
      </w:r>
      <w:r w:rsidR="00975895" w:rsidRPr="0002642E">
        <w:rPr>
          <w:color w:val="000000"/>
        </w:rPr>
        <w:t xml:space="preserve"> </w:t>
      </w:r>
      <w:r w:rsidR="004F3906" w:rsidRPr="0002642E">
        <w:rPr>
          <w:color w:val="000000"/>
        </w:rPr>
        <w:t>rights</w:t>
      </w:r>
      <w:r w:rsidR="00975895" w:rsidRPr="0002642E">
        <w:rPr>
          <w:color w:val="000000"/>
        </w:rPr>
        <w:t xml:space="preserve"> </w:t>
      </w:r>
      <w:r w:rsidR="004F3906" w:rsidRPr="0002642E">
        <w:rPr>
          <w:color w:val="000000"/>
        </w:rPr>
        <w:t>of</w:t>
      </w:r>
      <w:r w:rsidR="00975895" w:rsidRPr="0002642E">
        <w:rPr>
          <w:color w:val="000000"/>
        </w:rPr>
        <w:t xml:space="preserve"> </w:t>
      </w:r>
      <w:r w:rsidR="004F3906" w:rsidRPr="0002642E">
        <w:rPr>
          <w:color w:val="000000"/>
        </w:rPr>
        <w:t>EF</w:t>
      </w:r>
      <w:r w:rsidR="00975895" w:rsidRPr="0002642E">
        <w:rPr>
          <w:color w:val="000000"/>
        </w:rPr>
        <w:t xml:space="preserve"> </w:t>
      </w:r>
      <w:r w:rsidR="004F3906" w:rsidRPr="0002642E">
        <w:rPr>
          <w:color w:val="000000"/>
        </w:rPr>
        <w:t>and</w:t>
      </w:r>
      <w:r w:rsidR="00975895" w:rsidRPr="0002642E">
        <w:rPr>
          <w:color w:val="000000"/>
        </w:rPr>
        <w:t xml:space="preserve"> </w:t>
      </w:r>
      <w:r w:rsidR="004F3906" w:rsidRPr="0002642E">
        <w:rPr>
          <w:color w:val="000000"/>
        </w:rPr>
        <w:t>her</w:t>
      </w:r>
      <w:r w:rsidR="00975895" w:rsidRPr="0002642E">
        <w:rPr>
          <w:color w:val="000000"/>
        </w:rPr>
        <w:t xml:space="preserve"> </w:t>
      </w:r>
      <w:r w:rsidR="004F3906" w:rsidRPr="0002642E">
        <w:rPr>
          <w:color w:val="000000"/>
        </w:rPr>
        <w:t>children</w:t>
      </w:r>
      <w:r w:rsidR="004F3906" w:rsidRPr="0002642E">
        <w:rPr>
          <w:rStyle w:val="Characterbold"/>
          <w:b w:val="0"/>
          <w:lang w:val="en-GB"/>
        </w:rPr>
        <w:t>.</w:t>
      </w:r>
      <w:r w:rsidR="00975895" w:rsidRPr="0002642E">
        <w:rPr>
          <w:rStyle w:val="Characterbold"/>
          <w:b w:val="0"/>
          <w:lang w:val="en-GB"/>
        </w:rPr>
        <w:t xml:space="preserve"> </w:t>
      </w:r>
      <w:r w:rsidRPr="0002642E">
        <w:rPr>
          <w:rStyle w:val="Characterbold"/>
          <w:b w:val="0"/>
          <w:lang w:val="en-GB"/>
        </w:rPr>
        <w:t>This</w:t>
      </w:r>
      <w:r w:rsidR="00975895" w:rsidRPr="0002642E">
        <w:rPr>
          <w:rStyle w:val="Characterbold"/>
          <w:b w:val="0"/>
          <w:lang w:val="en-GB"/>
        </w:rPr>
        <w:t xml:space="preserve"> </w:t>
      </w:r>
      <w:r w:rsidRPr="0002642E">
        <w:rPr>
          <w:rStyle w:val="Characterbold"/>
          <w:b w:val="0"/>
          <w:lang w:val="en-GB"/>
        </w:rPr>
        <w:t>was</w:t>
      </w:r>
      <w:r w:rsidR="00975895" w:rsidRPr="0002642E">
        <w:rPr>
          <w:rStyle w:val="Characterbold"/>
          <w:b w:val="0"/>
          <w:lang w:val="en-GB"/>
        </w:rPr>
        <w:t xml:space="preserve"> </w:t>
      </w:r>
      <w:r w:rsidRPr="0002642E">
        <w:rPr>
          <w:rStyle w:val="Characterbold"/>
          <w:b w:val="0"/>
          <w:lang w:val="en-GB"/>
        </w:rPr>
        <w:t>a</w:t>
      </w:r>
      <w:r w:rsidR="00975895" w:rsidRPr="0002642E">
        <w:rPr>
          <w:rStyle w:val="Characterbold"/>
          <w:b w:val="0"/>
          <w:lang w:val="en-GB"/>
        </w:rPr>
        <w:t xml:space="preserve"> </w:t>
      </w:r>
      <w:r w:rsidRPr="0002642E">
        <w:rPr>
          <w:rStyle w:val="Characterbold"/>
          <w:b w:val="0"/>
          <w:lang w:val="en-GB"/>
        </w:rPr>
        <w:t>unique</w:t>
      </w:r>
      <w:r w:rsidR="00975895" w:rsidRPr="0002642E">
        <w:rPr>
          <w:rStyle w:val="Characterbold"/>
          <w:b w:val="0"/>
          <w:lang w:val="en-GB"/>
        </w:rPr>
        <w:t xml:space="preserve"> </w:t>
      </w:r>
      <w:r w:rsidRPr="0002642E">
        <w:rPr>
          <w:rStyle w:val="Characterbold"/>
          <w:b w:val="0"/>
          <w:lang w:val="en-GB"/>
        </w:rPr>
        <w:t>case</w:t>
      </w:r>
      <w:r w:rsidR="00975895" w:rsidRPr="0002642E">
        <w:rPr>
          <w:rStyle w:val="Characterbold"/>
          <w:b w:val="0"/>
          <w:lang w:val="en-GB"/>
        </w:rPr>
        <w:t xml:space="preserve"> </w:t>
      </w:r>
      <w:r w:rsidRPr="0002642E">
        <w:rPr>
          <w:rStyle w:val="Characterbold"/>
          <w:b w:val="0"/>
          <w:lang w:val="en-GB"/>
        </w:rPr>
        <w:t>in</w:t>
      </w:r>
      <w:r w:rsidR="00975895" w:rsidRPr="0002642E">
        <w:rPr>
          <w:rStyle w:val="Characterbold"/>
          <w:b w:val="0"/>
          <w:lang w:val="en-GB"/>
        </w:rPr>
        <w:t xml:space="preserve"> </w:t>
      </w:r>
      <w:r w:rsidRPr="0002642E">
        <w:rPr>
          <w:rStyle w:val="Characterbold"/>
          <w:b w:val="0"/>
          <w:lang w:val="en-GB"/>
        </w:rPr>
        <w:t>which</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007B5703" w:rsidRPr="0002642E">
        <w:rPr>
          <w:rStyle w:val="Characterbold"/>
          <w:b w:val="0"/>
          <w:lang w:val="en-GB"/>
        </w:rPr>
        <w:t>c</w:t>
      </w:r>
      <w:r w:rsidRPr="0002642E">
        <w:rPr>
          <w:rStyle w:val="Characterbold"/>
          <w:b w:val="0"/>
          <w:lang w:val="en-GB"/>
        </w:rPr>
        <w:t>ourt</w:t>
      </w:r>
      <w:r w:rsidR="00975895" w:rsidRPr="0002642E">
        <w:rPr>
          <w:rStyle w:val="Characterbold"/>
          <w:b w:val="0"/>
          <w:lang w:val="en-GB"/>
        </w:rPr>
        <w:t xml:space="preserve"> </w:t>
      </w:r>
      <w:r w:rsidRPr="0002642E">
        <w:rPr>
          <w:rStyle w:val="Characterbold"/>
          <w:b w:val="0"/>
          <w:lang w:val="en-GB"/>
        </w:rPr>
        <w:t>was</w:t>
      </w:r>
      <w:r w:rsidR="00975895" w:rsidRPr="0002642E">
        <w:rPr>
          <w:rStyle w:val="Characterbold"/>
          <w:b w:val="0"/>
          <w:lang w:val="en-GB"/>
        </w:rPr>
        <w:t xml:space="preserve"> </w:t>
      </w:r>
      <w:r w:rsidRPr="0002642E">
        <w:rPr>
          <w:rStyle w:val="Characterbold"/>
          <w:b w:val="0"/>
          <w:lang w:val="en-GB"/>
        </w:rPr>
        <w:t>obliged</w:t>
      </w:r>
      <w:r w:rsidR="00975895" w:rsidRPr="0002642E">
        <w:rPr>
          <w:rStyle w:val="Characterbold"/>
          <w:b w:val="0"/>
          <w:lang w:val="en-GB"/>
        </w:rPr>
        <w:t xml:space="preserve"> </w:t>
      </w:r>
      <w:r w:rsidRPr="0002642E">
        <w:rPr>
          <w:rStyle w:val="Characterbold"/>
          <w:b w:val="0"/>
          <w:lang w:val="en-GB"/>
        </w:rPr>
        <w:t>to</w:t>
      </w:r>
      <w:r w:rsidR="00975895" w:rsidRPr="0002642E">
        <w:rPr>
          <w:rStyle w:val="Characterbold"/>
          <w:b w:val="0"/>
          <w:lang w:val="en-GB"/>
        </w:rPr>
        <w:t xml:space="preserve"> </w:t>
      </w:r>
      <w:r w:rsidRPr="0002642E">
        <w:rPr>
          <w:rStyle w:val="Characterbold"/>
          <w:b w:val="0"/>
          <w:lang w:val="en-GB"/>
        </w:rPr>
        <w:t>uphold</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right</w:t>
      </w:r>
      <w:r w:rsidR="00975895" w:rsidRPr="0002642E">
        <w:rPr>
          <w:rStyle w:val="Characterbold"/>
          <w:b w:val="0"/>
          <w:lang w:val="en-GB"/>
        </w:rPr>
        <w:t xml:space="preserve"> </w:t>
      </w:r>
      <w:r w:rsidRPr="0002642E">
        <w:rPr>
          <w:rStyle w:val="Characterbold"/>
          <w:b w:val="0"/>
          <w:lang w:val="en-GB"/>
        </w:rPr>
        <w:t>to</w:t>
      </w:r>
      <w:r w:rsidR="00975895" w:rsidRPr="0002642E">
        <w:rPr>
          <w:rStyle w:val="Characterbold"/>
          <w:b w:val="0"/>
          <w:lang w:val="en-GB"/>
        </w:rPr>
        <w:t xml:space="preserve"> </w:t>
      </w:r>
      <w:r w:rsidRPr="0002642E">
        <w:rPr>
          <w:rStyle w:val="Characterbold"/>
          <w:b w:val="0"/>
          <w:lang w:val="en-GB"/>
        </w:rPr>
        <w:t>a</w:t>
      </w:r>
      <w:r w:rsidR="00975895" w:rsidRPr="0002642E">
        <w:rPr>
          <w:rStyle w:val="Characterbold"/>
          <w:b w:val="0"/>
          <w:lang w:val="en-GB"/>
        </w:rPr>
        <w:t xml:space="preserve"> </w:t>
      </w:r>
      <w:r w:rsidRPr="0002642E">
        <w:rPr>
          <w:rStyle w:val="Characterbold"/>
          <w:b w:val="0"/>
          <w:lang w:val="en-GB"/>
        </w:rPr>
        <w:t>fair</w:t>
      </w:r>
      <w:r w:rsidR="00975895" w:rsidRPr="0002642E">
        <w:rPr>
          <w:rStyle w:val="Characterbold"/>
          <w:b w:val="0"/>
          <w:lang w:val="en-GB"/>
        </w:rPr>
        <w:t xml:space="preserve"> </w:t>
      </w:r>
      <w:r w:rsidRPr="0002642E">
        <w:rPr>
          <w:rStyle w:val="Characterbold"/>
          <w:b w:val="0"/>
          <w:lang w:val="en-GB"/>
        </w:rPr>
        <w:t>hearing</w:t>
      </w:r>
      <w:r w:rsidR="00975895" w:rsidRPr="0002642E">
        <w:rPr>
          <w:rStyle w:val="Characterbold"/>
          <w:b w:val="0"/>
          <w:lang w:val="en-GB"/>
        </w:rPr>
        <w:t xml:space="preserve"> </w:t>
      </w:r>
      <w:r w:rsidRPr="0002642E">
        <w:rPr>
          <w:rStyle w:val="Characterbold"/>
          <w:b w:val="0"/>
          <w:lang w:val="en-GB"/>
        </w:rPr>
        <w:t>for</w:t>
      </w:r>
      <w:r w:rsidR="00975895" w:rsidRPr="0002642E">
        <w:rPr>
          <w:rStyle w:val="Characterbold"/>
          <w:b w:val="0"/>
          <w:lang w:val="en-GB"/>
        </w:rPr>
        <w:t xml:space="preserve"> </w:t>
      </w:r>
      <w:r w:rsidR="003165F0" w:rsidRPr="0002642E">
        <w:rPr>
          <w:rStyle w:val="Characterbold"/>
          <w:b w:val="0"/>
          <w:lang w:val="en-GB"/>
        </w:rPr>
        <w:t xml:space="preserve">people </w:t>
      </w:r>
      <w:r w:rsidRPr="0002642E">
        <w:rPr>
          <w:rStyle w:val="Characterbold"/>
          <w:b w:val="0"/>
          <w:lang w:val="en-GB"/>
        </w:rPr>
        <w:t>who</w:t>
      </w:r>
      <w:r w:rsidR="00975895" w:rsidRPr="0002642E">
        <w:rPr>
          <w:rStyle w:val="Characterbold"/>
          <w:b w:val="0"/>
          <w:lang w:val="en-GB"/>
        </w:rPr>
        <w:t xml:space="preserve"> </w:t>
      </w:r>
      <w:r w:rsidRPr="0002642E">
        <w:rPr>
          <w:rStyle w:val="Characterbold"/>
          <w:b w:val="0"/>
          <w:lang w:val="en-GB"/>
        </w:rPr>
        <w:t>did</w:t>
      </w:r>
      <w:r w:rsidR="00975895" w:rsidRPr="0002642E">
        <w:rPr>
          <w:rStyle w:val="Characterbold"/>
          <w:b w:val="0"/>
          <w:lang w:val="en-GB"/>
        </w:rPr>
        <w:t xml:space="preserve"> </w:t>
      </w:r>
      <w:r w:rsidRPr="0002642E">
        <w:rPr>
          <w:rStyle w:val="Characterbold"/>
          <w:b w:val="0"/>
          <w:lang w:val="en-GB"/>
        </w:rPr>
        <w:t>not</w:t>
      </w:r>
      <w:r w:rsidR="00975895" w:rsidRPr="0002642E">
        <w:rPr>
          <w:rStyle w:val="Characterbold"/>
          <w:b w:val="0"/>
          <w:lang w:val="en-GB"/>
        </w:rPr>
        <w:t xml:space="preserve"> </w:t>
      </w:r>
      <w:r w:rsidRPr="0002642E">
        <w:rPr>
          <w:rStyle w:val="Characterbold"/>
          <w:b w:val="0"/>
          <w:lang w:val="en-GB"/>
        </w:rPr>
        <w:t>know</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case</w:t>
      </w:r>
      <w:r w:rsidR="00975895" w:rsidRPr="0002642E">
        <w:rPr>
          <w:rStyle w:val="Characterbold"/>
          <w:b w:val="0"/>
          <w:lang w:val="en-GB"/>
        </w:rPr>
        <w:t xml:space="preserve"> </w:t>
      </w:r>
      <w:r w:rsidRPr="0002642E">
        <w:rPr>
          <w:rStyle w:val="Characterbold"/>
          <w:b w:val="0"/>
          <w:lang w:val="en-GB"/>
        </w:rPr>
        <w:t>was</w:t>
      </w:r>
      <w:r w:rsidR="00975895" w:rsidRPr="0002642E">
        <w:rPr>
          <w:rStyle w:val="Characterbold"/>
          <w:b w:val="0"/>
          <w:lang w:val="en-GB"/>
        </w:rPr>
        <w:t xml:space="preserve"> </w:t>
      </w:r>
      <w:r w:rsidRPr="0002642E">
        <w:rPr>
          <w:rStyle w:val="Characterbold"/>
          <w:b w:val="0"/>
          <w:lang w:val="en-GB"/>
        </w:rPr>
        <w:t>happening.</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007B5703" w:rsidRPr="0002642E">
        <w:rPr>
          <w:rStyle w:val="Characterbold"/>
          <w:b w:val="0"/>
          <w:lang w:val="en-GB"/>
        </w:rPr>
        <w:t>c</w:t>
      </w:r>
      <w:r w:rsidRPr="0002642E">
        <w:rPr>
          <w:rStyle w:val="Characterbold"/>
          <w:b w:val="0"/>
          <w:lang w:val="en-GB"/>
        </w:rPr>
        <w:t>ourt</w:t>
      </w:r>
      <w:r w:rsidR="00975895" w:rsidRPr="0002642E">
        <w:rPr>
          <w:rStyle w:val="Characterbold"/>
          <w:b w:val="0"/>
          <w:lang w:val="en-GB"/>
        </w:rPr>
        <w:t xml:space="preserve"> </w:t>
      </w:r>
      <w:r w:rsidRPr="0002642E">
        <w:rPr>
          <w:rStyle w:val="Characterbold"/>
          <w:b w:val="0"/>
          <w:lang w:val="en-GB"/>
        </w:rPr>
        <w:t>was</w:t>
      </w:r>
      <w:r w:rsidR="00975895" w:rsidRPr="0002642E">
        <w:rPr>
          <w:rStyle w:val="Characterbold"/>
          <w:b w:val="0"/>
          <w:lang w:val="en-GB"/>
        </w:rPr>
        <w:t xml:space="preserve"> </w:t>
      </w:r>
      <w:r w:rsidRPr="0002642E">
        <w:rPr>
          <w:rStyle w:val="Characterbold"/>
          <w:b w:val="0"/>
          <w:lang w:val="en-GB"/>
        </w:rPr>
        <w:t>eventually</w:t>
      </w:r>
      <w:r w:rsidR="00975895" w:rsidRPr="0002642E">
        <w:rPr>
          <w:rStyle w:val="Characterbold"/>
          <w:b w:val="0"/>
          <w:lang w:val="en-GB"/>
        </w:rPr>
        <w:t xml:space="preserve"> </w:t>
      </w:r>
      <w:r w:rsidRPr="0002642E">
        <w:rPr>
          <w:rStyle w:val="Characterbold"/>
          <w:b w:val="0"/>
          <w:lang w:val="en-GB"/>
        </w:rPr>
        <w:t>satisfied</w:t>
      </w:r>
      <w:r w:rsidR="00975895" w:rsidRPr="0002642E">
        <w:rPr>
          <w:rStyle w:val="Characterbold"/>
          <w:b w:val="0"/>
          <w:lang w:val="en-GB"/>
        </w:rPr>
        <w:t xml:space="preserve"> </w:t>
      </w:r>
      <w:r w:rsidRPr="0002642E">
        <w:rPr>
          <w:rStyle w:val="Characterbold"/>
          <w:b w:val="0"/>
          <w:lang w:val="en-GB"/>
        </w:rPr>
        <w:t>a</w:t>
      </w:r>
      <w:r w:rsidR="00975895" w:rsidRPr="0002642E">
        <w:rPr>
          <w:rStyle w:val="Characterbold"/>
          <w:b w:val="0"/>
          <w:lang w:val="en-GB"/>
        </w:rPr>
        <w:t xml:space="preserve"> </w:t>
      </w:r>
      <w:r w:rsidRPr="0002642E">
        <w:rPr>
          <w:rStyle w:val="Characterbold"/>
          <w:b w:val="0"/>
          <w:lang w:val="en-GB"/>
        </w:rPr>
        <w:t>fair</w:t>
      </w:r>
      <w:r w:rsidR="00975895" w:rsidRPr="0002642E">
        <w:rPr>
          <w:rStyle w:val="Characterbold"/>
          <w:b w:val="0"/>
          <w:lang w:val="en-GB"/>
        </w:rPr>
        <w:t xml:space="preserve"> </w:t>
      </w:r>
      <w:r w:rsidRPr="0002642E">
        <w:rPr>
          <w:rStyle w:val="Characterbold"/>
          <w:b w:val="0"/>
          <w:lang w:val="en-GB"/>
        </w:rPr>
        <w:t>hearing</w:t>
      </w:r>
      <w:r w:rsidR="00975895" w:rsidRPr="0002642E">
        <w:rPr>
          <w:rStyle w:val="Characterbold"/>
          <w:b w:val="0"/>
          <w:lang w:val="en-GB"/>
        </w:rPr>
        <w:t xml:space="preserve"> </w:t>
      </w:r>
      <w:r w:rsidRPr="0002642E">
        <w:rPr>
          <w:rStyle w:val="Characterbold"/>
          <w:b w:val="0"/>
          <w:lang w:val="en-GB"/>
        </w:rPr>
        <w:t>could</w:t>
      </w:r>
      <w:r w:rsidR="00975895" w:rsidRPr="0002642E">
        <w:rPr>
          <w:rStyle w:val="Characterbold"/>
          <w:b w:val="0"/>
          <w:lang w:val="en-GB"/>
        </w:rPr>
        <w:t xml:space="preserve"> </w:t>
      </w:r>
      <w:r w:rsidRPr="0002642E">
        <w:rPr>
          <w:rStyle w:val="Characterbold"/>
          <w:b w:val="0"/>
          <w:lang w:val="en-GB"/>
        </w:rPr>
        <w:t>take</w:t>
      </w:r>
      <w:r w:rsidR="00975895" w:rsidRPr="0002642E">
        <w:rPr>
          <w:rStyle w:val="Characterbold"/>
          <w:b w:val="0"/>
          <w:lang w:val="en-GB"/>
        </w:rPr>
        <w:t xml:space="preserve"> </w:t>
      </w:r>
      <w:r w:rsidRPr="0002642E">
        <w:rPr>
          <w:rStyle w:val="Characterbold"/>
          <w:b w:val="0"/>
          <w:lang w:val="en-GB"/>
        </w:rPr>
        <w:t>place</w:t>
      </w:r>
      <w:r w:rsidR="00975895" w:rsidRPr="0002642E">
        <w:rPr>
          <w:rStyle w:val="Characterbold"/>
          <w:b w:val="0"/>
          <w:lang w:val="en-GB"/>
        </w:rPr>
        <w:t xml:space="preserve"> </w:t>
      </w:r>
      <w:r w:rsidRPr="0002642E">
        <w:rPr>
          <w:rStyle w:val="Characterbold"/>
          <w:b w:val="0"/>
          <w:lang w:val="en-GB"/>
        </w:rPr>
        <w:t>without</w:t>
      </w:r>
      <w:r w:rsidR="00975895" w:rsidRPr="0002642E">
        <w:rPr>
          <w:rStyle w:val="Characterbold"/>
          <w:b w:val="0"/>
          <w:lang w:val="en-GB"/>
        </w:rPr>
        <w:t xml:space="preserve"> </w:t>
      </w:r>
      <w:r w:rsidRPr="0002642E">
        <w:rPr>
          <w:rStyle w:val="Characterbold"/>
          <w:b w:val="0"/>
          <w:lang w:val="en-GB"/>
        </w:rPr>
        <w:t>advising</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people</w:t>
      </w:r>
      <w:r w:rsidR="00975895" w:rsidRPr="0002642E">
        <w:rPr>
          <w:rStyle w:val="Characterbold"/>
          <w:b w:val="0"/>
          <w:lang w:val="en-GB"/>
        </w:rPr>
        <w:t xml:space="preserve"> </w:t>
      </w:r>
      <w:r w:rsidRPr="0002642E">
        <w:rPr>
          <w:rStyle w:val="Characterbold"/>
          <w:b w:val="0"/>
          <w:lang w:val="en-GB"/>
        </w:rPr>
        <w:t>at</w:t>
      </w:r>
      <w:r w:rsidR="00975895" w:rsidRPr="0002642E">
        <w:rPr>
          <w:rStyle w:val="Characterbold"/>
          <w:b w:val="0"/>
          <w:lang w:val="en-GB"/>
        </w:rPr>
        <w:t xml:space="preserve"> </w:t>
      </w:r>
      <w:r w:rsidRPr="0002642E">
        <w:rPr>
          <w:rStyle w:val="Characterbold"/>
          <w:b w:val="0"/>
          <w:lang w:val="en-GB"/>
        </w:rPr>
        <w:t>issue.</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007B5703" w:rsidRPr="0002642E">
        <w:rPr>
          <w:rStyle w:val="Characterbold"/>
          <w:b w:val="0"/>
          <w:lang w:val="en-GB"/>
        </w:rPr>
        <w:t>c</w:t>
      </w:r>
      <w:r w:rsidRPr="0002642E">
        <w:rPr>
          <w:rStyle w:val="Characterbold"/>
          <w:b w:val="0"/>
          <w:lang w:val="en-GB"/>
        </w:rPr>
        <w:t>ourt</w:t>
      </w:r>
      <w:r w:rsidR="00975895" w:rsidRPr="0002642E">
        <w:rPr>
          <w:rStyle w:val="Characterbold"/>
          <w:b w:val="0"/>
          <w:lang w:val="en-GB"/>
        </w:rPr>
        <w:t xml:space="preserve"> </w:t>
      </w:r>
      <w:r w:rsidRPr="0002642E">
        <w:rPr>
          <w:rStyle w:val="Characterbold"/>
          <w:b w:val="0"/>
          <w:lang w:val="en-GB"/>
        </w:rPr>
        <w:t>appointed</w:t>
      </w:r>
      <w:r w:rsidR="00975895" w:rsidRPr="0002642E">
        <w:rPr>
          <w:rStyle w:val="Characterbold"/>
          <w:b w:val="0"/>
          <w:lang w:val="en-GB"/>
        </w:rPr>
        <w:t xml:space="preserve"> </w:t>
      </w:r>
      <w:r w:rsidRPr="0002642E">
        <w:rPr>
          <w:rStyle w:val="Characterbold"/>
          <w:b w:val="0"/>
          <w:lang w:val="en-GB"/>
        </w:rPr>
        <w:t>a</w:t>
      </w:r>
      <w:r w:rsidR="00975895" w:rsidRPr="0002642E">
        <w:rPr>
          <w:rStyle w:val="Characterbold"/>
          <w:b w:val="0"/>
          <w:lang w:val="en-GB"/>
        </w:rPr>
        <w:t xml:space="preserve"> </w:t>
      </w:r>
      <w:r w:rsidRPr="0002642E">
        <w:rPr>
          <w:rStyle w:val="Characterbold"/>
          <w:b w:val="0"/>
          <w:lang w:val="en-GB"/>
        </w:rPr>
        <w:t>legal</w:t>
      </w:r>
      <w:r w:rsidR="00975895" w:rsidRPr="0002642E">
        <w:rPr>
          <w:rStyle w:val="Characterbold"/>
          <w:b w:val="0"/>
          <w:lang w:val="en-GB"/>
        </w:rPr>
        <w:t xml:space="preserve"> </w:t>
      </w:r>
      <w:r w:rsidRPr="0002642E">
        <w:rPr>
          <w:rStyle w:val="Characterbold"/>
          <w:b w:val="0"/>
          <w:lang w:val="en-GB"/>
        </w:rPr>
        <w:t>representative</w:t>
      </w:r>
      <w:r w:rsidR="00975895" w:rsidRPr="0002642E">
        <w:rPr>
          <w:rStyle w:val="Characterbold"/>
          <w:b w:val="0"/>
          <w:lang w:val="en-GB"/>
        </w:rPr>
        <w:t xml:space="preserve"> </w:t>
      </w:r>
      <w:r w:rsidRPr="0002642E">
        <w:rPr>
          <w:rStyle w:val="Characterbold"/>
          <w:b w:val="0"/>
          <w:lang w:val="en-GB"/>
        </w:rPr>
        <w:t>as</w:t>
      </w:r>
      <w:r w:rsidR="00975895" w:rsidRPr="0002642E">
        <w:rPr>
          <w:rStyle w:val="Characterbold"/>
          <w:b w:val="0"/>
          <w:lang w:val="en-GB"/>
        </w:rPr>
        <w:t xml:space="preserve"> </w:t>
      </w:r>
      <w:r w:rsidR="000C5726">
        <w:rPr>
          <w:rStyle w:val="Characterbold"/>
          <w:b w:val="0"/>
          <w:lang w:val="en-GB"/>
        </w:rPr>
        <w:t>'</w:t>
      </w:r>
      <w:r w:rsidRPr="003015FD">
        <w:rPr>
          <w:rStyle w:val="Characterbold"/>
          <w:b w:val="0"/>
          <w:lang w:val="en-GB"/>
        </w:rPr>
        <w:t>friend</w:t>
      </w:r>
      <w:r w:rsidR="00975895" w:rsidRPr="0002642E">
        <w:rPr>
          <w:rStyle w:val="Characterbold"/>
          <w:b w:val="0"/>
          <w:lang w:val="en-GB"/>
        </w:rPr>
        <w:t xml:space="preserve"> </w:t>
      </w:r>
      <w:r w:rsidRPr="0002642E">
        <w:rPr>
          <w:rStyle w:val="Characterbold"/>
          <w:b w:val="0"/>
          <w:lang w:val="en-GB"/>
        </w:rPr>
        <w:t>of</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3015FD">
        <w:rPr>
          <w:rStyle w:val="Characterbold"/>
          <w:b w:val="0"/>
          <w:lang w:val="en-GB"/>
        </w:rPr>
        <w:t>court</w:t>
      </w:r>
      <w:r w:rsidR="000C5726">
        <w:rPr>
          <w:rStyle w:val="Characterbold"/>
          <w:b w:val="0"/>
          <w:lang w:val="en-GB"/>
        </w:rPr>
        <w:t>'</w:t>
      </w:r>
      <w:r w:rsidR="00975895" w:rsidRPr="0002642E">
        <w:rPr>
          <w:rStyle w:val="Characterbold"/>
          <w:b w:val="0"/>
          <w:lang w:val="en-GB"/>
        </w:rPr>
        <w:t xml:space="preserve"> </w:t>
      </w:r>
      <w:r w:rsidRPr="0002642E">
        <w:rPr>
          <w:rStyle w:val="Characterbold"/>
          <w:b w:val="0"/>
          <w:lang w:val="en-GB"/>
        </w:rPr>
        <w:t>to</w:t>
      </w:r>
      <w:r w:rsidR="00975895" w:rsidRPr="0002642E">
        <w:rPr>
          <w:rStyle w:val="Characterbold"/>
          <w:b w:val="0"/>
          <w:lang w:val="en-GB"/>
        </w:rPr>
        <w:t xml:space="preserve"> </w:t>
      </w:r>
      <w:r w:rsidRPr="0002642E">
        <w:rPr>
          <w:rStyle w:val="Characterbold"/>
          <w:b w:val="0"/>
          <w:lang w:val="en-GB"/>
        </w:rPr>
        <w:t>represent</w:t>
      </w:r>
      <w:r w:rsidR="00975895" w:rsidRPr="0002642E">
        <w:rPr>
          <w:rStyle w:val="Characterbold"/>
          <w:b w:val="0"/>
          <w:lang w:val="en-GB"/>
        </w:rPr>
        <w:t xml:space="preserve"> </w:t>
      </w:r>
      <w:r w:rsidRPr="0002642E">
        <w:rPr>
          <w:rStyle w:val="Characterbold"/>
          <w:b w:val="0"/>
          <w:lang w:val="en-GB"/>
        </w:rPr>
        <w:t>their</w:t>
      </w:r>
      <w:r w:rsidR="00975895" w:rsidRPr="0002642E">
        <w:rPr>
          <w:rStyle w:val="Characterbold"/>
          <w:b w:val="0"/>
          <w:lang w:val="en-GB"/>
        </w:rPr>
        <w:t xml:space="preserve"> </w:t>
      </w:r>
      <w:r w:rsidRPr="0002642E">
        <w:rPr>
          <w:rStyle w:val="Characterbold"/>
          <w:b w:val="0"/>
          <w:lang w:val="en-GB"/>
        </w:rPr>
        <w:t>interests.</w:t>
      </w:r>
      <w:r w:rsidR="00975895" w:rsidRPr="0002642E">
        <w:rPr>
          <w:rStyle w:val="Characterbold"/>
          <w:b w:val="0"/>
          <w:lang w:val="en-GB"/>
        </w:rPr>
        <w:t xml:space="preserve"> </w:t>
      </w:r>
    </w:p>
    <w:p w14:paraId="66AAD3B7" w14:textId="68D6D023" w:rsidR="00602EE4" w:rsidRDefault="00602EE4" w:rsidP="0002642E">
      <w:pPr>
        <w:pStyle w:val="BodyText"/>
      </w:pPr>
      <w:r>
        <w:t xml:space="preserve">The Attorney-General similarly has the </w:t>
      </w:r>
      <w:r w:rsidR="00336DB4">
        <w:t>power</w:t>
      </w:r>
      <w:r>
        <w:t xml:space="preserve"> to intervene in court proceedings that raise the Charter. In 2018, the Attorney-General intervened in the following matters:</w:t>
      </w:r>
    </w:p>
    <w:p w14:paraId="1D402D99" w14:textId="13FBB60B" w:rsidR="00602EE4" w:rsidRDefault="00C723D6" w:rsidP="0002642E">
      <w:pPr>
        <w:pStyle w:val="ListBullet"/>
      </w:pPr>
      <w:r w:rsidRPr="0002642E">
        <w:rPr>
          <w:i/>
        </w:rPr>
        <w:t xml:space="preserve">Karl </w:t>
      </w:r>
      <w:r w:rsidR="00602EE4" w:rsidRPr="0002642E">
        <w:rPr>
          <w:i/>
        </w:rPr>
        <w:t xml:space="preserve">Hague v </w:t>
      </w:r>
      <w:r w:rsidR="00225044" w:rsidRPr="0002642E">
        <w:rPr>
          <w:i/>
        </w:rPr>
        <w:t>Director of Public Prosecutions</w:t>
      </w:r>
      <w:r>
        <w:t xml:space="preserve"> S APCR 2018 0134</w:t>
      </w:r>
      <w:r w:rsidR="00336DB4">
        <w:t xml:space="preserve"> (before the Supreme Court of Appeal at the time of publication)</w:t>
      </w:r>
    </w:p>
    <w:p w14:paraId="352E0204" w14:textId="272709DA" w:rsidR="00602EE4" w:rsidRDefault="00602EE4" w:rsidP="0002642E">
      <w:pPr>
        <w:pStyle w:val="ListBullet"/>
      </w:pPr>
      <w:proofErr w:type="spellStart"/>
      <w:r w:rsidRPr="0002642E">
        <w:rPr>
          <w:rStyle w:val="Characteritalic"/>
          <w:rFonts w:eastAsiaTheme="minorHAnsi"/>
          <w:lang w:val="en-GB"/>
        </w:rPr>
        <w:t>Cemino</w:t>
      </w:r>
      <w:proofErr w:type="spellEnd"/>
      <w:r w:rsidRPr="0002642E">
        <w:rPr>
          <w:rStyle w:val="Characteritalic"/>
          <w:rFonts w:eastAsiaTheme="minorHAnsi"/>
          <w:lang w:val="en-GB"/>
        </w:rPr>
        <w:t xml:space="preserve"> v </w:t>
      </w:r>
      <w:proofErr w:type="spellStart"/>
      <w:r w:rsidRPr="0002642E">
        <w:rPr>
          <w:rStyle w:val="Characteritalic"/>
          <w:rFonts w:eastAsiaTheme="minorHAnsi"/>
          <w:lang w:val="en-GB"/>
        </w:rPr>
        <w:t>Cannan</w:t>
      </w:r>
      <w:proofErr w:type="spellEnd"/>
      <w:r w:rsidRPr="0002642E">
        <w:rPr>
          <w:rStyle w:val="Characteritalic"/>
          <w:rFonts w:eastAsiaTheme="minorHAnsi"/>
          <w:lang w:val="en-GB"/>
        </w:rPr>
        <w:t xml:space="preserve"> &amp; </w:t>
      </w:r>
      <w:proofErr w:type="spellStart"/>
      <w:r w:rsidRPr="0002642E">
        <w:rPr>
          <w:rStyle w:val="Characteritalic"/>
          <w:rFonts w:eastAsiaTheme="minorHAnsi"/>
          <w:lang w:val="en-GB"/>
        </w:rPr>
        <w:t>Ors</w:t>
      </w:r>
      <w:proofErr w:type="spellEnd"/>
      <w:r w:rsidR="00225044" w:rsidRPr="0002642E">
        <w:rPr>
          <w:i/>
        </w:rPr>
        <w:t xml:space="preserve"> </w:t>
      </w:r>
      <w:r w:rsidR="00225044">
        <w:t>[2018] VSC 535</w:t>
      </w:r>
    </w:p>
    <w:p w14:paraId="161CF88D" w14:textId="26A08C8C" w:rsidR="00602EE4" w:rsidRPr="003015FD" w:rsidRDefault="00225044" w:rsidP="0002642E">
      <w:pPr>
        <w:pStyle w:val="ListBullet"/>
      </w:pPr>
      <w:r w:rsidRPr="0002642E">
        <w:rPr>
          <w:rStyle w:val="Characteritalic"/>
          <w:rFonts w:eastAsiaTheme="minorHAnsi"/>
          <w:lang w:val="en-GB"/>
        </w:rPr>
        <w:lastRenderedPageBreak/>
        <w:t>Director of Public Prosecutions</w:t>
      </w:r>
      <w:r w:rsidR="00602EE4" w:rsidRPr="0002642E">
        <w:rPr>
          <w:rStyle w:val="Characteritalic"/>
          <w:rFonts w:eastAsiaTheme="minorHAnsi"/>
          <w:lang w:val="en-GB"/>
        </w:rPr>
        <w:t xml:space="preserve"> v </w:t>
      </w:r>
      <w:r w:rsidRPr="0002642E">
        <w:rPr>
          <w:rStyle w:val="Characteritalic"/>
          <w:rFonts w:eastAsiaTheme="minorHAnsi"/>
          <w:lang w:val="en-GB"/>
        </w:rPr>
        <w:t xml:space="preserve">Shaun </w:t>
      </w:r>
      <w:proofErr w:type="spellStart"/>
      <w:r w:rsidR="00602EE4" w:rsidRPr="0002642E">
        <w:rPr>
          <w:rStyle w:val="Characteritalic"/>
          <w:rFonts w:eastAsiaTheme="minorHAnsi"/>
          <w:lang w:val="en-GB"/>
        </w:rPr>
        <w:t>Rayment</w:t>
      </w:r>
      <w:proofErr w:type="spellEnd"/>
      <w:r>
        <w:t xml:space="preserve"> [2018] VSC 663</w:t>
      </w:r>
      <w:r w:rsidR="00A02CED">
        <w:t>.</w:t>
      </w:r>
    </w:p>
    <w:p w14:paraId="51D7697C" w14:textId="63512EAF" w:rsidR="008E0945" w:rsidRPr="003015FD" w:rsidRDefault="00D90DB7" w:rsidP="0002642E">
      <w:pPr>
        <w:pStyle w:val="Heading2"/>
      </w:pPr>
      <w:bookmarkStart w:id="104" w:name="_Toc15045128"/>
      <w:bookmarkStart w:id="105" w:name="_Toc22011540"/>
      <w:r w:rsidRPr="003015FD">
        <w:t>4.2</w:t>
      </w:r>
      <w:r w:rsidRPr="003015FD">
        <w:tab/>
      </w:r>
      <w:r w:rsidR="008E0945" w:rsidRPr="003015FD">
        <w:t>The</w:t>
      </w:r>
      <w:r w:rsidR="00975895" w:rsidRPr="003015FD">
        <w:t xml:space="preserve"> </w:t>
      </w:r>
      <w:r w:rsidR="008E0945" w:rsidRPr="003015FD">
        <w:t>right</w:t>
      </w:r>
      <w:r w:rsidR="00975895" w:rsidRPr="003015FD">
        <w:t xml:space="preserve"> </w:t>
      </w:r>
      <w:r w:rsidR="008E0945" w:rsidRPr="003015FD">
        <w:t>to</w:t>
      </w:r>
      <w:r w:rsidR="00975895" w:rsidRPr="003015FD">
        <w:t xml:space="preserve"> </w:t>
      </w:r>
      <w:r w:rsidR="008E0945" w:rsidRPr="003015FD">
        <w:t>a</w:t>
      </w:r>
      <w:r w:rsidR="00975895" w:rsidRPr="003015FD">
        <w:t xml:space="preserve"> </w:t>
      </w:r>
      <w:r w:rsidR="008E0945" w:rsidRPr="003015FD">
        <w:t>fair</w:t>
      </w:r>
      <w:r w:rsidR="00975895" w:rsidRPr="003015FD">
        <w:t xml:space="preserve"> </w:t>
      </w:r>
      <w:r w:rsidR="008E0945" w:rsidRPr="003015FD">
        <w:t>hearing</w:t>
      </w:r>
      <w:r w:rsidR="00975895" w:rsidRPr="003015FD">
        <w:t xml:space="preserve"> </w:t>
      </w:r>
      <w:r w:rsidR="008E0945" w:rsidRPr="003015FD">
        <w:t>and</w:t>
      </w:r>
      <w:r w:rsidR="00975895" w:rsidRPr="003015FD">
        <w:t xml:space="preserve"> </w:t>
      </w:r>
      <w:r w:rsidR="008E0945" w:rsidRPr="003015FD">
        <w:t>natural</w:t>
      </w:r>
      <w:r w:rsidR="00975895" w:rsidRPr="003015FD">
        <w:t xml:space="preserve"> </w:t>
      </w:r>
      <w:r w:rsidR="008E0945" w:rsidRPr="003015FD">
        <w:t>justice</w:t>
      </w:r>
      <w:bookmarkEnd w:id="104"/>
      <w:bookmarkEnd w:id="105"/>
    </w:p>
    <w:p w14:paraId="201EC964" w14:textId="729E6936" w:rsidR="001D1E54" w:rsidRPr="00685C1E" w:rsidRDefault="008E0945" w:rsidP="0002642E">
      <w:pPr>
        <w:pStyle w:val="BodyText"/>
        <w:rPr>
          <w:rFonts w:cs="Arial"/>
          <w:szCs w:val="24"/>
        </w:rPr>
      </w:pPr>
      <w:r w:rsidRPr="0002642E">
        <w:rPr>
          <w:rStyle w:val="Characterclear"/>
        </w:rPr>
        <w:t>The</w:t>
      </w:r>
      <w:r w:rsidR="00975895" w:rsidRPr="0002642E">
        <w:rPr>
          <w:rStyle w:val="Characterclear"/>
        </w:rPr>
        <w:t xml:space="preserve"> </w:t>
      </w:r>
      <w:r w:rsidRPr="0002642E">
        <w:rPr>
          <w:rStyle w:val="Characterclear"/>
        </w:rPr>
        <w:t>courts</w:t>
      </w:r>
      <w:r w:rsidR="00975895" w:rsidRPr="0002642E">
        <w:rPr>
          <w:rStyle w:val="Characterclear"/>
        </w:rPr>
        <w:t xml:space="preserve"> </w:t>
      </w:r>
      <w:r w:rsidRPr="0002642E">
        <w:rPr>
          <w:rStyle w:val="Characterclear"/>
        </w:rPr>
        <w:t>extensively</w:t>
      </w:r>
      <w:r w:rsidR="00975895" w:rsidRPr="0002642E">
        <w:rPr>
          <w:rStyle w:val="Characterclear"/>
        </w:rPr>
        <w:t xml:space="preserve"> </w:t>
      </w:r>
      <w:r w:rsidRPr="0002642E">
        <w:rPr>
          <w:rStyle w:val="Characterclear"/>
        </w:rPr>
        <w:t>considered</w:t>
      </w:r>
      <w:r w:rsidR="00975895" w:rsidRPr="0002642E">
        <w:rPr>
          <w:rStyle w:val="Characterclear"/>
        </w:rPr>
        <w:t xml:space="preserve"> </w:t>
      </w:r>
      <w:r w:rsidRPr="0002642E">
        <w:rPr>
          <w:rStyle w:val="Characterclear"/>
        </w:rPr>
        <w:t>the</w:t>
      </w:r>
      <w:r w:rsidR="00975895" w:rsidRPr="0002642E">
        <w:rPr>
          <w:rStyle w:val="Characterclear"/>
        </w:rPr>
        <w:t xml:space="preserve"> </w:t>
      </w:r>
      <w:r w:rsidRPr="0002642E">
        <w:rPr>
          <w:rStyle w:val="Characterclear"/>
        </w:rPr>
        <w:t>application</w:t>
      </w:r>
      <w:r w:rsidR="00975895" w:rsidRPr="0002642E">
        <w:rPr>
          <w:rStyle w:val="Characterclear"/>
        </w:rPr>
        <w:t xml:space="preserve"> </w:t>
      </w:r>
      <w:r w:rsidRPr="0002642E">
        <w:rPr>
          <w:rStyle w:val="Characterclear"/>
        </w:rPr>
        <w:t>of</w:t>
      </w:r>
      <w:r w:rsidR="00975895" w:rsidRPr="0002642E">
        <w:rPr>
          <w:rStyle w:val="Characterclear"/>
        </w:rPr>
        <w:t xml:space="preserve"> </w:t>
      </w:r>
      <w:r w:rsidRPr="0002642E">
        <w:rPr>
          <w:rStyle w:val="Characterclear"/>
        </w:rPr>
        <w:t>the</w:t>
      </w:r>
      <w:r w:rsidR="00975895" w:rsidRPr="0002642E">
        <w:rPr>
          <w:rStyle w:val="Characterclear"/>
        </w:rPr>
        <w:t xml:space="preserve"> </w:t>
      </w:r>
      <w:r w:rsidRPr="0002642E">
        <w:rPr>
          <w:rStyle w:val="Characterclear"/>
        </w:rPr>
        <w:t>right</w:t>
      </w:r>
      <w:r w:rsidR="00975895" w:rsidRPr="0002642E">
        <w:rPr>
          <w:rStyle w:val="Characterclear"/>
        </w:rPr>
        <w:t xml:space="preserve"> </w:t>
      </w:r>
      <w:r w:rsidRPr="0002642E">
        <w:rPr>
          <w:rStyle w:val="Characterclear"/>
        </w:rPr>
        <w:t>to</w:t>
      </w:r>
      <w:r w:rsidR="00975895" w:rsidRPr="0002642E">
        <w:rPr>
          <w:rStyle w:val="Characterclear"/>
        </w:rPr>
        <w:t xml:space="preserve"> </w:t>
      </w:r>
      <w:r w:rsidRPr="0002642E">
        <w:rPr>
          <w:rStyle w:val="Characterclear"/>
        </w:rPr>
        <w:t>a</w:t>
      </w:r>
      <w:r w:rsidR="00975895" w:rsidRPr="0002642E">
        <w:rPr>
          <w:rStyle w:val="Characterclear"/>
        </w:rPr>
        <w:t xml:space="preserve"> </w:t>
      </w:r>
      <w:r w:rsidRPr="0002642E">
        <w:rPr>
          <w:rStyle w:val="Characterclear"/>
        </w:rPr>
        <w:t>fair</w:t>
      </w:r>
      <w:r w:rsidR="00975895" w:rsidRPr="0002642E">
        <w:rPr>
          <w:rStyle w:val="Characterclear"/>
        </w:rPr>
        <w:t xml:space="preserve"> </w:t>
      </w:r>
      <w:r w:rsidRPr="0002642E">
        <w:rPr>
          <w:rStyle w:val="Characterclear"/>
        </w:rPr>
        <w:t>hearing</w:t>
      </w:r>
      <w:r w:rsidR="00975895" w:rsidRPr="0002642E">
        <w:rPr>
          <w:rStyle w:val="Characterclear"/>
        </w:rPr>
        <w:t xml:space="preserve"> </w:t>
      </w:r>
      <w:r w:rsidRPr="0002642E">
        <w:rPr>
          <w:rStyle w:val="Characterclear"/>
        </w:rPr>
        <w:t>in</w:t>
      </w:r>
      <w:r w:rsidR="00975895" w:rsidRPr="0002642E">
        <w:rPr>
          <w:rStyle w:val="Characterclear"/>
        </w:rPr>
        <w:t xml:space="preserve"> </w:t>
      </w:r>
      <w:r w:rsidRPr="0002642E">
        <w:rPr>
          <w:rStyle w:val="Characterclear"/>
        </w:rPr>
        <w:t>the</w:t>
      </w:r>
      <w:r w:rsidR="00975895" w:rsidRPr="0002642E">
        <w:rPr>
          <w:rStyle w:val="Characterclear"/>
        </w:rPr>
        <w:t xml:space="preserve"> </w:t>
      </w:r>
      <w:r w:rsidRPr="0002642E">
        <w:rPr>
          <w:rStyle w:val="Characterclear"/>
        </w:rPr>
        <w:t>context</w:t>
      </w:r>
      <w:r w:rsidR="00975895" w:rsidRPr="0002642E">
        <w:rPr>
          <w:rStyle w:val="Characterclear"/>
        </w:rPr>
        <w:t xml:space="preserve"> </w:t>
      </w:r>
      <w:r w:rsidRPr="0002642E">
        <w:rPr>
          <w:rStyle w:val="Characterclear"/>
        </w:rPr>
        <w:t>of</w:t>
      </w:r>
      <w:r w:rsidR="00975895" w:rsidRPr="0002642E">
        <w:rPr>
          <w:rStyle w:val="Characterclear"/>
        </w:rPr>
        <w:t xml:space="preserve"> </w:t>
      </w:r>
      <w:r w:rsidRPr="0002642E">
        <w:rPr>
          <w:rStyle w:val="Characterclear"/>
        </w:rPr>
        <w:t>unrepresented</w:t>
      </w:r>
      <w:r w:rsidR="00975895" w:rsidRPr="0002642E">
        <w:rPr>
          <w:rStyle w:val="Characterclear"/>
        </w:rPr>
        <w:t xml:space="preserve"> </w:t>
      </w:r>
      <w:r w:rsidRPr="0002642E">
        <w:rPr>
          <w:rStyle w:val="Characterclear"/>
        </w:rPr>
        <w:t>litigants</w:t>
      </w:r>
      <w:r w:rsidR="00975895" w:rsidRPr="0002642E">
        <w:rPr>
          <w:rStyle w:val="Characterclear"/>
        </w:rPr>
        <w:t xml:space="preserve"> </w:t>
      </w:r>
      <w:r w:rsidRPr="0002642E">
        <w:rPr>
          <w:rStyle w:val="Characterclear"/>
        </w:rPr>
        <w:t>(</w:t>
      </w:r>
      <w:r w:rsidRPr="0002642E">
        <w:rPr>
          <w:rStyle w:val="Characteritalic"/>
          <w:lang w:val="en-GB"/>
        </w:rPr>
        <w:t>Roberts</w:t>
      </w:r>
      <w:r w:rsidR="00975895" w:rsidRPr="0002642E">
        <w:rPr>
          <w:rStyle w:val="Characteritalic"/>
          <w:lang w:val="en-GB"/>
        </w:rPr>
        <w:t xml:space="preserve"> </w:t>
      </w:r>
      <w:r w:rsidRPr="0002642E">
        <w:rPr>
          <w:rStyle w:val="Characteritalic"/>
          <w:lang w:val="en-GB"/>
        </w:rPr>
        <w:t>v</w:t>
      </w:r>
      <w:r w:rsidR="00975895" w:rsidRPr="0002642E">
        <w:rPr>
          <w:rStyle w:val="Characteritalic"/>
          <w:lang w:val="en-GB"/>
        </w:rPr>
        <w:t xml:space="preserve"> </w:t>
      </w:r>
      <w:r w:rsidRPr="0002642E">
        <w:rPr>
          <w:rStyle w:val="Characteritalic"/>
          <w:lang w:val="en-GB"/>
        </w:rPr>
        <w:t>Harkness</w:t>
      </w:r>
      <w:r w:rsidR="001706A9" w:rsidRPr="0002642E">
        <w:rPr>
          <w:rStyle w:val="Characterclear"/>
        </w:rPr>
        <w:t>)</w:t>
      </w:r>
      <w:r w:rsidRPr="004862C5">
        <w:rPr>
          <w:rStyle w:val="FootnoteReference"/>
        </w:rPr>
        <w:footnoteReference w:id="77"/>
      </w:r>
      <w:r w:rsidR="00975895" w:rsidRPr="00C9414D">
        <w:rPr>
          <w:rStyle w:val="Characterclear"/>
          <w:rFonts w:cs="Arial"/>
          <w:szCs w:val="24"/>
        </w:rPr>
        <w:t xml:space="preserve"> </w:t>
      </w:r>
      <w:r w:rsidRPr="0002642E">
        <w:rPr>
          <w:rStyle w:val="Characterclear"/>
        </w:rPr>
        <w:t>and</w:t>
      </w:r>
      <w:r w:rsidR="00975895" w:rsidRPr="0002642E">
        <w:rPr>
          <w:rStyle w:val="Characterclear"/>
        </w:rPr>
        <w:t xml:space="preserve"> </w:t>
      </w:r>
      <w:r w:rsidRPr="0002642E">
        <w:rPr>
          <w:rStyle w:val="Characterclear"/>
        </w:rPr>
        <w:t>in</w:t>
      </w:r>
      <w:r w:rsidR="00975895" w:rsidRPr="0002642E">
        <w:rPr>
          <w:rStyle w:val="Characterclear"/>
        </w:rPr>
        <w:t xml:space="preserve"> </w:t>
      </w:r>
      <w:r w:rsidRPr="0002642E">
        <w:rPr>
          <w:rStyle w:val="Characterclear"/>
        </w:rPr>
        <w:t>situations</w:t>
      </w:r>
      <w:r w:rsidR="00975895" w:rsidRPr="0002642E">
        <w:rPr>
          <w:rStyle w:val="Characterclear"/>
        </w:rPr>
        <w:t xml:space="preserve"> </w:t>
      </w:r>
      <w:r w:rsidRPr="0002642E">
        <w:rPr>
          <w:rStyle w:val="Characterclear"/>
        </w:rPr>
        <w:t>where</w:t>
      </w:r>
      <w:r w:rsidR="00975895" w:rsidRPr="0002642E">
        <w:rPr>
          <w:rStyle w:val="Characterclear"/>
        </w:rPr>
        <w:t xml:space="preserve"> </w:t>
      </w:r>
      <w:r w:rsidRPr="0002642E">
        <w:rPr>
          <w:rStyle w:val="Characterclear"/>
        </w:rPr>
        <w:t>the</w:t>
      </w:r>
      <w:r w:rsidR="00975895" w:rsidRPr="0002642E">
        <w:rPr>
          <w:rStyle w:val="Characterclear"/>
        </w:rPr>
        <w:t xml:space="preserve"> </w:t>
      </w:r>
      <w:r w:rsidRPr="0002642E">
        <w:rPr>
          <w:rStyle w:val="Characterclear"/>
        </w:rPr>
        <w:t>parties</w:t>
      </w:r>
      <w:r w:rsidR="00975895" w:rsidRPr="0002642E">
        <w:rPr>
          <w:rStyle w:val="Characterclear"/>
        </w:rPr>
        <w:t xml:space="preserve"> </w:t>
      </w:r>
      <w:r w:rsidRPr="0002642E">
        <w:rPr>
          <w:rStyle w:val="Characterclear"/>
        </w:rPr>
        <w:t>had</w:t>
      </w:r>
      <w:r w:rsidR="00975895" w:rsidRPr="0002642E">
        <w:rPr>
          <w:rStyle w:val="Characterclear"/>
        </w:rPr>
        <w:t xml:space="preserve"> </w:t>
      </w:r>
      <w:r w:rsidRPr="0002642E">
        <w:rPr>
          <w:rStyle w:val="Characterclear"/>
        </w:rPr>
        <w:t>not</w:t>
      </w:r>
      <w:r w:rsidR="00975895" w:rsidRPr="0002642E">
        <w:rPr>
          <w:rStyle w:val="Characterclear"/>
        </w:rPr>
        <w:t xml:space="preserve"> </w:t>
      </w:r>
      <w:r w:rsidRPr="0002642E">
        <w:rPr>
          <w:rStyle w:val="Characterclear"/>
        </w:rPr>
        <w:t>been</w:t>
      </w:r>
      <w:r w:rsidR="00975895" w:rsidRPr="0002642E">
        <w:rPr>
          <w:rStyle w:val="Characterclear"/>
        </w:rPr>
        <w:t xml:space="preserve"> </w:t>
      </w:r>
      <w:r w:rsidRPr="0002642E">
        <w:rPr>
          <w:rStyle w:val="Characterclear"/>
        </w:rPr>
        <w:t>notified</w:t>
      </w:r>
      <w:r w:rsidR="00975895" w:rsidRPr="0002642E">
        <w:rPr>
          <w:rStyle w:val="Characterclear"/>
        </w:rPr>
        <w:t xml:space="preserve"> </w:t>
      </w:r>
      <w:r w:rsidRPr="0002642E">
        <w:rPr>
          <w:rStyle w:val="Characterclear"/>
        </w:rPr>
        <w:t>of,</w:t>
      </w:r>
      <w:r w:rsidR="00975895" w:rsidRPr="0002642E">
        <w:rPr>
          <w:rStyle w:val="Characterclear"/>
        </w:rPr>
        <w:t xml:space="preserve"> </w:t>
      </w:r>
      <w:r w:rsidRPr="0002642E">
        <w:rPr>
          <w:rStyle w:val="Characterclear"/>
        </w:rPr>
        <w:t>and</w:t>
      </w:r>
      <w:r w:rsidR="00975895" w:rsidRPr="0002642E">
        <w:rPr>
          <w:rStyle w:val="Characterclear"/>
        </w:rPr>
        <w:t xml:space="preserve"> </w:t>
      </w:r>
      <w:r w:rsidRPr="0002642E">
        <w:rPr>
          <w:rStyle w:val="Characterclear"/>
        </w:rPr>
        <w:t>were</w:t>
      </w:r>
      <w:r w:rsidR="00975895" w:rsidRPr="0002642E">
        <w:rPr>
          <w:rStyle w:val="Characterclear"/>
        </w:rPr>
        <w:t xml:space="preserve"> </w:t>
      </w:r>
      <w:r w:rsidRPr="0002642E">
        <w:rPr>
          <w:rStyle w:val="Characterclear"/>
        </w:rPr>
        <w:t>not</w:t>
      </w:r>
      <w:r w:rsidR="00975895" w:rsidRPr="0002642E">
        <w:rPr>
          <w:rStyle w:val="Characterclear"/>
        </w:rPr>
        <w:t xml:space="preserve"> </w:t>
      </w:r>
      <w:r w:rsidRPr="0002642E">
        <w:rPr>
          <w:rStyle w:val="Characterclear"/>
        </w:rPr>
        <w:t>present</w:t>
      </w:r>
      <w:r w:rsidR="00975895" w:rsidRPr="0002642E">
        <w:rPr>
          <w:rStyle w:val="Characterclear"/>
        </w:rPr>
        <w:t xml:space="preserve"> </w:t>
      </w:r>
      <w:r w:rsidRPr="0002642E">
        <w:rPr>
          <w:rStyle w:val="Characterclear"/>
        </w:rPr>
        <w:t>at,</w:t>
      </w:r>
      <w:r w:rsidR="00975895" w:rsidRPr="0002642E">
        <w:rPr>
          <w:rStyle w:val="Characterclear"/>
        </w:rPr>
        <w:t xml:space="preserve"> </w:t>
      </w:r>
      <w:r w:rsidRPr="0002642E">
        <w:rPr>
          <w:rStyle w:val="Characterclear"/>
        </w:rPr>
        <w:t>the</w:t>
      </w:r>
      <w:r w:rsidR="00975895" w:rsidRPr="0002642E">
        <w:rPr>
          <w:rStyle w:val="Characterclear"/>
        </w:rPr>
        <w:t xml:space="preserve"> </w:t>
      </w:r>
      <w:r w:rsidRPr="0002642E">
        <w:rPr>
          <w:rStyle w:val="Characterclear"/>
        </w:rPr>
        <w:t>proceedings</w:t>
      </w:r>
      <w:r w:rsidR="00975895" w:rsidRPr="0002642E">
        <w:rPr>
          <w:rStyle w:val="Characterclear"/>
        </w:rPr>
        <w:t xml:space="preserve"> </w:t>
      </w:r>
      <w:r w:rsidRPr="0002642E">
        <w:rPr>
          <w:rStyle w:val="Characterclear"/>
        </w:rPr>
        <w:t>(</w:t>
      </w:r>
      <w:r w:rsidRPr="0002642E">
        <w:rPr>
          <w:rStyle w:val="Characteritalic"/>
          <w:lang w:val="en-GB"/>
        </w:rPr>
        <w:t>AB</w:t>
      </w:r>
      <w:r w:rsidR="00975895" w:rsidRPr="0002642E">
        <w:rPr>
          <w:rStyle w:val="Characteritalic"/>
          <w:lang w:val="en-GB"/>
        </w:rPr>
        <w:t xml:space="preserve"> </w:t>
      </w:r>
      <w:r w:rsidRPr="0002642E">
        <w:rPr>
          <w:rStyle w:val="Characteritalic"/>
          <w:lang w:val="en-GB"/>
        </w:rPr>
        <w:t>&amp;</w:t>
      </w:r>
      <w:r w:rsidR="00975895" w:rsidRPr="0002642E">
        <w:rPr>
          <w:rStyle w:val="Characteritalic"/>
          <w:lang w:val="en-GB"/>
        </w:rPr>
        <w:t xml:space="preserve"> </w:t>
      </w:r>
      <w:r w:rsidRPr="0002642E">
        <w:rPr>
          <w:rStyle w:val="Characteritalic"/>
          <w:lang w:val="en-GB"/>
        </w:rPr>
        <w:t>EF</w:t>
      </w:r>
      <w:r w:rsidR="00975895" w:rsidRPr="0002642E">
        <w:rPr>
          <w:rStyle w:val="Characteritalic"/>
          <w:lang w:val="en-GB"/>
        </w:rPr>
        <w:t xml:space="preserve"> </w:t>
      </w:r>
      <w:r w:rsidRPr="0002642E">
        <w:rPr>
          <w:rStyle w:val="Characteritalic"/>
          <w:lang w:val="en-GB"/>
        </w:rPr>
        <w:t>v</w:t>
      </w:r>
      <w:r w:rsidR="00975895" w:rsidRPr="0002642E">
        <w:rPr>
          <w:rStyle w:val="Characteritalic"/>
          <w:lang w:val="en-GB"/>
        </w:rPr>
        <w:t xml:space="preserve"> </w:t>
      </w:r>
      <w:r w:rsidRPr="0002642E">
        <w:rPr>
          <w:rStyle w:val="Characteritalic"/>
          <w:lang w:val="en-GB"/>
        </w:rPr>
        <w:t>CD</w:t>
      </w:r>
      <w:r w:rsidRPr="0002642E">
        <w:rPr>
          <w:rStyle w:val="Characterclear"/>
        </w:rPr>
        <w:t>).</w:t>
      </w:r>
      <w:r w:rsidR="00975895" w:rsidRPr="0002642E">
        <w:rPr>
          <w:rStyle w:val="Characterclear"/>
        </w:rPr>
        <w:t xml:space="preserve"> </w:t>
      </w:r>
      <w:r w:rsidRPr="00C9414D">
        <w:rPr>
          <w:rFonts w:cs="Arial"/>
          <w:szCs w:val="24"/>
        </w:rPr>
        <w:t>In</w:t>
      </w:r>
      <w:r w:rsidR="00975895" w:rsidRPr="0002642E">
        <w:rPr>
          <w:rStyle w:val="Characterclear"/>
        </w:rPr>
        <w:t xml:space="preserve"> </w:t>
      </w:r>
      <w:r w:rsidRPr="0002642E">
        <w:rPr>
          <w:rStyle w:val="Characteritalic"/>
          <w:lang w:val="en-GB"/>
        </w:rPr>
        <w:t>Roberts</w:t>
      </w:r>
      <w:r w:rsidR="00975895" w:rsidRPr="0002642E">
        <w:rPr>
          <w:rStyle w:val="Characteritalic"/>
          <w:lang w:val="en-GB"/>
        </w:rPr>
        <w:t xml:space="preserve"> </w:t>
      </w:r>
      <w:r w:rsidRPr="0002642E">
        <w:rPr>
          <w:rStyle w:val="Characteritalic"/>
          <w:lang w:val="en-GB"/>
        </w:rPr>
        <w:t>v</w:t>
      </w:r>
      <w:r w:rsidR="00975895" w:rsidRPr="0002642E">
        <w:rPr>
          <w:rStyle w:val="Characteritalic"/>
          <w:lang w:val="en-GB"/>
        </w:rPr>
        <w:t xml:space="preserve"> </w:t>
      </w:r>
      <w:r w:rsidRPr="0002642E">
        <w:rPr>
          <w:rStyle w:val="Characteritalic"/>
          <w:lang w:val="en-GB"/>
        </w:rPr>
        <w:t>Harkness</w:t>
      </w:r>
      <w:r w:rsidRPr="0002642E">
        <w:rPr>
          <w:rStyle w:val="Characterclear"/>
        </w:rPr>
        <w:t>,</w:t>
      </w:r>
      <w:r w:rsidR="00975895" w:rsidRPr="0002642E">
        <w:rPr>
          <w:rStyle w:val="Characterclear"/>
        </w:rPr>
        <w:t xml:space="preserve"> </w:t>
      </w:r>
      <w:r w:rsidRPr="00C9414D">
        <w:rPr>
          <w:rFonts w:cs="Arial"/>
          <w:szCs w:val="24"/>
        </w:rPr>
        <w:t>the</w:t>
      </w:r>
      <w:r w:rsidR="00975895" w:rsidRPr="00C9414D">
        <w:rPr>
          <w:rFonts w:cs="Arial"/>
          <w:szCs w:val="24"/>
        </w:rPr>
        <w:t xml:space="preserve"> </w:t>
      </w:r>
      <w:r w:rsidRPr="00C9414D">
        <w:rPr>
          <w:rFonts w:cs="Arial"/>
          <w:szCs w:val="24"/>
        </w:rPr>
        <w:t>court</w:t>
      </w:r>
      <w:r w:rsidR="00975895" w:rsidRPr="00C9414D">
        <w:rPr>
          <w:rFonts w:cs="Arial"/>
          <w:szCs w:val="24"/>
        </w:rPr>
        <w:t xml:space="preserve"> </w:t>
      </w:r>
      <w:r w:rsidRPr="00C9414D">
        <w:rPr>
          <w:rFonts w:cs="Arial"/>
          <w:szCs w:val="24"/>
        </w:rPr>
        <w:t>set</w:t>
      </w:r>
      <w:r w:rsidR="00975895" w:rsidRPr="00C9414D">
        <w:rPr>
          <w:rFonts w:cs="Arial"/>
          <w:szCs w:val="24"/>
        </w:rPr>
        <w:t xml:space="preserve"> </w:t>
      </w:r>
      <w:r w:rsidRPr="00C9414D">
        <w:rPr>
          <w:rFonts w:cs="Arial"/>
          <w:szCs w:val="24"/>
        </w:rPr>
        <w:t>out</w:t>
      </w:r>
      <w:r w:rsidR="00975895" w:rsidRPr="00C9414D">
        <w:rPr>
          <w:rFonts w:cs="Arial"/>
          <w:szCs w:val="24"/>
        </w:rPr>
        <w:t xml:space="preserve"> </w:t>
      </w:r>
      <w:r w:rsidRPr="00C9414D">
        <w:rPr>
          <w:rFonts w:cs="Arial"/>
          <w:szCs w:val="24"/>
        </w:rPr>
        <w:t>factors</w:t>
      </w:r>
      <w:r w:rsidR="00975895" w:rsidRPr="00C9414D">
        <w:rPr>
          <w:rFonts w:cs="Arial"/>
          <w:szCs w:val="24"/>
        </w:rPr>
        <w:t xml:space="preserve"> </w:t>
      </w:r>
      <w:r w:rsidRPr="00C9414D">
        <w:rPr>
          <w:rFonts w:cs="Arial"/>
          <w:szCs w:val="24"/>
        </w:rPr>
        <w:t>a</w:t>
      </w:r>
      <w:r w:rsidR="00975895" w:rsidRPr="00C9414D">
        <w:rPr>
          <w:rFonts w:cs="Arial"/>
          <w:szCs w:val="24"/>
        </w:rPr>
        <w:t xml:space="preserve"> </w:t>
      </w:r>
      <w:r w:rsidRPr="00C9414D">
        <w:rPr>
          <w:rFonts w:cs="Arial"/>
          <w:szCs w:val="24"/>
        </w:rPr>
        <w:t>court</w:t>
      </w:r>
      <w:r w:rsidR="00975895" w:rsidRPr="00C9414D">
        <w:rPr>
          <w:rFonts w:cs="Arial"/>
          <w:szCs w:val="24"/>
        </w:rPr>
        <w:t xml:space="preserve"> </w:t>
      </w:r>
      <w:r w:rsidRPr="00C9414D">
        <w:rPr>
          <w:rFonts w:cs="Arial"/>
          <w:szCs w:val="24"/>
        </w:rPr>
        <w:t>must</w:t>
      </w:r>
      <w:r w:rsidR="00975895" w:rsidRPr="00C9414D">
        <w:rPr>
          <w:rFonts w:cs="Arial"/>
          <w:szCs w:val="24"/>
        </w:rPr>
        <w:t xml:space="preserve"> </w:t>
      </w:r>
      <w:r w:rsidRPr="00C9414D">
        <w:rPr>
          <w:rFonts w:cs="Arial"/>
          <w:szCs w:val="24"/>
        </w:rPr>
        <w:t>consider</w:t>
      </w:r>
      <w:r w:rsidR="00975895" w:rsidRPr="00C9414D">
        <w:rPr>
          <w:rFonts w:cs="Arial"/>
          <w:szCs w:val="24"/>
        </w:rPr>
        <w:t xml:space="preserve"> </w:t>
      </w:r>
      <w:r w:rsidRPr="00C9414D">
        <w:rPr>
          <w:rFonts w:cs="Arial"/>
          <w:szCs w:val="24"/>
        </w:rPr>
        <w:t>to</w:t>
      </w:r>
      <w:r w:rsidR="00975895" w:rsidRPr="00C9414D">
        <w:rPr>
          <w:rFonts w:cs="Arial"/>
          <w:szCs w:val="24"/>
        </w:rPr>
        <w:t xml:space="preserve"> </w:t>
      </w:r>
      <w:r w:rsidRPr="00C9414D">
        <w:rPr>
          <w:rFonts w:cs="Arial"/>
          <w:szCs w:val="24"/>
        </w:rPr>
        <w:t>ensure</w:t>
      </w:r>
      <w:r w:rsidR="00975895" w:rsidRPr="00C9414D">
        <w:rPr>
          <w:rFonts w:cs="Arial"/>
          <w:szCs w:val="24"/>
        </w:rPr>
        <w:t xml:space="preserve"> </w:t>
      </w:r>
      <w:r w:rsidRPr="00C9414D">
        <w:rPr>
          <w:rFonts w:cs="Arial"/>
          <w:szCs w:val="24"/>
        </w:rPr>
        <w:t>a</w:t>
      </w:r>
      <w:r w:rsidR="00975895" w:rsidRPr="00C9414D">
        <w:rPr>
          <w:rFonts w:cs="Arial"/>
          <w:szCs w:val="24"/>
        </w:rPr>
        <w:t xml:space="preserve"> </w:t>
      </w:r>
      <w:r w:rsidRPr="00C9414D">
        <w:rPr>
          <w:rFonts w:cs="Arial"/>
          <w:szCs w:val="24"/>
        </w:rPr>
        <w:t>fair</w:t>
      </w:r>
      <w:r w:rsidR="00975895" w:rsidRPr="00C9414D">
        <w:rPr>
          <w:rFonts w:cs="Arial"/>
          <w:szCs w:val="24"/>
        </w:rPr>
        <w:t xml:space="preserve"> </w:t>
      </w:r>
      <w:r w:rsidRPr="00C9414D">
        <w:rPr>
          <w:rFonts w:cs="Arial"/>
          <w:szCs w:val="24"/>
        </w:rPr>
        <w:t>hearing</w:t>
      </w:r>
      <w:r w:rsidR="00975895" w:rsidRPr="00C9414D">
        <w:rPr>
          <w:rFonts w:cs="Arial"/>
          <w:szCs w:val="24"/>
        </w:rPr>
        <w:t xml:space="preserve"> </w:t>
      </w:r>
      <w:r w:rsidRPr="00C9414D">
        <w:rPr>
          <w:rFonts w:cs="Arial"/>
          <w:szCs w:val="24"/>
        </w:rPr>
        <w:t>has</w:t>
      </w:r>
      <w:r w:rsidR="00975895" w:rsidRPr="00C9414D">
        <w:rPr>
          <w:rFonts w:cs="Arial"/>
          <w:szCs w:val="24"/>
        </w:rPr>
        <w:t xml:space="preserve"> </w:t>
      </w:r>
      <w:r w:rsidRPr="00C9414D">
        <w:rPr>
          <w:rFonts w:cs="Arial"/>
          <w:szCs w:val="24"/>
        </w:rPr>
        <w:t>been</w:t>
      </w:r>
      <w:r w:rsidR="00975895" w:rsidRPr="00C9414D">
        <w:rPr>
          <w:rFonts w:cs="Arial"/>
          <w:szCs w:val="24"/>
        </w:rPr>
        <w:t xml:space="preserve"> </w:t>
      </w:r>
      <w:r w:rsidRPr="00C9414D">
        <w:rPr>
          <w:rFonts w:cs="Arial"/>
          <w:szCs w:val="24"/>
        </w:rPr>
        <w:t>provided</w:t>
      </w:r>
      <w:r w:rsidR="00975895" w:rsidRPr="00C9414D">
        <w:rPr>
          <w:rFonts w:cs="Arial"/>
          <w:szCs w:val="24"/>
        </w:rPr>
        <w:t xml:space="preserve"> </w:t>
      </w:r>
      <w:r w:rsidRPr="00C9414D">
        <w:rPr>
          <w:rFonts w:cs="Arial"/>
          <w:szCs w:val="24"/>
        </w:rPr>
        <w:t>to</w:t>
      </w:r>
      <w:r w:rsidR="00975895" w:rsidRPr="00C9414D">
        <w:rPr>
          <w:rFonts w:cs="Arial"/>
          <w:szCs w:val="24"/>
        </w:rPr>
        <w:t xml:space="preserve"> </w:t>
      </w:r>
      <w:r w:rsidRPr="00C9414D">
        <w:rPr>
          <w:rFonts w:cs="Arial"/>
          <w:szCs w:val="24"/>
        </w:rPr>
        <w:t>an</w:t>
      </w:r>
      <w:r w:rsidR="00975895" w:rsidRPr="00C9414D">
        <w:rPr>
          <w:rFonts w:cs="Arial"/>
          <w:szCs w:val="24"/>
        </w:rPr>
        <w:t xml:space="preserve"> </w:t>
      </w:r>
      <w:r w:rsidRPr="00C9414D">
        <w:rPr>
          <w:rFonts w:cs="Arial"/>
          <w:szCs w:val="24"/>
        </w:rPr>
        <w:t>unrepresented</w:t>
      </w:r>
      <w:r w:rsidR="00975895" w:rsidRPr="00C9414D">
        <w:rPr>
          <w:rFonts w:cs="Arial"/>
          <w:szCs w:val="24"/>
        </w:rPr>
        <w:t xml:space="preserve"> </w:t>
      </w:r>
      <w:r w:rsidRPr="00C9414D">
        <w:rPr>
          <w:rFonts w:cs="Arial"/>
          <w:szCs w:val="24"/>
        </w:rPr>
        <w:t>litigant.</w:t>
      </w:r>
    </w:p>
    <w:tbl>
      <w:tblPr>
        <w:tblStyle w:val="CustomTablebreakoutbox"/>
        <w:tblW w:w="0" w:type="auto"/>
        <w:tblLook w:val="04A0" w:firstRow="1" w:lastRow="0" w:firstColumn="1" w:lastColumn="0" w:noHBand="0" w:noVBand="1"/>
      </w:tblPr>
      <w:tblGrid>
        <w:gridCol w:w="9061"/>
      </w:tblGrid>
      <w:tr w:rsidR="001D1E54" w14:paraId="04BA6833" w14:textId="77777777" w:rsidTr="00135C97">
        <w:tc>
          <w:tcPr>
            <w:tcW w:w="9061" w:type="dxa"/>
          </w:tcPr>
          <w:p w14:paraId="10E9A566" w14:textId="6E7AFA0A" w:rsidR="00E71408" w:rsidRDefault="00E71408" w:rsidP="00E71408">
            <w:pPr>
              <w:pStyle w:val="Heading3"/>
              <w:outlineLvl w:val="2"/>
            </w:pPr>
            <w:r>
              <w:t>Factors to consider to ensure a fair hearing</w:t>
            </w:r>
          </w:p>
          <w:p w14:paraId="405D27F8" w14:textId="06310AF5" w:rsidR="001D1E54" w:rsidRPr="00C9414D" w:rsidRDefault="001D1E54" w:rsidP="001D1E54">
            <w:pPr>
              <w:pStyle w:val="TableListNumber"/>
              <w:rPr>
                <w:sz w:val="24"/>
              </w:rPr>
            </w:pPr>
            <w:r w:rsidRPr="00C9414D">
              <w:rPr>
                <w:sz w:val="24"/>
              </w:rPr>
              <w:t>When it comes to procedural fairness or natural justice, the concern of the law is to avoid practical injustice.</w:t>
            </w:r>
            <w:r w:rsidR="00EB5BA6">
              <w:rPr>
                <w:rStyle w:val="FootnoteReference"/>
              </w:rPr>
              <w:footnoteReference w:id="78"/>
            </w:r>
          </w:p>
          <w:p w14:paraId="50D331A1" w14:textId="1475CC73" w:rsidR="001D1E54" w:rsidRPr="00C9414D" w:rsidRDefault="001D1E54" w:rsidP="001D1E54">
            <w:pPr>
              <w:pStyle w:val="TableListNumber"/>
              <w:rPr>
                <w:sz w:val="24"/>
              </w:rPr>
            </w:pPr>
            <w:r w:rsidRPr="00C9414D">
              <w:rPr>
                <w:sz w:val="24"/>
              </w:rPr>
              <w:t>The question to ask is whether the party in question was given a reasonable opportunity to present their case, advance submissions in support, know the opposing party's case and make submissions in opposition.</w:t>
            </w:r>
            <w:r w:rsidR="00EB5BA6">
              <w:rPr>
                <w:rStyle w:val="FootnoteReference"/>
              </w:rPr>
              <w:footnoteReference w:id="79"/>
            </w:r>
          </w:p>
          <w:p w14:paraId="5123D3D7" w14:textId="77777777" w:rsidR="001D1E54" w:rsidRPr="00C9414D" w:rsidRDefault="001D1E54" w:rsidP="001D1E54">
            <w:pPr>
              <w:pStyle w:val="TableListNumber"/>
              <w:rPr>
                <w:sz w:val="24"/>
              </w:rPr>
            </w:pPr>
            <w:r w:rsidRPr="00C9414D">
              <w:rPr>
                <w:sz w:val="24"/>
              </w:rPr>
              <w:t>What is reasonable will depend on the circumstances and will include:</w:t>
            </w:r>
          </w:p>
          <w:p w14:paraId="6682BD97" w14:textId="32D321C0" w:rsidR="001D1E54" w:rsidRPr="00C9414D" w:rsidRDefault="00507925" w:rsidP="001D1E54">
            <w:pPr>
              <w:pStyle w:val="ListBullet2"/>
            </w:pPr>
            <w:r>
              <w:t>t</w:t>
            </w:r>
            <w:r w:rsidR="001D1E54" w:rsidRPr="00C9414D">
              <w:t>he nature and complexity of the issues in dispute</w:t>
            </w:r>
          </w:p>
          <w:p w14:paraId="40B02591" w14:textId="08CDEEC5" w:rsidR="001D1E54" w:rsidRPr="00C9414D" w:rsidRDefault="00507925" w:rsidP="001D1E54">
            <w:pPr>
              <w:pStyle w:val="ListBullet2"/>
            </w:pPr>
            <w:r>
              <w:t>t</w:t>
            </w:r>
            <w:r w:rsidR="001D1E54" w:rsidRPr="00C9414D">
              <w:t>he nature and complexity of the submissions which the party wishes to advance</w:t>
            </w:r>
          </w:p>
          <w:p w14:paraId="32F1CBF5" w14:textId="429466EB" w:rsidR="001D1E54" w:rsidRDefault="00507925" w:rsidP="001D1E54">
            <w:pPr>
              <w:pStyle w:val="ListBullet2"/>
            </w:pPr>
            <w:r>
              <w:t>t</w:t>
            </w:r>
            <w:r w:rsidR="001D1E54" w:rsidRPr="00C9414D">
              <w:t>he significance to that party of an adverse decision; and</w:t>
            </w:r>
          </w:p>
          <w:p w14:paraId="03CDAEE0" w14:textId="0D2854B3" w:rsidR="001D1E54" w:rsidRDefault="00507925" w:rsidP="001D1E54">
            <w:pPr>
              <w:pStyle w:val="ListBullet2"/>
            </w:pPr>
            <w:r>
              <w:t>t</w:t>
            </w:r>
            <w:r w:rsidR="001D1E54" w:rsidRPr="00C9414D">
              <w:t>he competing demands of the time and resources of the court</w:t>
            </w:r>
            <w:r w:rsidR="001D1E54">
              <w:t>.</w:t>
            </w:r>
            <w:r w:rsidR="00AF62D4">
              <w:rPr>
                <w:rStyle w:val="FootnoteReference"/>
              </w:rPr>
              <w:footnoteReference w:id="80"/>
            </w:r>
          </w:p>
        </w:tc>
      </w:tr>
    </w:tbl>
    <w:p w14:paraId="5610C93E" w14:textId="56095110" w:rsidR="008E0945" w:rsidRPr="003015FD" w:rsidRDefault="008E0945" w:rsidP="00C9414D">
      <w:pPr>
        <w:pStyle w:val="Heading4"/>
        <w:rPr>
          <w:rStyle w:val="Characterbold"/>
          <w:b/>
          <w:lang w:val="en-GB"/>
        </w:rPr>
      </w:pPr>
      <w:r w:rsidRPr="003015FD">
        <w:t>AB</w:t>
      </w:r>
      <w:r w:rsidR="00975895" w:rsidRPr="003015FD">
        <w:t xml:space="preserve"> </w:t>
      </w:r>
      <w:r w:rsidRPr="003015FD">
        <w:t>&amp;</w:t>
      </w:r>
      <w:r w:rsidR="00975895" w:rsidRPr="003015FD">
        <w:t xml:space="preserve"> </w:t>
      </w:r>
      <w:r w:rsidRPr="003015FD">
        <w:t>EF</w:t>
      </w:r>
      <w:r w:rsidR="00975895" w:rsidRPr="003015FD">
        <w:t xml:space="preserve"> </w:t>
      </w:r>
      <w:r w:rsidRPr="003015FD">
        <w:t>v</w:t>
      </w:r>
      <w:r w:rsidR="00975895" w:rsidRPr="003015FD">
        <w:t xml:space="preserve"> </w:t>
      </w:r>
      <w:r w:rsidRPr="003015FD">
        <w:t>CD</w:t>
      </w:r>
      <w:r w:rsidRPr="004862C5">
        <w:rPr>
          <w:rStyle w:val="FootnoteReference"/>
        </w:rPr>
        <w:footnoteReference w:id="81"/>
      </w:r>
    </w:p>
    <w:p w14:paraId="5D052610" w14:textId="3E77BB1D" w:rsidR="008E0945" w:rsidRPr="0002642E" w:rsidRDefault="008E0945" w:rsidP="0002642E">
      <w:pPr>
        <w:rPr>
          <w:rStyle w:val="BodyTextChar"/>
        </w:rPr>
      </w:pPr>
      <w:r w:rsidRPr="0002642E">
        <w:rPr>
          <w:rStyle w:val="BodyTextChar"/>
        </w:rPr>
        <w:t>This</w:t>
      </w:r>
      <w:r w:rsidR="00975895" w:rsidRPr="0002642E">
        <w:rPr>
          <w:rStyle w:val="BodyTextChar"/>
        </w:rPr>
        <w:t xml:space="preserve"> </w:t>
      </w:r>
      <w:r w:rsidRPr="0002642E">
        <w:rPr>
          <w:rStyle w:val="BodyTextChar"/>
        </w:rPr>
        <w:t>matter</w:t>
      </w:r>
      <w:r w:rsidR="00975895" w:rsidRPr="0002642E">
        <w:rPr>
          <w:rStyle w:val="BodyTextChar"/>
        </w:rPr>
        <w:t xml:space="preserve"> </w:t>
      </w:r>
      <w:r w:rsidRPr="0002642E">
        <w:rPr>
          <w:rStyle w:val="BodyTextChar"/>
        </w:rPr>
        <w:t>involved</w:t>
      </w:r>
      <w:r w:rsidR="00975895" w:rsidRPr="0002642E">
        <w:rPr>
          <w:rStyle w:val="BodyTextChar"/>
        </w:rPr>
        <w:t xml:space="preserve"> </w:t>
      </w:r>
      <w:r w:rsidRPr="0002642E">
        <w:rPr>
          <w:rStyle w:val="BodyTextChar"/>
        </w:rPr>
        <w:t>EF,</w:t>
      </w:r>
      <w:r w:rsidR="00975895" w:rsidRPr="0002642E">
        <w:rPr>
          <w:rStyle w:val="BodyTextChar"/>
        </w:rPr>
        <w:t xml:space="preserve"> </w:t>
      </w:r>
      <w:r w:rsidRPr="0002642E">
        <w:rPr>
          <w:rStyle w:val="BodyTextChar"/>
        </w:rPr>
        <w:t>a</w:t>
      </w:r>
      <w:r w:rsidR="00975895" w:rsidRPr="0002642E">
        <w:rPr>
          <w:rStyle w:val="BodyTextChar"/>
        </w:rPr>
        <w:t xml:space="preserve"> </w:t>
      </w:r>
      <w:r w:rsidRPr="0002642E">
        <w:rPr>
          <w:rStyle w:val="BodyTextChar"/>
        </w:rPr>
        <w:t>barrister</w:t>
      </w:r>
      <w:r w:rsidR="00975895" w:rsidRPr="0002642E">
        <w:rPr>
          <w:rStyle w:val="BodyTextChar"/>
        </w:rPr>
        <w:t xml:space="preserve"> </w:t>
      </w:r>
      <w:r w:rsidRPr="0002642E">
        <w:rPr>
          <w:rStyle w:val="BodyTextChar"/>
        </w:rPr>
        <w:t>who</w:t>
      </w:r>
      <w:r w:rsidR="00975895" w:rsidRPr="0002642E">
        <w:rPr>
          <w:rStyle w:val="BodyTextChar"/>
        </w:rPr>
        <w:t xml:space="preserve"> </w:t>
      </w:r>
      <w:r w:rsidRPr="0002642E">
        <w:rPr>
          <w:rStyle w:val="BodyTextChar"/>
        </w:rPr>
        <w:t>had</w:t>
      </w:r>
      <w:r w:rsidR="00975895" w:rsidRPr="0002642E">
        <w:rPr>
          <w:rStyle w:val="BodyTextChar"/>
        </w:rPr>
        <w:t xml:space="preserve"> </w:t>
      </w:r>
      <w:r w:rsidRPr="0002642E">
        <w:rPr>
          <w:rStyle w:val="BodyTextChar"/>
        </w:rPr>
        <w:t>become</w:t>
      </w:r>
      <w:r w:rsidR="00975895" w:rsidRPr="0002642E">
        <w:rPr>
          <w:rStyle w:val="BodyTextChar"/>
        </w:rPr>
        <w:t xml:space="preserve"> </w:t>
      </w:r>
      <w:r w:rsidR="00E317EA" w:rsidRPr="0002642E">
        <w:rPr>
          <w:rStyle w:val="BodyTextChar"/>
        </w:rPr>
        <w:t>an</w:t>
      </w:r>
      <w:r w:rsidR="00975895" w:rsidRPr="0002642E">
        <w:rPr>
          <w:rStyle w:val="BodyTextChar"/>
        </w:rPr>
        <w:t xml:space="preserve"> </w:t>
      </w:r>
      <w:r w:rsidRPr="0002642E">
        <w:rPr>
          <w:rStyle w:val="BodyTextChar"/>
        </w:rPr>
        <w:t>informer</w:t>
      </w:r>
      <w:r w:rsidR="00975895" w:rsidRPr="0002642E">
        <w:rPr>
          <w:rStyle w:val="BodyTextChar"/>
        </w:rPr>
        <w:t xml:space="preserve"> </w:t>
      </w:r>
      <w:r w:rsidRPr="0002642E">
        <w:rPr>
          <w:rStyle w:val="BodyTextChar"/>
        </w:rPr>
        <w:t>for</w:t>
      </w:r>
      <w:r w:rsidR="00975895" w:rsidRPr="0002642E">
        <w:rPr>
          <w:rStyle w:val="BodyTextChar"/>
        </w:rPr>
        <w:t xml:space="preserve"> </w:t>
      </w:r>
      <w:r w:rsidRPr="0002642E">
        <w:rPr>
          <w:rStyle w:val="BodyTextChar"/>
        </w:rPr>
        <w:t>Victoria</w:t>
      </w:r>
      <w:r w:rsidR="00975895" w:rsidRPr="0002642E">
        <w:rPr>
          <w:rStyle w:val="BodyTextChar"/>
        </w:rPr>
        <w:t xml:space="preserve"> </w:t>
      </w:r>
      <w:r w:rsidRPr="0002642E">
        <w:rPr>
          <w:rStyle w:val="BodyTextChar"/>
        </w:rPr>
        <w:t>Police</w:t>
      </w:r>
      <w:r w:rsidR="00975895" w:rsidRPr="0002642E">
        <w:rPr>
          <w:rStyle w:val="BodyTextChar"/>
        </w:rPr>
        <w:t xml:space="preserve"> </w:t>
      </w:r>
      <w:r w:rsidRPr="003015FD">
        <w:rPr>
          <w:rStyle w:val="BodyTextChar"/>
        </w:rPr>
        <w:t>(</w:t>
      </w:r>
      <w:r w:rsidR="000C5726">
        <w:rPr>
          <w:rStyle w:val="BodyTextChar"/>
        </w:rPr>
        <w:t>'</w:t>
      </w:r>
      <w:r w:rsidRPr="003015FD">
        <w:rPr>
          <w:rStyle w:val="BodyTextChar"/>
        </w:rPr>
        <w:t>AB</w:t>
      </w:r>
      <w:r w:rsidR="000C5726">
        <w:rPr>
          <w:rStyle w:val="BodyTextChar"/>
        </w:rPr>
        <w:t>'</w:t>
      </w:r>
      <w:r w:rsidRPr="0002642E">
        <w:rPr>
          <w:rStyle w:val="BodyTextChar"/>
        </w:rPr>
        <w:t>).</w:t>
      </w:r>
      <w:r w:rsidR="00975895" w:rsidRPr="0002642E">
        <w:rPr>
          <w:rStyle w:val="BodyTextChar"/>
        </w:rPr>
        <w:t xml:space="preserve"> </w:t>
      </w:r>
      <w:r w:rsidRPr="0002642E">
        <w:rPr>
          <w:rStyle w:val="BodyTextChar"/>
        </w:rPr>
        <w:t>Victoria</w:t>
      </w:r>
      <w:r w:rsidR="00975895" w:rsidRPr="0002642E">
        <w:rPr>
          <w:rStyle w:val="BodyTextChar"/>
        </w:rPr>
        <w:t xml:space="preserve"> </w:t>
      </w:r>
      <w:r w:rsidRPr="0002642E">
        <w:rPr>
          <w:rStyle w:val="BodyTextChar"/>
        </w:rPr>
        <w:t>Police</w:t>
      </w:r>
      <w:r w:rsidR="00975895" w:rsidRPr="0002642E">
        <w:rPr>
          <w:rStyle w:val="BodyTextChar"/>
        </w:rPr>
        <w:t xml:space="preserve"> </w:t>
      </w:r>
      <w:r w:rsidRPr="0002642E">
        <w:rPr>
          <w:rStyle w:val="BodyTextChar"/>
        </w:rPr>
        <w:t>had</w:t>
      </w:r>
      <w:r w:rsidR="00975895" w:rsidRPr="0002642E">
        <w:rPr>
          <w:rStyle w:val="BodyTextChar"/>
        </w:rPr>
        <w:t xml:space="preserve"> </w:t>
      </w:r>
      <w:r w:rsidRPr="0002642E">
        <w:rPr>
          <w:rStyle w:val="BodyTextChar"/>
        </w:rPr>
        <w:t>assured</w:t>
      </w:r>
      <w:r w:rsidR="00975895" w:rsidRPr="0002642E">
        <w:rPr>
          <w:rStyle w:val="BodyTextChar"/>
        </w:rPr>
        <w:t xml:space="preserve"> </w:t>
      </w:r>
      <w:r w:rsidRPr="0002642E">
        <w:rPr>
          <w:rStyle w:val="BodyTextChar"/>
        </w:rPr>
        <w:t>EF</w:t>
      </w:r>
      <w:r w:rsidR="00975895" w:rsidRPr="0002642E">
        <w:rPr>
          <w:rStyle w:val="BodyTextChar"/>
        </w:rPr>
        <w:t xml:space="preserve"> </w:t>
      </w:r>
      <w:r w:rsidRPr="0002642E">
        <w:rPr>
          <w:rStyle w:val="BodyTextChar"/>
        </w:rPr>
        <w:t>her</w:t>
      </w:r>
      <w:r w:rsidR="00975895" w:rsidRPr="0002642E">
        <w:rPr>
          <w:rStyle w:val="BodyTextChar"/>
        </w:rPr>
        <w:t xml:space="preserve"> </w:t>
      </w:r>
      <w:r w:rsidRPr="0002642E">
        <w:rPr>
          <w:rStyle w:val="BodyTextChar"/>
        </w:rPr>
        <w:t>identity</w:t>
      </w:r>
      <w:r w:rsidR="00975895" w:rsidRPr="0002642E">
        <w:rPr>
          <w:rStyle w:val="BodyTextChar"/>
        </w:rPr>
        <w:t xml:space="preserve"> </w:t>
      </w:r>
      <w:r w:rsidRPr="0002642E">
        <w:rPr>
          <w:rStyle w:val="BodyTextChar"/>
        </w:rPr>
        <w:t>would</w:t>
      </w:r>
      <w:r w:rsidR="00975895" w:rsidRPr="0002642E">
        <w:rPr>
          <w:rStyle w:val="BodyTextChar"/>
        </w:rPr>
        <w:t xml:space="preserve"> </w:t>
      </w:r>
      <w:r w:rsidRPr="0002642E">
        <w:rPr>
          <w:rStyle w:val="BodyTextChar"/>
        </w:rPr>
        <w:t>remain</w:t>
      </w:r>
      <w:r w:rsidR="00975895" w:rsidRPr="0002642E">
        <w:rPr>
          <w:rStyle w:val="BodyTextChar"/>
        </w:rPr>
        <w:t xml:space="preserve"> </w:t>
      </w:r>
      <w:r w:rsidRPr="0002642E">
        <w:rPr>
          <w:rStyle w:val="BodyTextChar"/>
        </w:rPr>
        <w:t>confidential.</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Independent</w:t>
      </w:r>
      <w:r w:rsidR="00975895" w:rsidRPr="0002642E">
        <w:rPr>
          <w:rStyle w:val="BodyTextChar"/>
        </w:rPr>
        <w:t xml:space="preserve"> </w:t>
      </w:r>
      <w:r w:rsidR="00E317EA" w:rsidRPr="0002642E">
        <w:rPr>
          <w:rStyle w:val="BodyTextChar"/>
        </w:rPr>
        <w:t>Broad</w:t>
      </w:r>
      <w:r w:rsidRPr="0002642E">
        <w:rPr>
          <w:rStyle w:val="BodyTextChar"/>
        </w:rPr>
        <w:t>-based</w:t>
      </w:r>
      <w:r w:rsidR="00975895" w:rsidRPr="0002642E">
        <w:rPr>
          <w:rStyle w:val="BodyTextChar"/>
        </w:rPr>
        <w:t xml:space="preserve"> </w:t>
      </w:r>
      <w:r w:rsidR="00E317EA" w:rsidRPr="0002642E">
        <w:rPr>
          <w:rStyle w:val="BodyTextChar"/>
        </w:rPr>
        <w:t>Anti</w:t>
      </w:r>
      <w:r w:rsidRPr="0002642E">
        <w:rPr>
          <w:rStyle w:val="BodyTextChar"/>
        </w:rPr>
        <w:t>-</w:t>
      </w:r>
      <w:proofErr w:type="gramStart"/>
      <w:r w:rsidR="003165F0" w:rsidRPr="0002642E">
        <w:rPr>
          <w:rStyle w:val="BodyTextChar"/>
        </w:rPr>
        <w:t>c</w:t>
      </w:r>
      <w:r w:rsidRPr="0002642E">
        <w:rPr>
          <w:rStyle w:val="BodyTextChar"/>
        </w:rPr>
        <w:t>orruption</w:t>
      </w:r>
      <w:proofErr w:type="gramEnd"/>
      <w:r w:rsidR="00975895" w:rsidRPr="0002642E">
        <w:rPr>
          <w:rStyle w:val="BodyTextChar"/>
        </w:rPr>
        <w:t xml:space="preserve"> </w:t>
      </w:r>
      <w:r w:rsidR="00E317EA" w:rsidRPr="0002642E">
        <w:rPr>
          <w:rStyle w:val="BodyTextChar"/>
        </w:rPr>
        <w:t xml:space="preserve">Commission </w:t>
      </w:r>
      <w:r w:rsidRPr="0002642E">
        <w:rPr>
          <w:rStyle w:val="BodyTextChar"/>
        </w:rPr>
        <w:t>(IBAC)</w:t>
      </w:r>
      <w:r w:rsidR="00975895" w:rsidRPr="0002642E">
        <w:rPr>
          <w:rStyle w:val="BodyTextChar"/>
        </w:rPr>
        <w:t xml:space="preserve"> </w:t>
      </w:r>
      <w:r w:rsidRPr="0002642E">
        <w:rPr>
          <w:rStyle w:val="BodyTextChar"/>
        </w:rPr>
        <w:t>prepared</w:t>
      </w:r>
      <w:r w:rsidR="00975895" w:rsidRPr="0002642E">
        <w:rPr>
          <w:rStyle w:val="BodyTextChar"/>
        </w:rPr>
        <w:t xml:space="preserve"> </w:t>
      </w:r>
      <w:r w:rsidRPr="0002642E">
        <w:rPr>
          <w:rStyle w:val="BodyTextChar"/>
        </w:rPr>
        <w:t>a</w:t>
      </w:r>
      <w:r w:rsidR="00975895" w:rsidRPr="0002642E">
        <w:rPr>
          <w:rStyle w:val="BodyTextChar"/>
        </w:rPr>
        <w:t xml:space="preserve"> </w:t>
      </w:r>
      <w:r w:rsidRPr="0002642E">
        <w:rPr>
          <w:rStyle w:val="BodyTextChar"/>
        </w:rPr>
        <w:t>confidential</w:t>
      </w:r>
      <w:r w:rsidR="00975895" w:rsidRPr="0002642E">
        <w:rPr>
          <w:rStyle w:val="BodyTextChar"/>
        </w:rPr>
        <w:t xml:space="preserve"> </w:t>
      </w:r>
      <w:r w:rsidRPr="0002642E">
        <w:rPr>
          <w:rStyle w:val="BodyTextChar"/>
        </w:rPr>
        <w:t>report</w:t>
      </w:r>
      <w:r w:rsidR="00975895" w:rsidRPr="0002642E">
        <w:rPr>
          <w:rStyle w:val="BodyTextChar"/>
        </w:rPr>
        <w:t xml:space="preserve"> </w:t>
      </w:r>
      <w:r w:rsidR="00507925" w:rsidRPr="0002642E">
        <w:rPr>
          <w:rStyle w:val="BodyTextChar"/>
        </w:rPr>
        <w:t xml:space="preserve">for </w:t>
      </w:r>
      <w:r w:rsidR="007C11BC" w:rsidRPr="0002642E">
        <w:rPr>
          <w:rStyle w:val="BodyTextChar"/>
        </w:rPr>
        <w:t>‘</w:t>
      </w:r>
      <w:r w:rsidRPr="0002642E">
        <w:rPr>
          <w:rStyle w:val="BodyTextChar"/>
        </w:rPr>
        <w:t>CD</w:t>
      </w:r>
      <w:r w:rsidR="007C11BC" w:rsidRPr="0002642E">
        <w:rPr>
          <w:rStyle w:val="BodyTextChar"/>
        </w:rPr>
        <w:t>’</w:t>
      </w:r>
      <w:r w:rsidRPr="0002642E">
        <w:rPr>
          <w:rStyle w:val="BodyTextChar"/>
        </w:rPr>
        <w:t>,</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Victorian</w:t>
      </w:r>
      <w:r w:rsidR="00975895" w:rsidRPr="0002642E">
        <w:rPr>
          <w:rStyle w:val="BodyTextChar"/>
        </w:rPr>
        <w:t xml:space="preserve"> </w:t>
      </w:r>
      <w:r w:rsidRPr="0002642E">
        <w:rPr>
          <w:rStyle w:val="BodyTextChar"/>
        </w:rPr>
        <w:t>Director</w:t>
      </w:r>
      <w:r w:rsidR="00975895" w:rsidRPr="0002642E">
        <w:rPr>
          <w:rStyle w:val="BodyTextChar"/>
        </w:rPr>
        <w:t xml:space="preserve"> </w:t>
      </w:r>
      <w:r w:rsidRPr="0002642E">
        <w:rPr>
          <w:rStyle w:val="BodyTextChar"/>
        </w:rPr>
        <w:t>of</w:t>
      </w:r>
      <w:r w:rsidR="00975895" w:rsidRPr="0002642E">
        <w:rPr>
          <w:rStyle w:val="BodyTextChar"/>
        </w:rPr>
        <w:t xml:space="preserve"> </w:t>
      </w:r>
      <w:r w:rsidRPr="0002642E">
        <w:rPr>
          <w:rStyle w:val="BodyTextChar"/>
        </w:rPr>
        <w:t>Public</w:t>
      </w:r>
      <w:r w:rsidR="00975895" w:rsidRPr="0002642E">
        <w:rPr>
          <w:rStyle w:val="BodyTextChar"/>
        </w:rPr>
        <w:t xml:space="preserve"> </w:t>
      </w:r>
      <w:r w:rsidRPr="0002642E">
        <w:rPr>
          <w:rStyle w:val="BodyTextChar"/>
        </w:rPr>
        <w:t>Prosecutions</w:t>
      </w:r>
      <w:r w:rsidR="00975895" w:rsidRPr="0002642E">
        <w:rPr>
          <w:rStyle w:val="BodyTextChar"/>
        </w:rPr>
        <w:t xml:space="preserve"> </w:t>
      </w:r>
      <w:r w:rsidRPr="0002642E">
        <w:rPr>
          <w:rStyle w:val="BodyTextChar"/>
        </w:rPr>
        <w:t>(DPP).</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report</w:t>
      </w:r>
      <w:r w:rsidR="00975895" w:rsidRPr="0002642E">
        <w:rPr>
          <w:rStyle w:val="BodyTextChar"/>
        </w:rPr>
        <w:t xml:space="preserve"> </w:t>
      </w:r>
      <w:r w:rsidRPr="0002642E">
        <w:rPr>
          <w:rStyle w:val="BodyTextChar"/>
        </w:rPr>
        <w:t>recommended</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DPP</w:t>
      </w:r>
      <w:r w:rsidR="00975895" w:rsidRPr="0002642E">
        <w:rPr>
          <w:rStyle w:val="BodyTextChar"/>
        </w:rPr>
        <w:t xml:space="preserve"> </w:t>
      </w:r>
      <w:r w:rsidRPr="0002642E">
        <w:rPr>
          <w:rStyle w:val="BodyTextChar"/>
        </w:rPr>
        <w:t>consider</w:t>
      </w:r>
      <w:r w:rsidR="00975895" w:rsidRPr="0002642E">
        <w:rPr>
          <w:rStyle w:val="BodyTextChar"/>
        </w:rPr>
        <w:t xml:space="preserve"> </w:t>
      </w:r>
      <w:r w:rsidRPr="0002642E">
        <w:rPr>
          <w:rStyle w:val="BodyTextChar"/>
        </w:rPr>
        <w:t>if</w:t>
      </w:r>
      <w:r w:rsidR="00975895" w:rsidRPr="0002642E">
        <w:rPr>
          <w:rStyle w:val="BodyTextChar"/>
        </w:rPr>
        <w:t xml:space="preserve"> </w:t>
      </w:r>
      <w:r w:rsidRPr="0002642E">
        <w:rPr>
          <w:rStyle w:val="BodyTextChar"/>
        </w:rPr>
        <w:t>any</w:t>
      </w:r>
      <w:r w:rsidR="00975895" w:rsidRPr="0002642E">
        <w:rPr>
          <w:rStyle w:val="BodyTextChar"/>
        </w:rPr>
        <w:t xml:space="preserve"> </w:t>
      </w:r>
      <w:r w:rsidRPr="0002642E">
        <w:rPr>
          <w:rStyle w:val="BodyTextChar"/>
        </w:rPr>
        <w:t>prosecutions</w:t>
      </w:r>
      <w:r w:rsidR="00975895" w:rsidRPr="0002642E">
        <w:rPr>
          <w:rStyle w:val="BodyTextChar"/>
        </w:rPr>
        <w:t xml:space="preserve"> </w:t>
      </w:r>
      <w:r w:rsidRPr="0002642E">
        <w:rPr>
          <w:rStyle w:val="BodyTextChar"/>
        </w:rPr>
        <w:t>had</w:t>
      </w:r>
      <w:r w:rsidR="00975895" w:rsidRPr="0002642E">
        <w:rPr>
          <w:rStyle w:val="BodyTextChar"/>
        </w:rPr>
        <w:t xml:space="preserve"> </w:t>
      </w:r>
      <w:r w:rsidRPr="0002642E">
        <w:rPr>
          <w:rStyle w:val="BodyTextChar"/>
        </w:rPr>
        <w:t>resulted</w:t>
      </w:r>
      <w:r w:rsidR="00975895" w:rsidRPr="0002642E">
        <w:rPr>
          <w:rStyle w:val="BodyTextChar"/>
        </w:rPr>
        <w:t xml:space="preserve"> </w:t>
      </w:r>
      <w:r w:rsidRPr="0002642E">
        <w:rPr>
          <w:rStyle w:val="BodyTextChar"/>
        </w:rPr>
        <w:t>in</w:t>
      </w:r>
      <w:r w:rsidR="00975895" w:rsidRPr="0002642E">
        <w:rPr>
          <w:rStyle w:val="BodyTextChar"/>
        </w:rPr>
        <w:t xml:space="preserve"> </w:t>
      </w:r>
      <w:r w:rsidRPr="0002642E">
        <w:rPr>
          <w:rStyle w:val="BodyTextChar"/>
        </w:rPr>
        <w:t>a</w:t>
      </w:r>
      <w:r w:rsidR="00975895" w:rsidRPr="0002642E">
        <w:rPr>
          <w:rStyle w:val="BodyTextChar"/>
        </w:rPr>
        <w:t xml:space="preserve"> </w:t>
      </w:r>
      <w:r w:rsidRPr="0002642E">
        <w:rPr>
          <w:rStyle w:val="BodyTextChar"/>
        </w:rPr>
        <w:t>miscarriage</w:t>
      </w:r>
      <w:r w:rsidR="00975895" w:rsidRPr="0002642E">
        <w:rPr>
          <w:rStyle w:val="BodyTextChar"/>
        </w:rPr>
        <w:t xml:space="preserve"> </w:t>
      </w:r>
      <w:r w:rsidRPr="0002642E">
        <w:rPr>
          <w:rStyle w:val="BodyTextChar"/>
        </w:rPr>
        <w:t>of</w:t>
      </w:r>
      <w:r w:rsidR="00975895" w:rsidRPr="0002642E">
        <w:rPr>
          <w:rStyle w:val="BodyTextChar"/>
        </w:rPr>
        <w:t xml:space="preserve"> </w:t>
      </w:r>
      <w:r w:rsidRPr="0002642E">
        <w:rPr>
          <w:rStyle w:val="BodyTextChar"/>
        </w:rPr>
        <w:t>justice</w:t>
      </w:r>
      <w:r w:rsidR="00975895" w:rsidRPr="0002642E">
        <w:rPr>
          <w:rStyle w:val="BodyTextChar"/>
        </w:rPr>
        <w:t xml:space="preserve"> </w:t>
      </w:r>
      <w:r w:rsidRPr="0002642E">
        <w:rPr>
          <w:rStyle w:val="BodyTextChar"/>
        </w:rPr>
        <w:t>by</w:t>
      </w:r>
      <w:r w:rsidR="00975895" w:rsidRPr="0002642E">
        <w:rPr>
          <w:rStyle w:val="BodyTextChar"/>
        </w:rPr>
        <w:t xml:space="preserve"> </w:t>
      </w:r>
      <w:r w:rsidRPr="0002642E">
        <w:rPr>
          <w:rStyle w:val="BodyTextChar"/>
        </w:rPr>
        <w:t>evidence</w:t>
      </w:r>
      <w:r w:rsidR="00975895" w:rsidRPr="0002642E">
        <w:rPr>
          <w:rStyle w:val="BodyTextChar"/>
        </w:rPr>
        <w:t xml:space="preserve"> </w:t>
      </w:r>
      <w:r w:rsidRPr="0002642E">
        <w:rPr>
          <w:rStyle w:val="BodyTextChar"/>
        </w:rPr>
        <w:t>obtained</w:t>
      </w:r>
      <w:r w:rsidR="00975895" w:rsidRPr="0002642E">
        <w:rPr>
          <w:rStyle w:val="BodyTextChar"/>
        </w:rPr>
        <w:t xml:space="preserve"> </w:t>
      </w:r>
      <w:r w:rsidRPr="0002642E">
        <w:rPr>
          <w:rStyle w:val="BodyTextChar"/>
        </w:rPr>
        <w:t>through</w:t>
      </w:r>
      <w:r w:rsidR="00975895" w:rsidRPr="0002642E">
        <w:rPr>
          <w:rStyle w:val="BodyTextChar"/>
        </w:rPr>
        <w:t xml:space="preserve"> </w:t>
      </w:r>
      <w:r w:rsidRPr="0002642E">
        <w:rPr>
          <w:rStyle w:val="BodyTextChar"/>
        </w:rPr>
        <w:t>a</w:t>
      </w:r>
      <w:r w:rsidR="00975895" w:rsidRPr="0002642E">
        <w:rPr>
          <w:rStyle w:val="BodyTextChar"/>
        </w:rPr>
        <w:t xml:space="preserve"> </w:t>
      </w:r>
      <w:r w:rsidRPr="0002642E">
        <w:rPr>
          <w:rStyle w:val="BodyTextChar"/>
        </w:rPr>
        <w:t>breach</w:t>
      </w:r>
      <w:r w:rsidR="00975895" w:rsidRPr="0002642E">
        <w:rPr>
          <w:rStyle w:val="BodyTextChar"/>
        </w:rPr>
        <w:t xml:space="preserve"> </w:t>
      </w:r>
      <w:r w:rsidRPr="0002642E">
        <w:rPr>
          <w:rStyle w:val="BodyTextChar"/>
        </w:rPr>
        <w:t>of</w:t>
      </w:r>
      <w:r w:rsidR="00975895" w:rsidRPr="0002642E">
        <w:rPr>
          <w:rStyle w:val="BodyTextChar"/>
        </w:rPr>
        <w:t xml:space="preserve"> </w:t>
      </w:r>
      <w:r w:rsidRPr="0002642E">
        <w:rPr>
          <w:rStyle w:val="BodyTextChar"/>
        </w:rPr>
        <w:t>legal</w:t>
      </w:r>
      <w:r w:rsidR="00975895" w:rsidRPr="0002642E">
        <w:rPr>
          <w:rStyle w:val="BodyTextChar"/>
        </w:rPr>
        <w:t xml:space="preserve"> </w:t>
      </w:r>
      <w:r w:rsidRPr="0002642E">
        <w:rPr>
          <w:rStyle w:val="BodyTextChar"/>
        </w:rPr>
        <w:t>professional</w:t>
      </w:r>
      <w:r w:rsidR="00975895" w:rsidRPr="0002642E">
        <w:rPr>
          <w:rStyle w:val="BodyTextChar"/>
        </w:rPr>
        <w:t xml:space="preserve"> </w:t>
      </w:r>
      <w:r w:rsidRPr="0002642E">
        <w:rPr>
          <w:rStyle w:val="BodyTextChar"/>
        </w:rPr>
        <w:t>privilege.</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DPP</w:t>
      </w:r>
      <w:r w:rsidR="00975895" w:rsidRPr="0002642E">
        <w:rPr>
          <w:rStyle w:val="BodyTextChar"/>
        </w:rPr>
        <w:t xml:space="preserve"> </w:t>
      </w:r>
      <w:r w:rsidRPr="0002642E">
        <w:rPr>
          <w:rStyle w:val="BodyTextChar"/>
        </w:rPr>
        <w:t>concluded</w:t>
      </w:r>
      <w:r w:rsidR="00975895" w:rsidRPr="0002642E">
        <w:rPr>
          <w:rStyle w:val="BodyTextChar"/>
        </w:rPr>
        <w:t xml:space="preserve"> </w:t>
      </w:r>
      <w:r w:rsidRPr="0002642E">
        <w:rPr>
          <w:rStyle w:val="BodyTextChar"/>
        </w:rPr>
        <w:t>she</w:t>
      </w:r>
      <w:r w:rsidR="00975895" w:rsidRPr="0002642E">
        <w:rPr>
          <w:rStyle w:val="BodyTextChar"/>
        </w:rPr>
        <w:t xml:space="preserve"> </w:t>
      </w:r>
      <w:r w:rsidRPr="0002642E">
        <w:rPr>
          <w:rStyle w:val="BodyTextChar"/>
        </w:rPr>
        <w:t>was</w:t>
      </w:r>
      <w:r w:rsidR="00975895" w:rsidRPr="0002642E">
        <w:rPr>
          <w:rStyle w:val="BodyTextChar"/>
        </w:rPr>
        <w:t xml:space="preserve"> </w:t>
      </w:r>
      <w:r w:rsidRPr="0002642E">
        <w:rPr>
          <w:rStyle w:val="BodyTextChar"/>
        </w:rPr>
        <w:t>under</w:t>
      </w:r>
      <w:r w:rsidR="00975895" w:rsidRPr="0002642E">
        <w:rPr>
          <w:rStyle w:val="BodyTextChar"/>
        </w:rPr>
        <w:t xml:space="preserve"> </w:t>
      </w:r>
      <w:r w:rsidRPr="0002642E">
        <w:rPr>
          <w:rStyle w:val="BodyTextChar"/>
        </w:rPr>
        <w:t>a</w:t>
      </w:r>
      <w:r w:rsidR="00975895" w:rsidRPr="0002642E">
        <w:rPr>
          <w:rStyle w:val="BodyTextChar"/>
        </w:rPr>
        <w:t xml:space="preserve"> </w:t>
      </w:r>
      <w:r w:rsidRPr="0002642E">
        <w:rPr>
          <w:rStyle w:val="BodyTextChar"/>
        </w:rPr>
        <w:t>duty</w:t>
      </w:r>
      <w:r w:rsidR="00975895" w:rsidRPr="0002642E">
        <w:rPr>
          <w:rStyle w:val="BodyTextChar"/>
        </w:rPr>
        <w:t xml:space="preserve"> </w:t>
      </w:r>
      <w:r w:rsidRPr="0002642E">
        <w:rPr>
          <w:rStyle w:val="BodyTextChar"/>
        </w:rPr>
        <w:t>to</w:t>
      </w:r>
      <w:r w:rsidR="00975895" w:rsidRPr="0002642E">
        <w:rPr>
          <w:rStyle w:val="BodyTextChar"/>
        </w:rPr>
        <w:t xml:space="preserve"> </w:t>
      </w:r>
      <w:r w:rsidRPr="0002642E">
        <w:rPr>
          <w:rStyle w:val="BodyTextChar"/>
        </w:rPr>
        <w:t>disclose</w:t>
      </w:r>
      <w:r w:rsidR="00975895" w:rsidRPr="0002642E">
        <w:rPr>
          <w:rStyle w:val="BodyTextChar"/>
        </w:rPr>
        <w:t xml:space="preserve"> </w:t>
      </w:r>
      <w:r w:rsidRPr="0002642E">
        <w:rPr>
          <w:rStyle w:val="BodyTextChar"/>
        </w:rPr>
        <w:t>some</w:t>
      </w:r>
      <w:r w:rsidR="00975895" w:rsidRPr="0002642E">
        <w:rPr>
          <w:rStyle w:val="BodyTextChar"/>
        </w:rPr>
        <w:t xml:space="preserve"> </w:t>
      </w:r>
      <w:r w:rsidRPr="0002642E">
        <w:rPr>
          <w:rStyle w:val="BodyTextChar"/>
        </w:rPr>
        <w:t>of</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information</w:t>
      </w:r>
      <w:r w:rsidR="00975895" w:rsidRPr="0002642E">
        <w:rPr>
          <w:rStyle w:val="BodyTextChar"/>
        </w:rPr>
        <w:t xml:space="preserve"> </w:t>
      </w:r>
      <w:r w:rsidRPr="0002642E">
        <w:rPr>
          <w:rStyle w:val="BodyTextChar"/>
        </w:rPr>
        <w:t>from</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IBAC</w:t>
      </w:r>
      <w:r w:rsidR="00975895" w:rsidRPr="0002642E">
        <w:rPr>
          <w:rStyle w:val="BodyTextChar"/>
        </w:rPr>
        <w:t xml:space="preserve"> </w:t>
      </w:r>
      <w:r w:rsidRPr="0002642E">
        <w:rPr>
          <w:rStyle w:val="BodyTextChar"/>
        </w:rPr>
        <w:t>report</w:t>
      </w:r>
      <w:r w:rsidR="00975895" w:rsidRPr="0002642E">
        <w:rPr>
          <w:rStyle w:val="BodyTextChar"/>
        </w:rPr>
        <w:t xml:space="preserve"> </w:t>
      </w:r>
      <w:r w:rsidRPr="0002642E">
        <w:rPr>
          <w:rStyle w:val="BodyTextChar"/>
        </w:rPr>
        <w:t>to</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convicted</w:t>
      </w:r>
      <w:r w:rsidR="00975895" w:rsidRPr="0002642E">
        <w:rPr>
          <w:rStyle w:val="BodyTextChar"/>
        </w:rPr>
        <w:t xml:space="preserve"> </w:t>
      </w:r>
      <w:r w:rsidRPr="0002642E">
        <w:rPr>
          <w:rStyle w:val="BodyTextChar"/>
        </w:rPr>
        <w:t>persons.</w:t>
      </w:r>
      <w:r w:rsidR="00975895" w:rsidRPr="0002642E">
        <w:rPr>
          <w:rStyle w:val="BodyTextChar"/>
        </w:rPr>
        <w:t xml:space="preserve"> </w:t>
      </w:r>
    </w:p>
    <w:p w14:paraId="29922C26" w14:textId="6A8EC06C" w:rsidR="008E0945" w:rsidRPr="003015FD" w:rsidRDefault="008E0945" w:rsidP="0002642E">
      <w:r w:rsidRPr="0002642E">
        <w:rPr>
          <w:rStyle w:val="BodyTextChar"/>
        </w:rPr>
        <w:t>Victoria</w:t>
      </w:r>
      <w:r w:rsidR="00975895" w:rsidRPr="0002642E">
        <w:rPr>
          <w:rStyle w:val="BodyTextChar"/>
        </w:rPr>
        <w:t xml:space="preserve"> </w:t>
      </w:r>
      <w:r w:rsidRPr="0002642E">
        <w:rPr>
          <w:rStyle w:val="BodyTextChar"/>
        </w:rPr>
        <w:t>Police</w:t>
      </w:r>
      <w:r w:rsidR="00975895" w:rsidRPr="0002642E">
        <w:rPr>
          <w:rStyle w:val="BodyTextChar"/>
        </w:rPr>
        <w:t xml:space="preserve"> </w:t>
      </w:r>
      <w:r w:rsidRPr="0002642E">
        <w:rPr>
          <w:rStyle w:val="BodyTextChar"/>
        </w:rPr>
        <w:t>considered</w:t>
      </w:r>
      <w:r w:rsidR="00975895" w:rsidRPr="0002642E">
        <w:rPr>
          <w:rStyle w:val="BodyTextChar"/>
        </w:rPr>
        <w:t xml:space="preserve"> </w:t>
      </w:r>
      <w:r w:rsidRPr="0002642E">
        <w:rPr>
          <w:rStyle w:val="BodyTextChar"/>
        </w:rPr>
        <w:t>that</w:t>
      </w:r>
      <w:r w:rsidR="00975895" w:rsidRPr="0002642E">
        <w:rPr>
          <w:rStyle w:val="BodyTextChar"/>
        </w:rPr>
        <w:t xml:space="preserve"> </w:t>
      </w:r>
      <w:r w:rsidRPr="0002642E">
        <w:rPr>
          <w:rStyle w:val="BodyTextChar"/>
        </w:rPr>
        <w:t>if</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DPP</w:t>
      </w:r>
      <w:r w:rsidR="00975895" w:rsidRPr="0002642E">
        <w:rPr>
          <w:rStyle w:val="BodyTextChar"/>
        </w:rPr>
        <w:t xml:space="preserve"> </w:t>
      </w:r>
      <w:r w:rsidRPr="0002642E">
        <w:rPr>
          <w:rStyle w:val="BodyTextChar"/>
        </w:rPr>
        <w:t>were</w:t>
      </w:r>
      <w:r w:rsidR="00975895" w:rsidRPr="0002642E">
        <w:rPr>
          <w:rStyle w:val="BodyTextChar"/>
        </w:rPr>
        <w:t xml:space="preserve"> </w:t>
      </w:r>
      <w:r w:rsidRPr="0002642E">
        <w:rPr>
          <w:rStyle w:val="BodyTextChar"/>
        </w:rPr>
        <w:t>to</w:t>
      </w:r>
      <w:r w:rsidR="00975895" w:rsidRPr="0002642E">
        <w:rPr>
          <w:rStyle w:val="BodyTextChar"/>
        </w:rPr>
        <w:t xml:space="preserve"> </w:t>
      </w:r>
      <w:r w:rsidRPr="0002642E">
        <w:rPr>
          <w:rStyle w:val="BodyTextChar"/>
        </w:rPr>
        <w:t>disclose</w:t>
      </w:r>
      <w:r w:rsidR="00975895" w:rsidRPr="0002642E">
        <w:rPr>
          <w:rStyle w:val="BodyTextChar"/>
        </w:rPr>
        <w:t xml:space="preserve"> </w:t>
      </w:r>
      <w:r w:rsidRPr="0002642E">
        <w:rPr>
          <w:rStyle w:val="BodyTextChar"/>
        </w:rPr>
        <w:t>this</w:t>
      </w:r>
      <w:r w:rsidR="00975895" w:rsidRPr="0002642E">
        <w:rPr>
          <w:rStyle w:val="BodyTextChar"/>
        </w:rPr>
        <w:t xml:space="preserve"> </w:t>
      </w:r>
      <w:r w:rsidRPr="0002642E">
        <w:rPr>
          <w:rStyle w:val="BodyTextChar"/>
        </w:rPr>
        <w:t>information,</w:t>
      </w:r>
      <w:r w:rsidR="00975895" w:rsidRPr="0002642E">
        <w:rPr>
          <w:rStyle w:val="BodyTextChar"/>
        </w:rPr>
        <w:t xml:space="preserve"> </w:t>
      </w:r>
      <w:r w:rsidRPr="0002642E">
        <w:rPr>
          <w:rStyle w:val="BodyTextChar"/>
        </w:rPr>
        <w:t>risk</w:t>
      </w:r>
      <w:r w:rsidR="00975895" w:rsidRPr="0002642E">
        <w:rPr>
          <w:rStyle w:val="BodyTextChar"/>
        </w:rPr>
        <w:t xml:space="preserve"> </w:t>
      </w:r>
      <w:r w:rsidRPr="0002642E">
        <w:rPr>
          <w:rStyle w:val="BodyTextChar"/>
        </w:rPr>
        <w:t>of</w:t>
      </w:r>
      <w:r w:rsidR="00975895" w:rsidRPr="0002642E">
        <w:rPr>
          <w:rStyle w:val="BodyTextChar"/>
        </w:rPr>
        <w:t xml:space="preserve"> </w:t>
      </w:r>
      <w:r w:rsidRPr="0002642E">
        <w:rPr>
          <w:rStyle w:val="BodyTextChar"/>
        </w:rPr>
        <w:t>death</w:t>
      </w:r>
      <w:r w:rsidR="00975895" w:rsidRPr="0002642E">
        <w:rPr>
          <w:rStyle w:val="BodyTextChar"/>
        </w:rPr>
        <w:t xml:space="preserve"> </w:t>
      </w:r>
      <w:r w:rsidRPr="0002642E">
        <w:rPr>
          <w:rStyle w:val="BodyTextChar"/>
        </w:rPr>
        <w:t>to</w:t>
      </w:r>
      <w:r w:rsidR="00975895" w:rsidRPr="0002642E">
        <w:rPr>
          <w:rStyle w:val="BodyTextChar"/>
        </w:rPr>
        <w:t xml:space="preserve"> </w:t>
      </w:r>
      <w:r w:rsidRPr="0002642E">
        <w:rPr>
          <w:rStyle w:val="BodyTextChar"/>
        </w:rPr>
        <w:t>EF</w:t>
      </w:r>
      <w:r w:rsidR="00975895" w:rsidRPr="0002642E">
        <w:rPr>
          <w:rStyle w:val="BodyTextChar"/>
        </w:rPr>
        <w:t xml:space="preserve"> </w:t>
      </w:r>
      <w:r w:rsidRPr="0002642E">
        <w:rPr>
          <w:rStyle w:val="BodyTextChar"/>
        </w:rPr>
        <w:t>would</w:t>
      </w:r>
      <w:r w:rsidR="00975895" w:rsidRPr="0002642E">
        <w:rPr>
          <w:rStyle w:val="BodyTextChar"/>
        </w:rPr>
        <w:t xml:space="preserve"> </w:t>
      </w:r>
      <w:r w:rsidRPr="0002642E">
        <w:rPr>
          <w:rStyle w:val="BodyTextChar"/>
        </w:rPr>
        <w:t>become</w:t>
      </w:r>
      <w:r w:rsidR="00975895" w:rsidRPr="0002642E">
        <w:rPr>
          <w:rStyle w:val="BodyTextChar"/>
        </w:rPr>
        <w:t xml:space="preserve"> </w:t>
      </w:r>
      <w:r w:rsidR="007C11BC">
        <w:rPr>
          <w:rStyle w:val="BodyTextChar"/>
        </w:rPr>
        <w:t>“</w:t>
      </w:r>
      <w:r w:rsidRPr="0002642E">
        <w:rPr>
          <w:rStyle w:val="BodyTextChar"/>
        </w:rPr>
        <w:t>almost</w:t>
      </w:r>
      <w:r w:rsidR="00975895" w:rsidRPr="0002642E">
        <w:rPr>
          <w:rStyle w:val="BodyTextChar"/>
        </w:rPr>
        <w:t xml:space="preserve"> </w:t>
      </w:r>
      <w:r w:rsidRPr="003015FD">
        <w:rPr>
          <w:rStyle w:val="BodyTextChar"/>
        </w:rPr>
        <w:t>certain</w:t>
      </w:r>
      <w:r w:rsidR="007C11BC">
        <w:rPr>
          <w:rStyle w:val="BodyTextChar"/>
        </w:rPr>
        <w:t>”</w:t>
      </w:r>
      <w:r w:rsidRPr="003015FD">
        <w:rPr>
          <w:rStyle w:val="BodyTextChar"/>
        </w:rPr>
        <w:t>.</w:t>
      </w:r>
      <w:r w:rsidR="00975895" w:rsidRPr="0002642E">
        <w:rPr>
          <w:rStyle w:val="BodyTextChar"/>
        </w:rPr>
        <w:t xml:space="preserve"> </w:t>
      </w:r>
      <w:r w:rsidRPr="0002642E">
        <w:rPr>
          <w:rStyle w:val="BodyTextChar"/>
        </w:rPr>
        <w:t>On</w:t>
      </w:r>
      <w:r w:rsidR="00975895" w:rsidRPr="0002642E">
        <w:rPr>
          <w:rStyle w:val="BodyTextChar"/>
        </w:rPr>
        <w:t xml:space="preserve"> </w:t>
      </w:r>
      <w:r w:rsidRPr="0002642E">
        <w:rPr>
          <w:rStyle w:val="BodyTextChar"/>
        </w:rPr>
        <w:t>10</w:t>
      </w:r>
      <w:r w:rsidR="00975895" w:rsidRPr="0002642E">
        <w:rPr>
          <w:rStyle w:val="BodyTextChar"/>
        </w:rPr>
        <w:t xml:space="preserve"> </w:t>
      </w:r>
      <w:r w:rsidRPr="0002642E">
        <w:rPr>
          <w:rStyle w:val="BodyTextChar"/>
        </w:rPr>
        <w:t>June</w:t>
      </w:r>
      <w:r w:rsidR="00975895" w:rsidRPr="0002642E">
        <w:rPr>
          <w:rStyle w:val="BodyTextChar"/>
        </w:rPr>
        <w:t xml:space="preserve"> </w:t>
      </w:r>
      <w:r w:rsidRPr="0002642E">
        <w:rPr>
          <w:rStyle w:val="BodyTextChar"/>
        </w:rPr>
        <w:t>2016,</w:t>
      </w:r>
      <w:r w:rsidR="00975895" w:rsidRPr="0002642E">
        <w:rPr>
          <w:rStyle w:val="BodyTextChar"/>
        </w:rPr>
        <w:t xml:space="preserve"> </w:t>
      </w:r>
      <w:r w:rsidR="003B428A">
        <w:t>Victoria</w:t>
      </w:r>
      <w:r w:rsidR="00975895" w:rsidRPr="0002642E">
        <w:rPr>
          <w:rStyle w:val="BodyTextChar"/>
        </w:rPr>
        <w:t xml:space="preserve"> </w:t>
      </w:r>
      <w:r w:rsidRPr="0002642E">
        <w:rPr>
          <w:rStyle w:val="BodyTextChar"/>
        </w:rPr>
        <w:t>Police</w:t>
      </w:r>
      <w:r w:rsidR="00975895" w:rsidRPr="0002642E">
        <w:rPr>
          <w:rStyle w:val="BodyTextChar"/>
        </w:rPr>
        <w:t xml:space="preserve"> </w:t>
      </w:r>
      <w:r w:rsidRPr="0002642E">
        <w:rPr>
          <w:rStyle w:val="BodyTextChar"/>
        </w:rPr>
        <w:t>and</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barrister</w:t>
      </w:r>
      <w:r w:rsidR="00975895" w:rsidRPr="0002642E">
        <w:rPr>
          <w:rStyle w:val="BodyTextChar"/>
        </w:rPr>
        <w:t xml:space="preserve"> </w:t>
      </w:r>
      <w:r w:rsidRPr="0002642E">
        <w:rPr>
          <w:rStyle w:val="BodyTextChar"/>
        </w:rPr>
        <w:t>EF</w:t>
      </w:r>
      <w:r w:rsidR="00975895" w:rsidRPr="0002642E">
        <w:rPr>
          <w:rStyle w:val="BodyTextChar"/>
        </w:rPr>
        <w:t xml:space="preserve"> </w:t>
      </w:r>
      <w:r w:rsidRPr="0002642E">
        <w:rPr>
          <w:rStyle w:val="BodyTextChar"/>
        </w:rPr>
        <w:t>instituted</w:t>
      </w:r>
      <w:r w:rsidR="00975895" w:rsidRPr="0002642E">
        <w:rPr>
          <w:rStyle w:val="BodyTextChar"/>
        </w:rPr>
        <w:t xml:space="preserve"> </w:t>
      </w:r>
      <w:r w:rsidRPr="0002642E">
        <w:rPr>
          <w:rStyle w:val="BodyTextChar"/>
        </w:rPr>
        <w:t>proceedings</w:t>
      </w:r>
      <w:r w:rsidR="00975895" w:rsidRPr="0002642E">
        <w:rPr>
          <w:rStyle w:val="BodyTextChar"/>
        </w:rPr>
        <w:t xml:space="preserve"> </w:t>
      </w:r>
      <w:r w:rsidRPr="0002642E">
        <w:rPr>
          <w:rStyle w:val="BodyTextChar"/>
        </w:rPr>
        <w:t>in</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Supreme</w:t>
      </w:r>
      <w:r w:rsidR="00975895" w:rsidRPr="0002642E">
        <w:rPr>
          <w:rStyle w:val="BodyTextChar"/>
        </w:rPr>
        <w:t xml:space="preserve"> </w:t>
      </w:r>
      <w:r w:rsidRPr="0002642E">
        <w:rPr>
          <w:rStyle w:val="BodyTextChar"/>
        </w:rPr>
        <w:t>Court</w:t>
      </w:r>
      <w:r w:rsidR="00975895" w:rsidRPr="0002642E">
        <w:rPr>
          <w:rStyle w:val="BodyTextChar"/>
        </w:rPr>
        <w:t xml:space="preserve"> </w:t>
      </w:r>
      <w:r w:rsidRPr="0002642E">
        <w:rPr>
          <w:rStyle w:val="BodyTextChar"/>
        </w:rPr>
        <w:t>seeking</w:t>
      </w:r>
      <w:r w:rsidR="00975895" w:rsidRPr="0002642E">
        <w:rPr>
          <w:rStyle w:val="BodyTextChar"/>
        </w:rPr>
        <w:t xml:space="preserve"> </w:t>
      </w:r>
      <w:r w:rsidRPr="0002642E">
        <w:rPr>
          <w:rStyle w:val="BodyTextChar"/>
        </w:rPr>
        <w:t>declarations</w:t>
      </w:r>
      <w:r w:rsidR="00975895" w:rsidRPr="0002642E">
        <w:rPr>
          <w:rStyle w:val="BodyTextChar"/>
        </w:rPr>
        <w:t xml:space="preserve"> </w:t>
      </w:r>
      <w:r w:rsidRPr="0002642E">
        <w:rPr>
          <w:rStyle w:val="BodyTextChar"/>
        </w:rPr>
        <w:t>that</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information</w:t>
      </w:r>
      <w:r w:rsidR="00975895" w:rsidRPr="0002642E">
        <w:rPr>
          <w:rStyle w:val="BodyTextChar"/>
        </w:rPr>
        <w:t xml:space="preserve"> </w:t>
      </w:r>
      <w:r w:rsidRPr="0002642E">
        <w:rPr>
          <w:rStyle w:val="BodyTextChar"/>
        </w:rPr>
        <w:t>the</w:t>
      </w:r>
      <w:r w:rsidR="00975895" w:rsidRPr="0002642E">
        <w:rPr>
          <w:rStyle w:val="BodyTextChar"/>
        </w:rPr>
        <w:t xml:space="preserve"> </w:t>
      </w:r>
      <w:r w:rsidRPr="0002642E">
        <w:rPr>
          <w:rStyle w:val="BodyTextChar"/>
        </w:rPr>
        <w:t>DPP</w:t>
      </w:r>
      <w:r w:rsidR="00975895" w:rsidRPr="0002642E">
        <w:rPr>
          <w:rStyle w:val="BodyTextChar"/>
        </w:rPr>
        <w:t xml:space="preserve"> </w:t>
      </w:r>
      <w:r w:rsidRPr="0002642E">
        <w:rPr>
          <w:rStyle w:val="BodyTextChar"/>
        </w:rPr>
        <w:t>proposed</w:t>
      </w:r>
      <w:r w:rsidR="00975895" w:rsidRPr="0002642E">
        <w:rPr>
          <w:rStyle w:val="BodyTextChar"/>
        </w:rPr>
        <w:t xml:space="preserve"> </w:t>
      </w:r>
      <w:r w:rsidRPr="0002642E">
        <w:rPr>
          <w:rStyle w:val="BodyTextChar"/>
        </w:rPr>
        <w:t>to</w:t>
      </w:r>
      <w:r w:rsidR="00975895" w:rsidRPr="0002642E">
        <w:rPr>
          <w:rStyle w:val="BodyTextChar"/>
        </w:rPr>
        <w:t xml:space="preserve"> </w:t>
      </w:r>
      <w:r w:rsidRPr="0002642E">
        <w:rPr>
          <w:rStyle w:val="BodyTextChar"/>
        </w:rPr>
        <w:t>disclose</w:t>
      </w:r>
      <w:r w:rsidR="00975895" w:rsidRPr="0002642E">
        <w:rPr>
          <w:rStyle w:val="BodyTextChar"/>
        </w:rPr>
        <w:t xml:space="preserve"> </w:t>
      </w:r>
      <w:r w:rsidRPr="0002642E">
        <w:rPr>
          <w:rStyle w:val="BodyTextChar"/>
        </w:rPr>
        <w:t>was</w:t>
      </w:r>
      <w:r w:rsidR="00975895" w:rsidRPr="0002642E">
        <w:rPr>
          <w:rStyle w:val="BodyTextChar"/>
        </w:rPr>
        <w:t xml:space="preserve"> </w:t>
      </w:r>
      <w:r w:rsidRPr="0002642E">
        <w:rPr>
          <w:rStyle w:val="BodyTextChar"/>
        </w:rPr>
        <w:t>subject</w:t>
      </w:r>
      <w:r w:rsidR="00975895" w:rsidRPr="0002642E">
        <w:rPr>
          <w:rStyle w:val="BodyTextChar"/>
        </w:rPr>
        <w:t xml:space="preserve"> </w:t>
      </w:r>
      <w:r w:rsidRPr="0002642E">
        <w:rPr>
          <w:rStyle w:val="BodyTextChar"/>
        </w:rPr>
        <w:t>to</w:t>
      </w:r>
      <w:r w:rsidR="00975895" w:rsidRPr="0002642E">
        <w:rPr>
          <w:rStyle w:val="BodyTextChar"/>
        </w:rPr>
        <w:t xml:space="preserve"> </w:t>
      </w:r>
      <w:r w:rsidRPr="0002642E">
        <w:rPr>
          <w:rStyle w:val="BodyTextChar"/>
        </w:rPr>
        <w:t>public</w:t>
      </w:r>
      <w:r w:rsidR="00975895" w:rsidRPr="0002642E">
        <w:rPr>
          <w:rStyle w:val="BodyTextChar"/>
        </w:rPr>
        <w:t xml:space="preserve"> </w:t>
      </w:r>
      <w:r w:rsidRPr="0002642E">
        <w:rPr>
          <w:rStyle w:val="BodyTextChar"/>
        </w:rPr>
        <w:t>interest</w:t>
      </w:r>
      <w:r w:rsidR="00975895" w:rsidRPr="0002642E">
        <w:rPr>
          <w:rStyle w:val="BodyTextChar"/>
        </w:rPr>
        <w:t xml:space="preserve"> </w:t>
      </w:r>
      <w:r w:rsidRPr="0002642E">
        <w:rPr>
          <w:rStyle w:val="BodyTextChar"/>
        </w:rPr>
        <w:t>immunity,</w:t>
      </w:r>
      <w:r w:rsidR="00975895" w:rsidRPr="0002642E">
        <w:rPr>
          <w:rStyle w:val="BodyTextChar"/>
        </w:rPr>
        <w:t xml:space="preserve"> </w:t>
      </w:r>
      <w:r w:rsidRPr="0002642E">
        <w:rPr>
          <w:rStyle w:val="BodyTextChar"/>
        </w:rPr>
        <w:t>meaning</w:t>
      </w:r>
      <w:r w:rsidR="00975895" w:rsidRPr="0002642E">
        <w:rPr>
          <w:rStyle w:val="BodyTextChar"/>
        </w:rPr>
        <w:t xml:space="preserve"> </w:t>
      </w:r>
      <w:r w:rsidRPr="0002642E">
        <w:rPr>
          <w:rStyle w:val="BodyTextChar"/>
        </w:rPr>
        <w:t>she</w:t>
      </w:r>
      <w:r w:rsidR="00975895" w:rsidRPr="0002642E">
        <w:rPr>
          <w:rStyle w:val="BodyTextChar"/>
        </w:rPr>
        <w:t xml:space="preserve"> </w:t>
      </w:r>
      <w:r w:rsidRPr="0002642E">
        <w:rPr>
          <w:rStyle w:val="BodyTextChar"/>
        </w:rPr>
        <w:t>was</w:t>
      </w:r>
      <w:r w:rsidR="00975895" w:rsidRPr="0002642E">
        <w:rPr>
          <w:rStyle w:val="BodyTextChar"/>
        </w:rPr>
        <w:t xml:space="preserve"> </w:t>
      </w:r>
      <w:r w:rsidRPr="0002642E">
        <w:rPr>
          <w:rStyle w:val="BodyTextChar"/>
        </w:rPr>
        <w:t>not</w:t>
      </w:r>
      <w:r w:rsidR="00975895" w:rsidRPr="0002642E">
        <w:rPr>
          <w:rStyle w:val="BodyTextChar"/>
        </w:rPr>
        <w:t xml:space="preserve"> </w:t>
      </w:r>
      <w:r w:rsidRPr="0002642E">
        <w:rPr>
          <w:rStyle w:val="BodyTextChar"/>
        </w:rPr>
        <w:t>permitted</w:t>
      </w:r>
      <w:r w:rsidR="00975895" w:rsidRPr="0002642E">
        <w:rPr>
          <w:rStyle w:val="BodyTextChar"/>
        </w:rPr>
        <w:t xml:space="preserve"> </w:t>
      </w:r>
      <w:r w:rsidRPr="0002642E">
        <w:rPr>
          <w:rStyle w:val="BodyTextChar"/>
        </w:rPr>
        <w:t>to</w:t>
      </w:r>
      <w:r w:rsidR="00975895" w:rsidRPr="0002642E">
        <w:rPr>
          <w:rStyle w:val="BodyTextChar"/>
        </w:rPr>
        <w:t xml:space="preserve"> </w:t>
      </w:r>
      <w:r w:rsidRPr="0002642E">
        <w:rPr>
          <w:rStyle w:val="BodyTextChar"/>
        </w:rPr>
        <w:t>disclose</w:t>
      </w:r>
      <w:r w:rsidR="00975895" w:rsidRPr="0002642E">
        <w:rPr>
          <w:rStyle w:val="BodyTextChar"/>
        </w:rPr>
        <w:t xml:space="preserve"> </w:t>
      </w:r>
      <w:r w:rsidRPr="0002642E">
        <w:rPr>
          <w:rStyle w:val="BodyTextChar"/>
        </w:rPr>
        <w:t>it</w:t>
      </w:r>
      <w:r w:rsidRPr="003015FD">
        <w:t>.</w:t>
      </w:r>
      <w:r w:rsidR="00975895" w:rsidRPr="003015FD">
        <w:t xml:space="preserve"> </w:t>
      </w:r>
      <w:r w:rsidRPr="003015FD">
        <w:t>The</w:t>
      </w:r>
      <w:r w:rsidR="00975895" w:rsidRPr="003015FD">
        <w:t xml:space="preserve"> </w:t>
      </w:r>
      <w:r w:rsidRPr="003015FD">
        <w:t>hearing</w:t>
      </w:r>
      <w:r w:rsidR="00975895" w:rsidRPr="003015FD">
        <w:t xml:space="preserve"> </w:t>
      </w:r>
      <w:r w:rsidRPr="003015FD">
        <w:t>was</w:t>
      </w:r>
      <w:r w:rsidR="00975895" w:rsidRPr="003015FD">
        <w:t xml:space="preserve"> </w:t>
      </w:r>
      <w:r w:rsidRPr="003015FD">
        <w:t>heard</w:t>
      </w:r>
      <w:r w:rsidR="00975895" w:rsidRPr="003015FD">
        <w:t xml:space="preserve"> </w:t>
      </w:r>
      <w:r w:rsidRPr="003015FD">
        <w:t>in</w:t>
      </w:r>
      <w:r w:rsidR="00975895" w:rsidRPr="003015FD">
        <w:t xml:space="preserve"> </w:t>
      </w:r>
      <w:r w:rsidRPr="003015FD">
        <w:t>the</w:t>
      </w:r>
      <w:r w:rsidR="00975895" w:rsidRPr="003015FD">
        <w:t xml:space="preserve"> </w:t>
      </w:r>
      <w:r w:rsidRPr="003015FD">
        <w:t>absence</w:t>
      </w:r>
      <w:r w:rsidR="00975895" w:rsidRPr="003015FD">
        <w:t xml:space="preserve"> </w:t>
      </w:r>
      <w:r w:rsidRPr="003015FD">
        <w:t>of</w:t>
      </w:r>
      <w:r w:rsidR="00975895" w:rsidRPr="003015FD">
        <w:t xml:space="preserve"> </w:t>
      </w:r>
      <w:r w:rsidRPr="003015FD">
        <w:t>the</w:t>
      </w:r>
      <w:r w:rsidR="00975895" w:rsidRPr="003015FD">
        <w:t xml:space="preserve"> </w:t>
      </w:r>
      <w:r w:rsidRPr="003015FD">
        <w:t>convicted</w:t>
      </w:r>
      <w:r w:rsidR="00975895" w:rsidRPr="003015FD">
        <w:t xml:space="preserve"> </w:t>
      </w:r>
      <w:r w:rsidRPr="003015FD">
        <w:t>to</w:t>
      </w:r>
      <w:r w:rsidR="00975895" w:rsidRPr="003015FD">
        <w:t xml:space="preserve"> </w:t>
      </w:r>
      <w:r w:rsidRPr="003015FD">
        <w:t>decide</w:t>
      </w:r>
      <w:r w:rsidR="00975895" w:rsidRPr="003015FD">
        <w:t xml:space="preserve"> </w:t>
      </w:r>
      <w:r w:rsidRPr="003015FD">
        <w:t>whether</w:t>
      </w:r>
      <w:r w:rsidR="00975895" w:rsidRPr="003015FD">
        <w:t xml:space="preserve"> </w:t>
      </w:r>
      <w:r w:rsidRPr="003015FD">
        <w:t>disclosure</w:t>
      </w:r>
      <w:r w:rsidR="00975895" w:rsidRPr="003015FD">
        <w:t xml:space="preserve"> </w:t>
      </w:r>
      <w:r w:rsidRPr="003015FD">
        <w:t>was</w:t>
      </w:r>
      <w:r w:rsidR="00975895" w:rsidRPr="003015FD">
        <w:t xml:space="preserve"> </w:t>
      </w:r>
      <w:r w:rsidRPr="003015FD">
        <w:t>warranted.</w:t>
      </w:r>
    </w:p>
    <w:p w14:paraId="67B47CB4" w14:textId="0A125C7B" w:rsidR="008E0945" w:rsidRPr="003015FD" w:rsidRDefault="008E0945" w:rsidP="0002642E">
      <w:r w:rsidRPr="003015FD">
        <w:lastRenderedPageBreak/>
        <w:t>The</w:t>
      </w:r>
      <w:r w:rsidR="00975895" w:rsidRPr="003015FD">
        <w:t xml:space="preserve"> </w:t>
      </w:r>
      <w:r w:rsidRPr="003015FD">
        <w:t>Commission</w:t>
      </w:r>
      <w:r w:rsidR="00975895" w:rsidRPr="003015FD">
        <w:t xml:space="preserve"> </w:t>
      </w:r>
      <w:r w:rsidRPr="003015FD">
        <w:t>intervened</w:t>
      </w:r>
      <w:r w:rsidR="00975895" w:rsidRPr="003015FD">
        <w:t xml:space="preserve"> </w:t>
      </w:r>
      <w:r w:rsidRPr="003015FD">
        <w:t>in</w:t>
      </w:r>
      <w:r w:rsidR="00975895" w:rsidRPr="003015FD">
        <w:t xml:space="preserve"> </w:t>
      </w:r>
      <w:r w:rsidRPr="003015FD">
        <w:t>these</w:t>
      </w:r>
      <w:r w:rsidR="00975895" w:rsidRPr="003015FD">
        <w:t xml:space="preserve"> </w:t>
      </w:r>
      <w:r w:rsidRPr="003015FD">
        <w:t>proceedings</w:t>
      </w:r>
      <w:r w:rsidR="00975895" w:rsidRPr="003015FD">
        <w:t xml:space="preserve"> </w:t>
      </w:r>
      <w:r w:rsidRPr="003015FD">
        <w:t>primarily</w:t>
      </w:r>
      <w:r w:rsidR="00975895" w:rsidRPr="003015FD">
        <w:t xml:space="preserve"> </w:t>
      </w:r>
      <w:r w:rsidRPr="003015FD">
        <w:t>to</w:t>
      </w:r>
      <w:r w:rsidR="00975895" w:rsidRPr="003015FD">
        <w:t xml:space="preserve"> </w:t>
      </w:r>
      <w:r w:rsidRPr="003015FD">
        <w:t>make</w:t>
      </w:r>
      <w:r w:rsidR="00975895" w:rsidRPr="003015FD">
        <w:t xml:space="preserve"> </w:t>
      </w:r>
      <w:r w:rsidRPr="003015FD">
        <w:t>submissions</w:t>
      </w:r>
      <w:r w:rsidR="00975895" w:rsidRPr="003015FD">
        <w:t xml:space="preserve"> </w:t>
      </w:r>
      <w:r w:rsidRPr="003015FD">
        <w:t>on</w:t>
      </w:r>
      <w:r w:rsidR="00975895" w:rsidRPr="003015FD">
        <w:t xml:space="preserve"> </w:t>
      </w:r>
      <w:r w:rsidRPr="003015FD">
        <w:t>whether,</w:t>
      </w:r>
      <w:r w:rsidR="00975895" w:rsidRPr="003015FD">
        <w:t xml:space="preserve"> </w:t>
      </w:r>
      <w:r w:rsidRPr="003015FD">
        <w:t>and</w:t>
      </w:r>
      <w:r w:rsidR="00975895" w:rsidRPr="003015FD">
        <w:t xml:space="preserve"> </w:t>
      </w:r>
      <w:r w:rsidRPr="003015FD">
        <w:t>how,</w:t>
      </w:r>
      <w:r w:rsidR="00975895" w:rsidRPr="003015FD">
        <w:t xml:space="preserve"> </w:t>
      </w:r>
      <w:r w:rsidRPr="003015FD">
        <w:t>the</w:t>
      </w:r>
      <w:r w:rsidR="00975895" w:rsidRPr="003015FD">
        <w:t xml:space="preserve"> </w:t>
      </w:r>
      <w:r w:rsidRPr="003015FD">
        <w:t>Charter</w:t>
      </w:r>
      <w:r w:rsidR="00975895" w:rsidRPr="003015FD">
        <w:t xml:space="preserve"> </w:t>
      </w:r>
      <w:r w:rsidRPr="003015FD">
        <w:t>affected</w:t>
      </w:r>
      <w:r w:rsidR="00975895" w:rsidRPr="003015FD">
        <w:t xml:space="preserve"> </w:t>
      </w:r>
      <w:r w:rsidRPr="003015FD">
        <w:t>the</w:t>
      </w:r>
      <w:r w:rsidR="00975895" w:rsidRPr="003015FD">
        <w:t xml:space="preserve"> </w:t>
      </w:r>
      <w:r w:rsidRPr="003015FD">
        <w:t>appropriateness</w:t>
      </w:r>
      <w:r w:rsidR="00975895" w:rsidRPr="003015FD">
        <w:t xml:space="preserve"> </w:t>
      </w:r>
      <w:r w:rsidRPr="003015FD">
        <w:t>of</w:t>
      </w:r>
      <w:r w:rsidR="00975895" w:rsidRPr="003015FD">
        <w:t xml:space="preserve"> </w:t>
      </w:r>
      <w:r w:rsidRPr="003015FD">
        <w:t>the</w:t>
      </w:r>
      <w:r w:rsidR="00975895" w:rsidRPr="003015FD">
        <w:t xml:space="preserve"> </w:t>
      </w:r>
      <w:r w:rsidRPr="003015FD">
        <w:t>court</w:t>
      </w:r>
      <w:r w:rsidR="00975895" w:rsidRPr="003015FD">
        <w:t xml:space="preserve"> </w:t>
      </w:r>
      <w:r w:rsidRPr="003015FD">
        <w:t>dealing</w:t>
      </w:r>
      <w:r w:rsidR="00975895" w:rsidRPr="003015FD">
        <w:t xml:space="preserve"> </w:t>
      </w:r>
      <w:r w:rsidRPr="003015FD">
        <w:t>with</w:t>
      </w:r>
      <w:r w:rsidR="00975895" w:rsidRPr="003015FD">
        <w:t xml:space="preserve"> </w:t>
      </w:r>
      <w:r w:rsidRPr="003015FD">
        <w:t>the</w:t>
      </w:r>
      <w:r w:rsidR="00975895" w:rsidRPr="003015FD">
        <w:t xml:space="preserve"> </w:t>
      </w:r>
      <w:r w:rsidRPr="003015FD">
        <w:t>case</w:t>
      </w:r>
      <w:r w:rsidR="00975895" w:rsidRPr="003015FD">
        <w:t xml:space="preserve"> </w:t>
      </w:r>
      <w:r w:rsidRPr="003015FD">
        <w:t>in</w:t>
      </w:r>
      <w:r w:rsidR="00975895" w:rsidRPr="003015FD">
        <w:t xml:space="preserve"> </w:t>
      </w:r>
      <w:r w:rsidRPr="003015FD">
        <w:t>the</w:t>
      </w:r>
      <w:r w:rsidR="00975895" w:rsidRPr="003015FD">
        <w:t xml:space="preserve"> </w:t>
      </w:r>
      <w:r w:rsidRPr="003015FD">
        <w:t>absence</w:t>
      </w:r>
      <w:r w:rsidR="00975895" w:rsidRPr="003015FD">
        <w:t xml:space="preserve"> </w:t>
      </w:r>
      <w:r w:rsidRPr="003015FD">
        <w:t>of</w:t>
      </w:r>
      <w:r w:rsidR="00975895" w:rsidRPr="003015FD">
        <w:t xml:space="preserve"> </w:t>
      </w:r>
      <w:r w:rsidRPr="003015FD">
        <w:t>the</w:t>
      </w:r>
      <w:r w:rsidR="00975895" w:rsidRPr="003015FD">
        <w:t xml:space="preserve"> </w:t>
      </w:r>
      <w:r w:rsidRPr="003015FD">
        <w:t>convicted</w:t>
      </w:r>
      <w:r w:rsidR="00975895" w:rsidRPr="003015FD">
        <w:t xml:space="preserve"> </w:t>
      </w:r>
      <w:r w:rsidRPr="003015FD">
        <w:t>persons.</w:t>
      </w:r>
      <w:r w:rsidR="00975895" w:rsidRPr="003015FD">
        <w:t xml:space="preserve"> </w:t>
      </w:r>
      <w:r w:rsidRPr="0002642E">
        <w:rPr>
          <w:color w:val="000000"/>
        </w:rPr>
        <w:t>The</w:t>
      </w:r>
      <w:r w:rsidR="00975895" w:rsidRPr="0002642E">
        <w:rPr>
          <w:color w:val="000000"/>
        </w:rPr>
        <w:t xml:space="preserve"> </w:t>
      </w:r>
      <w:r w:rsidRPr="0002642E">
        <w:rPr>
          <w:color w:val="000000"/>
        </w:rPr>
        <w:t>Commission</w:t>
      </w:r>
      <w:r w:rsidR="00975895" w:rsidRPr="0002642E">
        <w:rPr>
          <w:color w:val="000000"/>
        </w:rPr>
        <w:t xml:space="preserve"> </w:t>
      </w:r>
      <w:r w:rsidRPr="0002642E">
        <w:rPr>
          <w:color w:val="000000"/>
        </w:rPr>
        <w:t>submitted,</w:t>
      </w:r>
      <w:r w:rsidR="00975895" w:rsidRPr="0002642E">
        <w:rPr>
          <w:color w:val="000000"/>
        </w:rPr>
        <w:t xml:space="preserve"> </w:t>
      </w:r>
      <w:r w:rsidRPr="0002642E">
        <w:rPr>
          <w:color w:val="000000"/>
        </w:rPr>
        <w:t>and</w:t>
      </w:r>
      <w:r w:rsidR="00975895" w:rsidRPr="0002642E">
        <w:rPr>
          <w:color w:val="000000"/>
        </w:rPr>
        <w:t xml:space="preserve"> </w:t>
      </w:r>
      <w:r w:rsidRPr="0002642E">
        <w:rPr>
          <w:color w:val="000000"/>
        </w:rPr>
        <w:t>it</w:t>
      </w:r>
      <w:r w:rsidR="00975895" w:rsidRPr="0002642E">
        <w:rPr>
          <w:color w:val="000000"/>
        </w:rPr>
        <w:t xml:space="preserve"> </w:t>
      </w:r>
      <w:r w:rsidRPr="0002642E">
        <w:rPr>
          <w:color w:val="000000"/>
        </w:rPr>
        <w:t>was</w:t>
      </w:r>
      <w:r w:rsidR="00975895" w:rsidRPr="0002642E">
        <w:rPr>
          <w:color w:val="000000"/>
        </w:rPr>
        <w:t xml:space="preserve"> </w:t>
      </w:r>
      <w:r w:rsidRPr="0002642E">
        <w:rPr>
          <w:color w:val="000000"/>
        </w:rPr>
        <w:t>accepted</w:t>
      </w:r>
      <w:r w:rsidR="00975895" w:rsidRPr="0002642E">
        <w:rPr>
          <w:color w:val="000000"/>
        </w:rPr>
        <w:t xml:space="preserve"> </w:t>
      </w:r>
      <w:r w:rsidRPr="0002642E">
        <w:rPr>
          <w:color w:val="000000"/>
        </w:rPr>
        <w:t>by</w:t>
      </w:r>
      <w:r w:rsidR="00975895" w:rsidRPr="0002642E">
        <w:rPr>
          <w:color w:val="000000"/>
        </w:rPr>
        <w:t xml:space="preserve"> </w:t>
      </w:r>
      <w:r w:rsidRPr="0002642E">
        <w:rPr>
          <w:color w:val="000000"/>
        </w:rPr>
        <w:t>the</w:t>
      </w:r>
      <w:r w:rsidR="00975895" w:rsidRPr="0002642E">
        <w:rPr>
          <w:color w:val="000000"/>
        </w:rPr>
        <w:t xml:space="preserve"> </w:t>
      </w:r>
      <w:r w:rsidR="007B5703" w:rsidRPr="0002642E">
        <w:rPr>
          <w:color w:val="000000"/>
        </w:rPr>
        <w:t>c</w:t>
      </w:r>
      <w:r w:rsidRPr="0002642E">
        <w:rPr>
          <w:color w:val="000000"/>
        </w:rPr>
        <w:t>ourt,</w:t>
      </w:r>
      <w:r w:rsidR="00975895" w:rsidRPr="0002642E">
        <w:rPr>
          <w:color w:val="000000"/>
        </w:rPr>
        <w:t xml:space="preserve"> </w:t>
      </w:r>
      <w:r w:rsidRPr="0002642E">
        <w:rPr>
          <w:color w:val="000000"/>
        </w:rPr>
        <w:t>that</w:t>
      </w:r>
      <w:r w:rsidR="00975895" w:rsidRPr="0002642E">
        <w:rPr>
          <w:color w:val="000000"/>
        </w:rPr>
        <w:t xml:space="preserve"> </w:t>
      </w:r>
      <w:r w:rsidRPr="0002642E">
        <w:rPr>
          <w:color w:val="000000"/>
        </w:rPr>
        <w:t>through</w:t>
      </w:r>
      <w:r w:rsidR="00975895" w:rsidRPr="0002642E">
        <w:rPr>
          <w:color w:val="000000"/>
        </w:rPr>
        <w:t xml:space="preserve"> </w:t>
      </w:r>
      <w:r w:rsidRPr="0002642E">
        <w:rPr>
          <w:color w:val="000000"/>
        </w:rPr>
        <w:t>the</w:t>
      </w:r>
      <w:r w:rsidR="00975895" w:rsidRPr="0002642E">
        <w:rPr>
          <w:color w:val="000000"/>
        </w:rPr>
        <w:t xml:space="preserve"> </w:t>
      </w:r>
      <w:r w:rsidRPr="0002642E">
        <w:rPr>
          <w:color w:val="000000"/>
        </w:rPr>
        <w:t>direct</w:t>
      </w:r>
      <w:r w:rsidR="00975895" w:rsidRPr="0002642E">
        <w:rPr>
          <w:color w:val="000000"/>
        </w:rPr>
        <w:t xml:space="preserve"> </w:t>
      </w:r>
      <w:r w:rsidRPr="0002642E">
        <w:rPr>
          <w:color w:val="000000"/>
        </w:rPr>
        <w:t>application</w:t>
      </w:r>
      <w:r w:rsidR="00975895" w:rsidRPr="0002642E">
        <w:rPr>
          <w:color w:val="000000"/>
        </w:rPr>
        <w:t xml:space="preserve"> </w:t>
      </w:r>
      <w:r w:rsidRPr="0002642E">
        <w:rPr>
          <w:color w:val="000000"/>
        </w:rPr>
        <w:t>of</w:t>
      </w:r>
      <w:r w:rsidR="00975895" w:rsidRPr="0002642E">
        <w:rPr>
          <w:color w:val="000000"/>
        </w:rPr>
        <w:t xml:space="preserve"> </w:t>
      </w:r>
      <w:r w:rsidRPr="0002642E">
        <w:rPr>
          <w:color w:val="000000"/>
        </w:rPr>
        <w:t>section</w:t>
      </w:r>
      <w:r w:rsidR="00975895" w:rsidRPr="0002642E">
        <w:rPr>
          <w:color w:val="000000"/>
        </w:rPr>
        <w:t xml:space="preserve"> </w:t>
      </w:r>
      <w:r w:rsidRPr="0002642E">
        <w:rPr>
          <w:color w:val="000000"/>
        </w:rPr>
        <w:t>6(2)(b)</w:t>
      </w:r>
      <w:r w:rsidR="00975895" w:rsidRPr="0002642E">
        <w:rPr>
          <w:color w:val="000000"/>
        </w:rPr>
        <w:t xml:space="preserve"> </w:t>
      </w:r>
      <w:r w:rsidRPr="0002642E">
        <w:rPr>
          <w:color w:val="000000"/>
        </w:rPr>
        <w:t>of</w:t>
      </w:r>
      <w:r w:rsidR="00975895" w:rsidRPr="0002642E">
        <w:rPr>
          <w:color w:val="000000"/>
        </w:rPr>
        <w:t xml:space="preserve"> </w:t>
      </w:r>
      <w:r w:rsidRPr="0002642E">
        <w:rPr>
          <w:color w:val="000000"/>
        </w:rPr>
        <w:t>the</w:t>
      </w:r>
      <w:r w:rsidR="00975895" w:rsidRPr="0002642E">
        <w:rPr>
          <w:color w:val="000000"/>
        </w:rPr>
        <w:t xml:space="preserve"> </w:t>
      </w:r>
      <w:r w:rsidRPr="0002642E">
        <w:rPr>
          <w:color w:val="000000"/>
        </w:rPr>
        <w:t>Charter,</w:t>
      </w:r>
      <w:r w:rsidR="00975895" w:rsidRPr="0002642E">
        <w:rPr>
          <w:color w:val="000000"/>
        </w:rPr>
        <w:t xml:space="preserve"> </w:t>
      </w:r>
      <w:r w:rsidRPr="0002642E">
        <w:rPr>
          <w:color w:val="000000"/>
        </w:rPr>
        <w:t>the</w:t>
      </w:r>
      <w:r w:rsidR="00975895" w:rsidRPr="0002642E">
        <w:rPr>
          <w:color w:val="000000"/>
        </w:rPr>
        <w:t xml:space="preserve"> </w:t>
      </w:r>
      <w:r w:rsidR="007B5703" w:rsidRPr="0002642E">
        <w:rPr>
          <w:color w:val="000000"/>
        </w:rPr>
        <w:t>c</w:t>
      </w:r>
      <w:r w:rsidRPr="0002642E">
        <w:rPr>
          <w:color w:val="000000"/>
        </w:rPr>
        <w:t>ourt</w:t>
      </w:r>
      <w:r w:rsidR="00975895" w:rsidRPr="0002642E">
        <w:rPr>
          <w:color w:val="000000"/>
        </w:rPr>
        <w:t xml:space="preserve"> </w:t>
      </w:r>
      <w:r w:rsidRPr="0002642E">
        <w:rPr>
          <w:color w:val="000000"/>
        </w:rPr>
        <w:t>itself</w:t>
      </w:r>
      <w:r w:rsidR="00975895" w:rsidRPr="0002642E">
        <w:rPr>
          <w:color w:val="000000"/>
        </w:rPr>
        <w:t xml:space="preserve"> </w:t>
      </w:r>
      <w:r w:rsidRPr="0002642E">
        <w:rPr>
          <w:color w:val="000000"/>
        </w:rPr>
        <w:t>had</w:t>
      </w:r>
      <w:r w:rsidR="00975895" w:rsidRPr="0002642E">
        <w:rPr>
          <w:color w:val="000000"/>
        </w:rPr>
        <w:t xml:space="preserve"> </w:t>
      </w:r>
      <w:r w:rsidRPr="0002642E">
        <w:rPr>
          <w:color w:val="000000"/>
        </w:rPr>
        <w:t>to</w:t>
      </w:r>
      <w:r w:rsidR="00975895" w:rsidRPr="0002642E">
        <w:rPr>
          <w:color w:val="000000"/>
        </w:rPr>
        <w:t xml:space="preserve"> </w:t>
      </w:r>
      <w:r w:rsidRPr="0002642E">
        <w:rPr>
          <w:color w:val="000000"/>
        </w:rPr>
        <w:t>act</w:t>
      </w:r>
      <w:r w:rsidR="00975895" w:rsidRPr="0002642E">
        <w:rPr>
          <w:color w:val="000000"/>
        </w:rPr>
        <w:t xml:space="preserve"> </w:t>
      </w:r>
      <w:r w:rsidRPr="0002642E">
        <w:rPr>
          <w:color w:val="000000"/>
        </w:rPr>
        <w:t>compatibly</w:t>
      </w:r>
      <w:r w:rsidR="00975895" w:rsidRPr="0002642E">
        <w:rPr>
          <w:color w:val="000000"/>
        </w:rPr>
        <w:t xml:space="preserve"> </w:t>
      </w:r>
      <w:r w:rsidRPr="0002642E">
        <w:rPr>
          <w:color w:val="000000"/>
        </w:rPr>
        <w:t>with</w:t>
      </w:r>
      <w:r w:rsidR="00975895" w:rsidRPr="0002642E">
        <w:rPr>
          <w:color w:val="000000"/>
        </w:rPr>
        <w:t xml:space="preserve"> </w:t>
      </w:r>
      <w:r w:rsidRPr="0002642E">
        <w:rPr>
          <w:color w:val="000000"/>
        </w:rPr>
        <w:t>the</w:t>
      </w:r>
      <w:r w:rsidR="00975895" w:rsidRPr="0002642E">
        <w:rPr>
          <w:color w:val="000000"/>
        </w:rPr>
        <w:t xml:space="preserve"> </w:t>
      </w:r>
      <w:r w:rsidRPr="0002642E">
        <w:rPr>
          <w:color w:val="000000"/>
        </w:rPr>
        <w:t>human</w:t>
      </w:r>
      <w:r w:rsidR="00975895" w:rsidRPr="0002642E">
        <w:rPr>
          <w:color w:val="000000"/>
        </w:rPr>
        <w:t xml:space="preserve"> </w:t>
      </w:r>
      <w:r w:rsidRPr="0002642E">
        <w:rPr>
          <w:color w:val="000000"/>
        </w:rPr>
        <w:t>rights</w:t>
      </w:r>
      <w:r w:rsidR="00975895" w:rsidRPr="0002642E">
        <w:rPr>
          <w:color w:val="000000"/>
        </w:rPr>
        <w:t xml:space="preserve"> </w:t>
      </w:r>
      <w:r w:rsidRPr="0002642E">
        <w:rPr>
          <w:color w:val="000000"/>
        </w:rPr>
        <w:t>of</w:t>
      </w:r>
      <w:r w:rsidR="00975895" w:rsidRPr="0002642E">
        <w:rPr>
          <w:color w:val="000000"/>
        </w:rPr>
        <w:t xml:space="preserve"> </w:t>
      </w:r>
      <w:r w:rsidRPr="0002642E">
        <w:rPr>
          <w:color w:val="000000"/>
        </w:rPr>
        <w:t>the</w:t>
      </w:r>
      <w:r w:rsidR="00975895" w:rsidRPr="0002642E">
        <w:rPr>
          <w:color w:val="000000"/>
        </w:rPr>
        <w:t xml:space="preserve"> </w:t>
      </w:r>
      <w:r w:rsidRPr="0002642E">
        <w:rPr>
          <w:color w:val="000000"/>
        </w:rPr>
        <w:t>convicted</w:t>
      </w:r>
      <w:r w:rsidR="00975895" w:rsidRPr="0002642E">
        <w:rPr>
          <w:color w:val="000000"/>
        </w:rPr>
        <w:t xml:space="preserve"> </w:t>
      </w:r>
      <w:r w:rsidRPr="0002642E">
        <w:rPr>
          <w:color w:val="000000"/>
        </w:rPr>
        <w:t>persons</w:t>
      </w:r>
      <w:r w:rsidR="00975895" w:rsidRPr="0002642E">
        <w:rPr>
          <w:color w:val="000000"/>
        </w:rPr>
        <w:t xml:space="preserve"> </w:t>
      </w:r>
      <w:r w:rsidRPr="0002642E">
        <w:rPr>
          <w:color w:val="000000"/>
        </w:rPr>
        <w:t>(relevantly</w:t>
      </w:r>
      <w:r w:rsidR="00975895" w:rsidRPr="0002642E">
        <w:rPr>
          <w:color w:val="000000"/>
        </w:rPr>
        <w:t xml:space="preserve"> </w:t>
      </w:r>
      <w:r w:rsidRPr="0002642E">
        <w:rPr>
          <w:color w:val="000000"/>
        </w:rPr>
        <w:t>fair</w:t>
      </w:r>
      <w:r w:rsidR="00975895" w:rsidRPr="0002642E">
        <w:rPr>
          <w:color w:val="000000"/>
        </w:rPr>
        <w:t xml:space="preserve"> </w:t>
      </w:r>
      <w:r w:rsidRPr="0002642E">
        <w:rPr>
          <w:color w:val="000000"/>
        </w:rPr>
        <w:t>hearing</w:t>
      </w:r>
      <w:r w:rsidR="00975895" w:rsidRPr="0002642E">
        <w:rPr>
          <w:color w:val="000000"/>
        </w:rPr>
        <w:t xml:space="preserve"> </w:t>
      </w:r>
      <w:r w:rsidRPr="0002642E">
        <w:rPr>
          <w:color w:val="000000"/>
        </w:rPr>
        <w:t>and</w:t>
      </w:r>
      <w:r w:rsidR="00975895" w:rsidRPr="0002642E">
        <w:rPr>
          <w:color w:val="000000"/>
        </w:rPr>
        <w:t xml:space="preserve"> </w:t>
      </w:r>
      <w:r w:rsidRPr="0002642E">
        <w:rPr>
          <w:color w:val="000000"/>
        </w:rPr>
        <w:t>criminal</w:t>
      </w:r>
      <w:r w:rsidR="00975895" w:rsidRPr="0002642E">
        <w:rPr>
          <w:color w:val="000000"/>
        </w:rPr>
        <w:t xml:space="preserve"> </w:t>
      </w:r>
      <w:r w:rsidRPr="0002642E">
        <w:rPr>
          <w:color w:val="000000"/>
        </w:rPr>
        <w:t>procedure</w:t>
      </w:r>
      <w:r w:rsidR="00975895" w:rsidRPr="0002642E">
        <w:rPr>
          <w:color w:val="000000"/>
        </w:rPr>
        <w:t xml:space="preserve"> </w:t>
      </w:r>
      <w:r w:rsidRPr="0002642E">
        <w:rPr>
          <w:color w:val="000000"/>
        </w:rPr>
        <w:t>rights),</w:t>
      </w:r>
      <w:r w:rsidR="00975895" w:rsidRPr="0002642E">
        <w:rPr>
          <w:color w:val="000000"/>
        </w:rPr>
        <w:t xml:space="preserve"> </w:t>
      </w:r>
      <w:r w:rsidRPr="0002642E">
        <w:rPr>
          <w:color w:val="000000"/>
        </w:rPr>
        <w:t>balanced</w:t>
      </w:r>
      <w:r w:rsidR="00975895" w:rsidRPr="0002642E">
        <w:rPr>
          <w:color w:val="000000"/>
        </w:rPr>
        <w:t xml:space="preserve"> </w:t>
      </w:r>
      <w:r w:rsidRPr="0002642E">
        <w:rPr>
          <w:color w:val="000000"/>
        </w:rPr>
        <w:t>against</w:t>
      </w:r>
      <w:r w:rsidR="00975895" w:rsidRPr="0002642E">
        <w:rPr>
          <w:color w:val="000000"/>
        </w:rPr>
        <w:t xml:space="preserve"> </w:t>
      </w:r>
      <w:r w:rsidRPr="0002642E">
        <w:rPr>
          <w:color w:val="000000"/>
        </w:rPr>
        <w:t>the</w:t>
      </w:r>
      <w:r w:rsidR="00975895" w:rsidRPr="0002642E">
        <w:rPr>
          <w:color w:val="000000"/>
        </w:rPr>
        <w:t xml:space="preserve"> </w:t>
      </w:r>
      <w:r w:rsidRPr="0002642E">
        <w:rPr>
          <w:color w:val="000000"/>
        </w:rPr>
        <w:t>rights</w:t>
      </w:r>
      <w:r w:rsidR="00975895" w:rsidRPr="0002642E">
        <w:rPr>
          <w:color w:val="000000"/>
        </w:rPr>
        <w:t xml:space="preserve"> </w:t>
      </w:r>
      <w:r w:rsidRPr="0002642E">
        <w:rPr>
          <w:color w:val="000000"/>
        </w:rPr>
        <w:t>of</w:t>
      </w:r>
      <w:r w:rsidR="00975895" w:rsidRPr="0002642E">
        <w:rPr>
          <w:color w:val="000000"/>
        </w:rPr>
        <w:t xml:space="preserve"> </w:t>
      </w:r>
      <w:r w:rsidRPr="0002642E">
        <w:rPr>
          <w:color w:val="000000"/>
        </w:rPr>
        <w:t>EF</w:t>
      </w:r>
      <w:r w:rsidR="00975895" w:rsidRPr="0002642E">
        <w:rPr>
          <w:color w:val="000000"/>
        </w:rPr>
        <w:t xml:space="preserve"> </w:t>
      </w:r>
      <w:r w:rsidRPr="0002642E">
        <w:rPr>
          <w:color w:val="000000"/>
        </w:rPr>
        <w:t>and</w:t>
      </w:r>
      <w:r w:rsidR="00975895" w:rsidRPr="0002642E">
        <w:rPr>
          <w:color w:val="000000"/>
        </w:rPr>
        <w:t xml:space="preserve"> </w:t>
      </w:r>
      <w:r w:rsidRPr="0002642E">
        <w:rPr>
          <w:color w:val="000000"/>
        </w:rPr>
        <w:t>her</w:t>
      </w:r>
      <w:r w:rsidR="00975895" w:rsidRPr="0002642E">
        <w:rPr>
          <w:color w:val="000000"/>
        </w:rPr>
        <w:t xml:space="preserve"> </w:t>
      </w:r>
      <w:r w:rsidRPr="0002642E">
        <w:rPr>
          <w:color w:val="000000"/>
        </w:rPr>
        <w:t>children</w:t>
      </w:r>
      <w:r w:rsidR="00975895" w:rsidRPr="0002642E">
        <w:rPr>
          <w:color w:val="000000"/>
        </w:rPr>
        <w:t xml:space="preserve"> </w:t>
      </w:r>
      <w:r w:rsidRPr="0002642E">
        <w:rPr>
          <w:color w:val="000000"/>
        </w:rPr>
        <w:t>(relevantly</w:t>
      </w:r>
      <w:r w:rsidR="00975895" w:rsidRPr="0002642E">
        <w:rPr>
          <w:color w:val="000000"/>
        </w:rPr>
        <w:t xml:space="preserve"> </w:t>
      </w:r>
      <w:r w:rsidRPr="0002642E">
        <w:rPr>
          <w:color w:val="000000"/>
        </w:rPr>
        <w:t>the</w:t>
      </w:r>
      <w:r w:rsidR="00975895" w:rsidRPr="0002642E">
        <w:rPr>
          <w:color w:val="000000"/>
        </w:rPr>
        <w:t xml:space="preserve"> </w:t>
      </w:r>
      <w:r w:rsidRPr="0002642E">
        <w:rPr>
          <w:color w:val="000000"/>
        </w:rPr>
        <w:t>right</w:t>
      </w:r>
      <w:r w:rsidR="00975895" w:rsidRPr="0002642E">
        <w:rPr>
          <w:color w:val="000000"/>
        </w:rPr>
        <w:t xml:space="preserve"> </w:t>
      </w:r>
      <w:r w:rsidRPr="0002642E">
        <w:rPr>
          <w:color w:val="000000"/>
        </w:rPr>
        <w:t>to</w:t>
      </w:r>
      <w:r w:rsidR="00975895" w:rsidRPr="0002642E">
        <w:rPr>
          <w:color w:val="000000"/>
        </w:rPr>
        <w:t xml:space="preserve"> </w:t>
      </w:r>
      <w:r w:rsidRPr="0002642E">
        <w:rPr>
          <w:color w:val="000000"/>
        </w:rPr>
        <w:t>life,</w:t>
      </w:r>
      <w:r w:rsidR="00975895" w:rsidRPr="0002642E">
        <w:rPr>
          <w:color w:val="000000"/>
        </w:rPr>
        <w:t xml:space="preserve"> </w:t>
      </w:r>
      <w:r w:rsidRPr="0002642E">
        <w:rPr>
          <w:color w:val="000000"/>
        </w:rPr>
        <w:t>liberty</w:t>
      </w:r>
      <w:r w:rsidR="00975895" w:rsidRPr="0002642E">
        <w:rPr>
          <w:color w:val="000000"/>
        </w:rPr>
        <w:t xml:space="preserve"> </w:t>
      </w:r>
      <w:r w:rsidRPr="0002642E">
        <w:rPr>
          <w:color w:val="000000"/>
        </w:rPr>
        <w:t>and</w:t>
      </w:r>
      <w:r w:rsidR="00975895" w:rsidRPr="0002642E">
        <w:rPr>
          <w:color w:val="000000"/>
        </w:rPr>
        <w:t xml:space="preserve"> </w:t>
      </w:r>
      <w:r w:rsidRPr="0002642E">
        <w:rPr>
          <w:color w:val="000000"/>
        </w:rPr>
        <w:t>security</w:t>
      </w:r>
      <w:r w:rsidR="00975895" w:rsidRPr="0002642E">
        <w:rPr>
          <w:color w:val="000000"/>
        </w:rPr>
        <w:t xml:space="preserve"> </w:t>
      </w:r>
      <w:r w:rsidRPr="0002642E">
        <w:rPr>
          <w:color w:val="000000"/>
        </w:rPr>
        <w:t>and</w:t>
      </w:r>
      <w:r w:rsidR="00975895" w:rsidRPr="0002642E">
        <w:rPr>
          <w:color w:val="000000"/>
        </w:rPr>
        <w:t xml:space="preserve"> </w:t>
      </w:r>
      <w:r w:rsidRPr="0002642E">
        <w:rPr>
          <w:color w:val="000000"/>
        </w:rPr>
        <w:t>freedom</w:t>
      </w:r>
      <w:r w:rsidR="00975895" w:rsidRPr="0002642E">
        <w:rPr>
          <w:color w:val="000000"/>
        </w:rPr>
        <w:t xml:space="preserve"> </w:t>
      </w:r>
      <w:r w:rsidRPr="0002642E">
        <w:rPr>
          <w:color w:val="000000"/>
        </w:rPr>
        <w:t>from</w:t>
      </w:r>
      <w:r w:rsidR="00975895" w:rsidRPr="0002642E">
        <w:rPr>
          <w:color w:val="000000"/>
        </w:rPr>
        <w:t xml:space="preserve"> </w:t>
      </w:r>
      <w:r w:rsidRPr="0002642E">
        <w:rPr>
          <w:color w:val="000000"/>
        </w:rPr>
        <w:t>arbitrary</w:t>
      </w:r>
      <w:r w:rsidR="00975895" w:rsidRPr="0002642E">
        <w:rPr>
          <w:color w:val="000000"/>
        </w:rPr>
        <w:t xml:space="preserve"> </w:t>
      </w:r>
      <w:r w:rsidRPr="0002642E">
        <w:rPr>
          <w:color w:val="000000"/>
        </w:rPr>
        <w:t>interference</w:t>
      </w:r>
      <w:r w:rsidR="00975895" w:rsidRPr="0002642E">
        <w:rPr>
          <w:color w:val="000000"/>
        </w:rPr>
        <w:t xml:space="preserve"> </w:t>
      </w:r>
      <w:r w:rsidRPr="0002642E">
        <w:rPr>
          <w:color w:val="000000"/>
        </w:rPr>
        <w:t>with</w:t>
      </w:r>
      <w:r w:rsidR="00975895" w:rsidRPr="0002642E">
        <w:rPr>
          <w:color w:val="000000"/>
        </w:rPr>
        <w:t xml:space="preserve"> </w:t>
      </w:r>
      <w:r w:rsidRPr="0002642E">
        <w:rPr>
          <w:color w:val="000000"/>
        </w:rPr>
        <w:t>family).</w:t>
      </w:r>
    </w:p>
    <w:p w14:paraId="1220E97F" w14:textId="54B457CD" w:rsidR="008E0945" w:rsidRPr="003015FD" w:rsidRDefault="008E0945" w:rsidP="0002642E">
      <w:r w:rsidRPr="003015FD">
        <w:t>The</w:t>
      </w:r>
      <w:r w:rsidR="00975895" w:rsidRPr="003015FD">
        <w:t xml:space="preserve"> </w:t>
      </w:r>
      <w:r w:rsidR="007B5703">
        <w:t>c</w:t>
      </w:r>
      <w:r w:rsidRPr="003015FD">
        <w:t>ourt</w:t>
      </w:r>
      <w:r w:rsidR="00975895" w:rsidRPr="003015FD">
        <w:t xml:space="preserve"> </w:t>
      </w:r>
      <w:r w:rsidRPr="003015FD">
        <w:t>held</w:t>
      </w:r>
      <w:r w:rsidR="00975895" w:rsidRPr="003015FD">
        <w:t xml:space="preserve"> </w:t>
      </w:r>
      <w:r w:rsidRPr="003015FD">
        <w:t>that</w:t>
      </w:r>
      <w:r w:rsidR="00975895" w:rsidRPr="003015FD">
        <w:t xml:space="preserve"> </w:t>
      </w:r>
      <w:r w:rsidRPr="003015FD">
        <w:t>the</w:t>
      </w:r>
      <w:r w:rsidR="00975895" w:rsidRPr="003015FD">
        <w:t xml:space="preserve"> </w:t>
      </w:r>
      <w:r w:rsidRPr="003015FD">
        <w:t>rights</w:t>
      </w:r>
      <w:r w:rsidR="00975895" w:rsidRPr="003015FD">
        <w:t xml:space="preserve"> </w:t>
      </w:r>
      <w:r w:rsidRPr="003015FD">
        <w:t>of</w:t>
      </w:r>
      <w:r w:rsidR="00975895" w:rsidRPr="003015FD">
        <w:t xml:space="preserve"> </w:t>
      </w:r>
      <w:r w:rsidRPr="003015FD">
        <w:t>the</w:t>
      </w:r>
      <w:r w:rsidR="00975895" w:rsidRPr="003015FD">
        <w:t xml:space="preserve"> </w:t>
      </w:r>
      <w:r w:rsidRPr="003015FD">
        <w:t>convicted</w:t>
      </w:r>
      <w:r w:rsidR="00975895" w:rsidRPr="003015FD">
        <w:t xml:space="preserve"> </w:t>
      </w:r>
      <w:r w:rsidRPr="003015FD">
        <w:t>persons</w:t>
      </w:r>
      <w:r w:rsidR="00975895" w:rsidRPr="003015FD">
        <w:t xml:space="preserve"> </w:t>
      </w:r>
      <w:r w:rsidRPr="003015FD">
        <w:t>were</w:t>
      </w:r>
      <w:r w:rsidR="00975895" w:rsidRPr="003015FD">
        <w:t xml:space="preserve"> </w:t>
      </w:r>
      <w:r w:rsidRPr="003015FD">
        <w:t>limited</w:t>
      </w:r>
      <w:r w:rsidR="00975895" w:rsidRPr="003015FD">
        <w:t xml:space="preserve"> </w:t>
      </w:r>
      <w:r w:rsidRPr="003015FD">
        <w:t>because</w:t>
      </w:r>
      <w:r w:rsidR="00975895" w:rsidRPr="003015FD">
        <w:t xml:space="preserve"> </w:t>
      </w:r>
      <w:r w:rsidRPr="003015FD">
        <w:t>the</w:t>
      </w:r>
      <w:r w:rsidR="00975895" w:rsidRPr="003015FD">
        <w:t xml:space="preserve"> </w:t>
      </w:r>
      <w:r w:rsidRPr="003015FD">
        <w:t>proceeding</w:t>
      </w:r>
      <w:r w:rsidR="00975895" w:rsidRPr="003015FD">
        <w:t xml:space="preserve"> </w:t>
      </w:r>
      <w:r w:rsidRPr="003015FD">
        <w:t>took</w:t>
      </w:r>
      <w:r w:rsidR="00975895" w:rsidRPr="003015FD">
        <w:t xml:space="preserve"> </w:t>
      </w:r>
      <w:r w:rsidRPr="003015FD">
        <w:t>place</w:t>
      </w:r>
      <w:r w:rsidR="00975895" w:rsidRPr="003015FD">
        <w:t xml:space="preserve"> </w:t>
      </w:r>
      <w:r w:rsidRPr="003015FD">
        <w:t>without</w:t>
      </w:r>
      <w:r w:rsidR="00975895" w:rsidRPr="003015FD">
        <w:t xml:space="preserve"> </w:t>
      </w:r>
      <w:r w:rsidRPr="003015FD">
        <w:t>notice</w:t>
      </w:r>
      <w:r w:rsidR="00975895" w:rsidRPr="003015FD">
        <w:t xml:space="preserve"> </w:t>
      </w:r>
      <w:r w:rsidRPr="003015FD">
        <w:t>to,</w:t>
      </w:r>
      <w:r w:rsidR="00975895" w:rsidRPr="003015FD">
        <w:t xml:space="preserve"> </w:t>
      </w:r>
      <w:r w:rsidRPr="003015FD">
        <w:t>or</w:t>
      </w:r>
      <w:r w:rsidR="00975895" w:rsidRPr="003015FD">
        <w:t xml:space="preserve"> </w:t>
      </w:r>
      <w:r w:rsidRPr="003015FD">
        <w:t>direct</w:t>
      </w:r>
      <w:r w:rsidR="00975895" w:rsidRPr="003015FD">
        <w:t xml:space="preserve"> </w:t>
      </w:r>
      <w:r w:rsidRPr="003015FD">
        <w:t>participation,</w:t>
      </w:r>
      <w:r w:rsidR="00975895" w:rsidRPr="003015FD">
        <w:t xml:space="preserve"> </w:t>
      </w:r>
      <w:r w:rsidRPr="003015FD">
        <w:t>by</w:t>
      </w:r>
      <w:r w:rsidR="00975895" w:rsidRPr="003015FD">
        <w:t xml:space="preserve"> </w:t>
      </w:r>
      <w:r w:rsidRPr="003015FD">
        <w:t>them.</w:t>
      </w:r>
      <w:r w:rsidR="00975895" w:rsidRPr="003015FD">
        <w:t xml:space="preserve"> </w:t>
      </w:r>
      <w:r w:rsidRPr="003015FD">
        <w:t>This</w:t>
      </w:r>
      <w:r w:rsidR="00975895" w:rsidRPr="003015FD">
        <w:t xml:space="preserve"> </w:t>
      </w:r>
      <w:r w:rsidRPr="003015FD">
        <w:t>was</w:t>
      </w:r>
      <w:r w:rsidR="00975895" w:rsidRPr="003015FD">
        <w:t xml:space="preserve"> </w:t>
      </w:r>
      <w:r w:rsidRPr="003015FD">
        <w:t>a</w:t>
      </w:r>
      <w:r w:rsidR="00975895" w:rsidRPr="003015FD">
        <w:t xml:space="preserve"> </w:t>
      </w:r>
      <w:r w:rsidRPr="003015FD">
        <w:t>significant</w:t>
      </w:r>
      <w:r w:rsidR="00975895" w:rsidRPr="003015FD">
        <w:t xml:space="preserve"> </w:t>
      </w:r>
      <w:r w:rsidRPr="003015FD">
        <w:t>departure</w:t>
      </w:r>
      <w:r w:rsidR="00975895" w:rsidRPr="003015FD">
        <w:t xml:space="preserve"> </w:t>
      </w:r>
      <w:r w:rsidRPr="003015FD">
        <w:t>from</w:t>
      </w:r>
      <w:r w:rsidR="00975895" w:rsidRPr="003015FD">
        <w:t xml:space="preserve"> </w:t>
      </w:r>
      <w:r w:rsidRPr="003015FD">
        <w:t>ordinary</w:t>
      </w:r>
      <w:r w:rsidR="00975895" w:rsidRPr="003015FD">
        <w:t xml:space="preserve"> </w:t>
      </w:r>
      <w:r w:rsidRPr="003015FD">
        <w:t>court</w:t>
      </w:r>
      <w:r w:rsidR="00975895" w:rsidRPr="003015FD">
        <w:t xml:space="preserve"> </w:t>
      </w:r>
      <w:r w:rsidRPr="003015FD">
        <w:t>processes,</w:t>
      </w:r>
      <w:r w:rsidR="00975895" w:rsidRPr="003015FD">
        <w:t xml:space="preserve"> </w:t>
      </w:r>
      <w:r w:rsidRPr="003015FD">
        <w:t>so</w:t>
      </w:r>
      <w:r w:rsidR="00975895" w:rsidRPr="003015FD">
        <w:t xml:space="preserve"> </w:t>
      </w:r>
      <w:r w:rsidRPr="003015FD">
        <w:t>raising</w:t>
      </w:r>
      <w:r w:rsidR="00975895" w:rsidRPr="003015FD">
        <w:t xml:space="preserve"> </w:t>
      </w:r>
      <w:r w:rsidRPr="003015FD">
        <w:t>the</w:t>
      </w:r>
      <w:r w:rsidR="00975895" w:rsidRPr="003015FD">
        <w:t xml:space="preserve"> </w:t>
      </w:r>
      <w:r w:rsidRPr="003015FD">
        <w:t>possibility</w:t>
      </w:r>
      <w:r w:rsidR="00975895" w:rsidRPr="003015FD">
        <w:t xml:space="preserve"> </w:t>
      </w:r>
      <w:r w:rsidRPr="003015FD">
        <w:t>that</w:t>
      </w:r>
      <w:r w:rsidR="00975895" w:rsidRPr="003015FD">
        <w:t xml:space="preserve"> </w:t>
      </w:r>
      <w:r w:rsidRPr="003015FD">
        <w:t>the</w:t>
      </w:r>
      <w:r w:rsidR="00975895" w:rsidRPr="003015FD">
        <w:t xml:space="preserve"> </w:t>
      </w:r>
      <w:r w:rsidRPr="003015FD">
        <w:t>hearing</w:t>
      </w:r>
      <w:r w:rsidR="00975895" w:rsidRPr="003015FD">
        <w:t xml:space="preserve"> </w:t>
      </w:r>
      <w:r w:rsidRPr="003015FD">
        <w:t>was</w:t>
      </w:r>
      <w:r w:rsidR="00975895" w:rsidRPr="003015FD">
        <w:t xml:space="preserve"> </w:t>
      </w:r>
      <w:r w:rsidRPr="003015FD">
        <w:t>not</w:t>
      </w:r>
      <w:r w:rsidR="00975895" w:rsidRPr="003015FD">
        <w:t xml:space="preserve"> </w:t>
      </w:r>
      <w:r w:rsidRPr="003015FD">
        <w:t>fair</w:t>
      </w:r>
      <w:r w:rsidR="00975895" w:rsidRPr="003015FD">
        <w:t xml:space="preserve"> </w:t>
      </w:r>
      <w:r w:rsidRPr="003015FD">
        <w:t>under</w:t>
      </w:r>
      <w:r w:rsidR="00975895" w:rsidRPr="003015FD">
        <w:t xml:space="preserve"> </w:t>
      </w:r>
      <w:hyperlink r:id="rId45" w:history="1">
        <w:r w:rsidRPr="003015FD">
          <w:t>section</w:t>
        </w:r>
        <w:r w:rsidR="00975895" w:rsidRPr="003015FD">
          <w:t xml:space="preserve"> </w:t>
        </w:r>
        <w:r w:rsidRPr="003015FD">
          <w:t>24(1).</w:t>
        </w:r>
        <w:r w:rsidRPr="003015FD">
          <w:rPr>
            <w:rStyle w:val="FootnoteReference"/>
          </w:rPr>
          <w:footnoteReference w:id="82"/>
        </w:r>
        <w:r w:rsidR="00975895" w:rsidRPr="003015FD">
          <w:t xml:space="preserve"> </w:t>
        </w:r>
      </w:hyperlink>
      <w:r w:rsidRPr="003015FD">
        <w:t>However,</w:t>
      </w:r>
      <w:r w:rsidR="00975895" w:rsidRPr="003015FD">
        <w:t xml:space="preserve"> </w:t>
      </w:r>
      <w:r w:rsidRPr="0002642E">
        <w:rPr>
          <w:rStyle w:val="Characterbold"/>
          <w:b w:val="0"/>
          <w:lang w:val="en-GB"/>
        </w:rPr>
        <w:t>the</w:t>
      </w:r>
      <w:r w:rsidR="00975895" w:rsidRPr="0002642E">
        <w:rPr>
          <w:rStyle w:val="Characterbold"/>
          <w:b w:val="0"/>
          <w:lang w:val="en-GB"/>
        </w:rPr>
        <w:t xml:space="preserve"> </w:t>
      </w:r>
      <w:r w:rsidR="007B5703" w:rsidRPr="0002642E">
        <w:rPr>
          <w:rStyle w:val="Characterbold"/>
          <w:b w:val="0"/>
          <w:lang w:val="en-GB"/>
        </w:rPr>
        <w:t>c</w:t>
      </w:r>
      <w:r w:rsidRPr="0002642E">
        <w:rPr>
          <w:rStyle w:val="Characterbold"/>
          <w:b w:val="0"/>
          <w:lang w:val="en-GB"/>
        </w:rPr>
        <w:t>ourt</w:t>
      </w:r>
      <w:r w:rsidR="00975895" w:rsidRPr="0002642E">
        <w:rPr>
          <w:rStyle w:val="Characterbold"/>
          <w:b w:val="0"/>
          <w:lang w:val="en-GB"/>
        </w:rPr>
        <w:t xml:space="preserve"> </w:t>
      </w:r>
      <w:r w:rsidRPr="0002642E">
        <w:rPr>
          <w:rStyle w:val="Characterbold"/>
          <w:b w:val="0"/>
          <w:lang w:val="en-GB"/>
        </w:rPr>
        <w:t>was</w:t>
      </w:r>
      <w:r w:rsidR="00975895" w:rsidRPr="0002642E">
        <w:rPr>
          <w:rStyle w:val="Characterbold"/>
          <w:b w:val="0"/>
          <w:lang w:val="en-GB"/>
        </w:rPr>
        <w:t xml:space="preserve"> </w:t>
      </w:r>
      <w:r w:rsidRPr="0002642E">
        <w:rPr>
          <w:rStyle w:val="Characterbold"/>
          <w:b w:val="0"/>
          <w:lang w:val="en-GB"/>
        </w:rPr>
        <w:t>satisfied</w:t>
      </w:r>
      <w:r w:rsidR="00975895" w:rsidRPr="0002642E">
        <w:rPr>
          <w:rStyle w:val="Characterbold"/>
          <w:b w:val="0"/>
          <w:lang w:val="en-GB"/>
        </w:rPr>
        <w:t xml:space="preserve"> </w:t>
      </w:r>
      <w:r w:rsidRPr="0002642E">
        <w:rPr>
          <w:rStyle w:val="Characterbold"/>
          <w:b w:val="0"/>
          <w:lang w:val="en-GB"/>
        </w:rPr>
        <w:t>that</w:t>
      </w:r>
      <w:r w:rsidR="00975895" w:rsidRPr="0002642E">
        <w:rPr>
          <w:rStyle w:val="Characterbold"/>
          <w:b w:val="0"/>
          <w:lang w:val="en-GB"/>
        </w:rPr>
        <w:t xml:space="preserve"> </w:t>
      </w:r>
      <w:r w:rsidRPr="0002642E">
        <w:rPr>
          <w:rStyle w:val="Characterbold"/>
          <w:b w:val="0"/>
          <w:lang w:val="en-GB"/>
        </w:rPr>
        <w:t>a</w:t>
      </w:r>
      <w:r w:rsidR="00975895" w:rsidRPr="0002642E">
        <w:rPr>
          <w:rStyle w:val="Characterbold"/>
          <w:b w:val="0"/>
          <w:lang w:val="en-GB"/>
        </w:rPr>
        <w:t xml:space="preserve"> </w:t>
      </w:r>
      <w:r w:rsidRPr="0002642E">
        <w:rPr>
          <w:rStyle w:val="Characterbold"/>
          <w:b w:val="0"/>
          <w:lang w:val="en-GB"/>
        </w:rPr>
        <w:t>fair</w:t>
      </w:r>
      <w:r w:rsidR="00975895" w:rsidRPr="0002642E">
        <w:rPr>
          <w:rStyle w:val="Characterbold"/>
          <w:b w:val="0"/>
          <w:lang w:val="en-GB"/>
        </w:rPr>
        <w:t xml:space="preserve"> </w:t>
      </w:r>
      <w:r w:rsidRPr="0002642E">
        <w:rPr>
          <w:rStyle w:val="Characterbold"/>
          <w:b w:val="0"/>
          <w:lang w:val="en-GB"/>
        </w:rPr>
        <w:t>hearing</w:t>
      </w:r>
      <w:r w:rsidR="00975895" w:rsidRPr="0002642E">
        <w:rPr>
          <w:rStyle w:val="Characterbold"/>
          <w:b w:val="0"/>
          <w:lang w:val="en-GB"/>
        </w:rPr>
        <w:t xml:space="preserve"> </w:t>
      </w:r>
      <w:r w:rsidRPr="0002642E">
        <w:rPr>
          <w:rStyle w:val="Characterbold"/>
          <w:b w:val="0"/>
          <w:lang w:val="en-GB"/>
        </w:rPr>
        <w:t>could</w:t>
      </w:r>
      <w:r w:rsidR="00975895" w:rsidRPr="0002642E">
        <w:rPr>
          <w:rStyle w:val="Characterbold"/>
          <w:b w:val="0"/>
          <w:lang w:val="en-GB"/>
        </w:rPr>
        <w:t xml:space="preserve"> </w:t>
      </w:r>
      <w:r w:rsidRPr="0002642E">
        <w:rPr>
          <w:rStyle w:val="Characterbold"/>
          <w:b w:val="0"/>
          <w:lang w:val="en-GB"/>
        </w:rPr>
        <w:t>take</w:t>
      </w:r>
      <w:r w:rsidR="00975895" w:rsidRPr="0002642E">
        <w:rPr>
          <w:rStyle w:val="Characterbold"/>
          <w:b w:val="0"/>
          <w:lang w:val="en-GB"/>
        </w:rPr>
        <w:t xml:space="preserve"> </w:t>
      </w:r>
      <w:r w:rsidRPr="0002642E">
        <w:rPr>
          <w:rStyle w:val="Characterbold"/>
          <w:b w:val="0"/>
          <w:lang w:val="en-GB"/>
        </w:rPr>
        <w:t>place</w:t>
      </w:r>
      <w:r w:rsidR="00975895" w:rsidRPr="0002642E">
        <w:rPr>
          <w:rStyle w:val="Characterbold"/>
          <w:b w:val="0"/>
          <w:lang w:val="en-GB"/>
        </w:rPr>
        <w:t xml:space="preserve"> </w:t>
      </w:r>
      <w:r w:rsidRPr="0002642E">
        <w:rPr>
          <w:rStyle w:val="Characterbold"/>
          <w:b w:val="0"/>
          <w:lang w:val="en-GB"/>
        </w:rPr>
        <w:t>without</w:t>
      </w:r>
      <w:r w:rsidR="00975895" w:rsidRPr="0002642E">
        <w:rPr>
          <w:rStyle w:val="Characterbold"/>
          <w:b w:val="0"/>
          <w:lang w:val="en-GB"/>
        </w:rPr>
        <w:t xml:space="preserve"> </w:t>
      </w:r>
      <w:r w:rsidRPr="0002642E">
        <w:rPr>
          <w:rStyle w:val="Characterbold"/>
          <w:b w:val="0"/>
          <w:lang w:val="en-GB"/>
        </w:rPr>
        <w:t>notice</w:t>
      </w:r>
      <w:r w:rsidR="00975895" w:rsidRPr="0002642E">
        <w:rPr>
          <w:rStyle w:val="Characterbold"/>
          <w:b w:val="0"/>
          <w:lang w:val="en-GB"/>
        </w:rPr>
        <w:t xml:space="preserve"> </w:t>
      </w:r>
      <w:r w:rsidRPr="0002642E">
        <w:rPr>
          <w:rStyle w:val="Characterbold"/>
          <w:b w:val="0"/>
          <w:lang w:val="en-GB"/>
        </w:rPr>
        <w:t>to</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convicted</w:t>
      </w:r>
      <w:r w:rsidR="00975895" w:rsidRPr="0002642E">
        <w:rPr>
          <w:rStyle w:val="Characterbold"/>
          <w:b w:val="0"/>
          <w:lang w:val="en-GB"/>
        </w:rPr>
        <w:t xml:space="preserve"> </w:t>
      </w:r>
      <w:r w:rsidRPr="0002642E">
        <w:rPr>
          <w:rStyle w:val="Characterbold"/>
          <w:b w:val="0"/>
          <w:lang w:val="en-GB"/>
        </w:rPr>
        <w:t>persons.</w:t>
      </w:r>
      <w:r w:rsidR="00975895" w:rsidRPr="003015FD">
        <w:t xml:space="preserve"> </w:t>
      </w:r>
      <w:r w:rsidRPr="003015FD">
        <w:t>Importantly,</w:t>
      </w:r>
      <w:r w:rsidR="00975895" w:rsidRPr="003015FD">
        <w:t xml:space="preserve"> </w:t>
      </w:r>
      <w:r w:rsidRPr="003015FD">
        <w:t>the</w:t>
      </w:r>
      <w:r w:rsidR="00975895" w:rsidRPr="003015FD">
        <w:t xml:space="preserve"> </w:t>
      </w:r>
      <w:r w:rsidR="007B5703">
        <w:t>c</w:t>
      </w:r>
      <w:r w:rsidRPr="003015FD">
        <w:t>ourt</w:t>
      </w:r>
      <w:r w:rsidR="00975895" w:rsidRPr="003015FD">
        <w:t xml:space="preserve"> </w:t>
      </w:r>
      <w:r w:rsidRPr="003015FD">
        <w:t>appointed</w:t>
      </w:r>
      <w:r w:rsidR="00975895" w:rsidRPr="003015FD">
        <w:t xml:space="preserve"> </w:t>
      </w:r>
      <w:r w:rsidRPr="003015FD">
        <w:t>lawyers</w:t>
      </w:r>
      <w:r w:rsidR="00975895" w:rsidRPr="003015FD">
        <w:t xml:space="preserve"> </w:t>
      </w:r>
      <w:r w:rsidRPr="003015FD">
        <w:t>as</w:t>
      </w:r>
      <w:r w:rsidR="00975895" w:rsidRPr="003015FD">
        <w:t xml:space="preserve"> </w:t>
      </w:r>
      <w:r w:rsidR="000C5726">
        <w:t>'</w:t>
      </w:r>
      <w:r w:rsidRPr="003015FD">
        <w:t>friends</w:t>
      </w:r>
      <w:r w:rsidR="00975895" w:rsidRPr="003015FD">
        <w:t xml:space="preserve"> </w:t>
      </w:r>
      <w:r w:rsidRPr="003015FD">
        <w:t>of</w:t>
      </w:r>
      <w:r w:rsidR="00975895" w:rsidRPr="003015FD">
        <w:t xml:space="preserve"> </w:t>
      </w:r>
      <w:r w:rsidRPr="003015FD">
        <w:t>the</w:t>
      </w:r>
      <w:r w:rsidR="00975895" w:rsidRPr="003015FD">
        <w:t xml:space="preserve"> </w:t>
      </w:r>
      <w:r w:rsidRPr="003015FD">
        <w:t>court</w:t>
      </w:r>
      <w:r w:rsidR="000C5726">
        <w:t>'</w:t>
      </w:r>
      <w:r w:rsidR="00975895" w:rsidRPr="003015FD">
        <w:t xml:space="preserve"> </w:t>
      </w:r>
      <w:r w:rsidRPr="003015FD">
        <w:t>to</w:t>
      </w:r>
      <w:r w:rsidR="00975895" w:rsidRPr="003015FD">
        <w:t xml:space="preserve"> </w:t>
      </w:r>
      <w:r w:rsidRPr="003015FD">
        <w:t>represent</w:t>
      </w:r>
      <w:r w:rsidR="00975895" w:rsidRPr="003015FD">
        <w:t xml:space="preserve"> </w:t>
      </w:r>
      <w:r w:rsidRPr="003015FD">
        <w:t>the</w:t>
      </w:r>
      <w:r w:rsidR="00975895" w:rsidRPr="003015FD">
        <w:t xml:space="preserve"> </w:t>
      </w:r>
      <w:r w:rsidRPr="003015FD">
        <w:t>interests</w:t>
      </w:r>
      <w:r w:rsidR="00975895" w:rsidRPr="003015FD">
        <w:t xml:space="preserve"> </w:t>
      </w:r>
      <w:r w:rsidRPr="003015FD">
        <w:t>of</w:t>
      </w:r>
      <w:r w:rsidR="00975895" w:rsidRPr="003015FD">
        <w:t xml:space="preserve"> </w:t>
      </w:r>
      <w:r w:rsidRPr="003015FD">
        <w:t>the</w:t>
      </w:r>
      <w:r w:rsidR="00975895" w:rsidRPr="003015FD">
        <w:t xml:space="preserve"> </w:t>
      </w:r>
      <w:r w:rsidRPr="003015FD">
        <w:t>convicted</w:t>
      </w:r>
      <w:r w:rsidR="00975895" w:rsidRPr="003015FD">
        <w:t xml:space="preserve"> </w:t>
      </w:r>
      <w:r w:rsidRPr="003015FD">
        <w:t>persons.</w:t>
      </w:r>
    </w:p>
    <w:p w14:paraId="2C8DBD06" w14:textId="713C05EC" w:rsidR="008C2C1C" w:rsidRPr="003015FD" w:rsidRDefault="008E0945" w:rsidP="005B74F5">
      <w:r w:rsidRPr="003015FD">
        <w:t>On</w:t>
      </w:r>
      <w:r w:rsidR="00975895" w:rsidRPr="003015FD">
        <w:t xml:space="preserve"> </w:t>
      </w:r>
      <w:r w:rsidRPr="003015FD">
        <w:t>19</w:t>
      </w:r>
      <w:r w:rsidR="00975895" w:rsidRPr="003015FD">
        <w:t xml:space="preserve"> </w:t>
      </w:r>
      <w:r w:rsidRPr="003015FD">
        <w:t>June</w:t>
      </w:r>
      <w:r w:rsidR="00975895" w:rsidRPr="003015FD">
        <w:t xml:space="preserve"> </w:t>
      </w:r>
      <w:r w:rsidRPr="003015FD">
        <w:t>2017,</w:t>
      </w:r>
      <w:r w:rsidR="00975895" w:rsidRPr="003015FD">
        <w:t xml:space="preserve"> </w:t>
      </w:r>
      <w:r w:rsidRPr="003015FD">
        <w:t>the</w:t>
      </w:r>
      <w:r w:rsidR="00975895" w:rsidRPr="003015FD">
        <w:t xml:space="preserve"> </w:t>
      </w:r>
      <w:r w:rsidRPr="003015FD">
        <w:t>Supreme</w:t>
      </w:r>
      <w:r w:rsidR="00975895" w:rsidRPr="003015FD">
        <w:t xml:space="preserve"> </w:t>
      </w:r>
      <w:r w:rsidRPr="003015FD">
        <w:t>Court</w:t>
      </w:r>
      <w:r w:rsidR="00975895" w:rsidRPr="003015FD">
        <w:t xml:space="preserve"> </w:t>
      </w:r>
      <w:r w:rsidRPr="003015FD">
        <w:t>dismissed</w:t>
      </w:r>
      <w:r w:rsidR="00975895" w:rsidRPr="003015FD">
        <w:t xml:space="preserve"> </w:t>
      </w:r>
      <w:r w:rsidRPr="003015FD">
        <w:t>Victoria</w:t>
      </w:r>
      <w:r w:rsidR="00975895" w:rsidRPr="003015FD">
        <w:t xml:space="preserve"> </w:t>
      </w:r>
      <w:r w:rsidRPr="003015FD">
        <w:t>Police</w:t>
      </w:r>
      <w:r w:rsidR="00975895" w:rsidRPr="003015FD">
        <w:t xml:space="preserve"> </w:t>
      </w:r>
      <w:r w:rsidRPr="003015FD">
        <w:t>and</w:t>
      </w:r>
      <w:r w:rsidR="00975895" w:rsidRPr="003015FD">
        <w:t xml:space="preserve"> </w:t>
      </w:r>
      <w:r w:rsidRPr="003015FD">
        <w:t>EF</w:t>
      </w:r>
      <w:r w:rsidR="000C5726">
        <w:t>'</w:t>
      </w:r>
      <w:r w:rsidRPr="003015FD">
        <w:t>s</w:t>
      </w:r>
      <w:r w:rsidR="00975895" w:rsidRPr="003015FD">
        <w:t xml:space="preserve"> </w:t>
      </w:r>
      <w:r w:rsidRPr="003015FD">
        <w:t>public</w:t>
      </w:r>
      <w:r w:rsidR="00975895" w:rsidRPr="003015FD">
        <w:t xml:space="preserve"> </w:t>
      </w:r>
      <w:r w:rsidRPr="003015FD">
        <w:t>interest</w:t>
      </w:r>
      <w:r w:rsidR="00975895" w:rsidRPr="003015FD">
        <w:t xml:space="preserve"> </w:t>
      </w:r>
      <w:r w:rsidRPr="003015FD">
        <w:t>immunity</w:t>
      </w:r>
      <w:r w:rsidR="00975895" w:rsidRPr="003015FD">
        <w:t xml:space="preserve"> </w:t>
      </w:r>
      <w:r w:rsidRPr="003015FD">
        <w:t>claims</w:t>
      </w:r>
      <w:r w:rsidR="00975895" w:rsidRPr="003015FD">
        <w:t xml:space="preserve"> </w:t>
      </w:r>
      <w:r w:rsidRPr="003015FD">
        <w:t>on</w:t>
      </w:r>
      <w:r w:rsidR="00975895" w:rsidRPr="003015FD">
        <w:t xml:space="preserve"> </w:t>
      </w:r>
      <w:r w:rsidRPr="003015FD">
        <w:t>the</w:t>
      </w:r>
      <w:r w:rsidR="00975895" w:rsidRPr="003015FD">
        <w:t xml:space="preserve"> </w:t>
      </w:r>
      <w:r w:rsidRPr="003015FD">
        <w:t>basis</w:t>
      </w:r>
      <w:r w:rsidR="00975895" w:rsidRPr="003015FD">
        <w:t xml:space="preserve"> </w:t>
      </w:r>
      <w:r w:rsidRPr="003015FD">
        <w:t>that,</w:t>
      </w:r>
      <w:r w:rsidR="00975895" w:rsidRPr="003015FD">
        <w:t xml:space="preserve"> </w:t>
      </w:r>
      <w:r w:rsidRPr="003015FD">
        <w:t>although</w:t>
      </w:r>
      <w:r w:rsidR="00975895" w:rsidRPr="003015FD">
        <w:t xml:space="preserve"> </w:t>
      </w:r>
      <w:r w:rsidRPr="003015FD">
        <w:t>there</w:t>
      </w:r>
      <w:r w:rsidR="00975895" w:rsidRPr="003015FD">
        <w:t xml:space="preserve"> </w:t>
      </w:r>
      <w:r w:rsidRPr="003015FD">
        <w:t>was</w:t>
      </w:r>
      <w:r w:rsidR="00975895" w:rsidRPr="003015FD">
        <w:t xml:space="preserve"> </w:t>
      </w:r>
      <w:r w:rsidRPr="003015FD">
        <w:t>a</w:t>
      </w:r>
      <w:r w:rsidR="00975895" w:rsidRPr="003015FD">
        <w:t xml:space="preserve"> </w:t>
      </w:r>
      <w:r w:rsidRPr="003015FD">
        <w:t>clear</w:t>
      </w:r>
      <w:r w:rsidR="00975895" w:rsidRPr="003015FD">
        <w:t xml:space="preserve"> </w:t>
      </w:r>
      <w:r w:rsidRPr="003015FD">
        <w:t>public</w:t>
      </w:r>
      <w:r w:rsidR="00975895" w:rsidRPr="003015FD">
        <w:t xml:space="preserve"> </w:t>
      </w:r>
      <w:r w:rsidRPr="003015FD">
        <w:t>interest</w:t>
      </w:r>
      <w:r w:rsidR="00975895" w:rsidRPr="003015FD">
        <w:t xml:space="preserve"> </w:t>
      </w:r>
      <w:r w:rsidRPr="003015FD">
        <w:t>in</w:t>
      </w:r>
      <w:r w:rsidR="00975895" w:rsidRPr="003015FD">
        <w:t xml:space="preserve"> </w:t>
      </w:r>
      <w:r w:rsidRPr="003015FD">
        <w:t>preserving</w:t>
      </w:r>
      <w:r w:rsidR="00975895" w:rsidRPr="003015FD">
        <w:t xml:space="preserve"> </w:t>
      </w:r>
      <w:r w:rsidRPr="003015FD">
        <w:t>EF</w:t>
      </w:r>
      <w:r w:rsidR="000C5726">
        <w:t>'</w:t>
      </w:r>
      <w:r w:rsidRPr="003015FD">
        <w:t>s</w:t>
      </w:r>
      <w:r w:rsidR="00975895" w:rsidRPr="003015FD">
        <w:t xml:space="preserve"> </w:t>
      </w:r>
      <w:r w:rsidRPr="003015FD">
        <w:t>anonymity</w:t>
      </w:r>
      <w:r w:rsidR="00975895" w:rsidRPr="003015FD">
        <w:t xml:space="preserve"> </w:t>
      </w:r>
      <w:r w:rsidRPr="003015FD">
        <w:t>as</w:t>
      </w:r>
      <w:r w:rsidR="00975895" w:rsidRPr="003015FD">
        <w:t xml:space="preserve"> </w:t>
      </w:r>
      <w:r w:rsidRPr="003015FD">
        <w:t>a</w:t>
      </w:r>
      <w:r w:rsidR="00975895" w:rsidRPr="003015FD">
        <w:t xml:space="preserve"> </w:t>
      </w:r>
      <w:r w:rsidRPr="003015FD">
        <w:t>police</w:t>
      </w:r>
      <w:r w:rsidR="00975895" w:rsidRPr="003015FD">
        <w:t xml:space="preserve"> </w:t>
      </w:r>
      <w:r w:rsidRPr="003015FD">
        <w:t>informer,</w:t>
      </w:r>
      <w:r w:rsidR="00975895" w:rsidRPr="003015FD">
        <w:t xml:space="preserve"> </w:t>
      </w:r>
      <w:r w:rsidRPr="003015FD">
        <w:t>and</w:t>
      </w:r>
      <w:r w:rsidR="00975895" w:rsidRPr="003015FD">
        <w:t xml:space="preserve"> </w:t>
      </w:r>
      <w:r w:rsidRPr="003015FD">
        <w:t>thus</w:t>
      </w:r>
      <w:r w:rsidR="00975895" w:rsidRPr="003015FD">
        <w:t xml:space="preserve"> </w:t>
      </w:r>
      <w:r w:rsidRPr="003015FD">
        <w:t>keeping</w:t>
      </w:r>
      <w:r w:rsidR="00975895" w:rsidRPr="003015FD">
        <w:t xml:space="preserve"> </w:t>
      </w:r>
      <w:r w:rsidRPr="003015FD">
        <w:t>her</w:t>
      </w:r>
      <w:r w:rsidR="00975895" w:rsidRPr="003015FD">
        <w:t xml:space="preserve"> </w:t>
      </w:r>
      <w:r w:rsidRPr="003015FD">
        <w:t>and</w:t>
      </w:r>
      <w:r w:rsidR="00975895" w:rsidRPr="003015FD">
        <w:t xml:space="preserve"> </w:t>
      </w:r>
      <w:r w:rsidRPr="003015FD">
        <w:t>her</w:t>
      </w:r>
      <w:r w:rsidR="00975895" w:rsidRPr="003015FD">
        <w:t xml:space="preserve"> </w:t>
      </w:r>
      <w:r w:rsidRPr="003015FD">
        <w:t>children</w:t>
      </w:r>
      <w:r w:rsidR="00975895" w:rsidRPr="003015FD">
        <w:t xml:space="preserve"> </w:t>
      </w:r>
      <w:r w:rsidRPr="003015FD">
        <w:t>safe</w:t>
      </w:r>
      <w:r w:rsidR="00975895" w:rsidRPr="003015FD">
        <w:t xml:space="preserve"> </w:t>
      </w:r>
      <w:r w:rsidRPr="003015FD">
        <w:t>from</w:t>
      </w:r>
      <w:r w:rsidR="00975895" w:rsidRPr="003015FD">
        <w:t xml:space="preserve"> </w:t>
      </w:r>
      <w:r w:rsidRPr="003015FD">
        <w:t>harm,</w:t>
      </w:r>
      <w:r w:rsidR="00975895" w:rsidRPr="003015FD">
        <w:t xml:space="preserve"> </w:t>
      </w:r>
      <w:r w:rsidRPr="003015FD">
        <w:t>there</w:t>
      </w:r>
      <w:r w:rsidR="00975895" w:rsidRPr="003015FD">
        <w:t xml:space="preserve"> </w:t>
      </w:r>
      <w:r w:rsidRPr="003015FD">
        <w:t>was</w:t>
      </w:r>
      <w:r w:rsidR="00975895" w:rsidRPr="003015FD">
        <w:t xml:space="preserve"> </w:t>
      </w:r>
      <w:r w:rsidRPr="003015FD">
        <w:t>a</w:t>
      </w:r>
      <w:r w:rsidR="00975895" w:rsidRPr="003015FD">
        <w:t xml:space="preserve"> </w:t>
      </w:r>
      <w:r w:rsidRPr="003015FD">
        <w:t>competing</w:t>
      </w:r>
      <w:r w:rsidR="00975895" w:rsidRPr="003015FD">
        <w:t xml:space="preserve"> </w:t>
      </w:r>
      <w:r w:rsidRPr="003015FD">
        <w:t>and</w:t>
      </w:r>
      <w:r w:rsidR="00975895" w:rsidRPr="003015FD">
        <w:t xml:space="preserve"> </w:t>
      </w:r>
      <w:r w:rsidRPr="003015FD">
        <w:t>more</w:t>
      </w:r>
      <w:r w:rsidR="00975895" w:rsidRPr="003015FD">
        <w:t xml:space="preserve"> </w:t>
      </w:r>
      <w:r w:rsidRPr="003015FD">
        <w:t>powerful</w:t>
      </w:r>
      <w:r w:rsidR="00975895" w:rsidRPr="003015FD">
        <w:t xml:space="preserve"> </w:t>
      </w:r>
      <w:r w:rsidRPr="003015FD">
        <w:t>public</w:t>
      </w:r>
      <w:r w:rsidR="00975895" w:rsidRPr="003015FD">
        <w:t xml:space="preserve"> </w:t>
      </w:r>
      <w:r w:rsidRPr="003015FD">
        <w:t>interest</w:t>
      </w:r>
      <w:r w:rsidR="00975895" w:rsidRPr="003015FD">
        <w:t xml:space="preserve"> </w:t>
      </w:r>
      <w:r w:rsidRPr="003015FD">
        <w:t>in</w:t>
      </w:r>
      <w:r w:rsidR="00975895" w:rsidRPr="003015FD">
        <w:t xml:space="preserve"> </w:t>
      </w:r>
      <w:r w:rsidRPr="003015FD">
        <w:t>favour</w:t>
      </w:r>
      <w:r w:rsidR="00975895" w:rsidRPr="003015FD">
        <w:t xml:space="preserve"> </w:t>
      </w:r>
      <w:r w:rsidRPr="003015FD">
        <w:t>of</w:t>
      </w:r>
      <w:r w:rsidR="00975895" w:rsidRPr="003015FD">
        <w:t xml:space="preserve"> </w:t>
      </w:r>
      <w:r w:rsidRPr="003015FD">
        <w:t>disclosure.</w:t>
      </w:r>
      <w:r w:rsidR="00975895" w:rsidRPr="003015FD">
        <w:t xml:space="preserve"> </w:t>
      </w:r>
      <w:r w:rsidRPr="003015FD">
        <w:t>In</w:t>
      </w:r>
      <w:r w:rsidR="00975895" w:rsidRPr="003015FD">
        <w:t xml:space="preserve"> </w:t>
      </w:r>
      <w:r w:rsidRPr="003015FD">
        <w:t>addition,</w:t>
      </w:r>
      <w:r w:rsidR="00975895" w:rsidRPr="003015FD">
        <w:t xml:space="preserve"> </w:t>
      </w:r>
      <w:r w:rsidRPr="003015FD">
        <w:t>the</w:t>
      </w:r>
      <w:r w:rsidR="00975895" w:rsidRPr="003015FD">
        <w:t xml:space="preserve"> </w:t>
      </w:r>
      <w:r w:rsidRPr="003015FD">
        <w:t>court</w:t>
      </w:r>
      <w:r w:rsidR="00975895" w:rsidRPr="003015FD">
        <w:t xml:space="preserve"> </w:t>
      </w:r>
      <w:r w:rsidRPr="003015FD">
        <w:t>stated</w:t>
      </w:r>
      <w:r w:rsidR="00975895" w:rsidRPr="003015FD">
        <w:t xml:space="preserve"> </w:t>
      </w:r>
      <w:r w:rsidRPr="003015FD">
        <w:t>that</w:t>
      </w:r>
      <w:r w:rsidR="00975895" w:rsidRPr="003015FD">
        <w:t xml:space="preserve"> </w:t>
      </w:r>
      <w:r w:rsidRPr="003015FD">
        <w:t>disclosure</w:t>
      </w:r>
      <w:r w:rsidR="00975895" w:rsidRPr="003015FD">
        <w:t xml:space="preserve"> </w:t>
      </w:r>
      <w:r w:rsidRPr="003015FD">
        <w:t>was</w:t>
      </w:r>
      <w:r w:rsidR="00975895" w:rsidRPr="003015FD">
        <w:t xml:space="preserve"> </w:t>
      </w:r>
      <w:r w:rsidRPr="003015FD">
        <w:t>in</w:t>
      </w:r>
      <w:r w:rsidR="00975895" w:rsidRPr="003015FD">
        <w:t xml:space="preserve"> </w:t>
      </w:r>
      <w:r w:rsidRPr="003015FD">
        <w:t>the</w:t>
      </w:r>
      <w:r w:rsidR="00975895" w:rsidRPr="003015FD">
        <w:t xml:space="preserve"> </w:t>
      </w:r>
      <w:r w:rsidRPr="003015FD">
        <w:t>public</w:t>
      </w:r>
      <w:r w:rsidR="00975895" w:rsidRPr="003015FD">
        <w:t xml:space="preserve"> </w:t>
      </w:r>
      <w:r w:rsidRPr="003015FD">
        <w:t>interest</w:t>
      </w:r>
      <w:r w:rsidR="00975895" w:rsidRPr="003015FD">
        <w:t xml:space="preserve"> </w:t>
      </w:r>
      <w:r w:rsidRPr="003015FD">
        <w:t>to</w:t>
      </w:r>
      <w:r w:rsidR="00975895" w:rsidRPr="003015FD">
        <w:t xml:space="preserve"> </w:t>
      </w:r>
      <w:r w:rsidRPr="003015FD">
        <w:t>maintain</w:t>
      </w:r>
      <w:r w:rsidR="00975895" w:rsidRPr="003015FD">
        <w:t xml:space="preserve"> </w:t>
      </w:r>
      <w:r w:rsidRPr="003015FD">
        <w:t>public</w:t>
      </w:r>
      <w:r w:rsidR="00975895" w:rsidRPr="003015FD">
        <w:t xml:space="preserve"> </w:t>
      </w:r>
      <w:r w:rsidRPr="003015FD">
        <w:t>confidence</w:t>
      </w:r>
      <w:r w:rsidR="00975895" w:rsidRPr="003015FD">
        <w:t xml:space="preserve"> </w:t>
      </w:r>
      <w:r w:rsidRPr="003015FD">
        <w:t>in</w:t>
      </w:r>
      <w:r w:rsidR="00975895" w:rsidRPr="003015FD">
        <w:t xml:space="preserve"> </w:t>
      </w:r>
      <w:r w:rsidRPr="003015FD">
        <w:t>the</w:t>
      </w:r>
      <w:r w:rsidR="00975895" w:rsidRPr="003015FD">
        <w:t xml:space="preserve"> </w:t>
      </w:r>
      <w:r w:rsidRPr="003015FD">
        <w:t>integrity</w:t>
      </w:r>
      <w:r w:rsidR="00975895" w:rsidRPr="003015FD">
        <w:t xml:space="preserve"> </w:t>
      </w:r>
      <w:r w:rsidRPr="003015FD">
        <w:t>of</w:t>
      </w:r>
      <w:r w:rsidR="00975895" w:rsidRPr="003015FD">
        <w:t xml:space="preserve"> </w:t>
      </w:r>
      <w:r w:rsidRPr="003015FD">
        <w:t>the</w:t>
      </w:r>
      <w:r w:rsidR="00975895" w:rsidRPr="003015FD">
        <w:t xml:space="preserve"> </w:t>
      </w:r>
      <w:r w:rsidRPr="003015FD">
        <w:t>criminal</w:t>
      </w:r>
      <w:r w:rsidR="00975895" w:rsidRPr="003015FD">
        <w:t xml:space="preserve"> </w:t>
      </w:r>
      <w:r w:rsidRPr="003015FD">
        <w:t>justice</w:t>
      </w:r>
      <w:r w:rsidR="00975895" w:rsidRPr="003015FD">
        <w:t xml:space="preserve"> </w:t>
      </w:r>
      <w:r w:rsidRPr="003015FD">
        <w:t>system.</w:t>
      </w:r>
      <w:r w:rsidRPr="004862C5">
        <w:rPr>
          <w:rStyle w:val="FootnoteReference"/>
        </w:rPr>
        <w:footnoteReference w:id="83"/>
      </w:r>
    </w:p>
    <w:p w14:paraId="13AA7A64" w14:textId="1EB99884" w:rsidR="008E0945" w:rsidRPr="003015FD" w:rsidRDefault="000A1B3E" w:rsidP="0002642E">
      <w:r w:rsidRPr="003015FD">
        <w:t>In</w:t>
      </w:r>
      <w:r w:rsidR="00975895" w:rsidRPr="003015FD">
        <w:t xml:space="preserve"> </w:t>
      </w:r>
      <w:r w:rsidRPr="003015FD">
        <w:t>making</w:t>
      </w:r>
      <w:r w:rsidR="00975895" w:rsidRPr="003015FD">
        <w:t xml:space="preserve"> </w:t>
      </w:r>
      <w:r w:rsidRPr="003015FD">
        <w:t>its</w:t>
      </w:r>
      <w:r w:rsidR="00975895" w:rsidRPr="003015FD">
        <w:t xml:space="preserve"> </w:t>
      </w:r>
      <w:r w:rsidRPr="003015FD">
        <w:t>decision,</w:t>
      </w:r>
      <w:r w:rsidR="00975895" w:rsidRPr="003015FD">
        <w:t xml:space="preserve"> </w:t>
      </w:r>
      <w:r w:rsidRPr="003015FD">
        <w:t>t</w:t>
      </w:r>
      <w:r w:rsidR="008C2C1C" w:rsidRPr="003015FD">
        <w:t>he</w:t>
      </w:r>
      <w:r w:rsidR="00975895" w:rsidRPr="003015FD">
        <w:t xml:space="preserve"> </w:t>
      </w:r>
      <w:r w:rsidR="007B5703">
        <w:t>c</w:t>
      </w:r>
      <w:r w:rsidR="008C2C1C" w:rsidRPr="003015FD">
        <w:t>ourt</w:t>
      </w:r>
      <w:r w:rsidR="00975895" w:rsidRPr="003015FD">
        <w:t xml:space="preserve"> </w:t>
      </w:r>
      <w:r w:rsidRPr="003015FD">
        <w:t>noted</w:t>
      </w:r>
      <w:r w:rsidR="00975895" w:rsidRPr="003015FD">
        <w:t xml:space="preserve"> </w:t>
      </w:r>
      <w:r w:rsidRPr="003015FD">
        <w:t>that</w:t>
      </w:r>
      <w:r w:rsidR="00975895" w:rsidRPr="003015FD">
        <w:t xml:space="preserve"> </w:t>
      </w:r>
      <w:r w:rsidR="008C2C1C" w:rsidRPr="003015FD">
        <w:t>the</w:t>
      </w:r>
      <w:r w:rsidR="00975895" w:rsidRPr="003015FD">
        <w:t xml:space="preserve"> </w:t>
      </w:r>
      <w:r w:rsidR="008C2C1C" w:rsidRPr="003015FD">
        <w:t>Chief</w:t>
      </w:r>
      <w:r w:rsidR="00975895" w:rsidRPr="003015FD">
        <w:t xml:space="preserve"> </w:t>
      </w:r>
      <w:r w:rsidR="008C2C1C" w:rsidRPr="003015FD">
        <w:t>Commissioner</w:t>
      </w:r>
      <w:r w:rsidR="00975895" w:rsidRPr="003015FD">
        <w:t xml:space="preserve"> </w:t>
      </w:r>
      <w:r w:rsidRPr="003015FD">
        <w:t>of</w:t>
      </w:r>
      <w:r w:rsidR="00975895" w:rsidRPr="003015FD">
        <w:t xml:space="preserve"> </w:t>
      </w:r>
      <w:r w:rsidRPr="003015FD">
        <w:t>Police</w:t>
      </w:r>
      <w:r w:rsidR="00975895" w:rsidRPr="003015FD">
        <w:t xml:space="preserve"> </w:t>
      </w:r>
      <w:r w:rsidRPr="003015FD">
        <w:t>had</w:t>
      </w:r>
      <w:r w:rsidR="00975895" w:rsidRPr="003015FD">
        <w:t xml:space="preserve"> </w:t>
      </w:r>
      <w:r w:rsidR="008C2C1C" w:rsidRPr="003015FD">
        <w:t>indicated</w:t>
      </w:r>
      <w:r w:rsidR="00975895" w:rsidRPr="003015FD">
        <w:t xml:space="preserve"> </w:t>
      </w:r>
      <w:r w:rsidR="008C2C1C" w:rsidRPr="003015FD">
        <w:t>that</w:t>
      </w:r>
      <w:r w:rsidR="00975895" w:rsidRPr="003015FD">
        <w:t xml:space="preserve"> </w:t>
      </w:r>
      <w:r w:rsidR="008C2C1C" w:rsidRPr="003015FD">
        <w:t>Victoria</w:t>
      </w:r>
      <w:r w:rsidR="00975895" w:rsidRPr="003015FD">
        <w:t xml:space="preserve"> </w:t>
      </w:r>
      <w:r w:rsidR="008C2C1C" w:rsidRPr="003015FD">
        <w:t>Police</w:t>
      </w:r>
      <w:r w:rsidR="00975895" w:rsidRPr="003015FD">
        <w:t xml:space="preserve"> </w:t>
      </w:r>
      <w:r w:rsidRPr="003015FD">
        <w:t>would</w:t>
      </w:r>
      <w:r w:rsidR="00975895" w:rsidRPr="003015FD">
        <w:t xml:space="preserve"> </w:t>
      </w:r>
      <w:r w:rsidR="008C2C1C" w:rsidRPr="003015FD">
        <w:t>endeavour</w:t>
      </w:r>
      <w:r w:rsidR="00975895" w:rsidRPr="003015FD">
        <w:t xml:space="preserve"> </w:t>
      </w:r>
      <w:r w:rsidR="008C2C1C" w:rsidRPr="003015FD">
        <w:t>to</w:t>
      </w:r>
      <w:r w:rsidR="00975895" w:rsidRPr="003015FD">
        <w:t xml:space="preserve"> </w:t>
      </w:r>
      <w:r w:rsidR="008C2C1C" w:rsidRPr="003015FD">
        <w:t>provide</w:t>
      </w:r>
      <w:r w:rsidR="00975895" w:rsidRPr="003015FD">
        <w:t xml:space="preserve"> </w:t>
      </w:r>
      <w:r w:rsidR="008C2C1C" w:rsidRPr="003015FD">
        <w:t>protection</w:t>
      </w:r>
      <w:r w:rsidR="00975895" w:rsidRPr="003015FD">
        <w:t xml:space="preserve"> </w:t>
      </w:r>
      <w:r w:rsidR="008C2C1C" w:rsidRPr="003015FD">
        <w:t>to</w:t>
      </w:r>
      <w:r w:rsidR="00975895" w:rsidRPr="003015FD">
        <w:t xml:space="preserve"> </w:t>
      </w:r>
      <w:r w:rsidR="008C2C1C" w:rsidRPr="003015FD">
        <w:t>EF</w:t>
      </w:r>
      <w:r w:rsidR="00975895" w:rsidRPr="003015FD">
        <w:t xml:space="preserve"> </w:t>
      </w:r>
      <w:r w:rsidR="008C2C1C" w:rsidRPr="003015FD">
        <w:t>and</w:t>
      </w:r>
      <w:r w:rsidR="00975895" w:rsidRPr="003015FD">
        <w:t xml:space="preserve"> </w:t>
      </w:r>
      <w:r w:rsidR="008C2C1C" w:rsidRPr="003015FD">
        <w:t>her</w:t>
      </w:r>
      <w:r w:rsidR="00975895" w:rsidRPr="003015FD">
        <w:t xml:space="preserve"> </w:t>
      </w:r>
      <w:r w:rsidR="008C2C1C" w:rsidRPr="003015FD">
        <w:t>children</w:t>
      </w:r>
      <w:r w:rsidR="00975895" w:rsidRPr="003015FD">
        <w:t xml:space="preserve"> </w:t>
      </w:r>
      <w:r w:rsidR="008C2C1C" w:rsidRPr="003015FD">
        <w:t>once</w:t>
      </w:r>
      <w:r w:rsidR="00975895" w:rsidRPr="003015FD">
        <w:t xml:space="preserve"> </w:t>
      </w:r>
      <w:r w:rsidR="008C2C1C" w:rsidRPr="003015FD">
        <w:t>the</w:t>
      </w:r>
      <w:r w:rsidR="00975895" w:rsidRPr="003015FD">
        <w:t xml:space="preserve"> </w:t>
      </w:r>
      <w:r w:rsidR="008C2C1C" w:rsidRPr="003015FD">
        <w:t>disclosures</w:t>
      </w:r>
      <w:r w:rsidR="00975895" w:rsidRPr="003015FD">
        <w:t xml:space="preserve"> </w:t>
      </w:r>
      <w:r w:rsidRPr="003015FD">
        <w:t>were</w:t>
      </w:r>
      <w:r w:rsidR="00975895" w:rsidRPr="003015FD">
        <w:t xml:space="preserve"> </w:t>
      </w:r>
      <w:r w:rsidRPr="003015FD">
        <w:t>made</w:t>
      </w:r>
      <w:r w:rsidR="008C2C1C" w:rsidRPr="003015FD">
        <w:t>.</w:t>
      </w:r>
    </w:p>
    <w:p w14:paraId="0E260C39" w14:textId="3FA0183D" w:rsidR="008E0945" w:rsidRPr="003015FD" w:rsidRDefault="008E0945" w:rsidP="005B74F5">
      <w:r w:rsidRPr="003015FD">
        <w:t>On</w:t>
      </w:r>
      <w:r w:rsidR="00975895" w:rsidRPr="003015FD">
        <w:t xml:space="preserve"> </w:t>
      </w:r>
      <w:r w:rsidRPr="003015FD">
        <w:t>21</w:t>
      </w:r>
      <w:r w:rsidR="00975895" w:rsidRPr="003015FD">
        <w:t xml:space="preserve"> </w:t>
      </w:r>
      <w:r w:rsidRPr="003015FD">
        <w:t>November</w:t>
      </w:r>
      <w:r w:rsidR="00975895" w:rsidRPr="003015FD">
        <w:t xml:space="preserve"> </w:t>
      </w:r>
      <w:r w:rsidRPr="003015FD">
        <w:t>2017,</w:t>
      </w:r>
      <w:r w:rsidR="00975895" w:rsidRPr="003015FD">
        <w:t xml:space="preserve"> </w:t>
      </w:r>
      <w:r w:rsidRPr="003015FD">
        <w:t>the</w:t>
      </w:r>
      <w:r w:rsidR="00975895" w:rsidRPr="003015FD">
        <w:t xml:space="preserve"> </w:t>
      </w:r>
      <w:r w:rsidRPr="003015FD">
        <w:t>Court</w:t>
      </w:r>
      <w:r w:rsidR="00975895" w:rsidRPr="003015FD">
        <w:t xml:space="preserve"> </w:t>
      </w:r>
      <w:r w:rsidRPr="003015FD">
        <w:t>of</w:t>
      </w:r>
      <w:r w:rsidR="00975895" w:rsidRPr="003015FD">
        <w:t xml:space="preserve"> </w:t>
      </w:r>
      <w:r w:rsidRPr="003015FD">
        <w:t>Appeal</w:t>
      </w:r>
      <w:r w:rsidR="00975895" w:rsidRPr="003015FD">
        <w:t xml:space="preserve"> </w:t>
      </w:r>
      <w:r w:rsidRPr="003015FD">
        <w:t>dismissed</w:t>
      </w:r>
      <w:r w:rsidR="00975895" w:rsidRPr="003015FD">
        <w:t xml:space="preserve"> </w:t>
      </w:r>
      <w:r w:rsidRPr="003015FD">
        <w:t>AB</w:t>
      </w:r>
      <w:r w:rsidR="000C5726">
        <w:t>'</w:t>
      </w:r>
      <w:r w:rsidRPr="003015FD">
        <w:t>s</w:t>
      </w:r>
      <w:r w:rsidR="00975895" w:rsidRPr="003015FD">
        <w:t xml:space="preserve"> </w:t>
      </w:r>
      <w:r w:rsidRPr="003015FD">
        <w:t>and</w:t>
      </w:r>
      <w:r w:rsidR="00975895" w:rsidRPr="003015FD">
        <w:t xml:space="preserve"> </w:t>
      </w:r>
      <w:r w:rsidRPr="003015FD">
        <w:t>EF</w:t>
      </w:r>
      <w:r w:rsidR="000C5726">
        <w:t>'</w:t>
      </w:r>
      <w:r w:rsidRPr="003015FD">
        <w:t>s</w:t>
      </w:r>
      <w:r w:rsidR="00975895" w:rsidRPr="003015FD">
        <w:t xml:space="preserve"> </w:t>
      </w:r>
      <w:r w:rsidRPr="003015FD">
        <w:t>appeals.</w:t>
      </w:r>
      <w:r w:rsidR="00975895" w:rsidRPr="003015FD">
        <w:t xml:space="preserve"> </w:t>
      </w:r>
      <w:r w:rsidRPr="003015FD">
        <w:t>AB</w:t>
      </w:r>
      <w:r w:rsidR="00975895" w:rsidRPr="003015FD">
        <w:t xml:space="preserve"> </w:t>
      </w:r>
      <w:r w:rsidRPr="003015FD">
        <w:t>and</w:t>
      </w:r>
      <w:r w:rsidR="00975895" w:rsidRPr="003015FD">
        <w:t xml:space="preserve"> </w:t>
      </w:r>
      <w:r w:rsidRPr="003015FD">
        <w:t>EF</w:t>
      </w:r>
      <w:r w:rsidR="00975895" w:rsidRPr="003015FD">
        <w:t xml:space="preserve"> </w:t>
      </w:r>
      <w:r w:rsidRPr="003015FD">
        <w:t>appealed</w:t>
      </w:r>
      <w:r w:rsidR="00975895" w:rsidRPr="003015FD">
        <w:t xml:space="preserve"> </w:t>
      </w:r>
      <w:r w:rsidRPr="003015FD">
        <w:t>the</w:t>
      </w:r>
      <w:r w:rsidR="00975895" w:rsidRPr="003015FD">
        <w:t xml:space="preserve"> </w:t>
      </w:r>
      <w:r w:rsidRPr="003015FD">
        <w:t>decision</w:t>
      </w:r>
      <w:r w:rsidR="00975895" w:rsidRPr="003015FD">
        <w:t xml:space="preserve"> </w:t>
      </w:r>
      <w:r w:rsidRPr="003015FD">
        <w:t>to</w:t>
      </w:r>
      <w:r w:rsidR="00975895" w:rsidRPr="003015FD">
        <w:t xml:space="preserve"> </w:t>
      </w:r>
      <w:r w:rsidRPr="003015FD">
        <w:t>the</w:t>
      </w:r>
      <w:r w:rsidR="00975895" w:rsidRPr="003015FD">
        <w:t xml:space="preserve"> </w:t>
      </w:r>
      <w:r w:rsidRPr="003015FD">
        <w:t>High</w:t>
      </w:r>
      <w:r w:rsidR="00975895" w:rsidRPr="003015FD">
        <w:t xml:space="preserve"> </w:t>
      </w:r>
      <w:r w:rsidRPr="003015FD">
        <w:t>Court.</w:t>
      </w:r>
      <w:r w:rsidR="00975895" w:rsidRPr="003015FD">
        <w:t xml:space="preserve"> </w:t>
      </w:r>
      <w:r w:rsidRPr="003015FD">
        <w:t>The</w:t>
      </w:r>
      <w:r w:rsidR="00975895" w:rsidRPr="003015FD">
        <w:t xml:space="preserve"> </w:t>
      </w:r>
      <w:r w:rsidRPr="003015FD">
        <w:t>High</w:t>
      </w:r>
      <w:r w:rsidR="00975895" w:rsidRPr="003015FD">
        <w:t xml:space="preserve"> </w:t>
      </w:r>
      <w:r w:rsidRPr="003015FD">
        <w:t>Court</w:t>
      </w:r>
      <w:r w:rsidR="00975895" w:rsidRPr="003015FD">
        <w:t xml:space="preserve"> </w:t>
      </w:r>
      <w:r w:rsidR="000D1A7F">
        <w:t xml:space="preserve">initially </w:t>
      </w:r>
      <w:r w:rsidRPr="003015FD">
        <w:t>granted</w:t>
      </w:r>
      <w:r w:rsidR="00975895" w:rsidRPr="003015FD">
        <w:t xml:space="preserve"> </w:t>
      </w:r>
      <w:r w:rsidRPr="003015FD">
        <w:t>special</w:t>
      </w:r>
      <w:r w:rsidR="00975895" w:rsidRPr="003015FD">
        <w:t xml:space="preserve"> </w:t>
      </w:r>
      <w:r w:rsidRPr="003015FD">
        <w:t>leave</w:t>
      </w:r>
      <w:r w:rsidR="00975895" w:rsidRPr="003015FD">
        <w:t xml:space="preserve"> </w:t>
      </w:r>
      <w:r w:rsidRPr="003015FD">
        <w:t>to</w:t>
      </w:r>
      <w:r w:rsidR="00975895" w:rsidRPr="003015FD">
        <w:t xml:space="preserve"> </w:t>
      </w:r>
      <w:r w:rsidRPr="003015FD">
        <w:t>appeal</w:t>
      </w:r>
      <w:r w:rsidR="00975895" w:rsidRPr="003015FD">
        <w:t xml:space="preserve"> </w:t>
      </w:r>
      <w:r w:rsidRPr="003015FD">
        <w:t>but</w:t>
      </w:r>
      <w:r w:rsidR="00975895" w:rsidRPr="003015FD">
        <w:t xml:space="preserve"> </w:t>
      </w:r>
      <w:r w:rsidR="000D1A7F">
        <w:t xml:space="preserve">later </w:t>
      </w:r>
      <w:r w:rsidRPr="003015FD">
        <w:t>revoked</w:t>
      </w:r>
      <w:r w:rsidR="00975895" w:rsidRPr="003015FD">
        <w:t xml:space="preserve"> </w:t>
      </w:r>
      <w:r w:rsidRPr="003015FD">
        <w:t>that</w:t>
      </w:r>
      <w:r w:rsidR="00975895" w:rsidRPr="003015FD">
        <w:t xml:space="preserve"> </w:t>
      </w:r>
      <w:r w:rsidRPr="003015FD">
        <w:t>grant</w:t>
      </w:r>
      <w:r w:rsidR="00975895" w:rsidRPr="003015FD">
        <w:t xml:space="preserve"> </w:t>
      </w:r>
      <w:r w:rsidRPr="003015FD">
        <w:t>in</w:t>
      </w:r>
      <w:r w:rsidR="00975895" w:rsidRPr="003015FD">
        <w:t xml:space="preserve"> </w:t>
      </w:r>
      <w:r w:rsidRPr="003015FD">
        <w:t>November</w:t>
      </w:r>
      <w:r w:rsidR="00975895" w:rsidRPr="003015FD">
        <w:t xml:space="preserve"> </w:t>
      </w:r>
      <w:r w:rsidRPr="003015FD">
        <w:t>2018.</w:t>
      </w:r>
      <w:r w:rsidRPr="004862C5">
        <w:rPr>
          <w:rStyle w:val="FootnoteReference"/>
        </w:rPr>
        <w:footnoteReference w:id="84"/>
      </w:r>
    </w:p>
    <w:p w14:paraId="64AF9B88" w14:textId="3A9FC904" w:rsidR="008E0945" w:rsidRPr="003015FD" w:rsidRDefault="008E0945" w:rsidP="0002642E">
      <w:r w:rsidRPr="003015FD">
        <w:t>The</w:t>
      </w:r>
      <w:r w:rsidR="00975895" w:rsidRPr="003015FD">
        <w:t xml:space="preserve"> </w:t>
      </w:r>
      <w:r w:rsidRPr="003015FD">
        <w:t>case</w:t>
      </w:r>
      <w:r w:rsidR="00975895" w:rsidRPr="003015FD">
        <w:t xml:space="preserve"> </w:t>
      </w:r>
      <w:r w:rsidRPr="003015FD">
        <w:t>has</w:t>
      </w:r>
      <w:r w:rsidR="00975895" w:rsidRPr="003015FD">
        <w:t xml:space="preserve"> </w:t>
      </w:r>
      <w:r w:rsidRPr="003015FD">
        <w:t>since</w:t>
      </w:r>
      <w:r w:rsidR="00975895" w:rsidRPr="003015FD">
        <w:t xml:space="preserve"> </w:t>
      </w:r>
      <w:r w:rsidRPr="003015FD">
        <w:t>led</w:t>
      </w:r>
      <w:r w:rsidR="00975895" w:rsidRPr="003015FD">
        <w:t xml:space="preserve"> </w:t>
      </w:r>
      <w:r w:rsidRPr="003015FD">
        <w:t>to</w:t>
      </w:r>
      <w:r w:rsidR="00975895" w:rsidRPr="003015FD">
        <w:t xml:space="preserve"> </w:t>
      </w:r>
      <w:r w:rsidRPr="003015FD">
        <w:t>a</w:t>
      </w:r>
      <w:r w:rsidR="00975895" w:rsidRPr="003015FD">
        <w:t xml:space="preserve"> </w:t>
      </w:r>
      <w:r w:rsidRPr="003015FD">
        <w:t>Royal</w:t>
      </w:r>
      <w:r w:rsidR="00975895" w:rsidRPr="003015FD">
        <w:t xml:space="preserve"> </w:t>
      </w:r>
      <w:r w:rsidRPr="003015FD">
        <w:t>Commission</w:t>
      </w:r>
      <w:r w:rsidR="00975895" w:rsidRPr="003015FD">
        <w:t xml:space="preserve"> </w:t>
      </w:r>
      <w:r w:rsidR="001706A9">
        <w:t>into</w:t>
      </w:r>
      <w:r w:rsidR="001706A9" w:rsidRPr="003015FD">
        <w:t xml:space="preserve"> </w:t>
      </w:r>
      <w:r w:rsidRPr="003015FD">
        <w:t>the</w:t>
      </w:r>
      <w:r w:rsidR="00975895" w:rsidRPr="003015FD">
        <w:t xml:space="preserve"> </w:t>
      </w:r>
      <w:r w:rsidRPr="003015FD">
        <w:t>Management</w:t>
      </w:r>
      <w:r w:rsidR="00975895" w:rsidRPr="003015FD">
        <w:t xml:space="preserve"> </w:t>
      </w:r>
      <w:r w:rsidRPr="003015FD">
        <w:t>of</w:t>
      </w:r>
      <w:r w:rsidR="00975895" w:rsidRPr="003015FD">
        <w:t xml:space="preserve"> </w:t>
      </w:r>
      <w:r w:rsidRPr="003015FD">
        <w:t>Police</w:t>
      </w:r>
      <w:r w:rsidR="00975895" w:rsidRPr="003015FD">
        <w:t xml:space="preserve"> </w:t>
      </w:r>
      <w:r w:rsidRPr="003015FD">
        <w:t>Informants,</w:t>
      </w:r>
      <w:r w:rsidR="00975895" w:rsidRPr="003015FD">
        <w:t xml:space="preserve"> </w:t>
      </w:r>
      <w:r w:rsidRPr="003015FD">
        <w:t>which</w:t>
      </w:r>
      <w:r w:rsidR="00975895" w:rsidRPr="003015FD">
        <w:t xml:space="preserve"> </w:t>
      </w:r>
      <w:r w:rsidRPr="003015FD">
        <w:t>remains</w:t>
      </w:r>
      <w:r w:rsidR="00975895" w:rsidRPr="003015FD">
        <w:t xml:space="preserve"> </w:t>
      </w:r>
      <w:r w:rsidRPr="003015FD">
        <w:t>ongoing.</w:t>
      </w:r>
      <w:r w:rsidR="00975895" w:rsidRPr="003015FD">
        <w:t xml:space="preserve"> </w:t>
      </w:r>
    </w:p>
    <w:p w14:paraId="3FEE8C6B" w14:textId="7BCEC13C" w:rsidR="008E0945" w:rsidRPr="003015FD" w:rsidRDefault="00D90DB7" w:rsidP="0002642E">
      <w:pPr>
        <w:pStyle w:val="Heading2"/>
      </w:pPr>
      <w:bookmarkStart w:id="107" w:name="_Toc15045129"/>
      <w:bookmarkStart w:id="108" w:name="_Toc22011541"/>
      <w:r w:rsidRPr="003015FD">
        <w:t>4.3</w:t>
      </w:r>
      <w:r w:rsidRPr="003015FD">
        <w:tab/>
      </w:r>
      <w:r w:rsidR="008E0945" w:rsidRPr="003015FD">
        <w:t>The</w:t>
      </w:r>
      <w:r w:rsidR="00975895" w:rsidRPr="003015FD">
        <w:t xml:space="preserve"> </w:t>
      </w:r>
      <w:r w:rsidR="008E0945" w:rsidRPr="003015FD">
        <w:t>right</w:t>
      </w:r>
      <w:r w:rsidR="00975895" w:rsidRPr="003015FD">
        <w:t xml:space="preserve"> </w:t>
      </w:r>
      <w:r w:rsidR="008E0945" w:rsidRPr="003015FD">
        <w:t>to</w:t>
      </w:r>
      <w:r w:rsidR="00975895" w:rsidRPr="003015FD">
        <w:t xml:space="preserve"> </w:t>
      </w:r>
      <w:r w:rsidR="008E0945" w:rsidRPr="003015FD">
        <w:t>equality</w:t>
      </w:r>
      <w:r w:rsidR="00975895" w:rsidRPr="003015FD">
        <w:t xml:space="preserve"> </w:t>
      </w:r>
      <w:r w:rsidR="008E0945" w:rsidRPr="003015FD">
        <w:t>and</w:t>
      </w:r>
      <w:r w:rsidR="00975895" w:rsidRPr="003015FD">
        <w:t xml:space="preserve"> </w:t>
      </w:r>
      <w:r w:rsidR="008E0945" w:rsidRPr="003015FD">
        <w:t>non-discrimination</w:t>
      </w:r>
      <w:bookmarkEnd w:id="107"/>
      <w:bookmarkEnd w:id="108"/>
    </w:p>
    <w:p w14:paraId="3D8DC0CF" w14:textId="45D81C46" w:rsidR="008E0945" w:rsidRPr="003015FD" w:rsidRDefault="008E0945" w:rsidP="0002642E">
      <w:r w:rsidRPr="003015FD">
        <w:t>The</w:t>
      </w:r>
      <w:r w:rsidR="00975895" w:rsidRPr="003015FD">
        <w:t xml:space="preserve"> </w:t>
      </w:r>
      <w:r w:rsidRPr="003015FD">
        <w:t>courts</w:t>
      </w:r>
      <w:r w:rsidR="00975895" w:rsidRPr="003015FD">
        <w:t xml:space="preserve"> </w:t>
      </w:r>
      <w:r w:rsidRPr="003015FD">
        <w:t>considered</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recognition</w:t>
      </w:r>
      <w:r w:rsidR="00975895" w:rsidRPr="003015FD">
        <w:t xml:space="preserve"> </w:t>
      </w:r>
      <w:r w:rsidRPr="003015FD">
        <w:t>and</w:t>
      </w:r>
      <w:r w:rsidR="00975895" w:rsidRPr="003015FD">
        <w:t xml:space="preserve"> </w:t>
      </w:r>
      <w:r w:rsidRPr="003015FD">
        <w:t>equality</w:t>
      </w:r>
      <w:r w:rsidR="00975895" w:rsidRPr="003015FD">
        <w:t xml:space="preserve"> </w:t>
      </w:r>
      <w:r w:rsidRPr="003015FD">
        <w:t>before</w:t>
      </w:r>
      <w:r w:rsidR="00975895" w:rsidRPr="003015FD">
        <w:t xml:space="preserve"> </w:t>
      </w:r>
      <w:r w:rsidRPr="003015FD">
        <w:t>the</w:t>
      </w:r>
      <w:r w:rsidR="00975895" w:rsidRPr="003015FD">
        <w:t xml:space="preserve"> </w:t>
      </w:r>
      <w:r w:rsidRPr="003015FD">
        <w:t>law</w:t>
      </w:r>
      <w:r w:rsidR="00975895" w:rsidRPr="003015FD">
        <w:t xml:space="preserve"> </w:t>
      </w:r>
      <w:r w:rsidRPr="003015FD">
        <w:t>and</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effective</w:t>
      </w:r>
      <w:r w:rsidR="00975895" w:rsidRPr="003015FD">
        <w:t xml:space="preserve"> </w:t>
      </w:r>
      <w:r w:rsidRPr="003015FD">
        <w:t>protection</w:t>
      </w:r>
      <w:r w:rsidR="00975895" w:rsidRPr="003015FD">
        <w:t xml:space="preserve"> </w:t>
      </w:r>
      <w:r w:rsidRPr="003015FD">
        <w:t>against</w:t>
      </w:r>
      <w:r w:rsidR="00975895" w:rsidRPr="003015FD">
        <w:t xml:space="preserve"> </w:t>
      </w:r>
      <w:bookmarkStart w:id="109" w:name="_Hlk14342425"/>
      <w:r w:rsidRPr="003015FD">
        <w:t>discrimination</w:t>
      </w:r>
      <w:r w:rsidR="00D90DB7" w:rsidRPr="003015FD">
        <w:t>.</w:t>
      </w:r>
      <w:r w:rsidRPr="004862C5">
        <w:rPr>
          <w:rStyle w:val="FootnoteReference"/>
        </w:rPr>
        <w:footnoteReference w:id="85"/>
      </w:r>
      <w:r w:rsidR="00975895" w:rsidRPr="003015FD">
        <w:t xml:space="preserve"> </w:t>
      </w:r>
      <w:r w:rsidRPr="003015FD">
        <w:t>For</w:t>
      </w:r>
      <w:r w:rsidR="00975895" w:rsidRPr="003015FD">
        <w:t xml:space="preserve"> </w:t>
      </w:r>
      <w:r w:rsidRPr="003015FD">
        <w:t>example,</w:t>
      </w:r>
      <w:r w:rsidR="00975895" w:rsidRPr="003015FD">
        <w:t xml:space="preserve"> </w:t>
      </w:r>
      <w:r w:rsidRPr="003015FD">
        <w:t>the</w:t>
      </w:r>
      <w:r w:rsidR="00975895" w:rsidRPr="003015FD">
        <w:t xml:space="preserve"> </w:t>
      </w:r>
      <w:r w:rsidRPr="003015FD">
        <w:t>courts</w:t>
      </w:r>
      <w:r w:rsidR="00975895" w:rsidRPr="003015FD">
        <w:t xml:space="preserve"> </w:t>
      </w:r>
      <w:r w:rsidRPr="003015FD">
        <w:t>reiterated</w:t>
      </w:r>
      <w:r w:rsidR="00975895" w:rsidRPr="003015FD">
        <w:t xml:space="preserve"> </w:t>
      </w:r>
      <w:r w:rsidRPr="003015FD">
        <w:t>in</w:t>
      </w:r>
      <w:r w:rsidR="00975895" w:rsidRPr="003015FD">
        <w:t xml:space="preserve"> </w:t>
      </w:r>
      <w:r w:rsidRPr="0002642E">
        <w:rPr>
          <w:rStyle w:val="Characteritalic"/>
          <w:lang w:val="en-GB"/>
        </w:rPr>
        <w:t>PBU</w:t>
      </w:r>
      <w:r w:rsidR="00975895" w:rsidRPr="0002642E">
        <w:rPr>
          <w:rStyle w:val="Characteritalic"/>
          <w:lang w:val="en-GB"/>
        </w:rPr>
        <w:t xml:space="preserve"> </w:t>
      </w:r>
      <w:r w:rsidRPr="0002642E">
        <w:rPr>
          <w:rStyle w:val="Characteritalic"/>
          <w:lang w:val="en-GB"/>
        </w:rPr>
        <w:t>&amp;</w:t>
      </w:r>
      <w:r w:rsidR="00975895" w:rsidRPr="0002642E">
        <w:rPr>
          <w:rStyle w:val="Characteritalic"/>
          <w:lang w:val="en-GB"/>
        </w:rPr>
        <w:t xml:space="preserve"> </w:t>
      </w:r>
      <w:r w:rsidRPr="0002642E">
        <w:rPr>
          <w:rStyle w:val="Characteritalic"/>
          <w:lang w:val="en-GB"/>
        </w:rPr>
        <w:t>NJE</w:t>
      </w:r>
      <w:r w:rsidR="00975895" w:rsidRPr="0002642E">
        <w:rPr>
          <w:rStyle w:val="Characteritalic"/>
          <w:lang w:val="en-GB"/>
        </w:rPr>
        <w:t xml:space="preserve"> </w:t>
      </w:r>
      <w:r w:rsidRPr="0002642E">
        <w:rPr>
          <w:rStyle w:val="Characteritalic"/>
          <w:lang w:val="en-GB"/>
        </w:rPr>
        <w:t>v</w:t>
      </w:r>
      <w:r w:rsidR="00975895" w:rsidRPr="0002642E">
        <w:rPr>
          <w:rStyle w:val="Characteritalic"/>
          <w:lang w:val="en-GB"/>
        </w:rPr>
        <w:t xml:space="preserve"> </w:t>
      </w:r>
      <w:r w:rsidRPr="0002642E">
        <w:rPr>
          <w:rStyle w:val="Characteritalic"/>
          <w:lang w:val="en-GB"/>
        </w:rPr>
        <w:t>Mental</w:t>
      </w:r>
      <w:r w:rsidR="00975895" w:rsidRPr="0002642E">
        <w:rPr>
          <w:rStyle w:val="Characteritalic"/>
          <w:lang w:val="en-GB"/>
        </w:rPr>
        <w:t xml:space="preserve"> </w:t>
      </w:r>
      <w:r w:rsidRPr="0002642E">
        <w:rPr>
          <w:rStyle w:val="Characteritalic"/>
          <w:lang w:val="en-GB"/>
        </w:rPr>
        <w:t>Health</w:t>
      </w:r>
      <w:r w:rsidR="00975895" w:rsidRPr="0002642E">
        <w:rPr>
          <w:rStyle w:val="Characteritalic"/>
          <w:lang w:val="en-GB"/>
        </w:rPr>
        <w:t xml:space="preserve"> </w:t>
      </w:r>
      <w:r w:rsidRPr="0002642E">
        <w:rPr>
          <w:rStyle w:val="Characteritalic"/>
          <w:lang w:val="en-GB"/>
        </w:rPr>
        <w:t>Tribunal</w:t>
      </w:r>
      <w:r w:rsidR="001706A9" w:rsidRPr="00507925">
        <w:rPr>
          <w:rStyle w:val="FootnoteReference"/>
          <w:lang w:val="en-GB"/>
        </w:rPr>
        <w:footnoteReference w:id="86"/>
      </w:r>
      <w:r w:rsidR="00975895" w:rsidRPr="003015FD">
        <w:t xml:space="preserve"> </w:t>
      </w:r>
      <w:r w:rsidRPr="003015FD">
        <w:t>that</w:t>
      </w:r>
      <w:r w:rsidR="00975895" w:rsidRPr="003015FD">
        <w:t xml:space="preserve"> </w:t>
      </w:r>
      <w:bookmarkEnd w:id="109"/>
      <w:r w:rsidRPr="003015FD">
        <w:t>it</w:t>
      </w:r>
      <w:r w:rsidR="00975895" w:rsidRPr="003015FD">
        <w:t xml:space="preserve"> </w:t>
      </w:r>
      <w:r w:rsidRPr="003015FD">
        <w:t>is</w:t>
      </w:r>
      <w:r w:rsidR="00975895" w:rsidRPr="003015FD">
        <w:t xml:space="preserve"> </w:t>
      </w:r>
      <w:r w:rsidRPr="003015FD">
        <w:t>particularly</w:t>
      </w:r>
      <w:r w:rsidR="00975895" w:rsidRPr="003015FD">
        <w:t xml:space="preserve"> </w:t>
      </w:r>
      <w:r w:rsidRPr="003015FD">
        <w:t>important</w:t>
      </w:r>
      <w:r w:rsidR="00975895" w:rsidRPr="003015FD">
        <w:t xml:space="preserve"> </w:t>
      </w:r>
      <w:r w:rsidRPr="003015FD">
        <w:t>to</w:t>
      </w:r>
      <w:r w:rsidR="00975895" w:rsidRPr="003015FD">
        <w:t xml:space="preserve"> </w:t>
      </w:r>
      <w:r w:rsidRPr="003015FD">
        <w:t>consider</w:t>
      </w:r>
      <w:r w:rsidR="00975895" w:rsidRPr="003015FD">
        <w:t xml:space="preserve"> </w:t>
      </w:r>
      <w:r w:rsidRPr="003015FD">
        <w:t>Charter</w:t>
      </w:r>
      <w:r w:rsidR="00975895" w:rsidRPr="003015FD">
        <w:t xml:space="preserve"> </w:t>
      </w:r>
      <w:r w:rsidRPr="003015FD">
        <w:t>rights</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003574DB">
        <w:t>people</w:t>
      </w:r>
      <w:r w:rsidR="003574DB" w:rsidRPr="003015FD">
        <w:t xml:space="preserve"> </w:t>
      </w:r>
      <w:r w:rsidRPr="003015FD">
        <w:t>with</w:t>
      </w:r>
      <w:r w:rsidR="00975895" w:rsidRPr="003015FD">
        <w:t xml:space="preserve"> </w:t>
      </w:r>
      <w:r w:rsidRPr="003015FD">
        <w:t>a</w:t>
      </w:r>
      <w:r w:rsidR="00975895" w:rsidRPr="003015FD">
        <w:t xml:space="preserve"> </w:t>
      </w:r>
      <w:r w:rsidRPr="003015FD">
        <w:t>mental</w:t>
      </w:r>
      <w:r w:rsidR="00975895" w:rsidRPr="003015FD">
        <w:t xml:space="preserve"> </w:t>
      </w:r>
      <w:r w:rsidRPr="003015FD">
        <w:t>illness</w:t>
      </w:r>
      <w:r w:rsidR="00975895" w:rsidRPr="003015FD">
        <w:t xml:space="preserve"> </w:t>
      </w:r>
      <w:r w:rsidRPr="003015FD">
        <w:t>because</w:t>
      </w:r>
      <w:r w:rsidR="00975895" w:rsidRPr="003015FD">
        <w:t xml:space="preserve"> </w:t>
      </w:r>
      <w:r w:rsidRPr="003015FD">
        <w:t>they</w:t>
      </w:r>
      <w:r w:rsidR="00975895" w:rsidRPr="003015FD">
        <w:t xml:space="preserve"> </w:t>
      </w:r>
      <w:r w:rsidRPr="003015FD">
        <w:t>are</w:t>
      </w:r>
      <w:r w:rsidR="00975895" w:rsidRPr="003015FD">
        <w:t xml:space="preserve"> </w:t>
      </w:r>
      <w:r w:rsidRPr="003015FD">
        <w:t>especially</w:t>
      </w:r>
      <w:r w:rsidR="00975895" w:rsidRPr="003015FD">
        <w:t xml:space="preserve"> </w:t>
      </w:r>
      <w:r w:rsidRPr="003015FD">
        <w:t>vulnerable</w:t>
      </w:r>
      <w:r w:rsidR="00975895" w:rsidRPr="003015FD">
        <w:t xml:space="preserve"> </w:t>
      </w:r>
      <w:r w:rsidRPr="003015FD">
        <w:t>to</w:t>
      </w:r>
      <w:r w:rsidR="00975895" w:rsidRPr="003015FD">
        <w:t xml:space="preserve"> </w:t>
      </w:r>
      <w:r w:rsidRPr="003015FD">
        <w:t>discriminatory</w:t>
      </w:r>
      <w:r w:rsidR="00975895" w:rsidRPr="003015FD">
        <w:t xml:space="preserve"> </w:t>
      </w:r>
      <w:r w:rsidRPr="003015FD">
        <w:t>ill-treatment,</w:t>
      </w:r>
      <w:r w:rsidR="00975895" w:rsidRPr="003015FD">
        <w:t xml:space="preserve"> </w:t>
      </w:r>
      <w:r w:rsidRPr="003015FD">
        <w:t>stigmatisation</w:t>
      </w:r>
      <w:r w:rsidR="00975895" w:rsidRPr="003015FD">
        <w:t xml:space="preserve"> </w:t>
      </w:r>
      <w:r w:rsidRPr="003015FD">
        <w:t>and</w:t>
      </w:r>
      <w:r w:rsidR="00975895" w:rsidRPr="003015FD">
        <w:t xml:space="preserve"> </w:t>
      </w:r>
      <w:r w:rsidRPr="003015FD">
        <w:t>personal</w:t>
      </w:r>
      <w:r w:rsidR="00975895" w:rsidRPr="003015FD">
        <w:t xml:space="preserve"> </w:t>
      </w:r>
      <w:r w:rsidRPr="003015FD">
        <w:t>disempowerment.</w:t>
      </w:r>
    </w:p>
    <w:p w14:paraId="022A9A2C" w14:textId="1587FA7B" w:rsidR="008E0945" w:rsidRPr="003015FD" w:rsidRDefault="008E0945" w:rsidP="0002642E">
      <w:r w:rsidRPr="003015FD">
        <w:t>In</w:t>
      </w:r>
      <w:r w:rsidR="00975895" w:rsidRPr="003015FD">
        <w:t xml:space="preserve"> </w:t>
      </w:r>
      <w:r w:rsidRPr="003015FD">
        <w:t>the</w:t>
      </w:r>
      <w:r w:rsidR="00975895" w:rsidRPr="003015FD">
        <w:t xml:space="preserve"> </w:t>
      </w:r>
      <w:r w:rsidRPr="003015FD">
        <w:t>matter</w:t>
      </w:r>
      <w:r w:rsidR="00975895" w:rsidRPr="003015FD">
        <w:t xml:space="preserve"> </w:t>
      </w:r>
      <w:r w:rsidRPr="003015FD">
        <w:t>of</w:t>
      </w:r>
      <w:r w:rsidR="00975895" w:rsidRPr="003015FD">
        <w:t xml:space="preserve"> </w:t>
      </w:r>
      <w:r w:rsidRPr="0002642E">
        <w:rPr>
          <w:rStyle w:val="Characteritalic"/>
          <w:lang w:val="en-GB"/>
        </w:rPr>
        <w:t>Owners</w:t>
      </w:r>
      <w:r w:rsidR="00975895" w:rsidRPr="0002642E">
        <w:rPr>
          <w:rStyle w:val="Characteritalic"/>
          <w:lang w:val="en-GB"/>
        </w:rPr>
        <w:t xml:space="preserve"> </w:t>
      </w:r>
      <w:r w:rsidRPr="0002642E">
        <w:rPr>
          <w:rStyle w:val="Characteritalic"/>
          <w:lang w:val="en-GB"/>
        </w:rPr>
        <w:t>Corporation</w:t>
      </w:r>
      <w:r w:rsidR="00975895" w:rsidRPr="0002642E">
        <w:rPr>
          <w:rStyle w:val="Characteritalic"/>
          <w:lang w:val="en-GB"/>
        </w:rPr>
        <w:t xml:space="preserve"> </w:t>
      </w:r>
      <w:r w:rsidRPr="0002642E">
        <w:rPr>
          <w:rStyle w:val="Characteritalic"/>
          <w:lang w:val="en-GB"/>
        </w:rPr>
        <w:t>v</w:t>
      </w:r>
      <w:r w:rsidR="00975895" w:rsidRPr="0002642E">
        <w:rPr>
          <w:rStyle w:val="Characteritalic"/>
          <w:lang w:val="en-GB"/>
        </w:rPr>
        <w:t xml:space="preserve"> </w:t>
      </w:r>
      <w:r w:rsidRPr="0002642E">
        <w:rPr>
          <w:rStyle w:val="Characteritalic"/>
          <w:lang w:val="en-GB"/>
        </w:rPr>
        <w:t>Black,</w:t>
      </w:r>
      <w:r w:rsidR="001706A9" w:rsidRPr="0002642E">
        <w:rPr>
          <w:rStyle w:val="FootnoteReference"/>
          <w:i/>
          <w:lang w:val="en-GB"/>
        </w:rPr>
        <w:t xml:space="preserve"> </w:t>
      </w:r>
      <w:r w:rsidR="001706A9" w:rsidRPr="00507925">
        <w:rPr>
          <w:rStyle w:val="FootnoteReference"/>
          <w:lang w:val="en-GB"/>
        </w:rPr>
        <w:footnoteReference w:id="87"/>
      </w:r>
      <w:r w:rsidR="00975895" w:rsidRPr="0002642E">
        <w:rPr>
          <w:rStyle w:val="Characteritalic"/>
          <w:lang w:val="en-GB"/>
        </w:rPr>
        <w:t xml:space="preserve"> </w:t>
      </w:r>
      <w:r w:rsidRPr="003015FD">
        <w:t>the</w:t>
      </w:r>
      <w:r w:rsidR="00975895" w:rsidRPr="003015FD">
        <w:t xml:space="preserve"> </w:t>
      </w:r>
      <w:r w:rsidRPr="003015FD">
        <w:t>courts</w:t>
      </w:r>
      <w:r w:rsidR="00975895" w:rsidRPr="003015FD">
        <w:t xml:space="preserve"> </w:t>
      </w:r>
      <w:r w:rsidRPr="003015FD">
        <w:t>found</w:t>
      </w:r>
      <w:r w:rsidR="00975895" w:rsidRPr="003015FD">
        <w:t xml:space="preserve"> </w:t>
      </w:r>
      <w:r w:rsidRPr="003015FD">
        <w:t>that</w:t>
      </w:r>
      <w:r w:rsidR="00975895" w:rsidRPr="003015FD">
        <w:t xml:space="preserve"> </w:t>
      </w:r>
      <w:proofErr w:type="gramStart"/>
      <w:r w:rsidRPr="003015FD">
        <w:t>owners</w:t>
      </w:r>
      <w:proofErr w:type="gramEnd"/>
      <w:r w:rsidR="00975895" w:rsidRPr="003015FD">
        <w:t xml:space="preserve"> </w:t>
      </w:r>
      <w:r w:rsidRPr="003015FD">
        <w:t>corporations</w:t>
      </w:r>
      <w:r w:rsidR="00975895" w:rsidRPr="003015FD">
        <w:t xml:space="preserve"> </w:t>
      </w:r>
      <w:r w:rsidRPr="003015FD">
        <w:t>provide</w:t>
      </w:r>
      <w:r w:rsidR="00975895" w:rsidRPr="003015FD">
        <w:t xml:space="preserve"> </w:t>
      </w:r>
      <w:r w:rsidRPr="003015FD">
        <w:t>goods</w:t>
      </w:r>
      <w:r w:rsidR="00975895" w:rsidRPr="003015FD">
        <w:t xml:space="preserve"> </w:t>
      </w:r>
      <w:r w:rsidRPr="003015FD">
        <w:t>and</w:t>
      </w:r>
      <w:r w:rsidR="00975895" w:rsidRPr="003015FD">
        <w:t xml:space="preserve"> </w:t>
      </w:r>
      <w:r w:rsidRPr="003015FD">
        <w:t>services</w:t>
      </w:r>
      <w:r w:rsidR="00975895" w:rsidRPr="003015FD">
        <w:t xml:space="preserve"> </w:t>
      </w:r>
      <w:r w:rsidRPr="003015FD">
        <w:t>under</w:t>
      </w:r>
      <w:r w:rsidR="00975895" w:rsidRPr="003015FD">
        <w:t xml:space="preserve"> </w:t>
      </w:r>
      <w:r w:rsidRPr="003015FD">
        <w:t>the</w:t>
      </w:r>
      <w:r w:rsidR="00975895" w:rsidRPr="003015FD">
        <w:t xml:space="preserve"> </w:t>
      </w:r>
      <w:r w:rsidRPr="0002642E">
        <w:rPr>
          <w:rStyle w:val="Characteritalic"/>
          <w:lang w:val="en-GB"/>
        </w:rPr>
        <w:t>Equal</w:t>
      </w:r>
      <w:r w:rsidR="00975895" w:rsidRPr="0002642E">
        <w:rPr>
          <w:rStyle w:val="Characteritalic"/>
          <w:lang w:val="en-GB"/>
        </w:rPr>
        <w:t xml:space="preserve"> </w:t>
      </w:r>
      <w:r w:rsidRPr="0002642E">
        <w:rPr>
          <w:rStyle w:val="Characteritalic"/>
          <w:lang w:val="en-GB"/>
        </w:rPr>
        <w:t>Opportunity</w:t>
      </w:r>
      <w:r w:rsidR="00975895" w:rsidRPr="0002642E">
        <w:rPr>
          <w:rStyle w:val="Characteritalic"/>
          <w:lang w:val="en-GB"/>
        </w:rPr>
        <w:t xml:space="preserve"> </w:t>
      </w:r>
      <w:r w:rsidRPr="0002642E">
        <w:rPr>
          <w:rStyle w:val="Characteritalic"/>
          <w:lang w:val="en-GB"/>
        </w:rPr>
        <w:t>Act</w:t>
      </w:r>
      <w:r w:rsidR="00975895" w:rsidRPr="0002642E">
        <w:rPr>
          <w:rStyle w:val="Characteritalic"/>
          <w:lang w:val="en-GB"/>
        </w:rPr>
        <w:t xml:space="preserve"> </w:t>
      </w:r>
      <w:r w:rsidRPr="0002642E">
        <w:rPr>
          <w:rStyle w:val="Characteritalic"/>
          <w:lang w:val="en-GB"/>
        </w:rPr>
        <w:t>2010</w:t>
      </w:r>
      <w:r w:rsidR="00975895" w:rsidRPr="0002642E">
        <w:rPr>
          <w:rStyle w:val="Characteritalic"/>
          <w:lang w:val="en-GB"/>
        </w:rPr>
        <w:t xml:space="preserve"> </w:t>
      </w:r>
      <w:r w:rsidR="001706A9">
        <w:t xml:space="preserve">(Vic) </w:t>
      </w:r>
      <w:r w:rsidRPr="003015FD">
        <w:t>to</w:t>
      </w:r>
      <w:r w:rsidR="00975895" w:rsidRPr="003015FD">
        <w:t xml:space="preserve"> </w:t>
      </w:r>
      <w:r w:rsidRPr="003015FD">
        <w:t>people</w:t>
      </w:r>
      <w:r w:rsidR="00975895" w:rsidRPr="003015FD">
        <w:t xml:space="preserve"> </w:t>
      </w:r>
      <w:r w:rsidRPr="003015FD">
        <w:t>that</w:t>
      </w:r>
      <w:r w:rsidR="00975895" w:rsidRPr="003015FD">
        <w:t xml:space="preserve"> </w:t>
      </w:r>
      <w:r w:rsidRPr="003015FD">
        <w:t>occupy</w:t>
      </w:r>
      <w:r w:rsidR="00975895" w:rsidRPr="003015FD">
        <w:t xml:space="preserve"> </w:t>
      </w:r>
      <w:r w:rsidRPr="003015FD">
        <w:t>the</w:t>
      </w:r>
      <w:r w:rsidR="00975895" w:rsidRPr="003015FD">
        <w:t xml:space="preserve"> </w:t>
      </w:r>
      <w:r w:rsidRPr="003015FD">
        <w:t>buildings</w:t>
      </w:r>
      <w:r w:rsidR="00975895" w:rsidRPr="003015FD">
        <w:t xml:space="preserve"> </w:t>
      </w:r>
      <w:r w:rsidRPr="003015FD">
        <w:t>they</w:t>
      </w:r>
      <w:r w:rsidR="00975895" w:rsidRPr="003015FD">
        <w:t xml:space="preserve"> </w:t>
      </w:r>
      <w:r w:rsidRPr="003015FD">
        <w:t>administer.</w:t>
      </w:r>
      <w:r w:rsidR="00975895" w:rsidRPr="003015FD">
        <w:t xml:space="preserve"> </w:t>
      </w:r>
      <w:r w:rsidRPr="003015FD">
        <w:t>The</w:t>
      </w:r>
      <w:r w:rsidR="00975895" w:rsidRPr="003015FD">
        <w:t xml:space="preserve"> </w:t>
      </w:r>
      <w:r w:rsidRPr="003015FD">
        <w:t>courts</w:t>
      </w:r>
      <w:r w:rsidR="00975895" w:rsidRPr="003015FD">
        <w:t xml:space="preserve"> </w:t>
      </w:r>
      <w:r w:rsidRPr="003015FD">
        <w:t>reiterated</w:t>
      </w:r>
      <w:r w:rsidR="00975895" w:rsidRPr="003015FD">
        <w:t xml:space="preserve"> </w:t>
      </w:r>
      <w:r w:rsidRPr="003015FD">
        <w:t>that</w:t>
      </w:r>
      <w:r w:rsidR="00975895" w:rsidRPr="003015FD">
        <w:t xml:space="preserve"> </w:t>
      </w:r>
      <w:r w:rsidRPr="003015FD">
        <w:t>the</w:t>
      </w:r>
      <w:r w:rsidR="00975895" w:rsidRPr="003015FD">
        <w:t xml:space="preserve"> </w:t>
      </w:r>
      <w:r w:rsidRPr="003015FD">
        <w:lastRenderedPageBreak/>
        <w:t>right</w:t>
      </w:r>
      <w:r w:rsidR="00975895" w:rsidRPr="003015FD">
        <w:t xml:space="preserve"> </w:t>
      </w:r>
      <w:r w:rsidRPr="003015FD">
        <w:t>to</w:t>
      </w:r>
      <w:r w:rsidR="00975895" w:rsidRPr="003015FD">
        <w:t xml:space="preserve"> </w:t>
      </w:r>
      <w:r w:rsidRPr="003015FD">
        <w:t>equality</w:t>
      </w:r>
      <w:r w:rsidR="00975895" w:rsidRPr="003015FD">
        <w:t xml:space="preserve"> </w:t>
      </w:r>
      <w:r w:rsidRPr="003015FD">
        <w:t>protected</w:t>
      </w:r>
      <w:r w:rsidR="00975895" w:rsidRPr="003015FD">
        <w:t xml:space="preserve"> </w:t>
      </w:r>
      <w:r w:rsidRPr="003015FD">
        <w:t>by</w:t>
      </w:r>
      <w:r w:rsidR="00975895" w:rsidRPr="003015FD">
        <w:t xml:space="preserve"> </w:t>
      </w:r>
      <w:r w:rsidRPr="003015FD">
        <w:t>the</w:t>
      </w:r>
      <w:r w:rsidR="00975895" w:rsidRPr="003015FD">
        <w:t xml:space="preserve"> </w:t>
      </w:r>
      <w:r w:rsidRPr="003015FD">
        <w:t>Charter</w:t>
      </w:r>
      <w:r w:rsidR="00975895" w:rsidRPr="003015FD">
        <w:t xml:space="preserve"> </w:t>
      </w:r>
      <w:r w:rsidRPr="003015FD">
        <w:t>includes</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effective</w:t>
      </w:r>
      <w:r w:rsidR="00975895" w:rsidRPr="003015FD">
        <w:t xml:space="preserve"> </w:t>
      </w:r>
      <w:r w:rsidRPr="003015FD">
        <w:t>protection</w:t>
      </w:r>
      <w:r w:rsidR="00975895" w:rsidRPr="003015FD">
        <w:t xml:space="preserve"> </w:t>
      </w:r>
      <w:r w:rsidRPr="003015FD">
        <w:t>from</w:t>
      </w:r>
      <w:r w:rsidR="00975895" w:rsidRPr="003015FD">
        <w:t xml:space="preserve"> </w:t>
      </w:r>
      <w:r w:rsidRPr="003015FD">
        <w:t>direct</w:t>
      </w:r>
      <w:r w:rsidR="00975895" w:rsidRPr="003015FD">
        <w:t xml:space="preserve"> </w:t>
      </w:r>
      <w:r w:rsidRPr="003015FD">
        <w:t>or</w:t>
      </w:r>
      <w:r w:rsidR="00975895" w:rsidRPr="003015FD">
        <w:t xml:space="preserve"> </w:t>
      </w:r>
      <w:r w:rsidRPr="003015FD">
        <w:t>indirect</w:t>
      </w:r>
      <w:r w:rsidR="00975895" w:rsidRPr="003015FD">
        <w:t xml:space="preserve"> </w:t>
      </w:r>
      <w:r w:rsidRPr="003015FD">
        <w:t>discrimination</w:t>
      </w:r>
      <w:r w:rsidR="00975895" w:rsidRPr="003015FD">
        <w:t xml:space="preserve"> </w:t>
      </w:r>
      <w:r w:rsidRPr="003015FD">
        <w:t>in</w:t>
      </w:r>
      <w:r w:rsidR="00975895" w:rsidRPr="003015FD">
        <w:t xml:space="preserve"> </w:t>
      </w:r>
      <w:r w:rsidRPr="003015FD">
        <w:t>respect</w:t>
      </w:r>
      <w:r w:rsidR="00975895" w:rsidRPr="003015FD">
        <w:t xml:space="preserve"> </w:t>
      </w:r>
      <w:r w:rsidRPr="003015FD">
        <w:t>of</w:t>
      </w:r>
      <w:r w:rsidR="00975895" w:rsidRPr="003015FD">
        <w:t xml:space="preserve"> </w:t>
      </w:r>
      <w:r w:rsidRPr="003015FD">
        <w:t>access</w:t>
      </w:r>
      <w:r w:rsidR="00975895" w:rsidRPr="003015FD">
        <w:t xml:space="preserve"> </w:t>
      </w:r>
      <w:r w:rsidRPr="003015FD">
        <w:t>to,</w:t>
      </w:r>
      <w:r w:rsidR="00975895" w:rsidRPr="003015FD">
        <w:t xml:space="preserve"> </w:t>
      </w:r>
      <w:r w:rsidRPr="003015FD">
        <w:t>and</w:t>
      </w:r>
      <w:r w:rsidR="00975895" w:rsidRPr="003015FD">
        <w:t xml:space="preserve"> </w:t>
      </w:r>
      <w:r w:rsidRPr="003015FD">
        <w:t>use</w:t>
      </w:r>
      <w:r w:rsidR="00975895" w:rsidRPr="003015FD">
        <w:t xml:space="preserve"> </w:t>
      </w:r>
      <w:r w:rsidRPr="003015FD">
        <w:t>of,</w:t>
      </w:r>
      <w:r w:rsidR="00975895" w:rsidRPr="003015FD">
        <w:t xml:space="preserve"> </w:t>
      </w:r>
      <w:r w:rsidRPr="003015FD">
        <w:t>common</w:t>
      </w:r>
      <w:r w:rsidR="00975895" w:rsidRPr="003015FD">
        <w:t xml:space="preserve"> </w:t>
      </w:r>
      <w:r w:rsidRPr="003015FD">
        <w:t>property.</w:t>
      </w:r>
    </w:p>
    <w:p w14:paraId="37693CB6" w14:textId="0EC17E7A" w:rsidR="008E0945" w:rsidRPr="003015FD" w:rsidRDefault="008E0945" w:rsidP="00C9414D">
      <w:pPr>
        <w:pStyle w:val="Heading4"/>
        <w:rPr>
          <w:rStyle w:val="Characterclear"/>
        </w:rPr>
      </w:pPr>
      <w:r w:rsidRPr="0002642E">
        <w:rPr>
          <w:rStyle w:val="Characterbold"/>
          <w:lang w:val="en-GB"/>
        </w:rPr>
        <w:t>PBU</w:t>
      </w:r>
      <w:r w:rsidR="00975895" w:rsidRPr="0002642E">
        <w:rPr>
          <w:rStyle w:val="Characterbold"/>
          <w:lang w:val="en-GB"/>
        </w:rPr>
        <w:t xml:space="preserve"> </w:t>
      </w:r>
      <w:r w:rsidRPr="0002642E">
        <w:rPr>
          <w:rStyle w:val="Characterbold"/>
          <w:lang w:val="en-GB"/>
        </w:rPr>
        <w:t>&amp;</w:t>
      </w:r>
      <w:r w:rsidR="00975895" w:rsidRPr="0002642E">
        <w:rPr>
          <w:rStyle w:val="Characterbold"/>
          <w:lang w:val="en-GB"/>
        </w:rPr>
        <w:t xml:space="preserve"> </w:t>
      </w:r>
      <w:r w:rsidRPr="0002642E">
        <w:rPr>
          <w:rStyle w:val="Characterbold"/>
          <w:lang w:val="en-GB"/>
        </w:rPr>
        <w:t>NJE</w:t>
      </w:r>
      <w:r w:rsidR="00975895" w:rsidRPr="0002642E">
        <w:rPr>
          <w:rStyle w:val="Characterbold"/>
          <w:lang w:val="en-GB"/>
        </w:rPr>
        <w:t xml:space="preserve"> </w:t>
      </w:r>
      <w:r w:rsidRPr="0002642E">
        <w:rPr>
          <w:rStyle w:val="Characterbold"/>
          <w:lang w:val="en-GB"/>
        </w:rPr>
        <w:t>v</w:t>
      </w:r>
      <w:r w:rsidR="00975895" w:rsidRPr="0002642E">
        <w:rPr>
          <w:rStyle w:val="Characterbold"/>
          <w:lang w:val="en-GB"/>
        </w:rPr>
        <w:t xml:space="preserve"> </w:t>
      </w:r>
      <w:r w:rsidRPr="0002642E">
        <w:rPr>
          <w:rStyle w:val="Characterbold"/>
        </w:rPr>
        <w:t>Mental</w:t>
      </w:r>
      <w:r w:rsidR="00975895" w:rsidRPr="0002642E">
        <w:rPr>
          <w:rStyle w:val="Characterbold"/>
          <w:lang w:val="en-GB"/>
        </w:rPr>
        <w:t xml:space="preserve"> </w:t>
      </w:r>
      <w:r w:rsidRPr="0002642E">
        <w:rPr>
          <w:rStyle w:val="Characterbold"/>
          <w:lang w:val="en-GB"/>
        </w:rPr>
        <w:t>Health</w:t>
      </w:r>
      <w:r w:rsidR="00975895" w:rsidRPr="0002642E">
        <w:rPr>
          <w:rStyle w:val="Characterbold"/>
          <w:lang w:val="en-GB"/>
        </w:rPr>
        <w:t xml:space="preserve"> </w:t>
      </w:r>
      <w:r w:rsidRPr="0002642E">
        <w:rPr>
          <w:rStyle w:val="Characterbold"/>
          <w:lang w:val="en-GB"/>
        </w:rPr>
        <w:t>Tribunal</w:t>
      </w:r>
      <w:r w:rsidRPr="004862C5">
        <w:rPr>
          <w:rStyle w:val="FootnoteReference"/>
        </w:rPr>
        <w:footnoteReference w:id="88"/>
      </w:r>
    </w:p>
    <w:p w14:paraId="5B4AEAD5" w14:textId="301DC804" w:rsidR="008E0945" w:rsidRPr="003015FD" w:rsidRDefault="008E0945" w:rsidP="0002642E">
      <w:r w:rsidRPr="003015FD">
        <w:t>This</w:t>
      </w:r>
      <w:r w:rsidR="00975895" w:rsidRPr="003015FD">
        <w:t xml:space="preserve"> </w:t>
      </w:r>
      <w:r w:rsidRPr="003015FD">
        <w:t>was</w:t>
      </w:r>
      <w:r w:rsidR="00975895" w:rsidRPr="003015FD">
        <w:t xml:space="preserve"> </w:t>
      </w:r>
      <w:r w:rsidRPr="003015FD">
        <w:t>an</w:t>
      </w:r>
      <w:r w:rsidR="00975895" w:rsidRPr="003015FD">
        <w:t xml:space="preserve"> </w:t>
      </w:r>
      <w:r w:rsidRPr="003015FD">
        <w:t>appeal</w:t>
      </w:r>
      <w:r w:rsidR="00975895" w:rsidRPr="003015FD">
        <w:t xml:space="preserve"> </w:t>
      </w:r>
      <w:r w:rsidRPr="003015FD">
        <w:t>of</w:t>
      </w:r>
      <w:r w:rsidR="00975895" w:rsidRPr="003015FD">
        <w:t xml:space="preserve"> </w:t>
      </w:r>
      <w:r w:rsidRPr="003015FD">
        <w:t>a</w:t>
      </w:r>
      <w:r w:rsidR="00975895" w:rsidRPr="003015FD">
        <w:t xml:space="preserve"> </w:t>
      </w:r>
      <w:r w:rsidRPr="003015FD">
        <w:t>decision</w:t>
      </w:r>
      <w:r w:rsidR="00975895" w:rsidRPr="003015FD">
        <w:t xml:space="preserve"> </w:t>
      </w:r>
      <w:r w:rsidRPr="003015FD">
        <w:t>from</w:t>
      </w:r>
      <w:r w:rsidR="00975895" w:rsidRPr="003015FD">
        <w:t xml:space="preserve"> </w:t>
      </w:r>
      <w:r w:rsidRPr="003015FD">
        <w:t>the</w:t>
      </w:r>
      <w:r w:rsidR="00975895" w:rsidRPr="003015FD">
        <w:t xml:space="preserve"> </w:t>
      </w:r>
      <w:r w:rsidRPr="003015FD">
        <w:t>Victorian</w:t>
      </w:r>
      <w:r w:rsidR="00975895" w:rsidRPr="003015FD">
        <w:t xml:space="preserve"> </w:t>
      </w:r>
      <w:r w:rsidRPr="003015FD">
        <w:t>Civil</w:t>
      </w:r>
      <w:r w:rsidR="00975895" w:rsidRPr="003015FD">
        <w:t xml:space="preserve"> </w:t>
      </w:r>
      <w:r w:rsidRPr="003015FD">
        <w:t>and</w:t>
      </w:r>
      <w:r w:rsidR="00975895" w:rsidRPr="003015FD">
        <w:t xml:space="preserve"> </w:t>
      </w:r>
      <w:r w:rsidRPr="003015FD">
        <w:t>Administrative</w:t>
      </w:r>
      <w:r w:rsidR="00975895" w:rsidRPr="003015FD">
        <w:t xml:space="preserve"> </w:t>
      </w:r>
      <w:r w:rsidRPr="003015FD">
        <w:t>Tribunal</w:t>
      </w:r>
      <w:r w:rsidR="00975895" w:rsidRPr="003015FD">
        <w:t xml:space="preserve"> </w:t>
      </w:r>
      <w:r w:rsidRPr="003015FD">
        <w:t>that</w:t>
      </w:r>
      <w:r w:rsidR="00975895" w:rsidRPr="003015FD">
        <w:t xml:space="preserve"> </w:t>
      </w:r>
      <w:r w:rsidRPr="003015FD">
        <w:t>the</w:t>
      </w:r>
      <w:r w:rsidR="00975895" w:rsidRPr="003015FD">
        <w:t xml:space="preserve"> </w:t>
      </w:r>
      <w:r w:rsidRPr="003015FD">
        <w:t>plaintiffs,</w:t>
      </w:r>
      <w:r w:rsidR="00975895" w:rsidRPr="003015FD">
        <w:t xml:space="preserve"> </w:t>
      </w:r>
      <w:r w:rsidRPr="003015FD">
        <w:t>who</w:t>
      </w:r>
      <w:r w:rsidR="00975895" w:rsidRPr="003015FD">
        <w:t xml:space="preserve"> </w:t>
      </w:r>
      <w:r w:rsidRPr="003015FD">
        <w:t>have</w:t>
      </w:r>
      <w:r w:rsidR="00975895" w:rsidRPr="003015FD">
        <w:t xml:space="preserve"> </w:t>
      </w:r>
      <w:r w:rsidRPr="003015FD">
        <w:t>a</w:t>
      </w:r>
      <w:r w:rsidR="00975895" w:rsidRPr="003015FD">
        <w:t xml:space="preserve"> </w:t>
      </w:r>
      <w:r w:rsidRPr="003015FD">
        <w:t>mental</w:t>
      </w:r>
      <w:r w:rsidR="00975895" w:rsidRPr="003015FD">
        <w:t xml:space="preserve"> </w:t>
      </w:r>
      <w:r w:rsidRPr="003015FD">
        <w:t>illness,</w:t>
      </w:r>
      <w:r w:rsidR="00975895" w:rsidRPr="003015FD">
        <w:t xml:space="preserve"> </w:t>
      </w:r>
      <w:r w:rsidRPr="003015FD">
        <w:t>be</w:t>
      </w:r>
      <w:r w:rsidR="00975895" w:rsidRPr="003015FD">
        <w:t xml:space="preserve"> </w:t>
      </w:r>
      <w:r w:rsidRPr="003015FD">
        <w:t>compulsorily</w:t>
      </w:r>
      <w:r w:rsidR="00975895" w:rsidRPr="003015FD">
        <w:t xml:space="preserve"> </w:t>
      </w:r>
      <w:r w:rsidRPr="003015FD">
        <w:t>subjected</w:t>
      </w:r>
      <w:r w:rsidR="00975895" w:rsidRPr="003015FD">
        <w:t xml:space="preserve"> </w:t>
      </w:r>
      <w:r w:rsidRPr="003015FD">
        <w:t>to</w:t>
      </w:r>
      <w:r w:rsidR="00975895" w:rsidRPr="003015FD">
        <w:t xml:space="preserve"> </w:t>
      </w:r>
      <w:r w:rsidRPr="003015FD">
        <w:t>electroconvulsive</w:t>
      </w:r>
      <w:r w:rsidR="00975895" w:rsidRPr="003015FD">
        <w:t xml:space="preserve"> </w:t>
      </w:r>
      <w:r w:rsidRPr="003015FD">
        <w:t>treatment.</w:t>
      </w:r>
    </w:p>
    <w:p w14:paraId="641FE09E" w14:textId="5308BF37" w:rsidR="008E0945" w:rsidRPr="003015FD" w:rsidRDefault="008E0945" w:rsidP="005B74F5">
      <w:r w:rsidRPr="003015FD">
        <w:t>The</w:t>
      </w:r>
      <w:r w:rsidR="00975895" w:rsidRPr="003015FD">
        <w:t xml:space="preserve"> </w:t>
      </w:r>
      <w:r w:rsidRPr="003015FD">
        <w:t>Supreme</w:t>
      </w:r>
      <w:r w:rsidR="00975895" w:rsidRPr="003015FD">
        <w:t xml:space="preserve"> </w:t>
      </w:r>
      <w:r w:rsidRPr="003015FD">
        <w:t>Court</w:t>
      </w:r>
      <w:r w:rsidR="00975895" w:rsidRPr="003015FD">
        <w:t xml:space="preserve"> </w:t>
      </w:r>
      <w:r w:rsidRPr="003015FD">
        <w:t>noted</w:t>
      </w:r>
      <w:r w:rsidR="00975895" w:rsidRPr="003015FD">
        <w:t xml:space="preserve"> </w:t>
      </w:r>
      <w:r w:rsidRPr="003015FD">
        <w:t>the</w:t>
      </w:r>
      <w:r w:rsidR="00975895" w:rsidRPr="003015FD">
        <w:t xml:space="preserve"> </w:t>
      </w:r>
      <w:r w:rsidRPr="003015FD">
        <w:t>case</w:t>
      </w:r>
      <w:r w:rsidR="00975895" w:rsidRPr="003015FD">
        <w:t xml:space="preserve"> </w:t>
      </w:r>
      <w:r w:rsidRPr="003015FD">
        <w:t>raised</w:t>
      </w:r>
      <w:r w:rsidR="00975895" w:rsidRPr="003015FD">
        <w:t xml:space="preserve"> </w:t>
      </w:r>
      <w:r w:rsidRPr="003015FD">
        <w:t>important</w:t>
      </w:r>
      <w:r w:rsidR="00975895" w:rsidRPr="003015FD">
        <w:t xml:space="preserve"> </w:t>
      </w:r>
      <w:r w:rsidRPr="003015FD">
        <w:t>legal</w:t>
      </w:r>
      <w:r w:rsidR="00975895" w:rsidRPr="003015FD">
        <w:t xml:space="preserve"> </w:t>
      </w:r>
      <w:r w:rsidRPr="003015FD">
        <w:t>issues</w:t>
      </w:r>
      <w:r w:rsidR="00975895" w:rsidRPr="003015FD">
        <w:t xml:space="preserve"> </w:t>
      </w:r>
      <w:r w:rsidRPr="003015FD">
        <w:t>about</w:t>
      </w:r>
      <w:r w:rsidR="00975895" w:rsidRPr="003015FD">
        <w:t xml:space="preserve"> </w:t>
      </w:r>
      <w:r w:rsidRPr="003015FD">
        <w:t>the</w:t>
      </w:r>
      <w:r w:rsidR="00975895" w:rsidRPr="003015FD">
        <w:t xml:space="preserve"> </w:t>
      </w:r>
      <w:hyperlink r:id="rId46" w:history="1">
        <w:r w:rsidRPr="003015FD">
          <w:rPr>
            <w:rStyle w:val="Characteritalic"/>
            <w:lang w:val="en-GB"/>
          </w:rPr>
          <w:t>Mental</w:t>
        </w:r>
        <w:r w:rsidR="00975895" w:rsidRPr="003015FD">
          <w:rPr>
            <w:rStyle w:val="Characteritalic"/>
            <w:lang w:val="en-GB"/>
          </w:rPr>
          <w:t xml:space="preserve"> </w:t>
        </w:r>
        <w:r w:rsidRPr="003015FD">
          <w:rPr>
            <w:rStyle w:val="Characteritalic"/>
            <w:lang w:val="en-GB"/>
          </w:rPr>
          <w:t>Health</w:t>
        </w:r>
        <w:r w:rsidR="00975895" w:rsidRPr="003015FD">
          <w:rPr>
            <w:rStyle w:val="Characteritalic"/>
            <w:lang w:val="en-GB"/>
          </w:rPr>
          <w:t xml:space="preserve"> </w:t>
        </w:r>
        <w:r w:rsidRPr="003015FD">
          <w:rPr>
            <w:rStyle w:val="Characteritalic"/>
            <w:lang w:val="en-GB"/>
          </w:rPr>
          <w:t>Act</w:t>
        </w:r>
      </w:hyperlink>
      <w:r w:rsidR="00975895" w:rsidRPr="0002642E">
        <w:rPr>
          <w:rStyle w:val="Characteritalic"/>
          <w:lang w:val="en-GB"/>
        </w:rPr>
        <w:t xml:space="preserve"> </w:t>
      </w:r>
      <w:r w:rsidRPr="0002642E">
        <w:rPr>
          <w:rStyle w:val="Characteritalic"/>
          <w:lang w:val="en-GB"/>
        </w:rPr>
        <w:t>2014</w:t>
      </w:r>
      <w:r w:rsidR="001706A9" w:rsidRPr="0002642E">
        <w:rPr>
          <w:rStyle w:val="Characteritalic"/>
          <w:lang w:val="en-GB"/>
        </w:rPr>
        <w:t xml:space="preserve"> </w:t>
      </w:r>
      <w:r w:rsidR="001706A9">
        <w:t>(Vic)</w:t>
      </w:r>
      <w:r w:rsidRPr="0002642E">
        <w:rPr>
          <w:rStyle w:val="Characteritalic"/>
          <w:i w:val="0"/>
          <w:lang w:val="en-GB"/>
        </w:rPr>
        <w:t>,</w:t>
      </w:r>
      <w:r w:rsidR="00975895" w:rsidRPr="0002642E">
        <w:rPr>
          <w:rStyle w:val="Characteritalic"/>
          <w:i w:val="0"/>
          <w:lang w:val="en-GB"/>
        </w:rPr>
        <w:t xml:space="preserve"> </w:t>
      </w:r>
      <w:r w:rsidRPr="0002642E">
        <w:rPr>
          <w:rStyle w:val="Characteritalic"/>
          <w:i w:val="0"/>
          <w:lang w:val="en-GB"/>
        </w:rPr>
        <w:t>especially</w:t>
      </w:r>
      <w:r w:rsidR="00975895" w:rsidRPr="0002642E">
        <w:rPr>
          <w:rStyle w:val="Characteritalic"/>
          <w:i w:val="0"/>
          <w:lang w:val="en-GB"/>
        </w:rPr>
        <w:t xml:space="preserve"> </w:t>
      </w:r>
      <w:r w:rsidRPr="0002642E">
        <w:rPr>
          <w:rStyle w:val="Characteritalic"/>
          <w:i w:val="0"/>
          <w:lang w:val="en-GB"/>
        </w:rPr>
        <w:t>provisions</w:t>
      </w:r>
      <w:r w:rsidR="00975895" w:rsidRPr="0002642E">
        <w:rPr>
          <w:rStyle w:val="Characteritalic"/>
          <w:i w:val="0"/>
          <w:lang w:val="en-GB"/>
        </w:rPr>
        <w:t xml:space="preserve"> </w:t>
      </w:r>
      <w:r w:rsidRPr="0002642E">
        <w:rPr>
          <w:rStyle w:val="Characteritalic"/>
          <w:i w:val="0"/>
          <w:lang w:val="en-GB"/>
        </w:rPr>
        <w:t>on</w:t>
      </w:r>
      <w:r w:rsidR="00975895" w:rsidRPr="0002642E">
        <w:rPr>
          <w:rStyle w:val="Characteritalic"/>
          <w:i w:val="0"/>
          <w:lang w:val="en-GB"/>
        </w:rPr>
        <w:t xml:space="preserve"> </w:t>
      </w:r>
      <w:r w:rsidRPr="0002642E">
        <w:rPr>
          <w:rStyle w:val="Characteritalic"/>
          <w:i w:val="0"/>
          <w:lang w:val="en-GB"/>
        </w:rPr>
        <w:t>capacity</w:t>
      </w:r>
      <w:r w:rsidR="00975895" w:rsidRPr="0002642E">
        <w:rPr>
          <w:rStyle w:val="Characteritalic"/>
          <w:i w:val="0"/>
          <w:lang w:val="en-GB"/>
        </w:rPr>
        <w:t xml:space="preserve"> </w:t>
      </w:r>
      <w:r w:rsidRPr="0002642E">
        <w:rPr>
          <w:rStyle w:val="Characteritalic"/>
          <w:i w:val="0"/>
          <w:lang w:val="en-GB"/>
        </w:rPr>
        <w:t>to</w:t>
      </w:r>
      <w:r w:rsidR="00975895" w:rsidRPr="0002642E">
        <w:rPr>
          <w:rStyle w:val="Characteritalic"/>
          <w:i w:val="0"/>
          <w:lang w:val="en-GB"/>
        </w:rPr>
        <w:t xml:space="preserve"> </w:t>
      </w:r>
      <w:r w:rsidRPr="0002642E">
        <w:rPr>
          <w:rStyle w:val="Characteritalic"/>
          <w:i w:val="0"/>
          <w:lang w:val="en-GB"/>
        </w:rPr>
        <w:t>consent</w:t>
      </w:r>
      <w:r w:rsidR="00975895" w:rsidRPr="0002642E">
        <w:rPr>
          <w:rStyle w:val="Characteritalic"/>
          <w:i w:val="0"/>
          <w:lang w:val="en-GB"/>
        </w:rPr>
        <w:t xml:space="preserve"> </w:t>
      </w:r>
      <w:r w:rsidRPr="0002642E">
        <w:rPr>
          <w:rStyle w:val="Characteritalic"/>
          <w:i w:val="0"/>
          <w:lang w:val="en-GB"/>
        </w:rPr>
        <w:t>to</w:t>
      </w:r>
      <w:r w:rsidR="00975895" w:rsidRPr="0002642E">
        <w:rPr>
          <w:rStyle w:val="Characteritalic"/>
          <w:i w:val="0"/>
          <w:lang w:val="en-GB"/>
        </w:rPr>
        <w:t xml:space="preserve"> </w:t>
      </w:r>
      <w:r w:rsidRPr="0002642E">
        <w:rPr>
          <w:rStyle w:val="Characteritalic"/>
          <w:i w:val="0"/>
          <w:lang w:val="en-GB"/>
        </w:rPr>
        <w:t>or</w:t>
      </w:r>
      <w:r w:rsidR="00975895" w:rsidRPr="0002642E">
        <w:rPr>
          <w:rStyle w:val="Characteritalic"/>
          <w:i w:val="0"/>
          <w:lang w:val="en-GB"/>
        </w:rPr>
        <w:t xml:space="preserve"> </w:t>
      </w:r>
      <w:r w:rsidRPr="0002642E">
        <w:rPr>
          <w:rStyle w:val="Characteritalic"/>
          <w:i w:val="0"/>
          <w:lang w:val="en-GB"/>
        </w:rPr>
        <w:t>decline</w:t>
      </w:r>
      <w:r w:rsidR="00975895" w:rsidRPr="0002642E">
        <w:rPr>
          <w:rStyle w:val="Characteritalic"/>
          <w:i w:val="0"/>
          <w:lang w:val="en-GB"/>
        </w:rPr>
        <w:t xml:space="preserve"> </w:t>
      </w:r>
      <w:r w:rsidRPr="0002642E">
        <w:rPr>
          <w:rStyle w:val="Characteritalic"/>
          <w:i w:val="0"/>
          <w:lang w:val="en-GB"/>
        </w:rPr>
        <w:t>treatment,</w:t>
      </w:r>
      <w:r w:rsidR="00975895" w:rsidRPr="0002642E">
        <w:rPr>
          <w:rStyle w:val="Characteritalic"/>
          <w:i w:val="0"/>
          <w:lang w:val="en-GB"/>
        </w:rPr>
        <w:t xml:space="preserve"> </w:t>
      </w:r>
      <w:r w:rsidRPr="0002642E">
        <w:rPr>
          <w:rStyle w:val="Characteritalic"/>
          <w:i w:val="0"/>
          <w:lang w:val="en-GB"/>
        </w:rPr>
        <w:t>in</w:t>
      </w:r>
      <w:r w:rsidR="00975895" w:rsidRPr="0002642E">
        <w:rPr>
          <w:rStyle w:val="Characteritalic"/>
          <w:i w:val="0"/>
          <w:lang w:val="en-GB"/>
        </w:rPr>
        <w:t xml:space="preserve"> </w:t>
      </w:r>
      <w:r w:rsidRPr="0002642E">
        <w:rPr>
          <w:rStyle w:val="Characteritalic"/>
          <w:i w:val="0"/>
          <w:lang w:val="en-GB"/>
        </w:rPr>
        <w:t>light</w:t>
      </w:r>
      <w:r w:rsidR="00975895" w:rsidRPr="0002642E">
        <w:rPr>
          <w:rStyle w:val="Characteritalic"/>
          <w:i w:val="0"/>
          <w:lang w:val="en-GB"/>
        </w:rPr>
        <w:t xml:space="preserve"> </w:t>
      </w:r>
      <w:r w:rsidRPr="0002642E">
        <w:rPr>
          <w:rStyle w:val="Characteritalic"/>
          <w:i w:val="0"/>
          <w:lang w:val="en-GB"/>
        </w:rPr>
        <w:t>of</w:t>
      </w:r>
      <w:r w:rsidR="00975895" w:rsidRPr="0002642E">
        <w:rPr>
          <w:rStyle w:val="Characteritalic"/>
          <w:i w:val="0"/>
          <w:lang w:val="en-GB"/>
        </w:rPr>
        <w:t xml:space="preserve"> </w:t>
      </w:r>
      <w:r w:rsidRPr="003015FD">
        <w:t>human</w:t>
      </w:r>
      <w:r w:rsidR="00975895" w:rsidRPr="003015FD">
        <w:t xml:space="preserve"> </w:t>
      </w:r>
      <w:r w:rsidRPr="003015FD">
        <w:t>rights</w:t>
      </w:r>
      <w:r w:rsidR="00975895" w:rsidRPr="003015FD">
        <w:t xml:space="preserve"> </w:t>
      </w:r>
      <w:r w:rsidRPr="003015FD">
        <w:t>specified</w:t>
      </w:r>
      <w:r w:rsidR="00975895" w:rsidRPr="003015FD">
        <w:t xml:space="preserve"> </w:t>
      </w:r>
      <w:r w:rsidRPr="003015FD">
        <w:t>in</w:t>
      </w:r>
      <w:r w:rsidR="00975895" w:rsidRPr="003015FD">
        <w:t xml:space="preserve"> </w:t>
      </w:r>
      <w:r w:rsidRPr="003015FD">
        <w:t>the</w:t>
      </w:r>
      <w:r w:rsidR="00975895" w:rsidRPr="003015FD">
        <w:t xml:space="preserve"> </w:t>
      </w:r>
      <w:r w:rsidRPr="003015FD">
        <w:t>Charter.</w:t>
      </w:r>
      <w:r w:rsidRPr="004862C5">
        <w:rPr>
          <w:rStyle w:val="FootnoteReference"/>
        </w:rPr>
        <w:footnoteReference w:id="89"/>
      </w:r>
    </w:p>
    <w:p w14:paraId="35F8F52D" w14:textId="699977D9" w:rsidR="008E0945" w:rsidRPr="003015FD" w:rsidRDefault="008E0945" w:rsidP="0002642E">
      <w:r w:rsidRPr="003015FD">
        <w:t>The</w:t>
      </w:r>
      <w:r w:rsidR="00975895" w:rsidRPr="003015FD">
        <w:t xml:space="preserve"> </w:t>
      </w:r>
      <w:r w:rsidRPr="003015FD">
        <w:t>court</w:t>
      </w:r>
      <w:r w:rsidR="00975895" w:rsidRPr="003015FD">
        <w:t xml:space="preserve"> </w:t>
      </w:r>
      <w:r w:rsidRPr="003015FD">
        <w:t>stated</w:t>
      </w:r>
      <w:r w:rsidR="00975895" w:rsidRPr="003015FD">
        <w:t xml:space="preserve"> </w:t>
      </w:r>
      <w:r w:rsidRPr="003015FD">
        <w:t>the</w:t>
      </w:r>
      <w:r w:rsidR="00975895" w:rsidRPr="003015FD">
        <w:t xml:space="preserve"> </w:t>
      </w:r>
      <w:r w:rsidRPr="003015FD">
        <w:t>fundamental</w:t>
      </w:r>
      <w:r w:rsidR="00975895" w:rsidRPr="003015FD">
        <w:t xml:space="preserve"> </w:t>
      </w:r>
      <w:r w:rsidRPr="003015FD">
        <w:t>purpose</w:t>
      </w:r>
      <w:r w:rsidR="00975895" w:rsidRPr="003015FD">
        <w:t xml:space="preserve"> </w:t>
      </w:r>
      <w:r w:rsidRPr="003015FD">
        <w:t>of</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equality</w:t>
      </w:r>
      <w:r w:rsidR="00975895" w:rsidRPr="003015FD">
        <w:t xml:space="preserve"> </w:t>
      </w:r>
      <w:r w:rsidRPr="003015FD">
        <w:t>before</w:t>
      </w:r>
      <w:r w:rsidR="00975895" w:rsidRPr="003015FD">
        <w:t xml:space="preserve"> </w:t>
      </w:r>
      <w:r w:rsidRPr="003015FD">
        <w:t>the</w:t>
      </w:r>
      <w:r w:rsidR="00975895" w:rsidRPr="003015FD">
        <w:t xml:space="preserve"> </w:t>
      </w:r>
      <w:r w:rsidRPr="003015FD">
        <w:t>law</w:t>
      </w:r>
      <w:r w:rsidR="00975895" w:rsidRPr="003015FD">
        <w:t xml:space="preserve"> </w:t>
      </w:r>
      <w:r w:rsidRPr="003015FD">
        <w:t>is</w:t>
      </w:r>
      <w:r w:rsidR="00975895" w:rsidRPr="003015FD">
        <w:t xml:space="preserve"> </w:t>
      </w:r>
      <w:r w:rsidRPr="003015FD">
        <w:t>to</w:t>
      </w:r>
      <w:r w:rsidR="00975895" w:rsidRPr="003015FD">
        <w:t xml:space="preserve"> </w:t>
      </w:r>
      <w:r w:rsidRPr="003015FD">
        <w:t>protect</w:t>
      </w:r>
      <w:r w:rsidR="00975895" w:rsidRPr="003015FD">
        <w:t xml:space="preserve"> </w:t>
      </w:r>
      <w:r w:rsidRPr="003015FD">
        <w:t>the</w:t>
      </w:r>
      <w:r w:rsidR="00975895" w:rsidRPr="003015FD">
        <w:t xml:space="preserve"> </w:t>
      </w:r>
      <w:r w:rsidRPr="003015FD">
        <w:t>inherent</w:t>
      </w:r>
      <w:r w:rsidR="00975895" w:rsidRPr="003015FD">
        <w:t xml:space="preserve"> </w:t>
      </w:r>
      <w:r w:rsidRPr="003015FD">
        <w:t>and</w:t>
      </w:r>
      <w:r w:rsidR="00975895" w:rsidRPr="003015FD">
        <w:t xml:space="preserve"> </w:t>
      </w:r>
      <w:r w:rsidRPr="003015FD">
        <w:t>universal</w:t>
      </w:r>
      <w:r w:rsidR="00975895" w:rsidRPr="003015FD">
        <w:t xml:space="preserve"> </w:t>
      </w:r>
      <w:r w:rsidRPr="003015FD">
        <w:t>dignity</w:t>
      </w:r>
      <w:r w:rsidR="00975895" w:rsidRPr="003015FD">
        <w:t xml:space="preserve"> </w:t>
      </w:r>
      <w:r w:rsidRPr="003015FD">
        <w:t>of</w:t>
      </w:r>
      <w:r w:rsidR="00975895" w:rsidRPr="003015FD">
        <w:t xml:space="preserve"> </w:t>
      </w:r>
      <w:r w:rsidRPr="003015FD">
        <w:t>human</w:t>
      </w:r>
      <w:r w:rsidR="00975895" w:rsidRPr="003015FD">
        <w:t xml:space="preserve"> </w:t>
      </w:r>
      <w:r w:rsidRPr="003015FD">
        <w:t>persons.</w:t>
      </w:r>
      <w:r w:rsidR="00975895" w:rsidRPr="003015FD">
        <w:t xml:space="preserve"> </w:t>
      </w:r>
      <w:r w:rsidRPr="003015FD">
        <w:t>This</w:t>
      </w:r>
      <w:r w:rsidR="00975895" w:rsidRPr="003015FD">
        <w:t xml:space="preserve"> </w:t>
      </w:r>
      <w:r w:rsidRPr="003015FD">
        <w:t>right</w:t>
      </w:r>
      <w:r w:rsidR="00975895" w:rsidRPr="003015FD">
        <w:t xml:space="preserve"> </w:t>
      </w:r>
      <w:r w:rsidRPr="003015FD">
        <w:t>is</w:t>
      </w:r>
      <w:r w:rsidR="00975895" w:rsidRPr="003015FD">
        <w:t xml:space="preserve"> </w:t>
      </w:r>
      <w:r w:rsidRPr="003015FD">
        <w:t>particularly</w:t>
      </w:r>
      <w:r w:rsidR="00975895" w:rsidRPr="003015FD">
        <w:t xml:space="preserve"> </w:t>
      </w:r>
      <w:r w:rsidRPr="003015FD">
        <w:t>important</w:t>
      </w:r>
      <w:r w:rsidR="00975895" w:rsidRPr="003015FD">
        <w:t xml:space="preserve"> </w:t>
      </w:r>
      <w:r w:rsidRPr="003015FD">
        <w:t>for</w:t>
      </w:r>
      <w:r w:rsidR="00975895" w:rsidRPr="003015FD">
        <w:t xml:space="preserve"> </w:t>
      </w:r>
      <w:r w:rsidRPr="003015FD">
        <w:t>persons</w:t>
      </w:r>
      <w:r w:rsidR="00975895" w:rsidRPr="003015FD">
        <w:t xml:space="preserve"> </w:t>
      </w:r>
      <w:r w:rsidRPr="003015FD">
        <w:t>with</w:t>
      </w:r>
      <w:r w:rsidR="00975895" w:rsidRPr="003015FD">
        <w:t xml:space="preserve"> </w:t>
      </w:r>
      <w:r w:rsidRPr="003015FD">
        <w:t>a</w:t>
      </w:r>
      <w:r w:rsidR="00975895" w:rsidRPr="003015FD">
        <w:t xml:space="preserve"> </w:t>
      </w:r>
      <w:r w:rsidRPr="003015FD">
        <w:t>mental</w:t>
      </w:r>
      <w:r w:rsidR="00975895" w:rsidRPr="003015FD">
        <w:t xml:space="preserve"> </w:t>
      </w:r>
      <w:r w:rsidRPr="003015FD">
        <w:t>illness</w:t>
      </w:r>
      <w:r w:rsidR="00975895" w:rsidRPr="003015FD">
        <w:t xml:space="preserve"> </w:t>
      </w:r>
      <w:r w:rsidRPr="003015FD">
        <w:t>as</w:t>
      </w:r>
      <w:r w:rsidR="00975895" w:rsidRPr="003015FD">
        <w:t xml:space="preserve"> </w:t>
      </w:r>
      <w:r w:rsidRPr="003015FD">
        <w:t>they</w:t>
      </w:r>
      <w:r w:rsidR="00975895" w:rsidRPr="003015FD">
        <w:t xml:space="preserve"> </w:t>
      </w:r>
      <w:r w:rsidRPr="003015FD">
        <w:t>are</w:t>
      </w:r>
      <w:r w:rsidR="00975895" w:rsidRPr="003015FD">
        <w:t xml:space="preserve"> </w:t>
      </w:r>
      <w:r w:rsidRPr="003015FD">
        <w:t>especially</w:t>
      </w:r>
      <w:r w:rsidR="00975895" w:rsidRPr="003015FD">
        <w:t xml:space="preserve"> </w:t>
      </w:r>
      <w:r w:rsidRPr="003015FD">
        <w:t>vulnerable</w:t>
      </w:r>
      <w:r w:rsidR="00975895" w:rsidRPr="003015FD">
        <w:t xml:space="preserve"> </w:t>
      </w:r>
      <w:r w:rsidRPr="003015FD">
        <w:t>to</w:t>
      </w:r>
      <w:r w:rsidR="00975895" w:rsidRPr="003015FD">
        <w:t xml:space="preserve"> </w:t>
      </w:r>
      <w:r w:rsidRPr="003015FD">
        <w:t>discriminatory</w:t>
      </w:r>
      <w:r w:rsidR="00975895" w:rsidRPr="003015FD">
        <w:t xml:space="preserve"> </w:t>
      </w:r>
      <w:r w:rsidRPr="003015FD">
        <w:t>ill-treatment,</w:t>
      </w:r>
      <w:r w:rsidR="00975895" w:rsidRPr="003015FD">
        <w:t xml:space="preserve"> </w:t>
      </w:r>
      <w:r w:rsidRPr="003015FD">
        <w:t>stigmatisation</w:t>
      </w:r>
      <w:r w:rsidR="00975895" w:rsidRPr="003015FD">
        <w:t xml:space="preserve"> </w:t>
      </w:r>
      <w:r w:rsidRPr="003015FD">
        <w:t>and</w:t>
      </w:r>
      <w:r w:rsidR="00975895" w:rsidRPr="003015FD">
        <w:t xml:space="preserve"> </w:t>
      </w:r>
      <w:r w:rsidRPr="003015FD">
        <w:t>personal</w:t>
      </w:r>
      <w:r w:rsidR="00975895" w:rsidRPr="003015FD">
        <w:t xml:space="preserve"> </w:t>
      </w:r>
      <w:r w:rsidRPr="003015FD">
        <w:t>disempowerment.</w:t>
      </w:r>
      <w:r w:rsidRPr="004862C5">
        <w:rPr>
          <w:rStyle w:val="FootnoteReference"/>
        </w:rPr>
        <w:footnoteReference w:id="90"/>
      </w:r>
      <w:r w:rsidR="00975895" w:rsidRPr="003015FD">
        <w:t xml:space="preserve"> </w:t>
      </w:r>
    </w:p>
    <w:p w14:paraId="2AE288C7" w14:textId="361DB053" w:rsidR="008E0945" w:rsidRPr="003015FD" w:rsidRDefault="008E0945" w:rsidP="0002642E">
      <w:r w:rsidRPr="003015FD">
        <w:t>The</w:t>
      </w:r>
      <w:r w:rsidR="00975895" w:rsidRPr="003015FD">
        <w:t xml:space="preserve"> </w:t>
      </w:r>
      <w:r w:rsidRPr="003015FD">
        <w:t>court</w:t>
      </w:r>
      <w:r w:rsidR="00975895" w:rsidRPr="003015FD">
        <w:t xml:space="preserve"> </w:t>
      </w:r>
      <w:r w:rsidRPr="003015FD">
        <w:t>found</w:t>
      </w:r>
      <w:r w:rsidR="00975895" w:rsidRPr="003015FD">
        <w:t xml:space="preserve"> </w:t>
      </w:r>
      <w:r w:rsidRPr="003015FD">
        <w:t>people</w:t>
      </w:r>
      <w:r w:rsidR="00975895" w:rsidRPr="003015FD">
        <w:t xml:space="preserve"> </w:t>
      </w:r>
      <w:r w:rsidRPr="003015FD">
        <w:t>with</w:t>
      </w:r>
      <w:r w:rsidR="00975895" w:rsidRPr="003015FD">
        <w:t xml:space="preserve"> </w:t>
      </w:r>
      <w:r w:rsidRPr="003015FD">
        <w:t>mental</w:t>
      </w:r>
      <w:r w:rsidR="00975895" w:rsidRPr="003015FD">
        <w:t xml:space="preserve"> </w:t>
      </w:r>
      <w:r w:rsidRPr="003015FD">
        <w:t>illness</w:t>
      </w:r>
      <w:r w:rsidR="00975895" w:rsidRPr="003015FD">
        <w:t xml:space="preserve"> </w:t>
      </w:r>
      <w:r w:rsidRPr="003015FD">
        <w:t>are</w:t>
      </w:r>
      <w:r w:rsidR="00975895" w:rsidRPr="003015FD">
        <w:t xml:space="preserve"> </w:t>
      </w:r>
      <w:r w:rsidRPr="003015FD">
        <w:t>highly</w:t>
      </w:r>
      <w:r w:rsidR="00975895" w:rsidRPr="003015FD">
        <w:t xml:space="preserve"> </w:t>
      </w:r>
      <w:r w:rsidRPr="003015FD">
        <w:t>vulnerable</w:t>
      </w:r>
      <w:r w:rsidR="00975895" w:rsidRPr="003015FD">
        <w:t xml:space="preserve"> </w:t>
      </w:r>
      <w:r w:rsidRPr="003015FD">
        <w:t>to</w:t>
      </w:r>
      <w:r w:rsidR="00975895" w:rsidRPr="003015FD">
        <w:t xml:space="preserve"> </w:t>
      </w:r>
      <w:r w:rsidRPr="003015FD">
        <w:t>interference</w:t>
      </w:r>
      <w:r w:rsidR="00975895" w:rsidRPr="003015FD">
        <w:t xml:space="preserve"> </w:t>
      </w:r>
      <w:r w:rsidRPr="003015FD">
        <w:t>with</w:t>
      </w:r>
      <w:r w:rsidR="00975895" w:rsidRPr="003015FD">
        <w:t xml:space="preserve"> </w:t>
      </w:r>
      <w:r w:rsidRPr="003015FD">
        <w:t>the</w:t>
      </w:r>
      <w:r w:rsidR="00975895" w:rsidRPr="003015FD">
        <w:t xml:space="preserve"> </w:t>
      </w:r>
      <w:r w:rsidRPr="003015FD">
        <w:t>exercise</w:t>
      </w:r>
      <w:r w:rsidR="00975895" w:rsidRPr="003015FD">
        <w:t xml:space="preserve"> </w:t>
      </w:r>
      <w:r w:rsidRPr="003015FD">
        <w:t>of</w:t>
      </w:r>
      <w:r w:rsidR="00975895" w:rsidRPr="003015FD">
        <w:t xml:space="preserve"> </w:t>
      </w:r>
      <w:r w:rsidRPr="003015FD">
        <w:t>their</w:t>
      </w:r>
      <w:r w:rsidR="00975895" w:rsidRPr="003015FD">
        <w:t xml:space="preserve"> </w:t>
      </w:r>
      <w:r w:rsidRPr="003015FD">
        <w:t>human</w:t>
      </w:r>
      <w:r w:rsidR="00975895" w:rsidRPr="003015FD">
        <w:t xml:space="preserve"> </w:t>
      </w:r>
      <w:r w:rsidRPr="003015FD">
        <w:t>rights,</w:t>
      </w:r>
      <w:r w:rsidR="00975895" w:rsidRPr="003015FD">
        <w:t xml:space="preserve"> </w:t>
      </w:r>
      <w:r w:rsidRPr="003015FD">
        <w:t>especially</w:t>
      </w:r>
      <w:r w:rsidR="00975895" w:rsidRPr="003015FD">
        <w:t xml:space="preserve"> </w:t>
      </w:r>
      <w:r w:rsidRPr="003015FD">
        <w:t>their</w:t>
      </w:r>
      <w:r w:rsidR="00975895" w:rsidRPr="003015FD">
        <w:t xml:space="preserve"> </w:t>
      </w:r>
      <w:r w:rsidRPr="003015FD">
        <w:t>right</w:t>
      </w:r>
      <w:r w:rsidR="00975895" w:rsidRPr="003015FD">
        <w:t xml:space="preserve"> </w:t>
      </w:r>
      <w:r w:rsidRPr="003015FD">
        <w:t>to</w:t>
      </w:r>
      <w:r w:rsidR="00975895" w:rsidRPr="003015FD">
        <w:t xml:space="preserve"> </w:t>
      </w:r>
      <w:r w:rsidRPr="003015FD">
        <w:t>self-determination,</w:t>
      </w:r>
      <w:r w:rsidR="00975895" w:rsidRPr="003015FD">
        <w:t xml:space="preserve"> </w:t>
      </w:r>
      <w:r w:rsidRPr="003015FD">
        <w:t>to</w:t>
      </w:r>
      <w:r w:rsidR="00975895" w:rsidRPr="003015FD">
        <w:t xml:space="preserve"> </w:t>
      </w:r>
      <w:r w:rsidRPr="003015FD">
        <w:t>be</w:t>
      </w:r>
      <w:r w:rsidR="00975895" w:rsidRPr="003015FD">
        <w:t xml:space="preserve"> </w:t>
      </w:r>
      <w:r w:rsidRPr="003015FD">
        <w:t>free</w:t>
      </w:r>
      <w:r w:rsidR="00975895" w:rsidRPr="003015FD">
        <w:t xml:space="preserve"> </w:t>
      </w:r>
      <w:r w:rsidRPr="003015FD">
        <w:t>of</w:t>
      </w:r>
      <w:r w:rsidR="00975895" w:rsidRPr="003015FD">
        <w:t xml:space="preserve"> </w:t>
      </w:r>
      <w:r w:rsidRPr="003015FD">
        <w:t>non-consensual</w:t>
      </w:r>
      <w:r w:rsidR="00975895" w:rsidRPr="003015FD">
        <w:t xml:space="preserve"> </w:t>
      </w:r>
      <w:r w:rsidRPr="003015FD">
        <w:t>medical</w:t>
      </w:r>
      <w:r w:rsidR="00975895" w:rsidRPr="003015FD">
        <w:t xml:space="preserve"> </w:t>
      </w:r>
      <w:r w:rsidRPr="003015FD">
        <w:t>treatment</w:t>
      </w:r>
      <w:r w:rsidR="00975895" w:rsidRPr="003015FD">
        <w:t xml:space="preserve"> </w:t>
      </w:r>
      <w:r w:rsidRPr="003015FD">
        <w:t>and</w:t>
      </w:r>
      <w:r w:rsidR="00975895" w:rsidRPr="003015FD">
        <w:t xml:space="preserve"> </w:t>
      </w:r>
      <w:r w:rsidRPr="003015FD">
        <w:t>to</w:t>
      </w:r>
      <w:r w:rsidR="00975895" w:rsidRPr="003015FD">
        <w:t xml:space="preserve"> </w:t>
      </w:r>
      <w:r w:rsidRPr="003015FD">
        <w:t>personal</w:t>
      </w:r>
      <w:r w:rsidR="00975895" w:rsidRPr="003015FD">
        <w:t xml:space="preserve"> </w:t>
      </w:r>
      <w:r w:rsidRPr="003015FD">
        <w:t>inviolability.</w:t>
      </w:r>
      <w:r w:rsidR="00975895" w:rsidRPr="003015FD">
        <w:t xml:space="preserve"> </w:t>
      </w:r>
    </w:p>
    <w:p w14:paraId="03B44E75" w14:textId="119C7F8B" w:rsidR="00F44471" w:rsidRDefault="008E0945" w:rsidP="005B74F5">
      <w:r w:rsidRPr="003015FD">
        <w:t>The</w:t>
      </w:r>
      <w:r w:rsidR="00975895" w:rsidRPr="003015FD">
        <w:t xml:space="preserve"> </w:t>
      </w:r>
      <w:r w:rsidR="003574DB">
        <w:t>c</w:t>
      </w:r>
      <w:r w:rsidRPr="003015FD">
        <w:t>ourt</w:t>
      </w:r>
      <w:r w:rsidR="00975895" w:rsidRPr="003015FD">
        <w:t xml:space="preserve"> </w:t>
      </w:r>
      <w:r w:rsidRPr="003015FD">
        <w:t>found</w:t>
      </w:r>
      <w:r w:rsidR="00975895" w:rsidRPr="003015FD">
        <w:t xml:space="preserve"> </w:t>
      </w:r>
      <w:r w:rsidRPr="003015FD">
        <w:t>the</w:t>
      </w:r>
      <w:r w:rsidR="00975895" w:rsidRPr="003015FD">
        <w:t xml:space="preserve"> </w:t>
      </w:r>
      <w:r w:rsidRPr="003015FD">
        <w:t>Tribunal</w:t>
      </w:r>
      <w:r w:rsidR="00975895" w:rsidRPr="003015FD">
        <w:t xml:space="preserve"> </w:t>
      </w:r>
      <w:r w:rsidRPr="003015FD">
        <w:t>erred</w:t>
      </w:r>
      <w:r w:rsidR="00975895" w:rsidRPr="003015FD">
        <w:t xml:space="preserve"> </w:t>
      </w:r>
      <w:r w:rsidRPr="003015FD">
        <w:t>in</w:t>
      </w:r>
      <w:r w:rsidR="00975895" w:rsidRPr="003015FD">
        <w:t xml:space="preserve"> </w:t>
      </w:r>
      <w:r w:rsidRPr="003015FD">
        <w:t>law</w:t>
      </w:r>
      <w:r w:rsidR="00975895" w:rsidRPr="003015FD">
        <w:t xml:space="preserve"> </w:t>
      </w:r>
      <w:r w:rsidRPr="003015FD">
        <w:t>by</w:t>
      </w:r>
      <w:r w:rsidR="00975895" w:rsidRPr="003015FD">
        <w:t xml:space="preserve"> </w:t>
      </w:r>
      <w:r w:rsidRPr="003015FD">
        <w:t>determining</w:t>
      </w:r>
      <w:r w:rsidR="00975895" w:rsidRPr="003015FD">
        <w:t xml:space="preserve"> </w:t>
      </w:r>
      <w:r w:rsidRPr="003015FD">
        <w:t>that</w:t>
      </w:r>
      <w:r w:rsidR="00975895" w:rsidRPr="003015FD">
        <w:t xml:space="preserve"> </w:t>
      </w:r>
      <w:r w:rsidRPr="003015FD">
        <w:t>PBU</w:t>
      </w:r>
      <w:r w:rsidR="00975895" w:rsidRPr="003015FD">
        <w:t xml:space="preserve"> </w:t>
      </w:r>
      <w:r w:rsidRPr="003015FD">
        <w:t>and</w:t>
      </w:r>
      <w:r w:rsidR="00975895" w:rsidRPr="003015FD">
        <w:t xml:space="preserve"> </w:t>
      </w:r>
      <w:r w:rsidRPr="003015FD">
        <w:t>NJE</w:t>
      </w:r>
      <w:r w:rsidR="00975895" w:rsidRPr="003015FD">
        <w:t xml:space="preserve"> </w:t>
      </w:r>
      <w:r w:rsidRPr="003015FD">
        <w:t>lacked</w:t>
      </w:r>
      <w:r w:rsidR="00975895" w:rsidRPr="003015FD">
        <w:t xml:space="preserve"> </w:t>
      </w:r>
      <w:r w:rsidRPr="003015FD">
        <w:t>capacity</w:t>
      </w:r>
      <w:r w:rsidR="00975895" w:rsidRPr="003015FD">
        <w:t xml:space="preserve"> </w:t>
      </w:r>
      <w:r w:rsidRPr="003015FD">
        <w:t>to</w:t>
      </w:r>
      <w:r w:rsidR="00975895" w:rsidRPr="003015FD">
        <w:t xml:space="preserve"> </w:t>
      </w:r>
      <w:r w:rsidRPr="003015FD">
        <w:t>give</w:t>
      </w:r>
      <w:r w:rsidR="00975895" w:rsidRPr="003015FD">
        <w:t xml:space="preserve"> </w:t>
      </w:r>
      <w:r w:rsidRPr="003015FD">
        <w:t>informed</w:t>
      </w:r>
      <w:r w:rsidR="00975895" w:rsidRPr="003015FD">
        <w:t xml:space="preserve"> </w:t>
      </w:r>
      <w:r w:rsidRPr="003015FD">
        <w:t>consent</w:t>
      </w:r>
      <w:r w:rsidR="00975895" w:rsidRPr="003015FD">
        <w:t xml:space="preserve"> </w:t>
      </w:r>
      <w:r w:rsidRPr="003015FD">
        <w:t>to</w:t>
      </w:r>
      <w:r w:rsidR="00975895" w:rsidRPr="003015FD">
        <w:t xml:space="preserve"> </w:t>
      </w:r>
      <w:r w:rsidRPr="003015FD">
        <w:t>treatment</w:t>
      </w:r>
      <w:r w:rsidR="00975895" w:rsidRPr="003015FD">
        <w:t xml:space="preserve"> </w:t>
      </w:r>
      <w:r w:rsidRPr="003015FD">
        <w:t>and</w:t>
      </w:r>
      <w:r w:rsidR="00975895" w:rsidRPr="003015FD">
        <w:t xml:space="preserve"> </w:t>
      </w:r>
      <w:r w:rsidRPr="003015FD">
        <w:t>had</w:t>
      </w:r>
      <w:r w:rsidR="00975895" w:rsidRPr="003015FD">
        <w:t xml:space="preserve"> </w:t>
      </w:r>
      <w:r w:rsidRPr="003015FD">
        <w:t>therefore</w:t>
      </w:r>
      <w:r w:rsidR="00975895" w:rsidRPr="003015FD">
        <w:t xml:space="preserve"> </w:t>
      </w:r>
      <w:r w:rsidRPr="003015FD">
        <w:t>applied</w:t>
      </w:r>
      <w:r w:rsidR="00975895" w:rsidRPr="003015FD">
        <w:t xml:space="preserve"> </w:t>
      </w:r>
      <w:r w:rsidRPr="003015FD">
        <w:t>that</w:t>
      </w:r>
      <w:r w:rsidR="00975895" w:rsidRPr="003015FD">
        <w:t xml:space="preserve"> </w:t>
      </w:r>
      <w:r w:rsidRPr="003015FD">
        <w:t>Act</w:t>
      </w:r>
      <w:r w:rsidR="00975895" w:rsidRPr="003015FD">
        <w:t xml:space="preserve"> </w:t>
      </w:r>
      <w:r w:rsidRPr="003015FD">
        <w:t>incompatibly</w:t>
      </w:r>
      <w:r w:rsidR="00975895" w:rsidRPr="003015FD">
        <w:t xml:space="preserve"> </w:t>
      </w:r>
      <w:r w:rsidRPr="003015FD">
        <w:t>with</w:t>
      </w:r>
      <w:r w:rsidR="00975895" w:rsidRPr="003015FD">
        <w:t xml:space="preserve"> </w:t>
      </w:r>
      <w:r w:rsidRPr="003015FD">
        <w:t>their</w:t>
      </w:r>
      <w:r w:rsidR="00975895" w:rsidRPr="003015FD">
        <w:t xml:space="preserve"> </w:t>
      </w:r>
      <w:r w:rsidRPr="003015FD">
        <w:t>rights</w:t>
      </w:r>
      <w:r w:rsidR="00975895" w:rsidRPr="003015FD">
        <w:t xml:space="preserve"> </w:t>
      </w:r>
      <w:r w:rsidRPr="003015FD">
        <w:t>under</w:t>
      </w:r>
      <w:r w:rsidR="00975895" w:rsidRPr="003015FD">
        <w:t xml:space="preserve"> </w:t>
      </w:r>
      <w:r w:rsidRPr="003015FD">
        <w:t>the</w:t>
      </w:r>
      <w:r w:rsidR="00975895" w:rsidRPr="003015FD">
        <w:t xml:space="preserve"> </w:t>
      </w:r>
      <w:r w:rsidRPr="003015FD">
        <w:t>Charter.</w:t>
      </w:r>
      <w:r w:rsidRPr="004862C5">
        <w:rPr>
          <w:rStyle w:val="FootnoteReference"/>
        </w:rPr>
        <w:footnoteReference w:id="91"/>
      </w:r>
    </w:p>
    <w:p w14:paraId="4608CA34" w14:textId="106014DF" w:rsidR="00E85FE1" w:rsidRDefault="00F44471" w:rsidP="0002642E">
      <w:r>
        <w:t xml:space="preserve">The </w:t>
      </w:r>
      <w:r w:rsidRPr="00F44471">
        <w:t xml:space="preserve">decision makes it clear that if </w:t>
      </w:r>
      <w:r>
        <w:t>the broader Victorian community</w:t>
      </w:r>
      <w:r w:rsidRPr="00F44471">
        <w:t xml:space="preserve"> </w:t>
      </w:r>
      <w:r w:rsidR="00A74B68">
        <w:t>is</w:t>
      </w:r>
      <w:r w:rsidRPr="00F44471">
        <w:t xml:space="preserve"> only required to satisfy a </w:t>
      </w:r>
      <w:r w:rsidR="00D11D23">
        <w:t>certain</w:t>
      </w:r>
      <w:r w:rsidRPr="00F44471">
        <w:t xml:space="preserve"> threshold of capacity to make their own medical decisions, it would be discriminatory to require those being treated under the </w:t>
      </w:r>
      <w:hyperlink r:id="rId47" w:history="1">
        <w:r w:rsidRPr="003015FD">
          <w:rPr>
            <w:rStyle w:val="Characteritalic"/>
            <w:lang w:val="en-GB"/>
          </w:rPr>
          <w:t>Mental Health Act</w:t>
        </w:r>
      </w:hyperlink>
      <w:r w:rsidRPr="0002642E">
        <w:rPr>
          <w:rStyle w:val="Characteritalic"/>
          <w:lang w:val="en-GB"/>
        </w:rPr>
        <w:t xml:space="preserve"> 2014 </w:t>
      </w:r>
      <w:r w:rsidRPr="00F44471">
        <w:t>to meet a higher one.</w:t>
      </w:r>
      <w:r>
        <w:t xml:space="preserve"> </w:t>
      </w:r>
    </w:p>
    <w:p w14:paraId="4FA6146E" w14:textId="2C47EF3F" w:rsidR="008E0945" w:rsidRPr="003015FD" w:rsidRDefault="00F44471" w:rsidP="005B74F5">
      <w:r>
        <w:t>Victoria Legal Aid, which acted on behalf of the applicant at the hearing, commented that t</w:t>
      </w:r>
      <w:r w:rsidRPr="00F44471">
        <w:t xml:space="preserve">he decision underlines </w:t>
      </w:r>
      <w:r w:rsidR="00507925">
        <w:t>a</w:t>
      </w:r>
      <w:r w:rsidRPr="00F44471">
        <w:t xml:space="preserve"> paradigm shift from paternal best-</w:t>
      </w:r>
      <w:proofErr w:type="gramStart"/>
      <w:r w:rsidRPr="00F44471">
        <w:t>interests</w:t>
      </w:r>
      <w:proofErr w:type="gramEnd"/>
      <w:r w:rsidRPr="00F44471">
        <w:t xml:space="preserve"> decision-making to a greater focus on self-determination intended by Parliament.</w:t>
      </w:r>
      <w:r>
        <w:rPr>
          <w:rStyle w:val="FootnoteReference"/>
        </w:rPr>
        <w:footnoteReference w:id="92"/>
      </w:r>
      <w:r w:rsidRPr="00F44471">
        <w:t xml:space="preserve"> The decision is useful not just for people in Mental Health Tribunal hearings, but also in direct negotiations with a person’s treating team regarding whether an ECT application should even be made. The decision has the potential to reduce the numbers of people being subjected to ECT against their will.</w:t>
      </w:r>
      <w:r w:rsidR="00E85FE1">
        <w:rPr>
          <w:rStyle w:val="FootnoteReference"/>
        </w:rPr>
        <w:footnoteReference w:id="93"/>
      </w:r>
    </w:p>
    <w:p w14:paraId="316AAD82" w14:textId="5EB212DC" w:rsidR="008E0945" w:rsidRPr="003015FD" w:rsidRDefault="008E0945" w:rsidP="00C9414D">
      <w:pPr>
        <w:pStyle w:val="Heading4"/>
      </w:pPr>
      <w:r w:rsidRPr="0002642E">
        <w:rPr>
          <w:rStyle w:val="Characterbold"/>
          <w:lang w:val="en-GB"/>
        </w:rPr>
        <w:t>Owners</w:t>
      </w:r>
      <w:r w:rsidR="00975895" w:rsidRPr="0002642E">
        <w:rPr>
          <w:rStyle w:val="Characterbold"/>
          <w:lang w:val="en-GB"/>
        </w:rPr>
        <w:t xml:space="preserve"> </w:t>
      </w:r>
      <w:r w:rsidRPr="0002642E">
        <w:rPr>
          <w:rStyle w:val="Characterbold"/>
          <w:lang w:val="en-GB"/>
        </w:rPr>
        <w:t>Corporation</w:t>
      </w:r>
      <w:r w:rsidR="00975895" w:rsidRPr="0002642E">
        <w:rPr>
          <w:rStyle w:val="Characterbold"/>
          <w:lang w:val="en-GB"/>
        </w:rPr>
        <w:t xml:space="preserve"> </w:t>
      </w:r>
      <w:r w:rsidRPr="0002642E">
        <w:rPr>
          <w:rStyle w:val="Characterbold"/>
          <w:lang w:val="en-GB"/>
        </w:rPr>
        <w:t>v</w:t>
      </w:r>
      <w:r w:rsidR="00975895" w:rsidRPr="0002642E">
        <w:rPr>
          <w:rStyle w:val="Characterbold"/>
          <w:lang w:val="en-GB"/>
        </w:rPr>
        <w:t xml:space="preserve"> </w:t>
      </w:r>
      <w:r w:rsidRPr="0002642E">
        <w:rPr>
          <w:rStyle w:val="Characterbold"/>
          <w:lang w:val="en-GB"/>
        </w:rPr>
        <w:t>Black</w:t>
      </w:r>
      <w:r w:rsidRPr="004862C5">
        <w:rPr>
          <w:rStyle w:val="FootnoteReference"/>
        </w:rPr>
        <w:footnoteReference w:id="94"/>
      </w:r>
    </w:p>
    <w:p w14:paraId="648F1D21" w14:textId="708A6CFE" w:rsidR="008E0945" w:rsidRPr="003015FD" w:rsidRDefault="008E0945" w:rsidP="0002642E">
      <w:r w:rsidRPr="003015FD">
        <w:t>This</w:t>
      </w:r>
      <w:r w:rsidR="00975895" w:rsidRPr="003015FD">
        <w:t xml:space="preserve"> </w:t>
      </w:r>
      <w:r w:rsidRPr="003015FD">
        <w:t>was</w:t>
      </w:r>
      <w:r w:rsidR="00975895" w:rsidRPr="003015FD">
        <w:t xml:space="preserve"> </w:t>
      </w:r>
      <w:r w:rsidRPr="003015FD">
        <w:t>a</w:t>
      </w:r>
      <w:r w:rsidR="00975895" w:rsidRPr="003015FD">
        <w:t xml:space="preserve"> </w:t>
      </w:r>
      <w:r w:rsidRPr="003015FD">
        <w:t>Supreme</w:t>
      </w:r>
      <w:r w:rsidR="00975895" w:rsidRPr="003015FD">
        <w:t xml:space="preserve"> </w:t>
      </w:r>
      <w:r w:rsidRPr="003015FD">
        <w:t>Court</w:t>
      </w:r>
      <w:r w:rsidR="00975895" w:rsidRPr="003015FD">
        <w:t xml:space="preserve"> </w:t>
      </w:r>
      <w:r w:rsidRPr="003015FD">
        <w:t>appeal</w:t>
      </w:r>
      <w:r w:rsidR="00975895" w:rsidRPr="003015FD">
        <w:t xml:space="preserve"> </w:t>
      </w:r>
      <w:r w:rsidRPr="003015FD">
        <w:t>of</w:t>
      </w:r>
      <w:r w:rsidR="00975895" w:rsidRPr="003015FD">
        <w:t xml:space="preserve"> </w:t>
      </w:r>
      <w:r w:rsidRPr="003015FD">
        <w:t>a</w:t>
      </w:r>
      <w:r w:rsidR="00975895" w:rsidRPr="003015FD">
        <w:t xml:space="preserve"> </w:t>
      </w:r>
      <w:r w:rsidRPr="003015FD">
        <w:t>decision</w:t>
      </w:r>
      <w:r w:rsidR="00975895" w:rsidRPr="003015FD">
        <w:t xml:space="preserve"> </w:t>
      </w:r>
      <w:r w:rsidRPr="003015FD">
        <w:t>from</w:t>
      </w:r>
      <w:r w:rsidR="00975895" w:rsidRPr="003015FD">
        <w:t xml:space="preserve"> </w:t>
      </w:r>
      <w:r w:rsidRPr="003015FD">
        <w:t>the</w:t>
      </w:r>
      <w:r w:rsidR="00975895" w:rsidRPr="003015FD">
        <w:t xml:space="preserve"> </w:t>
      </w:r>
      <w:r w:rsidRPr="003015FD">
        <w:t>Victorian</w:t>
      </w:r>
      <w:r w:rsidR="00975895" w:rsidRPr="003015FD">
        <w:t xml:space="preserve"> </w:t>
      </w:r>
      <w:r w:rsidRPr="003015FD">
        <w:t>Civil</w:t>
      </w:r>
      <w:r w:rsidR="00975895" w:rsidRPr="003015FD">
        <w:t xml:space="preserve"> </w:t>
      </w:r>
      <w:r w:rsidRPr="003015FD">
        <w:t>and</w:t>
      </w:r>
      <w:r w:rsidR="00975895" w:rsidRPr="003015FD">
        <w:t xml:space="preserve"> </w:t>
      </w:r>
      <w:r w:rsidRPr="003015FD">
        <w:t>Administrative</w:t>
      </w:r>
      <w:r w:rsidR="00975895" w:rsidRPr="003015FD">
        <w:t xml:space="preserve"> </w:t>
      </w:r>
      <w:r w:rsidRPr="003015FD">
        <w:t>Tribunal</w:t>
      </w:r>
      <w:r w:rsidR="00DE3C21">
        <w:t xml:space="preserve"> (VCAT)</w:t>
      </w:r>
      <w:r w:rsidRPr="003015FD">
        <w:t>.</w:t>
      </w:r>
    </w:p>
    <w:p w14:paraId="615D7113" w14:textId="09843BC5" w:rsidR="008E0945" w:rsidRPr="003015FD" w:rsidRDefault="008E0945" w:rsidP="0002642E">
      <w:r w:rsidRPr="003015FD">
        <w:t>Ms</w:t>
      </w:r>
      <w:r w:rsidR="00975895" w:rsidRPr="003015FD">
        <w:t xml:space="preserve"> </w:t>
      </w:r>
      <w:r w:rsidRPr="003015FD">
        <w:t>Black</w:t>
      </w:r>
      <w:r w:rsidR="00975895" w:rsidRPr="003015FD">
        <w:t xml:space="preserve"> </w:t>
      </w:r>
      <w:r w:rsidRPr="003015FD">
        <w:t>had</w:t>
      </w:r>
      <w:r w:rsidR="00975895" w:rsidRPr="003015FD">
        <w:t xml:space="preserve"> </w:t>
      </w:r>
      <w:r w:rsidRPr="003015FD">
        <w:t>problems</w:t>
      </w:r>
      <w:r w:rsidR="00975895" w:rsidRPr="003015FD">
        <w:t xml:space="preserve"> </w:t>
      </w:r>
      <w:r w:rsidRPr="003015FD">
        <w:t>accessing</w:t>
      </w:r>
      <w:r w:rsidR="00975895" w:rsidRPr="003015FD">
        <w:t xml:space="preserve"> </w:t>
      </w:r>
      <w:r w:rsidRPr="003015FD">
        <w:t>an</w:t>
      </w:r>
      <w:r w:rsidR="00975895" w:rsidRPr="003015FD">
        <w:t xml:space="preserve"> </w:t>
      </w:r>
      <w:r w:rsidRPr="003015FD">
        <w:t>apartment</w:t>
      </w:r>
      <w:r w:rsidR="00975895" w:rsidRPr="003015FD">
        <w:t xml:space="preserve"> </w:t>
      </w:r>
      <w:r w:rsidRPr="003015FD">
        <w:t>she</w:t>
      </w:r>
      <w:r w:rsidR="00975895" w:rsidRPr="003015FD">
        <w:t xml:space="preserve"> </w:t>
      </w:r>
      <w:r w:rsidRPr="003015FD">
        <w:t>owned</w:t>
      </w:r>
      <w:r w:rsidR="00975895" w:rsidRPr="003015FD">
        <w:t xml:space="preserve"> </w:t>
      </w:r>
      <w:r w:rsidRPr="003015FD">
        <w:t>due</w:t>
      </w:r>
      <w:r w:rsidR="00975895" w:rsidRPr="003015FD">
        <w:t xml:space="preserve"> </w:t>
      </w:r>
      <w:r w:rsidRPr="003015FD">
        <w:t>to</w:t>
      </w:r>
      <w:r w:rsidR="00975895" w:rsidRPr="003015FD">
        <w:t xml:space="preserve"> </w:t>
      </w:r>
      <w:r w:rsidRPr="003015FD">
        <w:t>heavy</w:t>
      </w:r>
      <w:r w:rsidR="00975895" w:rsidRPr="003015FD">
        <w:t xml:space="preserve"> </w:t>
      </w:r>
      <w:r w:rsidRPr="003015FD">
        <w:t>manual</w:t>
      </w:r>
      <w:r w:rsidR="00975895" w:rsidRPr="003015FD">
        <w:t xml:space="preserve"> </w:t>
      </w:r>
      <w:r w:rsidRPr="003015FD">
        <w:t>doors</w:t>
      </w:r>
      <w:r w:rsidR="00975895" w:rsidRPr="003015FD">
        <w:t xml:space="preserve"> </w:t>
      </w:r>
      <w:r w:rsidRPr="003015FD">
        <w:t>that</w:t>
      </w:r>
      <w:r w:rsidR="00975895" w:rsidRPr="003015FD">
        <w:t xml:space="preserve"> </w:t>
      </w:r>
      <w:r w:rsidRPr="003015FD">
        <w:t>did</w:t>
      </w:r>
      <w:r w:rsidR="00975895" w:rsidRPr="003015FD">
        <w:t xml:space="preserve"> </w:t>
      </w:r>
      <w:r w:rsidRPr="003015FD">
        <w:t>not</w:t>
      </w:r>
      <w:r w:rsidR="00975895" w:rsidRPr="003015FD">
        <w:t xml:space="preserve"> </w:t>
      </w:r>
      <w:r w:rsidRPr="003015FD">
        <w:t>open</w:t>
      </w:r>
      <w:r w:rsidR="00975895" w:rsidRPr="003015FD">
        <w:t xml:space="preserve"> </w:t>
      </w:r>
      <w:r w:rsidRPr="003015FD">
        <w:t>easily</w:t>
      </w:r>
      <w:r w:rsidR="00975895" w:rsidRPr="003015FD">
        <w:t xml:space="preserve"> </w:t>
      </w:r>
      <w:r w:rsidRPr="003015FD">
        <w:t>for</w:t>
      </w:r>
      <w:r w:rsidR="00975895" w:rsidRPr="003015FD">
        <w:t xml:space="preserve"> </w:t>
      </w:r>
      <w:r w:rsidRPr="003015FD">
        <w:t>her</w:t>
      </w:r>
      <w:r w:rsidR="00975895" w:rsidRPr="003015FD">
        <w:t xml:space="preserve"> </w:t>
      </w:r>
      <w:r w:rsidRPr="003015FD">
        <w:t>mobility</w:t>
      </w:r>
      <w:r w:rsidR="00975895" w:rsidRPr="003015FD">
        <w:t xml:space="preserve"> </w:t>
      </w:r>
      <w:r w:rsidRPr="003015FD">
        <w:t>scooter.</w:t>
      </w:r>
    </w:p>
    <w:p w14:paraId="58C7C9EE" w14:textId="5CDA6D0B" w:rsidR="008E0945" w:rsidRPr="003015FD" w:rsidRDefault="008E0945" w:rsidP="0002642E">
      <w:r w:rsidRPr="003015FD">
        <w:lastRenderedPageBreak/>
        <w:t>The</w:t>
      </w:r>
      <w:r w:rsidR="00975895" w:rsidRPr="003015FD">
        <w:t xml:space="preserve"> </w:t>
      </w:r>
      <w:proofErr w:type="gramStart"/>
      <w:r w:rsidRPr="003015FD">
        <w:t>owners</w:t>
      </w:r>
      <w:proofErr w:type="gramEnd"/>
      <w:r w:rsidR="00975895" w:rsidRPr="003015FD">
        <w:t xml:space="preserve"> </w:t>
      </w:r>
      <w:r w:rsidRPr="003015FD">
        <w:t>corporation</w:t>
      </w:r>
      <w:r w:rsidR="00975895" w:rsidRPr="003015FD">
        <w:t xml:space="preserve"> </w:t>
      </w:r>
      <w:r w:rsidRPr="003015FD">
        <w:t>responsible</w:t>
      </w:r>
      <w:r w:rsidR="00975895" w:rsidRPr="003015FD">
        <w:t xml:space="preserve"> </w:t>
      </w:r>
      <w:r w:rsidRPr="003015FD">
        <w:t>for</w:t>
      </w:r>
      <w:r w:rsidR="00975895" w:rsidRPr="003015FD">
        <w:t xml:space="preserve"> </w:t>
      </w:r>
      <w:r w:rsidRPr="003015FD">
        <w:t>managing</w:t>
      </w:r>
      <w:r w:rsidR="00975895" w:rsidRPr="003015FD">
        <w:t xml:space="preserve"> </w:t>
      </w:r>
      <w:r w:rsidRPr="003015FD">
        <w:t>the</w:t>
      </w:r>
      <w:r w:rsidR="00975895" w:rsidRPr="003015FD">
        <w:t xml:space="preserve"> </w:t>
      </w:r>
      <w:r w:rsidRPr="003015FD">
        <w:t>apartment</w:t>
      </w:r>
      <w:r w:rsidR="00975895" w:rsidRPr="003015FD">
        <w:t xml:space="preserve"> </w:t>
      </w:r>
      <w:r w:rsidRPr="003015FD">
        <w:t>complex</w:t>
      </w:r>
      <w:r w:rsidR="00975895" w:rsidRPr="003015FD">
        <w:t xml:space="preserve"> </w:t>
      </w:r>
      <w:r w:rsidRPr="003015FD">
        <w:t>argued</w:t>
      </w:r>
      <w:r w:rsidR="00975895" w:rsidRPr="003015FD">
        <w:t xml:space="preserve"> </w:t>
      </w:r>
      <w:r w:rsidRPr="003015FD">
        <w:t>they</w:t>
      </w:r>
      <w:r w:rsidR="00975895" w:rsidRPr="003015FD">
        <w:t xml:space="preserve"> </w:t>
      </w:r>
      <w:r w:rsidRPr="003015FD">
        <w:t>did</w:t>
      </w:r>
      <w:r w:rsidR="00975895" w:rsidRPr="003015FD">
        <w:t xml:space="preserve"> </w:t>
      </w:r>
      <w:r w:rsidRPr="003015FD">
        <w:t>not</w:t>
      </w:r>
      <w:r w:rsidR="00975895" w:rsidRPr="003015FD">
        <w:t xml:space="preserve"> </w:t>
      </w:r>
      <w:r w:rsidRPr="003015FD">
        <w:t>provide</w:t>
      </w:r>
      <w:r w:rsidR="00975895" w:rsidRPr="003015FD">
        <w:t xml:space="preserve"> </w:t>
      </w:r>
      <w:r w:rsidRPr="003015FD">
        <w:t>a</w:t>
      </w:r>
      <w:r w:rsidR="00975895" w:rsidRPr="003015FD">
        <w:t xml:space="preserve"> </w:t>
      </w:r>
      <w:r w:rsidRPr="003015FD">
        <w:t>service,</w:t>
      </w:r>
      <w:r w:rsidR="00975895" w:rsidRPr="003015FD">
        <w:t xml:space="preserve"> </w:t>
      </w:r>
      <w:r w:rsidRPr="003015FD">
        <w:t>and</w:t>
      </w:r>
      <w:r w:rsidR="00975895" w:rsidRPr="003015FD">
        <w:t xml:space="preserve"> </w:t>
      </w:r>
      <w:r w:rsidRPr="003015FD">
        <w:t>that</w:t>
      </w:r>
      <w:r w:rsidR="00975895" w:rsidRPr="003015FD">
        <w:t xml:space="preserve"> </w:t>
      </w:r>
      <w:r w:rsidRPr="003015FD">
        <w:t>Ms</w:t>
      </w:r>
      <w:r w:rsidR="00975895" w:rsidRPr="003015FD">
        <w:t xml:space="preserve"> </w:t>
      </w:r>
      <w:r w:rsidRPr="003015FD">
        <w:t>Black</w:t>
      </w:r>
      <w:r w:rsidR="00975895" w:rsidRPr="003015FD">
        <w:t xml:space="preserve"> </w:t>
      </w:r>
      <w:r w:rsidRPr="003015FD">
        <w:t>must</w:t>
      </w:r>
      <w:r w:rsidR="00975895" w:rsidRPr="003015FD">
        <w:t xml:space="preserve"> </w:t>
      </w:r>
      <w:r w:rsidRPr="003015FD">
        <w:t>pay</w:t>
      </w:r>
      <w:r w:rsidR="00975895" w:rsidRPr="003015FD">
        <w:t xml:space="preserve"> </w:t>
      </w:r>
      <w:r w:rsidRPr="003015FD">
        <w:t>for</w:t>
      </w:r>
      <w:r w:rsidR="00975895" w:rsidRPr="003015FD">
        <w:t xml:space="preserve"> </w:t>
      </w:r>
      <w:r w:rsidRPr="003015FD">
        <w:t>any</w:t>
      </w:r>
      <w:r w:rsidR="00975895" w:rsidRPr="003015FD">
        <w:t xml:space="preserve"> </w:t>
      </w:r>
      <w:r w:rsidRPr="003015FD">
        <w:t>changes</w:t>
      </w:r>
      <w:r w:rsidR="00975895" w:rsidRPr="003015FD">
        <w:t xml:space="preserve"> </w:t>
      </w:r>
      <w:r w:rsidRPr="003015FD">
        <w:t>to</w:t>
      </w:r>
      <w:r w:rsidR="00975895" w:rsidRPr="003015FD">
        <w:t xml:space="preserve"> </w:t>
      </w:r>
      <w:r w:rsidRPr="003015FD">
        <w:t>the</w:t>
      </w:r>
      <w:r w:rsidR="00975895" w:rsidRPr="003015FD">
        <w:t xml:space="preserve"> </w:t>
      </w:r>
      <w:r w:rsidRPr="003015FD">
        <w:t>building</w:t>
      </w:r>
      <w:r w:rsidR="00975895" w:rsidRPr="003015FD">
        <w:t xml:space="preserve"> </w:t>
      </w:r>
      <w:r w:rsidRPr="003015FD">
        <w:t>herself.</w:t>
      </w:r>
    </w:p>
    <w:p w14:paraId="039A9C1C" w14:textId="42962CC4" w:rsidR="008E0945" w:rsidRPr="003015FD" w:rsidRDefault="008E0945" w:rsidP="0002642E">
      <w:r w:rsidRPr="003015FD">
        <w:t>The</w:t>
      </w:r>
      <w:r w:rsidR="00975895" w:rsidRPr="003015FD">
        <w:t xml:space="preserve"> </w:t>
      </w:r>
      <w:r w:rsidRPr="003015FD">
        <w:t>Commission</w:t>
      </w:r>
      <w:r w:rsidR="00975895" w:rsidRPr="003015FD">
        <w:t xml:space="preserve"> </w:t>
      </w:r>
      <w:r w:rsidRPr="003015FD">
        <w:t>joined</w:t>
      </w:r>
      <w:r w:rsidR="00975895" w:rsidRPr="003015FD">
        <w:t xml:space="preserve"> </w:t>
      </w:r>
      <w:r w:rsidRPr="003015FD">
        <w:t>the</w:t>
      </w:r>
      <w:r w:rsidR="00975895" w:rsidRPr="003015FD">
        <w:t xml:space="preserve"> </w:t>
      </w:r>
      <w:r w:rsidRPr="003015FD">
        <w:t>case,</w:t>
      </w:r>
      <w:r w:rsidR="00975895" w:rsidRPr="003015FD">
        <w:t xml:space="preserve"> </w:t>
      </w:r>
      <w:r w:rsidRPr="003015FD">
        <w:t>as</w:t>
      </w:r>
      <w:r w:rsidR="00975895" w:rsidRPr="003015FD">
        <w:t xml:space="preserve"> </w:t>
      </w:r>
      <w:r w:rsidRPr="003015FD">
        <w:t>a</w:t>
      </w:r>
      <w:r w:rsidR="00975895" w:rsidRPr="003015FD">
        <w:t xml:space="preserve"> </w:t>
      </w:r>
      <w:r w:rsidRPr="003015FD">
        <w:t>friend</w:t>
      </w:r>
      <w:r w:rsidR="00975895" w:rsidRPr="003015FD">
        <w:t xml:space="preserve"> </w:t>
      </w:r>
      <w:r w:rsidRPr="003015FD">
        <w:t>of</w:t>
      </w:r>
      <w:r w:rsidR="00975895" w:rsidRPr="003015FD">
        <w:t xml:space="preserve"> </w:t>
      </w:r>
      <w:r w:rsidRPr="003015FD">
        <w:t>the</w:t>
      </w:r>
      <w:r w:rsidR="00975895" w:rsidRPr="003015FD">
        <w:t xml:space="preserve"> </w:t>
      </w:r>
      <w:r w:rsidRPr="003015FD">
        <w:t>court,</w:t>
      </w:r>
      <w:r w:rsidR="00975895" w:rsidRPr="003015FD">
        <w:t xml:space="preserve"> </w:t>
      </w:r>
      <w:r w:rsidRPr="003015FD">
        <w:t>to</w:t>
      </w:r>
      <w:r w:rsidR="00975895" w:rsidRPr="003015FD">
        <w:t xml:space="preserve"> </w:t>
      </w:r>
      <w:r w:rsidRPr="003015FD">
        <w:t>provide</w:t>
      </w:r>
      <w:r w:rsidR="00975895" w:rsidRPr="003015FD">
        <w:t xml:space="preserve"> </w:t>
      </w:r>
      <w:r w:rsidRPr="003015FD">
        <w:t>expert</w:t>
      </w:r>
      <w:r w:rsidR="00975895" w:rsidRPr="003015FD">
        <w:t xml:space="preserve"> </w:t>
      </w:r>
      <w:r w:rsidRPr="003015FD">
        <w:t>advice</w:t>
      </w:r>
      <w:r w:rsidR="00975895" w:rsidRPr="003015FD">
        <w:t xml:space="preserve"> </w:t>
      </w:r>
      <w:r w:rsidRPr="003015FD">
        <w:t>on</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and</w:t>
      </w:r>
      <w:r w:rsidR="00975895" w:rsidRPr="003015FD">
        <w:t xml:space="preserve"> </w:t>
      </w:r>
      <w:r w:rsidRPr="003015FD">
        <w:t>discrimination</w:t>
      </w:r>
      <w:r w:rsidR="00975895" w:rsidRPr="003015FD">
        <w:t xml:space="preserve"> </w:t>
      </w:r>
      <w:r w:rsidRPr="003015FD">
        <w:t>law.</w:t>
      </w:r>
    </w:p>
    <w:p w14:paraId="5D63A02F" w14:textId="16403904" w:rsidR="008E0945" w:rsidRPr="003015FD" w:rsidRDefault="008E0945" w:rsidP="0002642E">
      <w:r w:rsidRPr="003015FD">
        <w:t>The</w:t>
      </w:r>
      <w:r w:rsidR="00975895" w:rsidRPr="003015FD">
        <w:t xml:space="preserve"> </w:t>
      </w:r>
      <w:r w:rsidRPr="003015FD">
        <w:t>Supreme</w:t>
      </w:r>
      <w:r w:rsidR="00975895" w:rsidRPr="003015FD">
        <w:t xml:space="preserve"> </w:t>
      </w:r>
      <w:r w:rsidRPr="003015FD">
        <w:t>Court</w:t>
      </w:r>
      <w:r w:rsidR="00975895" w:rsidRPr="003015FD">
        <w:t xml:space="preserve"> </w:t>
      </w:r>
      <w:r w:rsidRPr="003015FD">
        <w:t>found</w:t>
      </w:r>
      <w:r w:rsidR="00975895" w:rsidRPr="003015FD">
        <w:t xml:space="preserve"> </w:t>
      </w:r>
      <w:proofErr w:type="gramStart"/>
      <w:r w:rsidRPr="003015FD">
        <w:t>owners</w:t>
      </w:r>
      <w:proofErr w:type="gramEnd"/>
      <w:r w:rsidR="00975895" w:rsidRPr="003015FD">
        <w:t xml:space="preserve"> </w:t>
      </w:r>
      <w:r w:rsidRPr="003015FD">
        <w:t>corporations</w:t>
      </w:r>
      <w:r w:rsidR="00975895" w:rsidRPr="003015FD">
        <w:t xml:space="preserve"> </w:t>
      </w:r>
      <w:r w:rsidRPr="003015FD">
        <w:t>must</w:t>
      </w:r>
      <w:r w:rsidR="00975895" w:rsidRPr="003015FD">
        <w:t xml:space="preserve"> </w:t>
      </w:r>
      <w:r w:rsidRPr="003015FD">
        <w:t>make</w:t>
      </w:r>
      <w:r w:rsidR="00975895" w:rsidRPr="003015FD">
        <w:t xml:space="preserve"> </w:t>
      </w:r>
      <w:r w:rsidRPr="003015FD">
        <w:t>reasonable</w:t>
      </w:r>
      <w:r w:rsidR="00975895" w:rsidRPr="003015FD">
        <w:t xml:space="preserve"> </w:t>
      </w:r>
      <w:r w:rsidRPr="003015FD">
        <w:t>adjustments</w:t>
      </w:r>
      <w:r w:rsidR="00975895" w:rsidRPr="003015FD">
        <w:t xml:space="preserve"> </w:t>
      </w:r>
      <w:r w:rsidRPr="003015FD">
        <w:t>to</w:t>
      </w:r>
      <w:r w:rsidR="00975895" w:rsidRPr="003015FD">
        <w:t xml:space="preserve"> </w:t>
      </w:r>
      <w:r w:rsidRPr="003015FD">
        <w:t>buildings</w:t>
      </w:r>
      <w:r w:rsidR="00975895" w:rsidRPr="003015FD">
        <w:t xml:space="preserve"> </w:t>
      </w:r>
      <w:r w:rsidRPr="003015FD">
        <w:t>for</w:t>
      </w:r>
      <w:r w:rsidR="00975895" w:rsidRPr="003015FD">
        <w:t xml:space="preserve"> </w:t>
      </w:r>
      <w:r w:rsidRPr="003015FD">
        <w:t>tenants</w:t>
      </w:r>
      <w:r w:rsidR="00975895" w:rsidRPr="003015FD">
        <w:t xml:space="preserve"> </w:t>
      </w:r>
      <w:r w:rsidRPr="003015FD">
        <w:t>and</w:t>
      </w:r>
      <w:r w:rsidR="00975895" w:rsidRPr="003015FD">
        <w:t xml:space="preserve"> </w:t>
      </w:r>
      <w:r w:rsidRPr="003015FD">
        <w:t>visitors</w:t>
      </w:r>
      <w:r w:rsidR="00975895" w:rsidRPr="003015FD">
        <w:t xml:space="preserve"> </w:t>
      </w:r>
      <w:r w:rsidRPr="003015FD">
        <w:t>with</w:t>
      </w:r>
      <w:r w:rsidR="00975895" w:rsidRPr="003015FD">
        <w:t xml:space="preserve"> </w:t>
      </w:r>
      <w:r w:rsidRPr="003015FD">
        <w:t>a</w:t>
      </w:r>
      <w:r w:rsidR="00975895" w:rsidRPr="003015FD">
        <w:t xml:space="preserve"> </w:t>
      </w:r>
      <w:r w:rsidRPr="003015FD">
        <w:t>disability,</w:t>
      </w:r>
      <w:r w:rsidR="00975895" w:rsidRPr="003015FD">
        <w:t xml:space="preserve"> </w:t>
      </w:r>
      <w:r w:rsidRPr="003015FD">
        <w:t>or</w:t>
      </w:r>
      <w:r w:rsidR="00975895" w:rsidRPr="003015FD">
        <w:t xml:space="preserve"> </w:t>
      </w:r>
      <w:r w:rsidRPr="003015FD">
        <w:t>they</w:t>
      </w:r>
      <w:r w:rsidR="00975895" w:rsidRPr="003015FD">
        <w:t xml:space="preserve"> </w:t>
      </w:r>
      <w:r w:rsidRPr="003015FD">
        <w:t>risk</w:t>
      </w:r>
      <w:r w:rsidR="00975895" w:rsidRPr="003015FD">
        <w:t xml:space="preserve"> </w:t>
      </w:r>
      <w:r w:rsidRPr="003015FD">
        <w:t>being</w:t>
      </w:r>
      <w:r w:rsidR="00975895" w:rsidRPr="003015FD">
        <w:t xml:space="preserve"> </w:t>
      </w:r>
      <w:r w:rsidRPr="003015FD">
        <w:t>discriminatory.</w:t>
      </w:r>
    </w:p>
    <w:p w14:paraId="520505E3" w14:textId="59BC778F" w:rsidR="008E0945" w:rsidRDefault="008E0945" w:rsidP="005B74F5">
      <w:r w:rsidRPr="003015FD">
        <w:t>The</w:t>
      </w:r>
      <w:r w:rsidR="00975895" w:rsidRPr="003015FD">
        <w:t xml:space="preserve"> </w:t>
      </w:r>
      <w:r w:rsidRPr="003015FD">
        <w:t>Supreme</w:t>
      </w:r>
      <w:r w:rsidR="00975895" w:rsidRPr="003015FD">
        <w:t xml:space="preserve"> </w:t>
      </w:r>
      <w:r w:rsidRPr="003015FD">
        <w:t>Court</w:t>
      </w:r>
      <w:r w:rsidR="00975895" w:rsidRPr="003015FD">
        <w:t xml:space="preserve"> </w:t>
      </w:r>
      <w:r w:rsidRPr="003015FD">
        <w:t>returned</w:t>
      </w:r>
      <w:r w:rsidR="00975895" w:rsidRPr="003015FD">
        <w:t xml:space="preserve"> </w:t>
      </w:r>
      <w:r w:rsidRPr="003015FD">
        <w:t>the</w:t>
      </w:r>
      <w:r w:rsidR="00975895" w:rsidRPr="003015FD">
        <w:t xml:space="preserve"> </w:t>
      </w:r>
      <w:r w:rsidRPr="003015FD">
        <w:t>matter</w:t>
      </w:r>
      <w:r w:rsidR="00975895" w:rsidRPr="003015FD">
        <w:t xml:space="preserve"> </w:t>
      </w:r>
      <w:r w:rsidRPr="003015FD">
        <w:t>to</w:t>
      </w:r>
      <w:r w:rsidR="00975895" w:rsidRPr="003015FD">
        <w:t xml:space="preserve"> </w:t>
      </w:r>
      <w:r w:rsidR="00DE3C21">
        <w:t xml:space="preserve">VCAT </w:t>
      </w:r>
      <w:r w:rsidRPr="003015FD">
        <w:t>to</w:t>
      </w:r>
      <w:r w:rsidR="00975895" w:rsidRPr="003015FD">
        <w:t xml:space="preserve"> </w:t>
      </w:r>
      <w:r w:rsidRPr="003015FD">
        <w:t>decide</w:t>
      </w:r>
      <w:r w:rsidR="00975895" w:rsidRPr="003015FD">
        <w:t xml:space="preserve"> </w:t>
      </w:r>
      <w:r w:rsidRPr="003015FD">
        <w:t>whether</w:t>
      </w:r>
      <w:r w:rsidR="00975895" w:rsidRPr="003015FD">
        <w:t xml:space="preserve"> </w:t>
      </w:r>
      <w:r w:rsidRPr="003015FD">
        <w:t>the</w:t>
      </w:r>
      <w:r w:rsidR="00975895" w:rsidRPr="003015FD">
        <w:t xml:space="preserve"> </w:t>
      </w:r>
      <w:r w:rsidRPr="003015FD">
        <w:t>adjustments</w:t>
      </w:r>
      <w:r w:rsidR="00975895" w:rsidRPr="003015FD">
        <w:t xml:space="preserve"> </w:t>
      </w:r>
      <w:r w:rsidRPr="003015FD">
        <w:t>Ms</w:t>
      </w:r>
      <w:r w:rsidR="00975895" w:rsidRPr="003015FD">
        <w:t xml:space="preserve"> </w:t>
      </w:r>
      <w:r w:rsidRPr="003015FD">
        <w:t>Black</w:t>
      </w:r>
      <w:r w:rsidR="00975895" w:rsidRPr="003015FD">
        <w:t xml:space="preserve"> </w:t>
      </w:r>
      <w:r w:rsidRPr="003015FD">
        <w:t>sought</w:t>
      </w:r>
      <w:r w:rsidR="00975895" w:rsidRPr="003015FD">
        <w:t xml:space="preserve"> </w:t>
      </w:r>
      <w:r w:rsidRPr="003015FD">
        <w:t>to</w:t>
      </w:r>
      <w:r w:rsidR="00975895" w:rsidRPr="003015FD">
        <w:t xml:space="preserve"> </w:t>
      </w:r>
      <w:r w:rsidRPr="003015FD">
        <w:t>the</w:t>
      </w:r>
      <w:r w:rsidR="00975895" w:rsidRPr="003015FD">
        <w:t xml:space="preserve"> </w:t>
      </w:r>
      <w:r w:rsidRPr="003015FD">
        <w:t>doors</w:t>
      </w:r>
      <w:r w:rsidR="00975895" w:rsidRPr="003015FD">
        <w:t xml:space="preserve"> </w:t>
      </w:r>
      <w:r w:rsidRPr="003015FD">
        <w:t>were</w:t>
      </w:r>
      <w:r w:rsidR="00975895" w:rsidRPr="003015FD">
        <w:t xml:space="preserve"> </w:t>
      </w:r>
      <w:r w:rsidRPr="003015FD">
        <w:t>reasonable.</w:t>
      </w:r>
      <w:r w:rsidR="00975895" w:rsidRPr="003015FD">
        <w:t xml:space="preserve"> </w:t>
      </w:r>
      <w:r w:rsidR="00DE3C21">
        <w:t>VCAT</w:t>
      </w:r>
      <w:r w:rsidR="00975895" w:rsidRPr="003015FD">
        <w:t xml:space="preserve"> </w:t>
      </w:r>
      <w:r w:rsidRPr="003015FD">
        <w:t>found</w:t>
      </w:r>
      <w:r w:rsidR="00975895" w:rsidRPr="003015FD">
        <w:t xml:space="preserve"> </w:t>
      </w:r>
      <w:r w:rsidRPr="003015FD">
        <w:t>they</w:t>
      </w:r>
      <w:r w:rsidR="00975895" w:rsidRPr="003015FD">
        <w:t xml:space="preserve"> </w:t>
      </w:r>
      <w:r w:rsidRPr="003015FD">
        <w:t>were</w:t>
      </w:r>
      <w:r w:rsidR="00975895" w:rsidRPr="003015FD">
        <w:t xml:space="preserve"> </w:t>
      </w:r>
      <w:r w:rsidRPr="003015FD">
        <w:t>and</w:t>
      </w:r>
      <w:r w:rsidR="00975895" w:rsidRPr="003015FD">
        <w:t xml:space="preserve"> </w:t>
      </w:r>
      <w:r w:rsidRPr="003015FD">
        <w:t>ordered</w:t>
      </w:r>
      <w:r w:rsidR="00975895" w:rsidRPr="003015FD">
        <w:t xml:space="preserve"> </w:t>
      </w:r>
      <w:r w:rsidRPr="003015FD">
        <w:t>the</w:t>
      </w:r>
      <w:r w:rsidR="00975895" w:rsidRPr="003015FD">
        <w:t xml:space="preserve"> </w:t>
      </w:r>
      <w:r w:rsidRPr="003015FD">
        <w:t>owners</w:t>
      </w:r>
      <w:r w:rsidR="00975895" w:rsidRPr="003015FD">
        <w:t xml:space="preserve"> </w:t>
      </w:r>
      <w:r w:rsidRPr="003015FD">
        <w:t>corporation</w:t>
      </w:r>
      <w:r w:rsidR="00975895" w:rsidRPr="003015FD">
        <w:t xml:space="preserve"> </w:t>
      </w:r>
      <w:r w:rsidRPr="003015FD">
        <w:t>to</w:t>
      </w:r>
      <w:r w:rsidR="00975895" w:rsidRPr="003015FD">
        <w:t xml:space="preserve"> </w:t>
      </w:r>
      <w:r w:rsidRPr="003015FD">
        <w:t>make</w:t>
      </w:r>
      <w:r w:rsidR="00975895" w:rsidRPr="003015FD">
        <w:t xml:space="preserve"> </w:t>
      </w:r>
      <w:r w:rsidRPr="003015FD">
        <w:t>the</w:t>
      </w:r>
      <w:r w:rsidR="00975895" w:rsidRPr="003015FD">
        <w:t xml:space="preserve"> </w:t>
      </w:r>
      <w:r w:rsidRPr="003015FD">
        <w:t>adjustments.</w:t>
      </w:r>
      <w:r w:rsidR="00975895" w:rsidRPr="003015FD">
        <w:t xml:space="preserve"> </w:t>
      </w:r>
      <w:r w:rsidRPr="003015FD">
        <w:t>It</w:t>
      </w:r>
      <w:r w:rsidR="00975895" w:rsidRPr="003015FD">
        <w:t xml:space="preserve"> </w:t>
      </w:r>
      <w:r w:rsidRPr="003015FD">
        <w:t>also</w:t>
      </w:r>
      <w:r w:rsidR="00975895" w:rsidRPr="003015FD">
        <w:t xml:space="preserve"> </w:t>
      </w:r>
      <w:r w:rsidRPr="003015FD">
        <w:t>found</w:t>
      </w:r>
      <w:r w:rsidR="00975895" w:rsidRPr="003015FD">
        <w:t xml:space="preserve"> </w:t>
      </w:r>
      <w:r w:rsidRPr="003015FD">
        <w:t>Ms</w:t>
      </w:r>
      <w:r w:rsidR="00975895" w:rsidRPr="003015FD">
        <w:t xml:space="preserve"> </w:t>
      </w:r>
      <w:r w:rsidRPr="003015FD">
        <w:t>Black</w:t>
      </w:r>
      <w:r w:rsidR="00975895" w:rsidRPr="003015FD">
        <w:t xml:space="preserve"> </w:t>
      </w:r>
      <w:r w:rsidRPr="003015FD">
        <w:t>had</w:t>
      </w:r>
      <w:r w:rsidR="00975895" w:rsidRPr="003015FD">
        <w:t xml:space="preserve"> </w:t>
      </w:r>
      <w:r w:rsidRPr="003015FD">
        <w:t>suffered</w:t>
      </w:r>
      <w:r w:rsidR="00975895" w:rsidRPr="003015FD">
        <w:t xml:space="preserve"> </w:t>
      </w:r>
      <w:r w:rsidRPr="003015FD">
        <w:t>humiliation,</w:t>
      </w:r>
      <w:r w:rsidR="00975895" w:rsidRPr="003015FD">
        <w:t xml:space="preserve"> </w:t>
      </w:r>
      <w:r w:rsidRPr="003015FD">
        <w:t>stress,</w:t>
      </w:r>
      <w:r w:rsidR="00975895" w:rsidRPr="003015FD">
        <w:t xml:space="preserve"> </w:t>
      </w:r>
      <w:r w:rsidRPr="003015FD">
        <w:t>anxiety,</w:t>
      </w:r>
      <w:r w:rsidR="00975895" w:rsidRPr="003015FD">
        <w:t xml:space="preserve"> </w:t>
      </w:r>
      <w:r w:rsidRPr="003015FD">
        <w:t>frustration</w:t>
      </w:r>
      <w:r w:rsidR="00975895" w:rsidRPr="003015FD">
        <w:t xml:space="preserve"> </w:t>
      </w:r>
      <w:r w:rsidRPr="003015FD">
        <w:t>and</w:t>
      </w:r>
      <w:r w:rsidR="00975895" w:rsidRPr="003015FD">
        <w:t xml:space="preserve"> </w:t>
      </w:r>
      <w:r w:rsidRPr="003015FD">
        <w:t>embarrassment</w:t>
      </w:r>
      <w:r w:rsidR="00975895" w:rsidRPr="003015FD">
        <w:t xml:space="preserve"> </w:t>
      </w:r>
      <w:r w:rsidRPr="003015FD">
        <w:t>and</w:t>
      </w:r>
      <w:r w:rsidR="00975895" w:rsidRPr="003015FD">
        <w:t xml:space="preserve"> </w:t>
      </w:r>
      <w:r w:rsidRPr="003015FD">
        <w:t>ordered</w:t>
      </w:r>
      <w:r w:rsidR="00975895" w:rsidRPr="003015FD">
        <w:t xml:space="preserve"> </w:t>
      </w:r>
      <w:r w:rsidRPr="003015FD">
        <w:t>$10,000</w:t>
      </w:r>
      <w:r w:rsidR="00975895" w:rsidRPr="003015FD">
        <w:t xml:space="preserve"> </w:t>
      </w:r>
      <w:r w:rsidRPr="003015FD">
        <w:t>in</w:t>
      </w:r>
      <w:r w:rsidR="00975895" w:rsidRPr="003015FD">
        <w:t xml:space="preserve"> </w:t>
      </w:r>
      <w:r w:rsidRPr="003015FD">
        <w:t>compensation.</w:t>
      </w:r>
      <w:r w:rsidRPr="004862C5">
        <w:rPr>
          <w:rStyle w:val="FootnoteReference"/>
        </w:rPr>
        <w:footnoteReference w:id="95"/>
      </w:r>
    </w:p>
    <w:p w14:paraId="5410F084" w14:textId="5133EE81" w:rsidR="00E85FE1" w:rsidRPr="003015FD" w:rsidRDefault="00E85FE1" w:rsidP="0002642E">
      <w:r>
        <w:t>This</w:t>
      </w:r>
      <w:r w:rsidRPr="00E85FE1">
        <w:t xml:space="preserve"> decision highlight</w:t>
      </w:r>
      <w:r>
        <w:t>s</w:t>
      </w:r>
      <w:r w:rsidRPr="00E85FE1">
        <w:t xml:space="preserve"> the importance of owners </w:t>
      </w:r>
      <w:proofErr w:type="gramStart"/>
      <w:r w:rsidRPr="00E85FE1">
        <w:t>corporations</w:t>
      </w:r>
      <w:proofErr w:type="gramEnd"/>
      <w:r w:rsidRPr="00E85FE1">
        <w:t xml:space="preserve"> obligations' to make reasonable adjustments to accommodate people with disabilities</w:t>
      </w:r>
      <w:r w:rsidR="00507925">
        <w:t xml:space="preserve">. It </w:t>
      </w:r>
      <w:r>
        <w:t xml:space="preserve">confirms that </w:t>
      </w:r>
      <w:proofErr w:type="gramStart"/>
      <w:r>
        <w:t>o</w:t>
      </w:r>
      <w:r w:rsidRPr="00E85FE1">
        <w:t>wners</w:t>
      </w:r>
      <w:proofErr w:type="gramEnd"/>
      <w:r w:rsidRPr="00E85FE1">
        <w:t xml:space="preserve"> corporations </w:t>
      </w:r>
      <w:r w:rsidR="00E317EA">
        <w:t>must</w:t>
      </w:r>
      <w:r w:rsidRPr="00E85FE1">
        <w:t xml:space="preserve"> consider requests for modification by owners and occupiers with disabilities.</w:t>
      </w:r>
    </w:p>
    <w:p w14:paraId="25BFB500" w14:textId="5051B962" w:rsidR="008E0945" w:rsidRPr="003015FD" w:rsidRDefault="00D90DB7" w:rsidP="0002642E">
      <w:pPr>
        <w:pStyle w:val="Heading2"/>
      </w:pPr>
      <w:bookmarkStart w:id="110" w:name="_Toc15045130"/>
      <w:bookmarkStart w:id="111" w:name="_Toc22011542"/>
      <w:r w:rsidRPr="003015FD">
        <w:t>4.4</w:t>
      </w:r>
      <w:r w:rsidRPr="003015FD">
        <w:tab/>
      </w:r>
      <w:r w:rsidR="008E0945" w:rsidRPr="003015FD">
        <w:t>Cultural</w:t>
      </w:r>
      <w:r w:rsidR="00975895" w:rsidRPr="003015FD">
        <w:t xml:space="preserve"> </w:t>
      </w:r>
      <w:r w:rsidR="008E0945" w:rsidRPr="003015FD">
        <w:t>rights</w:t>
      </w:r>
      <w:bookmarkEnd w:id="110"/>
      <w:bookmarkEnd w:id="111"/>
    </w:p>
    <w:p w14:paraId="468F8B2E" w14:textId="6A41BB5E" w:rsidR="008E0945" w:rsidRPr="00C9414D" w:rsidRDefault="008E0945" w:rsidP="00C9414D">
      <w:pPr>
        <w:pStyle w:val="Heading4"/>
        <w:rPr>
          <w:rStyle w:val="Characterclear"/>
        </w:rPr>
      </w:pPr>
      <w:proofErr w:type="spellStart"/>
      <w:r w:rsidRPr="0002642E">
        <w:rPr>
          <w:rStyle w:val="Characterbold"/>
        </w:rPr>
        <w:t>Cemino</w:t>
      </w:r>
      <w:proofErr w:type="spellEnd"/>
      <w:r w:rsidR="00975895" w:rsidRPr="0002642E">
        <w:rPr>
          <w:rStyle w:val="Characterbold"/>
        </w:rPr>
        <w:t xml:space="preserve"> </w:t>
      </w:r>
      <w:r w:rsidRPr="0002642E">
        <w:rPr>
          <w:rStyle w:val="Characterbold"/>
        </w:rPr>
        <w:t>v</w:t>
      </w:r>
      <w:r w:rsidR="00975895" w:rsidRPr="0002642E">
        <w:rPr>
          <w:rStyle w:val="Characterbold"/>
        </w:rPr>
        <w:t xml:space="preserve"> </w:t>
      </w:r>
      <w:proofErr w:type="spellStart"/>
      <w:r w:rsidRPr="0002642E">
        <w:rPr>
          <w:rStyle w:val="Characterbold"/>
        </w:rPr>
        <w:t>Cannan</w:t>
      </w:r>
      <w:proofErr w:type="spellEnd"/>
      <w:r w:rsidRPr="004862C5">
        <w:rPr>
          <w:rStyle w:val="FootnoteReference"/>
        </w:rPr>
        <w:footnoteReference w:id="96"/>
      </w:r>
    </w:p>
    <w:p w14:paraId="0BDB36CF" w14:textId="76BDEC06" w:rsidR="008E0945" w:rsidRPr="003015FD" w:rsidRDefault="008E0945" w:rsidP="0002642E">
      <w:r w:rsidRPr="003015FD">
        <w:t>In</w:t>
      </w:r>
      <w:r w:rsidR="00975895" w:rsidRPr="003015FD">
        <w:t xml:space="preserve"> </w:t>
      </w:r>
      <w:r w:rsidRPr="003015FD">
        <w:t>April</w:t>
      </w:r>
      <w:r w:rsidR="00975895" w:rsidRPr="003015FD">
        <w:t xml:space="preserve"> </w:t>
      </w:r>
      <w:r w:rsidRPr="003015FD">
        <w:t>2017</w:t>
      </w:r>
      <w:r w:rsidR="003165F0">
        <w:t>,</w:t>
      </w:r>
      <w:r w:rsidR="00975895" w:rsidRPr="003015FD">
        <w:t xml:space="preserve"> </w:t>
      </w:r>
      <w:r w:rsidRPr="003015FD">
        <w:t>Mr</w:t>
      </w:r>
      <w:r w:rsidR="00975895" w:rsidRPr="003015FD">
        <w:t xml:space="preserve"> </w:t>
      </w:r>
      <w:proofErr w:type="spellStart"/>
      <w:r w:rsidRPr="003015FD">
        <w:t>Cemino</w:t>
      </w:r>
      <w:proofErr w:type="spellEnd"/>
      <w:r w:rsidR="00975895" w:rsidRPr="003015FD">
        <w:t xml:space="preserve"> </w:t>
      </w:r>
      <w:r w:rsidRPr="003015FD">
        <w:t>applied</w:t>
      </w:r>
      <w:r w:rsidR="00975895" w:rsidRPr="003015FD">
        <w:t xml:space="preserve"> </w:t>
      </w:r>
      <w:r w:rsidRPr="003015FD">
        <w:t>to</w:t>
      </w:r>
      <w:r w:rsidR="00975895" w:rsidRPr="003015FD">
        <w:t xml:space="preserve"> </w:t>
      </w:r>
      <w:r w:rsidRPr="003015FD">
        <w:t>the</w:t>
      </w:r>
      <w:r w:rsidR="00975895" w:rsidRPr="003015FD">
        <w:t xml:space="preserve"> </w:t>
      </w:r>
      <w:r w:rsidRPr="003015FD">
        <w:t>Magistrates</w:t>
      </w:r>
      <w:r w:rsidR="000C5726">
        <w:t>'</w:t>
      </w:r>
      <w:r w:rsidR="00975895" w:rsidRPr="003015FD">
        <w:t xml:space="preserve"> </w:t>
      </w:r>
      <w:r w:rsidRPr="003015FD">
        <w:t>Court</w:t>
      </w:r>
      <w:r w:rsidR="00975895" w:rsidRPr="003015FD">
        <w:t xml:space="preserve"> </w:t>
      </w:r>
      <w:r w:rsidRPr="003015FD">
        <w:t>in</w:t>
      </w:r>
      <w:r w:rsidR="00975895" w:rsidRPr="003015FD">
        <w:t xml:space="preserve"> </w:t>
      </w:r>
      <w:r w:rsidRPr="003015FD">
        <w:t>Echuca</w:t>
      </w:r>
      <w:r w:rsidR="00975895" w:rsidRPr="003015FD">
        <w:t xml:space="preserve"> </w:t>
      </w:r>
      <w:r w:rsidRPr="003015FD">
        <w:t>to</w:t>
      </w:r>
      <w:r w:rsidR="00975895" w:rsidRPr="003015FD">
        <w:t xml:space="preserve"> </w:t>
      </w:r>
      <w:r w:rsidRPr="003015FD">
        <w:t>transfer</w:t>
      </w:r>
      <w:r w:rsidR="00975895" w:rsidRPr="003015FD">
        <w:t xml:space="preserve"> </w:t>
      </w:r>
      <w:r w:rsidRPr="003015FD">
        <w:t>criminal</w:t>
      </w:r>
      <w:r w:rsidR="00975895" w:rsidRPr="003015FD">
        <w:t xml:space="preserve"> </w:t>
      </w:r>
      <w:r w:rsidRPr="003015FD">
        <w:t>charges</w:t>
      </w:r>
      <w:r w:rsidR="00975895" w:rsidRPr="003015FD">
        <w:t xml:space="preserve"> </w:t>
      </w:r>
      <w:r w:rsidRPr="003015FD">
        <w:t>he</w:t>
      </w:r>
      <w:r w:rsidR="00975895" w:rsidRPr="003015FD">
        <w:t xml:space="preserve"> </w:t>
      </w:r>
      <w:r w:rsidRPr="003015FD">
        <w:t>was</w:t>
      </w:r>
      <w:r w:rsidR="00975895" w:rsidRPr="003015FD">
        <w:t xml:space="preserve"> </w:t>
      </w:r>
      <w:r w:rsidRPr="003015FD">
        <w:t>facing</w:t>
      </w:r>
      <w:r w:rsidR="00975895" w:rsidRPr="003015FD">
        <w:t xml:space="preserve"> </w:t>
      </w:r>
      <w:r w:rsidRPr="003015FD">
        <w:t>to</w:t>
      </w:r>
      <w:r w:rsidR="00975895" w:rsidRPr="003015FD">
        <w:t xml:space="preserve"> </w:t>
      </w:r>
      <w:r w:rsidRPr="003015FD">
        <w:t>the</w:t>
      </w:r>
      <w:r w:rsidR="00975895" w:rsidRPr="003015FD">
        <w:t xml:space="preserve"> </w:t>
      </w:r>
      <w:r w:rsidRPr="003015FD">
        <w:t>Koori</w:t>
      </w:r>
      <w:r w:rsidR="00975895" w:rsidRPr="003015FD">
        <w:t xml:space="preserve"> </w:t>
      </w:r>
      <w:r w:rsidRPr="003015FD">
        <w:t>Court</w:t>
      </w:r>
      <w:r w:rsidR="00975895" w:rsidRPr="003015FD">
        <w:t xml:space="preserve"> </w:t>
      </w:r>
      <w:r w:rsidRPr="003015FD">
        <w:t>in</w:t>
      </w:r>
      <w:r w:rsidR="00975895" w:rsidRPr="003015FD">
        <w:t xml:space="preserve"> </w:t>
      </w:r>
      <w:r w:rsidRPr="003015FD">
        <w:t>Shepparton</w:t>
      </w:r>
      <w:r w:rsidR="00975895" w:rsidRPr="003015FD">
        <w:t xml:space="preserve"> </w:t>
      </w:r>
      <w:r w:rsidRPr="003015FD">
        <w:t>for</w:t>
      </w:r>
      <w:r w:rsidR="00975895" w:rsidRPr="003015FD">
        <w:t xml:space="preserve"> </w:t>
      </w:r>
      <w:r w:rsidRPr="003015FD">
        <w:t>sentencing.</w:t>
      </w:r>
      <w:r w:rsidR="00975895" w:rsidRPr="003015FD">
        <w:t xml:space="preserve"> </w:t>
      </w:r>
      <w:r w:rsidRPr="003015FD">
        <w:t>Mr</w:t>
      </w:r>
      <w:r w:rsidR="00975895" w:rsidRPr="003015FD">
        <w:t xml:space="preserve"> </w:t>
      </w:r>
      <w:proofErr w:type="spellStart"/>
      <w:r w:rsidRPr="003015FD">
        <w:t>Cemino</w:t>
      </w:r>
      <w:proofErr w:type="spellEnd"/>
      <w:r w:rsidR="00975895" w:rsidRPr="003015FD">
        <w:t xml:space="preserve"> </w:t>
      </w:r>
      <w:r w:rsidRPr="003015FD">
        <w:t>submitted</w:t>
      </w:r>
      <w:r w:rsidR="00975895" w:rsidRPr="003015FD">
        <w:t xml:space="preserve"> </w:t>
      </w:r>
      <w:r w:rsidRPr="003015FD">
        <w:t>that</w:t>
      </w:r>
      <w:r w:rsidR="00975895" w:rsidRPr="003015FD">
        <w:t xml:space="preserve"> </w:t>
      </w:r>
      <w:r w:rsidRPr="003015FD">
        <w:t>he</w:t>
      </w:r>
      <w:r w:rsidR="00975895" w:rsidRPr="003015FD">
        <w:t xml:space="preserve"> </w:t>
      </w:r>
      <w:r w:rsidRPr="003015FD">
        <w:t>wanted</w:t>
      </w:r>
      <w:r w:rsidR="00975895" w:rsidRPr="003015FD">
        <w:t xml:space="preserve"> </w:t>
      </w:r>
      <w:r w:rsidRPr="003015FD">
        <w:t>to</w:t>
      </w:r>
      <w:r w:rsidR="00975895" w:rsidRPr="003015FD">
        <w:t xml:space="preserve"> </w:t>
      </w:r>
      <w:r w:rsidRPr="003015FD">
        <w:t>be</w:t>
      </w:r>
      <w:r w:rsidR="00975895" w:rsidRPr="003015FD">
        <w:t xml:space="preserve"> </w:t>
      </w:r>
      <w:r w:rsidRPr="003015FD">
        <w:t>heard</w:t>
      </w:r>
      <w:r w:rsidR="00975895" w:rsidRPr="003015FD">
        <w:t xml:space="preserve"> </w:t>
      </w:r>
      <w:r w:rsidRPr="003015FD">
        <w:t>before</w:t>
      </w:r>
      <w:r w:rsidR="00975895" w:rsidRPr="003015FD">
        <w:t xml:space="preserve"> </w:t>
      </w:r>
      <w:r w:rsidRPr="003015FD">
        <w:t>his</w:t>
      </w:r>
      <w:r w:rsidR="00975895" w:rsidRPr="003015FD">
        <w:t xml:space="preserve"> </w:t>
      </w:r>
      <w:r w:rsidRPr="003015FD">
        <w:t>elders</w:t>
      </w:r>
      <w:r w:rsidR="00975895" w:rsidRPr="003015FD">
        <w:t xml:space="preserve"> </w:t>
      </w:r>
      <w:r w:rsidRPr="003015FD">
        <w:t>in</w:t>
      </w:r>
      <w:r w:rsidR="00975895" w:rsidRPr="003015FD">
        <w:t xml:space="preserve"> </w:t>
      </w:r>
      <w:r w:rsidRPr="003015FD">
        <w:t>the</w:t>
      </w:r>
      <w:r w:rsidR="00975895" w:rsidRPr="003015FD">
        <w:t xml:space="preserve"> </w:t>
      </w:r>
      <w:r w:rsidRPr="003015FD">
        <w:t>Koori</w:t>
      </w:r>
      <w:r w:rsidR="00975895" w:rsidRPr="003015FD">
        <w:t xml:space="preserve"> </w:t>
      </w:r>
      <w:r w:rsidRPr="003015FD">
        <w:t>Court,</w:t>
      </w:r>
      <w:r w:rsidR="00975895" w:rsidRPr="003015FD">
        <w:t xml:space="preserve"> </w:t>
      </w:r>
      <w:r w:rsidRPr="003015FD">
        <w:t>where</w:t>
      </w:r>
      <w:r w:rsidR="00975895" w:rsidRPr="003015FD">
        <w:t xml:space="preserve"> </w:t>
      </w:r>
      <w:r w:rsidRPr="003015FD">
        <w:t>he</w:t>
      </w:r>
      <w:r w:rsidR="00975895" w:rsidRPr="003015FD">
        <w:t xml:space="preserve"> </w:t>
      </w:r>
      <w:r w:rsidRPr="003015FD">
        <w:t>would</w:t>
      </w:r>
      <w:r w:rsidR="00975895" w:rsidRPr="003015FD">
        <w:t xml:space="preserve"> </w:t>
      </w:r>
      <w:r w:rsidRPr="003015FD">
        <w:t>have</w:t>
      </w:r>
      <w:r w:rsidR="00975895" w:rsidRPr="003015FD">
        <w:t xml:space="preserve"> </w:t>
      </w:r>
      <w:r w:rsidRPr="003015FD">
        <w:t>felt</w:t>
      </w:r>
      <w:r w:rsidR="00975895" w:rsidRPr="003015FD">
        <w:t xml:space="preserve"> </w:t>
      </w:r>
      <w:r w:rsidRPr="003015FD">
        <w:t>more</w:t>
      </w:r>
      <w:r w:rsidR="00975895" w:rsidRPr="003015FD">
        <w:t xml:space="preserve"> </w:t>
      </w:r>
      <w:r w:rsidRPr="003015FD">
        <w:t>comfortable</w:t>
      </w:r>
      <w:r w:rsidR="00975895" w:rsidRPr="003015FD">
        <w:t xml:space="preserve"> </w:t>
      </w:r>
      <w:r w:rsidRPr="003015FD">
        <w:t>discussing</w:t>
      </w:r>
      <w:r w:rsidR="00975895" w:rsidRPr="003015FD">
        <w:t xml:space="preserve"> </w:t>
      </w:r>
      <w:r w:rsidRPr="003015FD">
        <w:t>the</w:t>
      </w:r>
      <w:r w:rsidR="00975895" w:rsidRPr="003015FD">
        <w:t xml:space="preserve"> </w:t>
      </w:r>
      <w:r w:rsidRPr="003015FD">
        <w:t>circumstances</w:t>
      </w:r>
      <w:r w:rsidR="00975895" w:rsidRPr="003015FD">
        <w:t xml:space="preserve"> </w:t>
      </w:r>
      <w:r w:rsidRPr="003015FD">
        <w:t>around</w:t>
      </w:r>
      <w:r w:rsidR="00975895" w:rsidRPr="003015FD">
        <w:t xml:space="preserve"> </w:t>
      </w:r>
      <w:r w:rsidRPr="003015FD">
        <w:t>his</w:t>
      </w:r>
      <w:r w:rsidR="00975895" w:rsidRPr="003015FD">
        <w:t xml:space="preserve"> </w:t>
      </w:r>
      <w:r w:rsidRPr="003015FD">
        <w:t>actions,</w:t>
      </w:r>
      <w:r w:rsidR="00975895" w:rsidRPr="003015FD">
        <w:t xml:space="preserve"> </w:t>
      </w:r>
      <w:r w:rsidRPr="003015FD">
        <w:t>including</w:t>
      </w:r>
      <w:r w:rsidR="00975895" w:rsidRPr="003015FD">
        <w:t xml:space="preserve"> </w:t>
      </w:r>
      <w:r w:rsidRPr="003015FD">
        <w:t>the</w:t>
      </w:r>
      <w:r w:rsidR="00975895" w:rsidRPr="003015FD">
        <w:t xml:space="preserve"> </w:t>
      </w:r>
      <w:r w:rsidRPr="003015FD">
        <w:t>recent</w:t>
      </w:r>
      <w:r w:rsidR="00975895" w:rsidRPr="003015FD">
        <w:t xml:space="preserve"> </w:t>
      </w:r>
      <w:r w:rsidRPr="003015FD">
        <w:t>passing</w:t>
      </w:r>
      <w:r w:rsidR="00975895" w:rsidRPr="003015FD">
        <w:t xml:space="preserve"> </w:t>
      </w:r>
      <w:r w:rsidRPr="003015FD">
        <w:t>of</w:t>
      </w:r>
      <w:r w:rsidR="00975895" w:rsidRPr="003015FD">
        <w:t xml:space="preserve"> </w:t>
      </w:r>
      <w:r w:rsidRPr="003015FD">
        <w:t>his</w:t>
      </w:r>
      <w:r w:rsidR="00975895" w:rsidRPr="003015FD">
        <w:t xml:space="preserve"> </w:t>
      </w:r>
      <w:r w:rsidRPr="003015FD">
        <w:t>mother,</w:t>
      </w:r>
      <w:r w:rsidR="00975895" w:rsidRPr="003015FD">
        <w:t xml:space="preserve"> </w:t>
      </w:r>
      <w:r w:rsidRPr="003015FD">
        <w:t>a</w:t>
      </w:r>
      <w:r w:rsidR="00975895" w:rsidRPr="003015FD">
        <w:t xml:space="preserve"> </w:t>
      </w:r>
      <w:r w:rsidRPr="003015FD">
        <w:t>Yorta</w:t>
      </w:r>
      <w:r w:rsidR="00975895" w:rsidRPr="003015FD">
        <w:t xml:space="preserve"> </w:t>
      </w:r>
      <w:proofErr w:type="spellStart"/>
      <w:r w:rsidRPr="003015FD">
        <w:t>Yorta</w:t>
      </w:r>
      <w:proofErr w:type="spellEnd"/>
      <w:r w:rsidR="00975895" w:rsidRPr="003015FD">
        <w:t xml:space="preserve"> </w:t>
      </w:r>
      <w:r w:rsidRPr="003015FD">
        <w:t>woman</w:t>
      </w:r>
      <w:r w:rsidRPr="0002642E">
        <w:rPr>
          <w:rStyle w:val="Characterclear"/>
        </w:rPr>
        <w:t>.</w:t>
      </w:r>
      <w:r w:rsidRPr="004862C5">
        <w:rPr>
          <w:rStyle w:val="FootnoteReference"/>
        </w:rPr>
        <w:footnoteReference w:id="97"/>
      </w:r>
      <w:r w:rsidR="00975895" w:rsidRPr="0002642E">
        <w:rPr>
          <w:rStyle w:val="Characterclear"/>
        </w:rPr>
        <w:t xml:space="preserve"> </w:t>
      </w:r>
      <w:r w:rsidRPr="003015FD">
        <w:t>Mr</w:t>
      </w:r>
      <w:r w:rsidR="00975895" w:rsidRPr="003015FD">
        <w:t xml:space="preserve"> </w:t>
      </w:r>
      <w:proofErr w:type="spellStart"/>
      <w:r w:rsidRPr="003015FD">
        <w:t>Cemino</w:t>
      </w:r>
      <w:proofErr w:type="spellEnd"/>
      <w:r w:rsidR="00975895" w:rsidRPr="003015FD">
        <w:t xml:space="preserve"> </w:t>
      </w:r>
      <w:r w:rsidRPr="003015FD">
        <w:t>explained:</w:t>
      </w:r>
      <w:r w:rsidR="00975895" w:rsidRPr="003015FD">
        <w:t xml:space="preserve"> </w:t>
      </w:r>
    </w:p>
    <w:p w14:paraId="73D26788" w14:textId="627DC1E5" w:rsidR="008E0945" w:rsidRPr="003015FD" w:rsidRDefault="008E0945" w:rsidP="0002642E">
      <w:pPr>
        <w:pStyle w:val="Quote"/>
      </w:pPr>
      <w:r w:rsidRPr="003015FD">
        <w:t>The</w:t>
      </w:r>
      <w:r w:rsidR="00975895" w:rsidRPr="003015FD">
        <w:t xml:space="preserve"> </w:t>
      </w:r>
      <w:r w:rsidRPr="003015FD">
        <w:t>Elders</w:t>
      </w:r>
      <w:r w:rsidR="00975895" w:rsidRPr="003015FD">
        <w:t xml:space="preserve"> </w:t>
      </w:r>
      <w:r w:rsidRPr="003015FD">
        <w:t>know</w:t>
      </w:r>
      <w:r w:rsidR="00975895" w:rsidRPr="003015FD">
        <w:t xml:space="preserve"> </w:t>
      </w:r>
      <w:r w:rsidRPr="003015FD">
        <w:t>who</w:t>
      </w:r>
      <w:r w:rsidR="00975895" w:rsidRPr="003015FD">
        <w:t xml:space="preserve"> </w:t>
      </w:r>
      <w:r w:rsidRPr="003015FD">
        <w:t>I</w:t>
      </w:r>
      <w:r w:rsidR="00975895" w:rsidRPr="003015FD">
        <w:t xml:space="preserve"> </w:t>
      </w:r>
      <w:r w:rsidRPr="003015FD">
        <w:t>am</w:t>
      </w:r>
      <w:r w:rsidR="00975895" w:rsidRPr="003015FD">
        <w:t xml:space="preserve"> </w:t>
      </w:r>
      <w:r w:rsidRPr="003015FD">
        <w:t>and</w:t>
      </w:r>
      <w:r w:rsidR="00975895" w:rsidRPr="003015FD">
        <w:t xml:space="preserve"> </w:t>
      </w:r>
      <w:r w:rsidRPr="003015FD">
        <w:t>who</w:t>
      </w:r>
      <w:r w:rsidR="00975895" w:rsidRPr="003015FD">
        <w:t xml:space="preserve"> </w:t>
      </w:r>
      <w:r w:rsidRPr="003015FD">
        <w:t>my</w:t>
      </w:r>
      <w:r w:rsidR="00975895" w:rsidRPr="003015FD">
        <w:t xml:space="preserve"> </w:t>
      </w:r>
      <w:r w:rsidRPr="003015FD">
        <w:t>family</w:t>
      </w:r>
      <w:r w:rsidR="00975895" w:rsidRPr="003015FD">
        <w:t xml:space="preserve"> </w:t>
      </w:r>
      <w:r w:rsidRPr="003015FD">
        <w:t>is.</w:t>
      </w:r>
      <w:r w:rsidR="00975895" w:rsidRPr="003015FD">
        <w:t xml:space="preserve"> </w:t>
      </w:r>
      <w:r w:rsidRPr="003015FD">
        <w:t>Talking</w:t>
      </w:r>
      <w:r w:rsidR="00975895" w:rsidRPr="003015FD">
        <w:t xml:space="preserve"> </w:t>
      </w:r>
      <w:r w:rsidRPr="003015FD">
        <w:t>to</w:t>
      </w:r>
      <w:r w:rsidR="00975895" w:rsidRPr="003015FD">
        <w:t xml:space="preserve"> </w:t>
      </w:r>
      <w:r w:rsidRPr="003015FD">
        <w:t>the</w:t>
      </w:r>
      <w:r w:rsidR="00975895" w:rsidRPr="003015FD">
        <w:t xml:space="preserve"> </w:t>
      </w:r>
      <w:r w:rsidRPr="003015FD">
        <w:t>Elders</w:t>
      </w:r>
      <w:r w:rsidR="00975895" w:rsidRPr="003015FD">
        <w:t xml:space="preserve"> </w:t>
      </w:r>
      <w:r w:rsidRPr="003015FD">
        <w:t>is</w:t>
      </w:r>
      <w:r w:rsidR="00975895" w:rsidRPr="003015FD">
        <w:t xml:space="preserve"> </w:t>
      </w:r>
      <w:r w:rsidRPr="003015FD">
        <w:t>like</w:t>
      </w:r>
      <w:r w:rsidR="00975895" w:rsidRPr="003015FD">
        <w:t xml:space="preserve"> </w:t>
      </w:r>
      <w:r w:rsidRPr="003015FD">
        <w:t>talking</w:t>
      </w:r>
      <w:r w:rsidR="00975895" w:rsidRPr="003015FD">
        <w:t xml:space="preserve"> </w:t>
      </w:r>
      <w:r w:rsidRPr="003015FD">
        <w:t>to</w:t>
      </w:r>
      <w:r w:rsidR="00975895" w:rsidRPr="003015FD">
        <w:t xml:space="preserve"> </w:t>
      </w:r>
      <w:r w:rsidRPr="003015FD">
        <w:t>my</w:t>
      </w:r>
      <w:r w:rsidR="00975895" w:rsidRPr="003015FD">
        <w:t xml:space="preserve"> </w:t>
      </w:r>
      <w:r w:rsidRPr="003015FD">
        <w:t>family.</w:t>
      </w:r>
      <w:r w:rsidR="00975895" w:rsidRPr="003015FD">
        <w:t xml:space="preserve"> </w:t>
      </w:r>
      <w:r w:rsidRPr="003015FD">
        <w:t>They</w:t>
      </w:r>
      <w:r w:rsidR="00975895" w:rsidRPr="003015FD">
        <w:t xml:space="preserve"> </w:t>
      </w:r>
      <w:r w:rsidRPr="003015FD">
        <w:t>can</w:t>
      </w:r>
      <w:r w:rsidR="00975895" w:rsidRPr="003015FD">
        <w:t xml:space="preserve"> </w:t>
      </w:r>
      <w:r w:rsidRPr="003015FD">
        <w:t>speak</w:t>
      </w:r>
      <w:r w:rsidR="00975895" w:rsidRPr="003015FD">
        <w:t xml:space="preserve"> </w:t>
      </w:r>
      <w:r w:rsidRPr="003015FD">
        <w:t>to</w:t>
      </w:r>
      <w:r w:rsidR="00975895" w:rsidRPr="003015FD">
        <w:t xml:space="preserve"> </w:t>
      </w:r>
      <w:r w:rsidRPr="003015FD">
        <w:t>me</w:t>
      </w:r>
      <w:r w:rsidR="00975895" w:rsidRPr="003015FD">
        <w:t xml:space="preserve"> </w:t>
      </w:r>
      <w:r w:rsidRPr="003015FD">
        <w:t>about</w:t>
      </w:r>
      <w:r w:rsidR="00975895" w:rsidRPr="003015FD">
        <w:t xml:space="preserve"> </w:t>
      </w:r>
      <w:r w:rsidRPr="003015FD">
        <w:t>my</w:t>
      </w:r>
      <w:r w:rsidR="00975895" w:rsidRPr="003015FD">
        <w:t xml:space="preserve"> </w:t>
      </w:r>
      <w:r w:rsidRPr="003015FD">
        <w:t>mother</w:t>
      </w:r>
      <w:r w:rsidR="00975895" w:rsidRPr="003015FD">
        <w:t xml:space="preserve"> </w:t>
      </w:r>
      <w:r w:rsidRPr="003015FD">
        <w:t>and</w:t>
      </w:r>
      <w:r w:rsidR="00975895" w:rsidRPr="003015FD">
        <w:t xml:space="preserve"> </w:t>
      </w:r>
      <w:r w:rsidRPr="003015FD">
        <w:t>her</w:t>
      </w:r>
      <w:r w:rsidR="00975895" w:rsidRPr="003015FD">
        <w:t xml:space="preserve"> </w:t>
      </w:r>
      <w:r w:rsidRPr="003015FD">
        <w:t>family,</w:t>
      </w:r>
      <w:r w:rsidR="00975895" w:rsidRPr="003015FD">
        <w:t xml:space="preserve"> </w:t>
      </w:r>
      <w:r w:rsidRPr="003015FD">
        <w:t>about</w:t>
      </w:r>
      <w:r w:rsidR="00975895" w:rsidRPr="003015FD">
        <w:t xml:space="preserve"> </w:t>
      </w:r>
      <w:r w:rsidRPr="003015FD">
        <w:t>who</w:t>
      </w:r>
      <w:r w:rsidR="00975895" w:rsidRPr="003015FD">
        <w:t xml:space="preserve"> </w:t>
      </w:r>
      <w:r w:rsidRPr="003015FD">
        <w:t>I</w:t>
      </w:r>
      <w:r w:rsidR="00975895" w:rsidRPr="003015FD">
        <w:t xml:space="preserve"> </w:t>
      </w:r>
      <w:r w:rsidRPr="003015FD">
        <w:t>am,</w:t>
      </w:r>
      <w:r w:rsidR="00975895" w:rsidRPr="003015FD">
        <w:t xml:space="preserve"> </w:t>
      </w:r>
      <w:r w:rsidRPr="003015FD">
        <w:t>and</w:t>
      </w:r>
      <w:r w:rsidR="00975895" w:rsidRPr="003015FD">
        <w:t xml:space="preserve"> </w:t>
      </w:r>
      <w:r w:rsidRPr="003015FD">
        <w:t>what</w:t>
      </w:r>
      <w:r w:rsidR="00975895" w:rsidRPr="003015FD">
        <w:t xml:space="preserve"> </w:t>
      </w:r>
      <w:r w:rsidRPr="003015FD">
        <w:t>it</w:t>
      </w:r>
      <w:r w:rsidR="00975895" w:rsidRPr="003015FD">
        <w:t xml:space="preserve"> </w:t>
      </w:r>
      <w:r w:rsidRPr="003015FD">
        <w:t>means</w:t>
      </w:r>
      <w:r w:rsidR="00975895" w:rsidRPr="003015FD">
        <w:t xml:space="preserve"> </w:t>
      </w:r>
      <w:r w:rsidRPr="003015FD">
        <w:t>to</w:t>
      </w:r>
      <w:r w:rsidR="00975895" w:rsidRPr="003015FD">
        <w:t xml:space="preserve"> </w:t>
      </w:r>
      <w:r w:rsidRPr="003015FD">
        <w:t>be</w:t>
      </w:r>
      <w:r w:rsidR="00975895" w:rsidRPr="003015FD">
        <w:t xml:space="preserve"> </w:t>
      </w:r>
      <w:r w:rsidRPr="003015FD">
        <w:t>Yorta</w:t>
      </w:r>
      <w:r w:rsidR="00975895" w:rsidRPr="003015FD">
        <w:t xml:space="preserve"> </w:t>
      </w:r>
      <w:proofErr w:type="spellStart"/>
      <w:r w:rsidRPr="003015FD">
        <w:t>Yorta</w:t>
      </w:r>
      <w:proofErr w:type="spellEnd"/>
      <w:r w:rsidR="00975895" w:rsidRPr="003015FD">
        <w:t xml:space="preserve"> </w:t>
      </w:r>
      <w:r w:rsidR="005976DA" w:rsidRPr="003015FD">
        <w:t>[</w:t>
      </w:r>
      <w:r w:rsidRPr="003015FD">
        <w:t>…</w:t>
      </w:r>
      <w:r w:rsidR="005976DA" w:rsidRPr="003015FD">
        <w:t>]</w:t>
      </w:r>
      <w:r w:rsidR="00975895" w:rsidRPr="003015FD">
        <w:t xml:space="preserve"> </w:t>
      </w:r>
      <w:r w:rsidRPr="003015FD">
        <w:t>The</w:t>
      </w:r>
      <w:r w:rsidR="00975895" w:rsidRPr="003015FD">
        <w:t xml:space="preserve"> </w:t>
      </w:r>
      <w:r w:rsidRPr="003015FD">
        <w:t>Elders</w:t>
      </w:r>
      <w:r w:rsidR="00975895" w:rsidRPr="003015FD">
        <w:t xml:space="preserve"> </w:t>
      </w:r>
      <w:r w:rsidRPr="003015FD">
        <w:t>understand</w:t>
      </w:r>
      <w:r w:rsidR="00975895" w:rsidRPr="003015FD">
        <w:t xml:space="preserve"> </w:t>
      </w:r>
      <w:r w:rsidRPr="003015FD">
        <w:t>my</w:t>
      </w:r>
      <w:r w:rsidR="00975895" w:rsidRPr="003015FD">
        <w:t xml:space="preserve"> </w:t>
      </w:r>
      <w:r w:rsidRPr="003015FD">
        <w:t>feelings,</w:t>
      </w:r>
      <w:r w:rsidR="00975895" w:rsidRPr="003015FD">
        <w:t xml:space="preserve"> </w:t>
      </w:r>
      <w:r w:rsidRPr="003015FD">
        <w:t>that</w:t>
      </w:r>
      <w:r w:rsidR="00975895" w:rsidRPr="003015FD">
        <w:t xml:space="preserve"> </w:t>
      </w:r>
      <w:r w:rsidRPr="003015FD">
        <w:t>there</w:t>
      </w:r>
      <w:r w:rsidR="00975895" w:rsidRPr="003015FD">
        <w:t xml:space="preserve"> </w:t>
      </w:r>
      <w:r w:rsidRPr="003015FD">
        <w:t>is</w:t>
      </w:r>
      <w:r w:rsidR="00975895" w:rsidRPr="003015FD">
        <w:t xml:space="preserve"> </w:t>
      </w:r>
      <w:r w:rsidRPr="003015FD">
        <w:t>a</w:t>
      </w:r>
      <w:r w:rsidR="00975895" w:rsidRPr="003015FD">
        <w:t xml:space="preserve"> </w:t>
      </w:r>
      <w:r w:rsidR="000C5726">
        <w:t>'</w:t>
      </w:r>
      <w:r w:rsidRPr="003015FD">
        <w:t>shame</w:t>
      </w:r>
      <w:r w:rsidR="00975895" w:rsidRPr="003015FD">
        <w:t xml:space="preserve"> </w:t>
      </w:r>
      <w:r w:rsidRPr="003015FD">
        <w:t>job</w:t>
      </w:r>
      <w:r w:rsidR="000C5726">
        <w:t>'</w:t>
      </w:r>
      <w:r w:rsidR="00975895" w:rsidRPr="003015FD">
        <w:t xml:space="preserve"> </w:t>
      </w:r>
      <w:r w:rsidRPr="003015FD">
        <w:t>there</w:t>
      </w:r>
      <w:r w:rsidR="00975895" w:rsidRPr="003015FD">
        <w:t xml:space="preserve"> </w:t>
      </w:r>
      <w:r w:rsidRPr="003015FD">
        <w:t>related</w:t>
      </w:r>
      <w:r w:rsidR="00975895" w:rsidRPr="003015FD">
        <w:t xml:space="preserve"> </w:t>
      </w:r>
      <w:r w:rsidRPr="003015FD">
        <w:t>to</w:t>
      </w:r>
      <w:r w:rsidR="00975895" w:rsidRPr="003015FD">
        <w:t xml:space="preserve"> </w:t>
      </w:r>
      <w:r w:rsidRPr="003015FD">
        <w:t>my</w:t>
      </w:r>
      <w:r w:rsidR="00975895" w:rsidRPr="003015FD">
        <w:t xml:space="preserve"> </w:t>
      </w:r>
      <w:r w:rsidRPr="003015FD">
        <w:t>mum</w:t>
      </w:r>
      <w:r w:rsidR="00975895" w:rsidRPr="003015FD">
        <w:t xml:space="preserve"> </w:t>
      </w:r>
      <w:r w:rsidRPr="003015FD">
        <w:t>because</w:t>
      </w:r>
      <w:r w:rsidR="00975895" w:rsidRPr="003015FD">
        <w:t xml:space="preserve"> </w:t>
      </w:r>
      <w:r w:rsidRPr="003015FD">
        <w:t>I</w:t>
      </w:r>
      <w:r w:rsidR="00975895" w:rsidRPr="003015FD">
        <w:t xml:space="preserve"> </w:t>
      </w:r>
      <w:r w:rsidRPr="003015FD">
        <w:t>treated</w:t>
      </w:r>
      <w:r w:rsidR="00975895" w:rsidRPr="003015FD">
        <w:t xml:space="preserve"> </w:t>
      </w:r>
      <w:r w:rsidRPr="003015FD">
        <w:t>her</w:t>
      </w:r>
      <w:r w:rsidR="00975895" w:rsidRPr="003015FD">
        <w:t xml:space="preserve"> </w:t>
      </w:r>
      <w:r w:rsidRPr="003015FD">
        <w:t>poorly</w:t>
      </w:r>
      <w:r w:rsidR="00975895" w:rsidRPr="003015FD">
        <w:t xml:space="preserve"> </w:t>
      </w:r>
      <w:r w:rsidRPr="003015FD">
        <w:t>and</w:t>
      </w:r>
      <w:r w:rsidR="00975895" w:rsidRPr="003015FD">
        <w:t xml:space="preserve"> </w:t>
      </w:r>
      <w:r w:rsidRPr="003015FD">
        <w:t>now</w:t>
      </w:r>
      <w:r w:rsidR="00975895" w:rsidRPr="003015FD">
        <w:t xml:space="preserve"> </w:t>
      </w:r>
      <w:r w:rsidRPr="003015FD">
        <w:t>she</w:t>
      </w:r>
      <w:r w:rsidR="000C5726">
        <w:t>'</w:t>
      </w:r>
      <w:r w:rsidRPr="003015FD">
        <w:t>s</w:t>
      </w:r>
      <w:r w:rsidR="00975895" w:rsidRPr="003015FD">
        <w:t xml:space="preserve"> </w:t>
      </w:r>
      <w:r w:rsidRPr="003015FD">
        <w:t>gone.</w:t>
      </w:r>
      <w:r w:rsidR="00975895" w:rsidRPr="003015FD">
        <w:t xml:space="preserve"> </w:t>
      </w:r>
      <w:r w:rsidRPr="003015FD">
        <w:t>The</w:t>
      </w:r>
      <w:r w:rsidR="00975895" w:rsidRPr="003015FD">
        <w:t xml:space="preserve"> </w:t>
      </w:r>
      <w:r w:rsidRPr="003015FD">
        <w:t>Elders</w:t>
      </w:r>
      <w:r w:rsidR="00975895" w:rsidRPr="003015FD">
        <w:t xml:space="preserve"> </w:t>
      </w:r>
      <w:r w:rsidRPr="003015FD">
        <w:t>know</w:t>
      </w:r>
      <w:r w:rsidR="00975895" w:rsidRPr="003015FD">
        <w:t xml:space="preserve"> </w:t>
      </w:r>
      <w:r w:rsidRPr="003015FD">
        <w:t>what</w:t>
      </w:r>
      <w:r w:rsidR="00975895" w:rsidRPr="003015FD">
        <w:t xml:space="preserve"> </w:t>
      </w:r>
      <w:r w:rsidRPr="003015FD">
        <w:t>this</w:t>
      </w:r>
      <w:r w:rsidR="00975895" w:rsidRPr="003015FD">
        <w:t xml:space="preserve"> </w:t>
      </w:r>
      <w:r w:rsidRPr="003015FD">
        <w:t>means</w:t>
      </w:r>
      <w:r w:rsidR="00975895" w:rsidRPr="003015FD">
        <w:t xml:space="preserve"> </w:t>
      </w:r>
      <w:r w:rsidRPr="003015FD">
        <w:t>for</w:t>
      </w:r>
      <w:r w:rsidR="00975895" w:rsidRPr="003015FD">
        <w:t xml:space="preserve"> </w:t>
      </w:r>
      <w:r w:rsidRPr="003015FD">
        <w:t>me.</w:t>
      </w:r>
      <w:r w:rsidR="00975895" w:rsidRPr="003015FD">
        <w:t xml:space="preserve"> </w:t>
      </w:r>
      <w:r w:rsidRPr="003015FD">
        <w:t>I</w:t>
      </w:r>
      <w:r w:rsidR="00975895" w:rsidRPr="003015FD">
        <w:t xml:space="preserve"> </w:t>
      </w:r>
      <w:r w:rsidRPr="003015FD">
        <w:t>can</w:t>
      </w:r>
      <w:r w:rsidR="00975895" w:rsidRPr="003015FD">
        <w:t xml:space="preserve"> </w:t>
      </w:r>
      <w:r w:rsidRPr="003015FD">
        <w:t>speak</w:t>
      </w:r>
      <w:r w:rsidR="00975895" w:rsidRPr="003015FD">
        <w:t xml:space="preserve"> </w:t>
      </w:r>
      <w:r w:rsidRPr="003015FD">
        <w:t>to</w:t>
      </w:r>
      <w:r w:rsidR="00975895" w:rsidRPr="003015FD">
        <w:t xml:space="preserve"> </w:t>
      </w:r>
      <w:r w:rsidRPr="003015FD">
        <w:t>them</w:t>
      </w:r>
      <w:r w:rsidR="00975895" w:rsidRPr="003015FD">
        <w:t xml:space="preserve"> </w:t>
      </w:r>
      <w:r w:rsidRPr="003015FD">
        <w:t>about</w:t>
      </w:r>
      <w:r w:rsidR="00975895" w:rsidRPr="003015FD">
        <w:t xml:space="preserve"> </w:t>
      </w:r>
      <w:r w:rsidRPr="003015FD">
        <w:t>this,</w:t>
      </w:r>
      <w:r w:rsidR="00975895" w:rsidRPr="003015FD">
        <w:t xml:space="preserve"> </w:t>
      </w:r>
      <w:r w:rsidRPr="003015FD">
        <w:t>in</w:t>
      </w:r>
      <w:r w:rsidR="00975895" w:rsidRPr="003015FD">
        <w:t xml:space="preserve"> </w:t>
      </w:r>
      <w:r w:rsidRPr="003015FD">
        <w:t>a</w:t>
      </w:r>
      <w:r w:rsidR="00975895" w:rsidRPr="003015FD">
        <w:t xml:space="preserve"> </w:t>
      </w:r>
      <w:r w:rsidRPr="003015FD">
        <w:t>way</w:t>
      </w:r>
      <w:r w:rsidR="00975895" w:rsidRPr="003015FD">
        <w:t xml:space="preserve"> </w:t>
      </w:r>
      <w:r w:rsidRPr="003015FD">
        <w:t>I</w:t>
      </w:r>
      <w:r w:rsidR="00975895" w:rsidRPr="003015FD">
        <w:t xml:space="preserve"> </w:t>
      </w:r>
      <w:r w:rsidRPr="003015FD">
        <w:t>can</w:t>
      </w:r>
      <w:r w:rsidR="000C5726">
        <w:t>'</w:t>
      </w:r>
      <w:r w:rsidRPr="003015FD">
        <w:t>t</w:t>
      </w:r>
      <w:r w:rsidR="00975895" w:rsidRPr="003015FD">
        <w:t xml:space="preserve"> </w:t>
      </w:r>
      <w:r w:rsidRPr="003015FD">
        <w:t>speak</w:t>
      </w:r>
      <w:r w:rsidR="00975895" w:rsidRPr="003015FD">
        <w:t xml:space="preserve"> </w:t>
      </w:r>
      <w:r w:rsidRPr="003015FD">
        <w:t>to</w:t>
      </w:r>
      <w:r w:rsidR="00975895" w:rsidRPr="003015FD">
        <w:t xml:space="preserve"> </w:t>
      </w:r>
      <w:r w:rsidRPr="003015FD">
        <w:t>the</w:t>
      </w:r>
      <w:r w:rsidR="00975895" w:rsidRPr="003015FD">
        <w:t xml:space="preserve"> </w:t>
      </w:r>
      <w:r w:rsidRPr="003015FD">
        <w:t>mainstream</w:t>
      </w:r>
      <w:r w:rsidR="00975895" w:rsidRPr="003015FD">
        <w:t xml:space="preserve"> </w:t>
      </w:r>
      <w:r w:rsidRPr="003015FD">
        <w:t>Court.</w:t>
      </w:r>
    </w:p>
    <w:p w14:paraId="69DABF6B" w14:textId="0D846855" w:rsidR="008E0945" w:rsidRPr="003015FD" w:rsidRDefault="008E0945" w:rsidP="0002642E">
      <w:r w:rsidRPr="003015FD">
        <w:t>The</w:t>
      </w:r>
      <w:r w:rsidR="00975895" w:rsidRPr="003015FD">
        <w:t xml:space="preserve"> </w:t>
      </w:r>
      <w:r w:rsidRPr="003015FD">
        <w:t>Koori</w:t>
      </w:r>
      <w:r w:rsidR="00975895" w:rsidRPr="003015FD">
        <w:t xml:space="preserve"> </w:t>
      </w:r>
      <w:r w:rsidRPr="003015FD">
        <w:t>Court</w:t>
      </w:r>
      <w:r w:rsidR="00975895" w:rsidRPr="003015FD">
        <w:t xml:space="preserve"> </w:t>
      </w:r>
      <w:r w:rsidRPr="003015FD">
        <w:t>had</w:t>
      </w:r>
      <w:r w:rsidR="00975895" w:rsidRPr="003015FD">
        <w:t xml:space="preserve"> </w:t>
      </w:r>
      <w:r w:rsidRPr="003015FD">
        <w:t>jurisdiction</w:t>
      </w:r>
      <w:r w:rsidR="00975895" w:rsidRPr="003015FD">
        <w:t xml:space="preserve"> </w:t>
      </w:r>
      <w:r w:rsidRPr="003015FD">
        <w:t>to</w:t>
      </w:r>
      <w:r w:rsidR="00975895" w:rsidRPr="003015FD">
        <w:t xml:space="preserve"> </w:t>
      </w:r>
      <w:r w:rsidRPr="003015FD">
        <w:t>deal</w:t>
      </w:r>
      <w:r w:rsidR="00975895" w:rsidRPr="003015FD">
        <w:t xml:space="preserve"> </w:t>
      </w:r>
      <w:r w:rsidRPr="003015FD">
        <w:t>with</w:t>
      </w:r>
      <w:r w:rsidR="00975895" w:rsidRPr="003015FD">
        <w:t xml:space="preserve"> </w:t>
      </w:r>
      <w:r w:rsidRPr="003015FD">
        <w:t>the</w:t>
      </w:r>
      <w:r w:rsidR="00975895" w:rsidRPr="003015FD">
        <w:t xml:space="preserve"> </w:t>
      </w:r>
      <w:r w:rsidRPr="003015FD">
        <w:t>proceedings</w:t>
      </w:r>
      <w:r w:rsidR="00975895" w:rsidRPr="003015FD">
        <w:t xml:space="preserve"> </w:t>
      </w:r>
      <w:r w:rsidRPr="003015FD">
        <w:t>and</w:t>
      </w:r>
      <w:r w:rsidR="00975895" w:rsidRPr="003015FD">
        <w:t xml:space="preserve"> </w:t>
      </w:r>
      <w:r w:rsidRPr="003015FD">
        <w:t>the</w:t>
      </w:r>
      <w:r w:rsidR="00975895" w:rsidRPr="003015FD">
        <w:t xml:space="preserve"> </w:t>
      </w:r>
      <w:r w:rsidRPr="003015FD">
        <w:t>transfer</w:t>
      </w:r>
      <w:r w:rsidR="00975895" w:rsidRPr="003015FD">
        <w:t xml:space="preserve"> </w:t>
      </w:r>
      <w:r w:rsidRPr="003015FD">
        <w:t>to</w:t>
      </w:r>
      <w:r w:rsidR="00975895" w:rsidRPr="003015FD">
        <w:t xml:space="preserve"> </w:t>
      </w:r>
      <w:r w:rsidRPr="003015FD">
        <w:t>Shepparton</w:t>
      </w:r>
      <w:r w:rsidR="00975895" w:rsidRPr="003015FD">
        <w:t xml:space="preserve"> </w:t>
      </w:r>
      <w:r w:rsidRPr="003015FD">
        <w:t>was</w:t>
      </w:r>
      <w:r w:rsidR="00975895" w:rsidRPr="003015FD">
        <w:t xml:space="preserve"> </w:t>
      </w:r>
      <w:r w:rsidRPr="003015FD">
        <w:t>necessary</w:t>
      </w:r>
      <w:r w:rsidR="00975895" w:rsidRPr="003015FD">
        <w:t xml:space="preserve"> </w:t>
      </w:r>
      <w:r w:rsidRPr="003015FD">
        <w:t>because</w:t>
      </w:r>
      <w:r w:rsidR="00975895" w:rsidRPr="003015FD">
        <w:t xml:space="preserve"> </w:t>
      </w:r>
      <w:r w:rsidRPr="003015FD">
        <w:t>the</w:t>
      </w:r>
      <w:r w:rsidR="00975895" w:rsidRPr="003015FD">
        <w:t xml:space="preserve"> </w:t>
      </w:r>
      <w:r w:rsidRPr="003015FD">
        <w:t>Koori</w:t>
      </w:r>
      <w:r w:rsidR="00975895" w:rsidRPr="003015FD">
        <w:t xml:space="preserve"> </w:t>
      </w:r>
      <w:r w:rsidRPr="003015FD">
        <w:t>Court</w:t>
      </w:r>
      <w:r w:rsidR="00975895" w:rsidRPr="003015FD">
        <w:t xml:space="preserve"> </w:t>
      </w:r>
      <w:r w:rsidRPr="003015FD">
        <w:t>does</w:t>
      </w:r>
      <w:r w:rsidR="00975895" w:rsidRPr="003015FD">
        <w:t xml:space="preserve"> </w:t>
      </w:r>
      <w:r w:rsidRPr="003015FD">
        <w:t>not</w:t>
      </w:r>
      <w:r w:rsidR="00975895" w:rsidRPr="003015FD">
        <w:t xml:space="preserve"> </w:t>
      </w:r>
      <w:r w:rsidRPr="003015FD">
        <w:t>sit</w:t>
      </w:r>
      <w:r w:rsidR="00975895" w:rsidRPr="003015FD">
        <w:t xml:space="preserve"> </w:t>
      </w:r>
      <w:r w:rsidRPr="003015FD">
        <w:t>at</w:t>
      </w:r>
      <w:r w:rsidR="00975895" w:rsidRPr="003015FD">
        <w:t xml:space="preserve"> </w:t>
      </w:r>
      <w:r w:rsidRPr="003015FD">
        <w:t>the</w:t>
      </w:r>
      <w:r w:rsidR="00975895" w:rsidRPr="003015FD">
        <w:t xml:space="preserve"> </w:t>
      </w:r>
      <w:r w:rsidRPr="003015FD">
        <w:t>Echuca</w:t>
      </w:r>
      <w:r w:rsidR="00975895" w:rsidRPr="003015FD">
        <w:t xml:space="preserve"> </w:t>
      </w:r>
      <w:r w:rsidRPr="003015FD">
        <w:t>Magistrates</w:t>
      </w:r>
      <w:r w:rsidR="000C5726">
        <w:t>'</w:t>
      </w:r>
      <w:r w:rsidR="00975895" w:rsidRPr="003015FD">
        <w:t xml:space="preserve"> </w:t>
      </w:r>
      <w:r w:rsidRPr="003015FD">
        <w:t>Court.</w:t>
      </w:r>
      <w:r w:rsidR="00975895" w:rsidRPr="003015FD">
        <w:t xml:space="preserve"> </w:t>
      </w:r>
      <w:r w:rsidRPr="003015FD">
        <w:t>Importantly,</w:t>
      </w:r>
      <w:r w:rsidR="00975895" w:rsidRPr="003015FD">
        <w:t xml:space="preserve"> </w:t>
      </w:r>
      <w:r w:rsidRPr="003015FD">
        <w:t>both</w:t>
      </w:r>
      <w:r w:rsidR="00975895" w:rsidRPr="003015FD">
        <w:t xml:space="preserve"> </w:t>
      </w:r>
      <w:r w:rsidRPr="003015FD">
        <w:t>Echuca</w:t>
      </w:r>
      <w:r w:rsidR="00975895" w:rsidRPr="003015FD">
        <w:t xml:space="preserve"> </w:t>
      </w:r>
      <w:r w:rsidRPr="003015FD">
        <w:t>and</w:t>
      </w:r>
      <w:r w:rsidR="00975895" w:rsidRPr="003015FD">
        <w:t xml:space="preserve"> </w:t>
      </w:r>
      <w:r w:rsidRPr="003015FD">
        <w:t>Shepparton</w:t>
      </w:r>
      <w:r w:rsidR="00975895" w:rsidRPr="003015FD">
        <w:t xml:space="preserve"> </w:t>
      </w:r>
      <w:r w:rsidRPr="003015FD">
        <w:t>are</w:t>
      </w:r>
      <w:r w:rsidR="00975895" w:rsidRPr="003015FD">
        <w:t xml:space="preserve"> </w:t>
      </w:r>
      <w:r w:rsidRPr="003015FD">
        <w:t>located</w:t>
      </w:r>
      <w:r w:rsidR="00975895" w:rsidRPr="003015FD">
        <w:t xml:space="preserve"> </w:t>
      </w:r>
      <w:r w:rsidRPr="003015FD">
        <w:t>on</w:t>
      </w:r>
      <w:r w:rsidR="00975895" w:rsidRPr="003015FD">
        <w:t xml:space="preserve"> </w:t>
      </w:r>
      <w:r w:rsidRPr="003015FD">
        <w:t>Yorta</w:t>
      </w:r>
      <w:r w:rsidR="00975895" w:rsidRPr="003015FD">
        <w:t xml:space="preserve"> </w:t>
      </w:r>
      <w:proofErr w:type="spellStart"/>
      <w:r w:rsidRPr="003015FD">
        <w:lastRenderedPageBreak/>
        <w:t>Yorta</w:t>
      </w:r>
      <w:proofErr w:type="spellEnd"/>
      <w:r w:rsidR="00975895" w:rsidRPr="003015FD">
        <w:t xml:space="preserve"> </w:t>
      </w:r>
      <w:r w:rsidRPr="003015FD">
        <w:t>land,</w:t>
      </w:r>
      <w:r w:rsidR="00975895" w:rsidRPr="003015FD">
        <w:t xml:space="preserve"> </w:t>
      </w:r>
      <w:r w:rsidRPr="003015FD">
        <w:t>with</w:t>
      </w:r>
      <w:r w:rsidR="00975895" w:rsidRPr="003015FD">
        <w:t xml:space="preserve"> </w:t>
      </w:r>
      <w:r w:rsidRPr="003015FD">
        <w:t>many</w:t>
      </w:r>
      <w:r w:rsidR="00975895" w:rsidRPr="003015FD">
        <w:t xml:space="preserve"> </w:t>
      </w:r>
      <w:r w:rsidRPr="003015FD">
        <w:t>Aboriginal</w:t>
      </w:r>
      <w:r w:rsidR="00975895" w:rsidRPr="003015FD">
        <w:t xml:space="preserve"> </w:t>
      </w:r>
      <w:r w:rsidRPr="003015FD">
        <w:t>people</w:t>
      </w:r>
      <w:r w:rsidR="00975895" w:rsidRPr="003015FD">
        <w:t xml:space="preserve"> </w:t>
      </w:r>
      <w:r w:rsidRPr="003015FD">
        <w:t>from</w:t>
      </w:r>
      <w:r w:rsidR="00975895" w:rsidRPr="003015FD">
        <w:t xml:space="preserve"> </w:t>
      </w:r>
      <w:r w:rsidRPr="003015FD">
        <w:t>the</w:t>
      </w:r>
      <w:r w:rsidR="00975895" w:rsidRPr="003015FD">
        <w:t xml:space="preserve"> </w:t>
      </w:r>
      <w:r w:rsidRPr="003015FD">
        <w:t>Yorta</w:t>
      </w:r>
      <w:r w:rsidR="00975895" w:rsidRPr="003015FD">
        <w:t xml:space="preserve"> </w:t>
      </w:r>
      <w:proofErr w:type="spellStart"/>
      <w:r w:rsidRPr="003015FD">
        <w:t>Yorta</w:t>
      </w:r>
      <w:proofErr w:type="spellEnd"/>
      <w:r w:rsidR="00975895" w:rsidRPr="003015FD">
        <w:t xml:space="preserve"> </w:t>
      </w:r>
      <w:r w:rsidRPr="003015FD">
        <w:t>clan</w:t>
      </w:r>
      <w:r w:rsidR="00975895" w:rsidRPr="003015FD">
        <w:t xml:space="preserve"> </w:t>
      </w:r>
      <w:r w:rsidRPr="003015FD">
        <w:t>residing</w:t>
      </w:r>
      <w:r w:rsidR="00975895" w:rsidRPr="003015FD">
        <w:t xml:space="preserve"> </w:t>
      </w:r>
      <w:r w:rsidRPr="003015FD">
        <w:t>in</w:t>
      </w:r>
      <w:r w:rsidR="00975895" w:rsidRPr="003015FD">
        <w:t xml:space="preserve"> </w:t>
      </w:r>
      <w:r w:rsidRPr="003015FD">
        <w:t>Echuca,</w:t>
      </w:r>
      <w:r w:rsidR="00975895" w:rsidRPr="003015FD">
        <w:t xml:space="preserve"> </w:t>
      </w:r>
      <w:r w:rsidRPr="003015FD">
        <w:t>Shepparton</w:t>
      </w:r>
      <w:r w:rsidR="00975895" w:rsidRPr="003015FD">
        <w:t xml:space="preserve"> </w:t>
      </w:r>
      <w:r w:rsidRPr="003015FD">
        <w:t>and</w:t>
      </w:r>
      <w:r w:rsidR="00975895" w:rsidRPr="003015FD">
        <w:t xml:space="preserve"> </w:t>
      </w:r>
      <w:r w:rsidRPr="003015FD">
        <w:t>elsewhere.</w:t>
      </w:r>
    </w:p>
    <w:p w14:paraId="07EE652F" w14:textId="7B91893A" w:rsidR="008E0945" w:rsidRPr="003015FD" w:rsidRDefault="008E0945" w:rsidP="0002642E">
      <w:r w:rsidRPr="003015FD">
        <w:t>The</w:t>
      </w:r>
      <w:r w:rsidR="00975895" w:rsidRPr="003015FD">
        <w:t xml:space="preserve"> </w:t>
      </w:r>
      <w:r w:rsidRPr="003015FD">
        <w:t>Magistrates</w:t>
      </w:r>
      <w:r w:rsidR="000C5726">
        <w:t>'</w:t>
      </w:r>
      <w:r w:rsidR="00975895" w:rsidRPr="003015FD">
        <w:t xml:space="preserve"> </w:t>
      </w:r>
      <w:r w:rsidRPr="003015FD">
        <w:t>Court</w:t>
      </w:r>
      <w:r w:rsidR="00975895" w:rsidRPr="003015FD">
        <w:t xml:space="preserve"> </w:t>
      </w:r>
      <w:r w:rsidRPr="003015FD">
        <w:t>in</w:t>
      </w:r>
      <w:r w:rsidR="00975895" w:rsidRPr="003015FD">
        <w:t xml:space="preserve"> </w:t>
      </w:r>
      <w:r w:rsidRPr="003015FD">
        <w:t>Echuca</w:t>
      </w:r>
      <w:r w:rsidR="00975895" w:rsidRPr="003015FD">
        <w:t xml:space="preserve"> </w:t>
      </w:r>
      <w:r w:rsidRPr="003015FD">
        <w:t>refused</w:t>
      </w:r>
      <w:r w:rsidR="00975895" w:rsidRPr="003015FD">
        <w:t xml:space="preserve"> </w:t>
      </w:r>
      <w:r w:rsidRPr="003015FD">
        <w:t>Mr</w:t>
      </w:r>
      <w:r w:rsidR="00975895" w:rsidRPr="003015FD">
        <w:t xml:space="preserve"> </w:t>
      </w:r>
      <w:proofErr w:type="spellStart"/>
      <w:r w:rsidRPr="003015FD">
        <w:t>Cemino</w:t>
      </w:r>
      <w:r w:rsidR="000C5726">
        <w:t>'</w:t>
      </w:r>
      <w:r w:rsidRPr="003015FD">
        <w:t>s</w:t>
      </w:r>
      <w:proofErr w:type="spellEnd"/>
      <w:r w:rsidR="00975895" w:rsidRPr="003015FD">
        <w:t xml:space="preserve"> </w:t>
      </w:r>
      <w:r w:rsidRPr="003015FD">
        <w:t>application,</w:t>
      </w:r>
      <w:r w:rsidR="00975895" w:rsidRPr="003015FD">
        <w:t xml:space="preserve"> </w:t>
      </w:r>
      <w:r w:rsidRPr="003015FD">
        <w:t>based</w:t>
      </w:r>
      <w:r w:rsidR="00975895" w:rsidRPr="003015FD">
        <w:t xml:space="preserve"> </w:t>
      </w:r>
      <w:r w:rsidRPr="003015FD">
        <w:t>on</w:t>
      </w:r>
      <w:r w:rsidR="00975895" w:rsidRPr="003015FD">
        <w:t xml:space="preserve"> </w:t>
      </w:r>
      <w:r w:rsidRPr="003015FD">
        <w:t>the</w:t>
      </w:r>
      <w:r w:rsidR="00975895" w:rsidRPr="003015FD">
        <w:t xml:space="preserve"> </w:t>
      </w:r>
      <w:r w:rsidRPr="003015FD">
        <w:t>magistrate</w:t>
      </w:r>
      <w:r w:rsidR="000C5726">
        <w:t>'</w:t>
      </w:r>
      <w:r w:rsidRPr="003015FD">
        <w:t>s</w:t>
      </w:r>
      <w:r w:rsidR="00975895" w:rsidRPr="003015FD">
        <w:t xml:space="preserve"> </w:t>
      </w:r>
      <w:r w:rsidRPr="003015FD">
        <w:t>understanding</w:t>
      </w:r>
      <w:r w:rsidR="00975895" w:rsidRPr="003015FD">
        <w:t xml:space="preserve"> </w:t>
      </w:r>
      <w:r w:rsidRPr="003015FD">
        <w:t>of</w:t>
      </w:r>
      <w:r w:rsidR="00975895" w:rsidRPr="003015FD">
        <w:t xml:space="preserve"> </w:t>
      </w:r>
      <w:r w:rsidRPr="003015FD">
        <w:t>the</w:t>
      </w:r>
      <w:r w:rsidR="00975895" w:rsidRPr="003015FD">
        <w:t xml:space="preserve"> </w:t>
      </w:r>
      <w:r w:rsidRPr="003015FD">
        <w:t>importance</w:t>
      </w:r>
      <w:r w:rsidR="00975895" w:rsidRPr="003015FD">
        <w:t xml:space="preserve"> </w:t>
      </w:r>
      <w:r w:rsidRPr="003015FD">
        <w:t>of</w:t>
      </w:r>
      <w:r w:rsidR="00975895" w:rsidRPr="003015FD">
        <w:t xml:space="preserve"> </w:t>
      </w:r>
      <w:r w:rsidRPr="003015FD">
        <w:t>the</w:t>
      </w:r>
      <w:r w:rsidR="00975895" w:rsidRPr="003015FD">
        <w:t xml:space="preserve"> </w:t>
      </w:r>
      <w:r w:rsidR="00914231">
        <w:t>‘</w:t>
      </w:r>
      <w:r w:rsidRPr="003015FD">
        <w:t>proper</w:t>
      </w:r>
      <w:r w:rsidR="00975895" w:rsidRPr="003015FD">
        <w:t xml:space="preserve"> </w:t>
      </w:r>
      <w:r w:rsidRPr="003015FD">
        <w:t>venue</w:t>
      </w:r>
      <w:r w:rsidR="00914231">
        <w:t>’</w:t>
      </w:r>
      <w:r w:rsidR="00975895" w:rsidRPr="003015FD">
        <w:t xml:space="preserve"> </w:t>
      </w:r>
      <w:r w:rsidRPr="003015FD">
        <w:t>principle.</w:t>
      </w:r>
      <w:r w:rsidRPr="004862C5">
        <w:rPr>
          <w:rStyle w:val="FootnoteReference"/>
        </w:rPr>
        <w:footnoteReference w:id="98"/>
      </w:r>
      <w:r w:rsidR="00975895" w:rsidRPr="003015FD">
        <w:t xml:space="preserve"> </w:t>
      </w:r>
      <w:r w:rsidRPr="003015FD">
        <w:t>According</w:t>
      </w:r>
      <w:r w:rsidR="00975895" w:rsidRPr="003015FD">
        <w:t xml:space="preserve"> </w:t>
      </w:r>
      <w:r w:rsidRPr="003015FD">
        <w:t>to</w:t>
      </w:r>
      <w:r w:rsidR="00975895" w:rsidRPr="003015FD">
        <w:t xml:space="preserve"> </w:t>
      </w:r>
      <w:r w:rsidRPr="003015FD">
        <w:t>this</w:t>
      </w:r>
      <w:r w:rsidR="00975895" w:rsidRPr="003015FD">
        <w:t xml:space="preserve"> </w:t>
      </w:r>
      <w:r w:rsidRPr="003015FD">
        <w:t>principle,</w:t>
      </w:r>
      <w:r w:rsidR="00975895" w:rsidRPr="003015FD">
        <w:t xml:space="preserve"> </w:t>
      </w:r>
      <w:r w:rsidRPr="003015FD">
        <w:t>the</w:t>
      </w:r>
      <w:r w:rsidR="00975895" w:rsidRPr="003015FD">
        <w:t xml:space="preserve"> </w:t>
      </w:r>
      <w:r w:rsidRPr="003015FD">
        <w:t>proper</w:t>
      </w:r>
      <w:r w:rsidR="00975895" w:rsidRPr="003015FD">
        <w:t xml:space="preserve"> </w:t>
      </w:r>
      <w:r w:rsidRPr="003015FD">
        <w:t>venue</w:t>
      </w:r>
      <w:r w:rsidR="00975895" w:rsidRPr="003015FD">
        <w:t xml:space="preserve"> </w:t>
      </w:r>
      <w:r w:rsidRPr="003015FD">
        <w:t>for</w:t>
      </w:r>
      <w:r w:rsidR="00975895" w:rsidRPr="003015FD">
        <w:t xml:space="preserve"> </w:t>
      </w:r>
      <w:r w:rsidRPr="003015FD">
        <w:t>a</w:t>
      </w:r>
      <w:r w:rsidR="00975895" w:rsidRPr="003015FD">
        <w:t xml:space="preserve"> </w:t>
      </w:r>
      <w:r w:rsidRPr="003015FD">
        <w:t>case</w:t>
      </w:r>
      <w:r w:rsidR="00975895" w:rsidRPr="003015FD">
        <w:t xml:space="preserve"> </w:t>
      </w:r>
      <w:r w:rsidRPr="003015FD">
        <w:t>to</w:t>
      </w:r>
      <w:r w:rsidR="00975895" w:rsidRPr="003015FD">
        <w:t xml:space="preserve"> </w:t>
      </w:r>
      <w:r w:rsidRPr="003015FD">
        <w:t>be</w:t>
      </w:r>
      <w:r w:rsidR="00975895" w:rsidRPr="003015FD">
        <w:t xml:space="preserve"> </w:t>
      </w:r>
      <w:r w:rsidRPr="003015FD">
        <w:t>heard</w:t>
      </w:r>
      <w:r w:rsidR="00975895" w:rsidRPr="003015FD">
        <w:t xml:space="preserve"> </w:t>
      </w:r>
      <w:r w:rsidRPr="003015FD">
        <w:t>is</w:t>
      </w:r>
      <w:r w:rsidR="00975895" w:rsidRPr="003015FD">
        <w:t xml:space="preserve"> </w:t>
      </w:r>
      <w:r w:rsidRPr="003015FD">
        <w:t>the</w:t>
      </w:r>
      <w:r w:rsidR="00975895" w:rsidRPr="003015FD">
        <w:t xml:space="preserve"> </w:t>
      </w:r>
      <w:r w:rsidRPr="003015FD">
        <w:t>venue</w:t>
      </w:r>
      <w:r w:rsidR="00975895" w:rsidRPr="003015FD">
        <w:t xml:space="preserve"> </w:t>
      </w:r>
      <w:r w:rsidRPr="003015FD">
        <w:t>nearest</w:t>
      </w:r>
      <w:r w:rsidR="00975895" w:rsidRPr="003015FD">
        <w:t xml:space="preserve"> </w:t>
      </w:r>
      <w:r w:rsidRPr="003015FD">
        <w:t>to</w:t>
      </w:r>
      <w:r w:rsidR="00975895" w:rsidRPr="003015FD">
        <w:t xml:space="preserve"> </w:t>
      </w:r>
      <w:r w:rsidRPr="003015FD">
        <w:t>the</w:t>
      </w:r>
      <w:r w:rsidR="00975895" w:rsidRPr="003015FD">
        <w:t xml:space="preserve"> </w:t>
      </w:r>
      <w:r w:rsidRPr="003015FD">
        <w:t>place</w:t>
      </w:r>
      <w:r w:rsidR="00975895" w:rsidRPr="003015FD">
        <w:t xml:space="preserve"> </w:t>
      </w:r>
      <w:r w:rsidRPr="003015FD">
        <w:t>where</w:t>
      </w:r>
      <w:r w:rsidR="00975895" w:rsidRPr="003015FD">
        <w:t xml:space="preserve"> </w:t>
      </w:r>
      <w:r w:rsidRPr="003015FD">
        <w:t>the</w:t>
      </w:r>
      <w:r w:rsidR="00975895" w:rsidRPr="003015FD">
        <w:t xml:space="preserve"> </w:t>
      </w:r>
      <w:r w:rsidRPr="003015FD">
        <w:t>offence</w:t>
      </w:r>
      <w:r w:rsidR="00975895" w:rsidRPr="003015FD">
        <w:t xml:space="preserve"> </w:t>
      </w:r>
      <w:r w:rsidRPr="003015FD">
        <w:t>was</w:t>
      </w:r>
      <w:r w:rsidR="00975895" w:rsidRPr="003015FD">
        <w:t xml:space="preserve"> </w:t>
      </w:r>
      <w:r w:rsidRPr="003015FD">
        <w:t>alleged</w:t>
      </w:r>
      <w:r w:rsidR="00975895" w:rsidRPr="003015FD">
        <w:t xml:space="preserve"> </w:t>
      </w:r>
      <w:r w:rsidRPr="003015FD">
        <w:t>to</w:t>
      </w:r>
      <w:r w:rsidR="00975895" w:rsidRPr="003015FD">
        <w:t xml:space="preserve"> </w:t>
      </w:r>
      <w:r w:rsidRPr="003015FD">
        <w:t>be</w:t>
      </w:r>
      <w:r w:rsidR="00975895" w:rsidRPr="003015FD">
        <w:t xml:space="preserve"> </w:t>
      </w:r>
      <w:r w:rsidRPr="003015FD">
        <w:t>committed,</w:t>
      </w:r>
      <w:r w:rsidR="00975895" w:rsidRPr="003015FD">
        <w:t xml:space="preserve"> </w:t>
      </w:r>
      <w:r w:rsidRPr="003015FD">
        <w:t>or</w:t>
      </w:r>
      <w:r w:rsidR="00975895" w:rsidRPr="003015FD">
        <w:t xml:space="preserve"> </w:t>
      </w:r>
      <w:r w:rsidRPr="003015FD">
        <w:t>the</w:t>
      </w:r>
      <w:r w:rsidR="00975895" w:rsidRPr="003015FD">
        <w:t xml:space="preserve"> </w:t>
      </w:r>
      <w:r w:rsidRPr="003015FD">
        <w:t>place</w:t>
      </w:r>
      <w:r w:rsidR="00975895" w:rsidRPr="003015FD">
        <w:t xml:space="preserve"> </w:t>
      </w:r>
      <w:r w:rsidRPr="003015FD">
        <w:t>of</w:t>
      </w:r>
      <w:r w:rsidR="00975895" w:rsidRPr="003015FD">
        <w:t xml:space="preserve"> </w:t>
      </w:r>
      <w:r w:rsidRPr="003015FD">
        <w:t>residence</w:t>
      </w:r>
      <w:r w:rsidR="00975895" w:rsidRPr="003015FD">
        <w:t xml:space="preserve"> </w:t>
      </w:r>
      <w:r w:rsidRPr="003015FD">
        <w:t>of</w:t>
      </w:r>
      <w:r w:rsidR="00975895" w:rsidRPr="003015FD">
        <w:t xml:space="preserve"> </w:t>
      </w:r>
      <w:r w:rsidRPr="003015FD">
        <w:t>the</w:t>
      </w:r>
      <w:r w:rsidR="00975895" w:rsidRPr="003015FD">
        <w:t xml:space="preserve"> </w:t>
      </w:r>
      <w:r w:rsidRPr="003015FD">
        <w:t>defendant.</w:t>
      </w:r>
    </w:p>
    <w:p w14:paraId="5FAC7278" w14:textId="194A63EB" w:rsidR="008E0945" w:rsidRPr="003015FD" w:rsidRDefault="008E0945" w:rsidP="0002642E">
      <w:r w:rsidRPr="003015FD">
        <w:t>The</w:t>
      </w:r>
      <w:r w:rsidR="00975895" w:rsidRPr="003015FD">
        <w:t xml:space="preserve"> </w:t>
      </w:r>
      <w:r w:rsidRPr="003015FD">
        <w:t>Victorian</w:t>
      </w:r>
      <w:r w:rsidR="00975895" w:rsidRPr="003015FD">
        <w:t xml:space="preserve"> </w:t>
      </w:r>
      <w:r w:rsidRPr="003015FD">
        <w:t>Aboriginal</w:t>
      </w:r>
      <w:r w:rsidR="00975895" w:rsidRPr="003015FD">
        <w:t xml:space="preserve"> </w:t>
      </w:r>
      <w:r w:rsidRPr="003015FD">
        <w:t>Legal</w:t>
      </w:r>
      <w:r w:rsidR="00975895" w:rsidRPr="003015FD">
        <w:t xml:space="preserve"> </w:t>
      </w:r>
      <w:r w:rsidRPr="003015FD">
        <w:t>Service,</w:t>
      </w:r>
      <w:r w:rsidR="00975895" w:rsidRPr="003015FD">
        <w:t xml:space="preserve"> </w:t>
      </w:r>
      <w:r w:rsidRPr="003015FD">
        <w:t>on</w:t>
      </w:r>
      <w:r w:rsidR="00975895" w:rsidRPr="003015FD">
        <w:t xml:space="preserve"> </w:t>
      </w:r>
      <w:r w:rsidRPr="003015FD">
        <w:t>behalf</w:t>
      </w:r>
      <w:r w:rsidR="00975895" w:rsidRPr="003015FD">
        <w:t xml:space="preserve"> </w:t>
      </w:r>
      <w:r w:rsidRPr="003015FD">
        <w:t>of</w:t>
      </w:r>
      <w:r w:rsidR="00975895" w:rsidRPr="003015FD">
        <w:t xml:space="preserve"> </w:t>
      </w:r>
      <w:r w:rsidRPr="003015FD">
        <w:t>Mr</w:t>
      </w:r>
      <w:r w:rsidR="00975895" w:rsidRPr="003015FD">
        <w:t xml:space="preserve"> </w:t>
      </w:r>
      <w:proofErr w:type="spellStart"/>
      <w:r w:rsidRPr="003015FD">
        <w:t>Cemino</w:t>
      </w:r>
      <w:proofErr w:type="spellEnd"/>
      <w:r w:rsidRPr="003015FD">
        <w:t>,</w:t>
      </w:r>
      <w:r w:rsidR="00975895" w:rsidRPr="003015FD">
        <w:t xml:space="preserve"> </w:t>
      </w:r>
      <w:r w:rsidRPr="003015FD">
        <w:t>appealed,</w:t>
      </w:r>
      <w:r w:rsidR="00975895" w:rsidRPr="003015FD">
        <w:t xml:space="preserve"> </w:t>
      </w:r>
      <w:r w:rsidRPr="003015FD">
        <w:t>arguing:</w:t>
      </w:r>
    </w:p>
    <w:p w14:paraId="75B060D9" w14:textId="3D79805D" w:rsidR="008E0945" w:rsidRPr="003015FD" w:rsidRDefault="008E0945" w:rsidP="0002642E">
      <w:pPr>
        <w:pStyle w:val="ListBullet"/>
      </w:pPr>
      <w:r w:rsidRPr="003015FD">
        <w:t>the</w:t>
      </w:r>
      <w:r w:rsidR="00975895" w:rsidRPr="003015FD">
        <w:t xml:space="preserve"> </w:t>
      </w:r>
      <w:r w:rsidRPr="003015FD">
        <w:t>Magistrate</w:t>
      </w:r>
      <w:r w:rsidR="00975895" w:rsidRPr="003015FD">
        <w:t xml:space="preserve"> </w:t>
      </w:r>
      <w:r w:rsidRPr="003015FD">
        <w:t>made</w:t>
      </w:r>
      <w:r w:rsidR="00975895" w:rsidRPr="003015FD">
        <w:t xml:space="preserve"> </w:t>
      </w:r>
      <w:r w:rsidRPr="003015FD">
        <w:t>an</w:t>
      </w:r>
      <w:r w:rsidR="00975895" w:rsidRPr="003015FD">
        <w:t xml:space="preserve"> </w:t>
      </w:r>
      <w:r w:rsidRPr="003015FD">
        <w:t>error</w:t>
      </w:r>
      <w:r w:rsidR="00975895" w:rsidRPr="003015FD">
        <w:t xml:space="preserve"> </w:t>
      </w:r>
      <w:r w:rsidRPr="003015FD">
        <w:t>of</w:t>
      </w:r>
      <w:r w:rsidR="00975895" w:rsidRPr="003015FD">
        <w:t xml:space="preserve"> </w:t>
      </w:r>
      <w:r w:rsidRPr="003015FD">
        <w:t>law</w:t>
      </w:r>
      <w:r w:rsidR="00975895" w:rsidRPr="003015FD">
        <w:t xml:space="preserve"> </w:t>
      </w:r>
      <w:r w:rsidRPr="003015FD">
        <w:t>in</w:t>
      </w:r>
      <w:r w:rsidR="00975895" w:rsidRPr="003015FD">
        <w:t xml:space="preserve"> </w:t>
      </w:r>
      <w:r w:rsidRPr="003015FD">
        <w:t>applying</w:t>
      </w:r>
      <w:r w:rsidR="00975895" w:rsidRPr="003015FD">
        <w:t xml:space="preserve"> </w:t>
      </w:r>
      <w:r w:rsidRPr="003015FD">
        <w:t>the</w:t>
      </w:r>
      <w:r w:rsidR="00975895" w:rsidRPr="003015FD">
        <w:t xml:space="preserve"> </w:t>
      </w:r>
      <w:r w:rsidRPr="003015FD">
        <w:t>proper</w:t>
      </w:r>
      <w:r w:rsidR="00975895" w:rsidRPr="003015FD">
        <w:t xml:space="preserve"> </w:t>
      </w:r>
      <w:r w:rsidRPr="003015FD">
        <w:t>venue</w:t>
      </w:r>
      <w:r w:rsidR="00975895" w:rsidRPr="003015FD">
        <w:t xml:space="preserve"> </w:t>
      </w:r>
      <w:r w:rsidRPr="003015FD">
        <w:t>principle,</w:t>
      </w:r>
      <w:r w:rsidR="00975895" w:rsidRPr="003015FD">
        <w:t xml:space="preserve"> </w:t>
      </w:r>
      <w:r w:rsidRPr="003015FD">
        <w:t>as</w:t>
      </w:r>
      <w:r w:rsidR="00975895" w:rsidRPr="003015FD">
        <w:t xml:space="preserve"> </w:t>
      </w:r>
      <w:r w:rsidRPr="003015FD">
        <w:t>this</w:t>
      </w:r>
      <w:r w:rsidR="00975895" w:rsidRPr="003015FD">
        <w:t xml:space="preserve"> </w:t>
      </w:r>
      <w:r w:rsidRPr="003015FD">
        <w:t>was</w:t>
      </w:r>
      <w:r w:rsidR="00975895" w:rsidRPr="003015FD">
        <w:t xml:space="preserve"> </w:t>
      </w:r>
      <w:r w:rsidRPr="003015FD">
        <w:t>effectively</w:t>
      </w:r>
      <w:r w:rsidR="00975895" w:rsidRPr="003015FD">
        <w:t xml:space="preserve"> </w:t>
      </w:r>
      <w:r w:rsidRPr="003015FD">
        <w:t>a</w:t>
      </w:r>
      <w:r w:rsidR="00975895" w:rsidRPr="003015FD">
        <w:t xml:space="preserve"> </w:t>
      </w:r>
      <w:r w:rsidRPr="003015FD">
        <w:t>clause</w:t>
      </w:r>
      <w:r w:rsidR="00975895" w:rsidRPr="003015FD">
        <w:t xml:space="preserve"> </w:t>
      </w:r>
      <w:r w:rsidRPr="003015FD">
        <w:t>of</w:t>
      </w:r>
      <w:r w:rsidR="00975895" w:rsidRPr="003015FD">
        <w:t xml:space="preserve"> </w:t>
      </w:r>
      <w:r w:rsidRPr="003015FD">
        <w:t>the</w:t>
      </w:r>
      <w:r w:rsidR="00975895" w:rsidRPr="003015FD">
        <w:t xml:space="preserve"> </w:t>
      </w:r>
      <w:r w:rsidRPr="00507925">
        <w:rPr>
          <w:i/>
        </w:rPr>
        <w:t>Magistrates</w:t>
      </w:r>
      <w:r w:rsidR="000C5726" w:rsidRPr="00507925">
        <w:rPr>
          <w:i/>
        </w:rPr>
        <w:t>'</w:t>
      </w:r>
      <w:r w:rsidR="00975895" w:rsidRPr="0002642E">
        <w:rPr>
          <w:i/>
        </w:rPr>
        <w:t xml:space="preserve"> </w:t>
      </w:r>
      <w:r w:rsidRPr="0002642E">
        <w:rPr>
          <w:i/>
        </w:rPr>
        <w:t>Court</w:t>
      </w:r>
      <w:r w:rsidR="00975895" w:rsidRPr="0002642E">
        <w:rPr>
          <w:i/>
        </w:rPr>
        <w:t xml:space="preserve"> </w:t>
      </w:r>
      <w:r w:rsidRPr="0002642E">
        <w:rPr>
          <w:i/>
        </w:rPr>
        <w:t>Act</w:t>
      </w:r>
      <w:r w:rsidR="00975895" w:rsidRPr="0002642E">
        <w:rPr>
          <w:i/>
        </w:rPr>
        <w:t xml:space="preserve"> </w:t>
      </w:r>
      <w:r w:rsidRPr="0002642E">
        <w:rPr>
          <w:i/>
        </w:rPr>
        <w:t>1988</w:t>
      </w:r>
      <w:r w:rsidR="00975895" w:rsidRPr="0002642E">
        <w:rPr>
          <w:i/>
        </w:rPr>
        <w:t xml:space="preserve"> </w:t>
      </w:r>
      <w:r w:rsidRPr="00507925">
        <w:t>(</w:t>
      </w:r>
      <w:r w:rsidRPr="003015FD">
        <w:t>Vic)</w:t>
      </w:r>
      <w:r w:rsidR="005410B8">
        <w:t>,</w:t>
      </w:r>
      <w:r w:rsidR="00975895" w:rsidRPr="003015FD">
        <w:t xml:space="preserve"> </w:t>
      </w:r>
      <w:r w:rsidRPr="003015FD">
        <w:t>which</w:t>
      </w:r>
      <w:r w:rsidR="00975895" w:rsidRPr="003015FD">
        <w:t xml:space="preserve"> </w:t>
      </w:r>
      <w:r w:rsidRPr="003015FD">
        <w:t>had</w:t>
      </w:r>
      <w:r w:rsidR="00975895" w:rsidRPr="003015FD">
        <w:t xml:space="preserve"> </w:t>
      </w:r>
      <w:r w:rsidRPr="003015FD">
        <w:t>since</w:t>
      </w:r>
      <w:r w:rsidR="00975895" w:rsidRPr="003015FD">
        <w:t xml:space="preserve"> </w:t>
      </w:r>
      <w:r w:rsidRPr="003015FD">
        <w:t>been</w:t>
      </w:r>
      <w:r w:rsidR="00975895" w:rsidRPr="003015FD">
        <w:t xml:space="preserve"> </w:t>
      </w:r>
      <w:r w:rsidRPr="003015FD">
        <w:t>repealed</w:t>
      </w:r>
    </w:p>
    <w:p w14:paraId="0A805D52" w14:textId="7C94BFF9" w:rsidR="008E0945" w:rsidRPr="003015FD" w:rsidRDefault="008E0945" w:rsidP="0002642E">
      <w:pPr>
        <w:pStyle w:val="ListBullet"/>
      </w:pPr>
      <w:r w:rsidRPr="003015FD">
        <w:t>the</w:t>
      </w:r>
      <w:r w:rsidR="00975895" w:rsidRPr="003015FD">
        <w:t xml:space="preserve"> </w:t>
      </w:r>
      <w:r w:rsidRPr="003015FD">
        <w:t>Magistrate</w:t>
      </w:r>
      <w:r w:rsidR="000C5726">
        <w:t>'</w:t>
      </w:r>
      <w:r w:rsidRPr="003015FD">
        <w:t>s</w:t>
      </w:r>
      <w:r w:rsidR="00975895" w:rsidRPr="003015FD">
        <w:t xml:space="preserve"> </w:t>
      </w:r>
      <w:r w:rsidRPr="003015FD">
        <w:t>Court</w:t>
      </w:r>
      <w:r w:rsidR="00975895" w:rsidRPr="003015FD">
        <w:t xml:space="preserve"> </w:t>
      </w:r>
      <w:r w:rsidRPr="003015FD">
        <w:t>acted</w:t>
      </w:r>
      <w:r w:rsidR="00975895" w:rsidRPr="003015FD">
        <w:t xml:space="preserve"> </w:t>
      </w:r>
      <w:r w:rsidRPr="003015FD">
        <w:t>unlawfully</w:t>
      </w:r>
      <w:r w:rsidR="00975895" w:rsidRPr="003015FD">
        <w:t xml:space="preserve"> </w:t>
      </w:r>
      <w:r w:rsidRPr="003015FD">
        <w:t>by</w:t>
      </w:r>
      <w:r w:rsidR="00975895" w:rsidRPr="003015FD">
        <w:t xml:space="preserve"> </w:t>
      </w:r>
      <w:r w:rsidRPr="003015FD">
        <w:t>failing</w:t>
      </w:r>
      <w:r w:rsidR="00975895" w:rsidRPr="003015FD">
        <w:t xml:space="preserve"> </w:t>
      </w:r>
      <w:r w:rsidRPr="003015FD">
        <w:t>to</w:t>
      </w:r>
      <w:r w:rsidR="00975895" w:rsidRPr="003015FD">
        <w:t xml:space="preserve"> </w:t>
      </w:r>
      <w:r w:rsidRPr="003015FD">
        <w:t>properly</w:t>
      </w:r>
      <w:r w:rsidR="00975895" w:rsidRPr="003015FD">
        <w:t xml:space="preserve"> </w:t>
      </w:r>
      <w:r w:rsidRPr="003015FD">
        <w:t>consider</w:t>
      </w:r>
      <w:r w:rsidR="00975895" w:rsidRPr="003015FD">
        <w:t xml:space="preserve"> </w:t>
      </w:r>
      <w:r w:rsidRPr="003015FD">
        <w:t>the</w:t>
      </w:r>
      <w:r w:rsidR="00975895" w:rsidRPr="003015FD">
        <w:t xml:space="preserve"> </w:t>
      </w:r>
      <w:r w:rsidRPr="003015FD">
        <w:t>plaintiff</w:t>
      </w:r>
      <w:r w:rsidR="000C5726">
        <w:t>'</w:t>
      </w:r>
      <w:r w:rsidRPr="003015FD">
        <w:t>s</w:t>
      </w:r>
      <w:r w:rsidR="00975895" w:rsidRPr="003015FD">
        <w:t xml:space="preserve"> </w:t>
      </w:r>
      <w:r w:rsidRPr="003015FD">
        <w:t>cultural</w:t>
      </w:r>
      <w:r w:rsidR="00975895" w:rsidRPr="003015FD">
        <w:t xml:space="preserve"> </w:t>
      </w:r>
      <w:r w:rsidRPr="003015FD">
        <w:t>rights</w:t>
      </w:r>
      <w:r w:rsidR="00975895" w:rsidRPr="003015FD">
        <w:t xml:space="preserve"> </w:t>
      </w:r>
      <w:r w:rsidRPr="003015FD">
        <w:t>under</w:t>
      </w:r>
      <w:r w:rsidR="00975895" w:rsidRPr="003015FD">
        <w:t xml:space="preserve"> </w:t>
      </w:r>
      <w:r w:rsidRPr="003015FD">
        <w:t>section</w:t>
      </w:r>
      <w:r w:rsidR="00975895" w:rsidRPr="003015FD">
        <w:t xml:space="preserve"> </w:t>
      </w:r>
      <w:r w:rsidRPr="003015FD">
        <w:t>19(2)(a)</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and</w:t>
      </w:r>
      <w:r w:rsidR="00975895" w:rsidRPr="003015FD">
        <w:t xml:space="preserve"> </w:t>
      </w:r>
      <w:r w:rsidRPr="003015FD">
        <w:t>his</w:t>
      </w:r>
      <w:r w:rsidR="00975895" w:rsidRPr="003015FD">
        <w:t xml:space="preserve"> </w:t>
      </w:r>
      <w:r w:rsidRPr="003015FD">
        <w:t>right</w:t>
      </w:r>
      <w:r w:rsidR="00975895" w:rsidRPr="003015FD">
        <w:t xml:space="preserve"> </w:t>
      </w:r>
      <w:r w:rsidRPr="003015FD">
        <w:t>to</w:t>
      </w:r>
      <w:r w:rsidR="00975895" w:rsidRPr="003015FD">
        <w:t xml:space="preserve"> </w:t>
      </w:r>
      <w:r w:rsidRPr="003015FD">
        <w:t>equality</w:t>
      </w:r>
      <w:r w:rsidR="00975895" w:rsidRPr="003015FD">
        <w:t xml:space="preserve"> </w:t>
      </w:r>
      <w:r w:rsidRPr="003015FD">
        <w:t>under</w:t>
      </w:r>
      <w:r w:rsidR="00975895" w:rsidRPr="003015FD">
        <w:t xml:space="preserve"> </w:t>
      </w:r>
      <w:r w:rsidRPr="003015FD">
        <w:t>section</w:t>
      </w:r>
      <w:r w:rsidR="00975895" w:rsidRPr="003015FD">
        <w:t xml:space="preserve"> </w:t>
      </w:r>
      <w:r w:rsidRPr="003015FD">
        <w:t>8(3)</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D95F5F">
        <w:t>.</w:t>
      </w:r>
      <w:r w:rsidRPr="004862C5">
        <w:rPr>
          <w:rStyle w:val="FootnoteReference"/>
        </w:rPr>
        <w:footnoteReference w:id="99"/>
      </w:r>
      <w:r w:rsidR="00975895" w:rsidRPr="003015FD">
        <w:t xml:space="preserve"> </w:t>
      </w:r>
    </w:p>
    <w:p w14:paraId="7988C942" w14:textId="6E8EBD2D" w:rsidR="008E0945" w:rsidRPr="003015FD" w:rsidRDefault="008E0945" w:rsidP="0002642E">
      <w:r w:rsidRPr="003015FD">
        <w:t>The</w:t>
      </w:r>
      <w:r w:rsidR="00975895" w:rsidRPr="003015FD">
        <w:t xml:space="preserve"> </w:t>
      </w:r>
      <w:r w:rsidRPr="003015FD">
        <w:t>Commission</w:t>
      </w:r>
      <w:r w:rsidR="00975895" w:rsidRPr="003015FD">
        <w:t xml:space="preserve"> </w:t>
      </w:r>
      <w:r w:rsidRPr="003015FD">
        <w:t>and</w:t>
      </w:r>
      <w:r w:rsidR="00975895" w:rsidRPr="003015FD">
        <w:t xml:space="preserve"> </w:t>
      </w:r>
      <w:r w:rsidRPr="003015FD">
        <w:t>the</w:t>
      </w:r>
      <w:r w:rsidR="00975895" w:rsidRPr="003015FD">
        <w:t xml:space="preserve"> </w:t>
      </w:r>
      <w:r w:rsidRPr="003015FD">
        <w:t>Attorney-General</w:t>
      </w:r>
      <w:r w:rsidR="00975895" w:rsidRPr="003015FD">
        <w:t xml:space="preserve"> </w:t>
      </w:r>
      <w:r w:rsidRPr="003015FD">
        <w:t>intervened</w:t>
      </w:r>
      <w:r w:rsidR="00975895" w:rsidRPr="003015FD">
        <w:t xml:space="preserve"> </w:t>
      </w:r>
      <w:r w:rsidRPr="003015FD">
        <w:t>in</w:t>
      </w:r>
      <w:r w:rsidR="00975895" w:rsidRPr="003015FD">
        <w:t xml:space="preserve"> </w:t>
      </w:r>
      <w:r w:rsidRPr="003015FD">
        <w:t>the</w:t>
      </w:r>
      <w:r w:rsidR="00975895" w:rsidRPr="003015FD">
        <w:t xml:space="preserve"> </w:t>
      </w:r>
      <w:r w:rsidRPr="003015FD">
        <w:t>appeal</w:t>
      </w:r>
      <w:r w:rsidR="00975895" w:rsidRPr="003015FD">
        <w:t xml:space="preserve"> </w:t>
      </w:r>
      <w:r w:rsidRPr="003015FD">
        <w:t>to</w:t>
      </w:r>
      <w:r w:rsidR="00975895" w:rsidRPr="003015FD">
        <w:t xml:space="preserve"> </w:t>
      </w:r>
      <w:r w:rsidRPr="003015FD">
        <w:t>make</w:t>
      </w:r>
      <w:r w:rsidR="00975895" w:rsidRPr="003015FD">
        <w:t xml:space="preserve"> </w:t>
      </w:r>
      <w:r w:rsidRPr="003015FD">
        <w:t>submissions</w:t>
      </w:r>
      <w:r w:rsidR="00975895" w:rsidRPr="003015FD">
        <w:t xml:space="preserve"> </w:t>
      </w:r>
      <w:r w:rsidRPr="003015FD">
        <w:t>on</w:t>
      </w:r>
      <w:r w:rsidR="00975895" w:rsidRPr="003015FD">
        <w:t xml:space="preserve"> </w:t>
      </w:r>
      <w:r w:rsidRPr="003015FD">
        <w:t>the</w:t>
      </w:r>
      <w:r w:rsidR="00975895" w:rsidRPr="003015FD">
        <w:t xml:space="preserve"> </w:t>
      </w:r>
      <w:r w:rsidRPr="003015FD">
        <w:t>application</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to</w:t>
      </w:r>
      <w:r w:rsidR="00975895" w:rsidRPr="003015FD">
        <w:t xml:space="preserve"> </w:t>
      </w:r>
      <w:r w:rsidRPr="003015FD">
        <w:t>the</w:t>
      </w:r>
      <w:r w:rsidR="00975895" w:rsidRPr="003015FD">
        <w:t xml:space="preserve"> </w:t>
      </w:r>
      <w:r w:rsidRPr="003015FD">
        <w:t>proceedings.</w:t>
      </w:r>
    </w:p>
    <w:p w14:paraId="0F9DEB35" w14:textId="126AFA8E" w:rsidR="008E0945" w:rsidRPr="003015FD" w:rsidRDefault="008E0945" w:rsidP="0002642E">
      <w:r w:rsidRPr="003015FD">
        <w:t>The</w:t>
      </w:r>
      <w:r w:rsidR="00975895" w:rsidRPr="003015FD">
        <w:t xml:space="preserve"> </w:t>
      </w:r>
      <w:r w:rsidRPr="003015FD">
        <w:t>Supreme</w:t>
      </w:r>
      <w:r w:rsidR="00975895" w:rsidRPr="003015FD">
        <w:t xml:space="preserve"> </w:t>
      </w:r>
      <w:r w:rsidRPr="003015FD">
        <w:t>Court</w:t>
      </w:r>
      <w:r w:rsidR="00975895" w:rsidRPr="003015FD">
        <w:t xml:space="preserve"> </w:t>
      </w:r>
      <w:r w:rsidRPr="003015FD">
        <w:t>found</w:t>
      </w:r>
      <w:r w:rsidR="00975895" w:rsidRPr="003015FD">
        <w:t xml:space="preserve"> </w:t>
      </w:r>
      <w:r w:rsidRPr="003015FD">
        <w:t>the</w:t>
      </w:r>
      <w:r w:rsidR="00975895" w:rsidRPr="003015FD">
        <w:t xml:space="preserve"> </w:t>
      </w:r>
      <w:r w:rsidRPr="003015FD">
        <w:t>Magistrate</w:t>
      </w:r>
      <w:r w:rsidR="00975895" w:rsidRPr="003015FD">
        <w:t xml:space="preserve"> </w:t>
      </w:r>
      <w:r w:rsidRPr="003015FD">
        <w:t>made</w:t>
      </w:r>
      <w:r w:rsidR="00975895" w:rsidRPr="003015FD">
        <w:t xml:space="preserve"> </w:t>
      </w:r>
      <w:r w:rsidRPr="003015FD">
        <w:t>an</w:t>
      </w:r>
      <w:r w:rsidR="00975895" w:rsidRPr="003015FD">
        <w:t xml:space="preserve"> </w:t>
      </w:r>
      <w:r w:rsidRPr="003015FD">
        <w:t>error</w:t>
      </w:r>
      <w:r w:rsidR="00975895" w:rsidRPr="003015FD">
        <w:t xml:space="preserve"> </w:t>
      </w:r>
      <w:r w:rsidRPr="003015FD">
        <w:t>by</w:t>
      </w:r>
      <w:r w:rsidR="00975895" w:rsidRPr="003015FD">
        <w:t xml:space="preserve"> </w:t>
      </w:r>
      <w:r w:rsidRPr="003015FD">
        <w:t>giving</w:t>
      </w:r>
      <w:r w:rsidR="00975895" w:rsidRPr="003015FD">
        <w:t xml:space="preserve"> </w:t>
      </w:r>
      <w:r w:rsidRPr="003015FD">
        <w:t>primacy</w:t>
      </w:r>
      <w:r w:rsidR="00975895" w:rsidRPr="003015FD">
        <w:t xml:space="preserve"> </w:t>
      </w:r>
      <w:r w:rsidRPr="003015FD">
        <w:t>to</w:t>
      </w:r>
      <w:r w:rsidR="00975895" w:rsidRPr="003015FD">
        <w:t xml:space="preserve"> </w:t>
      </w:r>
      <w:r w:rsidRPr="003015FD">
        <w:t>the</w:t>
      </w:r>
      <w:r w:rsidR="00975895" w:rsidRPr="003015FD">
        <w:t xml:space="preserve"> </w:t>
      </w:r>
      <w:r w:rsidRPr="003015FD">
        <w:t>Rossi</w:t>
      </w:r>
      <w:r w:rsidR="00975895" w:rsidRPr="003015FD">
        <w:t xml:space="preserve"> </w:t>
      </w:r>
      <w:r w:rsidRPr="003015FD">
        <w:t>principles,</w:t>
      </w:r>
      <w:r w:rsidR="00975895" w:rsidRPr="003015FD">
        <w:t xml:space="preserve"> </w:t>
      </w:r>
      <w:r w:rsidRPr="003015FD">
        <w:t>and</w:t>
      </w:r>
      <w:r w:rsidR="00975895" w:rsidRPr="003015FD">
        <w:t xml:space="preserve"> </w:t>
      </w:r>
      <w:r w:rsidRPr="003015FD">
        <w:t>that</w:t>
      </w:r>
      <w:r w:rsidR="00975895" w:rsidRPr="003015FD">
        <w:t xml:space="preserve"> </w:t>
      </w:r>
      <w:r w:rsidRPr="003015FD">
        <w:t>the</w:t>
      </w:r>
      <w:r w:rsidR="00975895" w:rsidRPr="003015FD">
        <w:t xml:space="preserve"> </w:t>
      </w:r>
      <w:r w:rsidRPr="003015FD">
        <w:t>traditional</w:t>
      </w:r>
      <w:r w:rsidR="00975895" w:rsidRPr="003015FD">
        <w:t xml:space="preserve"> </w:t>
      </w:r>
      <w:r w:rsidR="000C5726">
        <w:t>'</w:t>
      </w:r>
      <w:r w:rsidRPr="003015FD">
        <w:t>proper</w:t>
      </w:r>
      <w:r w:rsidR="00975895" w:rsidRPr="003015FD">
        <w:t xml:space="preserve"> </w:t>
      </w:r>
      <w:r w:rsidRPr="003015FD">
        <w:t>venue</w:t>
      </w:r>
      <w:r w:rsidR="000C5726">
        <w:t>'</w:t>
      </w:r>
      <w:r w:rsidR="00975895" w:rsidRPr="003015FD">
        <w:t xml:space="preserve"> </w:t>
      </w:r>
      <w:r w:rsidRPr="003015FD">
        <w:t>considerations</w:t>
      </w:r>
      <w:r w:rsidR="00975895" w:rsidRPr="003015FD">
        <w:t xml:space="preserve"> </w:t>
      </w:r>
      <w:r w:rsidRPr="003015FD">
        <w:t>should</w:t>
      </w:r>
      <w:r w:rsidR="00975895" w:rsidRPr="003015FD">
        <w:t xml:space="preserve"> </w:t>
      </w:r>
      <w:r w:rsidRPr="003015FD">
        <w:t>generally</w:t>
      </w:r>
      <w:r w:rsidR="00975895" w:rsidRPr="003015FD">
        <w:t xml:space="preserve"> </w:t>
      </w:r>
      <w:r w:rsidRPr="003015FD">
        <w:t>be</w:t>
      </w:r>
      <w:r w:rsidR="00975895" w:rsidRPr="003015FD">
        <w:t xml:space="preserve"> </w:t>
      </w:r>
      <w:r w:rsidRPr="003015FD">
        <w:t>given</w:t>
      </w:r>
      <w:r w:rsidR="00975895" w:rsidRPr="003015FD">
        <w:t xml:space="preserve"> </w:t>
      </w:r>
      <w:r w:rsidRPr="003015FD">
        <w:t>less</w:t>
      </w:r>
      <w:r w:rsidR="00975895" w:rsidRPr="003015FD">
        <w:t xml:space="preserve"> </w:t>
      </w:r>
      <w:r w:rsidRPr="003015FD">
        <w:t>weight</w:t>
      </w:r>
      <w:r w:rsidR="00975895" w:rsidRPr="003015FD">
        <w:t xml:space="preserve"> </w:t>
      </w:r>
      <w:r w:rsidRPr="003015FD">
        <w:t>than</w:t>
      </w:r>
      <w:r w:rsidR="00975895" w:rsidRPr="003015FD">
        <w:t xml:space="preserve"> </w:t>
      </w:r>
      <w:r w:rsidRPr="003015FD">
        <w:t>the</w:t>
      </w:r>
      <w:r w:rsidR="00975895" w:rsidRPr="003015FD">
        <w:t xml:space="preserve"> </w:t>
      </w:r>
      <w:r w:rsidRPr="003015FD">
        <w:t>purposes</w:t>
      </w:r>
      <w:r w:rsidR="00975895" w:rsidRPr="003015FD">
        <w:t xml:space="preserve"> </w:t>
      </w:r>
      <w:r w:rsidRPr="003015FD">
        <w:t>of</w:t>
      </w:r>
      <w:r w:rsidR="00975895" w:rsidRPr="003015FD">
        <w:t xml:space="preserve"> </w:t>
      </w:r>
      <w:r w:rsidRPr="003015FD">
        <w:t>the</w:t>
      </w:r>
      <w:r w:rsidR="00975895" w:rsidRPr="003015FD">
        <w:t xml:space="preserve"> </w:t>
      </w:r>
      <w:r w:rsidRPr="003015FD">
        <w:t>Koori</w:t>
      </w:r>
      <w:r w:rsidR="00975895" w:rsidRPr="003015FD">
        <w:t xml:space="preserve"> </w:t>
      </w:r>
      <w:r w:rsidRPr="003015FD">
        <w:t>Court.</w:t>
      </w:r>
      <w:r w:rsidRPr="004862C5">
        <w:rPr>
          <w:rStyle w:val="FootnoteReference"/>
        </w:rPr>
        <w:footnoteReference w:id="100"/>
      </w:r>
      <w:r w:rsidR="00975895" w:rsidRPr="003015FD">
        <w:t xml:space="preserve"> </w:t>
      </w:r>
    </w:p>
    <w:p w14:paraId="3854F80B" w14:textId="7AD4927A" w:rsidR="008E0945" w:rsidRPr="003015FD" w:rsidRDefault="008E0945" w:rsidP="0002642E">
      <w:r w:rsidRPr="003015FD">
        <w:t>The</w:t>
      </w:r>
      <w:r w:rsidR="00975895" w:rsidRPr="003015FD">
        <w:t xml:space="preserve"> </w:t>
      </w:r>
      <w:r w:rsidRPr="003015FD">
        <w:t>Supreme</w:t>
      </w:r>
      <w:r w:rsidR="00975895" w:rsidRPr="003015FD">
        <w:t xml:space="preserve"> </w:t>
      </w:r>
      <w:r w:rsidRPr="003015FD">
        <w:t>Court</w:t>
      </w:r>
      <w:r w:rsidR="00975895" w:rsidRPr="003015FD">
        <w:t xml:space="preserve"> </w:t>
      </w:r>
      <w:r w:rsidRPr="003015FD">
        <w:t>confirmed</w:t>
      </w:r>
      <w:r w:rsidR="00975895" w:rsidRPr="003015FD">
        <w:t xml:space="preserve"> </w:t>
      </w:r>
      <w:r w:rsidRPr="003015FD">
        <w:t>the</w:t>
      </w:r>
      <w:r w:rsidR="00975895" w:rsidRPr="003015FD">
        <w:t xml:space="preserve"> </w:t>
      </w:r>
      <w:r w:rsidRPr="003015FD">
        <w:t>right</w:t>
      </w:r>
      <w:r w:rsidR="00975895" w:rsidRPr="003015FD">
        <w:t xml:space="preserve"> </w:t>
      </w:r>
      <w:r w:rsidRPr="003015FD">
        <w:t>to</w:t>
      </w:r>
      <w:r w:rsidR="00975895" w:rsidRPr="003015FD">
        <w:t xml:space="preserve"> </w:t>
      </w:r>
      <w:r w:rsidRPr="003015FD">
        <w:t>equality</w:t>
      </w:r>
      <w:r w:rsidR="00975895" w:rsidRPr="003015FD">
        <w:t xml:space="preserve"> </w:t>
      </w:r>
      <w:r w:rsidRPr="003015FD">
        <w:t>protected</w:t>
      </w:r>
      <w:r w:rsidR="00975895" w:rsidRPr="003015FD">
        <w:t xml:space="preserve"> </w:t>
      </w:r>
      <w:r w:rsidRPr="003015FD">
        <w:t>in</w:t>
      </w:r>
      <w:r w:rsidR="00975895" w:rsidRPr="003015FD">
        <w:t xml:space="preserve"> </w:t>
      </w:r>
      <w:r w:rsidRPr="003015FD">
        <w:t>section</w:t>
      </w:r>
      <w:r w:rsidR="00975895" w:rsidRPr="003015FD">
        <w:t xml:space="preserve"> </w:t>
      </w:r>
      <w:r w:rsidRPr="003015FD">
        <w:t>8(3)</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D95F5F">
        <w:t>. T</w:t>
      </w:r>
      <w:r w:rsidRPr="003015FD">
        <w:t>he</w:t>
      </w:r>
      <w:r w:rsidR="00975895" w:rsidRPr="003015FD">
        <w:t xml:space="preserve"> </w:t>
      </w:r>
      <w:r w:rsidRPr="003015FD">
        <w:t>cultural</w:t>
      </w:r>
      <w:r w:rsidR="00975895" w:rsidRPr="003015FD">
        <w:t xml:space="preserve"> </w:t>
      </w:r>
      <w:r w:rsidRPr="003015FD">
        <w:t>rights</w:t>
      </w:r>
      <w:r w:rsidR="00975895" w:rsidRPr="003015FD">
        <w:t xml:space="preserve"> </w:t>
      </w:r>
      <w:r w:rsidRPr="003015FD">
        <w:t>of</w:t>
      </w:r>
      <w:r w:rsidR="00975895" w:rsidRPr="003015FD">
        <w:t xml:space="preserve"> </w:t>
      </w:r>
      <w:r w:rsidRPr="003015FD">
        <w:t>Aboriginal</w:t>
      </w:r>
      <w:r w:rsidR="00975895" w:rsidRPr="003015FD">
        <w:t xml:space="preserve"> </w:t>
      </w:r>
      <w:r w:rsidRPr="003015FD">
        <w:t>people</w:t>
      </w:r>
      <w:r w:rsidR="00975895" w:rsidRPr="003015FD">
        <w:t xml:space="preserve"> </w:t>
      </w:r>
      <w:r w:rsidRPr="003015FD">
        <w:t>protected</w:t>
      </w:r>
      <w:r w:rsidR="00975895" w:rsidRPr="003015FD">
        <w:t xml:space="preserve"> </w:t>
      </w:r>
      <w:r w:rsidRPr="003015FD">
        <w:t>in</w:t>
      </w:r>
      <w:r w:rsidR="00975895" w:rsidRPr="003015FD">
        <w:t xml:space="preserve"> </w:t>
      </w:r>
      <w:r w:rsidRPr="003015FD">
        <w:t>section</w:t>
      </w:r>
      <w:r w:rsidR="00975895" w:rsidRPr="003015FD">
        <w:t xml:space="preserve"> </w:t>
      </w:r>
      <w:r w:rsidRPr="003015FD">
        <w:t>19(2)(a)</w:t>
      </w:r>
      <w:r w:rsidR="00975895" w:rsidRPr="003015FD">
        <w:t xml:space="preserve"> </w:t>
      </w:r>
      <w:r w:rsidRPr="003015FD">
        <w:t>were</w:t>
      </w:r>
      <w:r w:rsidR="00975895" w:rsidRPr="003015FD">
        <w:t xml:space="preserve"> </w:t>
      </w:r>
      <w:r w:rsidRPr="003015FD">
        <w:t>applicable</w:t>
      </w:r>
      <w:r w:rsidR="00975895" w:rsidRPr="003015FD">
        <w:t xml:space="preserve"> </w:t>
      </w:r>
      <w:r w:rsidRPr="003015FD">
        <w:t>to</w:t>
      </w:r>
      <w:r w:rsidR="00975895" w:rsidRPr="003015FD">
        <w:t xml:space="preserve"> </w:t>
      </w:r>
      <w:r w:rsidRPr="003015FD">
        <w:t>the</w:t>
      </w:r>
      <w:r w:rsidR="00975895" w:rsidRPr="003015FD">
        <w:t xml:space="preserve"> </w:t>
      </w:r>
      <w:r w:rsidRPr="003015FD">
        <w:t>Magistrates</w:t>
      </w:r>
      <w:r w:rsidR="000C5726">
        <w:t>'</w:t>
      </w:r>
      <w:r w:rsidR="00975895" w:rsidRPr="003015FD">
        <w:t xml:space="preserve"> </w:t>
      </w:r>
      <w:r w:rsidRPr="003015FD">
        <w:t>Court</w:t>
      </w:r>
      <w:r w:rsidR="00975895" w:rsidRPr="003015FD">
        <w:t xml:space="preserve"> </w:t>
      </w:r>
      <w:r w:rsidRPr="003015FD">
        <w:t>by</w:t>
      </w:r>
      <w:r w:rsidR="00975895" w:rsidRPr="003015FD">
        <w:t xml:space="preserve"> </w:t>
      </w:r>
      <w:r w:rsidRPr="003015FD">
        <w:t>reason</w:t>
      </w:r>
      <w:r w:rsidR="00975895" w:rsidRPr="003015FD">
        <w:t xml:space="preserve"> </w:t>
      </w:r>
      <w:r w:rsidRPr="003015FD">
        <w:t>of</w:t>
      </w:r>
      <w:r w:rsidR="00975895" w:rsidRPr="003015FD">
        <w:t xml:space="preserve"> </w:t>
      </w:r>
      <w:r w:rsidRPr="003015FD">
        <w:t>section</w:t>
      </w:r>
      <w:r w:rsidR="00975895" w:rsidRPr="003015FD">
        <w:t xml:space="preserve"> </w:t>
      </w:r>
      <w:r w:rsidRPr="003015FD">
        <w:t>6(2)(b)</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which</w:t>
      </w:r>
      <w:r w:rsidR="00975895" w:rsidRPr="003015FD">
        <w:t xml:space="preserve"> </w:t>
      </w:r>
      <w:r w:rsidRPr="003015FD">
        <w:t>provides</w:t>
      </w:r>
      <w:r w:rsidR="00975895" w:rsidRPr="003015FD">
        <w:t xml:space="preserve"> </w:t>
      </w:r>
      <w:r w:rsidRPr="003015FD">
        <w:t>that</w:t>
      </w:r>
      <w:r w:rsidR="00975895" w:rsidRPr="003015FD">
        <w:t xml:space="preserve"> </w:t>
      </w:r>
      <w:r w:rsidRPr="003015FD">
        <w:t>the</w:t>
      </w:r>
      <w:r w:rsidR="00975895" w:rsidRPr="003015FD">
        <w:t xml:space="preserve"> </w:t>
      </w:r>
      <w:r w:rsidRPr="003015FD">
        <w:t>Charter</w:t>
      </w:r>
      <w:r w:rsidR="00975895" w:rsidRPr="003015FD">
        <w:t xml:space="preserve"> </w:t>
      </w:r>
      <w:r w:rsidRPr="003015FD">
        <w:t>applies</w:t>
      </w:r>
      <w:r w:rsidR="00975895" w:rsidRPr="003015FD">
        <w:t xml:space="preserve"> </w:t>
      </w:r>
      <w:r w:rsidRPr="003015FD">
        <w:t>to</w:t>
      </w:r>
      <w:r w:rsidR="00975895" w:rsidRPr="003015FD">
        <w:t xml:space="preserve"> </w:t>
      </w:r>
      <w:r w:rsidRPr="003015FD">
        <w:t>courts</w:t>
      </w:r>
      <w:r w:rsidR="00975895" w:rsidRPr="003015FD">
        <w:t xml:space="preserve"> </w:t>
      </w:r>
      <w:r w:rsidRPr="003015FD">
        <w:t>and</w:t>
      </w:r>
      <w:r w:rsidR="00975895" w:rsidRPr="003015FD">
        <w:t xml:space="preserve"> </w:t>
      </w:r>
      <w:r w:rsidRPr="003015FD">
        <w:t>tribunals,</w:t>
      </w:r>
      <w:r w:rsidR="00975895" w:rsidRPr="003015FD">
        <w:t xml:space="preserve"> </w:t>
      </w:r>
      <w:r w:rsidRPr="003015FD">
        <w:t>to</w:t>
      </w:r>
      <w:r w:rsidR="00975895" w:rsidRPr="003015FD">
        <w:t xml:space="preserve"> </w:t>
      </w:r>
      <w:r w:rsidRPr="003015FD">
        <w:t>the</w:t>
      </w:r>
      <w:r w:rsidR="00975895" w:rsidRPr="003015FD">
        <w:t xml:space="preserve"> </w:t>
      </w:r>
      <w:r w:rsidRPr="003015FD">
        <w:t>extent</w:t>
      </w:r>
      <w:r w:rsidR="00975895" w:rsidRPr="003015FD">
        <w:t xml:space="preserve"> </w:t>
      </w:r>
      <w:r w:rsidRPr="003015FD">
        <w:t>they</w:t>
      </w:r>
      <w:r w:rsidR="00975895" w:rsidRPr="003015FD">
        <w:t xml:space="preserve"> </w:t>
      </w:r>
      <w:r w:rsidRPr="003015FD">
        <w:t>have</w:t>
      </w:r>
      <w:r w:rsidR="00975895" w:rsidRPr="003015FD">
        <w:t xml:space="preserve"> </w:t>
      </w:r>
      <w:r w:rsidRPr="003015FD">
        <w:t>certain</w:t>
      </w:r>
      <w:r w:rsidR="00975895" w:rsidRPr="003015FD">
        <w:t xml:space="preserve"> </w:t>
      </w:r>
      <w:r w:rsidRPr="003015FD">
        <w:t>functions.</w:t>
      </w:r>
      <w:r w:rsidR="00975895" w:rsidRPr="003015FD">
        <w:t xml:space="preserve"> </w:t>
      </w:r>
      <w:r w:rsidRPr="003015FD">
        <w:t>Accordingly,</w:t>
      </w:r>
      <w:r w:rsidR="00975895" w:rsidRPr="003015FD">
        <w:t xml:space="preserve"> </w:t>
      </w:r>
      <w:r w:rsidRPr="003015FD">
        <w:t>courts</w:t>
      </w:r>
      <w:r w:rsidR="00975895" w:rsidRPr="003015FD">
        <w:t xml:space="preserve"> </w:t>
      </w:r>
      <w:r w:rsidRPr="003015FD">
        <w:t>must</w:t>
      </w:r>
      <w:r w:rsidR="00975895" w:rsidRPr="003015FD">
        <w:t xml:space="preserve"> </w:t>
      </w:r>
      <w:r w:rsidRPr="003015FD">
        <w:t>consider</w:t>
      </w:r>
      <w:r w:rsidR="00975895" w:rsidRPr="003015FD">
        <w:t xml:space="preserve"> </w:t>
      </w:r>
      <w:r w:rsidRPr="003015FD">
        <w:t>the</w:t>
      </w:r>
      <w:r w:rsidR="00975895" w:rsidRPr="003015FD">
        <w:t xml:space="preserve"> </w:t>
      </w:r>
      <w:r w:rsidRPr="003015FD">
        <w:t>distinct</w:t>
      </w:r>
      <w:r w:rsidR="00975895" w:rsidRPr="003015FD">
        <w:t xml:space="preserve"> </w:t>
      </w:r>
      <w:r w:rsidRPr="003015FD">
        <w:t>cultural</w:t>
      </w:r>
      <w:r w:rsidR="00975895" w:rsidRPr="003015FD">
        <w:t xml:space="preserve"> </w:t>
      </w:r>
      <w:r w:rsidRPr="003015FD">
        <w:t>rights</w:t>
      </w:r>
      <w:r w:rsidR="00975895" w:rsidRPr="003015FD">
        <w:t xml:space="preserve"> </w:t>
      </w:r>
      <w:r w:rsidRPr="003015FD">
        <w:t>of</w:t>
      </w:r>
      <w:r w:rsidR="00975895" w:rsidRPr="003015FD">
        <w:t xml:space="preserve"> </w:t>
      </w:r>
      <w:r w:rsidRPr="003015FD">
        <w:t>Aboriginal</w:t>
      </w:r>
      <w:r w:rsidR="00975895" w:rsidRPr="003015FD">
        <w:t xml:space="preserve"> </w:t>
      </w:r>
      <w:r w:rsidRPr="003015FD">
        <w:t>people</w:t>
      </w:r>
      <w:r w:rsidR="00975895" w:rsidRPr="003015FD">
        <w:t xml:space="preserve"> </w:t>
      </w:r>
      <w:r w:rsidRPr="003015FD">
        <w:t>and</w:t>
      </w:r>
      <w:r w:rsidR="00975895" w:rsidRPr="003015FD">
        <w:t xml:space="preserve"> </w:t>
      </w:r>
      <w:r w:rsidRPr="003015FD">
        <w:t>their</w:t>
      </w:r>
      <w:r w:rsidR="00975895" w:rsidRPr="003015FD">
        <w:t xml:space="preserve"> </w:t>
      </w:r>
      <w:r w:rsidRPr="003015FD">
        <w:t>right</w:t>
      </w:r>
      <w:r w:rsidR="00975895" w:rsidRPr="003015FD">
        <w:t xml:space="preserve"> </w:t>
      </w:r>
      <w:r w:rsidRPr="003015FD">
        <w:t>to</w:t>
      </w:r>
      <w:r w:rsidR="00975895" w:rsidRPr="003015FD">
        <w:t xml:space="preserve"> </w:t>
      </w:r>
      <w:r w:rsidRPr="003015FD">
        <w:t>equality</w:t>
      </w:r>
      <w:r w:rsidR="00975895" w:rsidRPr="003015FD">
        <w:t xml:space="preserve"> </w:t>
      </w:r>
      <w:r w:rsidRPr="003015FD">
        <w:t>when</w:t>
      </w:r>
      <w:r w:rsidR="00975895" w:rsidRPr="003015FD">
        <w:t xml:space="preserve"> </w:t>
      </w:r>
      <w:r w:rsidRPr="003015FD">
        <w:t>making</w:t>
      </w:r>
      <w:r w:rsidR="00975895" w:rsidRPr="003015FD">
        <w:t xml:space="preserve"> </w:t>
      </w:r>
      <w:r w:rsidRPr="003015FD">
        <w:t>decisions</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an</w:t>
      </w:r>
      <w:r w:rsidR="00975895" w:rsidRPr="003015FD">
        <w:t xml:space="preserve"> </w:t>
      </w:r>
      <w:r w:rsidRPr="003015FD">
        <w:t>Aboriginal</w:t>
      </w:r>
      <w:r w:rsidR="00975895" w:rsidRPr="003015FD">
        <w:t xml:space="preserve"> </w:t>
      </w:r>
      <w:r w:rsidRPr="003015FD">
        <w:t>Victorian</w:t>
      </w:r>
      <w:r w:rsidR="000C5726">
        <w:t>'</w:t>
      </w:r>
      <w:r w:rsidRPr="003015FD">
        <w:t>s</w:t>
      </w:r>
      <w:r w:rsidR="00975895" w:rsidRPr="003015FD">
        <w:t xml:space="preserve"> </w:t>
      </w:r>
      <w:r w:rsidRPr="003015FD">
        <w:t>request</w:t>
      </w:r>
      <w:r w:rsidR="00975895" w:rsidRPr="003015FD">
        <w:t xml:space="preserve"> </w:t>
      </w:r>
      <w:r w:rsidRPr="003015FD">
        <w:t>to</w:t>
      </w:r>
      <w:r w:rsidR="00975895" w:rsidRPr="003015FD">
        <w:t xml:space="preserve"> </w:t>
      </w:r>
      <w:r w:rsidRPr="003015FD">
        <w:t>be</w:t>
      </w:r>
      <w:r w:rsidR="00975895" w:rsidRPr="003015FD">
        <w:t xml:space="preserve"> </w:t>
      </w:r>
      <w:r w:rsidRPr="003015FD">
        <w:t>heard</w:t>
      </w:r>
      <w:r w:rsidR="00975895" w:rsidRPr="003015FD">
        <w:t xml:space="preserve"> </w:t>
      </w:r>
      <w:r w:rsidRPr="003015FD">
        <w:t>in</w:t>
      </w:r>
      <w:r w:rsidR="00975895" w:rsidRPr="003015FD">
        <w:t xml:space="preserve"> </w:t>
      </w:r>
      <w:r w:rsidRPr="003015FD">
        <w:t>the</w:t>
      </w:r>
      <w:r w:rsidR="00975895" w:rsidRPr="003015FD">
        <w:t xml:space="preserve"> </w:t>
      </w:r>
      <w:r w:rsidRPr="003015FD">
        <w:t>Koori</w:t>
      </w:r>
      <w:r w:rsidR="00975895" w:rsidRPr="003015FD">
        <w:t xml:space="preserve"> </w:t>
      </w:r>
      <w:r w:rsidRPr="003015FD">
        <w:t>Court.</w:t>
      </w:r>
      <w:r w:rsidR="00975895" w:rsidRPr="003015FD">
        <w:t xml:space="preserve"> </w:t>
      </w:r>
    </w:p>
    <w:p w14:paraId="2EBC82C8" w14:textId="43EC03F0" w:rsidR="008E0945" w:rsidRPr="003015FD" w:rsidRDefault="008E0945" w:rsidP="0002642E">
      <w:r w:rsidRPr="003015FD">
        <w:t>Justice</w:t>
      </w:r>
      <w:r w:rsidR="00975895" w:rsidRPr="003015FD">
        <w:t xml:space="preserve"> </w:t>
      </w:r>
      <w:proofErr w:type="spellStart"/>
      <w:r w:rsidRPr="003015FD">
        <w:t>Ginnane</w:t>
      </w:r>
      <w:proofErr w:type="spellEnd"/>
      <w:r w:rsidR="00975895" w:rsidRPr="003015FD">
        <w:t xml:space="preserve"> </w:t>
      </w:r>
      <w:r w:rsidRPr="003015FD">
        <w:t>accepted</w:t>
      </w:r>
      <w:r w:rsidR="00975895" w:rsidRPr="003015FD">
        <w:t xml:space="preserve"> </w:t>
      </w:r>
      <w:r w:rsidRPr="003015FD">
        <w:t>the</w:t>
      </w:r>
      <w:r w:rsidR="00975895" w:rsidRPr="003015FD">
        <w:t xml:space="preserve"> </w:t>
      </w:r>
      <w:r w:rsidRPr="003015FD">
        <w:t>evidence</w:t>
      </w:r>
      <w:r w:rsidR="00975895" w:rsidRPr="003015FD">
        <w:t xml:space="preserve"> </w:t>
      </w:r>
      <w:r w:rsidRPr="003015FD">
        <w:t>given</w:t>
      </w:r>
      <w:r w:rsidR="00975895" w:rsidRPr="003015FD">
        <w:t xml:space="preserve"> </w:t>
      </w:r>
      <w:r w:rsidRPr="003015FD">
        <w:t>by</w:t>
      </w:r>
      <w:r w:rsidR="00975895" w:rsidRPr="003015FD">
        <w:t xml:space="preserve"> </w:t>
      </w:r>
      <w:r w:rsidRPr="003015FD">
        <w:t>Mr</w:t>
      </w:r>
      <w:r w:rsidR="00975895" w:rsidRPr="003015FD">
        <w:t xml:space="preserve"> </w:t>
      </w:r>
      <w:proofErr w:type="spellStart"/>
      <w:r w:rsidRPr="003015FD">
        <w:t>Cemino</w:t>
      </w:r>
      <w:proofErr w:type="spellEnd"/>
      <w:r w:rsidR="00975895" w:rsidRPr="003015FD">
        <w:t xml:space="preserve"> </w:t>
      </w:r>
      <w:r w:rsidRPr="003015FD">
        <w:t>that</w:t>
      </w:r>
      <w:r w:rsidR="00975895" w:rsidRPr="003015FD">
        <w:t xml:space="preserve"> </w:t>
      </w:r>
      <w:r w:rsidRPr="003015FD">
        <w:t>he</w:t>
      </w:r>
      <w:r w:rsidR="00975895" w:rsidRPr="003015FD">
        <w:t xml:space="preserve"> </w:t>
      </w:r>
      <w:r w:rsidRPr="003015FD">
        <w:t>felt</w:t>
      </w:r>
      <w:r w:rsidR="00975895" w:rsidRPr="003015FD">
        <w:t xml:space="preserve"> </w:t>
      </w:r>
      <w:r w:rsidRPr="003015FD">
        <w:t>understood</w:t>
      </w:r>
      <w:r w:rsidR="00975895" w:rsidRPr="003015FD">
        <w:t xml:space="preserve"> </w:t>
      </w:r>
      <w:r w:rsidRPr="003015FD">
        <w:t>by</w:t>
      </w:r>
      <w:r w:rsidR="00975895" w:rsidRPr="003015FD">
        <w:t xml:space="preserve"> </w:t>
      </w:r>
      <w:r w:rsidRPr="003015FD">
        <w:t>the</w:t>
      </w:r>
      <w:r w:rsidR="00975895" w:rsidRPr="003015FD">
        <w:t xml:space="preserve"> </w:t>
      </w:r>
      <w:r w:rsidRPr="003015FD">
        <w:t>elders</w:t>
      </w:r>
      <w:r w:rsidR="00975895" w:rsidRPr="003015FD">
        <w:t xml:space="preserve"> </w:t>
      </w:r>
      <w:r w:rsidRPr="003015FD">
        <w:t>in</w:t>
      </w:r>
      <w:r w:rsidR="00975895" w:rsidRPr="003015FD">
        <w:t xml:space="preserve"> </w:t>
      </w:r>
      <w:r w:rsidRPr="003015FD">
        <w:t>the</w:t>
      </w:r>
      <w:r w:rsidR="00975895" w:rsidRPr="003015FD">
        <w:t xml:space="preserve"> </w:t>
      </w:r>
      <w:r w:rsidRPr="003015FD">
        <w:t>Koori</w:t>
      </w:r>
      <w:r w:rsidR="00975895" w:rsidRPr="003015FD">
        <w:t xml:space="preserve"> </w:t>
      </w:r>
      <w:r w:rsidRPr="003015FD">
        <w:t>Court</w:t>
      </w:r>
      <w:r w:rsidR="00975895" w:rsidRPr="003015FD">
        <w:t xml:space="preserve"> </w:t>
      </w:r>
      <w:r w:rsidRPr="003015FD">
        <w:t>and</w:t>
      </w:r>
      <w:r w:rsidR="00975895" w:rsidRPr="003015FD">
        <w:t xml:space="preserve"> </w:t>
      </w:r>
      <w:r w:rsidRPr="003015FD">
        <w:t>could</w:t>
      </w:r>
      <w:r w:rsidR="00975895" w:rsidRPr="003015FD">
        <w:t xml:space="preserve"> </w:t>
      </w:r>
      <w:r w:rsidRPr="003015FD">
        <w:t>also</w:t>
      </w:r>
      <w:r w:rsidR="00975895" w:rsidRPr="003015FD">
        <w:t xml:space="preserve"> </w:t>
      </w:r>
      <w:r w:rsidRPr="003015FD">
        <w:t>better</w:t>
      </w:r>
      <w:r w:rsidR="00975895" w:rsidRPr="003015FD">
        <w:t xml:space="preserve"> </w:t>
      </w:r>
      <w:r w:rsidRPr="003015FD">
        <w:t>understand</w:t>
      </w:r>
      <w:r w:rsidR="00975895" w:rsidRPr="003015FD">
        <w:t xml:space="preserve"> </w:t>
      </w:r>
      <w:r w:rsidRPr="003015FD">
        <w:t>the</w:t>
      </w:r>
      <w:r w:rsidR="00975895" w:rsidRPr="003015FD">
        <w:t xml:space="preserve"> </w:t>
      </w:r>
      <w:r w:rsidRPr="003015FD">
        <w:t>proceedings</w:t>
      </w:r>
      <w:r w:rsidR="00D95F5F">
        <w:t>.</w:t>
      </w:r>
      <w:r w:rsidRPr="004862C5">
        <w:rPr>
          <w:rStyle w:val="FootnoteReference"/>
        </w:rPr>
        <w:footnoteReference w:id="101"/>
      </w:r>
      <w:r w:rsidR="00975895" w:rsidRPr="003015FD">
        <w:t xml:space="preserve"> </w:t>
      </w:r>
      <w:r w:rsidRPr="003015FD">
        <w:t>Further,</w:t>
      </w:r>
      <w:r w:rsidR="00975895" w:rsidRPr="003015FD">
        <w:t xml:space="preserve"> </w:t>
      </w:r>
      <w:r w:rsidRPr="003015FD">
        <w:t>Justice</w:t>
      </w:r>
      <w:r w:rsidR="00975895" w:rsidRPr="003015FD">
        <w:t xml:space="preserve"> </w:t>
      </w:r>
      <w:proofErr w:type="spellStart"/>
      <w:r w:rsidRPr="003015FD">
        <w:t>Ginnane</w:t>
      </w:r>
      <w:proofErr w:type="spellEnd"/>
      <w:r w:rsidR="00975895" w:rsidRPr="003015FD">
        <w:t xml:space="preserve"> </w:t>
      </w:r>
      <w:r w:rsidRPr="003015FD">
        <w:t>found</w:t>
      </w:r>
      <w:r w:rsidR="00975895" w:rsidRPr="003015FD">
        <w:t xml:space="preserve"> </w:t>
      </w:r>
      <w:r w:rsidRPr="003015FD">
        <w:t>the</w:t>
      </w:r>
      <w:r w:rsidR="00975895" w:rsidRPr="003015FD">
        <w:t xml:space="preserve"> </w:t>
      </w:r>
      <w:r w:rsidRPr="003015FD">
        <w:t>Magistrates</w:t>
      </w:r>
      <w:r w:rsidR="000C5726">
        <w:t>'</w:t>
      </w:r>
      <w:r w:rsidR="00975895" w:rsidRPr="003015FD">
        <w:t xml:space="preserve"> </w:t>
      </w:r>
      <w:r w:rsidRPr="003015FD">
        <w:t>Court</w:t>
      </w:r>
      <w:r w:rsidR="00975895" w:rsidRPr="003015FD">
        <w:t xml:space="preserve"> </w:t>
      </w:r>
      <w:r w:rsidRPr="003015FD">
        <w:t>should</w:t>
      </w:r>
      <w:r w:rsidR="00975895" w:rsidRPr="003015FD">
        <w:t xml:space="preserve"> </w:t>
      </w:r>
      <w:r w:rsidRPr="003015FD">
        <w:t>have</w:t>
      </w:r>
      <w:r w:rsidR="00975895" w:rsidRPr="003015FD">
        <w:t xml:space="preserve"> </w:t>
      </w:r>
      <w:r w:rsidR="005F4134" w:rsidRPr="003015FD">
        <w:t>considered</w:t>
      </w:r>
      <w:r w:rsidR="00975895" w:rsidRPr="003015FD">
        <w:t xml:space="preserve"> </w:t>
      </w:r>
      <w:r w:rsidRPr="003015FD">
        <w:t>the</w:t>
      </w:r>
      <w:r w:rsidR="00975895" w:rsidRPr="003015FD">
        <w:t xml:space="preserve"> </w:t>
      </w:r>
      <w:r w:rsidRPr="003015FD">
        <w:t>plaintiff</w:t>
      </w:r>
      <w:r w:rsidR="000C5726">
        <w:t>'</w:t>
      </w:r>
      <w:r w:rsidRPr="003015FD">
        <w:t>s</w:t>
      </w:r>
      <w:r w:rsidR="00975895" w:rsidRPr="003015FD">
        <w:t xml:space="preserve"> </w:t>
      </w:r>
      <w:r w:rsidRPr="003015FD">
        <w:t>rights</w:t>
      </w:r>
      <w:r w:rsidR="00975895" w:rsidRPr="003015FD">
        <w:t xml:space="preserve"> </w:t>
      </w:r>
      <w:r w:rsidRPr="003015FD">
        <w:t>when</w:t>
      </w:r>
      <w:r w:rsidR="00975895" w:rsidRPr="003015FD">
        <w:t xml:space="preserve"> </w:t>
      </w:r>
      <w:r w:rsidRPr="003015FD">
        <w:t>deciding</w:t>
      </w:r>
      <w:r w:rsidR="00975895" w:rsidRPr="003015FD">
        <w:t xml:space="preserve"> </w:t>
      </w:r>
      <w:r w:rsidRPr="003015FD">
        <w:t>whether</w:t>
      </w:r>
      <w:r w:rsidR="00975895" w:rsidRPr="003015FD">
        <w:t xml:space="preserve"> </w:t>
      </w:r>
      <w:r w:rsidRPr="003015FD">
        <w:t>to</w:t>
      </w:r>
      <w:r w:rsidR="00975895" w:rsidRPr="003015FD">
        <w:t xml:space="preserve"> </w:t>
      </w:r>
      <w:r w:rsidRPr="003015FD">
        <w:t>transfer</w:t>
      </w:r>
      <w:r w:rsidR="00975895" w:rsidRPr="003015FD">
        <w:t xml:space="preserve"> </w:t>
      </w:r>
      <w:r w:rsidRPr="003015FD">
        <w:t>the</w:t>
      </w:r>
      <w:r w:rsidR="00975895" w:rsidRPr="003015FD">
        <w:t xml:space="preserve"> </w:t>
      </w:r>
      <w:r w:rsidRPr="003015FD">
        <w:t>proceedings</w:t>
      </w:r>
      <w:r w:rsidR="00975895" w:rsidRPr="003015FD">
        <w:t xml:space="preserve"> </w:t>
      </w:r>
      <w:r w:rsidRPr="003015FD">
        <w:t>to</w:t>
      </w:r>
      <w:r w:rsidR="00975895" w:rsidRPr="003015FD">
        <w:t xml:space="preserve"> </w:t>
      </w:r>
      <w:r w:rsidRPr="003015FD">
        <w:t>the</w:t>
      </w:r>
      <w:r w:rsidR="00975895" w:rsidRPr="003015FD">
        <w:t xml:space="preserve"> </w:t>
      </w:r>
      <w:r w:rsidRPr="003015FD">
        <w:t>Koori</w:t>
      </w:r>
      <w:r w:rsidR="00975895" w:rsidRPr="003015FD">
        <w:t xml:space="preserve"> </w:t>
      </w:r>
      <w:r w:rsidRPr="003015FD">
        <w:t>Court</w:t>
      </w:r>
      <w:r w:rsidR="00975895" w:rsidRPr="003015FD">
        <w:t xml:space="preserve"> </w:t>
      </w:r>
      <w:r w:rsidRPr="003015FD">
        <w:t>by</w:t>
      </w:r>
      <w:r w:rsidR="00975895" w:rsidRPr="003015FD">
        <w:t xml:space="preserve"> </w:t>
      </w:r>
      <w:r w:rsidRPr="003015FD">
        <w:t>reason</w:t>
      </w:r>
      <w:r w:rsidR="00975895" w:rsidRPr="003015FD">
        <w:t xml:space="preserve"> </w:t>
      </w:r>
      <w:r w:rsidRPr="003015FD">
        <w:t>of</w:t>
      </w:r>
      <w:r w:rsidR="00975895" w:rsidRPr="003015FD">
        <w:t xml:space="preserve"> </w:t>
      </w:r>
      <w:r w:rsidRPr="003015FD">
        <w:t>section</w:t>
      </w:r>
      <w:r w:rsidR="00975895" w:rsidRPr="003015FD">
        <w:t xml:space="preserve"> </w:t>
      </w:r>
      <w:r w:rsidRPr="003015FD">
        <w:t>32(1)</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which</w:t>
      </w:r>
      <w:r w:rsidR="00975895" w:rsidRPr="003015FD">
        <w:t xml:space="preserve"> </w:t>
      </w:r>
      <w:r w:rsidRPr="003015FD">
        <w:t>requires</w:t>
      </w:r>
      <w:r w:rsidR="00975895" w:rsidRPr="003015FD">
        <w:t xml:space="preserve"> </w:t>
      </w:r>
      <w:r w:rsidRPr="003015FD">
        <w:t>that</w:t>
      </w:r>
      <w:r w:rsidR="00975895" w:rsidRPr="003015FD">
        <w:t xml:space="preserve"> </w:t>
      </w:r>
      <w:r w:rsidRPr="003015FD">
        <w:t>all</w:t>
      </w:r>
      <w:r w:rsidR="00975895" w:rsidRPr="003015FD">
        <w:t xml:space="preserve"> </w:t>
      </w:r>
      <w:r w:rsidRPr="003015FD">
        <w:t>statutory</w:t>
      </w:r>
      <w:r w:rsidR="00975895" w:rsidRPr="003015FD">
        <w:t xml:space="preserve"> </w:t>
      </w:r>
      <w:r w:rsidRPr="003015FD">
        <w:t>provisions</w:t>
      </w:r>
      <w:r w:rsidR="00975895" w:rsidRPr="003015FD">
        <w:t xml:space="preserve"> </w:t>
      </w:r>
      <w:r w:rsidRPr="003015FD">
        <w:t>be</w:t>
      </w:r>
      <w:r w:rsidR="00975895" w:rsidRPr="003015FD">
        <w:t xml:space="preserve"> </w:t>
      </w:r>
      <w:r w:rsidRPr="003015FD">
        <w:t>interpreted</w:t>
      </w:r>
      <w:r w:rsidR="00975895" w:rsidRPr="003015FD">
        <w:t xml:space="preserve"> </w:t>
      </w:r>
      <w:r w:rsidRPr="003015FD">
        <w:t>in</w:t>
      </w:r>
      <w:r w:rsidR="00975895" w:rsidRPr="003015FD">
        <w:t xml:space="preserve"> </w:t>
      </w:r>
      <w:r w:rsidRPr="003015FD">
        <w:t>a</w:t>
      </w:r>
      <w:r w:rsidR="00975895" w:rsidRPr="003015FD">
        <w:t xml:space="preserve"> </w:t>
      </w:r>
      <w:r w:rsidRPr="003015FD">
        <w:t>way</w:t>
      </w:r>
      <w:r w:rsidR="00975895" w:rsidRPr="003015FD">
        <w:t xml:space="preserve"> </w:t>
      </w:r>
      <w:r w:rsidRPr="003015FD">
        <w:t>that</w:t>
      </w:r>
      <w:r w:rsidR="00975895" w:rsidRPr="003015FD">
        <w:t xml:space="preserve"> </w:t>
      </w:r>
      <w:r w:rsidRPr="003015FD">
        <w:t>is</w:t>
      </w:r>
      <w:r w:rsidR="00975895" w:rsidRPr="003015FD">
        <w:t xml:space="preserve"> </w:t>
      </w:r>
      <w:r w:rsidRPr="003015FD">
        <w:t>compatible</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so</w:t>
      </w:r>
      <w:r w:rsidR="00975895" w:rsidRPr="003015FD">
        <w:t xml:space="preserve"> </w:t>
      </w:r>
      <w:r w:rsidRPr="003015FD">
        <w:t>far</w:t>
      </w:r>
      <w:r w:rsidR="00975895" w:rsidRPr="003015FD">
        <w:t xml:space="preserve"> </w:t>
      </w:r>
      <w:r w:rsidRPr="003015FD">
        <w:t>as</w:t>
      </w:r>
      <w:r w:rsidR="00975895" w:rsidRPr="003015FD">
        <w:t xml:space="preserve"> </w:t>
      </w:r>
      <w:r w:rsidRPr="003015FD">
        <w:t>it</w:t>
      </w:r>
      <w:r w:rsidR="00975895" w:rsidRPr="003015FD">
        <w:t xml:space="preserve"> </w:t>
      </w:r>
      <w:r w:rsidRPr="003015FD">
        <w:t>is</w:t>
      </w:r>
      <w:r w:rsidR="00975895" w:rsidRPr="003015FD">
        <w:t xml:space="preserve"> </w:t>
      </w:r>
      <w:r w:rsidRPr="003015FD">
        <w:t>possible</w:t>
      </w:r>
      <w:r w:rsidR="00975895" w:rsidRPr="003015FD">
        <w:t xml:space="preserve"> </w:t>
      </w:r>
      <w:r w:rsidRPr="003015FD">
        <w:t>to</w:t>
      </w:r>
      <w:r w:rsidR="00975895" w:rsidRPr="003015FD">
        <w:t xml:space="preserve"> </w:t>
      </w:r>
      <w:r w:rsidRPr="003015FD">
        <w:t>do</w:t>
      </w:r>
      <w:r w:rsidR="00975895" w:rsidRPr="003015FD">
        <w:t xml:space="preserve"> </w:t>
      </w:r>
      <w:r w:rsidRPr="003015FD">
        <w:t>so</w:t>
      </w:r>
      <w:r w:rsidR="00975895" w:rsidRPr="003015FD">
        <w:t xml:space="preserve"> </w:t>
      </w:r>
      <w:r w:rsidRPr="003015FD">
        <w:t>consistently</w:t>
      </w:r>
      <w:r w:rsidR="00975895" w:rsidRPr="003015FD">
        <w:t xml:space="preserve"> </w:t>
      </w:r>
      <w:r w:rsidRPr="003015FD">
        <w:t>with</w:t>
      </w:r>
      <w:r w:rsidR="00975895" w:rsidRPr="003015FD">
        <w:t xml:space="preserve"> </w:t>
      </w:r>
      <w:r w:rsidRPr="003015FD">
        <w:t>their</w:t>
      </w:r>
      <w:r w:rsidR="00975895" w:rsidRPr="003015FD">
        <w:t xml:space="preserve"> </w:t>
      </w:r>
      <w:r w:rsidRPr="003015FD">
        <w:t>purpose.</w:t>
      </w:r>
      <w:r w:rsidRPr="004862C5">
        <w:rPr>
          <w:rStyle w:val="FootnoteReference"/>
        </w:rPr>
        <w:footnoteReference w:id="102"/>
      </w:r>
      <w:r w:rsidR="00975895" w:rsidRPr="003015FD">
        <w:t xml:space="preserve"> </w:t>
      </w:r>
    </w:p>
    <w:p w14:paraId="10F202C2" w14:textId="505FECBF" w:rsidR="008E0945" w:rsidRPr="003015FD" w:rsidRDefault="008E0945" w:rsidP="005B74F5">
      <w:r w:rsidRPr="003015FD">
        <w:t>The</w:t>
      </w:r>
      <w:r w:rsidR="00975895" w:rsidRPr="003015FD">
        <w:t xml:space="preserve"> </w:t>
      </w:r>
      <w:r w:rsidRPr="003015FD">
        <w:t>Court</w:t>
      </w:r>
      <w:r w:rsidR="00975895" w:rsidRPr="003015FD">
        <w:t xml:space="preserve"> </w:t>
      </w:r>
      <w:r w:rsidRPr="003015FD">
        <w:t>also</w:t>
      </w:r>
      <w:r w:rsidR="00975895" w:rsidRPr="003015FD">
        <w:t xml:space="preserve"> </w:t>
      </w:r>
      <w:r w:rsidRPr="003015FD">
        <w:t>recognised</w:t>
      </w:r>
      <w:r w:rsidR="00975895" w:rsidRPr="003015FD">
        <w:t xml:space="preserve"> </w:t>
      </w:r>
      <w:r w:rsidRPr="003015FD">
        <w:t>the</w:t>
      </w:r>
      <w:r w:rsidR="00975895" w:rsidRPr="003015FD">
        <w:t xml:space="preserve"> </w:t>
      </w:r>
      <w:r w:rsidRPr="003015FD">
        <w:t>important</w:t>
      </w:r>
      <w:r w:rsidR="00975895" w:rsidRPr="003015FD">
        <w:t xml:space="preserve"> </w:t>
      </w:r>
      <w:r w:rsidRPr="003015FD">
        <w:t>role</w:t>
      </w:r>
      <w:r w:rsidR="00975895" w:rsidRPr="003015FD">
        <w:t xml:space="preserve"> </w:t>
      </w:r>
      <w:r w:rsidRPr="003015FD">
        <w:t>that</w:t>
      </w:r>
      <w:r w:rsidR="00975895" w:rsidRPr="003015FD">
        <w:t xml:space="preserve"> </w:t>
      </w:r>
      <w:r w:rsidRPr="003015FD">
        <w:t>Koori</w:t>
      </w:r>
      <w:r w:rsidR="00975895" w:rsidRPr="003015FD">
        <w:t xml:space="preserve"> </w:t>
      </w:r>
      <w:r w:rsidRPr="003015FD">
        <w:t>Courts</w:t>
      </w:r>
      <w:r w:rsidR="00975895" w:rsidRPr="003015FD">
        <w:t xml:space="preserve"> </w:t>
      </w:r>
      <w:r w:rsidRPr="003015FD">
        <w:t>play</w:t>
      </w:r>
      <w:r w:rsidR="00975895" w:rsidRPr="003015FD">
        <w:t xml:space="preserve"> </w:t>
      </w:r>
      <w:r w:rsidRPr="003015FD">
        <w:t>in</w:t>
      </w:r>
      <w:r w:rsidR="00975895" w:rsidRPr="003015FD">
        <w:t xml:space="preserve"> </w:t>
      </w:r>
      <w:r w:rsidRPr="003015FD">
        <w:t>addressin</w:t>
      </w:r>
      <w:r w:rsidR="00D95F5F">
        <w:t>g</w:t>
      </w:r>
      <w:r w:rsidR="00975895" w:rsidRPr="003015FD">
        <w:t xml:space="preserve"> </w:t>
      </w:r>
      <w:r w:rsidRPr="003015FD">
        <w:t>systemic</w:t>
      </w:r>
      <w:r w:rsidR="00975895" w:rsidRPr="003015FD">
        <w:t xml:space="preserve"> </w:t>
      </w:r>
      <w:r w:rsidRPr="003015FD">
        <w:t>disadvantage</w:t>
      </w:r>
      <w:r w:rsidR="00975895" w:rsidRPr="003015FD">
        <w:t xml:space="preserve"> </w:t>
      </w:r>
      <w:r w:rsidRPr="003015FD">
        <w:t>faced</w:t>
      </w:r>
      <w:r w:rsidR="00975895" w:rsidRPr="003015FD">
        <w:t xml:space="preserve"> </w:t>
      </w:r>
      <w:r w:rsidRPr="003015FD">
        <w:t>by</w:t>
      </w:r>
      <w:r w:rsidR="00975895" w:rsidRPr="003015FD">
        <w:t xml:space="preserve"> </w:t>
      </w:r>
      <w:r w:rsidRPr="003015FD">
        <w:t>Aboriginal</w:t>
      </w:r>
      <w:r w:rsidR="00975895" w:rsidRPr="003015FD">
        <w:t xml:space="preserve"> </w:t>
      </w:r>
      <w:r w:rsidRPr="003015FD">
        <w:t>people</w:t>
      </w:r>
      <w:r w:rsidR="00975895" w:rsidRPr="003015FD">
        <w:t xml:space="preserve"> </w:t>
      </w:r>
      <w:r w:rsidRPr="003015FD">
        <w:t>in</w:t>
      </w:r>
      <w:r w:rsidR="00975895" w:rsidRPr="003015FD">
        <w:t xml:space="preserve"> </w:t>
      </w:r>
      <w:r w:rsidRPr="003015FD">
        <w:t>the</w:t>
      </w:r>
      <w:r w:rsidR="00975895" w:rsidRPr="003015FD">
        <w:t xml:space="preserve"> </w:t>
      </w:r>
      <w:r w:rsidRPr="003015FD">
        <w:t>justice</w:t>
      </w:r>
      <w:r w:rsidR="00975895" w:rsidRPr="003015FD">
        <w:t xml:space="preserve"> </w:t>
      </w:r>
      <w:r w:rsidRPr="003015FD">
        <w:t>system:</w:t>
      </w:r>
      <w:r w:rsidRPr="004862C5">
        <w:rPr>
          <w:rStyle w:val="FootnoteReference"/>
        </w:rPr>
        <w:footnoteReference w:id="103"/>
      </w:r>
    </w:p>
    <w:p w14:paraId="2F60869F" w14:textId="028C2E2B" w:rsidR="008E0945" w:rsidRPr="0002642E" w:rsidRDefault="008E0945" w:rsidP="0002642E">
      <w:pPr>
        <w:pStyle w:val="Quote"/>
        <w:rPr>
          <w:rStyle w:val="Characteritalic"/>
          <w:i w:val="0"/>
          <w:lang w:val="en-GB"/>
        </w:rPr>
      </w:pPr>
      <w:r w:rsidRPr="0002642E">
        <w:rPr>
          <w:rStyle w:val="Characteritalic"/>
          <w:i w:val="0"/>
          <w:lang w:val="en-GB"/>
        </w:rPr>
        <w:t>The</w:t>
      </w:r>
      <w:r w:rsidR="00975895" w:rsidRPr="0002642E">
        <w:rPr>
          <w:rStyle w:val="Characteritalic"/>
          <w:i w:val="0"/>
          <w:lang w:val="en-GB"/>
        </w:rPr>
        <w:t xml:space="preserve"> </w:t>
      </w:r>
      <w:r w:rsidRPr="0002642E">
        <w:rPr>
          <w:rStyle w:val="Characteritalic"/>
          <w:i w:val="0"/>
          <w:lang w:val="en-GB"/>
        </w:rPr>
        <w:t>Koori</w:t>
      </w:r>
      <w:r w:rsidR="00975895" w:rsidRPr="0002642E">
        <w:rPr>
          <w:rStyle w:val="Characteritalic"/>
          <w:i w:val="0"/>
          <w:lang w:val="en-GB"/>
        </w:rPr>
        <w:t xml:space="preserve"> </w:t>
      </w:r>
      <w:r w:rsidRPr="0002642E">
        <w:rPr>
          <w:rStyle w:val="Characteritalic"/>
          <w:i w:val="0"/>
          <w:lang w:val="en-GB"/>
        </w:rPr>
        <w:t>Court</w:t>
      </w:r>
      <w:r w:rsidR="00975895" w:rsidRPr="0002642E">
        <w:rPr>
          <w:rStyle w:val="Characteritalic"/>
          <w:i w:val="0"/>
          <w:lang w:val="en-GB"/>
        </w:rPr>
        <w:t xml:space="preserve"> </w:t>
      </w:r>
      <w:r w:rsidRPr="0002642E">
        <w:rPr>
          <w:rStyle w:val="Characteritalic"/>
          <w:i w:val="0"/>
          <w:lang w:val="en-GB"/>
        </w:rPr>
        <w:t>was</w:t>
      </w:r>
      <w:r w:rsidR="00975895" w:rsidRPr="0002642E">
        <w:rPr>
          <w:rStyle w:val="Characteritalic"/>
          <w:i w:val="0"/>
          <w:lang w:val="en-GB"/>
        </w:rPr>
        <w:t xml:space="preserve"> </w:t>
      </w:r>
      <w:r w:rsidRPr="0002642E">
        <w:rPr>
          <w:rStyle w:val="Characteritalic"/>
          <w:i w:val="0"/>
          <w:lang w:val="en-GB"/>
        </w:rPr>
        <w:t>established</w:t>
      </w:r>
      <w:r w:rsidR="00975895" w:rsidRPr="0002642E">
        <w:rPr>
          <w:rStyle w:val="Characteritalic"/>
          <w:i w:val="0"/>
          <w:lang w:val="en-GB"/>
        </w:rPr>
        <w:t xml:space="preserve"> </w:t>
      </w:r>
      <w:r w:rsidRPr="0002642E">
        <w:rPr>
          <w:rStyle w:val="Characteritalic"/>
          <w:i w:val="0"/>
          <w:lang w:val="en-GB"/>
        </w:rPr>
        <w:t>for</w:t>
      </w:r>
      <w:r w:rsidR="00975895" w:rsidRPr="0002642E">
        <w:rPr>
          <w:rStyle w:val="Characteritalic"/>
          <w:i w:val="0"/>
          <w:lang w:val="en-GB"/>
        </w:rPr>
        <w:t xml:space="preserve"> </w:t>
      </w:r>
      <w:r w:rsidRPr="0002642E">
        <w:rPr>
          <w:rStyle w:val="Characteritalic"/>
          <w:i w:val="0"/>
          <w:lang w:val="en-GB"/>
        </w:rPr>
        <w:t>purposes</w:t>
      </w:r>
      <w:r w:rsidR="00975895" w:rsidRPr="0002642E">
        <w:rPr>
          <w:rStyle w:val="Characteritalic"/>
          <w:i w:val="0"/>
          <w:lang w:val="en-GB"/>
        </w:rPr>
        <w:t xml:space="preserve"> </w:t>
      </w:r>
      <w:r w:rsidRPr="0002642E">
        <w:rPr>
          <w:rStyle w:val="Characteritalic"/>
          <w:i w:val="0"/>
          <w:lang w:val="en-GB"/>
        </w:rPr>
        <w:t>that</w:t>
      </w:r>
      <w:r w:rsidR="00975895" w:rsidRPr="0002642E">
        <w:rPr>
          <w:rStyle w:val="Characteritalic"/>
          <w:i w:val="0"/>
          <w:lang w:val="en-GB"/>
        </w:rPr>
        <w:t xml:space="preserve"> </w:t>
      </w:r>
      <w:r w:rsidRPr="0002642E">
        <w:rPr>
          <w:rStyle w:val="Characteritalic"/>
          <w:i w:val="0"/>
          <w:lang w:val="en-GB"/>
        </w:rPr>
        <w:t>included</w:t>
      </w:r>
      <w:r w:rsidR="00975895" w:rsidRPr="0002642E">
        <w:rPr>
          <w:rStyle w:val="Characteritalic"/>
          <w:i w:val="0"/>
          <w:lang w:val="en-GB"/>
        </w:rPr>
        <w:t xml:space="preserve"> </w:t>
      </w:r>
      <w:r w:rsidRPr="0002642E">
        <w:rPr>
          <w:rStyle w:val="Characteritalic"/>
          <w:i w:val="0"/>
          <w:lang w:val="en-GB"/>
        </w:rPr>
        <w:t>addressing</w:t>
      </w:r>
      <w:r w:rsidR="00975895" w:rsidRPr="0002642E">
        <w:rPr>
          <w:rStyle w:val="Characteritalic"/>
          <w:i w:val="0"/>
          <w:lang w:val="en-GB"/>
        </w:rPr>
        <w:t xml:space="preserve"> </w:t>
      </w:r>
      <w:r w:rsidRPr="0002642E">
        <w:rPr>
          <w:rStyle w:val="Characteritalic"/>
          <w:i w:val="0"/>
          <w:lang w:val="en-GB"/>
        </w:rPr>
        <w:t>systemic</w:t>
      </w:r>
      <w:r w:rsidR="00975895" w:rsidRPr="0002642E">
        <w:rPr>
          <w:rStyle w:val="Characteritalic"/>
          <w:i w:val="0"/>
          <w:lang w:val="en-GB"/>
        </w:rPr>
        <w:t xml:space="preserve"> </w:t>
      </w:r>
      <w:r w:rsidRPr="0002642E">
        <w:rPr>
          <w:rStyle w:val="Characteritalic"/>
          <w:i w:val="0"/>
          <w:lang w:val="en-GB"/>
        </w:rPr>
        <w:t>disadvantage</w:t>
      </w:r>
      <w:r w:rsidR="00975895" w:rsidRPr="0002642E">
        <w:rPr>
          <w:rStyle w:val="Characteritalic"/>
          <w:i w:val="0"/>
          <w:lang w:val="en-GB"/>
        </w:rPr>
        <w:t xml:space="preserve"> </w:t>
      </w:r>
      <w:r w:rsidRPr="0002642E">
        <w:rPr>
          <w:rStyle w:val="Characteritalic"/>
          <w:i w:val="0"/>
          <w:lang w:val="en-GB"/>
        </w:rPr>
        <w:t>faced</w:t>
      </w:r>
      <w:r w:rsidR="00975895" w:rsidRPr="0002642E">
        <w:rPr>
          <w:rStyle w:val="Characteritalic"/>
          <w:i w:val="0"/>
          <w:lang w:val="en-GB"/>
        </w:rPr>
        <w:t xml:space="preserve"> </w:t>
      </w:r>
      <w:r w:rsidRPr="0002642E">
        <w:rPr>
          <w:rStyle w:val="Characteritalic"/>
          <w:i w:val="0"/>
          <w:lang w:val="en-GB"/>
        </w:rPr>
        <w:t>by</w:t>
      </w:r>
      <w:r w:rsidR="00975895" w:rsidRPr="0002642E">
        <w:rPr>
          <w:rStyle w:val="Characteritalic"/>
          <w:i w:val="0"/>
          <w:lang w:val="en-GB"/>
        </w:rPr>
        <w:t xml:space="preserve"> </w:t>
      </w:r>
      <w:r w:rsidRPr="0002642E">
        <w:rPr>
          <w:rStyle w:val="Characteritalic"/>
          <w:i w:val="0"/>
          <w:lang w:val="en-GB"/>
        </w:rPr>
        <w:t>Aboriginal</w:t>
      </w:r>
      <w:r w:rsidR="00975895" w:rsidRPr="0002642E">
        <w:rPr>
          <w:rStyle w:val="Characteritalic"/>
          <w:i w:val="0"/>
          <w:lang w:val="en-GB"/>
        </w:rPr>
        <w:t xml:space="preserve"> </w:t>
      </w:r>
      <w:r w:rsidRPr="0002642E">
        <w:rPr>
          <w:rStyle w:val="Characteritalic"/>
          <w:i w:val="0"/>
          <w:lang w:val="en-GB"/>
        </w:rPr>
        <w:t>people</w:t>
      </w:r>
      <w:r w:rsidR="00975895" w:rsidRPr="0002642E">
        <w:rPr>
          <w:rStyle w:val="Characteritalic"/>
          <w:i w:val="0"/>
          <w:lang w:val="en-GB"/>
        </w:rPr>
        <w:t xml:space="preserve"> </w:t>
      </w:r>
      <w:r w:rsidRPr="0002642E">
        <w:rPr>
          <w:rStyle w:val="Characteritalic"/>
          <w:i w:val="0"/>
          <w:lang w:val="en-GB"/>
        </w:rPr>
        <w:t>who</w:t>
      </w:r>
      <w:r w:rsidR="00975895" w:rsidRPr="0002642E">
        <w:rPr>
          <w:rStyle w:val="Characteritalic"/>
          <w:i w:val="0"/>
          <w:lang w:val="en-GB"/>
        </w:rPr>
        <w:t xml:space="preserve"> </w:t>
      </w:r>
      <w:r w:rsidRPr="0002642E">
        <w:rPr>
          <w:rStyle w:val="Characteritalic"/>
          <w:i w:val="0"/>
          <w:lang w:val="en-GB"/>
        </w:rPr>
        <w:t>have</w:t>
      </w:r>
      <w:r w:rsidR="00975895" w:rsidRPr="0002642E">
        <w:rPr>
          <w:rStyle w:val="Characteritalic"/>
          <w:i w:val="0"/>
          <w:lang w:val="en-GB"/>
        </w:rPr>
        <w:t xml:space="preserve"> </w:t>
      </w:r>
      <w:r w:rsidRPr="0002642E">
        <w:rPr>
          <w:rStyle w:val="Characteritalic"/>
          <w:i w:val="0"/>
          <w:lang w:val="en-GB"/>
        </w:rPr>
        <w:t>been</w:t>
      </w:r>
      <w:r w:rsidR="00975895" w:rsidRPr="0002642E">
        <w:rPr>
          <w:rStyle w:val="Characteritalic"/>
          <w:i w:val="0"/>
          <w:lang w:val="en-GB"/>
        </w:rPr>
        <w:t xml:space="preserve"> </w:t>
      </w:r>
      <w:r w:rsidRPr="0002642E">
        <w:rPr>
          <w:rStyle w:val="Characteritalic"/>
          <w:i w:val="0"/>
          <w:lang w:val="en-GB"/>
        </w:rPr>
        <w:t>over-represented</w:t>
      </w:r>
      <w:r w:rsidR="00975895" w:rsidRPr="0002642E">
        <w:rPr>
          <w:rStyle w:val="Characteritalic"/>
          <w:i w:val="0"/>
          <w:lang w:val="en-GB"/>
        </w:rPr>
        <w:t xml:space="preserve"> </w:t>
      </w:r>
      <w:r w:rsidRPr="0002642E">
        <w:rPr>
          <w:rStyle w:val="Characteritalic"/>
          <w:i w:val="0"/>
          <w:lang w:val="en-GB"/>
        </w:rPr>
        <w:t>in</w:t>
      </w:r>
      <w:r w:rsidR="00975895" w:rsidRPr="0002642E">
        <w:rPr>
          <w:rStyle w:val="Characteritalic"/>
          <w:i w:val="0"/>
          <w:lang w:val="en-GB"/>
        </w:rPr>
        <w:t xml:space="preserve"> </w:t>
      </w:r>
      <w:r w:rsidRPr="0002642E">
        <w:rPr>
          <w:rStyle w:val="Characteritalic"/>
          <w:i w:val="0"/>
          <w:lang w:val="en-GB"/>
        </w:rPr>
        <w:t>the</w:t>
      </w:r>
      <w:r w:rsidR="00975895" w:rsidRPr="0002642E">
        <w:rPr>
          <w:rStyle w:val="Characteritalic"/>
          <w:i w:val="0"/>
          <w:lang w:val="en-GB"/>
        </w:rPr>
        <w:t xml:space="preserve"> </w:t>
      </w:r>
      <w:r w:rsidRPr="0002642E">
        <w:rPr>
          <w:rStyle w:val="Characteritalic"/>
          <w:i w:val="0"/>
          <w:lang w:val="en-GB"/>
        </w:rPr>
        <w:t>criminal</w:t>
      </w:r>
      <w:r w:rsidR="00975895" w:rsidRPr="0002642E">
        <w:rPr>
          <w:rStyle w:val="Characteritalic"/>
          <w:i w:val="0"/>
          <w:lang w:val="en-GB"/>
        </w:rPr>
        <w:t xml:space="preserve"> </w:t>
      </w:r>
      <w:r w:rsidRPr="0002642E">
        <w:rPr>
          <w:rStyle w:val="Characteritalic"/>
          <w:i w:val="0"/>
          <w:lang w:val="en-GB"/>
        </w:rPr>
        <w:t>justice</w:t>
      </w:r>
      <w:r w:rsidR="00975895" w:rsidRPr="0002642E">
        <w:rPr>
          <w:rStyle w:val="Characteritalic"/>
          <w:i w:val="0"/>
          <w:lang w:val="en-GB"/>
        </w:rPr>
        <w:t xml:space="preserve"> </w:t>
      </w:r>
      <w:r w:rsidRPr="0002642E">
        <w:rPr>
          <w:rStyle w:val="Characteritalic"/>
          <w:i w:val="0"/>
          <w:lang w:val="en-GB"/>
        </w:rPr>
        <w:t>system,</w:t>
      </w:r>
      <w:r w:rsidR="00975895" w:rsidRPr="0002642E">
        <w:rPr>
          <w:rStyle w:val="Characteritalic"/>
          <w:i w:val="0"/>
          <w:lang w:val="en-GB"/>
        </w:rPr>
        <w:t xml:space="preserve"> </w:t>
      </w:r>
      <w:r w:rsidRPr="0002642E">
        <w:rPr>
          <w:rStyle w:val="Characteritalic"/>
          <w:i w:val="0"/>
          <w:lang w:val="en-GB"/>
        </w:rPr>
        <w:t>in</w:t>
      </w:r>
      <w:r w:rsidR="00975895" w:rsidRPr="0002642E">
        <w:rPr>
          <w:rStyle w:val="Characteritalic"/>
          <w:i w:val="0"/>
          <w:lang w:val="en-GB"/>
        </w:rPr>
        <w:t xml:space="preserve"> </w:t>
      </w:r>
      <w:r w:rsidRPr="0002642E">
        <w:rPr>
          <w:rStyle w:val="Characteritalic"/>
          <w:i w:val="0"/>
          <w:lang w:val="en-GB"/>
        </w:rPr>
        <w:t>imprisonment</w:t>
      </w:r>
      <w:r w:rsidR="00975895" w:rsidRPr="0002642E">
        <w:rPr>
          <w:rStyle w:val="Characteritalic"/>
          <w:i w:val="0"/>
          <w:lang w:val="en-GB"/>
        </w:rPr>
        <w:t xml:space="preserve"> </w:t>
      </w:r>
      <w:r w:rsidRPr="0002642E">
        <w:rPr>
          <w:rStyle w:val="Characteritalic"/>
          <w:i w:val="0"/>
          <w:lang w:val="en-GB"/>
        </w:rPr>
        <w:t>and</w:t>
      </w:r>
      <w:r w:rsidR="00975895" w:rsidRPr="0002642E">
        <w:rPr>
          <w:rStyle w:val="Characteritalic"/>
          <w:i w:val="0"/>
          <w:lang w:val="en-GB"/>
        </w:rPr>
        <w:t xml:space="preserve"> </w:t>
      </w:r>
      <w:r w:rsidRPr="0002642E">
        <w:rPr>
          <w:rStyle w:val="Characteritalic"/>
          <w:i w:val="0"/>
          <w:lang w:val="en-GB"/>
        </w:rPr>
        <w:t>in</w:t>
      </w:r>
      <w:r w:rsidR="00975895" w:rsidRPr="0002642E">
        <w:rPr>
          <w:rStyle w:val="Characteritalic"/>
          <w:i w:val="0"/>
          <w:lang w:val="en-GB"/>
        </w:rPr>
        <w:t xml:space="preserve"> </w:t>
      </w:r>
      <w:r w:rsidRPr="0002642E">
        <w:rPr>
          <w:rStyle w:val="Characteritalic"/>
          <w:i w:val="0"/>
          <w:lang w:val="en-GB"/>
        </w:rPr>
        <w:t>deaths</w:t>
      </w:r>
      <w:r w:rsidR="00975895" w:rsidRPr="0002642E">
        <w:rPr>
          <w:rStyle w:val="Characteritalic"/>
          <w:i w:val="0"/>
          <w:lang w:val="en-GB"/>
        </w:rPr>
        <w:t xml:space="preserve"> </w:t>
      </w:r>
      <w:r w:rsidRPr="0002642E">
        <w:rPr>
          <w:rStyle w:val="Characteritalic"/>
          <w:i w:val="0"/>
          <w:lang w:val="en-GB"/>
        </w:rPr>
        <w:t>in</w:t>
      </w:r>
      <w:r w:rsidR="00975895" w:rsidRPr="0002642E">
        <w:rPr>
          <w:rStyle w:val="Characteritalic"/>
          <w:i w:val="0"/>
          <w:lang w:val="en-GB"/>
        </w:rPr>
        <w:t xml:space="preserve"> </w:t>
      </w:r>
      <w:r w:rsidRPr="0002642E">
        <w:rPr>
          <w:rStyle w:val="Characteritalic"/>
          <w:i w:val="0"/>
          <w:lang w:val="en-GB"/>
        </w:rPr>
        <w:t>custody.</w:t>
      </w:r>
      <w:r w:rsidR="00975895" w:rsidRPr="0002642E">
        <w:rPr>
          <w:rStyle w:val="Characteritalic"/>
          <w:i w:val="0"/>
          <w:lang w:val="en-GB"/>
        </w:rPr>
        <w:t xml:space="preserve"> </w:t>
      </w:r>
      <w:r w:rsidRPr="0002642E">
        <w:rPr>
          <w:rStyle w:val="Characteritalic"/>
          <w:i w:val="0"/>
          <w:lang w:val="en-GB"/>
        </w:rPr>
        <w:t>The</w:t>
      </w:r>
      <w:r w:rsidR="00975895" w:rsidRPr="0002642E">
        <w:rPr>
          <w:rStyle w:val="Characteritalic"/>
          <w:i w:val="0"/>
          <w:lang w:val="en-GB"/>
        </w:rPr>
        <w:t xml:space="preserve"> </w:t>
      </w:r>
      <w:r w:rsidRPr="0002642E">
        <w:rPr>
          <w:rStyle w:val="Characteritalic"/>
          <w:i w:val="0"/>
          <w:lang w:val="en-GB"/>
        </w:rPr>
        <w:t>Koori</w:t>
      </w:r>
      <w:r w:rsidR="00975895" w:rsidRPr="0002642E">
        <w:rPr>
          <w:rStyle w:val="Characteritalic"/>
          <w:i w:val="0"/>
          <w:lang w:val="en-GB"/>
        </w:rPr>
        <w:t xml:space="preserve"> </w:t>
      </w:r>
      <w:r w:rsidRPr="0002642E">
        <w:rPr>
          <w:rStyle w:val="Characteritalic"/>
          <w:i w:val="0"/>
          <w:lang w:val="en-GB"/>
        </w:rPr>
        <w:t>Court</w:t>
      </w:r>
      <w:r w:rsidR="00975895" w:rsidRPr="0002642E">
        <w:rPr>
          <w:rStyle w:val="Characteritalic"/>
          <w:i w:val="0"/>
          <w:lang w:val="en-GB"/>
        </w:rPr>
        <w:t xml:space="preserve"> </w:t>
      </w:r>
      <w:r w:rsidRPr="0002642E">
        <w:rPr>
          <w:rStyle w:val="Characteritalic"/>
          <w:i w:val="0"/>
          <w:lang w:val="en-GB"/>
        </w:rPr>
        <w:t>seeks</w:t>
      </w:r>
      <w:r w:rsidR="00975895" w:rsidRPr="0002642E">
        <w:rPr>
          <w:rStyle w:val="Characteritalic"/>
          <w:i w:val="0"/>
          <w:lang w:val="en-GB"/>
        </w:rPr>
        <w:t xml:space="preserve"> </w:t>
      </w:r>
      <w:r w:rsidRPr="0002642E">
        <w:rPr>
          <w:rStyle w:val="Characteritalic"/>
          <w:i w:val="0"/>
          <w:lang w:val="en-GB"/>
        </w:rPr>
        <w:t>to</w:t>
      </w:r>
      <w:r w:rsidR="00975895" w:rsidRPr="0002642E">
        <w:rPr>
          <w:rStyle w:val="Characteritalic"/>
          <w:i w:val="0"/>
          <w:lang w:val="en-GB"/>
        </w:rPr>
        <w:t xml:space="preserve"> </w:t>
      </w:r>
      <w:r w:rsidRPr="0002642E">
        <w:rPr>
          <w:rStyle w:val="Characteritalic"/>
          <w:i w:val="0"/>
          <w:lang w:val="en-GB"/>
        </w:rPr>
        <w:t>reduce</w:t>
      </w:r>
      <w:r w:rsidR="00975895" w:rsidRPr="0002642E">
        <w:rPr>
          <w:rStyle w:val="Characteritalic"/>
          <w:i w:val="0"/>
          <w:lang w:val="en-GB"/>
        </w:rPr>
        <w:t xml:space="preserve"> </w:t>
      </w:r>
      <w:r w:rsidRPr="0002642E">
        <w:rPr>
          <w:rStyle w:val="Characteritalic"/>
          <w:i w:val="0"/>
          <w:lang w:val="en-GB"/>
        </w:rPr>
        <w:t>that</w:t>
      </w:r>
      <w:r w:rsidR="00975895" w:rsidRPr="0002642E">
        <w:rPr>
          <w:rStyle w:val="Characteritalic"/>
          <w:i w:val="0"/>
          <w:lang w:val="en-GB"/>
        </w:rPr>
        <w:t xml:space="preserve"> </w:t>
      </w:r>
      <w:r w:rsidRPr="0002642E">
        <w:rPr>
          <w:rStyle w:val="Characteritalic"/>
          <w:i w:val="0"/>
          <w:lang w:val="en-GB"/>
        </w:rPr>
        <w:t>systemic</w:t>
      </w:r>
      <w:r w:rsidR="00975895" w:rsidRPr="0002642E">
        <w:rPr>
          <w:rStyle w:val="Characteritalic"/>
          <w:i w:val="0"/>
          <w:lang w:val="en-GB"/>
        </w:rPr>
        <w:t xml:space="preserve"> </w:t>
      </w:r>
      <w:r w:rsidRPr="0002642E">
        <w:rPr>
          <w:rStyle w:val="Characteritalic"/>
          <w:i w:val="0"/>
          <w:lang w:val="en-GB"/>
        </w:rPr>
        <w:t>disadvantage</w:t>
      </w:r>
      <w:r w:rsidR="00975895" w:rsidRPr="0002642E">
        <w:rPr>
          <w:rStyle w:val="Characteritalic"/>
          <w:i w:val="0"/>
          <w:lang w:val="en-GB"/>
        </w:rPr>
        <w:t xml:space="preserve"> </w:t>
      </w:r>
      <w:r w:rsidRPr="0002642E">
        <w:rPr>
          <w:rStyle w:val="Characteritalic"/>
          <w:i w:val="0"/>
          <w:lang w:val="en-GB"/>
        </w:rPr>
        <w:t>by</w:t>
      </w:r>
      <w:r w:rsidR="00975895" w:rsidRPr="0002642E">
        <w:rPr>
          <w:rStyle w:val="Characteritalic"/>
          <w:i w:val="0"/>
          <w:lang w:val="en-GB"/>
        </w:rPr>
        <w:t xml:space="preserve"> </w:t>
      </w:r>
      <w:r w:rsidRPr="0002642E">
        <w:rPr>
          <w:rStyle w:val="Characteritalic"/>
          <w:i w:val="0"/>
          <w:lang w:val="en-GB"/>
        </w:rPr>
        <w:t>providing</w:t>
      </w:r>
      <w:r w:rsidR="00975895" w:rsidRPr="0002642E">
        <w:rPr>
          <w:rStyle w:val="Characteritalic"/>
          <w:i w:val="0"/>
          <w:lang w:val="en-GB"/>
        </w:rPr>
        <w:t xml:space="preserve"> </w:t>
      </w:r>
      <w:r w:rsidRPr="0002642E">
        <w:rPr>
          <w:rStyle w:val="Characteritalic"/>
          <w:i w:val="0"/>
          <w:lang w:val="en-GB"/>
        </w:rPr>
        <w:t>special</w:t>
      </w:r>
      <w:r w:rsidR="00975895" w:rsidRPr="0002642E">
        <w:rPr>
          <w:rStyle w:val="Characteritalic"/>
          <w:i w:val="0"/>
          <w:lang w:val="en-GB"/>
        </w:rPr>
        <w:t xml:space="preserve"> </w:t>
      </w:r>
      <w:r w:rsidRPr="0002642E">
        <w:rPr>
          <w:rStyle w:val="Characteritalic"/>
          <w:i w:val="0"/>
          <w:lang w:val="en-GB"/>
        </w:rPr>
        <w:t>measures</w:t>
      </w:r>
      <w:r w:rsidR="00975895" w:rsidRPr="0002642E">
        <w:rPr>
          <w:rStyle w:val="Characteritalic"/>
          <w:i w:val="0"/>
          <w:lang w:val="en-GB"/>
        </w:rPr>
        <w:t xml:space="preserve"> </w:t>
      </w:r>
      <w:r w:rsidRPr="0002642E">
        <w:rPr>
          <w:rStyle w:val="Characteritalic"/>
          <w:i w:val="0"/>
          <w:lang w:val="en-GB"/>
        </w:rPr>
        <w:t>and</w:t>
      </w:r>
      <w:r w:rsidR="00975895" w:rsidRPr="0002642E">
        <w:rPr>
          <w:rStyle w:val="Characteritalic"/>
          <w:i w:val="0"/>
          <w:lang w:val="en-GB"/>
        </w:rPr>
        <w:t xml:space="preserve"> </w:t>
      </w:r>
      <w:r w:rsidRPr="0002642E">
        <w:rPr>
          <w:rStyle w:val="Characteritalic"/>
          <w:i w:val="0"/>
          <w:lang w:val="en-GB"/>
        </w:rPr>
        <w:t>accommodations</w:t>
      </w:r>
      <w:r w:rsidR="00975895" w:rsidRPr="0002642E">
        <w:rPr>
          <w:rStyle w:val="Characteritalic"/>
          <w:i w:val="0"/>
          <w:lang w:val="en-GB"/>
        </w:rPr>
        <w:t xml:space="preserve"> </w:t>
      </w:r>
      <w:r w:rsidRPr="0002642E">
        <w:rPr>
          <w:rStyle w:val="Characteritalic"/>
          <w:i w:val="0"/>
          <w:lang w:val="en-GB"/>
        </w:rPr>
        <w:t>so</w:t>
      </w:r>
      <w:r w:rsidR="00975895" w:rsidRPr="0002642E">
        <w:rPr>
          <w:rStyle w:val="Characteritalic"/>
          <w:i w:val="0"/>
          <w:lang w:val="en-GB"/>
        </w:rPr>
        <w:t xml:space="preserve"> </w:t>
      </w:r>
      <w:r w:rsidRPr="0002642E">
        <w:rPr>
          <w:rStyle w:val="Characteritalic"/>
          <w:i w:val="0"/>
          <w:lang w:val="en-GB"/>
        </w:rPr>
        <w:t>that</w:t>
      </w:r>
      <w:r w:rsidR="00975895" w:rsidRPr="0002642E">
        <w:rPr>
          <w:rStyle w:val="Characteritalic"/>
          <w:i w:val="0"/>
          <w:lang w:val="en-GB"/>
        </w:rPr>
        <w:t xml:space="preserve"> </w:t>
      </w:r>
      <w:r w:rsidRPr="0002642E">
        <w:rPr>
          <w:rStyle w:val="Characteritalic"/>
          <w:i w:val="0"/>
          <w:lang w:val="en-GB"/>
        </w:rPr>
        <w:t>the</w:t>
      </w:r>
      <w:r w:rsidR="00975895" w:rsidRPr="0002642E">
        <w:rPr>
          <w:rStyle w:val="Characteritalic"/>
          <w:i w:val="0"/>
          <w:lang w:val="en-GB"/>
        </w:rPr>
        <w:t xml:space="preserve"> </w:t>
      </w:r>
      <w:r w:rsidRPr="0002642E">
        <w:rPr>
          <w:rStyle w:val="Characteritalic"/>
          <w:i w:val="0"/>
          <w:lang w:val="en-GB"/>
        </w:rPr>
        <w:t>procedure</w:t>
      </w:r>
      <w:r w:rsidR="00975895" w:rsidRPr="0002642E">
        <w:rPr>
          <w:rStyle w:val="Characteritalic"/>
          <w:i w:val="0"/>
          <w:lang w:val="en-GB"/>
        </w:rPr>
        <w:t xml:space="preserve"> </w:t>
      </w:r>
      <w:r w:rsidRPr="0002642E">
        <w:rPr>
          <w:rStyle w:val="Characteritalic"/>
          <w:i w:val="0"/>
          <w:lang w:val="en-GB"/>
        </w:rPr>
        <w:t>is</w:t>
      </w:r>
      <w:r w:rsidR="00975895" w:rsidRPr="0002642E">
        <w:rPr>
          <w:rStyle w:val="Characteritalic"/>
          <w:i w:val="0"/>
          <w:lang w:val="en-GB"/>
        </w:rPr>
        <w:t xml:space="preserve"> </w:t>
      </w:r>
      <w:r w:rsidRPr="0002642E">
        <w:rPr>
          <w:rStyle w:val="Characteritalic"/>
          <w:i w:val="0"/>
          <w:lang w:val="en-GB"/>
        </w:rPr>
        <w:t>less</w:t>
      </w:r>
      <w:r w:rsidR="00975895" w:rsidRPr="0002642E">
        <w:rPr>
          <w:rStyle w:val="Characteritalic"/>
          <w:i w:val="0"/>
          <w:lang w:val="en-GB"/>
        </w:rPr>
        <w:t xml:space="preserve"> </w:t>
      </w:r>
      <w:r w:rsidRPr="0002642E">
        <w:rPr>
          <w:rStyle w:val="Characteritalic"/>
          <w:i w:val="0"/>
          <w:lang w:val="en-GB"/>
        </w:rPr>
        <w:lastRenderedPageBreak/>
        <w:t>disadvantageous</w:t>
      </w:r>
      <w:r w:rsidR="00975895" w:rsidRPr="0002642E">
        <w:rPr>
          <w:rStyle w:val="Characteritalic"/>
          <w:i w:val="0"/>
          <w:lang w:val="en-GB"/>
        </w:rPr>
        <w:t xml:space="preserve"> </w:t>
      </w:r>
      <w:r w:rsidRPr="0002642E">
        <w:rPr>
          <w:rStyle w:val="Characteritalic"/>
          <w:i w:val="0"/>
          <w:lang w:val="en-GB"/>
        </w:rPr>
        <w:t>for</w:t>
      </w:r>
      <w:r w:rsidR="00975895" w:rsidRPr="0002642E">
        <w:rPr>
          <w:rStyle w:val="Characteritalic"/>
          <w:i w:val="0"/>
          <w:lang w:val="en-GB"/>
        </w:rPr>
        <w:t xml:space="preserve"> </w:t>
      </w:r>
      <w:r w:rsidRPr="0002642E">
        <w:rPr>
          <w:rStyle w:val="Characteritalic"/>
          <w:i w:val="0"/>
          <w:lang w:val="en-GB"/>
        </w:rPr>
        <w:t>Aboriginal</w:t>
      </w:r>
      <w:r w:rsidR="00975895" w:rsidRPr="0002642E">
        <w:rPr>
          <w:rStyle w:val="Characteritalic"/>
          <w:i w:val="0"/>
          <w:lang w:val="en-GB"/>
        </w:rPr>
        <w:t xml:space="preserve"> </w:t>
      </w:r>
      <w:r w:rsidRPr="0002642E">
        <w:rPr>
          <w:rStyle w:val="Characteritalic"/>
          <w:i w:val="0"/>
          <w:lang w:val="en-GB"/>
        </w:rPr>
        <w:t>offenders</w:t>
      </w:r>
      <w:r w:rsidR="00975895" w:rsidRPr="0002642E">
        <w:rPr>
          <w:rStyle w:val="Characteritalic"/>
          <w:i w:val="0"/>
          <w:lang w:val="en-GB"/>
        </w:rPr>
        <w:t xml:space="preserve"> </w:t>
      </w:r>
      <w:r w:rsidRPr="0002642E">
        <w:rPr>
          <w:rStyle w:val="Characteritalic"/>
          <w:i w:val="0"/>
          <w:lang w:val="en-GB"/>
        </w:rPr>
        <w:t>and</w:t>
      </w:r>
      <w:r w:rsidR="00975895" w:rsidRPr="0002642E">
        <w:rPr>
          <w:rStyle w:val="Characteritalic"/>
          <w:i w:val="0"/>
          <w:lang w:val="en-GB"/>
        </w:rPr>
        <w:t xml:space="preserve"> </w:t>
      </w:r>
      <w:r w:rsidRPr="0002642E">
        <w:rPr>
          <w:rStyle w:val="Characteritalic"/>
          <w:i w:val="0"/>
          <w:lang w:val="en-GB"/>
        </w:rPr>
        <w:t>it</w:t>
      </w:r>
      <w:r w:rsidR="00975895" w:rsidRPr="0002642E">
        <w:rPr>
          <w:rStyle w:val="Characteritalic"/>
          <w:i w:val="0"/>
          <w:lang w:val="en-GB"/>
        </w:rPr>
        <w:t xml:space="preserve"> </w:t>
      </w:r>
      <w:r w:rsidRPr="0002642E">
        <w:rPr>
          <w:rStyle w:val="Characteritalic"/>
          <w:i w:val="0"/>
          <w:lang w:val="en-GB"/>
        </w:rPr>
        <w:t>seeks</w:t>
      </w:r>
      <w:r w:rsidR="00975895" w:rsidRPr="0002642E">
        <w:rPr>
          <w:rStyle w:val="Characteritalic"/>
          <w:i w:val="0"/>
          <w:lang w:val="en-GB"/>
        </w:rPr>
        <w:t xml:space="preserve"> </w:t>
      </w:r>
      <w:r w:rsidRPr="0002642E">
        <w:rPr>
          <w:rStyle w:val="Characteritalic"/>
          <w:i w:val="0"/>
          <w:lang w:val="en-GB"/>
        </w:rPr>
        <w:t>to</w:t>
      </w:r>
      <w:r w:rsidR="00975895" w:rsidRPr="0002642E">
        <w:rPr>
          <w:rStyle w:val="Characteritalic"/>
          <w:i w:val="0"/>
          <w:lang w:val="en-GB"/>
        </w:rPr>
        <w:t xml:space="preserve"> </w:t>
      </w:r>
      <w:r w:rsidRPr="0002642E">
        <w:rPr>
          <w:rStyle w:val="Characteritalic"/>
          <w:i w:val="0"/>
          <w:lang w:val="en-GB"/>
        </w:rPr>
        <w:t>protect</w:t>
      </w:r>
      <w:r w:rsidR="00975895" w:rsidRPr="0002642E">
        <w:rPr>
          <w:rStyle w:val="Characteritalic"/>
          <w:i w:val="0"/>
          <w:lang w:val="en-GB"/>
        </w:rPr>
        <w:t xml:space="preserve"> </w:t>
      </w:r>
      <w:r w:rsidRPr="0002642E">
        <w:rPr>
          <w:rStyle w:val="Characteritalic"/>
          <w:i w:val="0"/>
          <w:lang w:val="en-GB"/>
        </w:rPr>
        <w:t>against</w:t>
      </w:r>
      <w:r w:rsidR="00975895" w:rsidRPr="0002642E">
        <w:rPr>
          <w:rStyle w:val="Characteritalic"/>
          <w:i w:val="0"/>
          <w:lang w:val="en-GB"/>
        </w:rPr>
        <w:t xml:space="preserve"> </w:t>
      </w:r>
      <w:r w:rsidRPr="0002642E">
        <w:rPr>
          <w:rStyle w:val="Characteritalic"/>
          <w:i w:val="0"/>
          <w:lang w:val="en-GB"/>
        </w:rPr>
        <w:t>indirect</w:t>
      </w:r>
      <w:r w:rsidR="00975895" w:rsidRPr="0002642E">
        <w:rPr>
          <w:rStyle w:val="Characteritalic"/>
          <w:i w:val="0"/>
          <w:lang w:val="en-GB"/>
        </w:rPr>
        <w:t xml:space="preserve"> </w:t>
      </w:r>
      <w:r w:rsidRPr="0002642E">
        <w:rPr>
          <w:rStyle w:val="Characteritalic"/>
          <w:i w:val="0"/>
          <w:lang w:val="en-GB"/>
        </w:rPr>
        <w:t>discrimination</w:t>
      </w:r>
      <w:r w:rsidR="00975895" w:rsidRPr="0002642E">
        <w:rPr>
          <w:rStyle w:val="Characteritalic"/>
          <w:i w:val="0"/>
          <w:lang w:val="en-GB"/>
        </w:rPr>
        <w:t xml:space="preserve"> </w:t>
      </w:r>
      <w:r w:rsidRPr="0002642E">
        <w:rPr>
          <w:rStyle w:val="Characteritalic"/>
          <w:i w:val="0"/>
          <w:lang w:val="en-GB"/>
        </w:rPr>
        <w:t>on</w:t>
      </w:r>
      <w:r w:rsidR="00975895" w:rsidRPr="0002642E">
        <w:rPr>
          <w:rStyle w:val="Characteritalic"/>
          <w:i w:val="0"/>
          <w:lang w:val="en-GB"/>
        </w:rPr>
        <w:t xml:space="preserve"> </w:t>
      </w:r>
      <w:r w:rsidRPr="0002642E">
        <w:rPr>
          <w:rStyle w:val="Characteritalic"/>
          <w:i w:val="0"/>
          <w:lang w:val="en-GB"/>
        </w:rPr>
        <w:t>the</w:t>
      </w:r>
      <w:r w:rsidR="00975895" w:rsidRPr="0002642E">
        <w:rPr>
          <w:rStyle w:val="Characteritalic"/>
          <w:i w:val="0"/>
          <w:lang w:val="en-GB"/>
        </w:rPr>
        <w:t xml:space="preserve"> </w:t>
      </w:r>
      <w:r w:rsidRPr="0002642E">
        <w:rPr>
          <w:rStyle w:val="Characteritalic"/>
          <w:i w:val="0"/>
          <w:lang w:val="en-GB"/>
        </w:rPr>
        <w:t>basis</w:t>
      </w:r>
      <w:r w:rsidR="00975895" w:rsidRPr="0002642E">
        <w:rPr>
          <w:rStyle w:val="Characteritalic"/>
          <w:i w:val="0"/>
          <w:lang w:val="en-GB"/>
        </w:rPr>
        <w:t xml:space="preserve"> </w:t>
      </w:r>
      <w:r w:rsidRPr="0002642E">
        <w:rPr>
          <w:rStyle w:val="Characteritalic"/>
          <w:i w:val="0"/>
          <w:lang w:val="en-GB"/>
        </w:rPr>
        <w:t>of</w:t>
      </w:r>
      <w:r w:rsidR="00975895" w:rsidRPr="0002642E">
        <w:rPr>
          <w:rStyle w:val="Characteritalic"/>
          <w:i w:val="0"/>
          <w:lang w:val="en-GB"/>
        </w:rPr>
        <w:t xml:space="preserve"> </w:t>
      </w:r>
      <w:r w:rsidRPr="0002642E">
        <w:rPr>
          <w:rStyle w:val="Characteritalic"/>
          <w:i w:val="0"/>
          <w:lang w:val="en-GB"/>
        </w:rPr>
        <w:t>race.</w:t>
      </w:r>
      <w:r w:rsidR="00975895" w:rsidRPr="0002642E">
        <w:rPr>
          <w:rStyle w:val="Characteritalic"/>
          <w:i w:val="0"/>
          <w:lang w:val="en-GB"/>
        </w:rPr>
        <w:t xml:space="preserve"> </w:t>
      </w:r>
      <w:r w:rsidRPr="0002642E">
        <w:rPr>
          <w:rStyle w:val="Characteritalic"/>
          <w:i w:val="0"/>
          <w:lang w:val="en-GB"/>
        </w:rPr>
        <w:t>It</w:t>
      </w:r>
      <w:r w:rsidR="00975895" w:rsidRPr="0002642E">
        <w:rPr>
          <w:rStyle w:val="Characteritalic"/>
          <w:i w:val="0"/>
          <w:lang w:val="en-GB"/>
        </w:rPr>
        <w:t xml:space="preserve"> </w:t>
      </w:r>
      <w:r w:rsidRPr="0002642E">
        <w:rPr>
          <w:rStyle w:val="Characteritalic"/>
          <w:i w:val="0"/>
          <w:lang w:val="en-GB"/>
        </w:rPr>
        <w:t>is</w:t>
      </w:r>
      <w:r w:rsidR="00975895" w:rsidRPr="0002642E">
        <w:rPr>
          <w:rStyle w:val="Characteritalic"/>
          <w:i w:val="0"/>
          <w:lang w:val="en-GB"/>
        </w:rPr>
        <w:t xml:space="preserve"> </w:t>
      </w:r>
      <w:r w:rsidRPr="0002642E">
        <w:rPr>
          <w:rStyle w:val="Characteritalic"/>
          <w:i w:val="0"/>
          <w:lang w:val="en-GB"/>
        </w:rPr>
        <w:t>a</w:t>
      </w:r>
      <w:r w:rsidR="00975895" w:rsidRPr="0002642E">
        <w:rPr>
          <w:rStyle w:val="Characteritalic"/>
          <w:i w:val="0"/>
          <w:lang w:val="en-GB"/>
        </w:rPr>
        <w:t xml:space="preserve"> </w:t>
      </w:r>
      <w:r w:rsidRPr="0002642E">
        <w:rPr>
          <w:rStyle w:val="Characteritalic"/>
          <w:i w:val="0"/>
          <w:lang w:val="en-GB"/>
        </w:rPr>
        <w:t>means</w:t>
      </w:r>
      <w:r w:rsidR="00975895" w:rsidRPr="0002642E">
        <w:rPr>
          <w:rStyle w:val="Characteritalic"/>
          <w:i w:val="0"/>
          <w:lang w:val="en-GB"/>
        </w:rPr>
        <w:t xml:space="preserve"> </w:t>
      </w:r>
      <w:r w:rsidRPr="0002642E">
        <w:rPr>
          <w:rStyle w:val="Characteritalic"/>
          <w:i w:val="0"/>
          <w:lang w:val="en-GB"/>
        </w:rPr>
        <w:t>through</w:t>
      </w:r>
      <w:r w:rsidR="00975895" w:rsidRPr="0002642E">
        <w:rPr>
          <w:rStyle w:val="Characteritalic"/>
          <w:i w:val="0"/>
          <w:lang w:val="en-GB"/>
        </w:rPr>
        <w:t xml:space="preserve"> </w:t>
      </w:r>
      <w:r w:rsidRPr="0002642E">
        <w:rPr>
          <w:rStyle w:val="Characteritalic"/>
          <w:i w:val="0"/>
          <w:lang w:val="en-GB"/>
        </w:rPr>
        <w:t>which</w:t>
      </w:r>
      <w:r w:rsidR="00975895" w:rsidRPr="0002642E">
        <w:rPr>
          <w:rStyle w:val="Characteritalic"/>
          <w:i w:val="0"/>
          <w:lang w:val="en-GB"/>
        </w:rPr>
        <w:t xml:space="preserve"> </w:t>
      </w:r>
      <w:r w:rsidRPr="0002642E">
        <w:rPr>
          <w:rStyle w:val="Characteritalic"/>
          <w:i w:val="0"/>
          <w:lang w:val="en-GB"/>
        </w:rPr>
        <w:t>systemic</w:t>
      </w:r>
      <w:r w:rsidR="00975895" w:rsidRPr="0002642E">
        <w:rPr>
          <w:rStyle w:val="Characteritalic"/>
          <w:i w:val="0"/>
          <w:lang w:val="en-GB"/>
        </w:rPr>
        <w:t xml:space="preserve"> </w:t>
      </w:r>
      <w:r w:rsidRPr="0002642E">
        <w:rPr>
          <w:rStyle w:val="Characteritalic"/>
          <w:i w:val="0"/>
          <w:lang w:val="en-GB"/>
        </w:rPr>
        <w:t>disadvantage</w:t>
      </w:r>
      <w:r w:rsidR="00975895" w:rsidRPr="0002642E">
        <w:rPr>
          <w:rStyle w:val="Characteritalic"/>
          <w:i w:val="0"/>
          <w:lang w:val="en-GB"/>
        </w:rPr>
        <w:t xml:space="preserve"> </w:t>
      </w:r>
      <w:r w:rsidRPr="0002642E">
        <w:rPr>
          <w:rStyle w:val="Characteritalic"/>
          <w:i w:val="0"/>
          <w:lang w:val="en-GB"/>
        </w:rPr>
        <w:t>in</w:t>
      </w:r>
      <w:r w:rsidR="00975895" w:rsidRPr="0002642E">
        <w:rPr>
          <w:rStyle w:val="Characteritalic"/>
          <w:i w:val="0"/>
          <w:lang w:val="en-GB"/>
        </w:rPr>
        <w:t xml:space="preserve"> </w:t>
      </w:r>
      <w:r w:rsidRPr="0002642E">
        <w:rPr>
          <w:rStyle w:val="Characteritalic"/>
          <w:i w:val="0"/>
          <w:lang w:val="en-GB"/>
        </w:rPr>
        <w:t>the</w:t>
      </w:r>
      <w:r w:rsidR="00975895" w:rsidRPr="0002642E">
        <w:rPr>
          <w:rStyle w:val="Characteritalic"/>
          <w:i w:val="0"/>
          <w:lang w:val="en-GB"/>
        </w:rPr>
        <w:t xml:space="preserve"> </w:t>
      </w:r>
      <w:r w:rsidRPr="0002642E">
        <w:rPr>
          <w:rStyle w:val="Characteritalic"/>
          <w:i w:val="0"/>
          <w:lang w:val="en-GB"/>
        </w:rPr>
        <w:t>justice</w:t>
      </w:r>
      <w:r w:rsidR="00975895" w:rsidRPr="0002642E">
        <w:rPr>
          <w:rStyle w:val="Characteritalic"/>
          <w:i w:val="0"/>
          <w:lang w:val="en-GB"/>
        </w:rPr>
        <w:t xml:space="preserve"> </w:t>
      </w:r>
      <w:r w:rsidRPr="0002642E">
        <w:rPr>
          <w:rStyle w:val="Characteritalic"/>
          <w:i w:val="0"/>
          <w:lang w:val="en-GB"/>
        </w:rPr>
        <w:t>system</w:t>
      </w:r>
      <w:r w:rsidR="00975895" w:rsidRPr="0002642E">
        <w:rPr>
          <w:rStyle w:val="Characteritalic"/>
          <w:i w:val="0"/>
          <w:lang w:val="en-GB"/>
        </w:rPr>
        <w:t xml:space="preserve"> </w:t>
      </w:r>
      <w:r w:rsidRPr="0002642E">
        <w:rPr>
          <w:rStyle w:val="Characteritalic"/>
          <w:i w:val="0"/>
          <w:lang w:val="en-GB"/>
        </w:rPr>
        <w:t>is</w:t>
      </w:r>
      <w:r w:rsidR="00975895" w:rsidRPr="0002642E">
        <w:rPr>
          <w:rStyle w:val="Characteritalic"/>
          <w:i w:val="0"/>
          <w:lang w:val="en-GB"/>
        </w:rPr>
        <w:t xml:space="preserve"> </w:t>
      </w:r>
      <w:r w:rsidRPr="0002642E">
        <w:rPr>
          <w:rStyle w:val="Characteritalic"/>
          <w:i w:val="0"/>
          <w:lang w:val="en-GB"/>
        </w:rPr>
        <w:t>mitigated</w:t>
      </w:r>
      <w:r w:rsidR="00975895" w:rsidRPr="0002642E">
        <w:rPr>
          <w:rStyle w:val="Characteritalic"/>
          <w:i w:val="0"/>
          <w:lang w:val="en-GB"/>
        </w:rPr>
        <w:t xml:space="preserve"> </w:t>
      </w:r>
      <w:r w:rsidRPr="0002642E">
        <w:rPr>
          <w:rStyle w:val="Characteritalic"/>
          <w:i w:val="0"/>
          <w:lang w:val="en-GB"/>
        </w:rPr>
        <w:t>in</w:t>
      </w:r>
      <w:r w:rsidR="00975895" w:rsidRPr="0002642E">
        <w:rPr>
          <w:rStyle w:val="Characteritalic"/>
          <w:i w:val="0"/>
          <w:lang w:val="en-GB"/>
        </w:rPr>
        <w:t xml:space="preserve"> </w:t>
      </w:r>
      <w:r w:rsidRPr="0002642E">
        <w:rPr>
          <w:rStyle w:val="Characteritalic"/>
          <w:i w:val="0"/>
          <w:lang w:val="en-GB"/>
        </w:rPr>
        <w:t>pursuance</w:t>
      </w:r>
      <w:r w:rsidR="00975895" w:rsidRPr="0002642E">
        <w:rPr>
          <w:rStyle w:val="Characteritalic"/>
          <w:i w:val="0"/>
          <w:lang w:val="en-GB"/>
        </w:rPr>
        <w:t xml:space="preserve"> </w:t>
      </w:r>
      <w:r w:rsidRPr="0002642E">
        <w:rPr>
          <w:rStyle w:val="Characteritalic"/>
          <w:i w:val="0"/>
          <w:lang w:val="en-GB"/>
        </w:rPr>
        <w:t>of</w:t>
      </w:r>
      <w:r w:rsidR="00975895" w:rsidRPr="0002642E">
        <w:rPr>
          <w:rStyle w:val="Characteritalic"/>
          <w:i w:val="0"/>
          <w:lang w:val="en-GB"/>
        </w:rPr>
        <w:t xml:space="preserve"> </w:t>
      </w:r>
      <w:r w:rsidRPr="0002642E">
        <w:rPr>
          <w:rStyle w:val="Characteritalic"/>
          <w:i w:val="0"/>
          <w:lang w:val="en-GB"/>
        </w:rPr>
        <w:t>the</w:t>
      </w:r>
      <w:r w:rsidR="00975895" w:rsidRPr="0002642E">
        <w:rPr>
          <w:rStyle w:val="Characteritalic"/>
          <w:i w:val="0"/>
          <w:lang w:val="en-GB"/>
        </w:rPr>
        <w:t xml:space="preserve"> </w:t>
      </w:r>
      <w:r w:rsidRPr="0002642E">
        <w:rPr>
          <w:rStyle w:val="Characteritalic"/>
          <w:i w:val="0"/>
          <w:lang w:val="en-GB"/>
        </w:rPr>
        <w:t>section</w:t>
      </w:r>
      <w:r w:rsidR="00975895" w:rsidRPr="0002642E">
        <w:rPr>
          <w:rStyle w:val="Characteritalic"/>
          <w:i w:val="0"/>
          <w:lang w:val="en-GB"/>
        </w:rPr>
        <w:t xml:space="preserve"> </w:t>
      </w:r>
      <w:r w:rsidRPr="0002642E">
        <w:rPr>
          <w:rStyle w:val="Characteritalic"/>
          <w:i w:val="0"/>
          <w:lang w:val="en-GB"/>
        </w:rPr>
        <w:t>8(3)</w:t>
      </w:r>
      <w:r w:rsidR="00975895" w:rsidRPr="0002642E">
        <w:rPr>
          <w:rStyle w:val="Characteritalic"/>
          <w:i w:val="0"/>
          <w:lang w:val="en-GB"/>
        </w:rPr>
        <w:t xml:space="preserve"> </w:t>
      </w:r>
      <w:r w:rsidRPr="0002642E">
        <w:rPr>
          <w:rStyle w:val="Characteritalic"/>
          <w:i w:val="0"/>
          <w:lang w:val="en-GB"/>
        </w:rPr>
        <w:t>Charter</w:t>
      </w:r>
      <w:r w:rsidR="00975895" w:rsidRPr="0002642E">
        <w:rPr>
          <w:rStyle w:val="Characteritalic"/>
          <w:i w:val="0"/>
          <w:lang w:val="en-GB"/>
        </w:rPr>
        <w:t xml:space="preserve"> </w:t>
      </w:r>
      <w:r w:rsidRPr="0002642E">
        <w:rPr>
          <w:rStyle w:val="Characteritalic"/>
          <w:i w:val="0"/>
          <w:lang w:val="en-GB"/>
        </w:rPr>
        <w:t>right.</w:t>
      </w:r>
    </w:p>
    <w:p w14:paraId="769E2C40" w14:textId="25071CF2" w:rsidR="00E35A1E" w:rsidRPr="0002642E" w:rsidRDefault="008E0945" w:rsidP="0002642E">
      <w:pPr>
        <w:rPr>
          <w:rFonts w:ascii="Calibri Light" w:hAnsi="Calibri Light"/>
          <w:spacing w:val="-10"/>
          <w:kern w:val="28"/>
          <w:sz w:val="56"/>
        </w:rPr>
      </w:pPr>
      <w:r w:rsidRPr="003015FD">
        <w:t>The</w:t>
      </w:r>
      <w:r w:rsidR="00975895" w:rsidRPr="003015FD">
        <w:t xml:space="preserve"> </w:t>
      </w:r>
      <w:r w:rsidRPr="003015FD">
        <w:t>Supreme</w:t>
      </w:r>
      <w:r w:rsidR="00975895" w:rsidRPr="003015FD">
        <w:t xml:space="preserve"> </w:t>
      </w:r>
      <w:r w:rsidRPr="003015FD">
        <w:t>Court</w:t>
      </w:r>
      <w:r w:rsidR="000C5726">
        <w:t>'</w:t>
      </w:r>
      <w:r w:rsidRPr="003015FD">
        <w:t>s</w:t>
      </w:r>
      <w:r w:rsidR="00975895" w:rsidRPr="003015FD">
        <w:t xml:space="preserve"> </w:t>
      </w:r>
      <w:r w:rsidRPr="003015FD">
        <w:t>decision</w:t>
      </w:r>
      <w:r w:rsidR="00975895" w:rsidRPr="003015FD">
        <w:t xml:space="preserve"> </w:t>
      </w:r>
      <w:r w:rsidRPr="003015FD">
        <w:t>has</w:t>
      </w:r>
      <w:r w:rsidR="00975895" w:rsidRPr="003015FD">
        <w:t xml:space="preserve"> </w:t>
      </w:r>
      <w:r w:rsidRPr="003015FD">
        <w:t>the</w:t>
      </w:r>
      <w:r w:rsidR="00975895" w:rsidRPr="003015FD">
        <w:t xml:space="preserve"> </w:t>
      </w:r>
      <w:r w:rsidRPr="003015FD">
        <w:t>potential</w:t>
      </w:r>
      <w:r w:rsidR="00975895" w:rsidRPr="003015FD">
        <w:t xml:space="preserve"> </w:t>
      </w:r>
      <w:r w:rsidRPr="003015FD">
        <w:t>to</w:t>
      </w:r>
      <w:r w:rsidR="00975895" w:rsidRPr="003015FD">
        <w:t xml:space="preserve"> </w:t>
      </w:r>
      <w:r w:rsidRPr="003015FD">
        <w:t>increase</w:t>
      </w:r>
      <w:r w:rsidR="00975895" w:rsidRPr="003015FD">
        <w:t xml:space="preserve"> </w:t>
      </w:r>
      <w:r w:rsidRPr="003015FD">
        <w:t>access</w:t>
      </w:r>
      <w:r w:rsidR="00975895" w:rsidRPr="003015FD">
        <w:t xml:space="preserve"> </w:t>
      </w:r>
      <w:r w:rsidRPr="003015FD">
        <w:t>to</w:t>
      </w:r>
      <w:r w:rsidR="00975895" w:rsidRPr="003015FD">
        <w:t xml:space="preserve"> </w:t>
      </w:r>
      <w:r w:rsidRPr="003015FD">
        <w:t>the</w:t>
      </w:r>
      <w:r w:rsidR="00975895" w:rsidRPr="003015FD">
        <w:t xml:space="preserve"> </w:t>
      </w:r>
      <w:r w:rsidRPr="003015FD">
        <w:t>Koori</w:t>
      </w:r>
      <w:r w:rsidR="00975895" w:rsidRPr="003015FD">
        <w:t xml:space="preserve"> </w:t>
      </w:r>
      <w:r w:rsidRPr="003015FD">
        <w:t>Court</w:t>
      </w:r>
      <w:r w:rsidR="00975895" w:rsidRPr="003015FD">
        <w:t xml:space="preserve"> </w:t>
      </w:r>
      <w:r w:rsidRPr="003015FD">
        <w:t>for</w:t>
      </w:r>
      <w:r w:rsidR="00975895" w:rsidRPr="003015FD">
        <w:t xml:space="preserve"> </w:t>
      </w:r>
      <w:r w:rsidRPr="003015FD">
        <w:t>Aboriginal</w:t>
      </w:r>
      <w:r w:rsidR="00975895" w:rsidRPr="003015FD">
        <w:t xml:space="preserve"> </w:t>
      </w:r>
      <w:r w:rsidRPr="003015FD">
        <w:t>Victorians.</w:t>
      </w:r>
      <w:r w:rsidR="00975895" w:rsidRPr="003015FD">
        <w:t xml:space="preserve"> </w:t>
      </w:r>
      <w:r w:rsidRPr="003015FD">
        <w:t>Access</w:t>
      </w:r>
      <w:r w:rsidR="00975895" w:rsidRPr="003015FD">
        <w:t xml:space="preserve"> </w:t>
      </w:r>
      <w:r w:rsidRPr="003015FD">
        <w:t>to</w:t>
      </w:r>
      <w:r w:rsidR="00975895" w:rsidRPr="003015FD">
        <w:t xml:space="preserve"> </w:t>
      </w:r>
      <w:r w:rsidRPr="003015FD">
        <w:t>the</w:t>
      </w:r>
      <w:r w:rsidR="00975895" w:rsidRPr="003015FD">
        <w:t xml:space="preserve"> </w:t>
      </w:r>
      <w:r w:rsidRPr="003015FD">
        <w:t>Koori</w:t>
      </w:r>
      <w:r w:rsidR="00975895" w:rsidRPr="003015FD">
        <w:t xml:space="preserve"> </w:t>
      </w:r>
      <w:r w:rsidRPr="003015FD">
        <w:t>Courts</w:t>
      </w:r>
      <w:r w:rsidR="00975895" w:rsidRPr="003015FD">
        <w:t xml:space="preserve"> </w:t>
      </w:r>
      <w:r w:rsidRPr="003015FD">
        <w:t>allows</w:t>
      </w:r>
      <w:r w:rsidR="00975895" w:rsidRPr="003015FD">
        <w:t xml:space="preserve"> </w:t>
      </w:r>
      <w:r w:rsidRPr="003015FD">
        <w:t>Aboriginal</w:t>
      </w:r>
      <w:r w:rsidR="00975895" w:rsidRPr="003015FD">
        <w:t xml:space="preserve"> </w:t>
      </w:r>
      <w:r w:rsidRPr="003015FD">
        <w:t>people</w:t>
      </w:r>
      <w:r w:rsidR="00975895" w:rsidRPr="003015FD">
        <w:t xml:space="preserve"> </w:t>
      </w:r>
      <w:r w:rsidRPr="003015FD">
        <w:t>to</w:t>
      </w:r>
      <w:r w:rsidR="00975895" w:rsidRPr="003015FD">
        <w:t xml:space="preserve"> </w:t>
      </w:r>
      <w:r w:rsidRPr="003015FD">
        <w:t>have</w:t>
      </w:r>
      <w:r w:rsidR="00975895" w:rsidRPr="003015FD">
        <w:t xml:space="preserve"> </w:t>
      </w:r>
      <w:r w:rsidRPr="003015FD">
        <w:t>their</w:t>
      </w:r>
      <w:r w:rsidR="00975895" w:rsidRPr="003015FD">
        <w:t xml:space="preserve"> </w:t>
      </w:r>
      <w:r w:rsidRPr="003015FD">
        <w:t>matters</w:t>
      </w:r>
      <w:r w:rsidR="00975895" w:rsidRPr="003015FD">
        <w:t xml:space="preserve"> </w:t>
      </w:r>
      <w:r w:rsidRPr="003015FD">
        <w:t>heard</w:t>
      </w:r>
      <w:r w:rsidR="00975895" w:rsidRPr="003015FD">
        <w:t xml:space="preserve"> </w:t>
      </w:r>
      <w:r w:rsidRPr="003015FD">
        <w:t>in</w:t>
      </w:r>
      <w:r w:rsidR="00975895" w:rsidRPr="003015FD">
        <w:t xml:space="preserve"> </w:t>
      </w:r>
      <w:r w:rsidRPr="003015FD">
        <w:t>a</w:t>
      </w:r>
      <w:r w:rsidR="00975895" w:rsidRPr="003015FD">
        <w:t xml:space="preserve"> </w:t>
      </w:r>
      <w:r w:rsidRPr="003015FD">
        <w:t>culturally</w:t>
      </w:r>
      <w:r w:rsidR="00975895" w:rsidRPr="003015FD">
        <w:t xml:space="preserve"> </w:t>
      </w:r>
      <w:r w:rsidRPr="003015FD">
        <w:t>appropriate</w:t>
      </w:r>
      <w:r w:rsidR="00975895" w:rsidRPr="003015FD">
        <w:t xml:space="preserve"> </w:t>
      </w:r>
      <w:r w:rsidRPr="003015FD">
        <w:t>forum</w:t>
      </w:r>
      <w:r w:rsidR="00975895" w:rsidRPr="003015FD">
        <w:t xml:space="preserve"> </w:t>
      </w:r>
      <w:r w:rsidRPr="003015FD">
        <w:t>that</w:t>
      </w:r>
      <w:r w:rsidR="00975895" w:rsidRPr="003015FD">
        <w:t xml:space="preserve"> </w:t>
      </w:r>
      <w:r w:rsidRPr="003015FD">
        <w:t>incorporates</w:t>
      </w:r>
      <w:r w:rsidR="00975895" w:rsidRPr="003015FD">
        <w:t xml:space="preserve"> </w:t>
      </w:r>
      <w:r w:rsidRPr="003015FD">
        <w:t>traditional</w:t>
      </w:r>
      <w:r w:rsidR="00975895" w:rsidRPr="003015FD">
        <w:t xml:space="preserve"> </w:t>
      </w:r>
      <w:r w:rsidRPr="003015FD">
        <w:t>Aboriginal</w:t>
      </w:r>
      <w:r w:rsidR="00975895" w:rsidRPr="003015FD">
        <w:t xml:space="preserve"> </w:t>
      </w:r>
      <w:r w:rsidRPr="003015FD">
        <w:t>beliefs</w:t>
      </w:r>
      <w:r w:rsidR="00975895" w:rsidRPr="003015FD">
        <w:t xml:space="preserve"> </w:t>
      </w:r>
      <w:r w:rsidRPr="003015FD">
        <w:t>and</w:t>
      </w:r>
      <w:r w:rsidR="00975895" w:rsidRPr="003015FD">
        <w:t xml:space="preserve"> </w:t>
      </w:r>
      <w:r w:rsidRPr="003015FD">
        <w:t>practices.</w:t>
      </w:r>
      <w:r w:rsidR="00975895" w:rsidRPr="003015FD">
        <w:t xml:space="preserve"> </w:t>
      </w:r>
      <w:r w:rsidRPr="003015FD">
        <w:t>This</w:t>
      </w:r>
      <w:r w:rsidR="00975895" w:rsidRPr="003015FD">
        <w:t xml:space="preserve"> </w:t>
      </w:r>
      <w:r w:rsidRPr="003015FD">
        <w:t>demonstrates</w:t>
      </w:r>
      <w:r w:rsidR="00975895" w:rsidRPr="003015FD">
        <w:t xml:space="preserve"> </w:t>
      </w:r>
      <w:r w:rsidRPr="003015FD">
        <w:t>the</w:t>
      </w:r>
      <w:r w:rsidR="00975895" w:rsidRPr="003015FD">
        <w:t xml:space="preserve"> </w:t>
      </w:r>
      <w:r w:rsidRPr="003015FD">
        <w:t>capacity</w:t>
      </w:r>
      <w:r w:rsidR="00975895" w:rsidRPr="003015FD">
        <w:t xml:space="preserve"> </w:t>
      </w:r>
      <w:r w:rsidRPr="003015FD">
        <w:t>and</w:t>
      </w:r>
      <w:r w:rsidR="00975895" w:rsidRPr="003015FD">
        <w:t xml:space="preserve"> </w:t>
      </w:r>
      <w:r w:rsidRPr="003015FD">
        <w:t>effectiveness</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to</w:t>
      </w:r>
      <w:r w:rsidR="00975895" w:rsidRPr="003015FD">
        <w:t xml:space="preserve"> </w:t>
      </w:r>
      <w:r w:rsidRPr="003015FD">
        <w:t>be</w:t>
      </w:r>
      <w:r w:rsidR="00975895" w:rsidRPr="003015FD">
        <w:t xml:space="preserve"> </w:t>
      </w:r>
      <w:r w:rsidRPr="003015FD">
        <w:t>used</w:t>
      </w:r>
      <w:r w:rsidR="00975895" w:rsidRPr="003015FD">
        <w:t xml:space="preserve"> </w:t>
      </w:r>
      <w:r w:rsidRPr="003015FD">
        <w:t>alongside</w:t>
      </w:r>
      <w:r w:rsidR="00975895" w:rsidRPr="003015FD">
        <w:t xml:space="preserve"> </w:t>
      </w:r>
      <w:r w:rsidRPr="003015FD">
        <w:t>the</w:t>
      </w:r>
      <w:r w:rsidR="00975895" w:rsidRPr="003015FD">
        <w:t xml:space="preserve"> </w:t>
      </w:r>
      <w:r w:rsidRPr="003015FD">
        <w:t>Koori</w:t>
      </w:r>
      <w:r w:rsidR="00975895" w:rsidRPr="003015FD">
        <w:t xml:space="preserve"> </w:t>
      </w:r>
      <w:r w:rsidRPr="003015FD">
        <w:t>Court</w:t>
      </w:r>
      <w:r w:rsidR="00975895" w:rsidRPr="003015FD">
        <w:t xml:space="preserve"> </w:t>
      </w:r>
      <w:r w:rsidRPr="003015FD">
        <w:t>legislation</w:t>
      </w:r>
      <w:r w:rsidR="00975895" w:rsidRPr="003015FD">
        <w:t xml:space="preserve"> </w:t>
      </w:r>
      <w:r w:rsidRPr="003015FD">
        <w:t>as</w:t>
      </w:r>
      <w:r w:rsidR="00975895" w:rsidRPr="003015FD">
        <w:t xml:space="preserve"> </w:t>
      </w:r>
      <w:r w:rsidRPr="003015FD">
        <w:t>a</w:t>
      </w:r>
      <w:r w:rsidR="00975895" w:rsidRPr="003015FD">
        <w:t xml:space="preserve"> </w:t>
      </w:r>
      <w:r w:rsidRPr="003015FD">
        <w:t>tool</w:t>
      </w:r>
      <w:r w:rsidR="00975895" w:rsidRPr="003015FD">
        <w:t xml:space="preserve"> </w:t>
      </w:r>
      <w:r w:rsidRPr="003015FD">
        <w:t>in</w:t>
      </w:r>
      <w:r w:rsidR="00975895" w:rsidRPr="003015FD">
        <w:t xml:space="preserve"> </w:t>
      </w:r>
      <w:r w:rsidRPr="003015FD">
        <w:t>helping</w:t>
      </w:r>
      <w:r w:rsidR="00975895" w:rsidRPr="003015FD">
        <w:t xml:space="preserve"> </w:t>
      </w:r>
      <w:r w:rsidRPr="003015FD">
        <w:t>reduce</w:t>
      </w:r>
      <w:r w:rsidR="00975895" w:rsidRPr="003015FD">
        <w:t xml:space="preserve"> </w:t>
      </w:r>
      <w:r w:rsidRPr="003015FD">
        <w:t>over-representation</w:t>
      </w:r>
      <w:r w:rsidR="00975895" w:rsidRPr="003015FD">
        <w:t xml:space="preserve"> </w:t>
      </w:r>
      <w:r w:rsidRPr="003015FD">
        <w:t>of</w:t>
      </w:r>
      <w:r w:rsidR="00975895" w:rsidRPr="003015FD">
        <w:t xml:space="preserve"> </w:t>
      </w:r>
      <w:r w:rsidRPr="003015FD">
        <w:t>Aboriginal</w:t>
      </w:r>
      <w:r w:rsidR="00975895" w:rsidRPr="003015FD">
        <w:t xml:space="preserve"> </w:t>
      </w:r>
      <w:r w:rsidRPr="003015FD">
        <w:t>people</w:t>
      </w:r>
      <w:r w:rsidR="00975895" w:rsidRPr="003015FD">
        <w:t xml:space="preserve"> </w:t>
      </w:r>
      <w:r w:rsidRPr="003015FD">
        <w:t>in</w:t>
      </w:r>
      <w:r w:rsidR="00975895" w:rsidRPr="003015FD">
        <w:t xml:space="preserve"> </w:t>
      </w:r>
      <w:r w:rsidRPr="003015FD">
        <w:t>Victorian</w:t>
      </w:r>
      <w:r w:rsidR="00975895" w:rsidRPr="003015FD">
        <w:t xml:space="preserve"> </w:t>
      </w:r>
      <w:r w:rsidRPr="003015FD">
        <w:t>prisons.</w:t>
      </w:r>
      <w:bookmarkStart w:id="112" w:name="_Toc534640676"/>
      <w:r w:rsidR="00E35A1E" w:rsidRPr="003015FD">
        <w:br w:type="page"/>
      </w:r>
    </w:p>
    <w:p w14:paraId="32AA3D6A" w14:textId="7B31928F" w:rsidR="008E0945" w:rsidRPr="003015FD" w:rsidRDefault="008E0945" w:rsidP="0002642E">
      <w:pPr>
        <w:pStyle w:val="Heading1"/>
        <w:numPr>
          <w:ilvl w:val="0"/>
          <w:numId w:val="53"/>
        </w:numPr>
        <w:ind w:left="567" w:hanging="567"/>
      </w:pPr>
      <w:bookmarkStart w:id="113" w:name="_Toc15656277"/>
      <w:bookmarkStart w:id="114" w:name="_Toc22011543"/>
      <w:r w:rsidRPr="003015FD">
        <w:lastRenderedPageBreak/>
        <w:t>2</w:t>
      </w:r>
      <w:bookmarkEnd w:id="112"/>
      <w:r w:rsidRPr="003015FD">
        <w:t>015</w:t>
      </w:r>
      <w:r w:rsidR="00975895" w:rsidRPr="003015FD">
        <w:t xml:space="preserve"> </w:t>
      </w:r>
      <w:r w:rsidRPr="003015FD">
        <w:t>Review</w:t>
      </w:r>
      <w:r w:rsidR="00975895" w:rsidRPr="003015FD">
        <w:t xml:space="preserve"> </w:t>
      </w:r>
      <w:r w:rsidRPr="003015FD">
        <w:t>recommendations</w:t>
      </w:r>
      <w:r w:rsidR="00975895" w:rsidRPr="003015FD">
        <w:t xml:space="preserve"> </w:t>
      </w:r>
      <w:r w:rsidRPr="003015FD">
        <w:t>–</w:t>
      </w:r>
      <w:r w:rsidR="00975895" w:rsidRPr="003015FD">
        <w:t xml:space="preserve"> </w:t>
      </w:r>
      <w:r w:rsidRPr="003015FD">
        <w:t>implementation</w:t>
      </w:r>
      <w:r w:rsidR="00975895" w:rsidRPr="003015FD">
        <w:t xml:space="preserve"> </w:t>
      </w:r>
      <w:r w:rsidRPr="003015FD">
        <w:t>progress</w:t>
      </w:r>
      <w:bookmarkEnd w:id="113"/>
      <w:bookmarkEnd w:id="114"/>
    </w:p>
    <w:p w14:paraId="4802D0BE" w14:textId="37D07BC0" w:rsidR="008E0945" w:rsidRPr="003015FD" w:rsidRDefault="005976DA" w:rsidP="0002642E">
      <w:pPr>
        <w:pStyle w:val="Heading2"/>
      </w:pPr>
      <w:bookmarkStart w:id="115" w:name="_Toc15045131"/>
      <w:bookmarkStart w:id="116" w:name="_Toc22011544"/>
      <w:r w:rsidRPr="003015FD">
        <w:t>5.1</w:t>
      </w:r>
      <w:r w:rsidRPr="003015FD">
        <w:tab/>
      </w:r>
      <w:r w:rsidR="008E0945" w:rsidRPr="003015FD">
        <w:t>2015</w:t>
      </w:r>
      <w:r w:rsidR="00975895" w:rsidRPr="003015FD">
        <w:t xml:space="preserve"> </w:t>
      </w:r>
      <w:r w:rsidR="008E0945" w:rsidRPr="003015FD">
        <w:t>Review</w:t>
      </w:r>
      <w:bookmarkEnd w:id="115"/>
      <w:bookmarkEnd w:id="116"/>
    </w:p>
    <w:p w14:paraId="2F0EDC92" w14:textId="4CE737FD" w:rsidR="008E0945" w:rsidRPr="003015FD" w:rsidRDefault="008E0945" w:rsidP="0002642E">
      <w:r w:rsidRPr="003015FD">
        <w:t>To</w:t>
      </w:r>
      <w:r w:rsidR="00975895" w:rsidRPr="003015FD">
        <w:t xml:space="preserve"> </w:t>
      </w:r>
      <w:r w:rsidRPr="003015FD">
        <w:t>facilitate</w:t>
      </w:r>
      <w:r w:rsidR="00975895" w:rsidRPr="003015FD">
        <w:t xml:space="preserve"> </w:t>
      </w:r>
      <w:r w:rsidRPr="003015FD">
        <w:t>government</w:t>
      </w:r>
      <w:r w:rsidR="00975895" w:rsidRPr="003015FD">
        <w:t xml:space="preserve"> </w:t>
      </w:r>
      <w:r w:rsidRPr="003015FD">
        <w:t>and</w:t>
      </w:r>
      <w:r w:rsidR="00975895" w:rsidRPr="003015FD">
        <w:t xml:space="preserve"> </w:t>
      </w:r>
      <w:r w:rsidRPr="003015FD">
        <w:t>community</w:t>
      </w:r>
      <w:r w:rsidR="00975895" w:rsidRPr="003015FD">
        <w:t xml:space="preserve"> </w:t>
      </w:r>
      <w:r w:rsidRPr="003015FD">
        <w:t>reflection</w:t>
      </w:r>
      <w:r w:rsidR="00975895" w:rsidRPr="003015FD">
        <w:t xml:space="preserve"> </w:t>
      </w:r>
      <w:r w:rsidRPr="003015FD">
        <w:t>on</w:t>
      </w:r>
      <w:r w:rsidR="00975895" w:rsidRPr="003015FD">
        <w:t xml:space="preserve"> </w:t>
      </w:r>
      <w:r w:rsidRPr="003015FD">
        <w:t>how</w:t>
      </w:r>
      <w:r w:rsidR="00975895" w:rsidRPr="003015FD">
        <w:t xml:space="preserve"> </w:t>
      </w:r>
      <w:r w:rsidRPr="003015FD">
        <w:t>the</w:t>
      </w:r>
      <w:r w:rsidR="00975895" w:rsidRPr="003015FD">
        <w:t xml:space="preserve"> </w:t>
      </w:r>
      <w:r w:rsidRPr="003015FD">
        <w:t>Charter</w:t>
      </w:r>
      <w:r w:rsidR="00975895" w:rsidRPr="003015FD">
        <w:t xml:space="preserve"> </w:t>
      </w:r>
      <w:r w:rsidRPr="003015FD">
        <w:t>is</w:t>
      </w:r>
      <w:r w:rsidR="00975895" w:rsidRPr="003015FD">
        <w:t xml:space="preserve"> </w:t>
      </w:r>
      <w:r w:rsidRPr="003015FD">
        <w:t>operating,</w:t>
      </w:r>
      <w:r w:rsidR="00975895" w:rsidRPr="003015FD">
        <w:t xml:space="preserve"> </w:t>
      </w:r>
      <w:r w:rsidRPr="003015FD">
        <w:t>two</w:t>
      </w:r>
      <w:r w:rsidR="00975895" w:rsidRPr="003015FD">
        <w:t xml:space="preserve"> </w:t>
      </w:r>
      <w:r w:rsidRPr="003015FD">
        <w:t>statutory</w:t>
      </w:r>
      <w:r w:rsidR="00975895" w:rsidRPr="003015FD">
        <w:t xml:space="preserve"> </w:t>
      </w:r>
      <w:r w:rsidRPr="003015FD">
        <w:t>reviews</w:t>
      </w:r>
      <w:r w:rsidR="00975895" w:rsidRPr="003015FD">
        <w:t xml:space="preserve"> </w:t>
      </w:r>
      <w:r w:rsidRPr="003015FD">
        <w:t>were</w:t>
      </w:r>
      <w:r w:rsidR="00975895" w:rsidRPr="003015FD">
        <w:t xml:space="preserve"> </w:t>
      </w:r>
      <w:r w:rsidRPr="003015FD">
        <w:t>built</w:t>
      </w:r>
      <w:r w:rsidR="00975895" w:rsidRPr="003015FD">
        <w:t xml:space="preserve"> </w:t>
      </w:r>
      <w:r w:rsidRPr="003015FD">
        <w:t>into</w:t>
      </w:r>
      <w:r w:rsidR="00975895" w:rsidRPr="003015FD">
        <w:t xml:space="preserve"> </w:t>
      </w:r>
      <w:r w:rsidRPr="003015FD">
        <w:t>the</w:t>
      </w:r>
      <w:r w:rsidR="00975895" w:rsidRPr="003015FD">
        <w:t xml:space="preserve"> </w:t>
      </w:r>
      <w:r w:rsidRPr="003015FD">
        <w:t>Act:</w:t>
      </w:r>
      <w:r w:rsidR="00975895" w:rsidRPr="003015FD">
        <w:t xml:space="preserve"> </w:t>
      </w:r>
      <w:r w:rsidRPr="003015FD">
        <w:t>the</w:t>
      </w:r>
      <w:r w:rsidR="00975895" w:rsidRPr="003015FD">
        <w:t xml:space="preserve"> </w:t>
      </w:r>
      <w:r w:rsidRPr="003015FD">
        <w:t>first,</w:t>
      </w:r>
      <w:r w:rsidR="00975895" w:rsidRPr="003015FD">
        <w:t xml:space="preserve"> </w:t>
      </w:r>
      <w:r w:rsidRPr="003015FD">
        <w:t>after</w:t>
      </w:r>
      <w:r w:rsidR="00975895" w:rsidRPr="003015FD">
        <w:t xml:space="preserve"> </w:t>
      </w:r>
      <w:r w:rsidRPr="003015FD">
        <w:t>a</w:t>
      </w:r>
      <w:r w:rsidR="00975895" w:rsidRPr="003015FD">
        <w:t xml:space="preserve"> </w:t>
      </w:r>
      <w:r w:rsidRPr="003015FD">
        <w:t>period</w:t>
      </w:r>
      <w:r w:rsidR="00975895" w:rsidRPr="003015FD">
        <w:t xml:space="preserve"> </w:t>
      </w:r>
      <w:r w:rsidRPr="003015FD">
        <w:t>of</w:t>
      </w:r>
      <w:r w:rsidR="00975895" w:rsidRPr="003015FD">
        <w:t xml:space="preserve"> </w:t>
      </w:r>
      <w:r w:rsidRPr="003015FD">
        <w:t>four</w:t>
      </w:r>
      <w:r w:rsidR="00975895" w:rsidRPr="003015FD">
        <w:t xml:space="preserve"> </w:t>
      </w:r>
      <w:r w:rsidRPr="003015FD">
        <w:t>years,</w:t>
      </w:r>
      <w:r w:rsidRPr="004862C5">
        <w:rPr>
          <w:rStyle w:val="FootnoteReference"/>
        </w:rPr>
        <w:footnoteReference w:id="104"/>
      </w:r>
      <w:r w:rsidR="00975895" w:rsidRPr="003015FD">
        <w:t xml:space="preserve"> </w:t>
      </w:r>
      <w:r w:rsidRPr="003015FD">
        <w:t>and</w:t>
      </w:r>
      <w:r w:rsidR="00975895" w:rsidRPr="003015FD">
        <w:t xml:space="preserve"> </w:t>
      </w:r>
      <w:r w:rsidRPr="003015FD">
        <w:t>the</w:t>
      </w:r>
      <w:r w:rsidR="00975895" w:rsidRPr="003015FD">
        <w:t xml:space="preserve"> </w:t>
      </w:r>
      <w:r w:rsidRPr="003015FD">
        <w:t>second,</w:t>
      </w:r>
      <w:r w:rsidR="00975895" w:rsidRPr="003015FD">
        <w:t xml:space="preserve"> </w:t>
      </w:r>
      <w:r w:rsidRPr="003015FD">
        <w:t>after</w:t>
      </w:r>
      <w:r w:rsidR="00975895" w:rsidRPr="003015FD">
        <w:t xml:space="preserve"> </w:t>
      </w:r>
      <w:r w:rsidRPr="003015FD">
        <w:t>eight</w:t>
      </w:r>
      <w:r w:rsidR="00975895" w:rsidRPr="003015FD">
        <w:t xml:space="preserve"> </w:t>
      </w:r>
      <w:r w:rsidRPr="003015FD">
        <w:t>years</w:t>
      </w:r>
      <w:r w:rsidR="00975895" w:rsidRPr="003015FD">
        <w:t xml:space="preserve"> </w:t>
      </w:r>
      <w:r w:rsidRPr="003015FD">
        <w:t>of</w:t>
      </w:r>
      <w:r w:rsidR="00975895" w:rsidRPr="003015FD">
        <w:t xml:space="preserve"> </w:t>
      </w:r>
      <w:r w:rsidRPr="003015FD">
        <w:t>operation.</w:t>
      </w:r>
      <w:r w:rsidRPr="004862C5">
        <w:rPr>
          <w:rStyle w:val="FootnoteReference"/>
        </w:rPr>
        <w:footnoteReference w:id="105"/>
      </w:r>
      <w:r w:rsidR="00975895" w:rsidRPr="003015FD">
        <w:t xml:space="preserve"> </w:t>
      </w:r>
      <w:r w:rsidRPr="003015FD">
        <w:t>The</w:t>
      </w:r>
      <w:r w:rsidR="00975895" w:rsidRPr="003015FD">
        <w:t xml:space="preserve"> </w:t>
      </w:r>
      <w:r w:rsidRPr="003015FD">
        <w:t>four-year</w:t>
      </w:r>
      <w:r w:rsidR="00975895" w:rsidRPr="003015FD">
        <w:t xml:space="preserve"> </w:t>
      </w:r>
      <w:r w:rsidRPr="003015FD">
        <w:t>review</w:t>
      </w:r>
      <w:r w:rsidR="00975895" w:rsidRPr="003015FD">
        <w:t xml:space="preserve"> </w:t>
      </w:r>
      <w:r w:rsidRPr="003015FD">
        <w:t>was</w:t>
      </w:r>
      <w:r w:rsidR="00975895" w:rsidRPr="003015FD">
        <w:t xml:space="preserve"> </w:t>
      </w:r>
      <w:r w:rsidRPr="003015FD">
        <w:t>conducted</w:t>
      </w:r>
      <w:r w:rsidR="00975895" w:rsidRPr="003015FD">
        <w:t xml:space="preserve"> </w:t>
      </w:r>
      <w:r w:rsidRPr="003015FD">
        <w:t>in</w:t>
      </w:r>
      <w:r w:rsidR="00975895" w:rsidRPr="003015FD">
        <w:t xml:space="preserve"> </w:t>
      </w:r>
      <w:r w:rsidRPr="003015FD">
        <w:t>2011</w:t>
      </w:r>
      <w:r w:rsidR="00975895" w:rsidRPr="003015FD">
        <w:t xml:space="preserve"> </w:t>
      </w:r>
      <w:r w:rsidRPr="003015FD">
        <w:t>and</w:t>
      </w:r>
      <w:r w:rsidR="00975895" w:rsidRPr="003015FD">
        <w:t xml:space="preserve"> </w:t>
      </w:r>
      <w:r w:rsidRPr="003015FD">
        <w:t>reported</w:t>
      </w:r>
      <w:r w:rsidR="00975895" w:rsidRPr="003015FD">
        <w:t xml:space="preserve"> </w:t>
      </w:r>
      <w:r w:rsidRPr="003015FD">
        <w:t>on</w:t>
      </w:r>
      <w:r w:rsidR="00975895" w:rsidRPr="003015FD">
        <w:t xml:space="preserve"> </w:t>
      </w:r>
      <w:r w:rsidRPr="003015FD">
        <w:t>in</w:t>
      </w:r>
      <w:r w:rsidR="00975895" w:rsidRPr="003015FD">
        <w:t xml:space="preserve"> </w:t>
      </w:r>
      <w:r w:rsidRPr="003015FD">
        <w:t>the</w:t>
      </w:r>
      <w:r w:rsidR="00975895" w:rsidRPr="003015FD">
        <w:t xml:space="preserve"> </w:t>
      </w:r>
      <w:r w:rsidRPr="003015FD">
        <w:t>Commission</w:t>
      </w:r>
      <w:r w:rsidR="000C5726">
        <w:t>'</w:t>
      </w:r>
      <w:r w:rsidRPr="003015FD">
        <w:t>s</w:t>
      </w:r>
      <w:r w:rsidR="00975895" w:rsidRPr="003015FD">
        <w:t xml:space="preserve"> </w:t>
      </w:r>
      <w:r w:rsidRPr="003015FD">
        <w:t>2012</w:t>
      </w:r>
      <w:r w:rsidR="00975895" w:rsidRPr="003015FD">
        <w:t xml:space="preserve"> </w:t>
      </w:r>
      <w:r w:rsidRPr="003015FD">
        <w:t>Charter</w:t>
      </w:r>
      <w:r w:rsidR="00975895" w:rsidRPr="003015FD">
        <w:t xml:space="preserve"> </w:t>
      </w:r>
      <w:r w:rsidR="00D95F5F">
        <w:t>r</w:t>
      </w:r>
      <w:r w:rsidRPr="003015FD">
        <w:t>eport.</w:t>
      </w:r>
      <w:r w:rsidR="00975895" w:rsidRPr="003015FD">
        <w:t xml:space="preserve"> </w:t>
      </w:r>
      <w:r w:rsidRPr="003015FD">
        <w:t>The</w:t>
      </w:r>
      <w:r w:rsidR="00975895" w:rsidRPr="003015FD">
        <w:t xml:space="preserve"> </w:t>
      </w:r>
      <w:r w:rsidRPr="003015FD">
        <w:t>eight-year</w:t>
      </w:r>
      <w:r w:rsidR="00975895" w:rsidRPr="003015FD">
        <w:t xml:space="preserve"> </w:t>
      </w:r>
      <w:r w:rsidRPr="003015FD">
        <w:t>review</w:t>
      </w:r>
      <w:r w:rsidR="00975895" w:rsidRPr="003015FD">
        <w:t xml:space="preserve"> </w:t>
      </w:r>
      <w:r w:rsidRPr="003015FD">
        <w:t>was</w:t>
      </w:r>
      <w:r w:rsidR="00975895" w:rsidRPr="003015FD">
        <w:t xml:space="preserve"> </w:t>
      </w:r>
      <w:r w:rsidRPr="003015FD">
        <w:t>conducted</w:t>
      </w:r>
      <w:r w:rsidR="00975895" w:rsidRPr="003015FD">
        <w:t xml:space="preserve"> </w:t>
      </w:r>
      <w:r w:rsidRPr="003015FD">
        <w:t>in</w:t>
      </w:r>
      <w:r w:rsidR="00975895" w:rsidRPr="003015FD">
        <w:t xml:space="preserve"> </w:t>
      </w:r>
      <w:r w:rsidRPr="003015FD">
        <w:t>2015</w:t>
      </w:r>
      <w:r w:rsidR="00975895" w:rsidRPr="003015FD">
        <w:t xml:space="preserve"> </w:t>
      </w:r>
      <w:r w:rsidRPr="003015FD">
        <w:t>by</w:t>
      </w:r>
      <w:r w:rsidR="00975895" w:rsidRPr="003015FD">
        <w:t xml:space="preserve"> </w:t>
      </w:r>
      <w:r w:rsidRPr="003015FD">
        <w:t>Michael</w:t>
      </w:r>
      <w:r w:rsidR="00975895" w:rsidRPr="003015FD">
        <w:t xml:space="preserve"> </w:t>
      </w:r>
      <w:r w:rsidRPr="003015FD">
        <w:t>Brett-Young</w:t>
      </w:r>
      <w:r w:rsidR="00914231">
        <w:t xml:space="preserve"> (2015 Review)</w:t>
      </w:r>
      <w:r w:rsidRPr="003015FD">
        <w:t>.</w:t>
      </w:r>
      <w:r w:rsidR="00975895" w:rsidRPr="003015FD">
        <w:t xml:space="preserve"> </w:t>
      </w:r>
    </w:p>
    <w:p w14:paraId="683094D1" w14:textId="5D5BBE60" w:rsidR="008E0945" w:rsidRPr="003015FD" w:rsidRDefault="008E0945" w:rsidP="0002642E">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found</w:t>
      </w:r>
      <w:r w:rsidR="00975895" w:rsidRPr="003015FD">
        <w:t xml:space="preserve"> </w:t>
      </w:r>
      <w:r w:rsidRPr="003015FD">
        <w:t>the</w:t>
      </w:r>
      <w:r w:rsidR="00975895" w:rsidRPr="003015FD">
        <w:t xml:space="preserve"> </w:t>
      </w:r>
      <w:r w:rsidRPr="003015FD">
        <w:t>Charter</w:t>
      </w:r>
      <w:r w:rsidR="00975895" w:rsidRPr="003015FD">
        <w:t xml:space="preserve"> </w:t>
      </w:r>
      <w:r w:rsidRPr="003015FD">
        <w:t>has</w:t>
      </w:r>
      <w:r w:rsidR="00975895" w:rsidRPr="003015FD">
        <w:t xml:space="preserve"> </w:t>
      </w:r>
      <w:r w:rsidRPr="003015FD">
        <w:t>promoted</w:t>
      </w:r>
      <w:r w:rsidR="00975895" w:rsidRPr="003015FD">
        <w:t xml:space="preserve"> </w:t>
      </w:r>
      <w:r w:rsidRPr="003015FD">
        <w:t>a</w:t>
      </w:r>
      <w:r w:rsidR="00975895" w:rsidRPr="003015FD">
        <w:t xml:space="preserve"> </w:t>
      </w:r>
      <w:r w:rsidRPr="003015FD">
        <w:t>solid</w:t>
      </w:r>
      <w:r w:rsidR="00975895" w:rsidRPr="003015FD">
        <w:t xml:space="preserve"> </w:t>
      </w:r>
      <w:r w:rsidRPr="003015FD">
        <w:t>foundational</w:t>
      </w:r>
      <w:r w:rsidR="00975895" w:rsidRPr="003015FD">
        <w:t xml:space="preserve"> </w:t>
      </w:r>
      <w:r w:rsidRPr="003015FD">
        <w:t>awareness</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principles</w:t>
      </w:r>
      <w:r w:rsidR="00975895" w:rsidRPr="003015FD">
        <w:t xml:space="preserve"> </w:t>
      </w:r>
      <w:r w:rsidRPr="003015FD">
        <w:t>within</w:t>
      </w:r>
      <w:r w:rsidR="00975895" w:rsidRPr="003015FD">
        <w:t xml:space="preserve"> </w:t>
      </w:r>
      <w:r w:rsidRPr="003015FD">
        <w:t>the</w:t>
      </w:r>
      <w:r w:rsidR="00975895" w:rsidRPr="003015FD">
        <w:t xml:space="preserve"> </w:t>
      </w:r>
      <w:r w:rsidRPr="003015FD">
        <w:t>Victorian</w:t>
      </w:r>
      <w:r w:rsidR="00975895" w:rsidRPr="003015FD">
        <w:t xml:space="preserve"> </w:t>
      </w:r>
      <w:r w:rsidRPr="003015FD">
        <w:t>public</w:t>
      </w:r>
      <w:r w:rsidR="00975895" w:rsidRPr="003015FD">
        <w:t xml:space="preserve"> </w:t>
      </w:r>
      <w:r w:rsidRPr="003015FD">
        <w:t>sector,</w:t>
      </w:r>
      <w:r w:rsidR="00975895" w:rsidRPr="003015FD">
        <w:t xml:space="preserve"> </w:t>
      </w:r>
      <w:r w:rsidRPr="003015FD">
        <w:t>Parliament</w:t>
      </w:r>
      <w:r w:rsidR="00975895" w:rsidRPr="003015FD">
        <w:t xml:space="preserve"> </w:t>
      </w:r>
      <w:r w:rsidRPr="003015FD">
        <w:t>and</w:t>
      </w:r>
      <w:r w:rsidR="00975895" w:rsidRPr="003015FD">
        <w:t xml:space="preserve"> </w:t>
      </w:r>
      <w:r w:rsidRPr="003015FD">
        <w:t>the</w:t>
      </w:r>
      <w:r w:rsidR="00975895" w:rsidRPr="003015FD">
        <w:t xml:space="preserve"> </w:t>
      </w:r>
      <w:r w:rsidRPr="003015FD">
        <w:t>courts.</w:t>
      </w:r>
      <w:r w:rsidR="00975895" w:rsidRPr="003015FD">
        <w:t xml:space="preserve"> </w:t>
      </w:r>
      <w:r w:rsidRPr="003015FD">
        <w:t>However,</w:t>
      </w:r>
      <w:r w:rsidR="00975895" w:rsidRPr="003015FD">
        <w:t xml:space="preserve"> </w:t>
      </w:r>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also</w:t>
      </w:r>
      <w:r w:rsidR="00975895" w:rsidRPr="003015FD">
        <w:t xml:space="preserve"> </w:t>
      </w:r>
      <w:r w:rsidRPr="003015FD">
        <w:t>found</w:t>
      </w:r>
      <w:r w:rsidR="00975895" w:rsidRPr="003015FD">
        <w:t xml:space="preserve"> </w:t>
      </w:r>
      <w:r w:rsidRPr="003015FD">
        <w:t>efforts</w:t>
      </w:r>
      <w:r w:rsidR="00975895" w:rsidRPr="003015FD">
        <w:t xml:space="preserve"> </w:t>
      </w:r>
      <w:r w:rsidRPr="003015FD">
        <w:t>to</w:t>
      </w:r>
      <w:r w:rsidR="00975895" w:rsidRPr="003015FD">
        <w:t xml:space="preserve"> </w:t>
      </w:r>
      <w:r w:rsidRPr="003015FD">
        <w:t>embed</w:t>
      </w:r>
      <w:r w:rsidR="00975895" w:rsidRPr="003015FD">
        <w:t xml:space="preserve"> </w:t>
      </w:r>
      <w:r w:rsidRPr="003015FD">
        <w:t>the</w:t>
      </w:r>
      <w:r w:rsidR="00975895" w:rsidRPr="003015FD">
        <w:t xml:space="preserve"> </w:t>
      </w:r>
      <w:r w:rsidRPr="003015FD">
        <w:t>Charter</w:t>
      </w:r>
      <w:r w:rsidR="00975895" w:rsidRPr="003015FD">
        <w:t xml:space="preserve"> </w:t>
      </w:r>
      <w:r w:rsidRPr="003015FD">
        <w:t>in</w:t>
      </w:r>
      <w:r w:rsidR="00975895" w:rsidRPr="003015FD">
        <w:t xml:space="preserve"> </w:t>
      </w:r>
      <w:r w:rsidRPr="003015FD">
        <w:t>government</w:t>
      </w:r>
      <w:r w:rsidR="00975895" w:rsidRPr="003015FD">
        <w:t xml:space="preserve"> </w:t>
      </w:r>
      <w:r w:rsidRPr="003015FD">
        <w:t>processes</w:t>
      </w:r>
      <w:r w:rsidR="00975895" w:rsidRPr="003015FD">
        <w:t xml:space="preserve"> </w:t>
      </w:r>
      <w:r w:rsidRPr="003015FD">
        <w:t>and</w:t>
      </w:r>
      <w:r w:rsidR="00975895" w:rsidRPr="003015FD">
        <w:t xml:space="preserve"> </w:t>
      </w:r>
      <w:r w:rsidRPr="003015FD">
        <w:t>practices</w:t>
      </w:r>
      <w:r w:rsidR="00975895" w:rsidRPr="003015FD">
        <w:t xml:space="preserve"> </w:t>
      </w:r>
      <w:r w:rsidRPr="003015FD">
        <w:t>had</w:t>
      </w:r>
      <w:r w:rsidR="00975895" w:rsidRPr="003015FD">
        <w:t xml:space="preserve"> </w:t>
      </w:r>
      <w:r w:rsidR="00E90152" w:rsidRPr="003015FD">
        <w:t>stalled</w:t>
      </w:r>
      <w:r w:rsidRPr="003015FD">
        <w:t>,</w:t>
      </w:r>
      <w:r w:rsidR="00975895" w:rsidRPr="003015FD">
        <w:t xml:space="preserve"> </w:t>
      </w:r>
      <w:r w:rsidRPr="003015FD">
        <w:t>limiting</w:t>
      </w:r>
      <w:r w:rsidR="00975895" w:rsidRPr="003015FD">
        <w:t xml:space="preserve"> </w:t>
      </w:r>
      <w:r w:rsidRPr="003015FD">
        <w:t>the</w:t>
      </w:r>
      <w:r w:rsidR="00975895" w:rsidRPr="003015FD">
        <w:t xml:space="preserve"> </w:t>
      </w:r>
      <w:r w:rsidRPr="003015FD">
        <w:t>establishment</w:t>
      </w:r>
      <w:r w:rsidR="00975895" w:rsidRPr="003015FD">
        <w:t xml:space="preserve"> </w:t>
      </w:r>
      <w:r w:rsidRPr="003015FD">
        <w:t>of</w:t>
      </w:r>
      <w:r w:rsidR="00975895" w:rsidRPr="003015FD">
        <w:t xml:space="preserve"> </w:t>
      </w:r>
      <w:r w:rsidRPr="003015FD">
        <w:t>an</w:t>
      </w:r>
      <w:r w:rsidR="00975895" w:rsidRPr="003015FD">
        <w:t xml:space="preserve"> </w:t>
      </w:r>
      <w:r w:rsidRPr="003015FD">
        <w:t>effective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in</w:t>
      </w:r>
      <w:r w:rsidR="00975895" w:rsidRPr="003015FD">
        <w:t xml:space="preserve"> </w:t>
      </w:r>
      <w:r w:rsidRPr="003015FD">
        <w:t>Victoria.</w:t>
      </w:r>
      <w:r w:rsidR="00975895" w:rsidRPr="003015FD">
        <w:t xml:space="preserve"> </w:t>
      </w:r>
    </w:p>
    <w:p w14:paraId="2ACA1694" w14:textId="23A33E12" w:rsidR="008E0945" w:rsidRPr="003015FD" w:rsidRDefault="008E0945" w:rsidP="0002642E">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contained</w:t>
      </w:r>
      <w:r w:rsidR="00975895" w:rsidRPr="003015FD">
        <w:t xml:space="preserve"> </w:t>
      </w:r>
      <w:r w:rsidRPr="003015FD">
        <w:t>52</w:t>
      </w:r>
      <w:r w:rsidR="00975895" w:rsidRPr="003015FD">
        <w:t xml:space="preserve"> </w:t>
      </w:r>
      <w:r w:rsidRPr="003015FD">
        <w:t>legislative</w:t>
      </w:r>
      <w:r w:rsidR="00975895" w:rsidRPr="003015FD">
        <w:t xml:space="preserve"> </w:t>
      </w:r>
      <w:r w:rsidRPr="003015FD">
        <w:t>and</w:t>
      </w:r>
      <w:r w:rsidR="00975895" w:rsidRPr="003015FD">
        <w:t xml:space="preserve"> </w:t>
      </w:r>
      <w:r w:rsidRPr="003015FD">
        <w:t>policy</w:t>
      </w:r>
      <w:r w:rsidR="00975895" w:rsidRPr="003015FD">
        <w:t xml:space="preserve"> </w:t>
      </w:r>
      <w:r w:rsidRPr="003015FD">
        <w:t>recommendations</w:t>
      </w:r>
      <w:r w:rsidR="00975895" w:rsidRPr="003015FD">
        <w:t xml:space="preserve"> </w:t>
      </w:r>
      <w:r w:rsidRPr="003015FD">
        <w:t>to</w:t>
      </w:r>
      <w:r w:rsidR="00975895" w:rsidRPr="003015FD">
        <w:t xml:space="preserve"> </w:t>
      </w:r>
      <w:r w:rsidRPr="003015FD">
        <w:t>make</w:t>
      </w:r>
      <w:r w:rsidR="00975895" w:rsidRPr="003015FD">
        <w:t xml:space="preserve"> </w:t>
      </w:r>
      <w:r w:rsidRPr="003015FD">
        <w:t>the</w:t>
      </w:r>
      <w:r w:rsidR="00975895" w:rsidRPr="003015FD">
        <w:t xml:space="preserve"> </w:t>
      </w:r>
      <w:r w:rsidRPr="003015FD">
        <w:t>Charter</w:t>
      </w:r>
      <w:r w:rsidR="00975895" w:rsidRPr="003015FD">
        <w:t xml:space="preserve"> </w:t>
      </w:r>
      <w:r w:rsidRPr="003015FD">
        <w:t>more</w:t>
      </w:r>
      <w:r w:rsidR="00975895" w:rsidRPr="003015FD">
        <w:t xml:space="preserve"> </w:t>
      </w:r>
      <w:r w:rsidRPr="003015FD">
        <w:t>accessible,</w:t>
      </w:r>
      <w:r w:rsidR="00975895" w:rsidRPr="003015FD">
        <w:t xml:space="preserve"> </w:t>
      </w:r>
      <w:r w:rsidRPr="003015FD">
        <w:t>effective</w:t>
      </w:r>
      <w:r w:rsidR="00975895" w:rsidRPr="003015FD">
        <w:t xml:space="preserve"> </w:t>
      </w:r>
      <w:r w:rsidRPr="003015FD">
        <w:t>and</w:t>
      </w:r>
      <w:r w:rsidR="00975895" w:rsidRPr="003015FD">
        <w:t xml:space="preserve"> </w:t>
      </w:r>
      <w:r w:rsidRPr="003015FD">
        <w:t>practical.</w:t>
      </w:r>
      <w:r w:rsidR="00975895" w:rsidRPr="003015FD">
        <w:t xml:space="preserve"> </w:t>
      </w:r>
      <w:r w:rsidRPr="0002642E">
        <w:rPr>
          <w:rStyle w:val="Characterbold"/>
          <w:b w:val="0"/>
          <w:lang w:val="en-GB"/>
        </w:rPr>
        <w:t>The</w:t>
      </w:r>
      <w:r w:rsidR="00975895" w:rsidRPr="0002642E">
        <w:rPr>
          <w:rStyle w:val="Characterbold"/>
          <w:b w:val="0"/>
          <w:lang w:val="en-GB"/>
        </w:rPr>
        <w:t xml:space="preserve"> </w:t>
      </w:r>
      <w:r w:rsidR="00D95F5F" w:rsidRPr="0002642E">
        <w:rPr>
          <w:rStyle w:val="Characterbold"/>
          <w:b w:val="0"/>
          <w:lang w:val="en-GB"/>
        </w:rPr>
        <w:t>g</w:t>
      </w:r>
      <w:r w:rsidRPr="0002642E">
        <w:rPr>
          <w:rStyle w:val="Characterbold"/>
          <w:b w:val="0"/>
          <w:lang w:val="en-GB"/>
        </w:rPr>
        <w:t>overnment</w:t>
      </w:r>
      <w:r w:rsidR="00975895" w:rsidRPr="0002642E">
        <w:rPr>
          <w:rStyle w:val="Characterbold"/>
          <w:b w:val="0"/>
          <w:lang w:val="en-GB"/>
        </w:rPr>
        <w:t xml:space="preserve"> </w:t>
      </w:r>
      <w:r w:rsidRPr="0002642E">
        <w:rPr>
          <w:rStyle w:val="Characterbold"/>
          <w:b w:val="0"/>
          <w:lang w:val="en-GB"/>
        </w:rPr>
        <w:t>accepted</w:t>
      </w:r>
      <w:r w:rsidR="00975895" w:rsidRPr="0002642E">
        <w:rPr>
          <w:rStyle w:val="Characterbold"/>
          <w:b w:val="0"/>
          <w:lang w:val="en-GB"/>
        </w:rPr>
        <w:t xml:space="preserve"> </w:t>
      </w:r>
      <w:r w:rsidRPr="0002642E">
        <w:rPr>
          <w:rStyle w:val="Characterbold"/>
          <w:b w:val="0"/>
          <w:lang w:val="en-GB"/>
        </w:rPr>
        <w:t>in</w:t>
      </w:r>
      <w:r w:rsidR="00975895" w:rsidRPr="0002642E">
        <w:rPr>
          <w:rStyle w:val="Characterbold"/>
          <w:b w:val="0"/>
          <w:lang w:val="en-GB"/>
        </w:rPr>
        <w:t xml:space="preserve"> </w:t>
      </w:r>
      <w:r w:rsidRPr="0002642E">
        <w:rPr>
          <w:rStyle w:val="Characterbold"/>
          <w:b w:val="0"/>
          <w:lang w:val="en-GB"/>
        </w:rPr>
        <w:t>full</w:t>
      </w:r>
      <w:r w:rsidR="00975895" w:rsidRPr="0002642E">
        <w:rPr>
          <w:rStyle w:val="Characterbold"/>
          <w:b w:val="0"/>
          <w:lang w:val="en-GB"/>
        </w:rPr>
        <w:t xml:space="preserve"> </w:t>
      </w:r>
      <w:r w:rsidRPr="0002642E">
        <w:rPr>
          <w:rStyle w:val="Characterbold"/>
          <w:b w:val="0"/>
          <w:lang w:val="en-GB"/>
        </w:rPr>
        <w:t>or</w:t>
      </w:r>
      <w:r w:rsidR="00975895" w:rsidRPr="0002642E">
        <w:rPr>
          <w:rStyle w:val="Characterbold"/>
          <w:b w:val="0"/>
          <w:lang w:val="en-GB"/>
        </w:rPr>
        <w:t xml:space="preserve"> </w:t>
      </w:r>
      <w:r w:rsidRPr="0002642E">
        <w:rPr>
          <w:rStyle w:val="Characterbold"/>
          <w:b w:val="0"/>
          <w:lang w:val="en-GB"/>
        </w:rPr>
        <w:t>in</w:t>
      </w:r>
      <w:r w:rsidR="00975895" w:rsidRPr="0002642E">
        <w:rPr>
          <w:rStyle w:val="Characterbold"/>
          <w:b w:val="0"/>
          <w:lang w:val="en-GB"/>
        </w:rPr>
        <w:t xml:space="preserve"> </w:t>
      </w:r>
      <w:r w:rsidRPr="0002642E">
        <w:rPr>
          <w:rStyle w:val="Characterbold"/>
          <w:b w:val="0"/>
          <w:lang w:val="en-GB"/>
        </w:rPr>
        <w:t>principle</w:t>
      </w:r>
      <w:r w:rsidR="00975895" w:rsidRPr="0002642E">
        <w:rPr>
          <w:rStyle w:val="Characterbold"/>
          <w:b w:val="0"/>
          <w:lang w:val="en-GB"/>
        </w:rPr>
        <w:t xml:space="preserve"> </w:t>
      </w:r>
      <w:r w:rsidRPr="0002642E">
        <w:rPr>
          <w:rStyle w:val="Characterbold"/>
          <w:b w:val="0"/>
          <w:lang w:val="en-GB"/>
        </w:rPr>
        <w:t>45</w:t>
      </w:r>
      <w:r w:rsidR="00975895" w:rsidRPr="0002642E">
        <w:rPr>
          <w:rStyle w:val="Characterbold"/>
          <w:b w:val="0"/>
          <w:lang w:val="en-GB"/>
        </w:rPr>
        <w:t xml:space="preserve"> </w:t>
      </w:r>
      <w:r w:rsidRPr="0002642E">
        <w:rPr>
          <w:rStyle w:val="Characterbold"/>
          <w:b w:val="0"/>
          <w:lang w:val="en-GB"/>
        </w:rPr>
        <w:t>of</w:t>
      </w:r>
      <w:r w:rsidR="00975895" w:rsidRPr="0002642E">
        <w:rPr>
          <w:rStyle w:val="Characterbold"/>
          <w:b w:val="0"/>
          <w:lang w:val="en-GB"/>
        </w:rPr>
        <w:t xml:space="preserve"> </w:t>
      </w:r>
      <w:r w:rsidRPr="0002642E">
        <w:rPr>
          <w:rStyle w:val="Characterbold"/>
          <w:b w:val="0"/>
          <w:lang w:val="en-GB"/>
        </w:rPr>
        <w:t>the</w:t>
      </w:r>
      <w:r w:rsidR="00975895" w:rsidRPr="0002642E">
        <w:rPr>
          <w:rStyle w:val="Characterbold"/>
          <w:b w:val="0"/>
          <w:lang w:val="en-GB"/>
        </w:rPr>
        <w:t xml:space="preserve"> </w:t>
      </w:r>
      <w:r w:rsidRPr="0002642E">
        <w:rPr>
          <w:rStyle w:val="Characterbold"/>
          <w:b w:val="0"/>
          <w:lang w:val="en-GB"/>
        </w:rPr>
        <w:t>52</w:t>
      </w:r>
      <w:r w:rsidR="00975895" w:rsidRPr="0002642E">
        <w:rPr>
          <w:rStyle w:val="Characterbold"/>
          <w:b w:val="0"/>
          <w:lang w:val="en-GB"/>
        </w:rPr>
        <w:t xml:space="preserve"> </w:t>
      </w:r>
      <w:r w:rsidRPr="0002642E">
        <w:rPr>
          <w:rStyle w:val="Characterbold"/>
          <w:b w:val="0"/>
          <w:lang w:val="en-GB"/>
        </w:rPr>
        <w:t>recommendations,</w:t>
      </w:r>
      <w:r w:rsidR="00975895" w:rsidRPr="0002642E">
        <w:rPr>
          <w:rStyle w:val="Characterbold"/>
          <w:b w:val="0"/>
          <w:lang w:val="en-GB"/>
        </w:rPr>
        <w:t xml:space="preserve"> </w:t>
      </w:r>
      <w:r w:rsidRPr="0002642E">
        <w:rPr>
          <w:rStyle w:val="Characterbold"/>
          <w:b w:val="0"/>
          <w:lang w:val="en-GB"/>
        </w:rPr>
        <w:t>however</w:t>
      </w:r>
      <w:r w:rsidR="00975895" w:rsidRPr="0002642E">
        <w:rPr>
          <w:rStyle w:val="Characterbold"/>
          <w:b w:val="0"/>
          <w:lang w:val="en-GB"/>
        </w:rPr>
        <w:t xml:space="preserve"> </w:t>
      </w:r>
      <w:r w:rsidR="00D82562" w:rsidRPr="0002642E">
        <w:rPr>
          <w:rStyle w:val="Characterbold"/>
          <w:b w:val="0"/>
          <w:lang w:val="en-GB"/>
        </w:rPr>
        <w:t>most</w:t>
      </w:r>
      <w:r w:rsidR="00975895" w:rsidRPr="0002642E">
        <w:rPr>
          <w:rStyle w:val="Characterbold"/>
          <w:b w:val="0"/>
          <w:lang w:val="en-GB"/>
        </w:rPr>
        <w:t xml:space="preserve"> </w:t>
      </w:r>
      <w:r w:rsidR="00D82562" w:rsidRPr="0002642E">
        <w:rPr>
          <w:rStyle w:val="Characterbold"/>
          <w:b w:val="0"/>
          <w:lang w:val="en-GB"/>
        </w:rPr>
        <w:t>recommendations</w:t>
      </w:r>
      <w:r w:rsidR="00975895" w:rsidRPr="0002642E">
        <w:rPr>
          <w:rStyle w:val="Characterbold"/>
          <w:b w:val="0"/>
          <w:lang w:val="en-GB"/>
        </w:rPr>
        <w:t xml:space="preserve"> </w:t>
      </w:r>
      <w:r w:rsidR="00D82562" w:rsidRPr="0002642E">
        <w:rPr>
          <w:rStyle w:val="Characterbold"/>
          <w:b w:val="0"/>
          <w:lang w:val="en-GB"/>
        </w:rPr>
        <w:t>have</w:t>
      </w:r>
      <w:r w:rsidR="00975895" w:rsidRPr="0002642E">
        <w:rPr>
          <w:rStyle w:val="Characterbold"/>
          <w:b w:val="0"/>
          <w:lang w:val="en-GB"/>
        </w:rPr>
        <w:t xml:space="preserve"> </w:t>
      </w:r>
      <w:r w:rsidR="00D82562" w:rsidRPr="0002642E">
        <w:rPr>
          <w:rStyle w:val="Characterbold"/>
          <w:b w:val="0"/>
          <w:lang w:val="en-GB"/>
        </w:rPr>
        <w:t>not</w:t>
      </w:r>
      <w:r w:rsidR="00975895" w:rsidRPr="0002642E">
        <w:rPr>
          <w:rStyle w:val="Characterbold"/>
          <w:b w:val="0"/>
          <w:lang w:val="en-GB"/>
        </w:rPr>
        <w:t xml:space="preserve"> </w:t>
      </w:r>
      <w:r w:rsidR="00D82562" w:rsidRPr="0002642E">
        <w:rPr>
          <w:rStyle w:val="Characterbold"/>
          <w:b w:val="0"/>
          <w:lang w:val="en-GB"/>
        </w:rPr>
        <w:t>been</w:t>
      </w:r>
      <w:r w:rsidR="00975895" w:rsidRPr="0002642E">
        <w:rPr>
          <w:rStyle w:val="Characterbold"/>
          <w:b w:val="0"/>
          <w:lang w:val="en-GB"/>
        </w:rPr>
        <w:t xml:space="preserve"> </w:t>
      </w:r>
      <w:r w:rsidR="00D82562" w:rsidRPr="0002642E">
        <w:rPr>
          <w:rStyle w:val="Characterbold"/>
          <w:b w:val="0"/>
          <w:lang w:val="en-GB"/>
        </w:rPr>
        <w:t>progressed</w:t>
      </w:r>
      <w:r w:rsidRPr="003015FD">
        <w:t>.</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has</w:t>
      </w:r>
      <w:r w:rsidR="00975895" w:rsidRPr="003015FD">
        <w:t xml:space="preserve"> </w:t>
      </w:r>
      <w:r w:rsidRPr="003015FD">
        <w:t>prepared</w:t>
      </w:r>
      <w:r w:rsidR="00975895" w:rsidRPr="003015FD">
        <w:t xml:space="preserve"> </w:t>
      </w:r>
      <w:r w:rsidRPr="003015FD">
        <w:t>a</w:t>
      </w:r>
      <w:r w:rsidR="00975895" w:rsidRPr="003015FD">
        <w:t xml:space="preserve"> </w:t>
      </w:r>
      <w:r w:rsidR="00D95F5F">
        <w:t>list below</w:t>
      </w:r>
      <w:r w:rsidR="00975895" w:rsidRPr="003015FD">
        <w:t xml:space="preserve"> </w:t>
      </w:r>
      <w:r w:rsidRPr="003015FD">
        <w:t>detailing</w:t>
      </w:r>
      <w:r w:rsidR="00975895" w:rsidRPr="003015FD">
        <w:t xml:space="preserve"> </w:t>
      </w:r>
      <w:r w:rsidRPr="003015FD">
        <w:t>the</w:t>
      </w:r>
      <w:r w:rsidR="00975895" w:rsidRPr="003015FD">
        <w:t xml:space="preserve"> </w:t>
      </w:r>
      <w:r w:rsidRPr="003015FD">
        <w:t>implementation</w:t>
      </w:r>
      <w:r w:rsidR="00975895" w:rsidRPr="003015FD">
        <w:t xml:space="preserve"> </w:t>
      </w:r>
      <w:r w:rsidRPr="003015FD">
        <w:t>progress</w:t>
      </w:r>
      <w:r w:rsidR="00975895" w:rsidRPr="003015FD">
        <w:t xml:space="preserve"> </w:t>
      </w:r>
      <w:r w:rsidRPr="003015FD">
        <w:t>of</w:t>
      </w:r>
      <w:r w:rsidR="00975895" w:rsidRPr="003015FD">
        <w:t xml:space="preserve"> </w:t>
      </w:r>
      <w:r w:rsidRPr="003015FD">
        <w:t>each</w:t>
      </w:r>
      <w:r w:rsidR="00975895" w:rsidRPr="003015FD">
        <w:t xml:space="preserve"> </w:t>
      </w:r>
      <w:r w:rsidRPr="003015FD">
        <w:t>recommendation.</w:t>
      </w:r>
      <w:r w:rsidR="00975895" w:rsidRPr="003015FD">
        <w:t xml:space="preserve"> </w:t>
      </w:r>
    </w:p>
    <w:p w14:paraId="7C9B3B0B" w14:textId="58D6149A" w:rsidR="00E90152" w:rsidRPr="003015FD" w:rsidRDefault="00E90152" w:rsidP="0002642E">
      <w:r w:rsidRPr="003015FD">
        <w:t>The</w:t>
      </w:r>
      <w:r w:rsidR="00975895" w:rsidRPr="003015FD">
        <w:t xml:space="preserve"> </w:t>
      </w:r>
      <w:r w:rsidRPr="003015FD">
        <w:t>Commission</w:t>
      </w:r>
      <w:r w:rsidR="00975895" w:rsidRPr="003015FD">
        <w:t xml:space="preserve"> </w:t>
      </w:r>
      <w:r w:rsidRPr="003015FD">
        <w:t>commends</w:t>
      </w:r>
      <w:r w:rsidR="00975895" w:rsidRPr="003015FD">
        <w:t xml:space="preserve"> </w:t>
      </w:r>
      <w:r w:rsidRPr="003015FD">
        <w:t>the</w:t>
      </w:r>
      <w:r w:rsidR="00975895" w:rsidRPr="003015FD">
        <w:t xml:space="preserve"> </w:t>
      </w:r>
      <w:r w:rsidRPr="003015FD">
        <w:t>Victorian</w:t>
      </w:r>
      <w:r w:rsidR="00975895" w:rsidRPr="003015FD">
        <w:t xml:space="preserve"> </w:t>
      </w:r>
      <w:r w:rsidRPr="003015FD">
        <w:t>Secretaries</w:t>
      </w:r>
      <w:r w:rsidR="000C5726">
        <w:t>'</w:t>
      </w:r>
      <w:r w:rsidR="00975895" w:rsidRPr="003015FD">
        <w:t xml:space="preserve"> </w:t>
      </w:r>
      <w:r w:rsidRPr="003015FD">
        <w:t>Board</w:t>
      </w:r>
      <w:r w:rsidR="00975895" w:rsidRPr="003015FD">
        <w:t xml:space="preserve"> </w:t>
      </w:r>
      <w:r w:rsidRPr="003015FD">
        <w:t>commitment</w:t>
      </w:r>
      <w:r w:rsidR="00975895" w:rsidRPr="003015FD">
        <w:t xml:space="preserve"> </w:t>
      </w:r>
      <w:r w:rsidRPr="003015FD">
        <w:t>and</w:t>
      </w:r>
      <w:r w:rsidR="00975895" w:rsidRPr="003015FD">
        <w:t xml:space="preserve"> </w:t>
      </w:r>
      <w:r w:rsidRPr="003015FD">
        <w:t>investment</w:t>
      </w:r>
      <w:r w:rsidR="00975895" w:rsidRPr="003015FD">
        <w:t xml:space="preserve"> </w:t>
      </w:r>
      <w:r w:rsidRPr="003015FD">
        <w:t>to</w:t>
      </w:r>
      <w:r w:rsidR="00975895" w:rsidRPr="003015FD">
        <w:t xml:space="preserve"> </w:t>
      </w:r>
      <w:r w:rsidRPr="003015FD">
        <w:t>respond</w:t>
      </w:r>
      <w:r w:rsidR="00975895" w:rsidRPr="003015FD">
        <w:t xml:space="preserve"> </w:t>
      </w:r>
      <w:r w:rsidRPr="003015FD">
        <w:t>to</w:t>
      </w:r>
      <w:r w:rsidR="00975895" w:rsidRPr="003015FD">
        <w:t xml:space="preserve"> </w:t>
      </w:r>
      <w:r w:rsidRPr="003015FD">
        <w:t>recommendations</w:t>
      </w:r>
      <w:r w:rsidR="00975895" w:rsidRPr="003015FD">
        <w:t xml:space="preserve"> </w:t>
      </w:r>
      <w:r w:rsidRPr="003015FD">
        <w:t>strengthening</w:t>
      </w:r>
      <w:r w:rsidR="00975895" w:rsidRPr="003015FD">
        <w:t xml:space="preserve"> </w:t>
      </w:r>
      <w:r w:rsidRPr="003015FD">
        <w:t>Victoria</w:t>
      </w:r>
      <w:r w:rsidR="000C5726">
        <w:t>'</w:t>
      </w:r>
      <w:r w:rsidRPr="003015FD">
        <w:t>s</w:t>
      </w:r>
      <w:r w:rsidR="00975895" w:rsidRPr="003015FD">
        <w:t xml:space="preserve"> </w:t>
      </w:r>
      <w:r w:rsidRPr="003015FD">
        <w:t>culture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This</w:t>
      </w:r>
      <w:r w:rsidR="00975895" w:rsidRPr="003015FD">
        <w:t xml:space="preserve"> </w:t>
      </w:r>
      <w:r w:rsidRPr="003015FD">
        <w:t>is</w:t>
      </w:r>
      <w:r w:rsidR="00975895" w:rsidRPr="003015FD">
        <w:t xml:space="preserve"> </w:t>
      </w:r>
      <w:r w:rsidRPr="003015FD">
        <w:t>leading</w:t>
      </w:r>
      <w:r w:rsidR="00975895" w:rsidRPr="003015FD">
        <w:t xml:space="preserve"> </w:t>
      </w:r>
      <w:r w:rsidRPr="003015FD">
        <w:t>to</w:t>
      </w:r>
      <w:r w:rsidR="00975895" w:rsidRPr="003015FD">
        <w:t xml:space="preserve"> </w:t>
      </w:r>
      <w:r w:rsidRPr="003015FD">
        <w:t>greater</w:t>
      </w:r>
      <w:r w:rsidR="00975895" w:rsidRPr="003015FD">
        <w:t xml:space="preserve"> </w:t>
      </w:r>
      <w:r w:rsidRPr="003015FD">
        <w:t>awareness</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skills</w:t>
      </w:r>
      <w:r w:rsidR="00975895" w:rsidRPr="003015FD">
        <w:t xml:space="preserve"> </w:t>
      </w:r>
      <w:r w:rsidRPr="003015FD">
        <w:t>in</w:t>
      </w:r>
      <w:r w:rsidR="00975895" w:rsidRPr="003015FD">
        <w:t xml:space="preserve"> </w:t>
      </w:r>
      <w:r w:rsidRPr="003015FD">
        <w:t>applying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and</w:t>
      </w:r>
      <w:r w:rsidR="00975895" w:rsidRPr="003015FD">
        <w:t xml:space="preserve"> </w:t>
      </w:r>
      <w:r w:rsidRPr="003015FD">
        <w:t>resources</w:t>
      </w:r>
      <w:r w:rsidR="00975895" w:rsidRPr="003015FD">
        <w:t xml:space="preserve"> </w:t>
      </w:r>
      <w:r w:rsidRPr="003015FD">
        <w:t>tailored</w:t>
      </w:r>
      <w:r w:rsidR="00975895" w:rsidRPr="003015FD">
        <w:t xml:space="preserve"> </w:t>
      </w:r>
      <w:r w:rsidRPr="003015FD">
        <w:t>to</w:t>
      </w:r>
      <w:r w:rsidR="00975895" w:rsidRPr="003015FD">
        <w:t xml:space="preserve"> </w:t>
      </w:r>
      <w:r w:rsidRPr="003015FD">
        <w:t>the</w:t>
      </w:r>
      <w:r w:rsidR="00975895" w:rsidRPr="003015FD">
        <w:t xml:space="preserve"> </w:t>
      </w:r>
      <w:r w:rsidRPr="003015FD">
        <w:t>public</w:t>
      </w:r>
      <w:r w:rsidR="00975895" w:rsidRPr="003015FD">
        <w:t xml:space="preserve"> </w:t>
      </w:r>
      <w:r w:rsidRPr="003015FD">
        <w:t>sector.</w:t>
      </w:r>
    </w:p>
    <w:p w14:paraId="25D100E3" w14:textId="0C20905F" w:rsidR="008E0945" w:rsidRPr="003015FD" w:rsidRDefault="008E0945" w:rsidP="0002642E">
      <w:r w:rsidRPr="003015FD">
        <w:t>The</w:t>
      </w:r>
      <w:r w:rsidR="00975895" w:rsidRPr="003015FD">
        <w:t xml:space="preserve"> </w:t>
      </w:r>
      <w:r w:rsidRPr="003015FD">
        <w:t>Commission</w:t>
      </w:r>
      <w:r w:rsidR="00975895" w:rsidRPr="003015FD">
        <w:t xml:space="preserve"> </w:t>
      </w:r>
      <w:r w:rsidRPr="003015FD">
        <w:t>urges</w:t>
      </w:r>
      <w:r w:rsidR="00975895" w:rsidRPr="003015FD">
        <w:t xml:space="preserve"> </w:t>
      </w:r>
      <w:r w:rsidRPr="003015FD">
        <w:t>the</w:t>
      </w:r>
      <w:r w:rsidR="00975895" w:rsidRPr="003015FD">
        <w:t xml:space="preserve"> </w:t>
      </w:r>
      <w:r w:rsidR="00D95F5F">
        <w:t>g</w:t>
      </w:r>
      <w:r w:rsidRPr="003015FD">
        <w:t>overnment</w:t>
      </w:r>
      <w:r w:rsidR="00975895" w:rsidRPr="003015FD">
        <w:t xml:space="preserve"> </w:t>
      </w:r>
      <w:r w:rsidRPr="003015FD">
        <w:t>to</w:t>
      </w:r>
      <w:r w:rsidR="00975895" w:rsidRPr="003015FD">
        <w:t xml:space="preserve"> </w:t>
      </w:r>
      <w:r w:rsidRPr="003015FD">
        <w:t>progress</w:t>
      </w:r>
      <w:r w:rsidR="00975895" w:rsidRPr="003015FD">
        <w:t xml:space="preserve"> </w:t>
      </w:r>
      <w:r w:rsidR="00FE6567" w:rsidRPr="003015FD">
        <w:t>all</w:t>
      </w:r>
      <w:r w:rsidR="00975895" w:rsidRPr="003015FD">
        <w:t xml:space="preserve"> </w:t>
      </w:r>
      <w:r w:rsidR="00FE6567" w:rsidRPr="003015FD">
        <w:t>recommendations</w:t>
      </w:r>
      <w:r w:rsidRPr="003015FD">
        <w:t>.</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considers</w:t>
      </w:r>
      <w:r w:rsidR="00975895" w:rsidRPr="003015FD">
        <w:t xml:space="preserve"> </w:t>
      </w:r>
      <w:r w:rsidRPr="003015FD">
        <w:t>that</w:t>
      </w:r>
      <w:r w:rsidR="00975895" w:rsidRPr="003015FD">
        <w:t xml:space="preserve"> </w:t>
      </w:r>
      <w:r w:rsidRPr="003015FD">
        <w:t>implementing</w:t>
      </w:r>
      <w:r w:rsidR="00975895" w:rsidRPr="003015FD">
        <w:t xml:space="preserve"> </w:t>
      </w:r>
      <w:r w:rsidRPr="003015FD">
        <w:t>these</w:t>
      </w:r>
      <w:r w:rsidR="00975895" w:rsidRPr="003015FD">
        <w:t xml:space="preserve"> </w:t>
      </w:r>
      <w:r w:rsidRPr="003015FD">
        <w:t>changes,</w:t>
      </w:r>
      <w:r w:rsidR="00975895" w:rsidRPr="003015FD">
        <w:t xml:space="preserve"> </w:t>
      </w:r>
      <w:r w:rsidRPr="003015FD">
        <w:t>as</w:t>
      </w:r>
      <w:r w:rsidR="00975895" w:rsidRPr="003015FD">
        <w:t xml:space="preserve"> </w:t>
      </w:r>
      <w:r w:rsidRPr="003015FD">
        <w:t>well</w:t>
      </w:r>
      <w:r w:rsidR="00975895" w:rsidRPr="003015FD">
        <w:t xml:space="preserve"> </w:t>
      </w:r>
      <w:r w:rsidRPr="003015FD">
        <w:t>as</w:t>
      </w:r>
      <w:r w:rsidR="00975895" w:rsidRPr="003015FD">
        <w:t xml:space="preserve"> </w:t>
      </w:r>
      <w:r w:rsidRPr="003015FD">
        <w:t>the</w:t>
      </w:r>
      <w:r w:rsidR="00975895" w:rsidRPr="003015FD">
        <w:t xml:space="preserve"> </w:t>
      </w:r>
      <w:r w:rsidRPr="003015FD">
        <w:t>specific</w:t>
      </w:r>
      <w:r w:rsidR="00975895" w:rsidRPr="003015FD">
        <w:t xml:space="preserve"> </w:t>
      </w:r>
      <w:r w:rsidRPr="003015FD">
        <w:t>recommendations</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has</w:t>
      </w:r>
      <w:r w:rsidR="00975895" w:rsidRPr="003015FD">
        <w:t xml:space="preserve"> </w:t>
      </w:r>
      <w:r w:rsidRPr="003015FD">
        <w:t>made</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in</w:t>
      </w:r>
      <w:r w:rsidR="00975895" w:rsidRPr="003015FD">
        <w:t xml:space="preserve"> </w:t>
      </w:r>
      <w:r w:rsidRPr="003015FD">
        <w:t>Chapter</w:t>
      </w:r>
      <w:r w:rsidR="00975895" w:rsidRPr="003015FD">
        <w:t xml:space="preserve"> </w:t>
      </w:r>
      <w:r w:rsidR="003B428A">
        <w:t>2</w:t>
      </w:r>
      <w:r w:rsidR="00975895" w:rsidRPr="003015FD">
        <w:t xml:space="preserve"> </w:t>
      </w:r>
      <w:r w:rsidRPr="003015FD">
        <w:t>of</w:t>
      </w:r>
      <w:r w:rsidR="00975895" w:rsidRPr="003015FD">
        <w:t xml:space="preserve"> </w:t>
      </w:r>
      <w:r w:rsidRPr="003015FD">
        <w:t>this</w:t>
      </w:r>
      <w:r w:rsidR="00975895" w:rsidRPr="003015FD">
        <w:t xml:space="preserve"> </w:t>
      </w:r>
      <w:r w:rsidRPr="003015FD">
        <w:t>report,</w:t>
      </w:r>
      <w:r w:rsidR="00975895" w:rsidRPr="003015FD">
        <w:t xml:space="preserve"> </w:t>
      </w:r>
      <w:r w:rsidRPr="003015FD">
        <w:t>will</w:t>
      </w:r>
      <w:r w:rsidR="00975895" w:rsidRPr="003015FD">
        <w:t xml:space="preserve"> </w:t>
      </w:r>
      <w:r w:rsidRPr="003015FD">
        <w:t>greatly</w:t>
      </w:r>
      <w:r w:rsidR="00975895" w:rsidRPr="003015FD">
        <w:t xml:space="preserve"> </w:t>
      </w:r>
      <w:r w:rsidRPr="003015FD">
        <w:t>strengthen</w:t>
      </w:r>
      <w:r w:rsidR="00975895" w:rsidRPr="003015FD">
        <w:t xml:space="preserve"> </w:t>
      </w:r>
      <w:r w:rsidRPr="003015FD">
        <w:t>the</w:t>
      </w:r>
      <w:r w:rsidR="00975895" w:rsidRPr="003015FD">
        <w:t xml:space="preserve"> </w:t>
      </w:r>
      <w:r w:rsidRPr="003015FD">
        <w:t>protections</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for</w:t>
      </w:r>
      <w:r w:rsidR="00975895" w:rsidRPr="003015FD">
        <w:t xml:space="preserve"> </w:t>
      </w:r>
      <w:r w:rsidRPr="003015FD">
        <w:t>all</w:t>
      </w:r>
      <w:r w:rsidR="00975895" w:rsidRPr="003015FD">
        <w:t xml:space="preserve"> </w:t>
      </w:r>
      <w:r w:rsidRPr="003015FD">
        <w:t>Victorians.</w:t>
      </w:r>
      <w:r w:rsidR="00975895" w:rsidRPr="003015FD">
        <w:t xml:space="preserve"> </w:t>
      </w:r>
    </w:p>
    <w:p w14:paraId="5E1BC520" w14:textId="707F0356" w:rsidR="008E0945" w:rsidRPr="003015FD" w:rsidRDefault="008E0945" w:rsidP="0002642E">
      <w:r w:rsidRPr="003015FD">
        <w:t>The</w:t>
      </w:r>
      <w:r w:rsidR="00975895" w:rsidRPr="003015FD">
        <w:t xml:space="preserve"> </w:t>
      </w:r>
      <w:r w:rsidRPr="003015FD">
        <w:t>2015</w:t>
      </w:r>
      <w:r w:rsidR="00975895" w:rsidRPr="003015FD">
        <w:t xml:space="preserve"> </w:t>
      </w:r>
      <w:r w:rsidRPr="003015FD">
        <w:t>recommendations</w:t>
      </w:r>
      <w:r w:rsidR="00975895" w:rsidRPr="003015FD">
        <w:t xml:space="preserve"> </w:t>
      </w:r>
      <w:r w:rsidRPr="003015FD">
        <w:t>related</w:t>
      </w:r>
      <w:r w:rsidR="00975895" w:rsidRPr="003015FD">
        <w:t xml:space="preserve"> </w:t>
      </w:r>
      <w:r w:rsidRPr="003015FD">
        <w:t>to</w:t>
      </w:r>
      <w:r w:rsidR="00975895" w:rsidRPr="003015FD">
        <w:t xml:space="preserve"> </w:t>
      </w:r>
      <w:r w:rsidRPr="003015FD">
        <w:t>eight</w:t>
      </w:r>
      <w:r w:rsidR="00975895" w:rsidRPr="003015FD">
        <w:t xml:space="preserve"> </w:t>
      </w:r>
      <w:r w:rsidRPr="003015FD">
        <w:t>key</w:t>
      </w:r>
      <w:r w:rsidR="00975895" w:rsidRPr="003015FD">
        <w:t xml:space="preserve"> </w:t>
      </w:r>
      <w:r w:rsidRPr="003015FD">
        <w:t>policy</w:t>
      </w:r>
      <w:r w:rsidR="00975895" w:rsidRPr="003015FD">
        <w:t xml:space="preserve"> </w:t>
      </w:r>
      <w:r w:rsidRPr="003015FD">
        <w:t>areas,</w:t>
      </w:r>
      <w:r w:rsidR="00975895" w:rsidRPr="003015FD">
        <w:t xml:space="preserve"> </w:t>
      </w:r>
      <w:r w:rsidRPr="003015FD">
        <w:t>outlined</w:t>
      </w:r>
      <w:r w:rsidR="00975895" w:rsidRPr="003015FD">
        <w:t xml:space="preserve"> </w:t>
      </w:r>
      <w:r w:rsidRPr="003015FD">
        <w:t>below.</w:t>
      </w:r>
    </w:p>
    <w:p w14:paraId="6A665376" w14:textId="584F4ED2" w:rsidR="008E0945" w:rsidRPr="0002642E" w:rsidRDefault="008E0945" w:rsidP="0002642E">
      <w:pPr>
        <w:pStyle w:val="Heading4"/>
        <w:numPr>
          <w:ilvl w:val="0"/>
          <w:numId w:val="54"/>
        </w:numPr>
      </w:pPr>
      <w:r w:rsidRPr="0002642E">
        <w:t>Building</w:t>
      </w:r>
      <w:r w:rsidR="00975895" w:rsidRPr="0002642E">
        <w:t xml:space="preserve"> </w:t>
      </w:r>
      <w:r w:rsidRPr="0002642E">
        <w:t>our</w:t>
      </w:r>
      <w:r w:rsidR="00975895" w:rsidRPr="0002642E">
        <w:t xml:space="preserve"> </w:t>
      </w:r>
      <w:r w:rsidRPr="0002642E">
        <w:t>human</w:t>
      </w:r>
      <w:r w:rsidR="00975895" w:rsidRPr="0002642E">
        <w:t xml:space="preserve"> </w:t>
      </w:r>
      <w:r w:rsidRPr="0002642E">
        <w:t>rights</w:t>
      </w:r>
      <w:r w:rsidR="00975895" w:rsidRPr="0002642E">
        <w:t xml:space="preserve"> </w:t>
      </w:r>
      <w:r w:rsidRPr="0002642E">
        <w:t>culture</w:t>
      </w:r>
      <w:r w:rsidR="00975895" w:rsidRPr="0002642E">
        <w:t xml:space="preserve"> </w:t>
      </w:r>
    </w:p>
    <w:p w14:paraId="729CB2DA" w14:textId="758FC4F9" w:rsidR="008E0945" w:rsidRPr="003015FD" w:rsidRDefault="008E0945" w:rsidP="0002642E">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found</w:t>
      </w:r>
      <w:r w:rsidR="00975895" w:rsidRPr="003015FD">
        <w:t xml:space="preserve"> </w:t>
      </w:r>
      <w:r w:rsidRPr="003015FD">
        <w:t>that,</w:t>
      </w:r>
      <w:r w:rsidR="00975895" w:rsidRPr="003015FD">
        <w:t xml:space="preserve"> </w:t>
      </w:r>
      <w:r w:rsidRPr="003015FD">
        <w:t>for</w:t>
      </w:r>
      <w:r w:rsidR="00975895" w:rsidRPr="003015FD">
        <w:t xml:space="preserve"> </w:t>
      </w:r>
      <w:r w:rsidRPr="003015FD">
        <w:t>the</w:t>
      </w:r>
      <w:r w:rsidR="00975895" w:rsidRPr="003015FD">
        <w:t xml:space="preserve"> </w:t>
      </w:r>
      <w:r w:rsidRPr="003015FD">
        <w:t>Charter</w:t>
      </w:r>
      <w:r w:rsidR="00975895" w:rsidRPr="003015FD">
        <w:t xml:space="preserve"> </w:t>
      </w:r>
      <w:r w:rsidRPr="003015FD">
        <w:t>to</w:t>
      </w:r>
      <w:r w:rsidR="00975895" w:rsidRPr="003015FD">
        <w:t xml:space="preserve"> </w:t>
      </w:r>
      <w:r w:rsidRPr="003015FD">
        <w:t>be</w:t>
      </w:r>
      <w:r w:rsidR="00975895" w:rsidRPr="003015FD">
        <w:t xml:space="preserve"> </w:t>
      </w:r>
      <w:r w:rsidRPr="003015FD">
        <w:t>effective,</w:t>
      </w:r>
      <w:r w:rsidR="00975895" w:rsidRPr="003015FD">
        <w:t xml:space="preserve"> </w:t>
      </w:r>
      <w:r w:rsidRPr="003015FD">
        <w:t>the</w:t>
      </w:r>
      <w:r w:rsidR="00975895" w:rsidRPr="003015FD">
        <w:t xml:space="preserve"> </w:t>
      </w:r>
      <w:r w:rsidRPr="003015FD">
        <w:t>Victorian</w:t>
      </w:r>
      <w:r w:rsidR="00975895" w:rsidRPr="003015FD">
        <w:t xml:space="preserve"> </w:t>
      </w:r>
      <w:r w:rsidRPr="003015FD">
        <w:t>Government</w:t>
      </w:r>
      <w:r w:rsidR="00975895" w:rsidRPr="003015FD">
        <w:t xml:space="preserve"> </w:t>
      </w:r>
      <w:r w:rsidRPr="003015FD">
        <w:t>must</w:t>
      </w:r>
      <w:r w:rsidR="00975895" w:rsidRPr="003015FD">
        <w:t xml:space="preserve"> </w:t>
      </w:r>
      <w:r w:rsidRPr="003015FD">
        <w:t>prioritise</w:t>
      </w:r>
      <w:r w:rsidR="00975895" w:rsidRPr="003015FD">
        <w:t xml:space="preserve"> </w:t>
      </w:r>
      <w:r w:rsidRPr="003015FD">
        <w:t>work</w:t>
      </w:r>
      <w:r w:rsidR="00975895" w:rsidRPr="003015FD">
        <w:t xml:space="preserve"> </w:t>
      </w:r>
      <w:r w:rsidRPr="003015FD">
        <w:t>to</w:t>
      </w:r>
      <w:r w:rsidR="00975895" w:rsidRPr="003015FD">
        <w:t xml:space="preserve"> </w:t>
      </w:r>
      <w:r w:rsidRPr="003015FD">
        <w:t>build</w:t>
      </w:r>
      <w:r w:rsidR="00975895" w:rsidRPr="003015FD">
        <w:t xml:space="preserve"> </w:t>
      </w:r>
      <w:r w:rsidRPr="003015FD">
        <w:t>a</w:t>
      </w:r>
      <w:r w:rsidR="00975895" w:rsidRPr="003015FD">
        <w:t xml:space="preserve"> </w:t>
      </w:r>
      <w:r w:rsidRPr="003015FD">
        <w:t>stronger</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It</w:t>
      </w:r>
      <w:r w:rsidR="00975895" w:rsidRPr="003015FD">
        <w:t xml:space="preserve"> </w:t>
      </w:r>
      <w:r w:rsidRPr="003015FD">
        <w:t>found</w:t>
      </w:r>
      <w:r w:rsidR="00975895" w:rsidRPr="003015FD">
        <w:t xml:space="preserve"> </w:t>
      </w:r>
      <w:r w:rsidRPr="003015FD">
        <w:t>that</w:t>
      </w:r>
      <w:r w:rsidR="00975895" w:rsidRPr="003015FD">
        <w:t xml:space="preserve"> </w:t>
      </w:r>
      <w:r w:rsidRPr="003015FD">
        <w:t>Victoria</w:t>
      </w:r>
      <w:r w:rsidR="00975895" w:rsidRPr="003015FD">
        <w:t xml:space="preserve"> </w:t>
      </w:r>
      <w:r w:rsidRPr="003015FD">
        <w:t>needs</w:t>
      </w:r>
      <w:r w:rsidR="00975895" w:rsidRPr="003015FD">
        <w:t xml:space="preserve"> </w:t>
      </w:r>
      <w:r w:rsidRPr="003015FD">
        <w:t>a</w:t>
      </w:r>
      <w:r w:rsidR="00975895" w:rsidRPr="003015FD">
        <w:t xml:space="preserve"> </w:t>
      </w:r>
      <w:r w:rsidRPr="003015FD">
        <w:t>culture</w:t>
      </w:r>
      <w:r w:rsidR="00975895" w:rsidRPr="003015FD">
        <w:t xml:space="preserve"> </w:t>
      </w:r>
      <w:r w:rsidRPr="003015FD">
        <w:t>that</w:t>
      </w:r>
      <w:r w:rsidR="00975895" w:rsidRPr="003015FD">
        <w:t xml:space="preserve"> </w:t>
      </w:r>
      <w:r w:rsidRPr="003015FD">
        <w:t>makes</w:t>
      </w:r>
      <w:r w:rsidR="00975895" w:rsidRPr="003015FD">
        <w:t xml:space="preserve"> </w:t>
      </w:r>
      <w:r w:rsidRPr="003015FD">
        <w:t>human</w:t>
      </w:r>
      <w:r w:rsidR="00975895" w:rsidRPr="003015FD">
        <w:t xml:space="preserve"> </w:t>
      </w:r>
      <w:r w:rsidRPr="003015FD">
        <w:t>rights</w:t>
      </w:r>
      <w:r w:rsidR="00975895" w:rsidRPr="003015FD">
        <w:t xml:space="preserve"> </w:t>
      </w:r>
      <w:r w:rsidRPr="003015FD">
        <w:t>real</w:t>
      </w:r>
      <w:r w:rsidR="00975895" w:rsidRPr="003015FD">
        <w:t xml:space="preserve"> </w:t>
      </w:r>
      <w:r w:rsidRPr="003015FD">
        <w:t>in</w:t>
      </w:r>
      <w:r w:rsidR="00975895" w:rsidRPr="003015FD">
        <w:t xml:space="preserve"> </w:t>
      </w:r>
      <w:r w:rsidRPr="003015FD">
        <w:t>people</w:t>
      </w:r>
      <w:r w:rsidR="000C5726">
        <w:t>'</w:t>
      </w:r>
      <w:r w:rsidRPr="003015FD">
        <w:t>s</w:t>
      </w:r>
      <w:r w:rsidR="00975895" w:rsidRPr="003015FD">
        <w:t xml:space="preserve"> </w:t>
      </w:r>
      <w:r w:rsidRPr="003015FD">
        <w:t>everyday</w:t>
      </w:r>
      <w:r w:rsidR="00975895" w:rsidRPr="003015FD">
        <w:t xml:space="preserve"> </w:t>
      </w:r>
      <w:r w:rsidRPr="003015FD">
        <w:t>interaction</w:t>
      </w:r>
      <w:r w:rsidR="00975895" w:rsidRPr="003015FD">
        <w:t xml:space="preserve"> </w:t>
      </w:r>
      <w:r w:rsidRPr="003015FD">
        <w:t>with</w:t>
      </w:r>
      <w:r w:rsidR="00975895" w:rsidRPr="003015FD">
        <w:t xml:space="preserve"> </w:t>
      </w:r>
      <w:r w:rsidRPr="003015FD">
        <w:t>government,</w:t>
      </w:r>
      <w:r w:rsidR="00975895" w:rsidRPr="003015FD">
        <w:t xml:space="preserve"> </w:t>
      </w:r>
      <w:r w:rsidRPr="003015FD">
        <w:t>and</w:t>
      </w:r>
      <w:r w:rsidR="00975895" w:rsidRPr="003015FD">
        <w:t xml:space="preserve"> </w:t>
      </w:r>
      <w:r w:rsidRPr="003015FD">
        <w:t>that</w:t>
      </w:r>
      <w:r w:rsidR="00975895" w:rsidRPr="003015FD">
        <w:t xml:space="preserve"> </w:t>
      </w:r>
      <w:r w:rsidRPr="003015FD">
        <w:t>a</w:t>
      </w:r>
      <w:r w:rsidR="00975895" w:rsidRPr="003015FD">
        <w:t xml:space="preserve"> </w:t>
      </w:r>
      <w:r w:rsidRPr="003015FD">
        <w:t>strong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culture</w:t>
      </w:r>
      <w:r w:rsidR="00975895" w:rsidRPr="003015FD">
        <w:t xml:space="preserve"> </w:t>
      </w:r>
      <w:r w:rsidRPr="003015FD">
        <w:t>facilitates</w:t>
      </w:r>
      <w:r w:rsidR="00975895" w:rsidRPr="003015FD">
        <w:t xml:space="preserve"> </w:t>
      </w:r>
      <w:r w:rsidRPr="003015FD">
        <w:t>better</w:t>
      </w:r>
      <w:r w:rsidR="00975895" w:rsidRPr="003015FD">
        <w:t xml:space="preserve"> </w:t>
      </w:r>
      <w:r w:rsidRPr="003015FD">
        <w:t>government</w:t>
      </w:r>
      <w:r w:rsidR="00975895" w:rsidRPr="003015FD">
        <w:t xml:space="preserve"> </w:t>
      </w:r>
      <w:r w:rsidRPr="003015FD">
        <w:t>decision-making.</w:t>
      </w:r>
    </w:p>
    <w:p w14:paraId="00863F00" w14:textId="278479DF" w:rsidR="008E0945" w:rsidRPr="003015FD" w:rsidRDefault="008E0945" w:rsidP="0002642E">
      <w:pPr>
        <w:pStyle w:val="Heading4"/>
        <w:numPr>
          <w:ilvl w:val="0"/>
          <w:numId w:val="54"/>
        </w:numPr>
      </w:pPr>
      <w:r w:rsidRPr="003015FD">
        <w:t>Clarifying</w:t>
      </w:r>
      <w:r w:rsidR="00975895" w:rsidRPr="003015FD">
        <w:t xml:space="preserve"> </w:t>
      </w:r>
      <w:r w:rsidRPr="003015FD">
        <w:t>responsibilities</w:t>
      </w:r>
      <w:r w:rsidR="00975895" w:rsidRPr="003015FD">
        <w:t xml:space="preserve"> </w:t>
      </w:r>
      <w:r w:rsidRPr="003015FD">
        <w:t>for</w:t>
      </w:r>
      <w:r w:rsidR="00975895" w:rsidRPr="003015FD">
        <w:t xml:space="preserve"> </w:t>
      </w:r>
      <w:r w:rsidRPr="003015FD">
        <w:t>human</w:t>
      </w:r>
      <w:r w:rsidR="00975895" w:rsidRPr="003015FD">
        <w:t xml:space="preserve"> </w:t>
      </w:r>
      <w:r w:rsidRPr="003015FD">
        <w:t>rights</w:t>
      </w:r>
      <w:r w:rsidR="00975895" w:rsidRPr="003015FD">
        <w:t xml:space="preserve"> </w:t>
      </w:r>
    </w:p>
    <w:p w14:paraId="392B8265" w14:textId="20442BC4" w:rsidR="008E0945" w:rsidRPr="003015FD" w:rsidRDefault="008E0945" w:rsidP="0002642E">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made</w:t>
      </w:r>
      <w:r w:rsidR="00975895" w:rsidRPr="003015FD">
        <w:t xml:space="preserve"> </w:t>
      </w:r>
      <w:r w:rsidRPr="003015FD">
        <w:t>recommendations</w:t>
      </w:r>
      <w:r w:rsidR="00975895" w:rsidRPr="003015FD">
        <w:t xml:space="preserve"> </w:t>
      </w:r>
      <w:r w:rsidRPr="003015FD">
        <w:t>for</w:t>
      </w:r>
      <w:r w:rsidR="00975895" w:rsidRPr="003015FD">
        <w:t xml:space="preserve"> </w:t>
      </w:r>
      <w:r w:rsidRPr="003015FD">
        <w:t>clarifying</w:t>
      </w:r>
      <w:r w:rsidR="00975895" w:rsidRPr="003015FD">
        <w:t xml:space="preserve"> </w:t>
      </w:r>
      <w:r w:rsidRPr="003015FD">
        <w:t>the</w:t>
      </w:r>
      <w:r w:rsidR="00975895" w:rsidRPr="003015FD">
        <w:t xml:space="preserve"> </w:t>
      </w:r>
      <w:r w:rsidRPr="003015FD">
        <w:t>role</w:t>
      </w:r>
      <w:r w:rsidR="00975895" w:rsidRPr="003015FD">
        <w:t xml:space="preserve"> </w:t>
      </w:r>
      <w:r w:rsidRPr="003015FD">
        <w:t>of</w:t>
      </w:r>
      <w:r w:rsidR="00975895" w:rsidRPr="003015FD">
        <w:t xml:space="preserve"> </w:t>
      </w:r>
      <w:r w:rsidRPr="003015FD">
        <w:t>public</w:t>
      </w:r>
      <w:r w:rsidR="00975895" w:rsidRPr="003015FD">
        <w:t xml:space="preserve"> </w:t>
      </w:r>
      <w:r w:rsidRPr="003015FD">
        <w:t>sector</w:t>
      </w:r>
      <w:r w:rsidR="00975895" w:rsidRPr="003015FD">
        <w:t xml:space="preserve"> </w:t>
      </w:r>
      <w:r w:rsidRPr="003015FD">
        <w:t>organisations</w:t>
      </w:r>
      <w:r w:rsidR="00975895" w:rsidRPr="003015FD">
        <w:t xml:space="preserve"> </w:t>
      </w:r>
      <w:r w:rsidRPr="003015FD">
        <w:t>and</w:t>
      </w:r>
      <w:r w:rsidR="00975895" w:rsidRPr="003015FD">
        <w:t xml:space="preserve"> </w:t>
      </w:r>
      <w:r w:rsidRPr="003015FD">
        <w:t>their</w:t>
      </w:r>
      <w:r w:rsidR="00975895" w:rsidRPr="003015FD">
        <w:t xml:space="preserve"> </w:t>
      </w:r>
      <w:r w:rsidRPr="003015FD">
        <w:t>responsibilities</w:t>
      </w:r>
      <w:r w:rsidR="00975895" w:rsidRPr="003015FD">
        <w:t xml:space="preserve"> </w:t>
      </w:r>
      <w:r w:rsidRPr="003015FD">
        <w:t>in</w:t>
      </w:r>
      <w:r w:rsidR="00975895" w:rsidRPr="003015FD">
        <w:t xml:space="preserve"> </w:t>
      </w:r>
      <w:r w:rsidRPr="003015FD">
        <w:t>relation</w:t>
      </w:r>
      <w:r w:rsidR="00975895" w:rsidRPr="003015FD">
        <w:t xml:space="preserve"> </w:t>
      </w:r>
      <w:r w:rsidRPr="003015FD">
        <w:t>to</w:t>
      </w:r>
      <w:r w:rsidR="00975895" w:rsidRPr="003015FD">
        <w:t xml:space="preserve"> </w:t>
      </w:r>
      <w:r w:rsidRPr="003015FD">
        <w:t>protecting</w:t>
      </w:r>
      <w:r w:rsidR="00975895" w:rsidRPr="003015FD">
        <w:t xml:space="preserve"> </w:t>
      </w:r>
      <w:r w:rsidRPr="003015FD">
        <w:t>and</w:t>
      </w:r>
      <w:r w:rsidR="00975895" w:rsidRPr="003015FD">
        <w:t xml:space="preserve"> </w:t>
      </w:r>
      <w:r w:rsidRPr="003015FD">
        <w:t>promoting</w:t>
      </w:r>
      <w:r w:rsidR="00975895" w:rsidRPr="003015FD">
        <w:t xml:space="preserve"> </w:t>
      </w:r>
      <w:r w:rsidRPr="003015FD">
        <w:t>human</w:t>
      </w:r>
      <w:r w:rsidR="00975895" w:rsidRPr="003015FD">
        <w:t xml:space="preserve"> </w:t>
      </w:r>
      <w:r w:rsidRPr="003015FD">
        <w:t>rights.</w:t>
      </w:r>
      <w:r w:rsidR="00975895" w:rsidRPr="003015FD">
        <w:t xml:space="preserve"> </w:t>
      </w:r>
      <w:r w:rsidRPr="003015FD">
        <w:t>These</w:t>
      </w:r>
      <w:r w:rsidR="00975895" w:rsidRPr="003015FD">
        <w:t xml:space="preserve"> </w:t>
      </w:r>
      <w:r w:rsidRPr="003015FD">
        <w:t>included</w:t>
      </w:r>
      <w:r w:rsidR="00975895" w:rsidRPr="003015FD">
        <w:t xml:space="preserve"> </w:t>
      </w:r>
      <w:r w:rsidRPr="003015FD">
        <w:t>recommendations</w:t>
      </w:r>
      <w:r w:rsidR="00975895" w:rsidRPr="003015FD">
        <w:t xml:space="preserve"> </w:t>
      </w:r>
      <w:r w:rsidRPr="003015FD">
        <w:t>to</w:t>
      </w:r>
      <w:r w:rsidR="00975895" w:rsidRPr="003015FD">
        <w:t xml:space="preserve"> </w:t>
      </w:r>
      <w:r w:rsidRPr="003015FD">
        <w:t>ensure</w:t>
      </w:r>
      <w:r w:rsidR="00975895" w:rsidRPr="003015FD">
        <w:t xml:space="preserve"> </w:t>
      </w:r>
      <w:r w:rsidRPr="003015FD">
        <w:t>greater</w:t>
      </w:r>
      <w:r w:rsidR="00975895" w:rsidRPr="003015FD">
        <w:t xml:space="preserve"> </w:t>
      </w:r>
      <w:r w:rsidRPr="003015FD">
        <w:t>certainty</w:t>
      </w:r>
      <w:r w:rsidR="00975895" w:rsidRPr="003015FD">
        <w:t xml:space="preserve"> </w:t>
      </w:r>
      <w:r w:rsidRPr="003015FD">
        <w:t>about</w:t>
      </w:r>
      <w:r w:rsidR="00975895" w:rsidRPr="003015FD">
        <w:t xml:space="preserve"> </w:t>
      </w:r>
      <w:r w:rsidRPr="003015FD">
        <w:t>who</w:t>
      </w:r>
      <w:r w:rsidR="00975895" w:rsidRPr="003015FD">
        <w:t xml:space="preserve"> </w:t>
      </w:r>
      <w:r w:rsidRPr="003015FD">
        <w:t>is</w:t>
      </w:r>
      <w:r w:rsidR="00975895" w:rsidRPr="003015FD">
        <w:t xml:space="preserve"> </w:t>
      </w:r>
      <w:r w:rsidRPr="003015FD">
        <w:t>a</w:t>
      </w:r>
      <w:r w:rsidR="00975895" w:rsidRPr="003015FD">
        <w:t xml:space="preserve"> </w:t>
      </w:r>
      <w:r w:rsidRPr="003015FD">
        <w:t>public</w:t>
      </w:r>
      <w:r w:rsidR="00975895" w:rsidRPr="003015FD">
        <w:t xml:space="preserve"> </w:t>
      </w:r>
      <w:r w:rsidRPr="003015FD">
        <w:t>authority.</w:t>
      </w:r>
    </w:p>
    <w:p w14:paraId="55363AA7" w14:textId="724FCA2D" w:rsidR="008E0945" w:rsidRPr="0002642E" w:rsidRDefault="008E0945" w:rsidP="0002642E">
      <w:pPr>
        <w:pStyle w:val="Heading4"/>
        <w:numPr>
          <w:ilvl w:val="0"/>
          <w:numId w:val="54"/>
        </w:numPr>
      </w:pPr>
      <w:r w:rsidRPr="0002642E">
        <w:lastRenderedPageBreak/>
        <w:t>The</w:t>
      </w:r>
      <w:r w:rsidR="00975895" w:rsidRPr="0002642E">
        <w:t xml:space="preserve"> </w:t>
      </w:r>
      <w:r w:rsidRPr="0002642E">
        <w:t>role</w:t>
      </w:r>
      <w:r w:rsidR="00975895" w:rsidRPr="0002642E">
        <w:t xml:space="preserve"> </w:t>
      </w:r>
      <w:r w:rsidRPr="0002642E">
        <w:t>of</w:t>
      </w:r>
      <w:r w:rsidR="00975895" w:rsidRPr="0002642E">
        <w:t xml:space="preserve"> </w:t>
      </w:r>
      <w:r w:rsidRPr="0002642E">
        <w:t>statutory</w:t>
      </w:r>
      <w:r w:rsidR="00975895" w:rsidRPr="0002642E">
        <w:t xml:space="preserve"> </w:t>
      </w:r>
      <w:r w:rsidRPr="0002642E">
        <w:t>authorities</w:t>
      </w:r>
      <w:r w:rsidR="00975895" w:rsidRPr="0002642E">
        <w:t xml:space="preserve"> </w:t>
      </w:r>
    </w:p>
    <w:p w14:paraId="1C74F56F" w14:textId="7A0C2797" w:rsidR="008E0945" w:rsidRPr="003015FD" w:rsidRDefault="008E0945" w:rsidP="0002642E">
      <w:r w:rsidRPr="003015FD">
        <w:t>The</w:t>
      </w:r>
      <w:r w:rsidR="00975895" w:rsidRPr="003015FD">
        <w:t xml:space="preserve"> </w:t>
      </w:r>
      <w:r w:rsidRPr="003015FD">
        <w:t>2015</w:t>
      </w:r>
      <w:r w:rsidR="00553B44">
        <w:t xml:space="preserve"> Review</w:t>
      </w:r>
      <w:r w:rsidR="00975895" w:rsidRPr="003015FD">
        <w:t xml:space="preserve"> </w:t>
      </w:r>
      <w:r w:rsidRPr="003015FD">
        <w:t>set</w:t>
      </w:r>
      <w:r w:rsidR="00975895" w:rsidRPr="003015FD">
        <w:t xml:space="preserve"> </w:t>
      </w:r>
      <w:r w:rsidRPr="003015FD">
        <w:t>out</w:t>
      </w:r>
      <w:r w:rsidR="00975895" w:rsidRPr="003015FD">
        <w:t xml:space="preserve"> </w:t>
      </w:r>
      <w:r w:rsidRPr="003015FD">
        <w:t>recommendations</w:t>
      </w:r>
      <w:r w:rsidR="00975895" w:rsidRPr="003015FD">
        <w:t xml:space="preserve"> </w:t>
      </w:r>
      <w:r w:rsidRPr="003015FD">
        <w:t>to</w:t>
      </w:r>
      <w:r w:rsidR="00975895" w:rsidRPr="003015FD">
        <w:t xml:space="preserve"> </w:t>
      </w:r>
      <w:r w:rsidRPr="003015FD">
        <w:t>better</w:t>
      </w:r>
      <w:r w:rsidR="00975895" w:rsidRPr="003015FD">
        <w:t xml:space="preserve"> </w:t>
      </w:r>
      <w:r w:rsidRPr="003015FD">
        <w:t>facilitate</w:t>
      </w:r>
      <w:r w:rsidR="00975895" w:rsidRPr="003015FD">
        <w:t xml:space="preserve"> </w:t>
      </w:r>
      <w:r w:rsidRPr="003015FD">
        <w:t>compliance</w:t>
      </w:r>
      <w:r w:rsidR="00975895" w:rsidRPr="003015FD">
        <w:t xml:space="preserve"> </w:t>
      </w:r>
      <w:r w:rsidRPr="003015FD">
        <w:t>with</w:t>
      </w:r>
      <w:r w:rsidR="00975895" w:rsidRPr="003015FD">
        <w:t xml:space="preserve"> </w:t>
      </w:r>
      <w:r w:rsidRPr="003015FD">
        <w:t>the</w:t>
      </w:r>
      <w:r w:rsidR="00975895" w:rsidRPr="003015FD">
        <w:t xml:space="preserve"> </w:t>
      </w:r>
      <w:r w:rsidRPr="003015FD">
        <w:t>Charter,</w:t>
      </w:r>
      <w:r w:rsidR="00975895" w:rsidRPr="003015FD">
        <w:t xml:space="preserve"> </w:t>
      </w:r>
      <w:r w:rsidRPr="003015FD">
        <w:t>support</w:t>
      </w:r>
      <w:r w:rsidR="00975895" w:rsidRPr="003015FD">
        <w:t xml:space="preserve"> </w:t>
      </w:r>
      <w:r w:rsidRPr="003015FD">
        <w:t>the</w:t>
      </w:r>
      <w:r w:rsidR="00975895" w:rsidRPr="003015FD">
        <w:t xml:space="preserve"> </w:t>
      </w:r>
      <w:r w:rsidRPr="003015FD">
        <w:t>resolution</w:t>
      </w:r>
      <w:r w:rsidR="00975895" w:rsidRPr="003015FD">
        <w:t xml:space="preserve"> </w:t>
      </w:r>
      <w:r w:rsidRPr="003015FD">
        <w:t>of</w:t>
      </w:r>
      <w:r w:rsidR="00975895" w:rsidRPr="003015FD">
        <w:t xml:space="preserve"> </w:t>
      </w:r>
      <w:r w:rsidRPr="003015FD">
        <w:t>issues</w:t>
      </w:r>
      <w:r w:rsidR="00975895" w:rsidRPr="003015FD">
        <w:t xml:space="preserve"> </w:t>
      </w:r>
      <w:r w:rsidRPr="003015FD">
        <w:t>when</w:t>
      </w:r>
      <w:r w:rsidR="00975895" w:rsidRPr="003015FD">
        <w:t xml:space="preserve"> </w:t>
      </w:r>
      <w:r w:rsidRPr="003015FD">
        <w:t>a</w:t>
      </w:r>
      <w:r w:rsidR="00975895" w:rsidRPr="003015FD">
        <w:t xml:space="preserve"> </w:t>
      </w:r>
      <w:r w:rsidRPr="003015FD">
        <w:t>member</w:t>
      </w:r>
      <w:r w:rsidR="00975895" w:rsidRPr="003015FD">
        <w:t xml:space="preserve"> </w:t>
      </w:r>
      <w:r w:rsidRPr="003015FD">
        <w:t>of</w:t>
      </w:r>
      <w:r w:rsidR="00975895" w:rsidRPr="003015FD">
        <w:t xml:space="preserve"> </w:t>
      </w:r>
      <w:r w:rsidRPr="003015FD">
        <w:t>the</w:t>
      </w:r>
      <w:r w:rsidR="00975895" w:rsidRPr="003015FD">
        <w:t xml:space="preserve"> </w:t>
      </w:r>
      <w:r w:rsidRPr="003015FD">
        <w:t>community</w:t>
      </w:r>
      <w:r w:rsidR="00975895" w:rsidRPr="003015FD">
        <w:t xml:space="preserve"> </w:t>
      </w:r>
      <w:r w:rsidRPr="003015FD">
        <w:t>is</w:t>
      </w:r>
      <w:r w:rsidR="00975895" w:rsidRPr="003015FD">
        <w:t xml:space="preserve"> </w:t>
      </w:r>
      <w:r w:rsidRPr="003015FD">
        <w:t>concerned</w:t>
      </w:r>
      <w:r w:rsidR="00975895" w:rsidRPr="003015FD">
        <w:t xml:space="preserve"> </w:t>
      </w:r>
      <w:r w:rsidRPr="003015FD">
        <w:t>government</w:t>
      </w:r>
      <w:r w:rsidR="00975895" w:rsidRPr="003015FD">
        <w:t xml:space="preserve"> </w:t>
      </w:r>
      <w:r w:rsidRPr="003015FD">
        <w:t>has</w:t>
      </w:r>
      <w:r w:rsidR="00975895" w:rsidRPr="003015FD">
        <w:t xml:space="preserve"> </w:t>
      </w:r>
      <w:r w:rsidRPr="003015FD">
        <w:t>not</w:t>
      </w:r>
      <w:r w:rsidR="00975895" w:rsidRPr="003015FD">
        <w:t xml:space="preserve"> </w:t>
      </w:r>
      <w:r w:rsidRPr="003015FD">
        <w:t>complied</w:t>
      </w:r>
      <w:r w:rsidR="00975895" w:rsidRPr="003015FD">
        <w:t xml:space="preserve"> </w:t>
      </w:r>
      <w:r w:rsidRPr="003015FD">
        <w:t>with</w:t>
      </w:r>
      <w:r w:rsidR="00975895" w:rsidRPr="003015FD">
        <w:t xml:space="preserve"> </w:t>
      </w:r>
      <w:r w:rsidRPr="003015FD">
        <w:t>the</w:t>
      </w:r>
      <w:r w:rsidR="00975895" w:rsidRPr="003015FD">
        <w:t xml:space="preserve"> </w:t>
      </w:r>
      <w:r w:rsidRPr="003015FD">
        <w:t>law,</w:t>
      </w:r>
      <w:r w:rsidR="00975895" w:rsidRPr="003015FD">
        <w:t xml:space="preserve"> </w:t>
      </w:r>
      <w:r w:rsidRPr="003015FD">
        <w:t>and</w:t>
      </w:r>
      <w:r w:rsidR="00975895" w:rsidRPr="003015FD">
        <w:t xml:space="preserve"> </w:t>
      </w:r>
      <w:r w:rsidRPr="003015FD">
        <w:t>to</w:t>
      </w:r>
      <w:r w:rsidR="00975895" w:rsidRPr="003015FD">
        <w:t xml:space="preserve"> </w:t>
      </w:r>
      <w:r w:rsidRPr="003015FD">
        <w:t>clarify</w:t>
      </w:r>
      <w:r w:rsidR="00975895" w:rsidRPr="003015FD">
        <w:t xml:space="preserve"> </w:t>
      </w:r>
      <w:r w:rsidRPr="003015FD">
        <w:t>oversight</w:t>
      </w:r>
      <w:r w:rsidR="00975895" w:rsidRPr="003015FD">
        <w:t xml:space="preserve"> </w:t>
      </w:r>
      <w:r w:rsidRPr="003015FD">
        <w:t>roles.</w:t>
      </w:r>
      <w:r w:rsidR="00975895" w:rsidRPr="003015FD">
        <w:t xml:space="preserve"> </w:t>
      </w:r>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found</w:t>
      </w:r>
      <w:r w:rsidR="00975895" w:rsidRPr="003015FD">
        <w:t xml:space="preserve"> </w:t>
      </w:r>
      <w:r w:rsidRPr="003015FD">
        <w:t>the</w:t>
      </w:r>
      <w:r w:rsidR="00975895" w:rsidRPr="003015FD">
        <w:t xml:space="preserve"> </w:t>
      </w:r>
      <w:r w:rsidRPr="003015FD">
        <w:t>Charter</w:t>
      </w:r>
      <w:r w:rsidR="00975895" w:rsidRPr="003015FD">
        <w:t xml:space="preserve"> </w:t>
      </w:r>
      <w:r w:rsidRPr="003015FD">
        <w:t>is</w:t>
      </w:r>
      <w:r w:rsidR="00975895" w:rsidRPr="003015FD">
        <w:t xml:space="preserve"> </w:t>
      </w:r>
      <w:r w:rsidRPr="003015FD">
        <w:t>missing</w:t>
      </w:r>
      <w:r w:rsidR="00975895" w:rsidRPr="003015FD">
        <w:t xml:space="preserve"> </w:t>
      </w:r>
      <w:r w:rsidRPr="003015FD">
        <w:t>key</w:t>
      </w:r>
      <w:r w:rsidR="00975895" w:rsidRPr="003015FD">
        <w:t xml:space="preserve"> </w:t>
      </w:r>
      <w:r w:rsidRPr="003015FD">
        <w:t>elements</w:t>
      </w:r>
      <w:r w:rsidR="00975895" w:rsidRPr="003015FD">
        <w:t xml:space="preserve"> </w:t>
      </w:r>
      <w:r w:rsidRPr="003015FD">
        <w:t>of</w:t>
      </w:r>
      <w:r w:rsidR="00975895" w:rsidRPr="003015FD">
        <w:t xml:space="preserve"> </w:t>
      </w:r>
      <w:r w:rsidRPr="003015FD">
        <w:t>an</w:t>
      </w:r>
      <w:r w:rsidR="00975895" w:rsidRPr="003015FD">
        <w:t xml:space="preserve"> </w:t>
      </w:r>
      <w:r w:rsidRPr="003015FD">
        <w:t>effective</w:t>
      </w:r>
      <w:r w:rsidR="00975895" w:rsidRPr="003015FD">
        <w:t xml:space="preserve"> </w:t>
      </w:r>
      <w:r w:rsidRPr="003015FD">
        <w:t>regulatory</w:t>
      </w:r>
      <w:r w:rsidR="00975895" w:rsidRPr="003015FD">
        <w:t xml:space="preserve"> </w:t>
      </w:r>
      <w:r w:rsidRPr="003015FD">
        <w:t>system.</w:t>
      </w:r>
      <w:r w:rsidR="00975895" w:rsidRPr="003015FD">
        <w:t xml:space="preserve"> </w:t>
      </w:r>
      <w:r w:rsidRPr="003015FD">
        <w:t>It</w:t>
      </w:r>
      <w:r w:rsidR="00975895" w:rsidRPr="003015FD">
        <w:t xml:space="preserve"> </w:t>
      </w:r>
      <w:r w:rsidRPr="003015FD">
        <w:t>recommended</w:t>
      </w:r>
      <w:r w:rsidR="00975895" w:rsidRPr="003015FD">
        <w:t xml:space="preserve"> </w:t>
      </w:r>
      <w:r w:rsidRPr="003015FD">
        <w:t>the</w:t>
      </w:r>
      <w:r w:rsidR="00975895" w:rsidRPr="003015FD">
        <w:t xml:space="preserve"> </w:t>
      </w:r>
      <w:r w:rsidRPr="003015FD">
        <w:t>Charter</w:t>
      </w:r>
      <w:r w:rsidR="00975895" w:rsidRPr="003015FD">
        <w:t xml:space="preserve"> </w:t>
      </w:r>
      <w:r w:rsidRPr="003015FD">
        <w:t>be</w:t>
      </w:r>
      <w:r w:rsidR="00975895" w:rsidRPr="003015FD">
        <w:t xml:space="preserve"> </w:t>
      </w:r>
      <w:r w:rsidRPr="003015FD">
        <w:t>enhanced</w:t>
      </w:r>
      <w:r w:rsidR="00975895" w:rsidRPr="003015FD">
        <w:t xml:space="preserve"> </w:t>
      </w:r>
      <w:r w:rsidRPr="003015FD">
        <w:t>to</w:t>
      </w:r>
      <w:r w:rsidR="00975895" w:rsidRPr="003015FD">
        <w:t xml:space="preserve"> </w:t>
      </w:r>
      <w:r w:rsidRPr="003015FD">
        <w:t>enable</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to</w:t>
      </w:r>
      <w:r w:rsidR="00975895" w:rsidRPr="003015FD">
        <w:t xml:space="preserve"> </w:t>
      </w:r>
      <w:r w:rsidRPr="003015FD">
        <w:t>offer</w:t>
      </w:r>
      <w:r w:rsidR="00975895" w:rsidRPr="003015FD">
        <w:t xml:space="preserve"> </w:t>
      </w:r>
      <w:r w:rsidRPr="003015FD">
        <w:t>dispute</w:t>
      </w:r>
      <w:r w:rsidR="00975895" w:rsidRPr="003015FD">
        <w:t xml:space="preserve"> </w:t>
      </w:r>
      <w:r w:rsidRPr="003015FD">
        <w:t>resolution</w:t>
      </w:r>
      <w:r w:rsidR="00975895" w:rsidRPr="003015FD">
        <w:t xml:space="preserve"> </w:t>
      </w:r>
      <w:r w:rsidRPr="003015FD">
        <w:t>(as</w:t>
      </w:r>
      <w:r w:rsidR="00975895" w:rsidRPr="003015FD">
        <w:t xml:space="preserve"> </w:t>
      </w:r>
      <w:r w:rsidRPr="003015FD">
        <w:t>it</w:t>
      </w:r>
      <w:r w:rsidR="00975895" w:rsidRPr="003015FD">
        <w:t xml:space="preserve"> </w:t>
      </w:r>
      <w:r w:rsidRPr="003015FD">
        <w:t>does</w:t>
      </w:r>
      <w:r w:rsidR="00975895" w:rsidRPr="003015FD">
        <w:t xml:space="preserve"> </w:t>
      </w:r>
      <w:r w:rsidRPr="003015FD">
        <w:t>under</w:t>
      </w:r>
      <w:r w:rsidR="00975895" w:rsidRPr="003015FD">
        <w:t xml:space="preserve"> </w:t>
      </w:r>
      <w:r w:rsidRPr="003015FD">
        <w:t>the</w:t>
      </w:r>
      <w:r w:rsidR="00975895" w:rsidRPr="003015FD">
        <w:t xml:space="preserve"> </w:t>
      </w:r>
      <w:r w:rsidRPr="0002642E">
        <w:t>Equal</w:t>
      </w:r>
      <w:r w:rsidR="00975895" w:rsidRPr="0002642E">
        <w:t xml:space="preserve"> </w:t>
      </w:r>
      <w:r w:rsidRPr="0002642E">
        <w:t>Opportunity</w:t>
      </w:r>
      <w:r w:rsidR="00975895" w:rsidRPr="0002642E">
        <w:t xml:space="preserve"> </w:t>
      </w:r>
      <w:r w:rsidRPr="0002642E">
        <w:t>Act</w:t>
      </w:r>
      <w:r w:rsidR="00975895" w:rsidRPr="0002642E">
        <w:t xml:space="preserve"> </w:t>
      </w:r>
      <w:r w:rsidRPr="0002642E">
        <w:t>2010</w:t>
      </w:r>
      <w:r w:rsidR="00975895" w:rsidRPr="0002642E">
        <w:t xml:space="preserve"> </w:t>
      </w:r>
      <w:r w:rsidR="001706A9">
        <w:t xml:space="preserve">(Vic) </w:t>
      </w:r>
      <w:r w:rsidRPr="003015FD">
        <w:t>and</w:t>
      </w:r>
      <w:r w:rsidR="00975895" w:rsidRPr="003015FD">
        <w:t xml:space="preserve"> </w:t>
      </w:r>
      <w:r w:rsidRPr="003015FD">
        <w:t>the</w:t>
      </w:r>
      <w:r w:rsidR="00975895" w:rsidRPr="003015FD">
        <w:t xml:space="preserve"> </w:t>
      </w:r>
      <w:r w:rsidRPr="0002642E">
        <w:t>Racial</w:t>
      </w:r>
      <w:r w:rsidR="00975895" w:rsidRPr="0002642E">
        <w:t xml:space="preserve"> </w:t>
      </w:r>
      <w:r w:rsidRPr="0002642E">
        <w:t>and</w:t>
      </w:r>
      <w:r w:rsidR="00975895" w:rsidRPr="0002642E">
        <w:t xml:space="preserve"> </w:t>
      </w:r>
      <w:r w:rsidRPr="0002642E">
        <w:t>Religious</w:t>
      </w:r>
      <w:r w:rsidR="00975895" w:rsidRPr="0002642E">
        <w:t xml:space="preserve"> </w:t>
      </w:r>
      <w:r w:rsidRPr="0002642E">
        <w:t>Tolerance</w:t>
      </w:r>
      <w:r w:rsidR="00975895" w:rsidRPr="0002642E">
        <w:t xml:space="preserve"> </w:t>
      </w:r>
      <w:r w:rsidRPr="0002642E">
        <w:t>Act</w:t>
      </w:r>
      <w:r w:rsidR="00975895" w:rsidRPr="0002642E">
        <w:t xml:space="preserve"> </w:t>
      </w:r>
      <w:r w:rsidRPr="0002642E">
        <w:t>2001</w:t>
      </w:r>
      <w:r w:rsidR="00026826" w:rsidRPr="0002642E">
        <w:t xml:space="preserve"> </w:t>
      </w:r>
      <w:r w:rsidR="00026826">
        <w:t>(Vic)</w:t>
      </w:r>
      <w:r w:rsidRPr="003015FD">
        <w:t>).</w:t>
      </w:r>
    </w:p>
    <w:p w14:paraId="4DF851DB" w14:textId="3F57C6D0" w:rsidR="008E0945" w:rsidRPr="0002642E" w:rsidRDefault="008E0945" w:rsidP="0002642E">
      <w:pPr>
        <w:pStyle w:val="Heading4"/>
        <w:numPr>
          <w:ilvl w:val="0"/>
          <w:numId w:val="54"/>
        </w:numPr>
      </w:pPr>
      <w:r w:rsidRPr="0002642E">
        <w:t>Remedies</w:t>
      </w:r>
      <w:r w:rsidR="00975895" w:rsidRPr="0002642E">
        <w:t xml:space="preserve"> </w:t>
      </w:r>
      <w:r w:rsidRPr="0002642E">
        <w:t>and</w:t>
      </w:r>
      <w:r w:rsidR="00975895" w:rsidRPr="0002642E">
        <w:t xml:space="preserve"> </w:t>
      </w:r>
      <w:r w:rsidRPr="0002642E">
        <w:t>oversight</w:t>
      </w:r>
      <w:r w:rsidR="00975895" w:rsidRPr="0002642E">
        <w:t xml:space="preserve"> </w:t>
      </w:r>
      <w:r w:rsidRPr="0002642E">
        <w:t>–</w:t>
      </w:r>
      <w:r w:rsidR="00975895" w:rsidRPr="0002642E">
        <w:t xml:space="preserve"> </w:t>
      </w:r>
      <w:r w:rsidRPr="0002642E">
        <w:t>the</w:t>
      </w:r>
      <w:r w:rsidR="00975895" w:rsidRPr="0002642E">
        <w:t xml:space="preserve"> </w:t>
      </w:r>
      <w:r w:rsidRPr="0002642E">
        <w:t>role</w:t>
      </w:r>
      <w:r w:rsidR="00975895" w:rsidRPr="0002642E">
        <w:t xml:space="preserve"> </w:t>
      </w:r>
      <w:r w:rsidRPr="0002642E">
        <w:t>of</w:t>
      </w:r>
      <w:r w:rsidR="00975895" w:rsidRPr="0002642E">
        <w:t xml:space="preserve"> </w:t>
      </w:r>
      <w:r w:rsidRPr="0002642E">
        <w:t>the</w:t>
      </w:r>
      <w:r w:rsidR="00975895" w:rsidRPr="0002642E">
        <w:t xml:space="preserve"> </w:t>
      </w:r>
      <w:r w:rsidRPr="0002642E">
        <w:t>courts</w:t>
      </w:r>
      <w:r w:rsidR="00975895" w:rsidRPr="0002642E">
        <w:t xml:space="preserve"> </w:t>
      </w:r>
    </w:p>
    <w:p w14:paraId="4A6910AE" w14:textId="16156B98" w:rsidR="008E0945" w:rsidRPr="003015FD" w:rsidRDefault="008E0945" w:rsidP="0002642E">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examined</w:t>
      </w:r>
      <w:r w:rsidR="00975895" w:rsidRPr="003015FD">
        <w:t xml:space="preserve"> </w:t>
      </w:r>
      <w:r w:rsidRPr="003015FD">
        <w:t>the</w:t>
      </w:r>
      <w:r w:rsidR="00975895" w:rsidRPr="003015FD">
        <w:t xml:space="preserve"> </w:t>
      </w:r>
      <w:r w:rsidRPr="003015FD">
        <w:t>role</w:t>
      </w:r>
      <w:r w:rsidR="00975895" w:rsidRPr="003015FD">
        <w:t xml:space="preserve"> </w:t>
      </w:r>
      <w:r w:rsidRPr="003015FD">
        <w:t>of</w:t>
      </w:r>
      <w:r w:rsidR="00975895" w:rsidRPr="003015FD">
        <w:t xml:space="preserve"> </w:t>
      </w:r>
      <w:r w:rsidRPr="003015FD">
        <w:t>the</w:t>
      </w:r>
      <w:r w:rsidR="00975895" w:rsidRPr="003015FD">
        <w:t xml:space="preserve"> </w:t>
      </w:r>
      <w:r w:rsidRPr="003015FD">
        <w:t>courts</w:t>
      </w:r>
      <w:r w:rsidR="00975895" w:rsidRPr="003015FD">
        <w:t xml:space="preserve"> </w:t>
      </w:r>
      <w:r w:rsidRPr="003015FD">
        <w:t>in</w:t>
      </w:r>
      <w:r w:rsidR="00975895" w:rsidRPr="003015FD">
        <w:t xml:space="preserve"> </w:t>
      </w:r>
      <w:r w:rsidRPr="003015FD">
        <w:t>determining</w:t>
      </w:r>
      <w:r w:rsidR="00975895" w:rsidRPr="003015FD">
        <w:t xml:space="preserve"> </w:t>
      </w:r>
      <w:r w:rsidRPr="003015FD">
        <w:t>whether</w:t>
      </w:r>
      <w:r w:rsidR="00975895" w:rsidRPr="003015FD">
        <w:t xml:space="preserve"> </w:t>
      </w:r>
      <w:r w:rsidRPr="003015FD">
        <w:t>a</w:t>
      </w:r>
      <w:r w:rsidR="00975895" w:rsidRPr="003015FD">
        <w:t xml:space="preserve"> </w:t>
      </w:r>
      <w:r w:rsidRPr="003015FD">
        <w:t>person</w:t>
      </w:r>
      <w:r w:rsidR="000C5726">
        <w:t>'</w:t>
      </w:r>
      <w:r w:rsidRPr="003015FD">
        <w:t>s</w:t>
      </w:r>
      <w:r w:rsidR="00975895" w:rsidRPr="003015FD">
        <w:t xml:space="preserve"> </w:t>
      </w:r>
      <w:r w:rsidRPr="003015FD">
        <w:t>human</w:t>
      </w:r>
      <w:r w:rsidR="00975895" w:rsidRPr="003015FD">
        <w:t xml:space="preserve"> </w:t>
      </w:r>
      <w:r w:rsidRPr="003015FD">
        <w:t>rights</w:t>
      </w:r>
      <w:r w:rsidR="00975895" w:rsidRPr="003015FD">
        <w:t xml:space="preserve"> </w:t>
      </w:r>
      <w:r w:rsidRPr="003015FD">
        <w:t>have</w:t>
      </w:r>
      <w:r w:rsidR="00975895" w:rsidRPr="003015FD">
        <w:t xml:space="preserve"> </w:t>
      </w:r>
      <w:r w:rsidRPr="003015FD">
        <w:t>been</w:t>
      </w:r>
      <w:r w:rsidR="00975895" w:rsidRPr="003015FD">
        <w:t xml:space="preserve"> </w:t>
      </w:r>
      <w:r w:rsidRPr="003015FD">
        <w:t>breached</w:t>
      </w:r>
      <w:r w:rsidR="00975895" w:rsidRPr="003015FD">
        <w:t xml:space="preserve"> </w:t>
      </w:r>
      <w:r w:rsidRPr="003015FD">
        <w:t>and</w:t>
      </w:r>
      <w:r w:rsidR="00975895" w:rsidRPr="003015FD">
        <w:t xml:space="preserve"> </w:t>
      </w:r>
      <w:r w:rsidRPr="003015FD">
        <w:t>what</w:t>
      </w:r>
      <w:r w:rsidR="00975895" w:rsidRPr="003015FD">
        <w:t xml:space="preserve"> </w:t>
      </w:r>
      <w:r w:rsidRPr="003015FD">
        <w:t>should</w:t>
      </w:r>
      <w:r w:rsidR="00975895" w:rsidRPr="003015FD">
        <w:t xml:space="preserve"> </w:t>
      </w:r>
      <w:r w:rsidRPr="003015FD">
        <w:t>happen.</w:t>
      </w:r>
      <w:r w:rsidR="00975895" w:rsidRPr="003015FD">
        <w:t xml:space="preserve"> </w:t>
      </w:r>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proposed</w:t>
      </w:r>
      <w:r w:rsidR="00975895" w:rsidRPr="003015FD">
        <w:t xml:space="preserve"> </w:t>
      </w:r>
      <w:r w:rsidRPr="003015FD">
        <w:t>a</w:t>
      </w:r>
      <w:r w:rsidR="00975895" w:rsidRPr="003015FD">
        <w:t xml:space="preserve"> </w:t>
      </w:r>
      <w:r w:rsidRPr="003015FD">
        <w:t>remedies</w:t>
      </w:r>
      <w:r w:rsidR="00975895" w:rsidRPr="003015FD">
        <w:t xml:space="preserve"> </w:t>
      </w:r>
      <w:r w:rsidRPr="003015FD">
        <w:t>provision</w:t>
      </w:r>
      <w:r w:rsidR="00975895" w:rsidRPr="003015FD">
        <w:t xml:space="preserve"> </w:t>
      </w:r>
      <w:r w:rsidRPr="003015FD">
        <w:t>modelled</w:t>
      </w:r>
      <w:r w:rsidR="00975895" w:rsidRPr="003015FD">
        <w:t xml:space="preserve"> </w:t>
      </w:r>
      <w:r w:rsidRPr="003015FD">
        <w:t>on</w:t>
      </w:r>
      <w:r w:rsidR="00975895" w:rsidRPr="003015FD">
        <w:t xml:space="preserve"> </w:t>
      </w:r>
      <w:r w:rsidRPr="003015FD">
        <w:t>section</w:t>
      </w:r>
      <w:r w:rsidR="00975895" w:rsidRPr="003015FD">
        <w:t xml:space="preserve"> </w:t>
      </w:r>
      <w:r w:rsidRPr="003015FD">
        <w:t>40C</w:t>
      </w:r>
      <w:r w:rsidR="00975895" w:rsidRPr="003015FD">
        <w:t xml:space="preserve"> </w:t>
      </w:r>
      <w:r w:rsidRPr="003015FD">
        <w:t>of</w:t>
      </w:r>
      <w:r w:rsidR="00975895" w:rsidRPr="003015FD">
        <w:t xml:space="preserve"> </w:t>
      </w:r>
      <w:r w:rsidRPr="003015FD">
        <w:t>the</w:t>
      </w:r>
      <w:r w:rsidR="00975895" w:rsidRPr="003015FD">
        <w:t xml:space="preserve"> </w:t>
      </w:r>
      <w:r w:rsidRPr="0002642E">
        <w:t>Human</w:t>
      </w:r>
      <w:r w:rsidR="00975895" w:rsidRPr="0002642E">
        <w:t xml:space="preserve"> </w:t>
      </w:r>
      <w:r w:rsidRPr="0002642E">
        <w:t>Rights</w:t>
      </w:r>
      <w:r w:rsidR="00975895" w:rsidRPr="0002642E">
        <w:t xml:space="preserve"> </w:t>
      </w:r>
      <w:r w:rsidRPr="0002642E">
        <w:t>Act</w:t>
      </w:r>
      <w:r w:rsidR="00975895" w:rsidRPr="0002642E">
        <w:t xml:space="preserve"> </w:t>
      </w:r>
      <w:r w:rsidRPr="0002642E">
        <w:t>2004</w:t>
      </w:r>
      <w:r w:rsidR="00975895" w:rsidRPr="003015FD">
        <w:t xml:space="preserve"> </w:t>
      </w:r>
      <w:r w:rsidRPr="003015FD">
        <w:t>(ACT)</w:t>
      </w:r>
      <w:r w:rsidR="00975895" w:rsidRPr="003015FD">
        <w:t xml:space="preserve"> </w:t>
      </w:r>
      <w:r w:rsidRPr="003015FD">
        <w:t>to</w:t>
      </w:r>
      <w:r w:rsidR="00975895" w:rsidRPr="003015FD">
        <w:t xml:space="preserve"> </w:t>
      </w:r>
      <w:r w:rsidRPr="003015FD">
        <w:t>provide</w:t>
      </w:r>
      <w:r w:rsidR="00975895" w:rsidRPr="003015FD">
        <w:t xml:space="preserve"> </w:t>
      </w:r>
      <w:r w:rsidRPr="003015FD">
        <w:t>a</w:t>
      </w:r>
      <w:r w:rsidR="00975895" w:rsidRPr="003015FD">
        <w:t xml:space="preserve"> </w:t>
      </w:r>
      <w:r w:rsidRPr="003015FD">
        <w:t>clear</w:t>
      </w:r>
      <w:r w:rsidR="00975895" w:rsidRPr="003015FD">
        <w:t xml:space="preserve"> </w:t>
      </w:r>
      <w:r w:rsidRPr="003015FD">
        <w:t>framework</w:t>
      </w:r>
      <w:r w:rsidR="00975895" w:rsidRPr="003015FD">
        <w:t xml:space="preserve"> </w:t>
      </w:r>
      <w:r w:rsidRPr="003015FD">
        <w:t>to</w:t>
      </w:r>
      <w:r w:rsidR="00975895" w:rsidRPr="003015FD">
        <w:t xml:space="preserve"> </w:t>
      </w:r>
      <w:r w:rsidRPr="003015FD">
        <w:t>achieve</w:t>
      </w:r>
      <w:r w:rsidR="00975895" w:rsidRPr="003015FD">
        <w:t xml:space="preserve"> </w:t>
      </w:r>
      <w:r w:rsidRPr="003015FD">
        <w:t>these</w:t>
      </w:r>
      <w:r w:rsidR="00975895" w:rsidRPr="003015FD">
        <w:t xml:space="preserve"> </w:t>
      </w:r>
      <w:r w:rsidRPr="003015FD">
        <w:t>outcomes.</w:t>
      </w:r>
      <w:r w:rsidR="00975895" w:rsidRPr="003015FD">
        <w:t xml:space="preserve"> </w:t>
      </w:r>
      <w:r w:rsidRPr="003015FD">
        <w:t>The</w:t>
      </w:r>
      <w:r w:rsidR="00975895" w:rsidRPr="003015FD">
        <w:t xml:space="preserve"> </w:t>
      </w:r>
      <w:r w:rsidRPr="003015FD">
        <w:t>proposed</w:t>
      </w:r>
      <w:r w:rsidR="00975895" w:rsidRPr="003015FD">
        <w:t xml:space="preserve"> </w:t>
      </w:r>
      <w:r w:rsidRPr="003015FD">
        <w:t>model</w:t>
      </w:r>
      <w:r w:rsidR="00975895" w:rsidRPr="003015FD">
        <w:t xml:space="preserve"> </w:t>
      </w:r>
      <w:r w:rsidRPr="003015FD">
        <w:t>would</w:t>
      </w:r>
      <w:r w:rsidR="00975895" w:rsidRPr="003015FD">
        <w:t xml:space="preserve"> </w:t>
      </w:r>
      <w:r w:rsidRPr="003015FD">
        <w:t>give</w:t>
      </w:r>
      <w:r w:rsidR="00975895" w:rsidRPr="003015FD">
        <w:t xml:space="preserve"> </w:t>
      </w:r>
      <w:r w:rsidRPr="003015FD">
        <w:t>community</w:t>
      </w:r>
      <w:r w:rsidR="00975895" w:rsidRPr="003015FD">
        <w:t xml:space="preserve"> </w:t>
      </w:r>
      <w:r w:rsidRPr="003015FD">
        <w:t>members</w:t>
      </w:r>
      <w:r w:rsidR="00975895" w:rsidRPr="003015FD">
        <w:t xml:space="preserve"> </w:t>
      </w:r>
      <w:r w:rsidRPr="003015FD">
        <w:t>access</w:t>
      </w:r>
      <w:r w:rsidR="00975895" w:rsidRPr="003015FD">
        <w:t xml:space="preserve"> </w:t>
      </w:r>
      <w:r w:rsidRPr="003015FD">
        <w:t>to</w:t>
      </w:r>
      <w:r w:rsidR="00975895" w:rsidRPr="003015FD">
        <w:t xml:space="preserve"> </w:t>
      </w:r>
      <w:r w:rsidRPr="003015FD">
        <w:t>dispute</w:t>
      </w:r>
      <w:r w:rsidR="00975895" w:rsidRPr="003015FD">
        <w:t xml:space="preserve"> </w:t>
      </w:r>
      <w:r w:rsidRPr="003015FD">
        <w:t>resolution</w:t>
      </w:r>
      <w:r w:rsidR="00975895" w:rsidRPr="003015FD">
        <w:t xml:space="preserve"> </w:t>
      </w:r>
      <w:r w:rsidRPr="003015FD">
        <w:t>at</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and</w:t>
      </w:r>
      <w:r w:rsidR="00975895" w:rsidRPr="003015FD">
        <w:t xml:space="preserve"> </w:t>
      </w:r>
      <w:r w:rsidRPr="003015FD">
        <w:t>an</w:t>
      </w:r>
      <w:r w:rsidR="00975895" w:rsidRPr="003015FD">
        <w:t xml:space="preserve"> </w:t>
      </w:r>
      <w:r w:rsidRPr="003015FD">
        <w:t>avenue</w:t>
      </w:r>
      <w:r w:rsidR="00975895" w:rsidRPr="003015FD">
        <w:t xml:space="preserve"> </w:t>
      </w:r>
      <w:r w:rsidRPr="003015FD">
        <w:t>to</w:t>
      </w:r>
      <w:r w:rsidR="00975895" w:rsidRPr="003015FD">
        <w:t xml:space="preserve"> </w:t>
      </w:r>
      <w:r w:rsidRPr="003015FD">
        <w:t>have</w:t>
      </w:r>
      <w:r w:rsidR="00975895" w:rsidRPr="003015FD">
        <w:t xml:space="preserve"> </w:t>
      </w:r>
      <w:r w:rsidRPr="003015FD">
        <w:t>the</w:t>
      </w:r>
      <w:r w:rsidR="00975895" w:rsidRPr="003015FD">
        <w:t xml:space="preserve"> </w:t>
      </w:r>
      <w:r w:rsidRPr="003015FD">
        <w:t>Victorian</w:t>
      </w:r>
      <w:r w:rsidR="00975895" w:rsidRPr="003015FD">
        <w:t xml:space="preserve"> </w:t>
      </w:r>
      <w:r w:rsidRPr="003015FD">
        <w:t>Civil</w:t>
      </w:r>
      <w:r w:rsidR="00975895" w:rsidRPr="003015FD">
        <w:t xml:space="preserve"> </w:t>
      </w:r>
      <w:r w:rsidRPr="003015FD">
        <w:t>and</w:t>
      </w:r>
      <w:r w:rsidR="00975895" w:rsidRPr="003015FD">
        <w:t xml:space="preserve"> </w:t>
      </w:r>
      <w:r w:rsidRPr="003015FD">
        <w:t>Administrative</w:t>
      </w:r>
      <w:r w:rsidR="00975895" w:rsidRPr="003015FD">
        <w:t xml:space="preserve"> </w:t>
      </w:r>
      <w:r w:rsidRPr="003015FD">
        <w:t>Tribunal</w:t>
      </w:r>
      <w:r w:rsidR="00975895" w:rsidRPr="003015FD">
        <w:t xml:space="preserve"> </w:t>
      </w:r>
      <w:r w:rsidRPr="003015FD">
        <w:t>decide</w:t>
      </w:r>
      <w:r w:rsidR="00975895" w:rsidRPr="003015FD">
        <w:t xml:space="preserve"> </w:t>
      </w:r>
      <w:r w:rsidRPr="003015FD">
        <w:t>whether</w:t>
      </w:r>
      <w:r w:rsidR="00975895" w:rsidRPr="003015FD">
        <w:t xml:space="preserve"> </w:t>
      </w:r>
      <w:r w:rsidRPr="003015FD">
        <w:t>their</w:t>
      </w:r>
      <w:r w:rsidR="00975895" w:rsidRPr="003015FD">
        <w:t xml:space="preserve"> </w:t>
      </w:r>
      <w:r w:rsidRPr="003015FD">
        <w:t>rights</w:t>
      </w:r>
      <w:r w:rsidR="00975895" w:rsidRPr="003015FD">
        <w:t xml:space="preserve"> </w:t>
      </w:r>
      <w:r w:rsidRPr="003015FD">
        <w:t>have</w:t>
      </w:r>
      <w:r w:rsidR="00975895" w:rsidRPr="003015FD">
        <w:t xml:space="preserve"> </w:t>
      </w:r>
      <w:r w:rsidRPr="003015FD">
        <w:t>been</w:t>
      </w:r>
      <w:r w:rsidR="00975895" w:rsidRPr="003015FD">
        <w:t xml:space="preserve"> </w:t>
      </w:r>
      <w:r w:rsidRPr="003015FD">
        <w:t>breached.</w:t>
      </w:r>
      <w:r w:rsidR="00975895" w:rsidRPr="003015FD">
        <w:t xml:space="preserve"> </w:t>
      </w:r>
      <w:r w:rsidRPr="003015FD">
        <w:t>People</w:t>
      </w:r>
      <w:r w:rsidR="00975895" w:rsidRPr="003015FD">
        <w:t xml:space="preserve"> </w:t>
      </w:r>
      <w:r w:rsidRPr="003015FD">
        <w:t>could</w:t>
      </w:r>
      <w:r w:rsidR="00975895" w:rsidRPr="003015FD">
        <w:t xml:space="preserve"> </w:t>
      </w:r>
      <w:r w:rsidRPr="003015FD">
        <w:t>continue</w:t>
      </w:r>
      <w:r w:rsidR="00975895" w:rsidRPr="003015FD">
        <w:t xml:space="preserve"> </w:t>
      </w:r>
      <w:r w:rsidRPr="003015FD">
        <w:t>to</w:t>
      </w:r>
      <w:r w:rsidR="00975895" w:rsidRPr="003015FD">
        <w:t xml:space="preserve"> </w:t>
      </w:r>
      <w:r w:rsidRPr="003015FD">
        <w:t>raise</w:t>
      </w:r>
      <w:r w:rsidR="00975895" w:rsidRPr="003015FD">
        <w:t xml:space="preserve"> </w:t>
      </w:r>
      <w:r w:rsidRPr="003015FD">
        <w:t>the</w:t>
      </w:r>
      <w:r w:rsidR="00975895" w:rsidRPr="003015FD">
        <w:t xml:space="preserve"> </w:t>
      </w:r>
      <w:r w:rsidRPr="003015FD">
        <w:t>Charter</w:t>
      </w:r>
      <w:r w:rsidR="00975895" w:rsidRPr="003015FD">
        <w:t xml:space="preserve"> </w:t>
      </w:r>
      <w:r w:rsidRPr="003015FD">
        <w:t>in</w:t>
      </w:r>
      <w:r w:rsidR="00975895" w:rsidRPr="003015FD">
        <w:t xml:space="preserve"> </w:t>
      </w:r>
      <w:r w:rsidRPr="003015FD">
        <w:t>other</w:t>
      </w:r>
      <w:r w:rsidR="00975895" w:rsidRPr="003015FD">
        <w:t xml:space="preserve"> </w:t>
      </w:r>
      <w:r w:rsidRPr="003015FD">
        <w:t>legal</w:t>
      </w:r>
      <w:r w:rsidR="00975895" w:rsidRPr="003015FD">
        <w:t xml:space="preserve"> </w:t>
      </w:r>
      <w:r w:rsidRPr="003015FD">
        <w:t>proceedings</w:t>
      </w:r>
      <w:r w:rsidR="00975895" w:rsidRPr="003015FD">
        <w:t xml:space="preserve"> </w:t>
      </w:r>
      <w:r w:rsidRPr="003015FD">
        <w:t>where</w:t>
      </w:r>
      <w:r w:rsidR="00975895" w:rsidRPr="003015FD">
        <w:t xml:space="preserve"> </w:t>
      </w:r>
      <w:r w:rsidRPr="003015FD">
        <w:t>relevant.</w:t>
      </w:r>
      <w:r w:rsidR="00975895" w:rsidRPr="003015FD">
        <w:t xml:space="preserve"> </w:t>
      </w:r>
      <w:r w:rsidRPr="003015FD">
        <w:t>Government</w:t>
      </w:r>
      <w:r w:rsidR="00975895" w:rsidRPr="003015FD">
        <w:t xml:space="preserve"> </w:t>
      </w:r>
      <w:r w:rsidRPr="003015FD">
        <w:t>oversight</w:t>
      </w:r>
      <w:r w:rsidR="00975895" w:rsidRPr="003015FD">
        <w:t xml:space="preserve"> </w:t>
      </w:r>
      <w:r w:rsidRPr="003015FD">
        <w:t>bodies</w:t>
      </w:r>
      <w:r w:rsidR="00975895" w:rsidRPr="003015FD">
        <w:t xml:space="preserve"> </w:t>
      </w:r>
      <w:r w:rsidRPr="003015FD">
        <w:t>could</w:t>
      </w:r>
      <w:r w:rsidR="00975895" w:rsidRPr="003015FD">
        <w:t xml:space="preserve"> </w:t>
      </w:r>
      <w:r w:rsidRPr="003015FD">
        <w:t>continue</w:t>
      </w:r>
      <w:r w:rsidR="00975895" w:rsidRPr="003015FD">
        <w:t xml:space="preserve"> </w:t>
      </w:r>
      <w:r w:rsidRPr="003015FD">
        <w:t>to</w:t>
      </w:r>
      <w:r w:rsidR="00975895" w:rsidRPr="003015FD">
        <w:t xml:space="preserve"> </w:t>
      </w:r>
      <w:r w:rsidRPr="003015FD">
        <w:t>look</w:t>
      </w:r>
      <w:r w:rsidR="00975895" w:rsidRPr="003015FD">
        <w:t xml:space="preserve"> </w:t>
      </w:r>
      <w:r w:rsidRPr="003015FD">
        <w:t>at</w:t>
      </w:r>
      <w:r w:rsidR="00975895" w:rsidRPr="003015FD">
        <w:t xml:space="preserve"> </w:t>
      </w:r>
      <w:r w:rsidRPr="003015FD">
        <w:t>Charter</w:t>
      </w:r>
      <w:r w:rsidR="00975895" w:rsidRPr="003015FD">
        <w:t xml:space="preserve"> </w:t>
      </w:r>
      <w:r w:rsidRPr="003015FD">
        <w:t>issues</w:t>
      </w:r>
      <w:r w:rsidR="00975895" w:rsidRPr="003015FD">
        <w:t xml:space="preserve"> </w:t>
      </w:r>
      <w:r w:rsidRPr="003015FD">
        <w:t>that</w:t>
      </w:r>
      <w:r w:rsidR="00975895" w:rsidRPr="003015FD">
        <w:t xml:space="preserve"> </w:t>
      </w:r>
      <w:r w:rsidRPr="003015FD">
        <w:t>are</w:t>
      </w:r>
      <w:r w:rsidR="00975895" w:rsidRPr="003015FD">
        <w:t xml:space="preserve"> </w:t>
      </w:r>
      <w:r w:rsidRPr="003015FD">
        <w:t>relevant</w:t>
      </w:r>
      <w:r w:rsidR="00975895" w:rsidRPr="003015FD">
        <w:t xml:space="preserve"> </w:t>
      </w:r>
      <w:r w:rsidRPr="003015FD">
        <w:t>to</w:t>
      </w:r>
      <w:r w:rsidR="00975895" w:rsidRPr="003015FD">
        <w:t xml:space="preserve"> </w:t>
      </w:r>
      <w:r w:rsidRPr="003015FD">
        <w:t>their</w:t>
      </w:r>
      <w:r w:rsidR="00975895" w:rsidRPr="003015FD">
        <w:t xml:space="preserve"> </w:t>
      </w:r>
      <w:r w:rsidRPr="003015FD">
        <w:t>jurisdiction.</w:t>
      </w:r>
    </w:p>
    <w:p w14:paraId="3BB1C00C" w14:textId="4ECD5C51" w:rsidR="008E0945" w:rsidRPr="0002642E" w:rsidRDefault="008E0945" w:rsidP="0002642E">
      <w:pPr>
        <w:pStyle w:val="Heading4"/>
        <w:numPr>
          <w:ilvl w:val="0"/>
          <w:numId w:val="54"/>
        </w:numPr>
      </w:pPr>
      <w:r w:rsidRPr="0002642E">
        <w:t>Interpreting</w:t>
      </w:r>
      <w:r w:rsidR="00975895" w:rsidRPr="0002642E">
        <w:t xml:space="preserve"> </w:t>
      </w:r>
      <w:r w:rsidRPr="0002642E">
        <w:t>and</w:t>
      </w:r>
      <w:r w:rsidR="00975895" w:rsidRPr="0002642E">
        <w:t xml:space="preserve"> </w:t>
      </w:r>
      <w:r w:rsidRPr="0002642E">
        <w:t>applying</w:t>
      </w:r>
      <w:r w:rsidR="00975895" w:rsidRPr="0002642E">
        <w:t xml:space="preserve"> </w:t>
      </w:r>
      <w:r w:rsidRPr="0002642E">
        <w:t>the</w:t>
      </w:r>
      <w:r w:rsidR="00975895" w:rsidRPr="0002642E">
        <w:t xml:space="preserve"> </w:t>
      </w:r>
      <w:r w:rsidRPr="0002642E">
        <w:t>law</w:t>
      </w:r>
      <w:r w:rsidR="00975895" w:rsidRPr="0002642E">
        <w:t xml:space="preserve"> </w:t>
      </w:r>
    </w:p>
    <w:p w14:paraId="2D216839" w14:textId="1E77BED8" w:rsidR="008E0945" w:rsidRPr="003015FD" w:rsidRDefault="008E0945" w:rsidP="0002642E">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considered</w:t>
      </w:r>
      <w:r w:rsidR="00975895" w:rsidRPr="003015FD">
        <w:t xml:space="preserve"> </w:t>
      </w:r>
      <w:r w:rsidRPr="003015FD">
        <w:t>the</w:t>
      </w:r>
      <w:r w:rsidR="00975895" w:rsidRPr="003015FD">
        <w:t xml:space="preserve"> </w:t>
      </w:r>
      <w:r w:rsidRPr="003015FD">
        <w:t>role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in</w:t>
      </w:r>
      <w:r w:rsidR="00975895" w:rsidRPr="003015FD">
        <w:t xml:space="preserve"> </w:t>
      </w:r>
      <w:r w:rsidRPr="003015FD">
        <w:t>interpreting</w:t>
      </w:r>
      <w:r w:rsidR="00975895" w:rsidRPr="003015FD">
        <w:t xml:space="preserve"> </w:t>
      </w:r>
      <w:r w:rsidRPr="003015FD">
        <w:t>Victorian</w:t>
      </w:r>
      <w:r w:rsidR="00975895" w:rsidRPr="003015FD">
        <w:t xml:space="preserve"> </w:t>
      </w:r>
      <w:r w:rsidRPr="003015FD">
        <w:t>laws</w:t>
      </w:r>
      <w:r w:rsidR="00975895" w:rsidRPr="003015FD">
        <w:t xml:space="preserve"> </w:t>
      </w:r>
      <w:r w:rsidRPr="003015FD">
        <w:t>and</w:t>
      </w:r>
      <w:r w:rsidR="00975895" w:rsidRPr="003015FD">
        <w:t xml:space="preserve"> </w:t>
      </w:r>
      <w:r w:rsidRPr="003015FD">
        <w:t>recommended</w:t>
      </w:r>
      <w:r w:rsidR="00975895" w:rsidRPr="003015FD">
        <w:t xml:space="preserve"> </w:t>
      </w:r>
      <w:r w:rsidRPr="003015FD">
        <w:t>the</w:t>
      </w:r>
      <w:r w:rsidR="00975895" w:rsidRPr="003015FD">
        <w:t xml:space="preserve"> </w:t>
      </w:r>
      <w:r w:rsidRPr="003015FD">
        <w:t>Charter</w:t>
      </w:r>
      <w:r w:rsidR="00975895" w:rsidRPr="003015FD">
        <w:t xml:space="preserve"> </w:t>
      </w:r>
      <w:r w:rsidRPr="003015FD">
        <w:t>step</w:t>
      </w:r>
      <w:r w:rsidR="00975895" w:rsidRPr="003015FD">
        <w:t xml:space="preserve"> </w:t>
      </w:r>
      <w:r w:rsidRPr="003015FD">
        <w:t>out</w:t>
      </w:r>
      <w:r w:rsidR="00975895" w:rsidRPr="003015FD">
        <w:t xml:space="preserve"> </w:t>
      </w:r>
      <w:r w:rsidRPr="003015FD">
        <w:t>the</w:t>
      </w:r>
      <w:r w:rsidR="00975895" w:rsidRPr="003015FD">
        <w:t xml:space="preserve"> </w:t>
      </w:r>
      <w:r w:rsidRPr="003015FD">
        <w:t>obligations</w:t>
      </w:r>
      <w:r w:rsidR="00975895" w:rsidRPr="003015FD">
        <w:t xml:space="preserve"> </w:t>
      </w:r>
      <w:r w:rsidRPr="003015FD">
        <w:t>on</w:t>
      </w:r>
      <w:r w:rsidR="00975895" w:rsidRPr="003015FD">
        <w:t xml:space="preserve"> </w:t>
      </w:r>
      <w:r w:rsidRPr="003015FD">
        <w:t>courts</w:t>
      </w:r>
      <w:r w:rsidR="00975895" w:rsidRPr="003015FD">
        <w:t xml:space="preserve"> </w:t>
      </w:r>
      <w:r w:rsidRPr="003015FD">
        <w:t>and</w:t>
      </w:r>
      <w:r w:rsidR="00975895" w:rsidRPr="003015FD">
        <w:t xml:space="preserve"> </w:t>
      </w:r>
      <w:r w:rsidRPr="003015FD">
        <w:t>tribunals</w:t>
      </w:r>
      <w:r w:rsidR="00975895" w:rsidRPr="003015FD">
        <w:t xml:space="preserve"> </w:t>
      </w:r>
      <w:r w:rsidRPr="003015FD">
        <w:t>to:</w:t>
      </w:r>
    </w:p>
    <w:p w14:paraId="75A820B4" w14:textId="37F28B58" w:rsidR="008E0945" w:rsidRPr="003015FD" w:rsidRDefault="008E0945" w:rsidP="0002642E">
      <w:pPr>
        <w:pStyle w:val="ListParagraph"/>
        <w:numPr>
          <w:ilvl w:val="0"/>
          <w:numId w:val="47"/>
        </w:numPr>
      </w:pPr>
      <w:r w:rsidRPr="003015FD">
        <w:t>interpret</w:t>
      </w:r>
      <w:r w:rsidR="00975895" w:rsidRPr="003015FD">
        <w:t xml:space="preserve"> </w:t>
      </w:r>
      <w:r w:rsidRPr="003015FD">
        <w:t>all</w:t>
      </w:r>
      <w:r w:rsidR="00975895" w:rsidRPr="003015FD">
        <w:t xml:space="preserve"> </w:t>
      </w:r>
      <w:r w:rsidRPr="003015FD">
        <w:t>Victorian</w:t>
      </w:r>
      <w:r w:rsidR="00975895" w:rsidRPr="003015FD">
        <w:t xml:space="preserve"> </w:t>
      </w:r>
      <w:r w:rsidRPr="003015FD">
        <w:t>laws,</w:t>
      </w:r>
      <w:r w:rsidR="00975895" w:rsidRPr="003015FD">
        <w:t xml:space="preserve"> </w:t>
      </w:r>
      <w:r w:rsidRPr="003015FD">
        <w:t>as</w:t>
      </w:r>
      <w:r w:rsidR="00975895" w:rsidRPr="003015FD">
        <w:t xml:space="preserve"> </w:t>
      </w:r>
      <w:r w:rsidRPr="003015FD">
        <w:t>far</w:t>
      </w:r>
      <w:r w:rsidR="00975895" w:rsidRPr="003015FD">
        <w:t xml:space="preserve"> </w:t>
      </w:r>
      <w:r w:rsidRPr="003015FD">
        <w:t>as</w:t>
      </w:r>
      <w:r w:rsidR="00975895" w:rsidRPr="003015FD">
        <w:t xml:space="preserve"> </w:t>
      </w:r>
      <w:r w:rsidRPr="003015FD">
        <w:t>is</w:t>
      </w:r>
      <w:r w:rsidR="00975895" w:rsidRPr="003015FD">
        <w:t xml:space="preserve"> </w:t>
      </w:r>
      <w:r w:rsidRPr="003015FD">
        <w:t>possible</w:t>
      </w:r>
      <w:r w:rsidR="00975895" w:rsidRPr="003015FD">
        <w:t xml:space="preserve"> </w:t>
      </w:r>
      <w:r w:rsidRPr="003015FD">
        <w:t>to</w:t>
      </w:r>
      <w:r w:rsidR="00975895" w:rsidRPr="003015FD">
        <w:t xml:space="preserve"> </w:t>
      </w:r>
      <w:r w:rsidRPr="003015FD">
        <w:t>do</w:t>
      </w:r>
      <w:r w:rsidR="00975895" w:rsidRPr="003015FD">
        <w:t xml:space="preserve"> </w:t>
      </w:r>
      <w:r w:rsidRPr="003015FD">
        <w:t>so</w:t>
      </w:r>
      <w:r w:rsidR="00975895" w:rsidRPr="003015FD">
        <w:t xml:space="preserve"> </w:t>
      </w:r>
      <w:r w:rsidRPr="003015FD">
        <w:t>consistently</w:t>
      </w:r>
      <w:r w:rsidR="00975895" w:rsidRPr="003015FD">
        <w:t xml:space="preserve"> </w:t>
      </w:r>
      <w:r w:rsidRPr="003015FD">
        <w:t>with</w:t>
      </w:r>
      <w:r w:rsidR="00975895" w:rsidRPr="003015FD">
        <w:t xml:space="preserve"> </w:t>
      </w:r>
      <w:r w:rsidRPr="003015FD">
        <w:t>their</w:t>
      </w:r>
      <w:r w:rsidR="00975895" w:rsidRPr="003015FD">
        <w:t xml:space="preserve"> </w:t>
      </w:r>
      <w:r w:rsidRPr="003015FD">
        <w:t>purpose,</w:t>
      </w:r>
      <w:r w:rsidR="00975895" w:rsidRPr="003015FD">
        <w:t xml:space="preserve"> </w:t>
      </w:r>
      <w:r w:rsidRPr="003015FD">
        <w:t>in</w:t>
      </w:r>
      <w:r w:rsidR="00975895" w:rsidRPr="003015FD">
        <w:t xml:space="preserve"> </w:t>
      </w:r>
      <w:r w:rsidRPr="003015FD">
        <w:t>a</w:t>
      </w:r>
      <w:r w:rsidR="00975895" w:rsidRPr="003015FD">
        <w:t xml:space="preserve"> </w:t>
      </w:r>
      <w:r w:rsidRPr="003015FD">
        <w:t>way</w:t>
      </w:r>
      <w:r w:rsidR="00975895" w:rsidRPr="003015FD">
        <w:t xml:space="preserve"> </w:t>
      </w:r>
      <w:r w:rsidRPr="003015FD">
        <w:t>that</w:t>
      </w:r>
      <w:r w:rsidR="00975895" w:rsidRPr="003015FD">
        <w:t xml:space="preserve"> </w:t>
      </w:r>
      <w:r w:rsidRPr="003015FD">
        <w:t>is</w:t>
      </w:r>
      <w:r w:rsidR="00975895" w:rsidRPr="003015FD">
        <w:t xml:space="preserve"> </w:t>
      </w:r>
      <w:r w:rsidRPr="003015FD">
        <w:t>most</w:t>
      </w:r>
      <w:r w:rsidR="00975895" w:rsidRPr="003015FD">
        <w:t xml:space="preserve"> </w:t>
      </w:r>
      <w:r w:rsidRPr="003015FD">
        <w:t>compatible</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p>
    <w:p w14:paraId="4DFB9CF7" w14:textId="32D9782E" w:rsidR="008E0945" w:rsidRPr="003015FD" w:rsidRDefault="008E0945" w:rsidP="0002642E">
      <w:pPr>
        <w:pStyle w:val="ListParagraph"/>
        <w:numPr>
          <w:ilvl w:val="0"/>
          <w:numId w:val="47"/>
        </w:numPr>
      </w:pPr>
      <w:r w:rsidRPr="003015FD">
        <w:t>prefer</w:t>
      </w:r>
      <w:r w:rsidR="00975895" w:rsidRPr="003015FD">
        <w:t xml:space="preserve"> </w:t>
      </w:r>
      <w:r w:rsidRPr="003015FD">
        <w:t>an</w:t>
      </w:r>
      <w:r w:rsidR="00975895" w:rsidRPr="003015FD">
        <w:t xml:space="preserve"> </w:t>
      </w:r>
      <w:r w:rsidRPr="003015FD">
        <w:t>interpretation</w:t>
      </w:r>
      <w:r w:rsidR="00975895" w:rsidRPr="003015FD">
        <w:t xml:space="preserve"> </w:t>
      </w:r>
      <w:r w:rsidRPr="003015FD">
        <w:t>of</w:t>
      </w:r>
      <w:r w:rsidR="00975895" w:rsidRPr="003015FD">
        <w:t xml:space="preserve"> </w:t>
      </w:r>
      <w:r w:rsidRPr="003015FD">
        <w:t>a</w:t>
      </w:r>
      <w:r w:rsidR="00975895" w:rsidRPr="003015FD">
        <w:t xml:space="preserve"> </w:t>
      </w:r>
      <w:r w:rsidRPr="003015FD">
        <w:t>Victorian</w:t>
      </w:r>
      <w:r w:rsidR="00975895" w:rsidRPr="003015FD">
        <w:t xml:space="preserve"> </w:t>
      </w:r>
      <w:r w:rsidRPr="003015FD">
        <w:t>law</w:t>
      </w:r>
      <w:r w:rsidR="00975895" w:rsidRPr="003015FD">
        <w:t xml:space="preserve"> </w:t>
      </w:r>
      <w:r w:rsidRPr="003015FD">
        <w:t>that</w:t>
      </w:r>
      <w:r w:rsidR="00975895" w:rsidRPr="003015FD">
        <w:t xml:space="preserve"> </w:t>
      </w:r>
      <w:r w:rsidRPr="003015FD">
        <w:t>is</w:t>
      </w:r>
      <w:r w:rsidR="00975895" w:rsidRPr="003015FD">
        <w:t xml:space="preserve"> </w:t>
      </w:r>
      <w:r w:rsidRPr="003015FD">
        <w:t>least</w:t>
      </w:r>
      <w:r w:rsidR="00975895" w:rsidRPr="003015FD">
        <w:t xml:space="preserve"> </w:t>
      </w:r>
      <w:r w:rsidRPr="003015FD">
        <w:t>incompatible</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r w:rsidRPr="003015FD">
        <w:t>when</w:t>
      </w:r>
      <w:r w:rsidR="00975895" w:rsidRPr="003015FD">
        <w:t xml:space="preserve"> </w:t>
      </w:r>
      <w:r w:rsidRPr="003015FD">
        <w:t>a</w:t>
      </w:r>
      <w:r w:rsidR="00975895" w:rsidRPr="003015FD">
        <w:t xml:space="preserve"> </w:t>
      </w:r>
      <w:r w:rsidRPr="003015FD">
        <w:t>choice</w:t>
      </w:r>
      <w:r w:rsidR="00975895" w:rsidRPr="003015FD">
        <w:t xml:space="preserve"> </w:t>
      </w:r>
      <w:r w:rsidRPr="003015FD">
        <w:t>must</w:t>
      </w:r>
      <w:r w:rsidR="00975895" w:rsidRPr="003015FD">
        <w:t xml:space="preserve"> </w:t>
      </w:r>
      <w:r w:rsidRPr="003015FD">
        <w:t>be</w:t>
      </w:r>
      <w:r w:rsidR="00975895" w:rsidRPr="003015FD">
        <w:t xml:space="preserve"> </w:t>
      </w:r>
      <w:r w:rsidRPr="003015FD">
        <w:t>made</w:t>
      </w:r>
      <w:r w:rsidR="00975895" w:rsidRPr="003015FD">
        <w:t xml:space="preserve"> </w:t>
      </w:r>
      <w:r w:rsidRPr="003015FD">
        <w:t>between</w:t>
      </w:r>
      <w:r w:rsidR="00975895" w:rsidRPr="003015FD">
        <w:t xml:space="preserve"> </w:t>
      </w:r>
      <w:r w:rsidRPr="003015FD">
        <w:t>two</w:t>
      </w:r>
      <w:r w:rsidR="00975895" w:rsidRPr="003015FD">
        <w:t xml:space="preserve"> </w:t>
      </w:r>
      <w:r w:rsidRPr="003015FD">
        <w:t>or</w:t>
      </w:r>
      <w:r w:rsidR="00975895" w:rsidRPr="003015FD">
        <w:t xml:space="preserve"> </w:t>
      </w:r>
      <w:r w:rsidRPr="003015FD">
        <w:t>more</w:t>
      </w:r>
      <w:r w:rsidR="00975895" w:rsidRPr="003015FD">
        <w:t xml:space="preserve"> </w:t>
      </w:r>
      <w:r w:rsidRPr="003015FD">
        <w:t>possible</w:t>
      </w:r>
      <w:r w:rsidR="00975895" w:rsidRPr="003015FD">
        <w:t xml:space="preserve"> </w:t>
      </w:r>
      <w:r w:rsidRPr="003015FD">
        <w:t>meanings</w:t>
      </w:r>
      <w:r w:rsidR="00975895" w:rsidRPr="003015FD">
        <w:t xml:space="preserve"> </w:t>
      </w:r>
      <w:r w:rsidRPr="003015FD">
        <w:t>that</w:t>
      </w:r>
      <w:r w:rsidR="00975895" w:rsidRPr="003015FD">
        <w:t xml:space="preserve"> </w:t>
      </w:r>
      <w:r w:rsidRPr="003015FD">
        <w:t>are</w:t>
      </w:r>
      <w:r w:rsidR="00975895" w:rsidRPr="003015FD">
        <w:t xml:space="preserve"> </w:t>
      </w:r>
      <w:r w:rsidRPr="003015FD">
        <w:t>incompatible</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p>
    <w:p w14:paraId="48C18812" w14:textId="375B6ECF" w:rsidR="008E0945" w:rsidRPr="003015FD" w:rsidRDefault="008E0945" w:rsidP="0002642E">
      <w:pPr>
        <w:pStyle w:val="ListParagraph"/>
        <w:numPr>
          <w:ilvl w:val="0"/>
          <w:numId w:val="47"/>
        </w:numPr>
      </w:pPr>
      <w:r w:rsidRPr="003015FD">
        <w:t>ensure</w:t>
      </w:r>
      <w:r w:rsidR="00975895" w:rsidRPr="003015FD">
        <w:t xml:space="preserve"> </w:t>
      </w:r>
      <w:r w:rsidRPr="003015FD">
        <w:t>that</w:t>
      </w:r>
      <w:r w:rsidR="00975895" w:rsidRPr="003015FD">
        <w:t xml:space="preserve"> </w:t>
      </w:r>
      <w:r w:rsidRPr="003015FD">
        <w:t>the</w:t>
      </w:r>
      <w:r w:rsidR="00975895" w:rsidRPr="003015FD">
        <w:t xml:space="preserve"> </w:t>
      </w:r>
      <w:r w:rsidRPr="003015FD">
        <w:t>section</w:t>
      </w:r>
      <w:r w:rsidR="00975895" w:rsidRPr="003015FD">
        <w:t xml:space="preserve"> </w:t>
      </w:r>
      <w:r w:rsidRPr="003015FD">
        <w:t>7(2)</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which</w:t>
      </w:r>
      <w:r w:rsidR="00975895" w:rsidRPr="003015FD">
        <w:t xml:space="preserve"> </w:t>
      </w:r>
      <w:r w:rsidRPr="003015FD">
        <w:t>sets</w:t>
      </w:r>
      <w:r w:rsidR="00975895" w:rsidRPr="003015FD">
        <w:t xml:space="preserve"> </w:t>
      </w:r>
      <w:r w:rsidRPr="003015FD">
        <w:t>out</w:t>
      </w:r>
      <w:r w:rsidR="00975895" w:rsidRPr="003015FD">
        <w:t xml:space="preserve"> </w:t>
      </w:r>
      <w:r w:rsidRPr="003015FD">
        <w:t>when</w:t>
      </w:r>
      <w:r w:rsidR="00975895" w:rsidRPr="003015FD">
        <w:t xml:space="preserve"> </w:t>
      </w:r>
      <w:r w:rsidRPr="003015FD">
        <w:t>a</w:t>
      </w:r>
      <w:r w:rsidR="00975895" w:rsidRPr="003015FD">
        <w:t xml:space="preserve"> </w:t>
      </w:r>
      <w:r w:rsidRPr="003015FD">
        <w:t>human</w:t>
      </w:r>
      <w:r w:rsidR="00975895" w:rsidRPr="003015FD">
        <w:t xml:space="preserve"> </w:t>
      </w:r>
      <w:r w:rsidRPr="003015FD">
        <w:t>right</w:t>
      </w:r>
      <w:r w:rsidR="00975895" w:rsidRPr="003015FD">
        <w:t xml:space="preserve"> </w:t>
      </w:r>
      <w:r w:rsidRPr="003015FD">
        <w:t>may</w:t>
      </w:r>
      <w:r w:rsidR="00975895" w:rsidRPr="003015FD">
        <w:t xml:space="preserve"> </w:t>
      </w:r>
      <w:r w:rsidRPr="003015FD">
        <w:t>be</w:t>
      </w:r>
      <w:r w:rsidR="00975895" w:rsidRPr="003015FD">
        <w:t xml:space="preserve"> </w:t>
      </w:r>
      <w:r w:rsidRPr="003015FD">
        <w:t>reasonably</w:t>
      </w:r>
      <w:r w:rsidR="00975895" w:rsidRPr="003015FD">
        <w:t xml:space="preserve"> </w:t>
      </w:r>
      <w:r w:rsidRPr="003015FD">
        <w:t>limited,</w:t>
      </w:r>
      <w:r w:rsidR="00975895" w:rsidRPr="003015FD">
        <w:t xml:space="preserve"> </w:t>
      </w:r>
      <w:r w:rsidRPr="003015FD">
        <w:t>applies</w:t>
      </w:r>
      <w:r w:rsidR="00975895" w:rsidRPr="003015FD">
        <w:t xml:space="preserve"> </w:t>
      </w:r>
      <w:r w:rsidRPr="003015FD">
        <w:t>to</w:t>
      </w:r>
      <w:r w:rsidR="00975895" w:rsidRPr="003015FD">
        <w:t xml:space="preserve"> </w:t>
      </w:r>
      <w:r w:rsidRPr="003015FD">
        <w:t>the</w:t>
      </w:r>
      <w:r w:rsidR="00975895" w:rsidRPr="003015FD">
        <w:t xml:space="preserve"> </w:t>
      </w:r>
      <w:r w:rsidRPr="003015FD">
        <w:t>assessment</w:t>
      </w:r>
      <w:r w:rsidR="00975895" w:rsidRPr="003015FD">
        <w:t xml:space="preserve"> </w:t>
      </w:r>
      <w:r w:rsidRPr="003015FD">
        <w:t>of</w:t>
      </w:r>
      <w:r w:rsidR="00975895" w:rsidRPr="003015FD">
        <w:t xml:space="preserve"> </w:t>
      </w:r>
      <w:r w:rsidRPr="003015FD">
        <w:t>which</w:t>
      </w:r>
      <w:r w:rsidR="00975895" w:rsidRPr="003015FD">
        <w:t xml:space="preserve"> </w:t>
      </w:r>
      <w:r w:rsidRPr="003015FD">
        <w:t>interpretation</w:t>
      </w:r>
      <w:r w:rsidR="00975895" w:rsidRPr="003015FD">
        <w:t xml:space="preserve"> </w:t>
      </w:r>
      <w:r w:rsidRPr="003015FD">
        <w:t>is</w:t>
      </w:r>
      <w:r w:rsidR="00975895" w:rsidRPr="003015FD">
        <w:t xml:space="preserve"> </w:t>
      </w:r>
      <w:r w:rsidRPr="003015FD">
        <w:t>most</w:t>
      </w:r>
      <w:r w:rsidR="00975895" w:rsidRPr="003015FD">
        <w:t xml:space="preserve"> </w:t>
      </w:r>
      <w:r w:rsidRPr="003015FD">
        <w:t>compatible</w:t>
      </w:r>
      <w:r w:rsidR="00975895" w:rsidRPr="003015FD">
        <w:t xml:space="preserve"> </w:t>
      </w:r>
      <w:r w:rsidRPr="003015FD">
        <w:t>with</w:t>
      </w:r>
      <w:r w:rsidR="00975895" w:rsidRPr="003015FD">
        <w:t xml:space="preserve"> </w:t>
      </w:r>
      <w:r w:rsidRPr="003015FD">
        <w:t>human</w:t>
      </w:r>
      <w:r w:rsidR="00975895" w:rsidRPr="003015FD">
        <w:t xml:space="preserve"> </w:t>
      </w:r>
      <w:r w:rsidRPr="003015FD">
        <w:t>rights.</w:t>
      </w:r>
      <w:r w:rsidR="00975895" w:rsidRPr="003015FD">
        <w:t xml:space="preserve"> </w:t>
      </w:r>
    </w:p>
    <w:p w14:paraId="438DFA4C" w14:textId="49B6DDCE" w:rsidR="008E0945" w:rsidRPr="0002642E" w:rsidRDefault="008E0945" w:rsidP="0002642E">
      <w:pPr>
        <w:pStyle w:val="Heading4"/>
        <w:numPr>
          <w:ilvl w:val="0"/>
          <w:numId w:val="54"/>
        </w:numPr>
      </w:pPr>
      <w:r w:rsidRPr="0002642E">
        <w:t>More</w:t>
      </w:r>
      <w:r w:rsidR="00975895" w:rsidRPr="0002642E">
        <w:t xml:space="preserve"> </w:t>
      </w:r>
      <w:r w:rsidRPr="0002642E">
        <w:t>effective</w:t>
      </w:r>
      <w:r w:rsidR="00975895" w:rsidRPr="0002642E">
        <w:t xml:space="preserve"> </w:t>
      </w:r>
      <w:r w:rsidRPr="0002642E">
        <w:t>parliamentary</w:t>
      </w:r>
      <w:r w:rsidR="00975895" w:rsidRPr="0002642E">
        <w:t xml:space="preserve"> </w:t>
      </w:r>
      <w:r w:rsidRPr="0002642E">
        <w:t>scrutiny</w:t>
      </w:r>
      <w:r w:rsidR="00975895" w:rsidRPr="0002642E">
        <w:t xml:space="preserve"> </w:t>
      </w:r>
    </w:p>
    <w:p w14:paraId="38C814B2" w14:textId="0768032D" w:rsidR="008E0945" w:rsidRPr="003015FD" w:rsidRDefault="008E0945" w:rsidP="0002642E">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considered</w:t>
      </w:r>
      <w:r w:rsidR="00975895" w:rsidRPr="003015FD">
        <w:t xml:space="preserve"> </w:t>
      </w:r>
      <w:r w:rsidRPr="003015FD">
        <w:t>the</w:t>
      </w:r>
      <w:r w:rsidR="00975895" w:rsidRPr="003015FD">
        <w:t xml:space="preserve"> </w:t>
      </w:r>
      <w:r w:rsidRPr="003015FD">
        <w:t>role</w:t>
      </w:r>
      <w:r w:rsidR="00975895" w:rsidRPr="003015FD">
        <w:t xml:space="preserve"> </w:t>
      </w:r>
      <w:r w:rsidRPr="003015FD">
        <w:t>of</w:t>
      </w:r>
      <w:r w:rsidR="00975895" w:rsidRPr="003015FD">
        <w:t xml:space="preserve"> </w:t>
      </w:r>
      <w:r w:rsidRPr="003015FD">
        <w:t>human</w:t>
      </w:r>
      <w:r w:rsidR="00975895" w:rsidRPr="003015FD">
        <w:t xml:space="preserve"> </w:t>
      </w:r>
      <w:r w:rsidRPr="003015FD">
        <w:t>rights</w:t>
      </w:r>
      <w:r w:rsidR="00975895" w:rsidRPr="003015FD">
        <w:t xml:space="preserve"> </w:t>
      </w:r>
      <w:r w:rsidRPr="003015FD">
        <w:t>scrutiny</w:t>
      </w:r>
      <w:r w:rsidR="00975895" w:rsidRPr="003015FD">
        <w:t xml:space="preserve"> </w:t>
      </w:r>
      <w:r w:rsidRPr="003015FD">
        <w:t>in</w:t>
      </w:r>
      <w:r w:rsidR="00975895" w:rsidRPr="003015FD">
        <w:t xml:space="preserve"> </w:t>
      </w:r>
      <w:r w:rsidRPr="003015FD">
        <w:t>law</w:t>
      </w:r>
      <w:r w:rsidR="00EB5E45">
        <w:t>-</w:t>
      </w:r>
      <w:r w:rsidRPr="003015FD">
        <w:t>making.</w:t>
      </w:r>
      <w:r w:rsidR="00975895" w:rsidRPr="003015FD">
        <w:t xml:space="preserve"> </w:t>
      </w:r>
      <w:r w:rsidRPr="003015FD">
        <w:t>It</w:t>
      </w:r>
      <w:r w:rsidR="00975895" w:rsidRPr="003015FD">
        <w:t xml:space="preserve"> </w:t>
      </w:r>
      <w:r w:rsidRPr="003015FD">
        <w:t>noted</w:t>
      </w:r>
      <w:r w:rsidR="00975895" w:rsidRPr="003015FD">
        <w:t xml:space="preserve"> </w:t>
      </w:r>
      <w:r w:rsidRPr="003015FD">
        <w:t>that</w:t>
      </w:r>
      <w:r w:rsidR="00975895" w:rsidRPr="003015FD">
        <w:t xml:space="preserve"> </w:t>
      </w:r>
      <w:r w:rsidRPr="003015FD">
        <w:t>parliamentary</w:t>
      </w:r>
      <w:r w:rsidR="00975895" w:rsidRPr="003015FD">
        <w:t xml:space="preserve"> </w:t>
      </w:r>
      <w:r w:rsidRPr="003015FD">
        <w:t>human</w:t>
      </w:r>
      <w:r w:rsidR="00975895" w:rsidRPr="003015FD">
        <w:t xml:space="preserve"> </w:t>
      </w:r>
      <w:r w:rsidRPr="003015FD">
        <w:t>rights</w:t>
      </w:r>
      <w:r w:rsidR="00975895" w:rsidRPr="003015FD">
        <w:t xml:space="preserve"> </w:t>
      </w:r>
      <w:r w:rsidRPr="003015FD">
        <w:t>scrutiny</w:t>
      </w:r>
      <w:r w:rsidR="00975895" w:rsidRPr="003015FD">
        <w:t xml:space="preserve"> </w:t>
      </w:r>
      <w:r w:rsidRPr="003015FD">
        <w:t>has</w:t>
      </w:r>
      <w:r w:rsidR="00975895" w:rsidRPr="003015FD">
        <w:t xml:space="preserve"> </w:t>
      </w:r>
      <w:r w:rsidRPr="003015FD">
        <w:t>had</w:t>
      </w:r>
      <w:r w:rsidR="00975895" w:rsidRPr="003015FD">
        <w:t xml:space="preserve"> </w:t>
      </w:r>
      <w:r w:rsidRPr="003015FD">
        <w:t>a</w:t>
      </w:r>
      <w:r w:rsidR="00975895" w:rsidRPr="003015FD">
        <w:t xml:space="preserve"> </w:t>
      </w:r>
      <w:r w:rsidRPr="003015FD">
        <w:t>positive</w:t>
      </w:r>
      <w:r w:rsidR="00975895" w:rsidRPr="003015FD">
        <w:t xml:space="preserve"> </w:t>
      </w:r>
      <w:r w:rsidRPr="003015FD">
        <w:t>impact</w:t>
      </w:r>
      <w:r w:rsidR="00975895" w:rsidRPr="003015FD">
        <w:t xml:space="preserve"> </w:t>
      </w:r>
      <w:r w:rsidRPr="003015FD">
        <w:t>on</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compatibility</w:t>
      </w:r>
      <w:r w:rsidR="00975895" w:rsidRPr="003015FD">
        <w:t xml:space="preserve"> </w:t>
      </w:r>
      <w:r w:rsidRPr="003015FD">
        <w:t>of</w:t>
      </w:r>
      <w:r w:rsidR="00975895" w:rsidRPr="003015FD">
        <w:t xml:space="preserve"> </w:t>
      </w:r>
      <w:r w:rsidRPr="003015FD">
        <w:t>new</w:t>
      </w:r>
      <w:r w:rsidR="00975895" w:rsidRPr="003015FD">
        <w:t xml:space="preserve"> </w:t>
      </w:r>
      <w:r w:rsidRPr="003015FD">
        <w:t>laws,</w:t>
      </w:r>
      <w:r w:rsidR="00975895" w:rsidRPr="003015FD">
        <w:t xml:space="preserve"> </w:t>
      </w:r>
      <w:r w:rsidRPr="003015FD">
        <w:t>but</w:t>
      </w:r>
      <w:r w:rsidR="00975895" w:rsidRPr="003015FD">
        <w:t xml:space="preserve"> </w:t>
      </w:r>
      <w:r w:rsidRPr="003015FD">
        <w:t>some</w:t>
      </w:r>
      <w:r w:rsidR="00975895" w:rsidRPr="003015FD">
        <w:t xml:space="preserve"> </w:t>
      </w:r>
      <w:r w:rsidRPr="003015FD">
        <w:t>small</w:t>
      </w:r>
      <w:r w:rsidR="00975895" w:rsidRPr="003015FD">
        <w:t xml:space="preserve"> </w:t>
      </w:r>
      <w:r w:rsidRPr="003015FD">
        <w:t>changes</w:t>
      </w:r>
      <w:r w:rsidR="00975895" w:rsidRPr="003015FD">
        <w:t xml:space="preserve"> </w:t>
      </w:r>
      <w:r w:rsidRPr="003015FD">
        <w:t>are</w:t>
      </w:r>
      <w:r w:rsidR="00975895" w:rsidRPr="003015FD">
        <w:t xml:space="preserve"> </w:t>
      </w:r>
      <w:r w:rsidRPr="003015FD">
        <w:t>needed</w:t>
      </w:r>
      <w:r w:rsidR="00975895" w:rsidRPr="003015FD">
        <w:t xml:space="preserve"> </w:t>
      </w:r>
      <w:r w:rsidRPr="003015FD">
        <w:t>to</w:t>
      </w:r>
      <w:r w:rsidR="00975895" w:rsidRPr="003015FD">
        <w:t xml:space="preserve"> </w:t>
      </w:r>
      <w:r w:rsidRPr="003015FD">
        <w:t>increase</w:t>
      </w:r>
      <w:r w:rsidR="00975895" w:rsidRPr="003015FD">
        <w:t xml:space="preserve"> </w:t>
      </w:r>
      <w:r w:rsidRPr="003015FD">
        <w:t>the</w:t>
      </w:r>
      <w:r w:rsidR="00975895" w:rsidRPr="003015FD">
        <w:t xml:space="preserve"> </w:t>
      </w:r>
      <w:r w:rsidRPr="003015FD">
        <w:t>robustness</w:t>
      </w:r>
      <w:r w:rsidR="00975895" w:rsidRPr="003015FD">
        <w:t xml:space="preserve"> </w:t>
      </w:r>
      <w:r w:rsidRPr="003015FD">
        <w:t>and</w:t>
      </w:r>
      <w:r w:rsidR="00975895" w:rsidRPr="003015FD">
        <w:t xml:space="preserve"> </w:t>
      </w:r>
      <w:r w:rsidRPr="003015FD">
        <w:t>transparency</w:t>
      </w:r>
      <w:r w:rsidR="00975895" w:rsidRPr="003015FD">
        <w:t xml:space="preserve"> </w:t>
      </w:r>
      <w:r w:rsidRPr="003015FD">
        <w:t>of</w:t>
      </w:r>
      <w:r w:rsidR="00975895" w:rsidRPr="003015FD">
        <w:t xml:space="preserve"> </w:t>
      </w:r>
      <w:r w:rsidRPr="003015FD">
        <w:t>this</w:t>
      </w:r>
      <w:r w:rsidR="00975895" w:rsidRPr="003015FD">
        <w:t xml:space="preserve"> </w:t>
      </w:r>
      <w:r w:rsidRPr="003015FD">
        <w:t>process.</w:t>
      </w:r>
      <w:r w:rsidR="00975895" w:rsidRPr="003015FD">
        <w:t xml:space="preserve"> </w:t>
      </w:r>
      <w:r w:rsidRPr="003015FD">
        <w:t>The</w:t>
      </w:r>
      <w:r w:rsidR="00975895" w:rsidRPr="003015FD">
        <w:t xml:space="preserve"> </w:t>
      </w:r>
      <w:r w:rsidRPr="003015FD">
        <w:t>main</w:t>
      </w:r>
      <w:r w:rsidR="00975895" w:rsidRPr="003015FD">
        <w:t xml:space="preserve"> </w:t>
      </w:r>
      <w:r w:rsidRPr="003015FD">
        <w:t>criticism</w:t>
      </w:r>
      <w:r w:rsidR="00975895" w:rsidRPr="003015FD">
        <w:t xml:space="preserve"> </w:t>
      </w:r>
      <w:r w:rsidRPr="003015FD">
        <w:t>of</w:t>
      </w:r>
      <w:r w:rsidR="00975895" w:rsidRPr="003015FD">
        <w:t xml:space="preserve"> </w:t>
      </w:r>
      <w:r w:rsidRPr="003015FD">
        <w:t>the</w:t>
      </w:r>
      <w:r w:rsidR="00975895" w:rsidRPr="003015FD">
        <w:t xml:space="preserve"> </w:t>
      </w:r>
      <w:r w:rsidRPr="003015FD">
        <w:t>scrutiny</w:t>
      </w:r>
      <w:r w:rsidR="00975895" w:rsidRPr="003015FD">
        <w:t xml:space="preserve"> </w:t>
      </w:r>
      <w:r w:rsidRPr="003015FD">
        <w:t>process</w:t>
      </w:r>
      <w:r w:rsidR="00975895" w:rsidRPr="003015FD">
        <w:t xml:space="preserve"> </w:t>
      </w:r>
      <w:r w:rsidRPr="003015FD">
        <w:t>was</w:t>
      </w:r>
      <w:r w:rsidR="00975895" w:rsidRPr="003015FD">
        <w:t xml:space="preserve"> </w:t>
      </w:r>
      <w:r w:rsidRPr="003015FD">
        <w:t>the</w:t>
      </w:r>
      <w:r w:rsidR="00975895" w:rsidRPr="003015FD">
        <w:t xml:space="preserve"> </w:t>
      </w:r>
      <w:r w:rsidRPr="003015FD">
        <w:t>short</w:t>
      </w:r>
      <w:r w:rsidR="00975895" w:rsidRPr="003015FD">
        <w:t xml:space="preserve"> </w:t>
      </w:r>
      <w:r w:rsidRPr="003015FD">
        <w:t>time</w:t>
      </w:r>
      <w:r w:rsidR="00054270">
        <w:t xml:space="preserve"> </w:t>
      </w:r>
      <w:r w:rsidRPr="003015FD">
        <w:t>frame</w:t>
      </w:r>
      <w:r w:rsidR="00975895" w:rsidRPr="003015FD">
        <w:t xml:space="preserve"> </w:t>
      </w:r>
      <w:r w:rsidRPr="003015FD">
        <w:t>within</w:t>
      </w:r>
      <w:r w:rsidR="00975895" w:rsidRPr="003015FD">
        <w:t xml:space="preserve"> </w:t>
      </w:r>
      <w:r w:rsidRPr="003015FD">
        <w:t>which</w:t>
      </w:r>
      <w:r w:rsidR="00975895" w:rsidRPr="003015FD">
        <w:t xml:space="preserve"> </w:t>
      </w:r>
      <w:r w:rsidRPr="003015FD">
        <w:t>the</w:t>
      </w:r>
      <w:r w:rsidR="00975895" w:rsidRPr="003015FD">
        <w:t xml:space="preserve"> </w:t>
      </w:r>
      <w:r w:rsidRPr="003015FD">
        <w:t>Committee</w:t>
      </w:r>
      <w:r w:rsidR="00975895" w:rsidRPr="003015FD">
        <w:t xml:space="preserve"> </w:t>
      </w:r>
      <w:r w:rsidRPr="003015FD">
        <w:t>must</w:t>
      </w:r>
      <w:r w:rsidR="00975895" w:rsidRPr="003015FD">
        <w:t xml:space="preserve"> </w:t>
      </w:r>
      <w:r w:rsidRPr="003015FD">
        <w:t>consider</w:t>
      </w:r>
      <w:r w:rsidR="00975895" w:rsidRPr="003015FD">
        <w:t xml:space="preserve"> </w:t>
      </w:r>
      <w:r w:rsidRPr="003015FD">
        <w:t>and</w:t>
      </w:r>
      <w:r w:rsidR="00975895" w:rsidRPr="003015FD">
        <w:t xml:space="preserve"> </w:t>
      </w:r>
      <w:r w:rsidRPr="003015FD">
        <w:t>report</w:t>
      </w:r>
      <w:r w:rsidR="00975895" w:rsidRPr="003015FD">
        <w:t xml:space="preserve"> </w:t>
      </w:r>
      <w:r w:rsidRPr="003015FD">
        <w:t>on</w:t>
      </w:r>
      <w:r w:rsidR="00975895" w:rsidRPr="003015FD">
        <w:t xml:space="preserve"> </w:t>
      </w:r>
      <w:r w:rsidRPr="003015FD">
        <w:t>Bills.</w:t>
      </w:r>
      <w:r w:rsidR="00975895" w:rsidRPr="003015FD">
        <w:t xml:space="preserve"> </w:t>
      </w:r>
      <w:r w:rsidRPr="003015FD">
        <w:t>This</w:t>
      </w:r>
      <w:r w:rsidR="00975895" w:rsidRPr="003015FD">
        <w:t xml:space="preserve"> </w:t>
      </w:r>
      <w:r w:rsidRPr="003015FD">
        <w:t>time</w:t>
      </w:r>
      <w:r w:rsidR="00054270">
        <w:t xml:space="preserve"> </w:t>
      </w:r>
      <w:r w:rsidRPr="003015FD">
        <w:t>frame</w:t>
      </w:r>
      <w:r w:rsidR="00975895" w:rsidRPr="003015FD">
        <w:t xml:space="preserve"> </w:t>
      </w:r>
      <w:r w:rsidRPr="003015FD">
        <w:t>means</w:t>
      </w:r>
      <w:r w:rsidR="00975895" w:rsidRPr="003015FD">
        <w:t xml:space="preserve"> </w:t>
      </w:r>
      <w:r w:rsidRPr="003015FD">
        <w:t>that</w:t>
      </w:r>
      <w:r w:rsidR="00975895" w:rsidRPr="003015FD">
        <w:t xml:space="preserve"> </w:t>
      </w:r>
      <w:r w:rsidRPr="003015FD">
        <w:t>the</w:t>
      </w:r>
      <w:r w:rsidR="00975895" w:rsidRPr="003015FD">
        <w:t xml:space="preserve"> </w:t>
      </w:r>
      <w:r w:rsidRPr="003015FD">
        <w:t>public</w:t>
      </w:r>
      <w:r w:rsidR="00975895" w:rsidRPr="003015FD">
        <w:t xml:space="preserve"> </w:t>
      </w:r>
      <w:r w:rsidRPr="003015FD">
        <w:t>has</w:t>
      </w:r>
      <w:r w:rsidR="00975895" w:rsidRPr="003015FD">
        <w:t xml:space="preserve"> </w:t>
      </w:r>
      <w:r w:rsidRPr="003015FD">
        <w:t>little</w:t>
      </w:r>
      <w:r w:rsidR="00975895" w:rsidRPr="003015FD">
        <w:t xml:space="preserve"> </w:t>
      </w:r>
      <w:r w:rsidRPr="003015FD">
        <w:t>opportunity</w:t>
      </w:r>
      <w:r w:rsidR="00975895" w:rsidRPr="003015FD">
        <w:t xml:space="preserve"> </w:t>
      </w:r>
      <w:r w:rsidRPr="003015FD">
        <w:t>to</w:t>
      </w:r>
      <w:r w:rsidR="00975895" w:rsidRPr="003015FD">
        <w:t xml:space="preserve"> </w:t>
      </w:r>
      <w:r w:rsidRPr="003015FD">
        <w:t>make</w:t>
      </w:r>
      <w:r w:rsidR="00975895" w:rsidRPr="003015FD">
        <w:t xml:space="preserve"> </w:t>
      </w:r>
      <w:r w:rsidRPr="003015FD">
        <w:t>submissions</w:t>
      </w:r>
      <w:r w:rsidR="00975895" w:rsidRPr="003015FD">
        <w:t xml:space="preserve"> </w:t>
      </w:r>
      <w:r w:rsidRPr="003015FD">
        <w:t>on</w:t>
      </w:r>
      <w:r w:rsidR="00975895" w:rsidRPr="003015FD">
        <w:t xml:space="preserve"> </w:t>
      </w:r>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impacts</w:t>
      </w:r>
      <w:r w:rsidR="00975895" w:rsidRPr="003015FD">
        <w:t xml:space="preserve"> </w:t>
      </w:r>
      <w:r w:rsidRPr="003015FD">
        <w:t>of</w:t>
      </w:r>
      <w:r w:rsidR="00975895" w:rsidRPr="003015FD">
        <w:t xml:space="preserve"> </w:t>
      </w:r>
      <w:r w:rsidRPr="003015FD">
        <w:t>proposed</w:t>
      </w:r>
      <w:r w:rsidR="00975895" w:rsidRPr="003015FD">
        <w:t xml:space="preserve"> </w:t>
      </w:r>
      <w:r w:rsidRPr="003015FD">
        <w:t>legislation,</w:t>
      </w:r>
      <w:r w:rsidR="00975895" w:rsidRPr="003015FD">
        <w:t xml:space="preserve"> </w:t>
      </w:r>
      <w:r w:rsidRPr="003015FD">
        <w:t>and</w:t>
      </w:r>
      <w:r w:rsidR="00975895" w:rsidRPr="003015FD">
        <w:t xml:space="preserve"> </w:t>
      </w:r>
      <w:r w:rsidRPr="003015FD">
        <w:t>the</w:t>
      </w:r>
      <w:r w:rsidR="00975895" w:rsidRPr="003015FD">
        <w:t xml:space="preserve"> </w:t>
      </w:r>
      <w:r w:rsidRPr="003015FD">
        <w:t>Committee</w:t>
      </w:r>
      <w:r w:rsidR="00975895" w:rsidRPr="003015FD">
        <w:t xml:space="preserve"> </w:t>
      </w:r>
      <w:r w:rsidRPr="003015FD">
        <w:t>lacks</w:t>
      </w:r>
      <w:r w:rsidR="00975895" w:rsidRPr="003015FD">
        <w:t xml:space="preserve"> </w:t>
      </w:r>
      <w:r w:rsidRPr="003015FD">
        <w:t>the</w:t>
      </w:r>
      <w:r w:rsidR="00975895" w:rsidRPr="003015FD">
        <w:t xml:space="preserve"> </w:t>
      </w:r>
      <w:r w:rsidRPr="003015FD">
        <w:t>time</w:t>
      </w:r>
      <w:r w:rsidR="00975895" w:rsidRPr="003015FD">
        <w:t xml:space="preserve"> </w:t>
      </w:r>
      <w:r w:rsidRPr="003015FD">
        <w:t>and</w:t>
      </w:r>
      <w:r w:rsidR="00975895" w:rsidRPr="003015FD">
        <w:t xml:space="preserve"> </w:t>
      </w:r>
      <w:r w:rsidRPr="003015FD">
        <w:t>capacity</w:t>
      </w:r>
      <w:r w:rsidR="00975895" w:rsidRPr="003015FD">
        <w:t xml:space="preserve"> </w:t>
      </w:r>
      <w:r w:rsidRPr="003015FD">
        <w:t>to</w:t>
      </w:r>
      <w:r w:rsidR="00975895" w:rsidRPr="003015FD">
        <w:t xml:space="preserve"> </w:t>
      </w:r>
      <w:r w:rsidRPr="003015FD">
        <w:t>consider</w:t>
      </w:r>
      <w:r w:rsidR="00975895" w:rsidRPr="003015FD">
        <w:t xml:space="preserve"> </w:t>
      </w:r>
      <w:r w:rsidRPr="003015FD">
        <w:t>any</w:t>
      </w:r>
      <w:r w:rsidR="00975895" w:rsidRPr="003015FD">
        <w:t xml:space="preserve"> </w:t>
      </w:r>
      <w:r w:rsidRPr="003015FD">
        <w:t>submissions</w:t>
      </w:r>
      <w:r w:rsidR="00975895" w:rsidRPr="003015FD">
        <w:t xml:space="preserve"> </w:t>
      </w:r>
      <w:r w:rsidRPr="003015FD">
        <w:t>in</w:t>
      </w:r>
      <w:r w:rsidR="00975895" w:rsidRPr="003015FD">
        <w:t xml:space="preserve"> </w:t>
      </w:r>
      <w:r w:rsidRPr="003015FD">
        <w:t>detail.</w:t>
      </w:r>
    </w:p>
    <w:p w14:paraId="6ECEB765" w14:textId="3C4E98EF" w:rsidR="008E0945" w:rsidRPr="0002642E" w:rsidRDefault="008E0945" w:rsidP="0002642E">
      <w:pPr>
        <w:pStyle w:val="Heading4"/>
        <w:numPr>
          <w:ilvl w:val="0"/>
          <w:numId w:val="54"/>
        </w:numPr>
      </w:pPr>
      <w:r w:rsidRPr="0002642E">
        <w:t>Emerging</w:t>
      </w:r>
      <w:r w:rsidR="00975895" w:rsidRPr="0002642E">
        <w:t xml:space="preserve"> </w:t>
      </w:r>
      <w:r w:rsidRPr="0002642E">
        <w:t>issues</w:t>
      </w:r>
      <w:r w:rsidR="00975895" w:rsidRPr="0002642E">
        <w:t xml:space="preserve"> </w:t>
      </w:r>
    </w:p>
    <w:p w14:paraId="0B5E8984" w14:textId="7C11B008" w:rsidR="008E0945" w:rsidRPr="003015FD" w:rsidRDefault="008E0945" w:rsidP="0002642E">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examined</w:t>
      </w:r>
      <w:r w:rsidR="00975895" w:rsidRPr="003015FD">
        <w:t xml:space="preserve"> </w:t>
      </w:r>
      <w:r w:rsidRPr="003015FD">
        <w:t>other</w:t>
      </w:r>
      <w:r w:rsidR="00975895" w:rsidRPr="003015FD">
        <w:t xml:space="preserve"> </w:t>
      </w:r>
      <w:r w:rsidRPr="003015FD">
        <w:t>issues,</w:t>
      </w:r>
      <w:r w:rsidR="00975895" w:rsidRPr="003015FD">
        <w:t xml:space="preserve"> </w:t>
      </w:r>
      <w:r w:rsidRPr="003015FD">
        <w:t>including</w:t>
      </w:r>
      <w:r w:rsidR="00975895" w:rsidRPr="003015FD">
        <w:t xml:space="preserve"> </w:t>
      </w:r>
      <w:r w:rsidRPr="003015FD">
        <w:t>the</w:t>
      </w:r>
      <w:r w:rsidR="00975895" w:rsidRPr="003015FD">
        <w:t xml:space="preserve"> </w:t>
      </w:r>
      <w:r w:rsidRPr="003015FD">
        <w:t>application</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to</w:t>
      </w:r>
      <w:r w:rsidR="00975895" w:rsidRPr="003015FD">
        <w:t xml:space="preserve"> </w:t>
      </w:r>
      <w:r w:rsidRPr="003015FD">
        <w:t>national</w:t>
      </w:r>
      <w:r w:rsidR="00975895" w:rsidRPr="003015FD">
        <w:t xml:space="preserve"> </w:t>
      </w:r>
      <w:r w:rsidRPr="003015FD">
        <w:t>schemes,</w:t>
      </w:r>
      <w:r w:rsidR="00975895" w:rsidRPr="003015FD">
        <w:t xml:space="preserve"> </w:t>
      </w:r>
      <w:r w:rsidRPr="003015FD">
        <w:t>the</w:t>
      </w:r>
      <w:r w:rsidR="00975895" w:rsidRPr="003015FD">
        <w:t xml:space="preserve"> </w:t>
      </w:r>
      <w:r w:rsidRPr="003015FD">
        <w:t>introduction</w:t>
      </w:r>
      <w:r w:rsidR="00975895" w:rsidRPr="003015FD">
        <w:t xml:space="preserve"> </w:t>
      </w:r>
      <w:r w:rsidRPr="003015FD">
        <w:t>of</w:t>
      </w:r>
      <w:r w:rsidR="00975895" w:rsidRPr="003015FD">
        <w:t xml:space="preserve"> </w:t>
      </w:r>
      <w:r w:rsidRPr="003015FD">
        <w:t>additional</w:t>
      </w:r>
      <w:r w:rsidR="00975895" w:rsidRPr="003015FD">
        <w:t xml:space="preserve"> </w:t>
      </w:r>
      <w:r w:rsidRPr="003015FD">
        <w:t>rights</w:t>
      </w:r>
      <w:r w:rsidR="00975895" w:rsidRPr="003015FD">
        <w:t xml:space="preserve"> </w:t>
      </w:r>
      <w:r w:rsidRPr="003015FD">
        <w:t>into</w:t>
      </w:r>
      <w:r w:rsidR="00975895" w:rsidRPr="003015FD">
        <w:t xml:space="preserve"> </w:t>
      </w:r>
      <w:r w:rsidRPr="003015FD">
        <w:t>the</w:t>
      </w:r>
      <w:r w:rsidR="00975895" w:rsidRPr="003015FD">
        <w:t xml:space="preserve"> </w:t>
      </w:r>
      <w:r w:rsidRPr="003015FD">
        <w:t>Charter</w:t>
      </w:r>
      <w:r w:rsidR="00975895" w:rsidRPr="003015FD">
        <w:t xml:space="preserve"> </w:t>
      </w:r>
      <w:r w:rsidRPr="003015FD">
        <w:t>and</w:t>
      </w:r>
      <w:r w:rsidR="00975895" w:rsidRPr="003015FD">
        <w:t xml:space="preserve"> </w:t>
      </w:r>
      <w:r w:rsidRPr="003015FD">
        <w:t>the</w:t>
      </w:r>
      <w:r w:rsidR="00975895" w:rsidRPr="003015FD">
        <w:t xml:space="preserve"> </w:t>
      </w:r>
      <w:r w:rsidRPr="003015FD">
        <w:t>definition</w:t>
      </w:r>
      <w:r w:rsidR="00975895" w:rsidRPr="003015FD">
        <w:t xml:space="preserve"> </w:t>
      </w:r>
      <w:r w:rsidRPr="003015FD">
        <w:t>of</w:t>
      </w:r>
      <w:r w:rsidR="00975895" w:rsidRPr="003015FD">
        <w:t xml:space="preserve"> </w:t>
      </w:r>
      <w:r w:rsidRPr="003015FD">
        <w:t>discrimination.</w:t>
      </w:r>
    </w:p>
    <w:p w14:paraId="44CE4F1D" w14:textId="4D9B1B51" w:rsidR="008E0945" w:rsidRPr="0002642E" w:rsidRDefault="008E0945" w:rsidP="0002642E">
      <w:pPr>
        <w:pStyle w:val="Heading4"/>
        <w:numPr>
          <w:ilvl w:val="0"/>
          <w:numId w:val="54"/>
        </w:numPr>
      </w:pPr>
      <w:r w:rsidRPr="0002642E">
        <w:t>The</w:t>
      </w:r>
      <w:r w:rsidR="00975895" w:rsidRPr="0002642E">
        <w:t xml:space="preserve"> </w:t>
      </w:r>
      <w:r w:rsidRPr="0002642E">
        <w:t>need</w:t>
      </w:r>
      <w:r w:rsidR="00975895" w:rsidRPr="0002642E">
        <w:t xml:space="preserve"> </w:t>
      </w:r>
      <w:r w:rsidRPr="0002642E">
        <w:t>for</w:t>
      </w:r>
      <w:r w:rsidR="00975895" w:rsidRPr="0002642E">
        <w:t xml:space="preserve"> </w:t>
      </w:r>
      <w:r w:rsidRPr="0002642E">
        <w:t>a</w:t>
      </w:r>
      <w:r w:rsidR="00975895" w:rsidRPr="0002642E">
        <w:t xml:space="preserve"> </w:t>
      </w:r>
      <w:r w:rsidRPr="0002642E">
        <w:t>further</w:t>
      </w:r>
      <w:r w:rsidR="00975895" w:rsidRPr="0002642E">
        <w:t xml:space="preserve"> </w:t>
      </w:r>
      <w:r w:rsidRPr="0002642E">
        <w:t>review</w:t>
      </w:r>
      <w:r w:rsidR="00975895" w:rsidRPr="0002642E">
        <w:t xml:space="preserve"> </w:t>
      </w:r>
    </w:p>
    <w:p w14:paraId="39BDF449" w14:textId="32FF5BD6" w:rsidR="008E0945" w:rsidRPr="003015FD" w:rsidRDefault="008E0945" w:rsidP="003A3F4F">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also</w:t>
      </w:r>
      <w:r w:rsidR="00975895" w:rsidRPr="003015FD">
        <w:t xml:space="preserve"> </w:t>
      </w:r>
      <w:r w:rsidRPr="003015FD">
        <w:t>recommended</w:t>
      </w:r>
      <w:r w:rsidR="00975895" w:rsidRPr="003015FD">
        <w:t xml:space="preserve"> </w:t>
      </w:r>
      <w:r w:rsidRPr="003015FD">
        <w:t>that</w:t>
      </w:r>
      <w:r w:rsidR="00975895" w:rsidRPr="003015FD">
        <w:t xml:space="preserve"> </w:t>
      </w:r>
      <w:r w:rsidRPr="003015FD">
        <w:t>the</w:t>
      </w:r>
      <w:r w:rsidR="00975895" w:rsidRPr="003015FD">
        <w:t xml:space="preserve"> </w:t>
      </w:r>
      <w:r w:rsidRPr="003015FD">
        <w:t>Charter</w:t>
      </w:r>
      <w:r w:rsidR="00975895" w:rsidRPr="003015FD">
        <w:t xml:space="preserve"> </w:t>
      </w:r>
      <w:r w:rsidRPr="003015FD">
        <w:t>be</w:t>
      </w:r>
      <w:r w:rsidR="00975895" w:rsidRPr="003015FD">
        <w:t xml:space="preserve"> </w:t>
      </w:r>
      <w:r w:rsidRPr="003015FD">
        <w:t>amended</w:t>
      </w:r>
      <w:r w:rsidR="00975895" w:rsidRPr="003015FD">
        <w:t xml:space="preserve"> </w:t>
      </w:r>
      <w:r w:rsidRPr="003015FD">
        <w:t>to</w:t>
      </w:r>
      <w:r w:rsidR="00975895" w:rsidRPr="003015FD">
        <w:t xml:space="preserve"> </w:t>
      </w:r>
      <w:r w:rsidRPr="003015FD">
        <w:t>require</w:t>
      </w:r>
      <w:r w:rsidR="00975895" w:rsidRPr="003015FD">
        <w:t xml:space="preserve"> </w:t>
      </w:r>
      <w:r w:rsidRPr="003015FD">
        <w:t>a</w:t>
      </w:r>
      <w:r w:rsidR="00975895" w:rsidRPr="003015FD">
        <w:t xml:space="preserve"> </w:t>
      </w:r>
      <w:r w:rsidRPr="003015FD">
        <w:t>further</w:t>
      </w:r>
      <w:r w:rsidR="00975895" w:rsidRPr="003015FD">
        <w:t xml:space="preserve"> </w:t>
      </w:r>
      <w:r w:rsidRPr="003015FD">
        <w:t>review</w:t>
      </w:r>
      <w:r w:rsidR="00975895" w:rsidRPr="003015FD">
        <w:t xml:space="preserve"> </w:t>
      </w:r>
      <w:r w:rsidRPr="003015FD">
        <w:t>four</w:t>
      </w:r>
      <w:r w:rsidR="00975895" w:rsidRPr="003015FD">
        <w:t xml:space="preserve"> </w:t>
      </w:r>
      <w:r w:rsidRPr="003015FD">
        <w:t>years</w:t>
      </w:r>
      <w:r w:rsidR="00975895" w:rsidRPr="003015FD">
        <w:t xml:space="preserve"> </w:t>
      </w:r>
      <w:r w:rsidRPr="003015FD">
        <w:t>after</w:t>
      </w:r>
      <w:r w:rsidR="00975895" w:rsidRPr="003015FD">
        <w:t xml:space="preserve"> </w:t>
      </w:r>
      <w:r w:rsidRPr="003015FD">
        <w:t>the</w:t>
      </w:r>
      <w:r w:rsidR="00975895" w:rsidRPr="003015FD">
        <w:t xml:space="preserve"> </w:t>
      </w:r>
      <w:r w:rsidRPr="003015FD">
        <w:t>commencement</w:t>
      </w:r>
      <w:r w:rsidR="00975895" w:rsidRPr="003015FD">
        <w:t xml:space="preserve"> </w:t>
      </w:r>
      <w:r w:rsidRPr="003015FD">
        <w:t>of</w:t>
      </w:r>
      <w:r w:rsidR="00975895" w:rsidRPr="003015FD">
        <w:t xml:space="preserve"> </w:t>
      </w:r>
      <w:r w:rsidRPr="003015FD">
        <w:t>the</w:t>
      </w:r>
      <w:r w:rsidR="00975895" w:rsidRPr="003015FD">
        <w:t xml:space="preserve"> </w:t>
      </w:r>
      <w:r w:rsidRPr="003015FD">
        <w:t>proposed</w:t>
      </w:r>
      <w:r w:rsidR="00975895" w:rsidRPr="003015FD">
        <w:t xml:space="preserve"> </w:t>
      </w:r>
      <w:r w:rsidRPr="003015FD">
        <w:t>new</w:t>
      </w:r>
      <w:r w:rsidR="00975895" w:rsidRPr="003015FD">
        <w:t xml:space="preserve"> </w:t>
      </w:r>
      <w:r w:rsidRPr="003015FD">
        <w:t>complaints</w:t>
      </w:r>
      <w:r w:rsidR="00975895" w:rsidRPr="003015FD">
        <w:t xml:space="preserve"> </w:t>
      </w:r>
      <w:r w:rsidRPr="003015FD">
        <w:t>and</w:t>
      </w:r>
      <w:r w:rsidR="00975895" w:rsidRPr="003015FD">
        <w:t xml:space="preserve"> </w:t>
      </w:r>
      <w:r w:rsidRPr="003015FD">
        <w:t>remedies</w:t>
      </w:r>
      <w:r w:rsidR="00975895" w:rsidRPr="003015FD">
        <w:t xml:space="preserve"> </w:t>
      </w:r>
      <w:r w:rsidRPr="003015FD">
        <w:t>framework.</w:t>
      </w:r>
    </w:p>
    <w:p w14:paraId="47516BD0" w14:textId="3EDAA51A" w:rsidR="008E0945" w:rsidRPr="003015FD" w:rsidRDefault="00A90560" w:rsidP="003A3F4F">
      <w:pPr>
        <w:pStyle w:val="Heading2"/>
      </w:pPr>
      <w:bookmarkStart w:id="117" w:name="_Toc15045132"/>
      <w:bookmarkStart w:id="118" w:name="_Toc22011545"/>
      <w:r w:rsidRPr="003015FD">
        <w:lastRenderedPageBreak/>
        <w:t>5.2</w:t>
      </w:r>
      <w:r w:rsidRPr="003015FD">
        <w:tab/>
      </w:r>
      <w:r w:rsidR="008E0945" w:rsidRPr="003015FD">
        <w:t>Implementation</w:t>
      </w:r>
      <w:r w:rsidR="00975895" w:rsidRPr="003015FD">
        <w:t xml:space="preserve"> </w:t>
      </w:r>
      <w:r w:rsidR="008E0945" w:rsidRPr="003015FD">
        <w:t>progress</w:t>
      </w:r>
      <w:r w:rsidR="00975895" w:rsidRPr="003015FD">
        <w:t xml:space="preserve"> </w:t>
      </w:r>
      <w:r w:rsidR="008E0945" w:rsidRPr="003015FD">
        <w:t>–</w:t>
      </w:r>
      <w:r w:rsidR="00975895" w:rsidRPr="003015FD">
        <w:t xml:space="preserve"> </w:t>
      </w:r>
      <w:r w:rsidR="008E0945" w:rsidRPr="003015FD">
        <w:t>an</w:t>
      </w:r>
      <w:r w:rsidR="00975895" w:rsidRPr="003015FD">
        <w:t xml:space="preserve"> </w:t>
      </w:r>
      <w:r w:rsidR="008E0945" w:rsidRPr="003015FD">
        <w:t>overview</w:t>
      </w:r>
      <w:bookmarkEnd w:id="117"/>
      <w:bookmarkEnd w:id="118"/>
    </w:p>
    <w:p w14:paraId="70880ED3" w14:textId="4A910E62" w:rsidR="008E0945" w:rsidRPr="003015FD" w:rsidRDefault="008E0945" w:rsidP="003A3F4F">
      <w:r w:rsidRPr="003015FD">
        <w:t>The</w:t>
      </w:r>
      <w:r w:rsidR="00975895" w:rsidRPr="003015FD">
        <w:t xml:space="preserve"> </w:t>
      </w:r>
      <w:r w:rsidRPr="003015FD">
        <w:t>Victorian</w:t>
      </w:r>
      <w:r w:rsidR="00975895" w:rsidRPr="003015FD">
        <w:t xml:space="preserve"> </w:t>
      </w:r>
      <w:r w:rsidRPr="003015FD">
        <w:t>Government</w:t>
      </w:r>
      <w:r w:rsidR="000C5726">
        <w:t>'</w:t>
      </w:r>
      <w:r w:rsidRPr="003015FD">
        <w:t>s</w:t>
      </w:r>
      <w:r w:rsidR="00975895" w:rsidRPr="003015FD">
        <w:t xml:space="preserve"> </w:t>
      </w:r>
      <w:r w:rsidRPr="003015FD">
        <w:t>response</w:t>
      </w:r>
      <w:r w:rsidR="00975895" w:rsidRPr="003015FD">
        <w:t xml:space="preserve"> </w:t>
      </w:r>
      <w:r w:rsidRPr="003015FD">
        <w:t>to</w:t>
      </w:r>
      <w:r w:rsidR="00975895" w:rsidRPr="003015FD">
        <w:t xml:space="preserve"> </w:t>
      </w:r>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recommendations</w:t>
      </w:r>
      <w:r w:rsidR="00975895" w:rsidRPr="003015FD">
        <w:t xml:space="preserve"> </w:t>
      </w:r>
      <w:r w:rsidRPr="003015FD">
        <w:t>accepted</w:t>
      </w:r>
      <w:r w:rsidR="00975895" w:rsidRPr="003015FD">
        <w:t xml:space="preserve"> </w:t>
      </w:r>
      <w:r w:rsidRPr="003015FD">
        <w:t>in</w:t>
      </w:r>
      <w:r w:rsidR="00975895" w:rsidRPr="003015FD">
        <w:t xml:space="preserve"> </w:t>
      </w:r>
      <w:r w:rsidRPr="003015FD">
        <w:t>full</w:t>
      </w:r>
      <w:r w:rsidR="00975895" w:rsidRPr="003015FD">
        <w:t xml:space="preserve"> </w:t>
      </w:r>
      <w:r w:rsidRPr="003015FD">
        <w:t>or</w:t>
      </w:r>
      <w:r w:rsidR="00975895" w:rsidRPr="003015FD">
        <w:t xml:space="preserve"> </w:t>
      </w:r>
      <w:r w:rsidRPr="003015FD">
        <w:t>in</w:t>
      </w:r>
      <w:r w:rsidR="00975895" w:rsidRPr="003015FD">
        <w:t xml:space="preserve"> </w:t>
      </w:r>
      <w:r w:rsidRPr="003015FD">
        <w:t>principle</w:t>
      </w:r>
      <w:r w:rsidR="00975895" w:rsidRPr="003015FD">
        <w:t xml:space="preserve"> </w:t>
      </w:r>
      <w:r w:rsidRPr="003015FD">
        <w:t>45</w:t>
      </w:r>
      <w:r w:rsidR="00975895" w:rsidRPr="003015FD">
        <w:t xml:space="preserve"> </w:t>
      </w:r>
      <w:r w:rsidRPr="003015FD">
        <w:t>of</w:t>
      </w:r>
      <w:r w:rsidR="00975895" w:rsidRPr="003015FD">
        <w:t xml:space="preserve"> </w:t>
      </w:r>
      <w:r w:rsidRPr="003015FD">
        <w:t>the</w:t>
      </w:r>
      <w:r w:rsidR="00975895" w:rsidRPr="003015FD">
        <w:t xml:space="preserve"> </w:t>
      </w:r>
      <w:r w:rsidRPr="003015FD">
        <w:t>52</w:t>
      </w:r>
      <w:r w:rsidR="00975895" w:rsidRPr="003015FD">
        <w:t xml:space="preserve"> </w:t>
      </w:r>
      <w:r w:rsidRPr="003015FD">
        <w:t>recommendations.</w:t>
      </w:r>
      <w:r w:rsidR="00975895" w:rsidRPr="003015FD">
        <w:t xml:space="preserve"> </w:t>
      </w:r>
      <w:r w:rsidRPr="003015FD">
        <w:t>Last</w:t>
      </w:r>
      <w:r w:rsidR="00975895" w:rsidRPr="003015FD">
        <w:t xml:space="preserve"> </w:t>
      </w:r>
      <w:r w:rsidRPr="003015FD">
        <w:t>year,</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provided</w:t>
      </w:r>
      <w:r w:rsidR="00975895" w:rsidRPr="003015FD">
        <w:t xml:space="preserve"> </w:t>
      </w:r>
      <w:r w:rsidRPr="003015FD">
        <w:t>an</w:t>
      </w:r>
      <w:r w:rsidR="00975895" w:rsidRPr="003015FD">
        <w:t xml:space="preserve"> </w:t>
      </w:r>
      <w:r w:rsidRPr="003015FD">
        <w:t>update</w:t>
      </w:r>
      <w:r w:rsidR="00975895" w:rsidRPr="003015FD">
        <w:t xml:space="preserve"> </w:t>
      </w:r>
      <w:r w:rsidRPr="003015FD">
        <w:t>on</w:t>
      </w:r>
      <w:r w:rsidR="00975895" w:rsidRPr="003015FD">
        <w:t xml:space="preserve"> </w:t>
      </w:r>
      <w:r w:rsidRPr="003015FD">
        <w:t>the</w:t>
      </w:r>
      <w:r w:rsidR="00975895" w:rsidRPr="003015FD">
        <w:t xml:space="preserve"> </w:t>
      </w:r>
      <w:r w:rsidRPr="003015FD">
        <w:t>progress</w:t>
      </w:r>
      <w:r w:rsidR="00975895" w:rsidRPr="003015FD">
        <w:t xml:space="preserve"> </w:t>
      </w:r>
      <w:r w:rsidRPr="003015FD">
        <w:t>of</w:t>
      </w:r>
      <w:r w:rsidR="00975895" w:rsidRPr="003015FD">
        <w:t xml:space="preserve"> </w:t>
      </w:r>
      <w:r w:rsidRPr="003015FD">
        <w:t>implementation</w:t>
      </w:r>
      <w:r w:rsidR="00975895" w:rsidRPr="003015FD">
        <w:t xml:space="preserve"> </w:t>
      </w:r>
      <w:r w:rsidRPr="003015FD">
        <w:t>of</w:t>
      </w:r>
      <w:r w:rsidR="00975895" w:rsidRPr="003015FD">
        <w:t xml:space="preserve"> </w:t>
      </w:r>
      <w:r w:rsidRPr="003015FD">
        <w:t>the</w:t>
      </w:r>
      <w:r w:rsidR="00975895" w:rsidRPr="003015FD">
        <w:t xml:space="preserve"> </w:t>
      </w:r>
      <w:r w:rsidRPr="003015FD">
        <w:t>recommendations.</w:t>
      </w:r>
      <w:r w:rsidR="00975895" w:rsidRPr="003015FD">
        <w:t xml:space="preserve"> </w:t>
      </w:r>
      <w:r w:rsidRPr="003015FD">
        <w:t>The</w:t>
      </w:r>
      <w:r w:rsidR="00975895" w:rsidRPr="003015FD">
        <w:t xml:space="preserve"> </w:t>
      </w:r>
      <w:r w:rsidR="00054270">
        <w:t>list</w:t>
      </w:r>
      <w:r w:rsidR="00054270" w:rsidRPr="003015FD">
        <w:t xml:space="preserve"> </w:t>
      </w:r>
      <w:r w:rsidRPr="003015FD">
        <w:t>below</w:t>
      </w:r>
      <w:r w:rsidR="00975895" w:rsidRPr="003015FD">
        <w:t xml:space="preserve"> </w:t>
      </w:r>
      <w:r w:rsidRPr="003015FD">
        <w:t>provides</w:t>
      </w:r>
      <w:r w:rsidR="00975895" w:rsidRPr="003015FD">
        <w:t xml:space="preserve"> </w:t>
      </w:r>
      <w:r w:rsidRPr="003015FD">
        <w:t>a</w:t>
      </w:r>
      <w:r w:rsidR="00975895" w:rsidRPr="003015FD">
        <w:t xml:space="preserve"> </w:t>
      </w:r>
      <w:r w:rsidRPr="003015FD">
        <w:t>summary</w:t>
      </w:r>
      <w:r w:rsidR="00975895" w:rsidRPr="003015FD">
        <w:t xml:space="preserve"> </w:t>
      </w:r>
      <w:r w:rsidRPr="003015FD">
        <w:t>of</w:t>
      </w:r>
      <w:r w:rsidR="00975895" w:rsidRPr="003015FD">
        <w:t xml:space="preserve"> </w:t>
      </w:r>
      <w:r w:rsidRPr="003015FD">
        <w:t>the</w:t>
      </w:r>
      <w:r w:rsidR="00975895" w:rsidRPr="003015FD">
        <w:t xml:space="preserve"> </w:t>
      </w:r>
      <w:r w:rsidRPr="003015FD">
        <w:t>actions</w:t>
      </w:r>
      <w:r w:rsidR="00975895" w:rsidRPr="003015FD">
        <w:t xml:space="preserve"> </w:t>
      </w:r>
      <w:r w:rsidRPr="003015FD">
        <w:t>undertaken</w:t>
      </w:r>
      <w:r w:rsidR="00975895" w:rsidRPr="003015FD">
        <w:t xml:space="preserve"> </w:t>
      </w:r>
      <w:r w:rsidRPr="003015FD">
        <w:t>on</w:t>
      </w:r>
      <w:r w:rsidR="00975895" w:rsidRPr="003015FD">
        <w:t xml:space="preserve"> </w:t>
      </w:r>
      <w:r w:rsidRPr="003015FD">
        <w:t>all</w:t>
      </w:r>
      <w:r w:rsidR="00975895" w:rsidRPr="003015FD">
        <w:t xml:space="preserve"> </w:t>
      </w:r>
      <w:r w:rsidRPr="003015FD">
        <w:t>recommendations</w:t>
      </w:r>
      <w:r w:rsidR="00975895" w:rsidRPr="003015FD">
        <w:t xml:space="preserve"> </w:t>
      </w:r>
      <w:r w:rsidRPr="003015FD">
        <w:t>during</w:t>
      </w:r>
      <w:r w:rsidR="00975895" w:rsidRPr="003015FD">
        <w:t xml:space="preserve"> </w:t>
      </w:r>
      <w:r w:rsidRPr="003015FD">
        <w:t>both</w:t>
      </w:r>
      <w:r w:rsidR="00975895" w:rsidRPr="003015FD">
        <w:t xml:space="preserve"> </w:t>
      </w:r>
      <w:r w:rsidRPr="003015FD">
        <w:t>2017</w:t>
      </w:r>
      <w:r w:rsidR="00975895" w:rsidRPr="003015FD">
        <w:t xml:space="preserve"> </w:t>
      </w:r>
      <w:r w:rsidRPr="003015FD">
        <w:t>and</w:t>
      </w:r>
      <w:r w:rsidR="00975895" w:rsidRPr="003015FD">
        <w:t xml:space="preserve"> </w:t>
      </w:r>
      <w:r w:rsidRPr="003015FD">
        <w:t>2018.</w:t>
      </w:r>
      <w:r w:rsidR="00975895" w:rsidRPr="003015FD">
        <w:t xml:space="preserve"> </w:t>
      </w:r>
      <w:r w:rsidRPr="003015FD">
        <w:t>The</w:t>
      </w:r>
      <w:r w:rsidR="00975895" w:rsidRPr="003015FD">
        <w:t xml:space="preserve"> </w:t>
      </w:r>
      <w:r w:rsidR="00054270">
        <w:t>list</w:t>
      </w:r>
      <w:r w:rsidR="00054270" w:rsidRPr="003015FD">
        <w:t xml:space="preserve"> </w:t>
      </w:r>
      <w:r w:rsidRPr="003015FD">
        <w:t>demonstrates</w:t>
      </w:r>
      <w:r w:rsidR="00975895" w:rsidRPr="003015FD">
        <w:t xml:space="preserve"> </w:t>
      </w:r>
      <w:r w:rsidRPr="003015FD">
        <w:t>that</w:t>
      </w:r>
      <w:r w:rsidR="00975895" w:rsidRPr="003015FD">
        <w:t xml:space="preserve"> </w:t>
      </w:r>
      <w:r w:rsidR="005F4134" w:rsidRPr="003015FD">
        <w:t>most</w:t>
      </w:r>
      <w:r w:rsidR="00975895" w:rsidRPr="003015FD">
        <w:t xml:space="preserve"> </w:t>
      </w:r>
      <w:r w:rsidRPr="003015FD">
        <w:t>recommendations</w:t>
      </w:r>
      <w:r w:rsidR="00975895" w:rsidRPr="003015FD">
        <w:t xml:space="preserve"> </w:t>
      </w:r>
      <w:r w:rsidRPr="003015FD">
        <w:t>that</w:t>
      </w:r>
      <w:r w:rsidR="00975895" w:rsidRPr="003015FD">
        <w:t xml:space="preserve"> </w:t>
      </w:r>
      <w:r w:rsidRPr="003015FD">
        <w:t>were</w:t>
      </w:r>
      <w:r w:rsidR="00975895" w:rsidRPr="003015FD">
        <w:t xml:space="preserve"> </w:t>
      </w:r>
      <w:r w:rsidRPr="003015FD">
        <w:t>supported</w:t>
      </w:r>
      <w:r w:rsidR="00975895" w:rsidRPr="003015FD">
        <w:t xml:space="preserve"> </w:t>
      </w:r>
      <w:r w:rsidRPr="003015FD">
        <w:t>by</w:t>
      </w:r>
      <w:r w:rsidR="00975895" w:rsidRPr="003015FD">
        <w:t xml:space="preserve"> </w:t>
      </w:r>
      <w:r w:rsidRPr="003015FD">
        <w:t>the</w:t>
      </w:r>
      <w:r w:rsidR="00975895" w:rsidRPr="003015FD">
        <w:t xml:space="preserve"> </w:t>
      </w:r>
      <w:r w:rsidRPr="003015FD">
        <w:t>Victorian</w:t>
      </w:r>
      <w:r w:rsidR="00975895" w:rsidRPr="003015FD">
        <w:t xml:space="preserve"> </w:t>
      </w:r>
      <w:r w:rsidRPr="003015FD">
        <w:t>Government</w:t>
      </w:r>
      <w:r w:rsidR="00975895" w:rsidRPr="003015FD">
        <w:t xml:space="preserve"> </w:t>
      </w:r>
      <w:r w:rsidRPr="003015FD">
        <w:t>are</w:t>
      </w:r>
      <w:r w:rsidR="00975895" w:rsidRPr="003015FD">
        <w:t xml:space="preserve"> </w:t>
      </w:r>
      <w:r w:rsidRPr="003015FD">
        <w:t>yet</w:t>
      </w:r>
      <w:r w:rsidR="00975895" w:rsidRPr="003015FD">
        <w:t xml:space="preserve"> </w:t>
      </w:r>
      <w:r w:rsidRPr="003015FD">
        <w:t>to</w:t>
      </w:r>
      <w:r w:rsidR="00975895" w:rsidRPr="003015FD">
        <w:t xml:space="preserve"> </w:t>
      </w:r>
      <w:r w:rsidRPr="003015FD">
        <w:t>progress.</w:t>
      </w:r>
      <w:r w:rsidR="00975895" w:rsidRPr="003015FD">
        <w:t xml:space="preserve"> </w:t>
      </w:r>
    </w:p>
    <w:p w14:paraId="5559D169" w14:textId="39E1AF07" w:rsidR="008E0945" w:rsidRPr="003015FD" w:rsidRDefault="00975895" w:rsidP="005B74F5">
      <w:r w:rsidRPr="003015FD">
        <w:rPr>
          <w:noProof/>
        </w:rPr>
        <w:t xml:space="preserve"> </w:t>
      </w:r>
    </w:p>
    <w:p w14:paraId="71C38D19" w14:textId="07E2A0AF" w:rsidR="008E0945" w:rsidRPr="003015FD" w:rsidRDefault="00A90560" w:rsidP="0002642E">
      <w:pPr>
        <w:pStyle w:val="Heading2"/>
      </w:pPr>
      <w:bookmarkStart w:id="119" w:name="_Toc15045133"/>
      <w:bookmarkStart w:id="120" w:name="_Toc22011546"/>
      <w:bookmarkStart w:id="121" w:name="_Hlk12008383"/>
      <w:r w:rsidRPr="003015FD">
        <w:t>5.3</w:t>
      </w:r>
      <w:r w:rsidRPr="003015FD">
        <w:tab/>
      </w:r>
      <w:r w:rsidR="008E0945" w:rsidRPr="003015FD">
        <w:t>Commission</w:t>
      </w:r>
      <w:r w:rsidR="00975895" w:rsidRPr="003015FD">
        <w:t xml:space="preserve"> </w:t>
      </w:r>
      <w:r w:rsidR="008E0945" w:rsidRPr="003015FD">
        <w:t>reflection</w:t>
      </w:r>
      <w:r w:rsidR="00975895" w:rsidRPr="003015FD">
        <w:t xml:space="preserve"> </w:t>
      </w:r>
      <w:r w:rsidR="008E0945" w:rsidRPr="003015FD">
        <w:t>on</w:t>
      </w:r>
      <w:r w:rsidR="00975895" w:rsidRPr="003015FD">
        <w:t xml:space="preserve"> </w:t>
      </w:r>
      <w:r w:rsidR="008E0945" w:rsidRPr="003015FD">
        <w:t>implementation</w:t>
      </w:r>
      <w:bookmarkEnd w:id="119"/>
      <w:bookmarkEnd w:id="120"/>
    </w:p>
    <w:p w14:paraId="7608DDC2" w14:textId="005A31A9" w:rsidR="008E0945" w:rsidRPr="003015FD" w:rsidRDefault="008E0945" w:rsidP="0002642E">
      <w:r w:rsidRPr="003015FD">
        <w:t>The</w:t>
      </w:r>
      <w:r w:rsidR="00975895" w:rsidRPr="003015FD">
        <w:t xml:space="preserve"> </w:t>
      </w:r>
      <w:r w:rsidRPr="003015FD">
        <w:t>Commission</w:t>
      </w:r>
      <w:r w:rsidR="00975895" w:rsidRPr="003015FD">
        <w:t xml:space="preserve"> </w:t>
      </w:r>
      <w:r w:rsidRPr="003015FD">
        <w:t>is</w:t>
      </w:r>
      <w:r w:rsidR="00975895" w:rsidRPr="003015FD">
        <w:t xml:space="preserve"> </w:t>
      </w:r>
      <w:r w:rsidRPr="003015FD">
        <w:t>concerned</w:t>
      </w:r>
      <w:r w:rsidR="00975895" w:rsidRPr="003015FD">
        <w:t xml:space="preserve"> </w:t>
      </w:r>
      <w:r w:rsidRPr="003015FD">
        <w:t>about</w:t>
      </w:r>
      <w:r w:rsidR="00975895" w:rsidRPr="003015FD">
        <w:t xml:space="preserve"> </w:t>
      </w:r>
      <w:r w:rsidRPr="003015FD">
        <w:t>the</w:t>
      </w:r>
      <w:r w:rsidR="00975895" w:rsidRPr="003015FD">
        <w:t xml:space="preserve"> </w:t>
      </w:r>
      <w:r w:rsidRPr="003015FD">
        <w:t>lack</w:t>
      </w:r>
      <w:r w:rsidR="00975895" w:rsidRPr="003015FD">
        <w:t xml:space="preserve"> </w:t>
      </w:r>
      <w:r w:rsidRPr="003015FD">
        <w:t>of</w:t>
      </w:r>
      <w:r w:rsidR="00975895" w:rsidRPr="003015FD">
        <w:t xml:space="preserve"> </w:t>
      </w:r>
      <w:r w:rsidRPr="003015FD">
        <w:t>progress</w:t>
      </w:r>
      <w:r w:rsidR="00975895" w:rsidRPr="003015FD">
        <w:t xml:space="preserve"> </w:t>
      </w:r>
      <w:r w:rsidRPr="003015FD">
        <w:t>that</w:t>
      </w:r>
      <w:r w:rsidR="00975895" w:rsidRPr="003015FD">
        <w:t xml:space="preserve"> </w:t>
      </w:r>
      <w:r w:rsidRPr="003015FD">
        <w:t>has</w:t>
      </w:r>
      <w:r w:rsidR="00975895" w:rsidRPr="003015FD">
        <w:t xml:space="preserve"> </w:t>
      </w:r>
      <w:r w:rsidRPr="003015FD">
        <w:t>been</w:t>
      </w:r>
      <w:r w:rsidR="00975895" w:rsidRPr="003015FD">
        <w:t xml:space="preserve"> </w:t>
      </w:r>
      <w:r w:rsidRPr="003015FD">
        <w:t>made</w:t>
      </w:r>
      <w:r w:rsidR="00975895" w:rsidRPr="003015FD">
        <w:t xml:space="preserve"> </w:t>
      </w:r>
      <w:r w:rsidRPr="003015FD">
        <w:t>in</w:t>
      </w:r>
      <w:r w:rsidR="00975895" w:rsidRPr="003015FD">
        <w:t xml:space="preserve"> </w:t>
      </w:r>
      <w:r w:rsidRPr="003015FD">
        <w:t>implementing</w:t>
      </w:r>
      <w:r w:rsidR="00975895" w:rsidRPr="003015FD">
        <w:t xml:space="preserve"> </w:t>
      </w:r>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recommendations.</w:t>
      </w:r>
      <w:r w:rsidR="00975895" w:rsidRPr="003015FD">
        <w:t xml:space="preserve"> </w:t>
      </w:r>
      <w:r w:rsidRPr="003015FD">
        <w:t>There</w:t>
      </w:r>
      <w:r w:rsidR="00975895" w:rsidRPr="003015FD">
        <w:t xml:space="preserve"> </w:t>
      </w:r>
      <w:r w:rsidRPr="003015FD">
        <w:t>has</w:t>
      </w:r>
      <w:r w:rsidR="00975895" w:rsidRPr="003015FD">
        <w:t xml:space="preserve"> </w:t>
      </w:r>
      <w:r w:rsidRPr="003015FD">
        <w:t>been</w:t>
      </w:r>
      <w:r w:rsidR="00975895" w:rsidRPr="003015FD">
        <w:t xml:space="preserve"> </w:t>
      </w:r>
      <w:r w:rsidRPr="003015FD">
        <w:t>very</w:t>
      </w:r>
      <w:r w:rsidR="00975895" w:rsidRPr="003015FD">
        <w:t xml:space="preserve"> </w:t>
      </w:r>
      <w:r w:rsidRPr="003015FD">
        <w:t>little</w:t>
      </w:r>
      <w:r w:rsidR="00975895" w:rsidRPr="003015FD">
        <w:t xml:space="preserve"> </w:t>
      </w:r>
      <w:r w:rsidRPr="003015FD">
        <w:t>change</w:t>
      </w:r>
      <w:r w:rsidR="00975895" w:rsidRPr="003015FD">
        <w:t xml:space="preserve"> </w:t>
      </w:r>
      <w:r w:rsidRPr="003015FD">
        <w:t>to</w:t>
      </w:r>
      <w:r w:rsidR="00975895" w:rsidRPr="003015FD">
        <w:t xml:space="preserve"> </w:t>
      </w:r>
      <w:r w:rsidRPr="003015FD">
        <w:t>the</w:t>
      </w:r>
      <w:r w:rsidR="00975895" w:rsidRPr="003015FD">
        <w:t xml:space="preserve"> </w:t>
      </w:r>
      <w:r w:rsidRPr="003015FD">
        <w:t>status</w:t>
      </w:r>
      <w:r w:rsidR="00975895" w:rsidRPr="003015FD">
        <w:t xml:space="preserve"> </w:t>
      </w:r>
      <w:r w:rsidRPr="003015FD">
        <w:t>of</w:t>
      </w:r>
      <w:r w:rsidR="00975895" w:rsidRPr="003015FD">
        <w:t xml:space="preserve"> </w:t>
      </w:r>
      <w:r w:rsidRPr="003015FD">
        <w:t>the</w:t>
      </w:r>
      <w:r w:rsidR="00975895" w:rsidRPr="003015FD">
        <w:t xml:space="preserve"> </w:t>
      </w:r>
      <w:r w:rsidRPr="003015FD">
        <w:t>recommendations</w:t>
      </w:r>
      <w:r w:rsidR="00975895" w:rsidRPr="003015FD">
        <w:t xml:space="preserve"> </w:t>
      </w:r>
      <w:r w:rsidRPr="003015FD">
        <w:t>since</w:t>
      </w:r>
      <w:r w:rsidR="00975895" w:rsidRPr="003015FD">
        <w:t xml:space="preserve"> </w:t>
      </w:r>
      <w:r w:rsidRPr="003015FD">
        <w:t>the</w:t>
      </w:r>
      <w:r w:rsidR="00975895" w:rsidRPr="003015FD">
        <w:t xml:space="preserve"> </w:t>
      </w:r>
      <w:r w:rsidRPr="003015FD">
        <w:t>Commission</w:t>
      </w:r>
      <w:r w:rsidR="00975895" w:rsidRPr="003015FD">
        <w:t xml:space="preserve"> </w:t>
      </w:r>
      <w:r w:rsidRPr="003015FD">
        <w:t>reported</w:t>
      </w:r>
      <w:r w:rsidR="00975895" w:rsidRPr="003015FD">
        <w:t xml:space="preserve"> </w:t>
      </w:r>
      <w:r w:rsidRPr="003015FD">
        <w:t>on</w:t>
      </w:r>
      <w:r w:rsidR="00975895" w:rsidRPr="003015FD">
        <w:t xml:space="preserve"> </w:t>
      </w:r>
      <w:r w:rsidRPr="003015FD">
        <w:t>it</w:t>
      </w:r>
      <w:r w:rsidR="00975895" w:rsidRPr="003015FD">
        <w:t xml:space="preserve"> </w:t>
      </w:r>
      <w:r w:rsidRPr="003015FD">
        <w:t>as</w:t>
      </w:r>
      <w:r w:rsidR="00975895" w:rsidRPr="003015FD">
        <w:t xml:space="preserve"> </w:t>
      </w:r>
      <w:r w:rsidRPr="003015FD">
        <w:t>part</w:t>
      </w:r>
      <w:r w:rsidR="00975895" w:rsidRPr="003015FD">
        <w:t xml:space="preserve"> </w:t>
      </w:r>
      <w:r w:rsidRPr="003015FD">
        <w:t>of</w:t>
      </w:r>
      <w:r w:rsidR="00975895" w:rsidRPr="003015FD">
        <w:t xml:space="preserve"> </w:t>
      </w:r>
      <w:r w:rsidRPr="003015FD">
        <w:t>the</w:t>
      </w:r>
      <w:r w:rsidR="00975895" w:rsidRPr="003015FD">
        <w:t xml:space="preserve"> </w:t>
      </w:r>
      <w:r w:rsidRPr="003015FD">
        <w:t>2017</w:t>
      </w:r>
      <w:r w:rsidR="00975895" w:rsidRPr="003015FD">
        <w:t xml:space="preserve"> </w:t>
      </w:r>
      <w:r w:rsidRPr="003015FD">
        <w:t>Charter</w:t>
      </w:r>
      <w:r w:rsidR="00975895" w:rsidRPr="003015FD">
        <w:t xml:space="preserve"> </w:t>
      </w:r>
      <w:r w:rsidRPr="003015FD">
        <w:t>Report.</w:t>
      </w:r>
      <w:r w:rsidR="00975895" w:rsidRPr="003015FD">
        <w:t xml:space="preserve"> </w:t>
      </w:r>
      <w:r w:rsidRPr="003015FD">
        <w:t>The</w:t>
      </w:r>
      <w:r w:rsidR="00975895" w:rsidRPr="003015FD">
        <w:t xml:space="preserve"> </w:t>
      </w:r>
      <w:r w:rsidRPr="003015FD">
        <w:t>reforms</w:t>
      </w:r>
      <w:r w:rsidR="00975895" w:rsidRPr="003015FD">
        <w:t xml:space="preserve"> </w:t>
      </w:r>
      <w:r w:rsidRPr="003015FD">
        <w:t>recommended</w:t>
      </w:r>
      <w:r w:rsidR="00975895" w:rsidRPr="003015FD">
        <w:t xml:space="preserve"> </w:t>
      </w:r>
      <w:r w:rsidRPr="003015FD">
        <w:t>in</w:t>
      </w:r>
      <w:r w:rsidR="00975895" w:rsidRPr="003015FD">
        <w:t xml:space="preserve"> </w:t>
      </w:r>
      <w:r w:rsidRPr="003015FD">
        <w:t>the</w:t>
      </w:r>
      <w:r w:rsidR="00975895" w:rsidRPr="003015FD">
        <w:t xml:space="preserve"> </w:t>
      </w:r>
      <w:r w:rsidRPr="003015FD">
        <w:t>2015</w:t>
      </w:r>
      <w:r w:rsidR="00975895" w:rsidRPr="003015FD">
        <w:t xml:space="preserve"> </w:t>
      </w:r>
      <w:r w:rsidRPr="003015FD">
        <w:t>Review</w:t>
      </w:r>
      <w:r w:rsidR="00975895" w:rsidRPr="003015FD">
        <w:t xml:space="preserve"> </w:t>
      </w:r>
      <w:r w:rsidRPr="003015FD">
        <w:t>would</w:t>
      </w:r>
      <w:r w:rsidR="00975895" w:rsidRPr="003015FD">
        <w:t xml:space="preserve"> </w:t>
      </w:r>
      <w:r w:rsidRPr="003015FD">
        <w:t>greatly</w:t>
      </w:r>
      <w:r w:rsidR="00975895" w:rsidRPr="003015FD">
        <w:t xml:space="preserve"> </w:t>
      </w:r>
      <w:r w:rsidRPr="003015FD">
        <w:t>improve</w:t>
      </w:r>
      <w:r w:rsidR="00975895" w:rsidRPr="003015FD">
        <w:t xml:space="preserve"> </w:t>
      </w:r>
      <w:r w:rsidRPr="003015FD">
        <w:t>the</w:t>
      </w:r>
      <w:r w:rsidR="00975895" w:rsidRPr="003015FD">
        <w:t xml:space="preserve"> </w:t>
      </w:r>
      <w:r w:rsidRPr="003015FD">
        <w:t>operation</w:t>
      </w:r>
      <w:r w:rsidR="00975895" w:rsidRPr="003015FD">
        <w:t xml:space="preserve"> </w:t>
      </w:r>
      <w:r w:rsidRPr="003015FD">
        <w:t>of</w:t>
      </w:r>
      <w:r w:rsidR="00975895" w:rsidRPr="003015FD">
        <w:t xml:space="preserve"> </w:t>
      </w:r>
      <w:r w:rsidRPr="003015FD">
        <w:t>the</w:t>
      </w:r>
      <w:r w:rsidR="00975895" w:rsidRPr="003015FD">
        <w:t xml:space="preserve"> </w:t>
      </w:r>
      <w:r w:rsidRPr="003015FD">
        <w:t>Charter</w:t>
      </w:r>
      <w:r w:rsidR="00975895" w:rsidRPr="003015FD">
        <w:t xml:space="preserve"> </w:t>
      </w:r>
      <w:r w:rsidRPr="003015FD">
        <w:t>and</w:t>
      </w:r>
      <w:r w:rsidR="00975895" w:rsidRPr="003015FD">
        <w:t xml:space="preserve"> </w:t>
      </w:r>
      <w:r w:rsidRPr="003015FD">
        <w:t>the</w:t>
      </w:r>
      <w:r w:rsidR="00975895" w:rsidRPr="003015FD">
        <w:t xml:space="preserve"> </w:t>
      </w:r>
      <w:r w:rsidRPr="003015FD">
        <w:t>protections</w:t>
      </w:r>
      <w:r w:rsidR="00975895" w:rsidRPr="003015FD">
        <w:t xml:space="preserve"> </w:t>
      </w:r>
      <w:r w:rsidRPr="003015FD">
        <w:t>it</w:t>
      </w:r>
      <w:r w:rsidR="00975895" w:rsidRPr="003015FD">
        <w:t xml:space="preserve"> </w:t>
      </w:r>
      <w:r w:rsidRPr="003015FD">
        <w:t>offers</w:t>
      </w:r>
      <w:r w:rsidR="00975895" w:rsidRPr="003015FD">
        <w:t xml:space="preserve"> </w:t>
      </w:r>
      <w:r w:rsidRPr="003015FD">
        <w:t>all</w:t>
      </w:r>
      <w:r w:rsidR="00975895" w:rsidRPr="003015FD">
        <w:t xml:space="preserve"> </w:t>
      </w:r>
      <w:r w:rsidRPr="003015FD">
        <w:t>Victorians</w:t>
      </w:r>
      <w:r w:rsidR="009D4E64">
        <w:t xml:space="preserve">. The </w:t>
      </w:r>
      <w:r w:rsidRPr="003015FD">
        <w:t>Commission</w:t>
      </w:r>
      <w:r w:rsidR="00975895" w:rsidRPr="003015FD">
        <w:t xml:space="preserve"> </w:t>
      </w:r>
      <w:r w:rsidRPr="003015FD">
        <w:t>urges</w:t>
      </w:r>
      <w:r w:rsidR="00975895" w:rsidRPr="003015FD">
        <w:t xml:space="preserve"> </w:t>
      </w:r>
      <w:r w:rsidRPr="003015FD">
        <w:t>the</w:t>
      </w:r>
      <w:r w:rsidR="00975895" w:rsidRPr="003015FD">
        <w:t xml:space="preserve"> </w:t>
      </w:r>
      <w:r w:rsidR="00054270">
        <w:t>g</w:t>
      </w:r>
      <w:r w:rsidRPr="003015FD">
        <w:t>overnment</w:t>
      </w:r>
      <w:r w:rsidR="00975895" w:rsidRPr="003015FD">
        <w:t xml:space="preserve"> </w:t>
      </w:r>
      <w:r w:rsidRPr="003015FD">
        <w:t>to</w:t>
      </w:r>
      <w:r w:rsidR="00975895" w:rsidRPr="003015FD">
        <w:t xml:space="preserve"> </w:t>
      </w:r>
      <w:r w:rsidRPr="003015FD">
        <w:t>progress</w:t>
      </w:r>
      <w:r w:rsidR="00975895" w:rsidRPr="003015FD">
        <w:t xml:space="preserve"> </w:t>
      </w:r>
      <w:r w:rsidRPr="003015FD">
        <w:t>the</w:t>
      </w:r>
      <w:r w:rsidR="00975895" w:rsidRPr="003015FD">
        <w:t xml:space="preserve"> </w:t>
      </w:r>
      <w:r w:rsidRPr="003015FD">
        <w:t>necessary</w:t>
      </w:r>
      <w:r w:rsidR="00975895" w:rsidRPr="003015FD">
        <w:t xml:space="preserve"> </w:t>
      </w:r>
      <w:r w:rsidRPr="003015FD">
        <w:t>changes.</w:t>
      </w:r>
      <w:r w:rsidR="00975895" w:rsidRPr="003015FD">
        <w:t xml:space="preserve"> </w:t>
      </w:r>
    </w:p>
    <w:bookmarkEnd w:id="121"/>
    <w:p w14:paraId="4D30480C" w14:textId="28CD0575" w:rsidR="008E0945" w:rsidRPr="003015FD" w:rsidRDefault="008E0945" w:rsidP="0002642E">
      <w:pPr>
        <w:pStyle w:val="Heading3"/>
      </w:pPr>
      <w:r w:rsidRPr="003015FD">
        <w:t>2015</w:t>
      </w:r>
      <w:r w:rsidR="00975895" w:rsidRPr="003015FD">
        <w:t xml:space="preserve"> </w:t>
      </w:r>
      <w:r w:rsidRPr="003015FD">
        <w:t>Review</w:t>
      </w:r>
      <w:r w:rsidR="00975895" w:rsidRPr="003015FD">
        <w:t xml:space="preserve"> </w:t>
      </w:r>
      <w:r w:rsidRPr="003015FD">
        <w:t>recommendations</w:t>
      </w:r>
      <w:r w:rsidR="00975895" w:rsidRPr="003015FD">
        <w:t xml:space="preserve"> </w:t>
      </w:r>
      <w:r w:rsidRPr="003015FD">
        <w:t>–</w:t>
      </w:r>
      <w:r w:rsidR="00975895" w:rsidRPr="003015FD">
        <w:t xml:space="preserve"> </w:t>
      </w:r>
      <w:r w:rsidRPr="003015FD">
        <w:t>implementation</w:t>
      </w:r>
      <w:r w:rsidR="00975895" w:rsidRPr="003015FD">
        <w:t xml:space="preserve"> </w:t>
      </w:r>
      <w:r w:rsidRPr="003015FD">
        <w:t>progress</w:t>
      </w:r>
    </w:p>
    <w:p w14:paraId="18909947" w14:textId="1C3B1871" w:rsidR="00BD37EF" w:rsidRDefault="008E0945" w:rsidP="0002642E">
      <w:r w:rsidRPr="003015FD">
        <w:t>The</w:t>
      </w:r>
      <w:r w:rsidR="00975895" w:rsidRPr="003015FD">
        <w:t xml:space="preserve"> </w:t>
      </w:r>
      <w:r w:rsidRPr="003015FD">
        <w:t>Human</w:t>
      </w:r>
      <w:r w:rsidR="00975895" w:rsidRPr="003015FD">
        <w:t xml:space="preserve"> </w:t>
      </w:r>
      <w:r w:rsidRPr="003015FD">
        <w:t>Rights</w:t>
      </w:r>
      <w:r w:rsidR="00975895" w:rsidRPr="003015FD">
        <w:t xml:space="preserve"> </w:t>
      </w:r>
      <w:r w:rsidRPr="003015FD">
        <w:t>Unit</w:t>
      </w:r>
      <w:r w:rsidR="00975895" w:rsidRPr="003015FD">
        <w:t xml:space="preserve"> </w:t>
      </w:r>
      <w:r w:rsidRPr="003015FD">
        <w:t>of</w:t>
      </w:r>
      <w:r w:rsidR="00975895" w:rsidRPr="003015FD">
        <w:t xml:space="preserve"> </w:t>
      </w:r>
      <w:r w:rsidRPr="003015FD">
        <w:t>the</w:t>
      </w:r>
      <w:r w:rsidR="00975895" w:rsidRPr="003015FD">
        <w:t xml:space="preserve"> </w:t>
      </w:r>
      <w:r w:rsidRPr="003015FD">
        <w:t>Department</w:t>
      </w:r>
      <w:r w:rsidR="00975895" w:rsidRPr="003015FD">
        <w:t xml:space="preserve"> </w:t>
      </w:r>
      <w:r w:rsidRPr="003015FD">
        <w:t>of</w:t>
      </w:r>
      <w:r w:rsidR="00975895" w:rsidRPr="003015FD">
        <w:t xml:space="preserve"> </w:t>
      </w:r>
      <w:r w:rsidRPr="003015FD">
        <w:t>Justice</w:t>
      </w:r>
      <w:r w:rsidR="00975895" w:rsidRPr="003015FD">
        <w:t xml:space="preserve"> </w:t>
      </w:r>
      <w:r w:rsidRPr="003015FD">
        <w:t>and</w:t>
      </w:r>
      <w:r w:rsidR="00975895" w:rsidRPr="003015FD">
        <w:t xml:space="preserve"> </w:t>
      </w:r>
      <w:r w:rsidRPr="003015FD">
        <w:t>Community</w:t>
      </w:r>
      <w:r w:rsidR="00975895" w:rsidRPr="003015FD">
        <w:t xml:space="preserve"> </w:t>
      </w:r>
      <w:r w:rsidRPr="003015FD">
        <w:t>Safety</w:t>
      </w:r>
      <w:r w:rsidR="00975895" w:rsidRPr="003015FD">
        <w:t xml:space="preserve"> </w:t>
      </w:r>
      <w:r w:rsidR="006351BB" w:rsidRPr="003015FD">
        <w:t>assisted</w:t>
      </w:r>
      <w:r w:rsidR="00975895" w:rsidRPr="003015FD">
        <w:t xml:space="preserve"> </w:t>
      </w:r>
      <w:r w:rsidR="006351BB" w:rsidRPr="003015FD">
        <w:t>the</w:t>
      </w:r>
      <w:r w:rsidR="00975895" w:rsidRPr="003015FD">
        <w:t xml:space="preserve"> </w:t>
      </w:r>
      <w:r w:rsidR="006351BB" w:rsidRPr="003015FD">
        <w:t>Commission</w:t>
      </w:r>
      <w:r w:rsidR="00975895" w:rsidRPr="003015FD">
        <w:t xml:space="preserve"> </w:t>
      </w:r>
      <w:r w:rsidR="00E43E10">
        <w:t>to prepare this data.</w:t>
      </w:r>
    </w:p>
    <w:p w14:paraId="545C0645" w14:textId="222569BD" w:rsidR="00617A94" w:rsidRPr="00617A94" w:rsidRDefault="00617A94" w:rsidP="0002642E">
      <w:pPr>
        <w:pStyle w:val="Heading2"/>
      </w:pPr>
      <w:bookmarkStart w:id="122" w:name="_Toc22011547"/>
      <w:r w:rsidRPr="00617A94">
        <w:t>Chapter 1 – Building our human rights culture</w:t>
      </w:r>
      <w:bookmarkEnd w:id="122"/>
    </w:p>
    <w:p w14:paraId="565565A5" w14:textId="10A2C7B5" w:rsidR="00EC1C88" w:rsidRPr="003A3F4F" w:rsidRDefault="00E43E10" w:rsidP="0002642E">
      <w:pPr>
        <w:pStyle w:val="Heading3"/>
      </w:pPr>
      <w:r w:rsidRPr="0002642E">
        <w:rPr>
          <w:lang w:val="en-GB"/>
        </w:rPr>
        <w:t>Recommendation 1</w:t>
      </w:r>
    </w:p>
    <w:p w14:paraId="18B5224E" w14:textId="3E6A1166" w:rsidR="00EE6E77" w:rsidRPr="003A3F4F" w:rsidRDefault="00EE6E77" w:rsidP="0002642E">
      <w:pPr>
        <w:pStyle w:val="VEOHRCBodytext"/>
      </w:pPr>
      <w:r w:rsidRPr="0002642E">
        <w:rPr>
          <w:lang w:val="en-GB"/>
        </w:rPr>
        <w:t>The Victorian Government make a public statement of commitment to human rights and Ministers reinforce in their dealings with departments and agencies their expectation that they should act compatibly with human rights</w:t>
      </w:r>
      <w:r w:rsidR="00026826" w:rsidRPr="0002642E">
        <w:rPr>
          <w:lang w:val="en-GB"/>
        </w:rPr>
        <w:t>.</w:t>
      </w:r>
    </w:p>
    <w:p w14:paraId="77F1CB5F" w14:textId="77777777" w:rsidR="00EE6E77" w:rsidRPr="00C97AA1" w:rsidRDefault="00EE6E77" w:rsidP="00BD37EF">
      <w:pPr>
        <w:pStyle w:val="Heading4"/>
        <w:rPr>
          <w:lang w:val="en-GB"/>
        </w:rPr>
      </w:pPr>
      <w:r w:rsidRPr="00BD37EF">
        <w:t>Government</w:t>
      </w:r>
      <w:r w:rsidRPr="00C97AA1">
        <w:rPr>
          <w:lang w:val="en-GB"/>
        </w:rPr>
        <w:t xml:space="preserve"> response</w:t>
      </w:r>
    </w:p>
    <w:p w14:paraId="21BE0379" w14:textId="77777777" w:rsidR="00EE6E77" w:rsidRPr="00C97AA1" w:rsidRDefault="00EE6E77" w:rsidP="00EE6E77">
      <w:pPr>
        <w:pStyle w:val="VEOHRCBodytext"/>
        <w:rPr>
          <w:szCs w:val="24"/>
          <w:lang w:val="en-GB"/>
        </w:rPr>
      </w:pPr>
      <w:r w:rsidRPr="00C97AA1">
        <w:rPr>
          <w:szCs w:val="24"/>
          <w:lang w:val="en-GB"/>
        </w:rPr>
        <w:t>Supported</w:t>
      </w:r>
    </w:p>
    <w:p w14:paraId="1198053D" w14:textId="77777777" w:rsidR="00EE6E77" w:rsidRPr="00BD37EF" w:rsidRDefault="00EE6E77" w:rsidP="0002642E">
      <w:pPr>
        <w:pStyle w:val="Heading4"/>
      </w:pPr>
      <w:r w:rsidRPr="00BD37EF">
        <w:t>Progress – as reported in the 2017 Charter Report</w:t>
      </w:r>
    </w:p>
    <w:p w14:paraId="360444E2" w14:textId="109DEECA" w:rsidR="00EE6E77" w:rsidRPr="003A3F4F" w:rsidRDefault="00EE6E77" w:rsidP="0002642E">
      <w:pPr>
        <w:pStyle w:val="VEOHRCBodytext"/>
      </w:pPr>
      <w:r w:rsidRPr="0002642E">
        <w:rPr>
          <w:lang w:val="en-GB"/>
        </w:rPr>
        <w:t xml:space="preserve">The Victorian Government has made several public statements of its commitment to human rights, including when the Attorney-General released the </w:t>
      </w:r>
      <w:r w:rsidRPr="00C97AA1">
        <w:rPr>
          <w:szCs w:val="24"/>
          <w:lang w:val="en-GB"/>
        </w:rPr>
        <w:t>government's</w:t>
      </w:r>
      <w:r w:rsidRPr="0002642E">
        <w:rPr>
          <w:lang w:val="en-GB"/>
        </w:rPr>
        <w:t xml:space="preserve"> response to the 2015 Charter Review on 22 July 2016 and when opening the whole-of-government International Human Rights Day event on 5 December 2017.</w:t>
      </w:r>
    </w:p>
    <w:p w14:paraId="5CD37588" w14:textId="15DE62DF" w:rsidR="00EE6E77" w:rsidRPr="003A3F4F" w:rsidRDefault="00EE6E77" w:rsidP="0002642E">
      <w:pPr>
        <w:pStyle w:val="VEOHRCBodytext"/>
      </w:pPr>
      <w:r w:rsidRPr="0002642E">
        <w:rPr>
          <w:lang w:val="en-GB"/>
        </w:rPr>
        <w:t xml:space="preserve">Ministers will continue to reinforce to departments and agencies the need to consider the Charter in actions and decision-making processes. </w:t>
      </w:r>
    </w:p>
    <w:p w14:paraId="3750BDAB" w14:textId="77777777" w:rsidR="00EE6E77" w:rsidRPr="00BD37EF" w:rsidRDefault="00EE6E77" w:rsidP="0002642E">
      <w:pPr>
        <w:pStyle w:val="Heading4"/>
      </w:pPr>
      <w:r w:rsidRPr="00BD37EF">
        <w:t>Progress during the 2018 calendar year</w:t>
      </w:r>
    </w:p>
    <w:p w14:paraId="3C6DB943" w14:textId="77777777" w:rsidR="00EE6E77" w:rsidRPr="003A3F4F" w:rsidRDefault="00EE6E77" w:rsidP="0002642E">
      <w:pPr>
        <w:pStyle w:val="VEOHRCBodytext"/>
      </w:pPr>
      <w:r w:rsidRPr="0002642E">
        <w:rPr>
          <w:lang w:val="en-GB"/>
        </w:rPr>
        <w:t>The Victorian Government continues to make public statements of its commitment to human rights and reinforcing to departments and agencies the need to consider the Charter in actions and decision-making processes.</w:t>
      </w:r>
    </w:p>
    <w:p w14:paraId="586914AF" w14:textId="4F73D51A" w:rsidR="00EE6E77" w:rsidRPr="003A3F4F" w:rsidRDefault="00EE6E77" w:rsidP="0002642E">
      <w:pPr>
        <w:pStyle w:val="VEOHRCBodytext"/>
      </w:pPr>
      <w:r w:rsidRPr="0002642E">
        <w:rPr>
          <w:lang w:val="en-GB"/>
        </w:rPr>
        <w:t xml:space="preserve">For example, the Secretary, Department of Justice and Community Safety issued a statement on International Human Rights Day on 10 December 2018, reinforcing that human rights under the Charter are an integral part of the </w:t>
      </w:r>
      <w:r w:rsidRPr="00C97AA1">
        <w:rPr>
          <w:szCs w:val="24"/>
          <w:lang w:val="en-GB"/>
        </w:rPr>
        <w:t>department's</w:t>
      </w:r>
      <w:r w:rsidRPr="0002642E">
        <w:rPr>
          <w:lang w:val="en-GB"/>
        </w:rPr>
        <w:t xml:space="preserve"> work.</w:t>
      </w:r>
    </w:p>
    <w:p w14:paraId="524B5324" w14:textId="29C32575" w:rsidR="00EE6E77" w:rsidRPr="0002642E" w:rsidRDefault="00EE6E77" w:rsidP="0002642E">
      <w:pPr>
        <w:pStyle w:val="VEOHRCBodytext"/>
      </w:pPr>
      <w:r w:rsidRPr="0002642E">
        <w:rPr>
          <w:lang w:val="en-GB"/>
        </w:rPr>
        <w:lastRenderedPageBreak/>
        <w:t xml:space="preserve">The former Deputy Secretary, Civil Justice also spoke of how the Charter reflects the Victorian </w:t>
      </w:r>
      <w:r w:rsidRPr="00C97AA1">
        <w:rPr>
          <w:szCs w:val="24"/>
          <w:lang w:val="en-GB"/>
        </w:rPr>
        <w:t>Government's</w:t>
      </w:r>
      <w:r w:rsidRPr="0002642E">
        <w:rPr>
          <w:lang w:val="en-GB"/>
        </w:rPr>
        <w:t xml:space="preserve"> commitment to protecting and promoting fundamental human rights, when opening the whole-of-government International Human Rights Day event on 11 December 2018.</w:t>
      </w:r>
    </w:p>
    <w:p w14:paraId="2EC1768D" w14:textId="77777777" w:rsidR="00EE6E77" w:rsidRPr="00BD37EF" w:rsidRDefault="00EE6E77" w:rsidP="00BD37EF">
      <w:pPr>
        <w:pStyle w:val="Heading4"/>
      </w:pPr>
      <w:r w:rsidRPr="00BD37EF">
        <w:t>Status</w:t>
      </w:r>
    </w:p>
    <w:p w14:paraId="1650E51E" w14:textId="77777777" w:rsidR="00EE6E77" w:rsidRPr="00C97AA1" w:rsidRDefault="00EE6E77" w:rsidP="00EE6E77">
      <w:pPr>
        <w:pStyle w:val="VEOHRCBodytext"/>
        <w:rPr>
          <w:szCs w:val="24"/>
          <w:lang w:val="en-GB"/>
        </w:rPr>
      </w:pPr>
      <w:r w:rsidRPr="00C97AA1">
        <w:rPr>
          <w:szCs w:val="24"/>
          <w:shd w:val="clear" w:color="auto" w:fill="92D050"/>
          <w:lang w:val="en-GB"/>
        </w:rPr>
        <w:t>COMPLETE / ONGOING</w:t>
      </w:r>
    </w:p>
    <w:p w14:paraId="38725E34" w14:textId="04E18242" w:rsidR="00EE6E77" w:rsidRPr="003A3F4F" w:rsidRDefault="00DD76FD" w:rsidP="0002642E">
      <w:pPr>
        <w:pStyle w:val="Heading3"/>
      </w:pPr>
      <w:r w:rsidRPr="0002642E">
        <w:rPr>
          <w:lang w:val="en-GB"/>
        </w:rPr>
        <w:t>Recommendation 2</w:t>
      </w:r>
    </w:p>
    <w:p w14:paraId="1694D479" w14:textId="03F28305" w:rsidR="00EE6E77" w:rsidRPr="003A3F4F" w:rsidRDefault="00EE6E77" w:rsidP="0002642E">
      <w:pPr>
        <w:pStyle w:val="VEOHRCBodytext"/>
      </w:pPr>
      <w:r w:rsidRPr="0002642E">
        <w:rPr>
          <w:lang w:val="en-GB"/>
        </w:rPr>
        <w:t>The Victorian Secretaries Board include the development of a human rights culture as part of its work in setting values and standards across the Victorian public sector. An inter-departmental committee should support this work by providing leadership and coordination for departments and agencies at the State government level</w:t>
      </w:r>
      <w:r w:rsidR="00026826" w:rsidRPr="0002642E">
        <w:rPr>
          <w:lang w:val="en-GB"/>
        </w:rPr>
        <w:t>.</w:t>
      </w:r>
    </w:p>
    <w:p w14:paraId="66A7E8CB" w14:textId="77777777" w:rsidR="00EE6E77" w:rsidRPr="00C97AA1" w:rsidRDefault="00EE6E77" w:rsidP="00DD76FD">
      <w:pPr>
        <w:pStyle w:val="Heading4"/>
        <w:rPr>
          <w:lang w:val="en-GB"/>
        </w:rPr>
      </w:pPr>
      <w:r w:rsidRPr="00DD76FD">
        <w:t>Government</w:t>
      </w:r>
      <w:r w:rsidRPr="00C97AA1">
        <w:rPr>
          <w:lang w:val="en-GB"/>
        </w:rPr>
        <w:t xml:space="preserve"> response</w:t>
      </w:r>
    </w:p>
    <w:p w14:paraId="0E59039E" w14:textId="77777777" w:rsidR="00EE6E77" w:rsidRPr="00C97AA1" w:rsidRDefault="00EE6E77" w:rsidP="00EE6E77">
      <w:pPr>
        <w:pStyle w:val="VEOHRCBodytext"/>
        <w:rPr>
          <w:szCs w:val="24"/>
          <w:lang w:val="en-GB"/>
        </w:rPr>
      </w:pPr>
      <w:r w:rsidRPr="00C97AA1">
        <w:rPr>
          <w:szCs w:val="24"/>
          <w:lang w:val="en-GB"/>
        </w:rPr>
        <w:t>Supported</w:t>
      </w:r>
    </w:p>
    <w:p w14:paraId="07EC6C57" w14:textId="77777777" w:rsidR="00EE6E77" w:rsidRPr="00DD76FD" w:rsidRDefault="00EE6E77" w:rsidP="0002642E">
      <w:pPr>
        <w:pStyle w:val="Heading4"/>
      </w:pPr>
      <w:r w:rsidRPr="00DD76FD">
        <w:t>Progress – as reported in the 2017 Charter Report</w:t>
      </w:r>
    </w:p>
    <w:p w14:paraId="1CC35897" w14:textId="099915D6" w:rsidR="00EE6E77" w:rsidRPr="003A3F4F" w:rsidRDefault="00EE6E77" w:rsidP="0002642E">
      <w:pPr>
        <w:pStyle w:val="VEOHRCBodytext"/>
      </w:pPr>
      <w:r w:rsidRPr="0002642E">
        <w:rPr>
          <w:lang w:val="en-GB"/>
        </w:rPr>
        <w:t>On 26 September 2017, the Victorian Secretaries Board reaffirmed its commitment to human rights, issuing statements by departmental secretaries to all departmental staff.</w:t>
      </w:r>
    </w:p>
    <w:p w14:paraId="0D2A53C1" w14:textId="11EE464B" w:rsidR="00EE6E77" w:rsidRPr="003A3F4F" w:rsidRDefault="00EE6E77" w:rsidP="0002642E">
      <w:pPr>
        <w:pStyle w:val="VEOHRCBodytext"/>
      </w:pPr>
      <w:r w:rsidRPr="0002642E">
        <w:rPr>
          <w:lang w:val="en-GB"/>
        </w:rPr>
        <w:t>An inter-departmental executive sponsors group (Charter Leaders Group) has also been established to support this work and provide leadership and coordination for departments and agencies. The mandate of this group is to embed a stronger culture of human rights across the Victorian public sector.</w:t>
      </w:r>
    </w:p>
    <w:p w14:paraId="51AEF0BC" w14:textId="77777777" w:rsidR="00EE6E77" w:rsidRPr="003A3F4F" w:rsidRDefault="00EE6E77" w:rsidP="0002642E">
      <w:pPr>
        <w:pStyle w:val="Heading4"/>
      </w:pPr>
      <w:r w:rsidRPr="0002642E">
        <w:rPr>
          <w:lang w:val="en-GB"/>
        </w:rPr>
        <w:t>Progress during the 2018 calendar year</w:t>
      </w:r>
    </w:p>
    <w:p w14:paraId="3F563F81" w14:textId="2119215E" w:rsidR="00EE6E77" w:rsidRPr="003A3F4F" w:rsidRDefault="00EE6E77" w:rsidP="0002642E">
      <w:pPr>
        <w:pStyle w:val="VEOHRCBodytext"/>
      </w:pPr>
      <w:r w:rsidRPr="0002642E">
        <w:rPr>
          <w:lang w:val="en-GB"/>
        </w:rPr>
        <w:t xml:space="preserve">The Commission and the Human Rights Unit (HRU) continue to provide ongoing project support and human rights expertise to the Victorian Secretaries Board and the Charter Leaders Group. </w:t>
      </w:r>
    </w:p>
    <w:p w14:paraId="6ACEFE38" w14:textId="1B94915C" w:rsidR="00EE6E77" w:rsidRPr="003A3F4F" w:rsidRDefault="00EE6E77" w:rsidP="0002642E">
      <w:pPr>
        <w:pStyle w:val="VEOHRCBodytext"/>
      </w:pPr>
      <w:r w:rsidRPr="0002642E">
        <w:rPr>
          <w:lang w:val="en-GB"/>
        </w:rPr>
        <w:t xml:space="preserve">On 12 September 2018, the Victorian Secretaries Board agreed to provide two-year funding to HRU and the Commission to continue building </w:t>
      </w:r>
      <w:r w:rsidRPr="00C97AA1">
        <w:rPr>
          <w:szCs w:val="24"/>
          <w:lang w:val="en-GB"/>
        </w:rPr>
        <w:t>Victoria's</w:t>
      </w:r>
      <w:r w:rsidRPr="0002642E">
        <w:rPr>
          <w:lang w:val="en-GB"/>
        </w:rPr>
        <w:t xml:space="preserve"> human rights culture. It also approved HRU and the Commission providing an annual report back to the Victorian </w:t>
      </w:r>
      <w:r w:rsidRPr="00C97AA1">
        <w:rPr>
          <w:szCs w:val="24"/>
          <w:lang w:val="en-GB"/>
        </w:rPr>
        <w:t>Secretaries'</w:t>
      </w:r>
      <w:r w:rsidRPr="0002642E">
        <w:rPr>
          <w:lang w:val="en-GB"/>
        </w:rPr>
        <w:t xml:space="preserve"> Board on progress made to build </w:t>
      </w:r>
      <w:r w:rsidRPr="00C97AA1">
        <w:rPr>
          <w:szCs w:val="24"/>
          <w:lang w:val="en-GB"/>
        </w:rPr>
        <w:t>Victoria's</w:t>
      </w:r>
      <w:r w:rsidRPr="0002642E">
        <w:rPr>
          <w:lang w:val="en-GB"/>
        </w:rPr>
        <w:t xml:space="preserve"> human rights culture. </w:t>
      </w:r>
    </w:p>
    <w:p w14:paraId="21FB99B0" w14:textId="77777777" w:rsidR="00EE6E77" w:rsidRPr="003A3F4F" w:rsidRDefault="00EE6E77" w:rsidP="0002642E">
      <w:pPr>
        <w:pStyle w:val="VEOHRCBodytext"/>
      </w:pPr>
      <w:r w:rsidRPr="0002642E">
        <w:rPr>
          <w:lang w:val="en-GB"/>
        </w:rPr>
        <w:t>The Charter Leaders Group met three times in 2018 to support the work of developing a human rights culture and to provide leadership and coordination for departments and agencies.</w:t>
      </w:r>
    </w:p>
    <w:p w14:paraId="4C43CBC7" w14:textId="77777777" w:rsidR="00EE6E77" w:rsidRPr="00C97AA1" w:rsidRDefault="00EE6E77" w:rsidP="00DD76FD">
      <w:pPr>
        <w:pStyle w:val="Heading4"/>
        <w:rPr>
          <w:szCs w:val="24"/>
          <w:shd w:val="clear" w:color="auto" w:fill="92D050"/>
          <w:lang w:val="en-GB"/>
        </w:rPr>
      </w:pPr>
      <w:r w:rsidRPr="00C97AA1">
        <w:rPr>
          <w:lang w:val="en-GB"/>
        </w:rPr>
        <w:t>Status</w:t>
      </w:r>
    </w:p>
    <w:p w14:paraId="5FED7F23" w14:textId="77777777" w:rsidR="00EE6E77" w:rsidRPr="00C97AA1" w:rsidRDefault="00EE6E77" w:rsidP="00EE6E77">
      <w:pPr>
        <w:pStyle w:val="VEOHRCBodytext"/>
        <w:rPr>
          <w:szCs w:val="24"/>
          <w:shd w:val="clear" w:color="auto" w:fill="92D050"/>
          <w:lang w:val="en-GB"/>
        </w:rPr>
      </w:pPr>
      <w:r w:rsidRPr="00C97AA1">
        <w:rPr>
          <w:szCs w:val="24"/>
          <w:shd w:val="clear" w:color="auto" w:fill="92D050"/>
          <w:lang w:val="en-GB"/>
        </w:rPr>
        <w:t>COMPLETE / ONGOING</w:t>
      </w:r>
    </w:p>
    <w:p w14:paraId="07208968" w14:textId="06434CAD" w:rsidR="00EE6E77" w:rsidRPr="003A3F4F" w:rsidRDefault="00DD76FD" w:rsidP="0002642E">
      <w:pPr>
        <w:pStyle w:val="Heading3"/>
      </w:pPr>
      <w:r w:rsidRPr="0002642E">
        <w:rPr>
          <w:lang w:val="en-GB"/>
        </w:rPr>
        <w:t>Recommendation 3</w:t>
      </w:r>
    </w:p>
    <w:p w14:paraId="064412FB" w14:textId="77777777" w:rsidR="00EE6E77" w:rsidRPr="00C97AA1" w:rsidRDefault="00EE6E77" w:rsidP="0002642E">
      <w:pPr>
        <w:rPr>
          <w:rFonts w:cs="Arial"/>
          <w:szCs w:val="24"/>
        </w:rPr>
      </w:pPr>
      <w:r w:rsidRPr="00C97AA1">
        <w:rPr>
          <w:rFonts w:cs="Arial"/>
          <w:szCs w:val="24"/>
        </w:rPr>
        <w:t>The Victorian Government encourage public sector entities to promote a human rights culture in their organisations, including by:</w:t>
      </w:r>
    </w:p>
    <w:p w14:paraId="7C98E37F" w14:textId="2D9930B8" w:rsidR="00EE6E77" w:rsidRPr="00C97AA1" w:rsidRDefault="00EE6E77" w:rsidP="0002642E">
      <w:pPr>
        <w:pStyle w:val="ListParagraph"/>
        <w:numPr>
          <w:ilvl w:val="0"/>
          <w:numId w:val="33"/>
        </w:numPr>
        <w:rPr>
          <w:rFonts w:cs="Arial"/>
          <w:szCs w:val="24"/>
        </w:rPr>
      </w:pPr>
      <w:r w:rsidRPr="00C97AA1">
        <w:rPr>
          <w:rFonts w:cs="Arial"/>
          <w:szCs w:val="24"/>
        </w:rPr>
        <w:t>ensuring their organisational vision, plans, policies and procedures support good human rights practice</w:t>
      </w:r>
    </w:p>
    <w:p w14:paraId="105C87CF" w14:textId="0259C6EF" w:rsidR="00EE6E77" w:rsidRPr="00C97AA1" w:rsidRDefault="00EE6E77" w:rsidP="0002642E">
      <w:pPr>
        <w:pStyle w:val="ListParagraph"/>
        <w:numPr>
          <w:ilvl w:val="0"/>
          <w:numId w:val="33"/>
        </w:numPr>
        <w:rPr>
          <w:rFonts w:cs="Arial"/>
          <w:szCs w:val="24"/>
        </w:rPr>
      </w:pPr>
      <w:r w:rsidRPr="00C97AA1">
        <w:rPr>
          <w:rFonts w:cs="Arial"/>
          <w:szCs w:val="24"/>
        </w:rPr>
        <w:t>building relevant human rights capabilities into staff position descriptions and ongoing professional development</w:t>
      </w:r>
      <w:r w:rsidR="00026826">
        <w:rPr>
          <w:rFonts w:cs="Arial"/>
          <w:szCs w:val="24"/>
        </w:rPr>
        <w:t>.</w:t>
      </w:r>
    </w:p>
    <w:p w14:paraId="48D2CFAA" w14:textId="77777777" w:rsidR="00EE6E77" w:rsidRPr="00C97AA1" w:rsidRDefault="00EE6E77" w:rsidP="00DD76FD">
      <w:pPr>
        <w:pStyle w:val="Heading4"/>
        <w:rPr>
          <w:lang w:val="en-GB"/>
        </w:rPr>
      </w:pPr>
      <w:r w:rsidRPr="00DD76FD">
        <w:lastRenderedPageBreak/>
        <w:t>Government</w:t>
      </w:r>
      <w:r w:rsidRPr="00C97AA1">
        <w:rPr>
          <w:lang w:val="en-GB"/>
        </w:rPr>
        <w:t xml:space="preserve"> response</w:t>
      </w:r>
    </w:p>
    <w:p w14:paraId="68DC1736" w14:textId="77777777" w:rsidR="00EE6E77" w:rsidRPr="00C97AA1" w:rsidRDefault="00EE6E77" w:rsidP="00EE6E77">
      <w:pPr>
        <w:pStyle w:val="VEOHRCBodytext"/>
        <w:rPr>
          <w:szCs w:val="24"/>
          <w:lang w:val="en-GB"/>
        </w:rPr>
      </w:pPr>
      <w:r w:rsidRPr="00C97AA1">
        <w:rPr>
          <w:szCs w:val="24"/>
          <w:lang w:val="en-GB"/>
        </w:rPr>
        <w:t>Supported</w:t>
      </w:r>
    </w:p>
    <w:p w14:paraId="5E73566C" w14:textId="77777777" w:rsidR="00EE6E77" w:rsidRPr="00DD76FD" w:rsidRDefault="00EE6E77" w:rsidP="0002642E">
      <w:pPr>
        <w:pStyle w:val="Heading4"/>
      </w:pPr>
      <w:r w:rsidRPr="00DD76FD">
        <w:t>Progress – as reported in the 2017 Charter Report</w:t>
      </w:r>
    </w:p>
    <w:p w14:paraId="3CADF932" w14:textId="68EEC275" w:rsidR="00EE6E77" w:rsidRPr="003A3F4F" w:rsidRDefault="00EE6E77" w:rsidP="0002642E">
      <w:pPr>
        <w:pStyle w:val="VEOHRCBodytext"/>
      </w:pPr>
      <w:r w:rsidRPr="0002642E">
        <w:rPr>
          <w:lang w:val="en-GB"/>
        </w:rPr>
        <w:t xml:space="preserve">The Charter Leaders Group will consider these (and other) initiatives as part of its mandate to promote and embed a stronger human rights culture across the Victorian public sector. </w:t>
      </w:r>
    </w:p>
    <w:p w14:paraId="793DCCDA" w14:textId="77777777" w:rsidR="00EE6E77" w:rsidRPr="003A3F4F" w:rsidRDefault="00EE6E77" w:rsidP="0002642E">
      <w:pPr>
        <w:pStyle w:val="VEOHRCBodytext"/>
      </w:pPr>
      <w:r w:rsidRPr="0002642E">
        <w:rPr>
          <w:lang w:val="en-GB"/>
        </w:rPr>
        <w:t xml:space="preserve">It is anticipated that greater awareness and understanding of human rights through the Charter Education Program will lead to public sector entities promoting a human rights culture within their organisations and referencing human rights in business plans, policies and position descriptions. </w:t>
      </w:r>
    </w:p>
    <w:p w14:paraId="52E8B14B" w14:textId="5EB14DC3" w:rsidR="00EE6E77" w:rsidRPr="003A3F4F" w:rsidRDefault="00EE6E77" w:rsidP="0002642E">
      <w:pPr>
        <w:pStyle w:val="VEOHRCBodytext"/>
      </w:pPr>
      <w:r w:rsidRPr="0002642E">
        <w:rPr>
          <w:lang w:val="en-GB"/>
        </w:rPr>
        <w:t xml:space="preserve">One initiative already implemented has been the publication of the </w:t>
      </w:r>
      <w:r w:rsidRPr="00C97AA1">
        <w:rPr>
          <w:szCs w:val="24"/>
          <w:lang w:val="en-GB"/>
        </w:rPr>
        <w:t>'Good</w:t>
      </w:r>
      <w:r w:rsidRPr="0002642E">
        <w:rPr>
          <w:lang w:val="en-GB"/>
        </w:rPr>
        <w:t xml:space="preserve"> Practice Guide: Managing Complaints Involving Human </w:t>
      </w:r>
      <w:r w:rsidRPr="00C97AA1">
        <w:rPr>
          <w:szCs w:val="24"/>
          <w:lang w:val="en-GB"/>
        </w:rPr>
        <w:t xml:space="preserve">Rights'. </w:t>
      </w:r>
      <w:r w:rsidRPr="0002642E">
        <w:rPr>
          <w:lang w:val="en-GB"/>
        </w:rPr>
        <w:t>The Guide was jointly produced by the Department of Justice and HRU, the Commission, the Ombudsman and the Independent broad-based anti-corruption commission (IBAC) and was launched in May 2017. The Guide is intended to inform, complement, be incorporated into, and read in conjunction with existing complaint handling procedures.</w:t>
      </w:r>
    </w:p>
    <w:p w14:paraId="43E66BE1" w14:textId="77777777" w:rsidR="00EE6E77" w:rsidRPr="00DD76FD" w:rsidRDefault="00EE6E77" w:rsidP="0002642E">
      <w:pPr>
        <w:pStyle w:val="Heading4"/>
      </w:pPr>
      <w:r w:rsidRPr="00DD76FD">
        <w:t>Progress during the 2018 calendar year</w:t>
      </w:r>
    </w:p>
    <w:p w14:paraId="79C56436" w14:textId="77777777" w:rsidR="00EE6E77" w:rsidRPr="003A3F4F" w:rsidRDefault="00EE6E77" w:rsidP="0002642E">
      <w:pPr>
        <w:pStyle w:val="VEOHRCBodytext"/>
      </w:pPr>
      <w:r w:rsidRPr="0002642E">
        <w:rPr>
          <w:lang w:val="en-GB"/>
        </w:rPr>
        <w:t>The HRU observes that greater awareness and understanding of human rights through human rights education has already led to public sector entities promoting a human rights culture within their organisations and identifying the need to reference human rights in business plans, policies and position descriptions.</w:t>
      </w:r>
    </w:p>
    <w:p w14:paraId="24A264C7" w14:textId="4214F398" w:rsidR="00EE6E77" w:rsidRPr="003A3F4F" w:rsidRDefault="00EE6E77" w:rsidP="0002642E">
      <w:pPr>
        <w:pStyle w:val="VEOHRCBodytext"/>
      </w:pPr>
      <w:r w:rsidRPr="0002642E">
        <w:rPr>
          <w:lang w:val="en-GB"/>
        </w:rPr>
        <w:t xml:space="preserve">During 2018, the HRU worked with several </w:t>
      </w:r>
      <w:proofErr w:type="gramStart"/>
      <w:r w:rsidRPr="0002642E">
        <w:rPr>
          <w:lang w:val="en-GB"/>
        </w:rPr>
        <w:t>public sector</w:t>
      </w:r>
      <w:proofErr w:type="gramEnd"/>
      <w:r w:rsidRPr="0002642E">
        <w:rPr>
          <w:lang w:val="en-GB"/>
        </w:rPr>
        <w:t xml:space="preserve"> entities to further embed human rights considerations in their organisational policies, as a direct result of staff from that organisation having received human rights education.</w:t>
      </w:r>
    </w:p>
    <w:p w14:paraId="0500F532" w14:textId="6AB3DDAC" w:rsidR="00EE6E77" w:rsidRPr="003A3F4F" w:rsidRDefault="00EE6E77" w:rsidP="0002642E">
      <w:pPr>
        <w:pStyle w:val="VEOHRCBodytext"/>
      </w:pPr>
      <w:r w:rsidRPr="0002642E">
        <w:rPr>
          <w:lang w:val="en-GB"/>
        </w:rPr>
        <w:t xml:space="preserve">In September 2018, the Victorian Secretaries Board endorsed the work already undertaken by the Charter Education Program and approved two years of additional funding for continuation of the project in its next phase as the Charter Education Program. </w:t>
      </w:r>
    </w:p>
    <w:p w14:paraId="4F6E94AB" w14:textId="2D0B6FBC" w:rsidR="00EE6E77" w:rsidRPr="0002642E" w:rsidRDefault="00EE6E77" w:rsidP="0002642E">
      <w:pPr>
        <w:pStyle w:val="VEOHRCBodytext"/>
        <w:rPr>
          <w:highlight w:val="yellow"/>
        </w:rPr>
      </w:pPr>
      <w:r w:rsidRPr="0002642E">
        <w:rPr>
          <w:lang w:val="en-GB"/>
        </w:rPr>
        <w:t xml:space="preserve">As part of this next phase, the HRU and the Commission is working with the Charter Leaders Group to develop customised human rights work plans for each </w:t>
      </w:r>
      <w:proofErr w:type="gramStart"/>
      <w:r w:rsidRPr="0002642E">
        <w:rPr>
          <w:lang w:val="en-GB"/>
        </w:rPr>
        <w:t>public sector</w:t>
      </w:r>
      <w:proofErr w:type="gramEnd"/>
      <w:r w:rsidRPr="0002642E">
        <w:rPr>
          <w:lang w:val="en-GB"/>
        </w:rPr>
        <w:t xml:space="preserve"> entity. </w:t>
      </w:r>
    </w:p>
    <w:p w14:paraId="604A356B" w14:textId="77777777" w:rsidR="00EE6E77" w:rsidRPr="00DD76FD" w:rsidRDefault="00EE6E77" w:rsidP="00DD76FD">
      <w:pPr>
        <w:pStyle w:val="Heading4"/>
      </w:pPr>
      <w:r w:rsidRPr="00DD76FD">
        <w:t>Status</w:t>
      </w:r>
    </w:p>
    <w:p w14:paraId="19F026C9" w14:textId="77777777" w:rsidR="00EE6E77" w:rsidRPr="00C97AA1" w:rsidRDefault="00EE6E77" w:rsidP="00EE6E77">
      <w:pPr>
        <w:pStyle w:val="VEOHRCBodytext"/>
        <w:rPr>
          <w:szCs w:val="24"/>
          <w:lang w:val="en-GB"/>
        </w:rPr>
      </w:pPr>
      <w:r w:rsidRPr="00C97AA1">
        <w:rPr>
          <w:szCs w:val="24"/>
          <w:shd w:val="clear" w:color="auto" w:fill="00B0F0"/>
          <w:lang w:val="en-GB"/>
        </w:rPr>
        <w:t>IN PROGRESS</w:t>
      </w:r>
    </w:p>
    <w:p w14:paraId="71FEF677" w14:textId="27FAD85A" w:rsidR="00EE6E77" w:rsidRPr="003A3F4F" w:rsidRDefault="00692AE0" w:rsidP="0002642E">
      <w:pPr>
        <w:pStyle w:val="Heading3"/>
      </w:pPr>
      <w:r w:rsidRPr="0002642E">
        <w:rPr>
          <w:lang w:val="en-GB"/>
        </w:rPr>
        <w:t>Recommendation 4</w:t>
      </w:r>
    </w:p>
    <w:p w14:paraId="5D422E69" w14:textId="36770327" w:rsidR="00EE6E77" w:rsidRPr="003A3F4F" w:rsidRDefault="00EE6E77" w:rsidP="0002642E">
      <w:pPr>
        <w:pStyle w:val="VEOHRCBodytext"/>
      </w:pPr>
      <w:r w:rsidRPr="0002642E">
        <w:rPr>
          <w:lang w:val="en-GB"/>
        </w:rPr>
        <w:t xml:space="preserve">The Victorian Government review the structure and placement of the Human Rights Unit so that it can provide centralised expertise on human rights within government. The </w:t>
      </w:r>
      <w:r w:rsidRPr="00C97AA1">
        <w:rPr>
          <w:szCs w:val="24"/>
          <w:lang w:val="en-GB"/>
        </w:rPr>
        <w:t>Unit's</w:t>
      </w:r>
      <w:r w:rsidRPr="0002642E">
        <w:rPr>
          <w:lang w:val="en-GB"/>
        </w:rPr>
        <w:t xml:space="preserve"> role should include providing advice, developing and maintaining human rights resources for use within the Victorian Government, and providing specialist training (such as training on how to develop human rights compatible policy and legislation, and how to draft statements of compatibility).</w:t>
      </w:r>
    </w:p>
    <w:p w14:paraId="4EFB63A9" w14:textId="77777777" w:rsidR="00EE6E77" w:rsidRPr="00DD76FD" w:rsidRDefault="00EE6E77" w:rsidP="00EE6E77">
      <w:pPr>
        <w:pStyle w:val="Heading4"/>
      </w:pPr>
      <w:r w:rsidRPr="00DD76FD">
        <w:t>Government response</w:t>
      </w:r>
    </w:p>
    <w:p w14:paraId="1C2AF72F" w14:textId="77777777" w:rsidR="00EE6E77" w:rsidRPr="00C97AA1" w:rsidRDefault="00EE6E77" w:rsidP="00EE6E77">
      <w:pPr>
        <w:pStyle w:val="VEOHRCBodytext"/>
        <w:rPr>
          <w:szCs w:val="24"/>
          <w:lang w:val="en-GB"/>
        </w:rPr>
      </w:pPr>
      <w:r w:rsidRPr="00C97AA1">
        <w:rPr>
          <w:szCs w:val="24"/>
          <w:lang w:val="en-GB"/>
        </w:rPr>
        <w:t>Supported in principle</w:t>
      </w:r>
    </w:p>
    <w:p w14:paraId="37599799" w14:textId="77777777" w:rsidR="00EE6E77" w:rsidRPr="00DD76FD" w:rsidRDefault="00EE6E77" w:rsidP="0002642E">
      <w:pPr>
        <w:pStyle w:val="Heading4"/>
      </w:pPr>
      <w:r w:rsidRPr="00DD76FD">
        <w:lastRenderedPageBreak/>
        <w:t>Progress – as reported in the 2017 Charter Report</w:t>
      </w:r>
    </w:p>
    <w:p w14:paraId="0750F3BE" w14:textId="1CF9E380" w:rsidR="00EE6E77" w:rsidRPr="003A3F4F" w:rsidRDefault="00EE6E77" w:rsidP="0002642E">
      <w:pPr>
        <w:pStyle w:val="VEOHRCBodytext"/>
      </w:pPr>
      <w:r w:rsidRPr="0002642E">
        <w:rPr>
          <w:lang w:val="en-GB"/>
        </w:rPr>
        <w:t>The government considers that as the Charter falls within the Attorney-</w:t>
      </w:r>
      <w:r w:rsidRPr="00C97AA1">
        <w:rPr>
          <w:szCs w:val="24"/>
          <w:lang w:val="en-GB"/>
        </w:rPr>
        <w:t>General's</w:t>
      </w:r>
      <w:r w:rsidRPr="0002642E">
        <w:rPr>
          <w:lang w:val="en-GB"/>
        </w:rPr>
        <w:t xml:space="preserve"> portfolio, the HRU is best positioned to fulfil its functions of providing expert human rights advice and delivering human rights training across government from within DJR.</w:t>
      </w:r>
    </w:p>
    <w:p w14:paraId="47A364AA" w14:textId="77777777" w:rsidR="00EE6E77" w:rsidRPr="00DD76FD" w:rsidRDefault="00EE6E77" w:rsidP="0002642E">
      <w:pPr>
        <w:pStyle w:val="Heading4"/>
      </w:pPr>
      <w:r w:rsidRPr="00DD76FD">
        <w:t>Progress during the 2018 calendar year</w:t>
      </w:r>
    </w:p>
    <w:p w14:paraId="6259B7C5" w14:textId="77777777" w:rsidR="00EE6E77" w:rsidRPr="0002642E" w:rsidRDefault="00EE6E77" w:rsidP="0002642E">
      <w:pPr>
        <w:pStyle w:val="VEOHRCBodytext"/>
      </w:pPr>
      <w:r w:rsidRPr="0002642E">
        <w:rPr>
          <w:lang w:val="en-GB"/>
        </w:rPr>
        <w:t xml:space="preserve">Completed in 2017. </w:t>
      </w:r>
    </w:p>
    <w:p w14:paraId="26EBF24F" w14:textId="77777777" w:rsidR="00EE6E77" w:rsidRPr="00DD76FD" w:rsidRDefault="00EE6E77" w:rsidP="00DD76FD">
      <w:pPr>
        <w:pStyle w:val="Heading4"/>
      </w:pPr>
      <w:r w:rsidRPr="00DD76FD">
        <w:t>Status</w:t>
      </w:r>
    </w:p>
    <w:p w14:paraId="44BB9033" w14:textId="77777777" w:rsidR="00EE6E77" w:rsidRPr="00C97AA1" w:rsidRDefault="00EE6E77" w:rsidP="00EE6E77">
      <w:pPr>
        <w:pStyle w:val="VEOHRCBodytext"/>
        <w:rPr>
          <w:szCs w:val="24"/>
          <w:lang w:val="en-GB"/>
        </w:rPr>
      </w:pPr>
      <w:r w:rsidRPr="00C97AA1">
        <w:rPr>
          <w:szCs w:val="24"/>
          <w:shd w:val="clear" w:color="auto" w:fill="92D050"/>
          <w:lang w:val="en-GB"/>
        </w:rPr>
        <w:t>COMPLETE</w:t>
      </w:r>
    </w:p>
    <w:p w14:paraId="6A97C3A6" w14:textId="458BB01E" w:rsidR="00EE6E77" w:rsidRPr="003A3F4F" w:rsidRDefault="00692AE0" w:rsidP="0002642E">
      <w:pPr>
        <w:pStyle w:val="Heading3"/>
      </w:pPr>
      <w:r w:rsidRPr="0002642E">
        <w:rPr>
          <w:lang w:val="en-GB"/>
        </w:rPr>
        <w:t>Recommendation 5</w:t>
      </w:r>
    </w:p>
    <w:p w14:paraId="5B39B050" w14:textId="4931657D" w:rsidR="00EE6E77" w:rsidRPr="003A3F4F" w:rsidRDefault="00EE6E77" w:rsidP="0002642E">
      <w:pPr>
        <w:pStyle w:val="VEOHRCBodytext"/>
      </w:pPr>
      <w:r w:rsidRPr="0002642E">
        <w:rPr>
          <w:lang w:val="en-GB"/>
        </w:rPr>
        <w:t>The Human Rights Unit update the Charter Guidelines for Legislation and Policy Officers. The Unit should also work with departments and agencies to continue to develop specialist guidance and promotional materials in key areas of policy and service delivery, such as policing, corrections, health services, disability services, child protection and education</w:t>
      </w:r>
      <w:r w:rsidR="00026826" w:rsidRPr="0002642E">
        <w:rPr>
          <w:lang w:val="en-GB"/>
        </w:rPr>
        <w:t>.</w:t>
      </w:r>
    </w:p>
    <w:p w14:paraId="4F2DD450" w14:textId="77777777" w:rsidR="00EE6E77" w:rsidRPr="00C97AA1" w:rsidRDefault="00EE6E77" w:rsidP="00EE6E77">
      <w:pPr>
        <w:pStyle w:val="Heading4"/>
        <w:rPr>
          <w:lang w:val="en-GB"/>
        </w:rPr>
      </w:pPr>
      <w:r w:rsidRPr="00DD76FD">
        <w:t>Government</w:t>
      </w:r>
      <w:r w:rsidRPr="00C97AA1">
        <w:rPr>
          <w:lang w:val="en-GB"/>
        </w:rPr>
        <w:t xml:space="preserve"> response</w:t>
      </w:r>
    </w:p>
    <w:p w14:paraId="51334DAC" w14:textId="77777777" w:rsidR="00EE6E77" w:rsidRPr="00C97AA1" w:rsidRDefault="00EE6E77" w:rsidP="00EE6E77">
      <w:pPr>
        <w:pStyle w:val="VEOHRCBodytext"/>
        <w:rPr>
          <w:szCs w:val="24"/>
          <w:lang w:val="en-GB"/>
        </w:rPr>
      </w:pPr>
      <w:r w:rsidRPr="00C97AA1">
        <w:rPr>
          <w:szCs w:val="24"/>
          <w:lang w:val="en-GB"/>
        </w:rPr>
        <w:t>Supported in principle</w:t>
      </w:r>
    </w:p>
    <w:p w14:paraId="3837AA68" w14:textId="77777777" w:rsidR="00EE6E77" w:rsidRPr="003A3F4F" w:rsidRDefault="00EE6E77" w:rsidP="0002642E">
      <w:pPr>
        <w:pStyle w:val="Heading4"/>
      </w:pPr>
      <w:r w:rsidRPr="00692AE0">
        <w:t>Progress</w:t>
      </w:r>
      <w:r w:rsidRPr="0002642E">
        <w:rPr>
          <w:lang w:val="en-GB"/>
        </w:rPr>
        <w:t xml:space="preserve"> – as reported in the 2017 Charter Report</w:t>
      </w:r>
    </w:p>
    <w:p w14:paraId="4051851D" w14:textId="535E54C5" w:rsidR="00EE6E77" w:rsidRPr="003A3F4F" w:rsidRDefault="00EE6E77" w:rsidP="0002642E">
      <w:pPr>
        <w:pStyle w:val="VEOHRCBodytext"/>
      </w:pPr>
      <w:r w:rsidRPr="0002642E">
        <w:rPr>
          <w:lang w:val="en-GB"/>
        </w:rPr>
        <w:t xml:space="preserve">The HRU is considering whether the Charter Guidelines for Legislation and Policy Officers should be updated, or alternatively whether it is preferable to design, develop and maintain a suite of alternative resources that complement existing resources, including the Judicial College of </w:t>
      </w:r>
      <w:r w:rsidRPr="00C97AA1">
        <w:rPr>
          <w:szCs w:val="24"/>
          <w:lang w:val="en-GB"/>
        </w:rPr>
        <w:t>Victoria's</w:t>
      </w:r>
      <w:r w:rsidRPr="0002642E">
        <w:rPr>
          <w:lang w:val="en-GB"/>
        </w:rPr>
        <w:t xml:space="preserve"> Charter Bench Book.</w:t>
      </w:r>
    </w:p>
    <w:p w14:paraId="126C8075" w14:textId="0AD6C5A0" w:rsidR="00EE6E77" w:rsidRPr="003A3F4F" w:rsidRDefault="00EE6E77" w:rsidP="0002642E">
      <w:pPr>
        <w:pStyle w:val="VEOHRCBodytext"/>
      </w:pPr>
      <w:r w:rsidRPr="0002642E">
        <w:rPr>
          <w:lang w:val="en-GB"/>
        </w:rPr>
        <w:t xml:space="preserve">The HRU will continue to work with the Commission and other agencies to provide human rights guidance and educative resources, including human rights e-learning modules and </w:t>
      </w:r>
      <w:proofErr w:type="gramStart"/>
      <w:r w:rsidRPr="0002642E">
        <w:rPr>
          <w:lang w:val="en-GB"/>
        </w:rPr>
        <w:t>a human rights</w:t>
      </w:r>
      <w:proofErr w:type="gramEnd"/>
      <w:r w:rsidRPr="0002642E">
        <w:rPr>
          <w:lang w:val="en-GB"/>
        </w:rPr>
        <w:t xml:space="preserve"> online </w:t>
      </w:r>
      <w:r w:rsidRPr="00C97AA1">
        <w:rPr>
          <w:szCs w:val="24"/>
          <w:lang w:val="en-GB"/>
        </w:rPr>
        <w:t>'hub'</w:t>
      </w:r>
      <w:r w:rsidRPr="0002642E">
        <w:rPr>
          <w:lang w:val="en-GB"/>
        </w:rPr>
        <w:t xml:space="preserve">. </w:t>
      </w:r>
    </w:p>
    <w:p w14:paraId="27530F0C" w14:textId="77777777" w:rsidR="00EE6E77" w:rsidRPr="003A3F4F" w:rsidRDefault="00EE6E77" w:rsidP="0002642E">
      <w:pPr>
        <w:pStyle w:val="Heading4"/>
      </w:pPr>
      <w:r w:rsidRPr="00DD76FD">
        <w:t>Progress</w:t>
      </w:r>
      <w:r w:rsidRPr="0002642E">
        <w:rPr>
          <w:lang w:val="en-GB"/>
        </w:rPr>
        <w:t xml:space="preserve"> during the 2018 </w:t>
      </w:r>
      <w:r w:rsidRPr="00692AE0">
        <w:t>calendar</w:t>
      </w:r>
      <w:r w:rsidRPr="0002642E">
        <w:rPr>
          <w:lang w:val="en-GB"/>
        </w:rPr>
        <w:t xml:space="preserve"> year</w:t>
      </w:r>
    </w:p>
    <w:p w14:paraId="3874F875" w14:textId="1B7F0A66" w:rsidR="00EE6E77" w:rsidRPr="003A3F4F" w:rsidRDefault="00EE6E77" w:rsidP="0002642E">
      <w:pPr>
        <w:pStyle w:val="VEOHRCBodytext"/>
      </w:pPr>
      <w:r w:rsidRPr="0002642E">
        <w:rPr>
          <w:lang w:val="en-GB"/>
        </w:rPr>
        <w:t xml:space="preserve">Based on discussions with and requests from departments and agencies, HRU during 2018 continued to focus on working with the Commission and other agencies to provide human rights guidance and educative resources. This included the </w:t>
      </w:r>
      <w:r w:rsidRPr="00C97AA1">
        <w:rPr>
          <w:szCs w:val="24"/>
          <w:lang w:val="en-GB"/>
        </w:rPr>
        <w:t>Commission's</w:t>
      </w:r>
      <w:r w:rsidRPr="0002642E">
        <w:rPr>
          <w:lang w:val="en-GB"/>
        </w:rPr>
        <w:t xml:space="preserve"> human rights e-learning modules, human rights online </w:t>
      </w:r>
      <w:r w:rsidRPr="00C97AA1">
        <w:rPr>
          <w:szCs w:val="24"/>
          <w:lang w:val="en-GB"/>
        </w:rPr>
        <w:t>'hub'</w:t>
      </w:r>
      <w:r w:rsidRPr="0002642E">
        <w:rPr>
          <w:lang w:val="en-GB"/>
        </w:rPr>
        <w:t>, and a revised Charter Guide for Victorian Public Sector Workers.</w:t>
      </w:r>
    </w:p>
    <w:p w14:paraId="7A6C63B6" w14:textId="77160810" w:rsidR="00EE6E77" w:rsidRPr="003A3F4F" w:rsidRDefault="00EE6E77" w:rsidP="0002642E">
      <w:pPr>
        <w:pStyle w:val="VEOHRCBodytext"/>
      </w:pPr>
      <w:r w:rsidRPr="0002642E">
        <w:rPr>
          <w:lang w:val="en-GB"/>
        </w:rPr>
        <w:t xml:space="preserve">As part of the work with the Charter Leaders Group, the Commission and the HRU are also developing </w:t>
      </w:r>
      <w:r w:rsidRPr="00C97AA1">
        <w:rPr>
          <w:szCs w:val="24"/>
          <w:lang w:val="en-GB"/>
        </w:rPr>
        <w:t>'how-to'</w:t>
      </w:r>
      <w:r w:rsidRPr="0002642E">
        <w:rPr>
          <w:lang w:val="en-GB"/>
        </w:rPr>
        <w:t xml:space="preserve"> guides for embedding the Charter in public sector acts and decisions. These resources will support the development of communities of practice around the Charter. </w:t>
      </w:r>
    </w:p>
    <w:p w14:paraId="2B3A3AB3" w14:textId="77777777" w:rsidR="00EE6E77" w:rsidRPr="00C97AA1" w:rsidRDefault="00EE6E77" w:rsidP="00DD76FD">
      <w:pPr>
        <w:pStyle w:val="Heading4"/>
        <w:rPr>
          <w:szCs w:val="24"/>
          <w:shd w:val="clear" w:color="auto" w:fill="00B0F0"/>
          <w:lang w:val="en-GB"/>
        </w:rPr>
      </w:pPr>
      <w:r w:rsidRPr="00DD76FD">
        <w:t>Status</w:t>
      </w:r>
    </w:p>
    <w:p w14:paraId="73EAA8FC" w14:textId="77777777" w:rsidR="00EE6E77" w:rsidRPr="003A3F4F" w:rsidRDefault="00EE6E77" w:rsidP="0002642E">
      <w:pPr>
        <w:pStyle w:val="VEOHRCBodytext"/>
      </w:pPr>
      <w:r w:rsidRPr="00C97AA1">
        <w:rPr>
          <w:szCs w:val="24"/>
          <w:shd w:val="clear" w:color="auto" w:fill="00B0F0"/>
          <w:lang w:val="en-GB"/>
        </w:rPr>
        <w:t>IN PROGRESS</w:t>
      </w:r>
    </w:p>
    <w:p w14:paraId="1B98CE4B" w14:textId="61F3B479" w:rsidR="00692AE0" w:rsidRPr="003A3F4F" w:rsidRDefault="00692AE0" w:rsidP="0002642E">
      <w:pPr>
        <w:pStyle w:val="Heading3"/>
      </w:pPr>
      <w:r w:rsidRPr="0002642E">
        <w:rPr>
          <w:lang w:val="en-GB"/>
        </w:rPr>
        <w:t>Recommendation 6</w:t>
      </w:r>
    </w:p>
    <w:p w14:paraId="502EE4EB" w14:textId="2340324B" w:rsidR="00692AE0" w:rsidRPr="00C97AA1" w:rsidRDefault="00692AE0" w:rsidP="0002642E">
      <w:pPr>
        <w:rPr>
          <w:rFonts w:cs="Arial"/>
          <w:szCs w:val="24"/>
        </w:rPr>
      </w:pPr>
      <w:r w:rsidRPr="00C97AA1">
        <w:rPr>
          <w:rFonts w:cs="Arial"/>
          <w:szCs w:val="24"/>
        </w:rPr>
        <w:t>The Victorian Equal Opportunity and Human Rights Commission be given responsibility to provide human rights education within the public sector to:</w:t>
      </w:r>
    </w:p>
    <w:p w14:paraId="3210E4C3" w14:textId="77777777" w:rsidR="00692AE0" w:rsidRPr="00C97AA1" w:rsidRDefault="00692AE0" w:rsidP="0002642E">
      <w:pPr>
        <w:pStyle w:val="ListParagraph"/>
        <w:numPr>
          <w:ilvl w:val="0"/>
          <w:numId w:val="34"/>
        </w:numPr>
        <w:rPr>
          <w:rFonts w:cs="Arial"/>
          <w:szCs w:val="24"/>
        </w:rPr>
      </w:pPr>
      <w:r w:rsidRPr="00C97AA1">
        <w:rPr>
          <w:rFonts w:cs="Arial"/>
          <w:szCs w:val="24"/>
        </w:rPr>
        <w:t>leaders across the Victorian public sector to ensure that they can influence a positive culture of human rights</w:t>
      </w:r>
    </w:p>
    <w:p w14:paraId="4D24DB11" w14:textId="77777777" w:rsidR="00692AE0" w:rsidRPr="00C97AA1" w:rsidRDefault="00692AE0" w:rsidP="0002642E">
      <w:pPr>
        <w:pStyle w:val="ListParagraph"/>
        <w:numPr>
          <w:ilvl w:val="0"/>
          <w:numId w:val="34"/>
        </w:numPr>
        <w:rPr>
          <w:rFonts w:cs="Arial"/>
          <w:szCs w:val="24"/>
        </w:rPr>
      </w:pPr>
      <w:r w:rsidRPr="00C97AA1">
        <w:rPr>
          <w:rFonts w:cs="Arial"/>
          <w:szCs w:val="24"/>
        </w:rPr>
        <w:lastRenderedPageBreak/>
        <w:t>local government councillors. As a priority, materials should be available to support the induction of new councillors after the October 2016 local government elections</w:t>
      </w:r>
    </w:p>
    <w:p w14:paraId="19F4E6EE" w14:textId="6AA8608B" w:rsidR="00692AE0" w:rsidRPr="00C97AA1" w:rsidRDefault="00692AE0" w:rsidP="0002642E">
      <w:pPr>
        <w:pStyle w:val="ListParagraph"/>
        <w:numPr>
          <w:ilvl w:val="0"/>
          <w:numId w:val="34"/>
        </w:numPr>
        <w:rPr>
          <w:rFonts w:cs="Arial"/>
          <w:szCs w:val="24"/>
        </w:rPr>
      </w:pPr>
      <w:r w:rsidRPr="00C97AA1">
        <w:rPr>
          <w:rFonts w:cs="Arial"/>
          <w:szCs w:val="24"/>
        </w:rPr>
        <w:t>staff of Victorian public sector departments, agencies and local government. Where possible, the training should be tailored to the needs of work areas and be delivered in consultation with frontline staff who understand the operational aspects of the work area</w:t>
      </w:r>
    </w:p>
    <w:p w14:paraId="634C0470" w14:textId="588CA5A3" w:rsidR="00692AE0" w:rsidRPr="00C97AA1" w:rsidRDefault="00692AE0" w:rsidP="0002642E">
      <w:pPr>
        <w:pStyle w:val="ListParagraph"/>
        <w:numPr>
          <w:ilvl w:val="0"/>
          <w:numId w:val="34"/>
        </w:numPr>
        <w:rPr>
          <w:rFonts w:cs="Arial"/>
          <w:szCs w:val="24"/>
        </w:rPr>
      </w:pPr>
      <w:r w:rsidRPr="00C97AA1">
        <w:rPr>
          <w:rFonts w:cs="Arial"/>
          <w:szCs w:val="24"/>
        </w:rPr>
        <w:t>private entities that perform functions of a public nature and have obligations under the Charter</w:t>
      </w:r>
      <w:r w:rsidR="00026826">
        <w:rPr>
          <w:rFonts w:cs="Arial"/>
          <w:szCs w:val="24"/>
        </w:rPr>
        <w:t>.</w:t>
      </w:r>
    </w:p>
    <w:p w14:paraId="76531D91" w14:textId="77777777" w:rsidR="00692AE0" w:rsidRPr="00C97AA1" w:rsidRDefault="00692AE0" w:rsidP="00692AE0">
      <w:pPr>
        <w:pStyle w:val="Heading4"/>
        <w:rPr>
          <w:lang w:val="en-GB"/>
        </w:rPr>
      </w:pPr>
      <w:r w:rsidRPr="00DD76FD">
        <w:t>Government</w:t>
      </w:r>
      <w:r w:rsidRPr="00C97AA1">
        <w:rPr>
          <w:lang w:val="en-GB"/>
        </w:rPr>
        <w:t xml:space="preserve"> response</w:t>
      </w:r>
    </w:p>
    <w:p w14:paraId="0446C999" w14:textId="77777777" w:rsidR="00692AE0" w:rsidRPr="00C97AA1" w:rsidRDefault="00692AE0" w:rsidP="00692AE0">
      <w:pPr>
        <w:pStyle w:val="VEOHRCBodytext"/>
        <w:rPr>
          <w:szCs w:val="24"/>
          <w:lang w:val="en-GB"/>
        </w:rPr>
      </w:pPr>
      <w:r w:rsidRPr="00C97AA1">
        <w:rPr>
          <w:szCs w:val="24"/>
          <w:lang w:val="en-GB"/>
        </w:rPr>
        <w:t>Supported in principle</w:t>
      </w:r>
    </w:p>
    <w:p w14:paraId="2AB09760" w14:textId="77777777" w:rsidR="00692AE0" w:rsidRPr="003A3F4F" w:rsidRDefault="00692AE0" w:rsidP="0002642E">
      <w:pPr>
        <w:pStyle w:val="Heading4"/>
      </w:pPr>
      <w:r w:rsidRPr="00692AE0">
        <w:t>Progress</w:t>
      </w:r>
      <w:r w:rsidRPr="0002642E">
        <w:rPr>
          <w:lang w:val="en-GB"/>
        </w:rPr>
        <w:t xml:space="preserve"> – as reported in the 2017 Charter Report</w:t>
      </w:r>
    </w:p>
    <w:p w14:paraId="0767EF16" w14:textId="3AB6A257" w:rsidR="00692AE0" w:rsidRPr="003A3F4F" w:rsidRDefault="00692AE0" w:rsidP="0002642E">
      <w:pPr>
        <w:pStyle w:val="VEOHRCBodytext"/>
        <w:keepNext/>
      </w:pPr>
      <w:r w:rsidRPr="0002642E">
        <w:rPr>
          <w:lang w:val="en-GB"/>
        </w:rPr>
        <w:t>During 2017, the Commission and the HRU collaborated in the delivery of education sessions on the Charter to more than 3000 staff from public authorities, funded by the Victorian Government under the Charter Education Program. The public authorities included departments, local government and statutory authorities. Each session covered an overview of the Charter, the rights specifically protected and the obligations on public authorities. Participants applied the Charter to realistic workplace scenarios tailored in partnership with the public authorities. The Charter Education Program delivered the sessions to executive teams, managers and staff.</w:t>
      </w:r>
    </w:p>
    <w:p w14:paraId="394BCA27" w14:textId="0B7EC0BF" w:rsidR="00692AE0" w:rsidRPr="003A3F4F" w:rsidRDefault="00692AE0" w:rsidP="0002642E">
      <w:pPr>
        <w:pStyle w:val="VEOHRCBodytext"/>
      </w:pPr>
      <w:r w:rsidRPr="0002642E">
        <w:rPr>
          <w:lang w:val="en-GB"/>
        </w:rPr>
        <w:t>In 2017</w:t>
      </w:r>
      <w:r w:rsidR="00553B44" w:rsidRPr="0002642E">
        <w:rPr>
          <w:lang w:val="en-GB"/>
        </w:rPr>
        <w:t>,</w:t>
      </w:r>
      <w:r w:rsidR="00947A97" w:rsidRPr="0002642E">
        <w:rPr>
          <w:lang w:val="en-GB"/>
        </w:rPr>
        <w:t xml:space="preserve"> </w:t>
      </w:r>
      <w:r w:rsidRPr="0002642E">
        <w:rPr>
          <w:lang w:val="en-GB"/>
        </w:rPr>
        <w:t>the Commission began developing suite of e-learning modules for public authorities as part of a move toward blending e-learning with face-to-face education.</w:t>
      </w:r>
    </w:p>
    <w:p w14:paraId="2B97059F" w14:textId="77777777" w:rsidR="00692AE0" w:rsidRPr="003A3F4F" w:rsidRDefault="00692AE0" w:rsidP="0002642E">
      <w:pPr>
        <w:pStyle w:val="Heading4"/>
      </w:pPr>
      <w:r w:rsidRPr="00692AE0">
        <w:t>Progress</w:t>
      </w:r>
      <w:r w:rsidRPr="0002642E">
        <w:rPr>
          <w:lang w:val="en-GB"/>
        </w:rPr>
        <w:t xml:space="preserve"> during the 2018 calendar year</w:t>
      </w:r>
    </w:p>
    <w:p w14:paraId="5BBF7B3A" w14:textId="1BA38A2C" w:rsidR="00692AE0" w:rsidRPr="003A3F4F" w:rsidRDefault="00692AE0" w:rsidP="0002642E">
      <w:pPr>
        <w:pStyle w:val="VEOHRCBodytext"/>
      </w:pPr>
      <w:r w:rsidRPr="0002642E">
        <w:rPr>
          <w:lang w:val="en-GB"/>
        </w:rPr>
        <w:t xml:space="preserve">During 2018, the Commission and the HRU continued to build on the significant progress made in delivering targeted and tailored human rights education within the public sector. This included working with the Charter Leaders Group to identify and action priorities related to human rights education for the </w:t>
      </w:r>
      <w:r w:rsidR="004862C5" w:rsidRPr="0002642E">
        <w:rPr>
          <w:lang w:val="en-GB"/>
        </w:rPr>
        <w:t>2018–19</w:t>
      </w:r>
      <w:r w:rsidRPr="0002642E">
        <w:rPr>
          <w:lang w:val="en-GB"/>
        </w:rPr>
        <w:t xml:space="preserve"> financial year. </w:t>
      </w:r>
    </w:p>
    <w:p w14:paraId="5BE7516F" w14:textId="6DB98410" w:rsidR="00692AE0" w:rsidRPr="003A3F4F" w:rsidRDefault="00692AE0" w:rsidP="0002642E">
      <w:pPr>
        <w:pStyle w:val="VEOHRCBodytext"/>
      </w:pPr>
      <w:r w:rsidRPr="0002642E">
        <w:rPr>
          <w:lang w:val="en-GB"/>
        </w:rPr>
        <w:t xml:space="preserve">By the end of 2018, the number of staff </w:t>
      </w:r>
      <w:r w:rsidR="003F28FE" w:rsidRPr="0002642E">
        <w:rPr>
          <w:lang w:val="en-GB"/>
        </w:rPr>
        <w:t xml:space="preserve">members </w:t>
      </w:r>
      <w:r w:rsidRPr="0002642E">
        <w:rPr>
          <w:lang w:val="en-GB"/>
        </w:rPr>
        <w:t>from public authorities who received face-to-face training by the Commission and the HRU under this initiative increased to more than 5,800 in total.</w:t>
      </w:r>
    </w:p>
    <w:p w14:paraId="542C08B5" w14:textId="3549D101" w:rsidR="00692AE0" w:rsidRPr="003A3F4F" w:rsidRDefault="00692AE0" w:rsidP="0002642E">
      <w:pPr>
        <w:pStyle w:val="VEOHRCBodytext"/>
      </w:pPr>
      <w:r w:rsidRPr="0002642E">
        <w:rPr>
          <w:lang w:val="en-GB"/>
        </w:rPr>
        <w:t xml:space="preserve">Throughout 2018, the Commission continued to design and deliver human rights education services to public authorities, local councils and community organisations. These services were designed together with public sector partners to ensure appropriate tailoring to support the application of the human rights in the day to day work. </w:t>
      </w:r>
    </w:p>
    <w:p w14:paraId="3BA4258E" w14:textId="6BE3E94E" w:rsidR="00EE6E77" w:rsidRPr="0002642E" w:rsidRDefault="00EE6E77" w:rsidP="0002642E">
      <w:pPr>
        <w:pStyle w:val="BodyText"/>
      </w:pPr>
      <w:r w:rsidRPr="00C97AA1">
        <w:rPr>
          <w:rFonts w:cs="Arial"/>
          <w:szCs w:val="24"/>
        </w:rPr>
        <w:t>In 2018, the Commission also launched its suite of six free e-learning modules for public authorities to raise general awareness of rights and obligations under the Charter. Consistent with leading practice, the modules are designed to be the first component of a blended learning approach to be followed by customised face-to-face training.</w:t>
      </w:r>
    </w:p>
    <w:p w14:paraId="0B821912" w14:textId="50D3E587" w:rsidR="00176316" w:rsidRDefault="00176316" w:rsidP="00692AE0">
      <w:pPr>
        <w:pStyle w:val="Heading4"/>
        <w:rPr>
          <w:b w:val="0"/>
          <w:lang w:val="en-GB"/>
        </w:rPr>
      </w:pPr>
      <w:r w:rsidRPr="00692AE0">
        <w:t>Status</w:t>
      </w:r>
    </w:p>
    <w:p w14:paraId="4690C640" w14:textId="5217B657" w:rsidR="00EE6E77" w:rsidRPr="00692AE0" w:rsidRDefault="00EE6E77" w:rsidP="00EE6E77">
      <w:pPr>
        <w:pStyle w:val="VEOHRCBodytext"/>
        <w:rPr>
          <w:szCs w:val="24"/>
          <w:shd w:val="clear" w:color="auto" w:fill="92D050"/>
          <w:lang w:val="en-GB"/>
        </w:rPr>
      </w:pPr>
      <w:r w:rsidRPr="00C97AA1">
        <w:rPr>
          <w:szCs w:val="24"/>
          <w:shd w:val="clear" w:color="auto" w:fill="92D050"/>
          <w:lang w:val="en-GB"/>
        </w:rPr>
        <w:t>COMPLETE / ONGOING</w:t>
      </w:r>
    </w:p>
    <w:p w14:paraId="3B125BA5" w14:textId="270DFB21" w:rsidR="00EE6E77" w:rsidRPr="003A3F4F" w:rsidRDefault="00692AE0" w:rsidP="0002642E">
      <w:pPr>
        <w:pStyle w:val="Heading3"/>
      </w:pPr>
      <w:r w:rsidRPr="0002642E">
        <w:rPr>
          <w:lang w:val="en-GB"/>
        </w:rPr>
        <w:t>Recommendation 7</w:t>
      </w:r>
    </w:p>
    <w:p w14:paraId="4A52A3FB" w14:textId="217A3C4A" w:rsidR="00EE6E77" w:rsidRPr="003A3F4F" w:rsidRDefault="00EE6E77" w:rsidP="0002642E">
      <w:pPr>
        <w:pStyle w:val="VEOHRCBodytext"/>
      </w:pPr>
      <w:r w:rsidRPr="0002642E">
        <w:rPr>
          <w:lang w:val="en-GB"/>
        </w:rPr>
        <w:t xml:space="preserve">The Victorian Equal Opportunity and Human Rights Commission facilitate opportunities for public and community sector workers to share experience and </w:t>
      </w:r>
      <w:r w:rsidRPr="0002642E">
        <w:rPr>
          <w:lang w:val="en-GB"/>
        </w:rPr>
        <w:lastRenderedPageBreak/>
        <w:t>expertise on the Charter. Such opportunities could include Human Rights Network events, the production of resources, the establishment of communities of practice sponsored by a senior executive, and the use of existing networks</w:t>
      </w:r>
      <w:r w:rsidR="00026826" w:rsidRPr="0002642E">
        <w:rPr>
          <w:lang w:val="en-GB"/>
        </w:rPr>
        <w:t>.</w:t>
      </w:r>
    </w:p>
    <w:p w14:paraId="5F69A242" w14:textId="77777777" w:rsidR="00EE6E77" w:rsidRPr="00C97AA1" w:rsidRDefault="00EE6E77" w:rsidP="00EE6E77">
      <w:pPr>
        <w:pStyle w:val="Heading4"/>
        <w:rPr>
          <w:lang w:val="en-GB"/>
        </w:rPr>
      </w:pPr>
      <w:r w:rsidRPr="00692AE0">
        <w:t>Government</w:t>
      </w:r>
      <w:r w:rsidRPr="00C97AA1">
        <w:rPr>
          <w:lang w:val="en-GB"/>
        </w:rPr>
        <w:t xml:space="preserve"> response</w:t>
      </w:r>
    </w:p>
    <w:p w14:paraId="1893ACC1" w14:textId="77777777" w:rsidR="00EE6E77" w:rsidRPr="00C97AA1" w:rsidRDefault="00EE6E77" w:rsidP="00EE6E77">
      <w:pPr>
        <w:pStyle w:val="VEOHRCBodytext"/>
        <w:rPr>
          <w:szCs w:val="24"/>
          <w:lang w:val="en-GB"/>
        </w:rPr>
      </w:pPr>
      <w:r w:rsidRPr="00C97AA1">
        <w:rPr>
          <w:szCs w:val="24"/>
          <w:lang w:val="en-GB"/>
        </w:rPr>
        <w:t xml:space="preserve">Supported in principle </w:t>
      </w:r>
    </w:p>
    <w:p w14:paraId="4DBBB6AA" w14:textId="77777777" w:rsidR="00EE6E77" w:rsidRPr="00692AE0" w:rsidRDefault="00EE6E77" w:rsidP="0002642E">
      <w:pPr>
        <w:pStyle w:val="Heading4"/>
      </w:pPr>
      <w:r w:rsidRPr="00692AE0">
        <w:t>Progress – as reported in the 2017 Charter Report</w:t>
      </w:r>
    </w:p>
    <w:p w14:paraId="0FF3CE54" w14:textId="6967AC89" w:rsidR="00EE6E77" w:rsidRPr="003A3F4F" w:rsidRDefault="00EE6E77" w:rsidP="0002642E">
      <w:pPr>
        <w:pStyle w:val="VEOHRCBodytext"/>
      </w:pPr>
      <w:r w:rsidRPr="0002642E">
        <w:rPr>
          <w:lang w:val="en-GB"/>
        </w:rPr>
        <w:t>During 2017</w:t>
      </w:r>
      <w:r w:rsidR="00553B44" w:rsidRPr="0002642E">
        <w:rPr>
          <w:lang w:val="en-GB"/>
        </w:rPr>
        <w:t>,</w:t>
      </w:r>
      <w:r w:rsidRPr="0002642E">
        <w:rPr>
          <w:lang w:val="en-GB"/>
        </w:rPr>
        <w:t xml:space="preserve"> the Commission began developing an online Human Rights Hub. The purpose of the Human Rights Hub is to build a human rights community and culture by sharing information, resources, best practice and expertise. The Hub will be freely available and will provide an opportunity for workers across all sectors to share experiences. </w:t>
      </w:r>
    </w:p>
    <w:p w14:paraId="684325B4" w14:textId="77777777" w:rsidR="00EE6E77" w:rsidRPr="003A3F4F" w:rsidRDefault="00EE6E77" w:rsidP="0002642E">
      <w:pPr>
        <w:pStyle w:val="Heading4"/>
      </w:pPr>
      <w:r w:rsidRPr="00692AE0">
        <w:t>Progress</w:t>
      </w:r>
      <w:r w:rsidRPr="0002642E">
        <w:rPr>
          <w:lang w:val="en-GB"/>
        </w:rPr>
        <w:t xml:space="preserve"> during the 2018 calendar year</w:t>
      </w:r>
    </w:p>
    <w:p w14:paraId="730A4D25" w14:textId="0E39F6BF" w:rsidR="00EE6E77" w:rsidRPr="0002642E" w:rsidRDefault="00EE6E77" w:rsidP="0002642E">
      <w:pPr>
        <w:pStyle w:val="VEOHRCBodytext"/>
      </w:pPr>
      <w:r w:rsidRPr="0002642E">
        <w:rPr>
          <w:lang w:val="en-GB"/>
        </w:rPr>
        <w:t>During 2018</w:t>
      </w:r>
      <w:r w:rsidR="00553B44" w:rsidRPr="0002642E">
        <w:rPr>
          <w:lang w:val="en-GB"/>
        </w:rPr>
        <w:t>,</w:t>
      </w:r>
      <w:r w:rsidRPr="0002642E">
        <w:rPr>
          <w:lang w:val="en-GB"/>
        </w:rPr>
        <w:t xml:space="preserve"> the Commission focused on establishing stronger networks and awareness of thematic communities of practice across the spectrum of public authorities to consider the most effective way to support sector-specific networks. Drawing on the data and knowledge gathered through this process, the Commission will conduct human-centred design workshops to identify effective and sustainable ways to develop relevant and useful resources for the public sector.</w:t>
      </w:r>
    </w:p>
    <w:p w14:paraId="4675851E" w14:textId="48F54878" w:rsidR="00176316" w:rsidRDefault="00176316" w:rsidP="00692AE0">
      <w:pPr>
        <w:pStyle w:val="Heading4"/>
        <w:rPr>
          <w:b w:val="0"/>
          <w:lang w:val="en-GB"/>
        </w:rPr>
      </w:pPr>
      <w:r w:rsidRPr="00692AE0">
        <w:t>Status</w:t>
      </w:r>
    </w:p>
    <w:p w14:paraId="309197F7" w14:textId="77777777" w:rsidR="00EE6E77" w:rsidRPr="00C97AA1" w:rsidRDefault="00EE6E77" w:rsidP="00EE6E77">
      <w:pPr>
        <w:pStyle w:val="VEOHRCBodytext"/>
        <w:rPr>
          <w:szCs w:val="24"/>
          <w:shd w:val="clear" w:color="auto" w:fill="00B0F0"/>
          <w:lang w:val="en-GB"/>
        </w:rPr>
      </w:pPr>
      <w:r w:rsidRPr="00C97AA1">
        <w:rPr>
          <w:szCs w:val="24"/>
          <w:shd w:val="clear" w:color="auto" w:fill="00B0F0"/>
          <w:lang w:val="en-GB"/>
        </w:rPr>
        <w:t>IN PROGRESS</w:t>
      </w:r>
    </w:p>
    <w:p w14:paraId="27159609" w14:textId="51D1BA8B" w:rsidR="00EE6E77" w:rsidRPr="003A3F4F" w:rsidRDefault="00692AE0" w:rsidP="0002642E">
      <w:pPr>
        <w:pStyle w:val="Heading3"/>
      </w:pPr>
      <w:r w:rsidRPr="0002642E">
        <w:rPr>
          <w:lang w:val="en-GB"/>
        </w:rPr>
        <w:t>Recommendation 8</w:t>
      </w:r>
    </w:p>
    <w:p w14:paraId="0229B023" w14:textId="18B50A66" w:rsidR="00EE6E77" w:rsidRPr="003A3F4F" w:rsidRDefault="00EE6E77" w:rsidP="0002642E">
      <w:pPr>
        <w:pStyle w:val="VEOHRCBodytext"/>
      </w:pPr>
      <w:r w:rsidRPr="0002642E">
        <w:rPr>
          <w:lang w:val="en-GB"/>
        </w:rPr>
        <w:t>The Victorian Equal Opportunity and Human Rights Commission provide further human rights education to the community and community advocates</w:t>
      </w:r>
      <w:r w:rsidR="00026826" w:rsidRPr="0002642E">
        <w:rPr>
          <w:lang w:val="en-GB"/>
        </w:rPr>
        <w:t>.</w:t>
      </w:r>
    </w:p>
    <w:p w14:paraId="1456F287" w14:textId="77777777" w:rsidR="00EE6E77" w:rsidRPr="00C97AA1" w:rsidRDefault="00EE6E77" w:rsidP="00EE6E77">
      <w:pPr>
        <w:pStyle w:val="Heading4"/>
        <w:rPr>
          <w:lang w:val="en-GB"/>
        </w:rPr>
      </w:pPr>
      <w:r w:rsidRPr="00692AE0">
        <w:t>Government</w:t>
      </w:r>
      <w:r w:rsidRPr="00C97AA1">
        <w:rPr>
          <w:lang w:val="en-GB"/>
        </w:rPr>
        <w:t xml:space="preserve"> response</w:t>
      </w:r>
    </w:p>
    <w:p w14:paraId="128F9584" w14:textId="77777777" w:rsidR="00EE6E77" w:rsidRPr="00C97AA1" w:rsidRDefault="00EE6E77" w:rsidP="00EE6E77">
      <w:pPr>
        <w:pStyle w:val="VEOHRCBodytext"/>
        <w:rPr>
          <w:szCs w:val="24"/>
          <w:lang w:val="en-GB"/>
        </w:rPr>
      </w:pPr>
      <w:r w:rsidRPr="00C97AA1">
        <w:rPr>
          <w:szCs w:val="24"/>
          <w:lang w:val="en-GB"/>
        </w:rPr>
        <w:t>Supported in principle</w:t>
      </w:r>
    </w:p>
    <w:p w14:paraId="0A4D1294" w14:textId="77777777" w:rsidR="00EE6E77" w:rsidRPr="003A3F4F" w:rsidRDefault="00EE6E77" w:rsidP="0002642E">
      <w:pPr>
        <w:pStyle w:val="Heading4"/>
      </w:pPr>
      <w:r w:rsidRPr="00692AE0">
        <w:t>Progress</w:t>
      </w:r>
      <w:r w:rsidRPr="0002642E">
        <w:rPr>
          <w:lang w:val="en-GB"/>
        </w:rPr>
        <w:t xml:space="preserve"> – as reported in the 2017 Charter Report</w:t>
      </w:r>
    </w:p>
    <w:p w14:paraId="1219D6FD" w14:textId="745CA891" w:rsidR="00EE6E77" w:rsidRPr="003A3F4F" w:rsidRDefault="00EE6E77" w:rsidP="0002642E">
      <w:pPr>
        <w:pStyle w:val="VEOHRCBodytext"/>
      </w:pPr>
      <w:r w:rsidRPr="0002642E">
        <w:rPr>
          <w:lang w:val="en-GB"/>
        </w:rPr>
        <w:t xml:space="preserve">During </w:t>
      </w:r>
      <w:proofErr w:type="gramStart"/>
      <w:r w:rsidRPr="0002642E">
        <w:rPr>
          <w:lang w:val="en-GB"/>
        </w:rPr>
        <w:t>2017</w:t>
      </w:r>
      <w:proofErr w:type="gramEnd"/>
      <w:r w:rsidRPr="0002642E">
        <w:rPr>
          <w:lang w:val="en-GB"/>
        </w:rPr>
        <w:t xml:space="preserve"> the Commission developed Charter education with an emphasis on cultural rights, including creating partnerships with key community groups and councils. In addition, the Commission provided training sessions to primary, secondary and tertiary students.</w:t>
      </w:r>
    </w:p>
    <w:p w14:paraId="045957F1" w14:textId="2AF5D831" w:rsidR="00EE6E77" w:rsidRPr="003A3F4F" w:rsidRDefault="00EE6E77" w:rsidP="0002642E">
      <w:pPr>
        <w:pStyle w:val="VEOHRCBodytext"/>
      </w:pPr>
      <w:r w:rsidRPr="0002642E">
        <w:rPr>
          <w:lang w:val="en-GB"/>
        </w:rPr>
        <w:t>The Commission has also developed materials specific to Aboriginal cultural rights in consultation with Aboriginal community groups, which were launched in June 2018. We have created a partnership with the Commission for Children and Young People to help identify ways to improve cultural rights for Aboriginal youth in detention, launched in July 2018.</w:t>
      </w:r>
    </w:p>
    <w:p w14:paraId="728F7C95" w14:textId="77777777" w:rsidR="00EE6E77" w:rsidRPr="003A3F4F" w:rsidRDefault="00EE6E77" w:rsidP="0002642E">
      <w:pPr>
        <w:pStyle w:val="Heading4"/>
      </w:pPr>
      <w:r w:rsidRPr="0002642E">
        <w:rPr>
          <w:lang w:val="en-GB"/>
        </w:rPr>
        <w:t>Progress during the 2018 calendar year</w:t>
      </w:r>
    </w:p>
    <w:p w14:paraId="05AB5DA3" w14:textId="3473A871" w:rsidR="00EE6E77" w:rsidRPr="003A3F4F" w:rsidRDefault="00EE6E77" w:rsidP="0002642E">
      <w:pPr>
        <w:pStyle w:val="VEOHRCBodytext"/>
      </w:pPr>
      <w:r w:rsidRPr="0002642E">
        <w:rPr>
          <w:lang w:val="en-GB"/>
        </w:rPr>
        <w:t xml:space="preserve">In </w:t>
      </w:r>
      <w:proofErr w:type="gramStart"/>
      <w:r w:rsidRPr="0002642E">
        <w:rPr>
          <w:lang w:val="en-GB"/>
        </w:rPr>
        <w:t>2018</w:t>
      </w:r>
      <w:proofErr w:type="gramEnd"/>
      <w:r w:rsidRPr="0002642E">
        <w:rPr>
          <w:lang w:val="en-GB"/>
        </w:rPr>
        <w:t xml:space="preserve"> the Commission commenced a significant project in conjunction with the Department of Education to embed a human rights approach to diversity and inclusion across eight pilot schools in Victoria. The project is informed by leading practice incorporating a whole-of-school approach, comprised of: </w:t>
      </w:r>
    </w:p>
    <w:p w14:paraId="1A33F349" w14:textId="19EDAB7E" w:rsidR="00EE6E77" w:rsidRPr="003A3F4F" w:rsidRDefault="00553B44" w:rsidP="0002642E">
      <w:pPr>
        <w:pStyle w:val="VEOHRCBodytext"/>
        <w:numPr>
          <w:ilvl w:val="0"/>
          <w:numId w:val="37"/>
        </w:numPr>
      </w:pPr>
      <w:r w:rsidRPr="0002642E">
        <w:rPr>
          <w:lang w:val="en-GB"/>
        </w:rPr>
        <w:t>a</w:t>
      </w:r>
      <w:r w:rsidR="00EE6E77" w:rsidRPr="0002642E">
        <w:rPr>
          <w:lang w:val="en-GB"/>
        </w:rPr>
        <w:t xml:space="preserve"> blended learning program made up of an e-learning module and tailored face-to-face education workshops for school leaders and staff </w:t>
      </w:r>
    </w:p>
    <w:p w14:paraId="5608EC6B" w14:textId="0DB2EAFC" w:rsidR="00EE6E77" w:rsidRPr="003A3F4F" w:rsidRDefault="00553B44" w:rsidP="0002642E">
      <w:pPr>
        <w:pStyle w:val="VEOHRCBodytext"/>
        <w:numPr>
          <w:ilvl w:val="0"/>
          <w:numId w:val="37"/>
        </w:numPr>
      </w:pPr>
      <w:r w:rsidRPr="0002642E">
        <w:rPr>
          <w:lang w:val="en-GB"/>
        </w:rPr>
        <w:lastRenderedPageBreak/>
        <w:t>a</w:t>
      </w:r>
      <w:r w:rsidR="00EE6E77" w:rsidRPr="0002642E">
        <w:rPr>
          <w:lang w:val="en-GB"/>
        </w:rPr>
        <w:t xml:space="preserve"> coaching program for human rights ambassadors </w:t>
      </w:r>
    </w:p>
    <w:p w14:paraId="2F62A7DA" w14:textId="23ED877C" w:rsidR="00EE6E77" w:rsidRPr="003A3F4F" w:rsidRDefault="00553B44" w:rsidP="0002642E">
      <w:pPr>
        <w:pStyle w:val="VEOHRCBodytext"/>
        <w:numPr>
          <w:ilvl w:val="0"/>
          <w:numId w:val="37"/>
        </w:numPr>
      </w:pPr>
      <w:r w:rsidRPr="0002642E">
        <w:rPr>
          <w:lang w:val="en-GB"/>
        </w:rPr>
        <w:t>t</w:t>
      </w:r>
      <w:r w:rsidR="00EE6E77" w:rsidRPr="0002642E">
        <w:rPr>
          <w:lang w:val="en-GB"/>
        </w:rPr>
        <w:t xml:space="preserve">ools and resources designed to consolidate and deepen knowledge and skills and facilitate values alignment across the school community </w:t>
      </w:r>
    </w:p>
    <w:p w14:paraId="76CE2E02" w14:textId="6A7373E4" w:rsidR="00EE6E77" w:rsidRPr="003A3F4F" w:rsidRDefault="00553B44" w:rsidP="0002642E">
      <w:pPr>
        <w:pStyle w:val="VEOHRCBodytext"/>
        <w:numPr>
          <w:ilvl w:val="0"/>
          <w:numId w:val="37"/>
        </w:numPr>
      </w:pPr>
      <w:r w:rsidRPr="0002642E">
        <w:rPr>
          <w:lang w:val="en-GB"/>
        </w:rPr>
        <w:t>a</w:t>
      </w:r>
      <w:r w:rsidR="00EE6E77" w:rsidRPr="0002642E">
        <w:rPr>
          <w:lang w:val="en-GB"/>
        </w:rPr>
        <w:t>n additional awareness raising sessions for the school communities.</w:t>
      </w:r>
    </w:p>
    <w:p w14:paraId="5EC7FE6E" w14:textId="5411CC51" w:rsidR="00EE6E77" w:rsidRPr="0002642E" w:rsidRDefault="00EE6E77" w:rsidP="0002642E">
      <w:pPr>
        <w:pStyle w:val="VEOHRCBodytext"/>
      </w:pPr>
      <w:r w:rsidRPr="0002642E">
        <w:rPr>
          <w:lang w:val="en-GB"/>
        </w:rPr>
        <w:t>The Commission also commenced a program of work to raise awareness of rights and responsibilities amongst African and Muslim communities in Victoria. This approach was based on consultation with community and data, indicating that these communities are the most vulnerable to rights breaches, including discrimination from public authorities.</w:t>
      </w:r>
    </w:p>
    <w:p w14:paraId="7953F3E5" w14:textId="5D6100FA" w:rsidR="00176316" w:rsidRDefault="00176316" w:rsidP="00692AE0">
      <w:pPr>
        <w:pStyle w:val="Heading4"/>
        <w:rPr>
          <w:b w:val="0"/>
          <w:lang w:val="en-GB"/>
        </w:rPr>
      </w:pPr>
      <w:r w:rsidRPr="00692AE0">
        <w:rPr>
          <w:lang w:val="en-GB"/>
        </w:rPr>
        <w:t>Status</w:t>
      </w:r>
    </w:p>
    <w:p w14:paraId="2AEB3489" w14:textId="77777777" w:rsidR="00EE6E77" w:rsidRPr="00C97AA1" w:rsidRDefault="00EE6E77" w:rsidP="00EE6E77">
      <w:pPr>
        <w:pStyle w:val="VEOHRCBodytext"/>
        <w:rPr>
          <w:szCs w:val="24"/>
          <w:shd w:val="clear" w:color="auto" w:fill="00B0F0"/>
          <w:lang w:val="en-GB"/>
        </w:rPr>
      </w:pPr>
      <w:r w:rsidRPr="00C97AA1">
        <w:rPr>
          <w:szCs w:val="24"/>
          <w:shd w:val="clear" w:color="auto" w:fill="00B0F0"/>
          <w:lang w:val="en-GB"/>
        </w:rPr>
        <w:t>IN PROGRESS</w:t>
      </w:r>
    </w:p>
    <w:p w14:paraId="0BFA0308" w14:textId="6545585D" w:rsidR="00EE6E77" w:rsidRPr="003A3F4F" w:rsidRDefault="00692AE0" w:rsidP="0002642E">
      <w:pPr>
        <w:pStyle w:val="Heading3"/>
      </w:pPr>
      <w:r w:rsidRPr="0002642E">
        <w:rPr>
          <w:lang w:val="en-GB"/>
        </w:rPr>
        <w:t>Recommendation 9</w:t>
      </w:r>
    </w:p>
    <w:p w14:paraId="11530926" w14:textId="3BE08F6D" w:rsidR="00EE6E77" w:rsidRPr="003A3F4F" w:rsidRDefault="00EE6E77" w:rsidP="0002642E">
      <w:pPr>
        <w:pStyle w:val="VEOHRCBodytext"/>
      </w:pPr>
      <w:r w:rsidRPr="0002642E">
        <w:rPr>
          <w:lang w:val="en-GB"/>
        </w:rPr>
        <w:t>Public authorities make relevant human rights information available when providing services to the community and provide a way for people to have a say about issues that affect them</w:t>
      </w:r>
      <w:r w:rsidR="00026826" w:rsidRPr="0002642E">
        <w:rPr>
          <w:lang w:val="en-GB"/>
        </w:rPr>
        <w:t>.</w:t>
      </w:r>
    </w:p>
    <w:p w14:paraId="3992B5F8" w14:textId="77777777" w:rsidR="00EE6E77" w:rsidRPr="00C97AA1" w:rsidRDefault="00EE6E77" w:rsidP="00EE6E77">
      <w:pPr>
        <w:pStyle w:val="Heading4"/>
        <w:rPr>
          <w:lang w:val="en-GB"/>
        </w:rPr>
      </w:pPr>
      <w:r w:rsidRPr="00C97AA1">
        <w:rPr>
          <w:lang w:val="en-GB"/>
        </w:rPr>
        <w:t>Government response</w:t>
      </w:r>
    </w:p>
    <w:p w14:paraId="7853EE58" w14:textId="77777777" w:rsidR="00EE6E77" w:rsidRPr="00C97AA1" w:rsidRDefault="00EE6E77" w:rsidP="00EE6E77">
      <w:pPr>
        <w:pStyle w:val="VEOHRCBodytext"/>
        <w:rPr>
          <w:szCs w:val="24"/>
          <w:lang w:val="en-GB"/>
        </w:rPr>
      </w:pPr>
      <w:r w:rsidRPr="00C97AA1">
        <w:rPr>
          <w:szCs w:val="24"/>
          <w:lang w:val="en-GB"/>
        </w:rPr>
        <w:t>Supported</w:t>
      </w:r>
    </w:p>
    <w:p w14:paraId="46EBAEA3" w14:textId="77777777" w:rsidR="00EE6E77" w:rsidRPr="003A3F4F" w:rsidRDefault="00EE6E77" w:rsidP="0002642E">
      <w:pPr>
        <w:pStyle w:val="Heading4"/>
      </w:pPr>
      <w:r w:rsidRPr="0002642E">
        <w:rPr>
          <w:lang w:val="en-GB"/>
        </w:rPr>
        <w:t>Progress – as reported in the 2017 Charter Report</w:t>
      </w:r>
    </w:p>
    <w:p w14:paraId="02713F12" w14:textId="30EB2F2D" w:rsidR="00EE6E77" w:rsidRPr="003A3F4F" w:rsidRDefault="00EE6E77" w:rsidP="0002642E">
      <w:pPr>
        <w:pStyle w:val="VEOHRCBodytext"/>
      </w:pPr>
      <w:r w:rsidRPr="0002642E">
        <w:rPr>
          <w:lang w:val="en-GB"/>
        </w:rPr>
        <w:t xml:space="preserve">While some public authorities already make human rights information available when providing services to the community, other strategies are being used across government to ensure that such information is more broadly provided, including through: </w:t>
      </w:r>
    </w:p>
    <w:p w14:paraId="4D8D415F" w14:textId="73319839" w:rsidR="00EE6E77" w:rsidRPr="003A3F4F" w:rsidRDefault="00EE6E77" w:rsidP="0002642E">
      <w:pPr>
        <w:pStyle w:val="VEOHRCBodytext"/>
        <w:numPr>
          <w:ilvl w:val="0"/>
          <w:numId w:val="37"/>
        </w:numPr>
      </w:pPr>
      <w:r w:rsidRPr="0002642E">
        <w:rPr>
          <w:lang w:val="en-GB"/>
        </w:rPr>
        <w:t xml:space="preserve">the promotion of the </w:t>
      </w:r>
      <w:r w:rsidRPr="00C97AA1">
        <w:rPr>
          <w:szCs w:val="24"/>
          <w:lang w:val="en-GB"/>
        </w:rPr>
        <w:t>'Good</w:t>
      </w:r>
      <w:r w:rsidRPr="0002642E">
        <w:rPr>
          <w:lang w:val="en-GB"/>
        </w:rPr>
        <w:t xml:space="preserve"> Practice Guide: Managing Complaints Involving Human </w:t>
      </w:r>
      <w:r w:rsidRPr="00C97AA1">
        <w:rPr>
          <w:szCs w:val="24"/>
          <w:lang w:val="en-GB"/>
        </w:rPr>
        <w:t>Rights'</w:t>
      </w:r>
      <w:r w:rsidRPr="0002642E">
        <w:rPr>
          <w:lang w:val="en-GB"/>
        </w:rPr>
        <w:t xml:space="preserve"> (referred to in Recommendation 3)</w:t>
      </w:r>
    </w:p>
    <w:p w14:paraId="3F11BD52" w14:textId="77777777" w:rsidR="00EE6E77" w:rsidRPr="003A3F4F" w:rsidRDefault="00EE6E77" w:rsidP="0002642E">
      <w:pPr>
        <w:pStyle w:val="VEOHRCBodytext"/>
        <w:numPr>
          <w:ilvl w:val="0"/>
          <w:numId w:val="37"/>
        </w:numPr>
      </w:pPr>
      <w:r w:rsidRPr="0002642E">
        <w:rPr>
          <w:lang w:val="en-GB"/>
        </w:rPr>
        <w:t>communications from the Charter Leaders Group</w:t>
      </w:r>
    </w:p>
    <w:p w14:paraId="2698BB2C" w14:textId="77777777" w:rsidR="00EE6E77" w:rsidRPr="003A3F4F" w:rsidRDefault="00EE6E77" w:rsidP="0002642E">
      <w:pPr>
        <w:pStyle w:val="VEOHRCBodytext"/>
        <w:numPr>
          <w:ilvl w:val="0"/>
          <w:numId w:val="37"/>
        </w:numPr>
      </w:pPr>
      <w:r w:rsidRPr="0002642E">
        <w:rPr>
          <w:lang w:val="en-GB"/>
        </w:rPr>
        <w:t>encouraging this approach in training provided to service delivery areas.</w:t>
      </w:r>
    </w:p>
    <w:p w14:paraId="4C514C4B" w14:textId="77777777" w:rsidR="00EE6E77" w:rsidRPr="003A3F4F" w:rsidRDefault="00EE6E77" w:rsidP="0002642E">
      <w:pPr>
        <w:pStyle w:val="Heading4"/>
      </w:pPr>
      <w:r w:rsidRPr="00692AE0">
        <w:t>Progress</w:t>
      </w:r>
      <w:r w:rsidRPr="0002642E">
        <w:rPr>
          <w:lang w:val="en-GB"/>
        </w:rPr>
        <w:t xml:space="preserve"> during the 2018 calendar year</w:t>
      </w:r>
    </w:p>
    <w:p w14:paraId="65E8B3C2" w14:textId="50A9AA42" w:rsidR="00EE6E77" w:rsidRPr="003A3F4F" w:rsidRDefault="00EE6E77" w:rsidP="0002642E">
      <w:pPr>
        <w:pStyle w:val="VEOHRCBodytext"/>
      </w:pPr>
      <w:r w:rsidRPr="0002642E">
        <w:rPr>
          <w:lang w:val="en-GB"/>
        </w:rPr>
        <w:t>Existing strategies continue to be used across government to ensure that human rights information is provided to the public.</w:t>
      </w:r>
    </w:p>
    <w:p w14:paraId="24AAD0F9" w14:textId="77777777" w:rsidR="00EE6E77" w:rsidRPr="00C97AA1" w:rsidRDefault="00EE6E77" w:rsidP="00692AE0">
      <w:pPr>
        <w:pStyle w:val="Heading4"/>
        <w:rPr>
          <w:b w:val="0"/>
          <w:lang w:val="en-GB"/>
        </w:rPr>
      </w:pPr>
      <w:r w:rsidRPr="00692AE0">
        <w:rPr>
          <w:lang w:val="en-GB"/>
        </w:rPr>
        <w:t>Status</w:t>
      </w:r>
    </w:p>
    <w:p w14:paraId="0229ED78" w14:textId="77777777" w:rsidR="00EE6E77" w:rsidRPr="00C97AA1" w:rsidRDefault="00EE6E77" w:rsidP="00EE6E77">
      <w:pPr>
        <w:pStyle w:val="VEOHRCBodytext"/>
        <w:rPr>
          <w:szCs w:val="24"/>
          <w:lang w:val="en-GB"/>
        </w:rPr>
      </w:pPr>
      <w:r w:rsidRPr="00C97AA1">
        <w:rPr>
          <w:szCs w:val="24"/>
          <w:shd w:val="clear" w:color="auto" w:fill="92D050"/>
          <w:lang w:val="en-GB"/>
        </w:rPr>
        <w:t>COMPLETE / ONGOING</w:t>
      </w:r>
    </w:p>
    <w:p w14:paraId="1D87B9D6" w14:textId="2AD036E4" w:rsidR="00EE6E77" w:rsidRPr="003A3F4F" w:rsidRDefault="00CF07FC" w:rsidP="0002642E">
      <w:pPr>
        <w:pStyle w:val="Heading3"/>
      </w:pPr>
      <w:r w:rsidRPr="0002642E">
        <w:rPr>
          <w:lang w:val="en-GB"/>
        </w:rPr>
        <w:t>Recommendation</w:t>
      </w:r>
      <w:r w:rsidR="00692AE0" w:rsidRPr="0002642E">
        <w:rPr>
          <w:lang w:val="en-GB"/>
        </w:rPr>
        <w:t xml:space="preserve"> 10</w:t>
      </w:r>
    </w:p>
    <w:p w14:paraId="7AF104C8" w14:textId="17F58104" w:rsidR="00EE6E77" w:rsidRPr="0002642E" w:rsidRDefault="00EE6E77" w:rsidP="0002642E">
      <w:pPr>
        <w:pStyle w:val="VEOHRCBodytext"/>
      </w:pPr>
      <w:r w:rsidRPr="0002642E">
        <w:rPr>
          <w:lang w:val="en-GB"/>
        </w:rPr>
        <w:t>The Victorian Equal Opportunity and Human Rights Commission look for ways to engage with the private sector to build a broader human rights culture in Victoria. Such engagement could include establishing a Corporate Charter Champions group, partnering with businesses on activities, or working with business networks to build understanding of the Charter</w:t>
      </w:r>
      <w:r w:rsidR="00026826" w:rsidRPr="0002642E">
        <w:rPr>
          <w:lang w:val="en-GB"/>
        </w:rPr>
        <w:t>.</w:t>
      </w:r>
    </w:p>
    <w:p w14:paraId="0B516CCA" w14:textId="77777777" w:rsidR="00EE6E77" w:rsidRPr="00C97AA1" w:rsidRDefault="00EE6E77" w:rsidP="00EE6E77">
      <w:pPr>
        <w:pStyle w:val="Heading4"/>
        <w:rPr>
          <w:lang w:val="en-GB"/>
        </w:rPr>
      </w:pPr>
      <w:r w:rsidRPr="00C97AA1">
        <w:rPr>
          <w:lang w:val="en-GB"/>
        </w:rPr>
        <w:t>Government response</w:t>
      </w:r>
    </w:p>
    <w:p w14:paraId="6C04C775" w14:textId="77777777" w:rsidR="00EE6E77" w:rsidRPr="00C97AA1" w:rsidRDefault="00EE6E77" w:rsidP="00EE6E77">
      <w:pPr>
        <w:pStyle w:val="VEOHRCBodytext"/>
        <w:rPr>
          <w:szCs w:val="24"/>
          <w:lang w:val="en-GB"/>
        </w:rPr>
      </w:pPr>
      <w:r w:rsidRPr="00C97AA1">
        <w:rPr>
          <w:szCs w:val="24"/>
          <w:lang w:val="en-GB"/>
        </w:rPr>
        <w:t>Not supported</w:t>
      </w:r>
    </w:p>
    <w:p w14:paraId="053E929A" w14:textId="7CBBA5FA" w:rsidR="00176316" w:rsidRDefault="00176316" w:rsidP="00692AE0">
      <w:pPr>
        <w:pStyle w:val="Heading4"/>
        <w:rPr>
          <w:lang w:val="en-GB"/>
        </w:rPr>
      </w:pPr>
      <w:r w:rsidRPr="00C97AA1">
        <w:rPr>
          <w:lang w:val="en-GB"/>
        </w:rPr>
        <w:lastRenderedPageBreak/>
        <w:t>Status</w:t>
      </w:r>
    </w:p>
    <w:p w14:paraId="7C5C2B56" w14:textId="01C76698" w:rsidR="00EE6E77" w:rsidRDefault="00CF07FC" w:rsidP="00EE6E77">
      <w:pPr>
        <w:pStyle w:val="VEOHRCBodytext"/>
        <w:rPr>
          <w:szCs w:val="24"/>
          <w:shd w:val="clear" w:color="auto" w:fill="00B0F0"/>
          <w:lang w:val="en-GB"/>
        </w:rPr>
      </w:pPr>
      <w:r w:rsidRPr="00A76371">
        <w:rPr>
          <w:szCs w:val="24"/>
          <w:highlight w:val="lightGray"/>
          <w:shd w:val="clear" w:color="auto" w:fill="00B0F0"/>
          <w:lang w:val="en-GB"/>
        </w:rPr>
        <w:t>NOT SUPPORTED</w:t>
      </w:r>
    </w:p>
    <w:p w14:paraId="59B773DD" w14:textId="7951C01D" w:rsidR="00CF07FC" w:rsidRDefault="00CF07FC" w:rsidP="0002642E">
      <w:pPr>
        <w:pStyle w:val="Heading3"/>
      </w:pPr>
      <w:r w:rsidRPr="00CF07FC">
        <w:t>Recommendation 11</w:t>
      </w:r>
    </w:p>
    <w:p w14:paraId="5D36F645" w14:textId="73DC05EC" w:rsidR="00CF07FC" w:rsidRPr="00CF07FC" w:rsidRDefault="00CF07FC" w:rsidP="0002642E">
      <w:pPr>
        <w:pStyle w:val="BodyText"/>
      </w:pPr>
      <w:r w:rsidRPr="00CF07FC">
        <w:t>The Judicial College of Victoria be responsible for educating judicial officers and tribunal members regularly on how the Charter operates. Where appropriate, this education could be done in conjunction with professional development for the legal profession</w:t>
      </w:r>
      <w:r w:rsidR="00026826">
        <w:t>.</w:t>
      </w:r>
    </w:p>
    <w:p w14:paraId="7E0949DE" w14:textId="77777777" w:rsidR="00CF07FC" w:rsidRPr="00C97AA1" w:rsidRDefault="00CF07FC" w:rsidP="00CF07FC">
      <w:pPr>
        <w:pStyle w:val="Heading4"/>
        <w:rPr>
          <w:lang w:val="en-GB"/>
        </w:rPr>
      </w:pPr>
      <w:r w:rsidRPr="00C97AA1">
        <w:rPr>
          <w:lang w:val="en-GB"/>
        </w:rPr>
        <w:t>Government response</w:t>
      </w:r>
    </w:p>
    <w:p w14:paraId="2092A802" w14:textId="77777777" w:rsidR="00CF07FC" w:rsidRPr="00CF07FC" w:rsidRDefault="00CF07FC" w:rsidP="00CF07FC">
      <w:pPr>
        <w:pStyle w:val="BodyText"/>
      </w:pPr>
      <w:r w:rsidRPr="00CF07FC">
        <w:t xml:space="preserve">Supported in principle </w:t>
      </w:r>
    </w:p>
    <w:p w14:paraId="2146364E" w14:textId="77777777" w:rsidR="00CF07FC" w:rsidRPr="00692AE0" w:rsidRDefault="00CF07FC" w:rsidP="0002642E">
      <w:pPr>
        <w:pStyle w:val="Heading4"/>
      </w:pPr>
      <w:r w:rsidRPr="00692AE0">
        <w:t>Progress – as reported in the 2017 Charter Report</w:t>
      </w:r>
    </w:p>
    <w:p w14:paraId="354420A1" w14:textId="1F8A3600" w:rsidR="00CF07FC" w:rsidRPr="00CF07FC" w:rsidRDefault="00CF07FC" w:rsidP="0002642E">
      <w:pPr>
        <w:pStyle w:val="BodyText"/>
      </w:pPr>
      <w:r w:rsidRPr="00CF07FC">
        <w:t>This recommendation continues to be implemented through the Judicial College of Victoria’s (JCV) ongoing work maintaining the Charter Bench Book, which is a resource for judicial officers on the operation of the Charter.</w:t>
      </w:r>
    </w:p>
    <w:p w14:paraId="11A49A68" w14:textId="065EA890" w:rsidR="00CF07FC" w:rsidRPr="00CF07FC" w:rsidRDefault="00CF07FC" w:rsidP="0002642E">
      <w:pPr>
        <w:pStyle w:val="BodyText"/>
      </w:pPr>
      <w:r w:rsidRPr="00CF07FC">
        <w:t xml:space="preserve">Additionally, the HRU assisted the JCV by presenting a Charter education session to the Victorian Drug Court on 1 August 2017 (as a component of the JCV’s professional program). There were approximately 60 participants, including magistrates of the court, case workers, social workers, and lawyers from Victoria Police and Victorian Legal Aid. HRU and the Commission have also delivered a presentation for tribunal members and registry staff at VCAT as part of VCAT’s professional development program. </w:t>
      </w:r>
    </w:p>
    <w:p w14:paraId="549B18FF" w14:textId="77777777" w:rsidR="00CF07FC" w:rsidRPr="003A3F4F" w:rsidRDefault="00CF07FC" w:rsidP="0002642E">
      <w:pPr>
        <w:pStyle w:val="Heading4"/>
      </w:pPr>
      <w:r w:rsidRPr="0002642E">
        <w:rPr>
          <w:lang w:val="en-GB"/>
        </w:rPr>
        <w:t>Progress during the 2018 calendar year</w:t>
      </w:r>
    </w:p>
    <w:p w14:paraId="72C43A0E" w14:textId="14466137" w:rsidR="00CF07FC" w:rsidRPr="00CF07FC" w:rsidRDefault="00CF07FC" w:rsidP="0002642E">
      <w:pPr>
        <w:pStyle w:val="BodyText"/>
      </w:pPr>
      <w:r w:rsidRPr="00CF07FC">
        <w:t xml:space="preserve">During 2018, the HRU and the Commission continued to present Charter training sessions to registry staff at VCAT as part of VCAT’s professional development program. </w:t>
      </w:r>
    </w:p>
    <w:p w14:paraId="504409C0" w14:textId="2FE504C5" w:rsidR="00CF07FC" w:rsidRPr="00CF07FC" w:rsidRDefault="00CF07FC" w:rsidP="0002642E">
      <w:pPr>
        <w:pStyle w:val="BodyText"/>
      </w:pPr>
      <w:r w:rsidRPr="00CF07FC">
        <w:t>HRU also delivered training sessions on the Charter to staff at Court Services Victoria and the Dispute Settlement Centre of Victoria.</w:t>
      </w:r>
    </w:p>
    <w:p w14:paraId="7FF4D832" w14:textId="4CFA74B4" w:rsidR="00CF07FC" w:rsidRPr="0002642E" w:rsidRDefault="00CF07FC" w:rsidP="0002642E">
      <w:pPr>
        <w:pStyle w:val="BodyText"/>
      </w:pPr>
      <w:r w:rsidRPr="00CF07FC">
        <w:t>JCV generally undertakes substantive annual reviews of the Charter Bench Book content, as well as providing ad hoc updates in response to significant case law developments. JCV most recently undertook a substantive update of the Charter Bench Book in October 2018.</w:t>
      </w:r>
    </w:p>
    <w:p w14:paraId="69BA48C5" w14:textId="77777777" w:rsidR="00CF07FC" w:rsidRDefault="00CF07FC" w:rsidP="00CF07FC">
      <w:pPr>
        <w:pStyle w:val="Heading4"/>
        <w:rPr>
          <w:lang w:val="en-GB"/>
        </w:rPr>
      </w:pPr>
      <w:r w:rsidRPr="00C97AA1">
        <w:rPr>
          <w:lang w:val="en-GB"/>
        </w:rPr>
        <w:t>Status</w:t>
      </w:r>
    </w:p>
    <w:p w14:paraId="5BEF355C" w14:textId="77777777" w:rsidR="00947A97" w:rsidRPr="0002642E" w:rsidRDefault="00947A97" w:rsidP="0002642E">
      <w:pPr>
        <w:pStyle w:val="VEOHRCBodytext"/>
        <w:rPr>
          <w:shd w:val="clear" w:color="auto" w:fill="00B0F0"/>
        </w:rPr>
      </w:pPr>
      <w:r w:rsidRPr="00C97AA1">
        <w:rPr>
          <w:szCs w:val="24"/>
          <w:shd w:val="clear" w:color="auto" w:fill="00B0F0"/>
          <w:lang w:val="en-GB"/>
        </w:rPr>
        <w:t>IN PROGRESS</w:t>
      </w:r>
    </w:p>
    <w:p w14:paraId="7345DF79" w14:textId="77777777" w:rsidR="00EE6E77" w:rsidRPr="003A3F4F" w:rsidRDefault="00EE6E77" w:rsidP="0002642E">
      <w:pPr>
        <w:pStyle w:val="Heading2"/>
        <w:ind w:left="0" w:firstLine="0"/>
      </w:pPr>
      <w:bookmarkStart w:id="123" w:name="_Toc22011548"/>
      <w:r w:rsidRPr="0002642E">
        <w:rPr>
          <w:lang w:val="en-GB"/>
        </w:rPr>
        <w:t>Chapter 2 – Clarifying responsibilities for human rights</w:t>
      </w:r>
      <w:bookmarkEnd w:id="123"/>
    </w:p>
    <w:p w14:paraId="5A9B12F3" w14:textId="07071C92" w:rsidR="00EE6E77" w:rsidRPr="003A3F4F" w:rsidRDefault="00CF07FC" w:rsidP="0002642E">
      <w:pPr>
        <w:pStyle w:val="Heading3"/>
      </w:pPr>
      <w:r w:rsidRPr="0002642E">
        <w:rPr>
          <w:lang w:val="en-GB"/>
        </w:rPr>
        <w:t>Recommendation 12</w:t>
      </w:r>
    </w:p>
    <w:p w14:paraId="0A32E6FF" w14:textId="44B874A9" w:rsidR="00EE6E77" w:rsidRPr="00C97AA1" w:rsidRDefault="00EE6E77" w:rsidP="0002642E">
      <w:pPr>
        <w:rPr>
          <w:rFonts w:cs="Arial"/>
          <w:szCs w:val="24"/>
        </w:rPr>
      </w:pPr>
      <w:r w:rsidRPr="00C97AA1">
        <w:rPr>
          <w:rFonts w:cs="Arial"/>
          <w:szCs w:val="24"/>
        </w:rPr>
        <w:t>Section 4 of the Charter be amended to set out a non-exhaustive list of functions of a public nature under section 4(1)(c), including:</w:t>
      </w:r>
    </w:p>
    <w:p w14:paraId="400EE374" w14:textId="6F761343" w:rsidR="00CF07FC" w:rsidRPr="00CF07FC" w:rsidRDefault="00EE6E77" w:rsidP="0002642E">
      <w:pPr>
        <w:pStyle w:val="ListParagraph"/>
        <w:numPr>
          <w:ilvl w:val="0"/>
          <w:numId w:val="35"/>
        </w:numPr>
        <w:rPr>
          <w:rFonts w:cs="Arial"/>
          <w:szCs w:val="24"/>
        </w:rPr>
      </w:pPr>
      <w:r w:rsidRPr="00C97AA1">
        <w:rPr>
          <w:rFonts w:cs="Arial"/>
          <w:szCs w:val="24"/>
        </w:rPr>
        <w:t>the operation of prisons and other correctional facilities</w:t>
      </w:r>
    </w:p>
    <w:p w14:paraId="3B97DC21" w14:textId="77777777" w:rsidR="00EE6E77" w:rsidRPr="00C97AA1" w:rsidRDefault="00EE6E77" w:rsidP="0002642E">
      <w:pPr>
        <w:pStyle w:val="ListParagraph"/>
        <w:numPr>
          <w:ilvl w:val="0"/>
          <w:numId w:val="35"/>
        </w:numPr>
        <w:rPr>
          <w:rFonts w:cs="Arial"/>
          <w:szCs w:val="24"/>
        </w:rPr>
      </w:pPr>
      <w:r w:rsidRPr="00C97AA1">
        <w:rPr>
          <w:rFonts w:cs="Arial"/>
          <w:szCs w:val="24"/>
        </w:rPr>
        <w:t>the provision of public health services</w:t>
      </w:r>
    </w:p>
    <w:p w14:paraId="4BE4B581" w14:textId="73604731" w:rsidR="00EE6E77" w:rsidRPr="00C97AA1" w:rsidRDefault="00EE6E77" w:rsidP="0002642E">
      <w:pPr>
        <w:pStyle w:val="ListParagraph"/>
        <w:numPr>
          <w:ilvl w:val="0"/>
          <w:numId w:val="35"/>
        </w:numPr>
        <w:rPr>
          <w:rFonts w:cs="Arial"/>
          <w:szCs w:val="24"/>
        </w:rPr>
      </w:pPr>
      <w:r w:rsidRPr="00C97AA1">
        <w:rPr>
          <w:rFonts w:cs="Arial"/>
          <w:szCs w:val="24"/>
        </w:rPr>
        <w:t>the provision of public education, including public tertiary education</w:t>
      </w:r>
    </w:p>
    <w:p w14:paraId="2013F5B3" w14:textId="4F980DCC" w:rsidR="00EE6E77" w:rsidRPr="00C97AA1" w:rsidRDefault="00EE6E77" w:rsidP="0002642E">
      <w:pPr>
        <w:pStyle w:val="ListParagraph"/>
        <w:numPr>
          <w:ilvl w:val="0"/>
          <w:numId w:val="35"/>
        </w:numPr>
        <w:rPr>
          <w:rFonts w:cs="Arial"/>
          <w:szCs w:val="24"/>
        </w:rPr>
      </w:pPr>
      <w:r w:rsidRPr="00C97AA1">
        <w:rPr>
          <w:rFonts w:cs="Arial"/>
          <w:szCs w:val="24"/>
        </w:rPr>
        <w:t>the provision of public housing, including by registered housing providers</w:t>
      </w:r>
    </w:p>
    <w:p w14:paraId="38C593B8" w14:textId="77777777" w:rsidR="00EE6E77" w:rsidRPr="00C97AA1" w:rsidRDefault="00EE6E77" w:rsidP="0002642E">
      <w:pPr>
        <w:pStyle w:val="ListParagraph"/>
        <w:numPr>
          <w:ilvl w:val="0"/>
          <w:numId w:val="35"/>
        </w:numPr>
        <w:rPr>
          <w:rFonts w:cs="Arial"/>
          <w:szCs w:val="24"/>
        </w:rPr>
      </w:pPr>
      <w:r w:rsidRPr="00C97AA1">
        <w:rPr>
          <w:rFonts w:cs="Arial"/>
          <w:szCs w:val="24"/>
        </w:rPr>
        <w:lastRenderedPageBreak/>
        <w:t>the provision of public disability services</w:t>
      </w:r>
    </w:p>
    <w:p w14:paraId="0EC0BC75" w14:textId="77777777" w:rsidR="00EE6E77" w:rsidRPr="00C97AA1" w:rsidRDefault="00EE6E77" w:rsidP="0002642E">
      <w:pPr>
        <w:pStyle w:val="ListParagraph"/>
        <w:numPr>
          <w:ilvl w:val="0"/>
          <w:numId w:val="35"/>
        </w:numPr>
        <w:rPr>
          <w:rFonts w:cs="Arial"/>
          <w:szCs w:val="24"/>
        </w:rPr>
      </w:pPr>
      <w:r w:rsidRPr="00C97AA1">
        <w:rPr>
          <w:rFonts w:cs="Arial"/>
          <w:szCs w:val="24"/>
        </w:rPr>
        <w:t>the provision of public transport</w:t>
      </w:r>
    </w:p>
    <w:p w14:paraId="130A9A57" w14:textId="77777777" w:rsidR="00EE6E77" w:rsidRPr="00C97AA1" w:rsidRDefault="00EE6E77" w:rsidP="0002642E">
      <w:pPr>
        <w:pStyle w:val="ListParagraph"/>
        <w:numPr>
          <w:ilvl w:val="0"/>
          <w:numId w:val="35"/>
        </w:numPr>
        <w:rPr>
          <w:rFonts w:cs="Arial"/>
          <w:szCs w:val="24"/>
        </w:rPr>
      </w:pPr>
      <w:r w:rsidRPr="00C97AA1">
        <w:rPr>
          <w:rFonts w:cs="Arial"/>
          <w:szCs w:val="24"/>
        </w:rPr>
        <w:t>the provision of emergency services</w:t>
      </w:r>
    </w:p>
    <w:p w14:paraId="18CFBA2C" w14:textId="47EE0B26" w:rsidR="00EE6E77" w:rsidRPr="00C97AA1" w:rsidRDefault="00EE6E77" w:rsidP="0002642E">
      <w:pPr>
        <w:pStyle w:val="ListParagraph"/>
        <w:numPr>
          <w:ilvl w:val="0"/>
          <w:numId w:val="35"/>
        </w:numPr>
        <w:rPr>
          <w:rFonts w:cs="Arial"/>
          <w:szCs w:val="24"/>
        </w:rPr>
      </w:pPr>
      <w:r w:rsidRPr="00C97AA1">
        <w:rPr>
          <w:rFonts w:cs="Arial"/>
          <w:szCs w:val="24"/>
        </w:rPr>
        <w:t>the provision of water supply</w:t>
      </w:r>
      <w:r w:rsidR="00026826">
        <w:rPr>
          <w:rFonts w:cs="Arial"/>
          <w:szCs w:val="24"/>
        </w:rPr>
        <w:t>.</w:t>
      </w:r>
    </w:p>
    <w:p w14:paraId="7425F728" w14:textId="77777777" w:rsidR="00EE6E77" w:rsidRPr="00C97AA1" w:rsidRDefault="00EE6E77" w:rsidP="00EE6E77">
      <w:pPr>
        <w:pStyle w:val="Heading4"/>
        <w:rPr>
          <w:lang w:val="en-GB"/>
        </w:rPr>
      </w:pPr>
      <w:r w:rsidRPr="00C97AA1">
        <w:rPr>
          <w:lang w:val="en-GB"/>
        </w:rPr>
        <w:t>Government response</w:t>
      </w:r>
    </w:p>
    <w:p w14:paraId="45716D18" w14:textId="77777777" w:rsidR="00EE6E77" w:rsidRPr="00C97AA1" w:rsidRDefault="00EE6E77" w:rsidP="00EE6E77">
      <w:pPr>
        <w:pStyle w:val="VEOHRCBodytext"/>
        <w:rPr>
          <w:szCs w:val="24"/>
          <w:lang w:val="en-GB"/>
        </w:rPr>
      </w:pPr>
      <w:r w:rsidRPr="00C97AA1">
        <w:rPr>
          <w:szCs w:val="24"/>
          <w:lang w:val="en-GB"/>
        </w:rPr>
        <w:t>Supported in principle</w:t>
      </w:r>
    </w:p>
    <w:p w14:paraId="4092A24F" w14:textId="21D70240" w:rsidR="00176316" w:rsidRPr="003A3F4F" w:rsidRDefault="00176316" w:rsidP="0002642E">
      <w:pPr>
        <w:pStyle w:val="VEOHRCBodytext"/>
      </w:pPr>
      <w:r w:rsidRPr="0002642E">
        <w:rPr>
          <w:b/>
          <w:lang w:val="en-GB"/>
        </w:rPr>
        <w:t>Progress – as reported in the 2017 Charter Report</w:t>
      </w:r>
    </w:p>
    <w:p w14:paraId="0AF5ED3F" w14:textId="76703416" w:rsidR="00EE6E77" w:rsidRPr="003A3F4F" w:rsidRDefault="00EE6E77" w:rsidP="0002642E">
      <w:pPr>
        <w:pStyle w:val="VEOHRCBodytext"/>
      </w:pPr>
      <w:r w:rsidRPr="0002642E">
        <w:rPr>
          <w:lang w:val="en-GB"/>
        </w:rPr>
        <w:t xml:space="preserve">In relation to this (and other) recommendations from the Review that require legislative amendment and that were accepted by the government, the introduction and passage of the necessary legislation is dependent on the </w:t>
      </w:r>
      <w:r w:rsidRPr="00C97AA1">
        <w:rPr>
          <w:szCs w:val="24"/>
          <w:lang w:val="en-GB"/>
        </w:rPr>
        <w:t>government's</w:t>
      </w:r>
      <w:r w:rsidRPr="0002642E">
        <w:rPr>
          <w:lang w:val="en-GB"/>
        </w:rPr>
        <w:t xml:space="preserve"> legislative program as a whole. </w:t>
      </w:r>
    </w:p>
    <w:p w14:paraId="0B67BFBD" w14:textId="06B35FCF" w:rsidR="00176316" w:rsidRPr="003A3F4F" w:rsidRDefault="00176316" w:rsidP="0002642E">
      <w:pPr>
        <w:pStyle w:val="VEOHRCBodytext"/>
      </w:pPr>
      <w:r w:rsidRPr="0002642E">
        <w:rPr>
          <w:b/>
          <w:lang w:val="en-GB"/>
        </w:rPr>
        <w:t>Progress during the 2018 calendar year</w:t>
      </w:r>
    </w:p>
    <w:p w14:paraId="065A2428" w14:textId="79B3D7B4" w:rsidR="00EE6E77" w:rsidRPr="0002642E" w:rsidRDefault="00EE6E77" w:rsidP="0002642E">
      <w:pPr>
        <w:pStyle w:val="VEOHRCBodytext"/>
      </w:pPr>
      <w:r w:rsidRPr="0002642E">
        <w:rPr>
          <w:lang w:val="en-GB"/>
        </w:rPr>
        <w:t>The Victorian Government will revisit this (and other) recommendations from the Review that require legislative amendment and that were accepted by the previous government, as part of the legislative program for the 2018-2022 term.</w:t>
      </w:r>
    </w:p>
    <w:p w14:paraId="60D5EBAB" w14:textId="0253685E" w:rsidR="00176316" w:rsidRPr="00692AE0" w:rsidRDefault="00176316" w:rsidP="00692AE0">
      <w:pPr>
        <w:pStyle w:val="Heading4"/>
      </w:pPr>
      <w:r w:rsidRPr="00C97AA1">
        <w:rPr>
          <w:lang w:val="en-GB"/>
        </w:rPr>
        <w:t>Status</w:t>
      </w:r>
    </w:p>
    <w:p w14:paraId="6443570E" w14:textId="77777777" w:rsidR="00EE6E77" w:rsidRPr="00C97AA1" w:rsidRDefault="00EE6E77" w:rsidP="00EE6E77">
      <w:pPr>
        <w:pStyle w:val="VEOHRCBodytext"/>
        <w:rPr>
          <w:szCs w:val="24"/>
          <w:lang w:val="en-GB"/>
        </w:rPr>
      </w:pPr>
      <w:r w:rsidRPr="00C97AA1">
        <w:rPr>
          <w:szCs w:val="24"/>
          <w:shd w:val="clear" w:color="auto" w:fill="FFC000"/>
          <w:lang w:val="en-GB"/>
        </w:rPr>
        <w:t>PENDING</w:t>
      </w:r>
    </w:p>
    <w:p w14:paraId="4D4040FE" w14:textId="77777777" w:rsidR="00CF07FC" w:rsidRDefault="00CF07FC" w:rsidP="0002642E">
      <w:pPr>
        <w:pStyle w:val="Heading3"/>
      </w:pPr>
      <w:r>
        <w:t>Recommendation 13</w:t>
      </w:r>
    </w:p>
    <w:p w14:paraId="46F7B783" w14:textId="122E8ED8" w:rsidR="00EE6E77" w:rsidRPr="00C97AA1" w:rsidRDefault="00EE6E77" w:rsidP="0002642E">
      <w:pPr>
        <w:rPr>
          <w:rFonts w:cs="Arial"/>
          <w:szCs w:val="24"/>
        </w:rPr>
      </w:pPr>
      <w:r w:rsidRPr="00C97AA1">
        <w:rPr>
          <w:rFonts w:cs="Arial"/>
          <w:szCs w:val="24"/>
        </w:rPr>
        <w:t xml:space="preserve">The Victorian Government use the </w:t>
      </w:r>
      <w:r w:rsidRPr="0002642E">
        <w:t xml:space="preserve">Charter of Human Rights and Responsibilities (Public Authorities) Regulations 2013 </w:t>
      </w:r>
      <w:r w:rsidRPr="00C97AA1">
        <w:rPr>
          <w:rFonts w:cs="Arial"/>
          <w:szCs w:val="24"/>
        </w:rPr>
        <w:t>(Vic) to prescribe entities to be or not be public authorities—including entities that provide services under national schemes—where necessary to resolve doubt</w:t>
      </w:r>
      <w:r w:rsidR="00026826">
        <w:rPr>
          <w:rFonts w:cs="Arial"/>
          <w:szCs w:val="24"/>
        </w:rPr>
        <w:t>.</w:t>
      </w:r>
    </w:p>
    <w:p w14:paraId="28480890" w14:textId="77777777" w:rsidR="00EE6E77" w:rsidRPr="00C97AA1" w:rsidRDefault="00EE6E77" w:rsidP="00EE6E77">
      <w:pPr>
        <w:pStyle w:val="Heading4"/>
        <w:rPr>
          <w:lang w:val="en-GB"/>
        </w:rPr>
      </w:pPr>
      <w:r w:rsidRPr="00C97AA1">
        <w:rPr>
          <w:lang w:val="en-GB"/>
        </w:rPr>
        <w:t>Government response</w:t>
      </w:r>
    </w:p>
    <w:p w14:paraId="57E658C8" w14:textId="77777777" w:rsidR="00EE6E77" w:rsidRPr="00C97AA1" w:rsidRDefault="00EE6E77" w:rsidP="00EE6E77">
      <w:pPr>
        <w:pStyle w:val="VEOHRCBodytext"/>
        <w:rPr>
          <w:szCs w:val="24"/>
          <w:lang w:val="en-GB"/>
        </w:rPr>
      </w:pPr>
      <w:r w:rsidRPr="00C97AA1">
        <w:rPr>
          <w:szCs w:val="24"/>
          <w:lang w:val="en-GB"/>
        </w:rPr>
        <w:t>Supported</w:t>
      </w:r>
    </w:p>
    <w:p w14:paraId="73607A6C" w14:textId="100937AC" w:rsidR="00176316" w:rsidRPr="003A3F4F" w:rsidRDefault="00176316" w:rsidP="0002642E">
      <w:pPr>
        <w:pStyle w:val="VEOHRCBodytext"/>
      </w:pPr>
      <w:r w:rsidRPr="0002642E">
        <w:rPr>
          <w:b/>
          <w:lang w:val="en-GB"/>
        </w:rPr>
        <w:t>Progress – as reported in the 2017 Charter Report</w:t>
      </w:r>
    </w:p>
    <w:p w14:paraId="49AF0D96" w14:textId="242F014F" w:rsidR="00EE6E77" w:rsidRPr="003A3F4F" w:rsidRDefault="00EE6E77" w:rsidP="0002642E">
      <w:pPr>
        <w:pStyle w:val="VEOHRCBodytext"/>
      </w:pPr>
      <w:r w:rsidRPr="0002642E">
        <w:rPr>
          <w:lang w:val="en-GB"/>
        </w:rPr>
        <w:t xml:space="preserve">This recommendation relates closely to Recommendation 12 and is therefore similarly </w:t>
      </w:r>
      <w:r w:rsidRPr="00C97AA1">
        <w:rPr>
          <w:szCs w:val="24"/>
          <w:lang w:val="en-GB"/>
        </w:rPr>
        <w:t>'Pending'</w:t>
      </w:r>
      <w:r w:rsidRPr="0002642E">
        <w:rPr>
          <w:lang w:val="en-GB"/>
        </w:rPr>
        <w:t xml:space="preserve">. </w:t>
      </w:r>
    </w:p>
    <w:p w14:paraId="6B166D01" w14:textId="3A520991" w:rsidR="00176316" w:rsidRPr="003A3F4F" w:rsidRDefault="00176316" w:rsidP="0002642E">
      <w:pPr>
        <w:pStyle w:val="VEOHRCBodytext"/>
      </w:pPr>
      <w:r w:rsidRPr="0002642E">
        <w:rPr>
          <w:b/>
          <w:lang w:val="en-GB"/>
        </w:rPr>
        <w:t>Progress during the 2018 calendar year</w:t>
      </w:r>
    </w:p>
    <w:p w14:paraId="2DC628E7" w14:textId="2BA22406" w:rsidR="00EE6E77" w:rsidRPr="0002642E" w:rsidRDefault="00EE6E77" w:rsidP="0002642E">
      <w:pPr>
        <w:pStyle w:val="VEOHRCBodytext"/>
      </w:pPr>
      <w:r w:rsidRPr="0002642E">
        <w:rPr>
          <w:lang w:val="en-GB"/>
        </w:rPr>
        <w:t xml:space="preserve">This </w:t>
      </w:r>
      <w:r w:rsidRPr="0002642E">
        <w:rPr>
          <w:rStyle w:val="BodyTextChar"/>
        </w:rPr>
        <w:t>recommendation relates closely to Recommendation 12 and is therefore similarly</w:t>
      </w:r>
      <w:r w:rsidRPr="0002642E">
        <w:rPr>
          <w:lang w:val="en-GB"/>
        </w:rPr>
        <w:t xml:space="preserve"> </w:t>
      </w:r>
      <w:r w:rsidRPr="00C97AA1">
        <w:rPr>
          <w:szCs w:val="24"/>
          <w:lang w:val="en-GB"/>
        </w:rPr>
        <w:t>'Pending'</w:t>
      </w:r>
      <w:r w:rsidRPr="0002642E">
        <w:rPr>
          <w:lang w:val="en-GB"/>
        </w:rPr>
        <w:t>.</w:t>
      </w:r>
    </w:p>
    <w:p w14:paraId="1B3E218C" w14:textId="16A35B87" w:rsidR="00176316" w:rsidRDefault="00176316" w:rsidP="006A6EEF">
      <w:pPr>
        <w:pStyle w:val="VEOHRCBodytext"/>
        <w:rPr>
          <w:b/>
          <w:lang w:val="en-GB"/>
        </w:rPr>
      </w:pPr>
      <w:r w:rsidRPr="00C97AA1">
        <w:rPr>
          <w:b/>
          <w:lang w:val="en-GB"/>
        </w:rPr>
        <w:t>Status</w:t>
      </w:r>
    </w:p>
    <w:p w14:paraId="21B3E845" w14:textId="77777777" w:rsidR="00EE6E77" w:rsidRPr="00C97AA1" w:rsidRDefault="00EE6E77" w:rsidP="00EE6E77">
      <w:pPr>
        <w:pStyle w:val="VEOHRCBodytext"/>
        <w:rPr>
          <w:szCs w:val="24"/>
          <w:lang w:val="en-GB"/>
        </w:rPr>
      </w:pPr>
      <w:r w:rsidRPr="00C97AA1">
        <w:rPr>
          <w:szCs w:val="24"/>
          <w:shd w:val="clear" w:color="auto" w:fill="FFC000"/>
          <w:lang w:val="en-GB"/>
        </w:rPr>
        <w:t>PENDING</w:t>
      </w:r>
    </w:p>
    <w:p w14:paraId="291C8516" w14:textId="08B6A70C" w:rsidR="00176316" w:rsidRPr="003A3F4F" w:rsidRDefault="00CF07FC" w:rsidP="0002642E">
      <w:pPr>
        <w:pStyle w:val="Heading3"/>
      </w:pPr>
      <w:r w:rsidRPr="0002642E">
        <w:rPr>
          <w:lang w:val="en-GB"/>
        </w:rPr>
        <w:t>Recommendation 14</w:t>
      </w:r>
    </w:p>
    <w:p w14:paraId="462A5AE2" w14:textId="1F2AA660" w:rsidR="00176316" w:rsidRPr="003A3F4F" w:rsidRDefault="00176316" w:rsidP="0002642E">
      <w:pPr>
        <w:pStyle w:val="VEOHRCBodytext"/>
      </w:pPr>
      <w:r w:rsidRPr="0002642E">
        <w:rPr>
          <w:lang w:val="en-GB"/>
        </w:rPr>
        <w:t>A whole-of-government policy be developed for relevant State contracts to include terms that contracted service providers will have public authority obligations when performing particular functions under the contract and a provision be included in the Charter to authorise this</w:t>
      </w:r>
      <w:r w:rsidR="00026826" w:rsidRPr="0002642E">
        <w:rPr>
          <w:lang w:val="en-GB"/>
        </w:rPr>
        <w:t>.</w:t>
      </w:r>
    </w:p>
    <w:p w14:paraId="61ED6B4A" w14:textId="77777777" w:rsidR="00176316" w:rsidRPr="00C97AA1" w:rsidRDefault="00176316" w:rsidP="00617A94">
      <w:pPr>
        <w:pStyle w:val="Heading4"/>
        <w:rPr>
          <w:lang w:val="en-GB"/>
        </w:rPr>
      </w:pPr>
      <w:r w:rsidRPr="00C97AA1">
        <w:rPr>
          <w:lang w:val="en-GB"/>
        </w:rPr>
        <w:t>Government response</w:t>
      </w:r>
    </w:p>
    <w:p w14:paraId="01361A22" w14:textId="77777777" w:rsidR="00176316" w:rsidRPr="00C97AA1" w:rsidRDefault="00176316" w:rsidP="00617A94">
      <w:pPr>
        <w:pStyle w:val="VEOHRCBodytext"/>
        <w:rPr>
          <w:szCs w:val="24"/>
          <w:lang w:val="en-GB"/>
        </w:rPr>
      </w:pPr>
      <w:r w:rsidRPr="00C97AA1">
        <w:rPr>
          <w:szCs w:val="24"/>
          <w:lang w:val="en-GB"/>
        </w:rPr>
        <w:t>Supported</w:t>
      </w:r>
    </w:p>
    <w:p w14:paraId="13953909" w14:textId="77777777" w:rsidR="00176316" w:rsidRPr="003A3F4F" w:rsidRDefault="00176316" w:rsidP="0002642E">
      <w:pPr>
        <w:pStyle w:val="VEOHRCBodytext"/>
      </w:pPr>
      <w:r w:rsidRPr="0002642E">
        <w:rPr>
          <w:b/>
          <w:lang w:val="en-GB"/>
        </w:rPr>
        <w:t>Progress – as reported in the 2017 Charter Report</w:t>
      </w:r>
    </w:p>
    <w:p w14:paraId="64C63FF3" w14:textId="5DE3FBB8" w:rsidR="00176316" w:rsidRPr="003A3F4F" w:rsidRDefault="00176316" w:rsidP="0002642E">
      <w:pPr>
        <w:pStyle w:val="VEOHRCBodytext"/>
      </w:pPr>
      <w:r w:rsidRPr="0002642E">
        <w:rPr>
          <w:lang w:val="en-GB"/>
        </w:rPr>
        <w:lastRenderedPageBreak/>
        <w:t>HRU will continue to consult with relevant parts of government to develop guidance on options for requiring contracted service providers to fulfil Charter obligations when performing particular functions under the Charter.</w:t>
      </w:r>
    </w:p>
    <w:p w14:paraId="24902B50" w14:textId="0E3CB28A" w:rsidR="00176316" w:rsidRPr="003A3F4F" w:rsidRDefault="000B5D63" w:rsidP="0002642E">
      <w:pPr>
        <w:pStyle w:val="VEOHRCBodytext"/>
      </w:pPr>
      <w:r w:rsidRPr="0002642E">
        <w:rPr>
          <w:lang w:val="en-GB"/>
        </w:rPr>
        <w:t xml:space="preserve">Regarding the recommendation to amend the Charter to include a provision to authorise this: </w:t>
      </w:r>
      <w:r w:rsidR="00176316" w:rsidRPr="0002642E">
        <w:rPr>
          <w:lang w:val="en-GB"/>
        </w:rPr>
        <w:t>See Recommendation 12.</w:t>
      </w:r>
    </w:p>
    <w:p w14:paraId="5CAD934E" w14:textId="77777777" w:rsidR="00176316" w:rsidRPr="003A3F4F" w:rsidRDefault="00176316" w:rsidP="0002642E">
      <w:pPr>
        <w:pStyle w:val="VEOHRCBodytext"/>
      </w:pPr>
      <w:r w:rsidRPr="0002642E">
        <w:rPr>
          <w:b/>
          <w:lang w:val="en-GB"/>
        </w:rPr>
        <w:t>Progress during the 2018 calendar year</w:t>
      </w:r>
    </w:p>
    <w:p w14:paraId="2FB06CDB" w14:textId="36D024EE" w:rsidR="00176316" w:rsidRPr="003A3F4F" w:rsidRDefault="00176316" w:rsidP="0002642E">
      <w:pPr>
        <w:pStyle w:val="VEOHRCBodytext"/>
      </w:pPr>
      <w:r w:rsidRPr="0002642E">
        <w:rPr>
          <w:lang w:val="en-GB"/>
        </w:rPr>
        <w:t>During 2018, HRU continued to consult with relevant parts of government to develop guidance on options for requiring contracted service providers to fulfil Charter obligations when performing particular functions under the Charter.</w:t>
      </w:r>
    </w:p>
    <w:p w14:paraId="04CF42D4" w14:textId="6A258BDC" w:rsidR="00176316" w:rsidRPr="0002642E" w:rsidRDefault="000B5D63" w:rsidP="0002642E">
      <w:pPr>
        <w:pStyle w:val="VEOHRCBodytext"/>
      </w:pPr>
      <w:r w:rsidRPr="0002642E">
        <w:rPr>
          <w:lang w:val="en-GB"/>
        </w:rPr>
        <w:t xml:space="preserve">Regarding the recommendation to amend the Charter to include a provision to authorise this: </w:t>
      </w:r>
      <w:r w:rsidR="00176316" w:rsidRPr="0002642E">
        <w:rPr>
          <w:lang w:val="en-GB"/>
        </w:rPr>
        <w:t>See Recommendation 12.</w:t>
      </w:r>
    </w:p>
    <w:p w14:paraId="1E437890" w14:textId="3D73691D" w:rsidR="00176316" w:rsidRPr="00C97AA1" w:rsidRDefault="00176316" w:rsidP="006A6EEF">
      <w:pPr>
        <w:pStyle w:val="VEOHRCBodytext"/>
        <w:rPr>
          <w:b/>
          <w:lang w:val="en-GB"/>
        </w:rPr>
      </w:pPr>
      <w:r w:rsidRPr="00C97AA1">
        <w:rPr>
          <w:b/>
          <w:lang w:val="en-GB"/>
        </w:rPr>
        <w:t>Status</w:t>
      </w:r>
    </w:p>
    <w:p w14:paraId="2A99F8F3" w14:textId="5C29A273" w:rsidR="00176316" w:rsidRPr="00C97AA1" w:rsidRDefault="00176316" w:rsidP="00617A94">
      <w:pPr>
        <w:pStyle w:val="VEOHRCBodytext"/>
        <w:rPr>
          <w:szCs w:val="24"/>
          <w:lang w:val="en-GB"/>
        </w:rPr>
      </w:pPr>
      <w:r w:rsidRPr="00C97AA1">
        <w:rPr>
          <w:szCs w:val="24"/>
          <w:shd w:val="clear" w:color="auto" w:fill="00B0F0"/>
          <w:lang w:val="en-GB"/>
        </w:rPr>
        <w:t>IN PROGRESS</w:t>
      </w:r>
    </w:p>
    <w:p w14:paraId="6FF0487C" w14:textId="0F94507C" w:rsidR="00176316" w:rsidRPr="0002642E" w:rsidRDefault="000B5D63" w:rsidP="0002642E">
      <w:pPr>
        <w:pStyle w:val="VEOHRCBodytext"/>
      </w:pPr>
      <w:r w:rsidRPr="0002642E">
        <w:rPr>
          <w:lang w:val="en-GB"/>
        </w:rPr>
        <w:t>Regarding the recommendation to amend the Charter to include a provision to authorise this</w:t>
      </w:r>
      <w:r w:rsidR="00F06CC4" w:rsidRPr="0002642E">
        <w:rPr>
          <w:lang w:val="en-GB"/>
        </w:rPr>
        <w:t>:</w:t>
      </w:r>
      <w:r w:rsidR="00AF1F47" w:rsidRPr="0002642E">
        <w:rPr>
          <w:lang w:val="en-GB"/>
        </w:rPr>
        <w:t xml:space="preserve"> </w:t>
      </w:r>
      <w:r w:rsidR="00176316" w:rsidRPr="0002642E">
        <w:rPr>
          <w:shd w:val="clear" w:color="auto" w:fill="FFC000"/>
          <w:lang w:val="en-GB"/>
        </w:rPr>
        <w:t>PENDING</w:t>
      </w:r>
    </w:p>
    <w:p w14:paraId="70199E73" w14:textId="3AD45AF5" w:rsidR="00176316" w:rsidRPr="003A3F4F" w:rsidRDefault="00CF07FC" w:rsidP="0002642E">
      <w:pPr>
        <w:pStyle w:val="Heading3"/>
      </w:pPr>
      <w:r w:rsidRPr="0002642E">
        <w:rPr>
          <w:lang w:val="en-GB"/>
        </w:rPr>
        <w:t>Recommendation 15</w:t>
      </w:r>
    </w:p>
    <w:p w14:paraId="21E0A714" w14:textId="5D091DD2" w:rsidR="00176316" w:rsidRPr="003A3F4F" w:rsidRDefault="00176316" w:rsidP="0002642E">
      <w:pPr>
        <w:pStyle w:val="VEOHRCBodytext"/>
      </w:pPr>
      <w:r w:rsidRPr="0002642E">
        <w:rPr>
          <w:lang w:val="en-GB"/>
        </w:rPr>
        <w:t xml:space="preserve">The Charter provide for any entity to </w:t>
      </w:r>
      <w:r w:rsidRPr="00C97AA1">
        <w:rPr>
          <w:szCs w:val="24"/>
          <w:lang w:val="en-GB"/>
        </w:rPr>
        <w:t>'opt in'</w:t>
      </w:r>
      <w:r w:rsidRPr="0002642E">
        <w:rPr>
          <w:lang w:val="en-GB"/>
        </w:rPr>
        <w:t xml:space="preserve"> to public authority obligations by requesting the Attorney-General declare them to be a public authority, as in section 40D of the </w:t>
      </w:r>
      <w:r w:rsidRPr="0002642E">
        <w:t>Human Rights Act 2004 (ACT)</w:t>
      </w:r>
      <w:r w:rsidR="00026826" w:rsidRPr="0002642E">
        <w:rPr>
          <w:lang w:val="en-GB"/>
        </w:rPr>
        <w:t>.</w:t>
      </w:r>
    </w:p>
    <w:p w14:paraId="42766323" w14:textId="77777777" w:rsidR="00176316" w:rsidRPr="00C97AA1" w:rsidRDefault="00176316" w:rsidP="00617A94">
      <w:pPr>
        <w:pStyle w:val="Heading4"/>
        <w:rPr>
          <w:lang w:val="en-GB"/>
        </w:rPr>
      </w:pPr>
      <w:r w:rsidRPr="00C97AA1">
        <w:rPr>
          <w:lang w:val="en-GB"/>
        </w:rPr>
        <w:t>Government response</w:t>
      </w:r>
    </w:p>
    <w:p w14:paraId="1289352F" w14:textId="77777777" w:rsidR="00176316" w:rsidRPr="00C97AA1" w:rsidRDefault="00176316" w:rsidP="00617A94">
      <w:pPr>
        <w:pStyle w:val="VEOHRCBodytext"/>
        <w:rPr>
          <w:szCs w:val="24"/>
          <w:lang w:val="en-GB"/>
        </w:rPr>
      </w:pPr>
      <w:r w:rsidRPr="00C97AA1">
        <w:rPr>
          <w:szCs w:val="24"/>
          <w:lang w:val="en-GB"/>
        </w:rPr>
        <w:t>Supported</w:t>
      </w:r>
    </w:p>
    <w:p w14:paraId="34CA0EE9" w14:textId="77777777" w:rsidR="00176316" w:rsidRPr="003A3F4F" w:rsidRDefault="00176316" w:rsidP="0002642E">
      <w:pPr>
        <w:pStyle w:val="VEOHRCBodytext"/>
      </w:pPr>
      <w:r w:rsidRPr="0002642E">
        <w:rPr>
          <w:b/>
          <w:lang w:val="en-GB"/>
        </w:rPr>
        <w:t>Progress – as reported in the 2017 Charter Report</w:t>
      </w:r>
    </w:p>
    <w:p w14:paraId="23AF172B" w14:textId="77777777" w:rsidR="00176316" w:rsidRPr="003A3F4F" w:rsidRDefault="00176316" w:rsidP="0002642E">
      <w:pPr>
        <w:pStyle w:val="VEOHRCBodytext"/>
      </w:pPr>
      <w:r w:rsidRPr="0002642E">
        <w:rPr>
          <w:lang w:val="en-GB"/>
        </w:rPr>
        <w:t>See Recommendation 12.</w:t>
      </w:r>
    </w:p>
    <w:p w14:paraId="0F189AED" w14:textId="77777777" w:rsidR="00176316" w:rsidRPr="003A3F4F" w:rsidRDefault="00176316" w:rsidP="0002642E">
      <w:pPr>
        <w:pStyle w:val="VEOHRCBodytext"/>
      </w:pPr>
      <w:r w:rsidRPr="0002642E">
        <w:rPr>
          <w:b/>
          <w:lang w:val="en-GB"/>
        </w:rPr>
        <w:t>Progress during the 2018 calendar year</w:t>
      </w:r>
    </w:p>
    <w:p w14:paraId="0CC2AA5D" w14:textId="77777777" w:rsidR="00176316" w:rsidRPr="0002642E" w:rsidRDefault="00176316" w:rsidP="0002642E">
      <w:pPr>
        <w:pStyle w:val="VEOHRCBodytext"/>
      </w:pPr>
      <w:r w:rsidRPr="0002642E">
        <w:rPr>
          <w:lang w:val="en-GB"/>
        </w:rPr>
        <w:t>See Recommendation 12.</w:t>
      </w:r>
    </w:p>
    <w:p w14:paraId="230E6CAE" w14:textId="77777777" w:rsidR="00176316" w:rsidRPr="00C97AA1" w:rsidRDefault="00176316" w:rsidP="006A6EEF">
      <w:pPr>
        <w:pStyle w:val="VEOHRCBodytext"/>
        <w:rPr>
          <w:b/>
          <w:lang w:val="en-GB"/>
        </w:rPr>
      </w:pPr>
      <w:r w:rsidRPr="00C97AA1">
        <w:rPr>
          <w:b/>
          <w:lang w:val="en-GB"/>
        </w:rPr>
        <w:t>Status</w:t>
      </w:r>
    </w:p>
    <w:p w14:paraId="7E1C78A7" w14:textId="77777777" w:rsidR="00176316" w:rsidRPr="00C97AA1" w:rsidRDefault="00176316" w:rsidP="00617A94">
      <w:pPr>
        <w:pStyle w:val="VEOHRCBodytext"/>
        <w:rPr>
          <w:szCs w:val="24"/>
          <w:lang w:val="en-GB"/>
        </w:rPr>
      </w:pPr>
      <w:r w:rsidRPr="00C97AA1">
        <w:rPr>
          <w:szCs w:val="24"/>
          <w:shd w:val="clear" w:color="auto" w:fill="FFC000"/>
          <w:lang w:val="en-GB"/>
        </w:rPr>
        <w:t>PENDING</w:t>
      </w:r>
    </w:p>
    <w:p w14:paraId="254D91FC" w14:textId="67D18749" w:rsidR="00176316" w:rsidRPr="003A3F4F" w:rsidRDefault="00CF07FC" w:rsidP="0002642E">
      <w:pPr>
        <w:pStyle w:val="Heading3"/>
      </w:pPr>
      <w:r w:rsidRPr="0002642E">
        <w:rPr>
          <w:lang w:val="en-GB"/>
        </w:rPr>
        <w:t>Recommendation 16</w:t>
      </w:r>
    </w:p>
    <w:p w14:paraId="2BE63901" w14:textId="4817642D" w:rsidR="00176316" w:rsidRPr="003A3F4F" w:rsidRDefault="00176316" w:rsidP="0002642E">
      <w:pPr>
        <w:pStyle w:val="VEOHRCBodytext"/>
      </w:pPr>
      <w:r w:rsidRPr="0002642E">
        <w:rPr>
          <w:lang w:val="en-GB"/>
        </w:rPr>
        <w:t xml:space="preserve">The Victorian Government review and clarify how the Charter applies to public sector employees who are not employed under the </w:t>
      </w:r>
      <w:r w:rsidRPr="0002642E">
        <w:t>Public Administration Act 2004</w:t>
      </w:r>
      <w:r w:rsidRPr="0002642E">
        <w:rPr>
          <w:lang w:val="en-GB"/>
        </w:rPr>
        <w:t xml:space="preserve"> (Vic) (such as teachers)</w:t>
      </w:r>
      <w:r w:rsidR="00026826" w:rsidRPr="0002642E">
        <w:rPr>
          <w:lang w:val="en-GB"/>
        </w:rPr>
        <w:t>.</w:t>
      </w:r>
    </w:p>
    <w:p w14:paraId="3A25A7A4" w14:textId="77777777" w:rsidR="00176316" w:rsidRPr="00C97AA1" w:rsidRDefault="00176316" w:rsidP="003C3F41">
      <w:pPr>
        <w:pStyle w:val="Heading4"/>
        <w:rPr>
          <w:lang w:val="en-GB"/>
        </w:rPr>
      </w:pPr>
      <w:r w:rsidRPr="00C97AA1">
        <w:rPr>
          <w:lang w:val="en-GB"/>
        </w:rPr>
        <w:t>Government response</w:t>
      </w:r>
    </w:p>
    <w:p w14:paraId="123A587F" w14:textId="77777777" w:rsidR="00176316" w:rsidRPr="00C97AA1" w:rsidRDefault="00176316" w:rsidP="003C3F41">
      <w:pPr>
        <w:pStyle w:val="VEOHRCBodytext"/>
        <w:rPr>
          <w:szCs w:val="24"/>
          <w:lang w:val="en-GB"/>
        </w:rPr>
      </w:pPr>
      <w:r w:rsidRPr="00C97AA1">
        <w:rPr>
          <w:szCs w:val="24"/>
          <w:lang w:val="en-GB"/>
        </w:rPr>
        <w:t>Supported in principle</w:t>
      </w:r>
    </w:p>
    <w:p w14:paraId="35CCE45D" w14:textId="77777777" w:rsidR="00176316" w:rsidRPr="003A3F4F" w:rsidRDefault="00176316" w:rsidP="0002642E">
      <w:pPr>
        <w:pStyle w:val="VEOHRCBodytext"/>
      </w:pPr>
      <w:r w:rsidRPr="0002642E">
        <w:rPr>
          <w:b/>
          <w:lang w:val="en-GB"/>
        </w:rPr>
        <w:t>Progress – as reported in the 2017 Charter Report</w:t>
      </w:r>
    </w:p>
    <w:p w14:paraId="0B141E5F" w14:textId="7E6FD36D" w:rsidR="00176316" w:rsidRPr="003A3F4F" w:rsidRDefault="00176316" w:rsidP="0002642E">
      <w:pPr>
        <w:pStyle w:val="VEOHRCBodytext"/>
      </w:pPr>
      <w:r w:rsidRPr="0002642E">
        <w:rPr>
          <w:lang w:val="en-GB"/>
        </w:rPr>
        <w:t xml:space="preserve">HRU proposes to review the legislative arrangements for the employment of public sector employees not employed under the </w:t>
      </w:r>
      <w:r w:rsidRPr="0002642E">
        <w:t>Public Administration Act 2004</w:t>
      </w:r>
      <w:r w:rsidRPr="0002642E">
        <w:rPr>
          <w:lang w:val="en-GB"/>
        </w:rPr>
        <w:t xml:space="preserve"> (Vic). The HRU will then assess whether any legislative amendment or other action is desirable to clarify that such employees are clearly included in the </w:t>
      </w:r>
      <w:r w:rsidRPr="00C97AA1">
        <w:rPr>
          <w:szCs w:val="24"/>
          <w:lang w:val="en-GB"/>
        </w:rPr>
        <w:t>Charter's</w:t>
      </w:r>
      <w:r w:rsidRPr="0002642E">
        <w:rPr>
          <w:lang w:val="en-GB"/>
        </w:rPr>
        <w:t xml:space="preserve"> definition of </w:t>
      </w:r>
      <w:r w:rsidRPr="00C97AA1">
        <w:rPr>
          <w:szCs w:val="24"/>
          <w:lang w:val="en-GB"/>
        </w:rPr>
        <w:t>'public authority'</w:t>
      </w:r>
      <w:r w:rsidRPr="0002642E">
        <w:rPr>
          <w:lang w:val="en-GB"/>
        </w:rPr>
        <w:t>.</w:t>
      </w:r>
    </w:p>
    <w:p w14:paraId="1DDDD398" w14:textId="77777777" w:rsidR="00176316" w:rsidRPr="003A3F4F" w:rsidRDefault="00176316" w:rsidP="0002642E">
      <w:pPr>
        <w:pStyle w:val="VEOHRCBodytext"/>
      </w:pPr>
      <w:r w:rsidRPr="0002642E">
        <w:rPr>
          <w:b/>
          <w:lang w:val="en-GB"/>
        </w:rPr>
        <w:t>Progress during the 2018 calendar year</w:t>
      </w:r>
    </w:p>
    <w:p w14:paraId="5FF31D04" w14:textId="230F0246" w:rsidR="00176316" w:rsidRPr="003A3F4F" w:rsidRDefault="00176316" w:rsidP="0002642E">
      <w:pPr>
        <w:pStyle w:val="VEOHRCBodytext"/>
      </w:pPr>
      <w:r w:rsidRPr="0002642E">
        <w:rPr>
          <w:lang w:val="en-GB"/>
        </w:rPr>
        <w:t xml:space="preserve">The review of the legislative arrangements for the employment of public sector employees not employed under the </w:t>
      </w:r>
      <w:r w:rsidRPr="0002642E">
        <w:t>Public Administration Act 2004</w:t>
      </w:r>
      <w:r w:rsidRPr="0002642E">
        <w:rPr>
          <w:lang w:val="en-GB"/>
        </w:rPr>
        <w:t xml:space="preserve"> (Vic) will be </w:t>
      </w:r>
      <w:r w:rsidRPr="0002642E">
        <w:rPr>
          <w:lang w:val="en-GB"/>
        </w:rPr>
        <w:lastRenderedPageBreak/>
        <w:t>included as part of the consideration of possible legislative changes to improve the operation of the Charter, as per the response to Recommendation 12.</w:t>
      </w:r>
    </w:p>
    <w:p w14:paraId="0CAD0B0E" w14:textId="77777777" w:rsidR="00176316" w:rsidRPr="00C97AA1" w:rsidRDefault="00176316" w:rsidP="006A6EEF">
      <w:pPr>
        <w:pStyle w:val="VEOHRCBodytext"/>
        <w:rPr>
          <w:b/>
          <w:lang w:val="en-GB"/>
        </w:rPr>
      </w:pPr>
      <w:r w:rsidRPr="00C97AA1">
        <w:rPr>
          <w:b/>
          <w:lang w:val="en-GB"/>
        </w:rPr>
        <w:t>Status</w:t>
      </w:r>
    </w:p>
    <w:p w14:paraId="0F0E7F39" w14:textId="77777777" w:rsidR="00176316" w:rsidRPr="00C97AA1" w:rsidRDefault="00176316" w:rsidP="003C3F41">
      <w:pPr>
        <w:pStyle w:val="VEOHRCBodytext"/>
        <w:rPr>
          <w:szCs w:val="24"/>
          <w:lang w:val="en-GB"/>
        </w:rPr>
      </w:pPr>
      <w:r w:rsidRPr="00C97AA1">
        <w:rPr>
          <w:szCs w:val="24"/>
          <w:shd w:val="clear" w:color="auto" w:fill="FFC000"/>
          <w:lang w:val="en-GB"/>
        </w:rPr>
        <w:t>PENDING</w:t>
      </w:r>
    </w:p>
    <w:p w14:paraId="3A337903" w14:textId="2FC0100F" w:rsidR="00176316" w:rsidRPr="003A3F4F" w:rsidRDefault="00CF07FC" w:rsidP="0002642E">
      <w:pPr>
        <w:pStyle w:val="Heading3"/>
      </w:pPr>
      <w:r w:rsidRPr="0002642E">
        <w:rPr>
          <w:lang w:val="en-GB"/>
        </w:rPr>
        <w:t>Recommendation 17</w:t>
      </w:r>
    </w:p>
    <w:p w14:paraId="63B6309E" w14:textId="63449712" w:rsidR="00176316" w:rsidRPr="003A3F4F" w:rsidRDefault="00176316" w:rsidP="0002642E">
      <w:pPr>
        <w:pStyle w:val="VEOHRCBodytext"/>
      </w:pPr>
      <w:r w:rsidRPr="0002642E">
        <w:rPr>
          <w:lang w:val="en-GB"/>
        </w:rPr>
        <w:t xml:space="preserve">The Charter be amended to clarify that decisions of public authorities must be substantively compatible with human rights, whether by defining </w:t>
      </w:r>
      <w:r w:rsidRPr="00C97AA1">
        <w:rPr>
          <w:szCs w:val="24"/>
          <w:lang w:val="en-GB"/>
        </w:rPr>
        <w:t>'to act'</w:t>
      </w:r>
      <w:r w:rsidRPr="0002642E">
        <w:rPr>
          <w:lang w:val="en-GB"/>
        </w:rPr>
        <w:t xml:space="preserve"> as including </w:t>
      </w:r>
      <w:r w:rsidRPr="00C97AA1">
        <w:rPr>
          <w:szCs w:val="24"/>
          <w:lang w:val="en-GB"/>
        </w:rPr>
        <w:t>'to</w:t>
      </w:r>
      <w:r w:rsidRPr="0002642E">
        <w:rPr>
          <w:lang w:val="en-GB"/>
        </w:rPr>
        <w:t xml:space="preserve"> make a </w:t>
      </w:r>
      <w:r w:rsidRPr="00C97AA1">
        <w:rPr>
          <w:szCs w:val="24"/>
          <w:lang w:val="en-GB"/>
        </w:rPr>
        <w:t>decision'</w:t>
      </w:r>
      <w:r w:rsidRPr="0002642E">
        <w:rPr>
          <w:lang w:val="en-GB"/>
        </w:rPr>
        <w:t xml:space="preserve"> or by specifying in section 38(1) that it is unlawful for a public authority to make a decision that is incompatible with a human right</w:t>
      </w:r>
      <w:r w:rsidR="00026826" w:rsidRPr="0002642E">
        <w:rPr>
          <w:lang w:val="en-GB"/>
        </w:rPr>
        <w:t>.</w:t>
      </w:r>
    </w:p>
    <w:p w14:paraId="5F741701" w14:textId="77777777" w:rsidR="00176316" w:rsidRPr="00C97AA1" w:rsidRDefault="00176316" w:rsidP="003C3F41">
      <w:pPr>
        <w:pStyle w:val="Heading4"/>
        <w:rPr>
          <w:lang w:val="en-GB"/>
        </w:rPr>
      </w:pPr>
      <w:r w:rsidRPr="00C97AA1">
        <w:rPr>
          <w:lang w:val="en-GB"/>
        </w:rPr>
        <w:t>Government response</w:t>
      </w:r>
    </w:p>
    <w:p w14:paraId="318C1669" w14:textId="77777777" w:rsidR="00176316" w:rsidRPr="00C97AA1" w:rsidRDefault="00176316" w:rsidP="003C3F41">
      <w:pPr>
        <w:pStyle w:val="VEOHRCBodytext"/>
        <w:rPr>
          <w:szCs w:val="24"/>
          <w:lang w:val="en-GB"/>
        </w:rPr>
      </w:pPr>
      <w:r w:rsidRPr="00C97AA1">
        <w:rPr>
          <w:szCs w:val="24"/>
          <w:lang w:val="en-GB"/>
        </w:rPr>
        <w:t>Supported</w:t>
      </w:r>
    </w:p>
    <w:p w14:paraId="66448DC3" w14:textId="77777777" w:rsidR="00176316" w:rsidRPr="003A3F4F" w:rsidRDefault="00176316" w:rsidP="0002642E">
      <w:pPr>
        <w:pStyle w:val="VEOHRCBodytext"/>
      </w:pPr>
      <w:r w:rsidRPr="0002642E">
        <w:rPr>
          <w:b/>
          <w:lang w:val="en-GB"/>
        </w:rPr>
        <w:t>Progress – as reported in the 2017 Charter Report</w:t>
      </w:r>
    </w:p>
    <w:p w14:paraId="571D74CF" w14:textId="77777777" w:rsidR="00176316" w:rsidRPr="003A3F4F" w:rsidRDefault="00176316" w:rsidP="0002642E">
      <w:pPr>
        <w:pStyle w:val="VEOHRCBodytext"/>
      </w:pPr>
      <w:r w:rsidRPr="0002642E">
        <w:rPr>
          <w:lang w:val="en-GB"/>
        </w:rPr>
        <w:t>See Recommendation 12.</w:t>
      </w:r>
    </w:p>
    <w:p w14:paraId="2016FED8" w14:textId="77777777" w:rsidR="00176316" w:rsidRPr="003A3F4F" w:rsidRDefault="00176316" w:rsidP="0002642E">
      <w:pPr>
        <w:pStyle w:val="VEOHRCBodytext"/>
      </w:pPr>
      <w:r w:rsidRPr="0002642E">
        <w:rPr>
          <w:b/>
          <w:lang w:val="en-GB"/>
        </w:rPr>
        <w:t>Progress during the 2018 calendar year</w:t>
      </w:r>
    </w:p>
    <w:p w14:paraId="5C3327D9" w14:textId="77777777" w:rsidR="00176316" w:rsidRPr="0002642E" w:rsidRDefault="00176316" w:rsidP="0002642E">
      <w:pPr>
        <w:pStyle w:val="VEOHRCBodytext"/>
      </w:pPr>
      <w:r w:rsidRPr="0002642E">
        <w:rPr>
          <w:lang w:val="en-GB"/>
        </w:rPr>
        <w:t>See Recommendation 12.</w:t>
      </w:r>
    </w:p>
    <w:p w14:paraId="318C8F71" w14:textId="77777777" w:rsidR="00176316" w:rsidRPr="00C97AA1" w:rsidRDefault="00176316" w:rsidP="006A6EEF">
      <w:pPr>
        <w:pStyle w:val="VEOHRCBodytext"/>
        <w:rPr>
          <w:b/>
          <w:lang w:val="en-GB"/>
        </w:rPr>
      </w:pPr>
      <w:r w:rsidRPr="00C97AA1">
        <w:rPr>
          <w:b/>
          <w:lang w:val="en-GB"/>
        </w:rPr>
        <w:t>Status</w:t>
      </w:r>
    </w:p>
    <w:p w14:paraId="3D527A81" w14:textId="77777777" w:rsidR="00176316" w:rsidRPr="00C97AA1" w:rsidRDefault="00176316" w:rsidP="003C3F41">
      <w:pPr>
        <w:pStyle w:val="VEOHRCBodytext"/>
        <w:rPr>
          <w:szCs w:val="24"/>
          <w:lang w:val="en-GB"/>
        </w:rPr>
      </w:pPr>
      <w:r w:rsidRPr="00C97AA1">
        <w:rPr>
          <w:szCs w:val="24"/>
          <w:shd w:val="clear" w:color="auto" w:fill="FFC000"/>
          <w:lang w:val="en-GB"/>
        </w:rPr>
        <w:t>PENDING</w:t>
      </w:r>
    </w:p>
    <w:p w14:paraId="127F13FD" w14:textId="77777777" w:rsidR="00CF07FC" w:rsidRPr="003A3F4F" w:rsidRDefault="00CF07FC" w:rsidP="0002642E">
      <w:pPr>
        <w:pStyle w:val="Heading3"/>
      </w:pPr>
      <w:r w:rsidRPr="0002642E">
        <w:rPr>
          <w:lang w:val="en-GB"/>
        </w:rPr>
        <w:t>Recommendation 18</w:t>
      </w:r>
    </w:p>
    <w:p w14:paraId="495B6F46" w14:textId="59647ED4" w:rsidR="00176316" w:rsidRPr="003A3F4F" w:rsidRDefault="00176316" w:rsidP="0002642E">
      <w:pPr>
        <w:pStyle w:val="VEOHRCBodytext"/>
      </w:pPr>
      <w:r w:rsidRPr="0002642E">
        <w:rPr>
          <w:lang w:val="en-GB"/>
        </w:rPr>
        <w:t>The Victorian Government consider the exception from public authority obligations in section 38(4) of the Charter (an exception relating to the religious doctrines, beliefs and principles of a religious body), as part of its current examination of religious exceptions and equality measures in other Victorian laws, so it can apply a consistent approach</w:t>
      </w:r>
      <w:r w:rsidR="00026826" w:rsidRPr="0002642E">
        <w:rPr>
          <w:lang w:val="en-GB"/>
        </w:rPr>
        <w:t>.</w:t>
      </w:r>
    </w:p>
    <w:p w14:paraId="53C8ACD1" w14:textId="77777777" w:rsidR="00176316" w:rsidRPr="00C97AA1" w:rsidRDefault="00176316" w:rsidP="0024641B">
      <w:pPr>
        <w:pStyle w:val="Heading4"/>
        <w:rPr>
          <w:lang w:val="en-GB"/>
        </w:rPr>
      </w:pPr>
      <w:r w:rsidRPr="00C97AA1">
        <w:rPr>
          <w:lang w:val="en-GB"/>
        </w:rPr>
        <w:t>Government response</w:t>
      </w:r>
    </w:p>
    <w:p w14:paraId="4BEC3E55" w14:textId="77777777" w:rsidR="00176316" w:rsidRPr="00C97AA1" w:rsidRDefault="00176316" w:rsidP="0024641B">
      <w:pPr>
        <w:pStyle w:val="VEOHRCBodytext"/>
        <w:rPr>
          <w:szCs w:val="24"/>
          <w:lang w:val="en-GB"/>
        </w:rPr>
      </w:pPr>
      <w:r w:rsidRPr="00C97AA1">
        <w:rPr>
          <w:szCs w:val="24"/>
          <w:lang w:val="en-GB"/>
        </w:rPr>
        <w:t>Supported</w:t>
      </w:r>
    </w:p>
    <w:p w14:paraId="41201DD8" w14:textId="77777777" w:rsidR="00176316" w:rsidRPr="003A3F4F" w:rsidRDefault="00176316" w:rsidP="0002642E">
      <w:pPr>
        <w:pStyle w:val="VEOHRCBodytext"/>
      </w:pPr>
      <w:r w:rsidRPr="0002642E">
        <w:rPr>
          <w:b/>
          <w:lang w:val="en-GB"/>
        </w:rPr>
        <w:t>Progress – as reported in the 2017 Charter Report</w:t>
      </w:r>
    </w:p>
    <w:p w14:paraId="28A725B4" w14:textId="2014FC4E" w:rsidR="00176316" w:rsidRPr="003A3F4F" w:rsidRDefault="00176316" w:rsidP="0002642E">
      <w:pPr>
        <w:pStyle w:val="VEOHRCBodytext"/>
      </w:pPr>
      <w:r w:rsidRPr="0002642E">
        <w:rPr>
          <w:lang w:val="en-GB"/>
        </w:rPr>
        <w:t>This recommendation acknowledged legislative work being undertaken in relation to laws about religious exceptions and equality measures in other laws. Subsequently, the proposed amendments were defeated in the Legislative Council in 2016.</w:t>
      </w:r>
    </w:p>
    <w:p w14:paraId="2F5E3E3D" w14:textId="09E44530" w:rsidR="00176316" w:rsidRPr="003A3F4F" w:rsidRDefault="00176316" w:rsidP="0002642E">
      <w:pPr>
        <w:pStyle w:val="VEOHRCBodytext"/>
      </w:pPr>
      <w:r w:rsidRPr="0002642E">
        <w:rPr>
          <w:lang w:val="en-GB"/>
        </w:rPr>
        <w:t xml:space="preserve">In any event, any legislative amendments to the Charter are now dependent on the </w:t>
      </w:r>
      <w:r w:rsidRPr="00C97AA1">
        <w:rPr>
          <w:szCs w:val="24"/>
          <w:lang w:val="en-GB"/>
        </w:rPr>
        <w:t>government's</w:t>
      </w:r>
      <w:r w:rsidRPr="0002642E">
        <w:rPr>
          <w:lang w:val="en-GB"/>
        </w:rPr>
        <w:t xml:space="preserve"> legislative program as a whole (see Recommendation 12). </w:t>
      </w:r>
    </w:p>
    <w:p w14:paraId="4D866773" w14:textId="77777777" w:rsidR="00176316" w:rsidRPr="003A3F4F" w:rsidRDefault="00176316" w:rsidP="0002642E">
      <w:pPr>
        <w:pStyle w:val="VEOHRCBodytext"/>
      </w:pPr>
      <w:r w:rsidRPr="0002642E">
        <w:rPr>
          <w:b/>
          <w:lang w:val="en-GB"/>
        </w:rPr>
        <w:t>Progress during the 2018 calendar year</w:t>
      </w:r>
    </w:p>
    <w:p w14:paraId="611A9888" w14:textId="77777777" w:rsidR="00176316" w:rsidRPr="0002642E" w:rsidRDefault="00176316" w:rsidP="0002642E">
      <w:pPr>
        <w:pStyle w:val="VEOHRCBodytext"/>
      </w:pPr>
      <w:r w:rsidRPr="0002642E">
        <w:rPr>
          <w:lang w:val="en-GB"/>
        </w:rPr>
        <w:t>See Recommendation 12.</w:t>
      </w:r>
    </w:p>
    <w:p w14:paraId="545A7258" w14:textId="77777777" w:rsidR="00176316" w:rsidRPr="00C97AA1" w:rsidRDefault="00176316" w:rsidP="006A6EEF">
      <w:pPr>
        <w:pStyle w:val="VEOHRCBodytext"/>
        <w:rPr>
          <w:b/>
          <w:lang w:val="en-GB"/>
        </w:rPr>
      </w:pPr>
      <w:r w:rsidRPr="00C97AA1">
        <w:rPr>
          <w:b/>
          <w:lang w:val="en-GB"/>
        </w:rPr>
        <w:t>Status</w:t>
      </w:r>
    </w:p>
    <w:p w14:paraId="63A295A6" w14:textId="77777777" w:rsidR="00176316" w:rsidRPr="003A3F4F" w:rsidRDefault="00176316" w:rsidP="0002642E">
      <w:pPr>
        <w:pStyle w:val="VEOHRCBodytext"/>
      </w:pPr>
      <w:r w:rsidRPr="00C97AA1">
        <w:rPr>
          <w:szCs w:val="24"/>
          <w:shd w:val="clear" w:color="auto" w:fill="FFC000"/>
          <w:lang w:val="en-GB"/>
        </w:rPr>
        <w:t>PENDING</w:t>
      </w:r>
    </w:p>
    <w:p w14:paraId="2FEA3F92" w14:textId="77777777" w:rsidR="00CF07FC" w:rsidRPr="003A3F4F" w:rsidRDefault="00CF07FC" w:rsidP="0002642E">
      <w:pPr>
        <w:pStyle w:val="Heading3"/>
      </w:pPr>
      <w:r w:rsidRPr="0002642E">
        <w:rPr>
          <w:lang w:val="en-GB"/>
        </w:rPr>
        <w:t>Recommendation 19</w:t>
      </w:r>
    </w:p>
    <w:p w14:paraId="0260A5B5" w14:textId="05556018" w:rsidR="00176316" w:rsidRPr="003A3F4F" w:rsidRDefault="00176316" w:rsidP="0002642E">
      <w:pPr>
        <w:pStyle w:val="VEOHRCBodytext"/>
      </w:pPr>
      <w:r w:rsidRPr="0002642E">
        <w:rPr>
          <w:lang w:val="en-GB"/>
        </w:rPr>
        <w:t>The second sentence in the note to section 4(1)(j) of the Charter be removed or amended, because listing cases and adopting practices and procedures may sometimes involve acting in a judicial capacity rather than in an administrative capacity</w:t>
      </w:r>
      <w:r w:rsidR="00026826" w:rsidRPr="0002642E">
        <w:rPr>
          <w:lang w:val="en-GB"/>
        </w:rPr>
        <w:t>.</w:t>
      </w:r>
    </w:p>
    <w:p w14:paraId="50C1C787" w14:textId="77777777" w:rsidR="00176316" w:rsidRPr="00C97AA1" w:rsidRDefault="00176316" w:rsidP="0024641B">
      <w:pPr>
        <w:pStyle w:val="Heading4"/>
        <w:rPr>
          <w:lang w:val="en-GB"/>
        </w:rPr>
      </w:pPr>
      <w:r w:rsidRPr="00C97AA1">
        <w:rPr>
          <w:lang w:val="en-GB"/>
        </w:rPr>
        <w:lastRenderedPageBreak/>
        <w:t>Government response</w:t>
      </w:r>
    </w:p>
    <w:p w14:paraId="4EF67864" w14:textId="77777777" w:rsidR="00176316" w:rsidRPr="00C97AA1" w:rsidRDefault="00176316" w:rsidP="0024641B">
      <w:pPr>
        <w:pStyle w:val="VEOHRCBodytext"/>
        <w:rPr>
          <w:szCs w:val="24"/>
          <w:lang w:val="en-GB"/>
        </w:rPr>
      </w:pPr>
      <w:r w:rsidRPr="00C97AA1">
        <w:rPr>
          <w:szCs w:val="24"/>
          <w:lang w:val="en-GB"/>
        </w:rPr>
        <w:t>Supported</w:t>
      </w:r>
    </w:p>
    <w:p w14:paraId="607569F8" w14:textId="77777777" w:rsidR="00176316" w:rsidRPr="003A3F4F" w:rsidRDefault="00176316" w:rsidP="0002642E">
      <w:pPr>
        <w:pStyle w:val="VEOHRCBodytext"/>
      </w:pPr>
      <w:r w:rsidRPr="0002642E">
        <w:rPr>
          <w:b/>
          <w:lang w:val="en-GB"/>
        </w:rPr>
        <w:t>Progress – as reported in the 2017 Charter Report</w:t>
      </w:r>
    </w:p>
    <w:p w14:paraId="136F408A" w14:textId="77777777" w:rsidR="00176316" w:rsidRPr="003A3F4F" w:rsidRDefault="00176316" w:rsidP="0002642E">
      <w:pPr>
        <w:pStyle w:val="VEOHRCBodytext"/>
      </w:pPr>
      <w:r w:rsidRPr="0002642E">
        <w:rPr>
          <w:lang w:val="en-GB"/>
        </w:rPr>
        <w:t>See Recommendation 12.</w:t>
      </w:r>
    </w:p>
    <w:p w14:paraId="2E0BA1C3" w14:textId="77777777" w:rsidR="00176316" w:rsidRPr="003A3F4F" w:rsidRDefault="00176316" w:rsidP="0002642E">
      <w:pPr>
        <w:pStyle w:val="VEOHRCBodytext"/>
      </w:pPr>
      <w:r w:rsidRPr="0002642E">
        <w:rPr>
          <w:b/>
          <w:lang w:val="en-GB"/>
        </w:rPr>
        <w:t>Progress during the 2018 calendar year</w:t>
      </w:r>
    </w:p>
    <w:p w14:paraId="0F377025" w14:textId="77777777" w:rsidR="00176316" w:rsidRPr="003A3F4F" w:rsidRDefault="00176316" w:rsidP="0002642E">
      <w:pPr>
        <w:pStyle w:val="VEOHRCBodytext"/>
      </w:pPr>
      <w:r w:rsidRPr="0002642E">
        <w:rPr>
          <w:lang w:val="en-GB"/>
        </w:rPr>
        <w:t>See Recommendation 12.</w:t>
      </w:r>
    </w:p>
    <w:p w14:paraId="5CD5E40D" w14:textId="77777777" w:rsidR="00176316" w:rsidRPr="00C97AA1" w:rsidRDefault="00176316" w:rsidP="006A6EEF">
      <w:pPr>
        <w:pStyle w:val="VEOHRCBodytext"/>
        <w:rPr>
          <w:b/>
          <w:lang w:val="en-GB"/>
        </w:rPr>
      </w:pPr>
      <w:r w:rsidRPr="00C97AA1">
        <w:rPr>
          <w:b/>
          <w:lang w:val="en-GB"/>
        </w:rPr>
        <w:t>Status</w:t>
      </w:r>
    </w:p>
    <w:p w14:paraId="0DA3A83E" w14:textId="77777777" w:rsidR="00176316" w:rsidRPr="0002642E" w:rsidRDefault="00176316" w:rsidP="0002642E">
      <w:pPr>
        <w:pStyle w:val="VEOHRCBodytext"/>
      </w:pPr>
      <w:r w:rsidRPr="00C97AA1">
        <w:rPr>
          <w:szCs w:val="24"/>
          <w:shd w:val="clear" w:color="auto" w:fill="FFC000"/>
          <w:lang w:val="en-GB"/>
        </w:rPr>
        <w:t>PENDING</w:t>
      </w:r>
    </w:p>
    <w:p w14:paraId="5A7A10CA" w14:textId="37541AD0" w:rsidR="00176316" w:rsidRPr="003A3F4F" w:rsidRDefault="00176316" w:rsidP="0002642E">
      <w:pPr>
        <w:pStyle w:val="Heading2"/>
        <w:ind w:left="0" w:firstLine="0"/>
      </w:pPr>
      <w:bookmarkStart w:id="124" w:name="_Toc22011549"/>
      <w:r w:rsidRPr="0002642E">
        <w:rPr>
          <w:lang w:val="en-GB"/>
        </w:rPr>
        <w:t xml:space="preserve">Chapter 3 – </w:t>
      </w:r>
      <w:r w:rsidR="009D4E64" w:rsidRPr="0002642E">
        <w:rPr>
          <w:lang w:val="en-GB"/>
        </w:rPr>
        <w:t>G</w:t>
      </w:r>
      <w:r w:rsidRPr="0002642E">
        <w:rPr>
          <w:lang w:val="en-GB"/>
        </w:rPr>
        <w:t>ood practice and dispute resolution – the role of statutory authorities</w:t>
      </w:r>
      <w:bookmarkEnd w:id="124"/>
    </w:p>
    <w:p w14:paraId="17E2ED0D" w14:textId="7FCDBC9C" w:rsidR="00176316" w:rsidRPr="003A3F4F" w:rsidRDefault="00CF07FC" w:rsidP="0002642E">
      <w:pPr>
        <w:pStyle w:val="Heading3"/>
      </w:pPr>
      <w:r w:rsidRPr="0002642E">
        <w:rPr>
          <w:lang w:val="en-GB"/>
        </w:rPr>
        <w:t>Recommendation 20</w:t>
      </w:r>
    </w:p>
    <w:p w14:paraId="77ACD320" w14:textId="6F0A337F" w:rsidR="00176316" w:rsidRPr="003A3F4F" w:rsidRDefault="00176316" w:rsidP="0002642E">
      <w:pPr>
        <w:pStyle w:val="VEOHRCBodytext"/>
      </w:pPr>
      <w:r w:rsidRPr="0002642E">
        <w:rPr>
          <w:lang w:val="en-GB"/>
        </w:rPr>
        <w:t xml:space="preserve">The Victorian Equal Opportunity and Human Rights Commission be given the power to request information to assist with its statutory functions under the Charter and public authorities be given a duty to assist, as exists under the </w:t>
      </w:r>
      <w:r w:rsidRPr="0002642E">
        <w:t>Privacy and Data Protection Act 2014</w:t>
      </w:r>
      <w:r w:rsidRPr="0002642E">
        <w:rPr>
          <w:lang w:val="en-GB"/>
        </w:rPr>
        <w:t xml:space="preserve"> (Vic)</w:t>
      </w:r>
      <w:r w:rsidR="00026826" w:rsidRPr="0002642E">
        <w:rPr>
          <w:lang w:val="en-GB"/>
        </w:rPr>
        <w:t>.</w:t>
      </w:r>
    </w:p>
    <w:p w14:paraId="3C2C76CD" w14:textId="77777777" w:rsidR="00176316" w:rsidRPr="00C97AA1" w:rsidRDefault="00176316" w:rsidP="0024641B">
      <w:pPr>
        <w:pStyle w:val="Heading4"/>
        <w:rPr>
          <w:lang w:val="en-GB"/>
        </w:rPr>
      </w:pPr>
      <w:r w:rsidRPr="00C97AA1">
        <w:rPr>
          <w:lang w:val="en-GB"/>
        </w:rPr>
        <w:t>Government response</w:t>
      </w:r>
    </w:p>
    <w:p w14:paraId="0A412589" w14:textId="77777777" w:rsidR="00176316" w:rsidRPr="00C97AA1" w:rsidRDefault="00176316" w:rsidP="0024641B">
      <w:pPr>
        <w:pStyle w:val="VEOHRCBodytext"/>
        <w:rPr>
          <w:szCs w:val="24"/>
          <w:lang w:val="en-GB"/>
        </w:rPr>
      </w:pPr>
      <w:r w:rsidRPr="00C97AA1">
        <w:rPr>
          <w:szCs w:val="24"/>
          <w:lang w:val="en-GB"/>
        </w:rPr>
        <w:t>Supported in principle.</w:t>
      </w:r>
    </w:p>
    <w:p w14:paraId="1419CD51" w14:textId="77777777" w:rsidR="00176316" w:rsidRPr="003A3F4F" w:rsidRDefault="00176316" w:rsidP="0002642E">
      <w:pPr>
        <w:pStyle w:val="VEOHRCBodytext"/>
      </w:pPr>
      <w:r w:rsidRPr="0002642E">
        <w:rPr>
          <w:b/>
          <w:lang w:val="en-GB"/>
        </w:rPr>
        <w:t>Progress – as reported in the 2017 Charter Report</w:t>
      </w:r>
    </w:p>
    <w:p w14:paraId="3CE65586" w14:textId="77777777" w:rsidR="00176316" w:rsidRPr="003A3F4F" w:rsidRDefault="00176316" w:rsidP="0002642E">
      <w:pPr>
        <w:pStyle w:val="VEOHRCBodytext"/>
      </w:pPr>
      <w:r w:rsidRPr="0002642E">
        <w:rPr>
          <w:lang w:val="en-GB"/>
        </w:rPr>
        <w:t>See Recommendation 12.</w:t>
      </w:r>
    </w:p>
    <w:p w14:paraId="6B6BB8E3" w14:textId="77777777" w:rsidR="00176316" w:rsidRPr="003A3F4F" w:rsidRDefault="00176316" w:rsidP="0002642E">
      <w:pPr>
        <w:pStyle w:val="VEOHRCBodytext"/>
      </w:pPr>
      <w:r w:rsidRPr="0002642E">
        <w:rPr>
          <w:b/>
          <w:lang w:val="en-GB"/>
        </w:rPr>
        <w:t>Progress during the 2018 calendar year</w:t>
      </w:r>
    </w:p>
    <w:p w14:paraId="1BD9C252" w14:textId="77777777" w:rsidR="00176316" w:rsidRPr="0002642E" w:rsidRDefault="00176316" w:rsidP="0002642E">
      <w:pPr>
        <w:pStyle w:val="VEOHRCBodytext"/>
      </w:pPr>
      <w:r w:rsidRPr="0002642E">
        <w:rPr>
          <w:lang w:val="en-GB"/>
        </w:rPr>
        <w:t>See Recommendation 12.</w:t>
      </w:r>
    </w:p>
    <w:p w14:paraId="0C0093F7" w14:textId="77777777" w:rsidR="00176316" w:rsidRPr="00C97AA1" w:rsidRDefault="00176316" w:rsidP="006A6EEF">
      <w:pPr>
        <w:pStyle w:val="VEOHRCBodytext"/>
        <w:rPr>
          <w:b/>
          <w:lang w:val="en-GB"/>
        </w:rPr>
      </w:pPr>
      <w:r w:rsidRPr="00C97AA1">
        <w:rPr>
          <w:b/>
          <w:lang w:val="en-GB"/>
        </w:rPr>
        <w:t>Status</w:t>
      </w:r>
    </w:p>
    <w:p w14:paraId="6553D163" w14:textId="12C9B0A0" w:rsidR="00176316" w:rsidRPr="0002642E" w:rsidRDefault="00176316" w:rsidP="0002642E">
      <w:pPr>
        <w:pStyle w:val="VEOHRCBodytext"/>
        <w:rPr>
          <w:shd w:val="clear" w:color="auto" w:fill="FFC000"/>
        </w:rPr>
      </w:pPr>
      <w:r w:rsidRPr="00C97AA1">
        <w:rPr>
          <w:szCs w:val="24"/>
          <w:shd w:val="clear" w:color="auto" w:fill="FFC000"/>
          <w:lang w:val="en-GB"/>
        </w:rPr>
        <w:t>PENDING</w:t>
      </w:r>
    </w:p>
    <w:p w14:paraId="5E8998A7" w14:textId="67DF6912" w:rsidR="00CF07FC" w:rsidRPr="003A3F4F" w:rsidRDefault="00CF07FC" w:rsidP="0002642E">
      <w:pPr>
        <w:pStyle w:val="Heading3"/>
      </w:pPr>
      <w:r w:rsidRPr="0002642E">
        <w:rPr>
          <w:lang w:val="en-GB"/>
        </w:rPr>
        <w:t>Recommendation 21</w:t>
      </w:r>
    </w:p>
    <w:p w14:paraId="71D43F89" w14:textId="75667988" w:rsidR="00176316" w:rsidRPr="003A3F4F" w:rsidRDefault="00176316" w:rsidP="0002642E">
      <w:pPr>
        <w:pStyle w:val="VEOHRCBodytext"/>
      </w:pPr>
      <w:r w:rsidRPr="0002642E">
        <w:rPr>
          <w:lang w:val="en-GB"/>
        </w:rPr>
        <w:t>The Victorian Equal Opportunity and Human Rights Commission be given the discretion to charge for the reasonable costs of voluntary compliance reviews, and education and training services</w:t>
      </w:r>
      <w:r w:rsidR="00026826" w:rsidRPr="0002642E">
        <w:rPr>
          <w:lang w:val="en-GB"/>
        </w:rPr>
        <w:t>.</w:t>
      </w:r>
    </w:p>
    <w:p w14:paraId="7696681F" w14:textId="77777777" w:rsidR="00176316" w:rsidRPr="00C97AA1" w:rsidRDefault="00176316" w:rsidP="006A6EEF">
      <w:pPr>
        <w:pStyle w:val="Heading4"/>
        <w:rPr>
          <w:lang w:val="en-GB"/>
        </w:rPr>
      </w:pPr>
      <w:r w:rsidRPr="00C97AA1">
        <w:rPr>
          <w:lang w:val="en-GB"/>
        </w:rPr>
        <w:t>Government response</w:t>
      </w:r>
    </w:p>
    <w:p w14:paraId="4D3E877A" w14:textId="77777777" w:rsidR="00176316" w:rsidRPr="00C97AA1" w:rsidRDefault="00176316" w:rsidP="006A6EEF">
      <w:pPr>
        <w:pStyle w:val="VEOHRCBodytext"/>
        <w:rPr>
          <w:szCs w:val="24"/>
          <w:lang w:val="en-GB"/>
        </w:rPr>
      </w:pPr>
      <w:r w:rsidRPr="00C97AA1">
        <w:rPr>
          <w:szCs w:val="24"/>
          <w:lang w:val="en-GB"/>
        </w:rPr>
        <w:t>Supported</w:t>
      </w:r>
    </w:p>
    <w:p w14:paraId="72E03C85" w14:textId="77777777" w:rsidR="00176316" w:rsidRPr="003A3F4F" w:rsidRDefault="00176316" w:rsidP="0002642E">
      <w:pPr>
        <w:pStyle w:val="VEOHRCBodytext"/>
      </w:pPr>
      <w:r w:rsidRPr="0002642E">
        <w:rPr>
          <w:b/>
          <w:lang w:val="en-GB"/>
        </w:rPr>
        <w:t>Progress – as reported in the 2017 Charter Report</w:t>
      </w:r>
    </w:p>
    <w:p w14:paraId="1F7EAC0F" w14:textId="77777777" w:rsidR="00176316" w:rsidRPr="003A3F4F" w:rsidRDefault="00176316" w:rsidP="0002642E">
      <w:pPr>
        <w:pStyle w:val="VEOHRCBodytext"/>
      </w:pPr>
      <w:r w:rsidRPr="0002642E">
        <w:rPr>
          <w:lang w:val="en-GB"/>
        </w:rPr>
        <w:t>See Recommendation 12.</w:t>
      </w:r>
    </w:p>
    <w:p w14:paraId="599B8B19" w14:textId="77777777" w:rsidR="00176316" w:rsidRPr="003A3F4F" w:rsidRDefault="00176316" w:rsidP="0002642E">
      <w:pPr>
        <w:pStyle w:val="VEOHRCBodytext"/>
      </w:pPr>
      <w:r w:rsidRPr="0002642E">
        <w:rPr>
          <w:b/>
          <w:lang w:val="en-GB"/>
        </w:rPr>
        <w:t>Progress during the 2018 calendar year</w:t>
      </w:r>
    </w:p>
    <w:p w14:paraId="3F341B25" w14:textId="77777777" w:rsidR="00176316" w:rsidRPr="0002642E" w:rsidRDefault="00176316" w:rsidP="0002642E">
      <w:pPr>
        <w:pStyle w:val="VEOHRCBodytext"/>
      </w:pPr>
      <w:r w:rsidRPr="0002642E">
        <w:rPr>
          <w:lang w:val="en-GB"/>
        </w:rPr>
        <w:t>See Recommendation 12.</w:t>
      </w:r>
    </w:p>
    <w:p w14:paraId="4D0224D8" w14:textId="77777777" w:rsidR="00176316" w:rsidRPr="00C97AA1" w:rsidRDefault="00176316" w:rsidP="006A6EEF">
      <w:pPr>
        <w:pStyle w:val="VEOHRCBodytext"/>
        <w:rPr>
          <w:szCs w:val="24"/>
          <w:shd w:val="clear" w:color="auto" w:fill="FFC000"/>
          <w:lang w:val="en-GB"/>
        </w:rPr>
      </w:pPr>
      <w:r w:rsidRPr="00C97AA1">
        <w:rPr>
          <w:b/>
          <w:lang w:val="en-GB"/>
        </w:rPr>
        <w:t>Status</w:t>
      </w:r>
    </w:p>
    <w:p w14:paraId="664C5A78" w14:textId="77777777" w:rsidR="00176316" w:rsidRPr="00C97AA1" w:rsidRDefault="00176316" w:rsidP="006A6EEF">
      <w:pPr>
        <w:pStyle w:val="VEOHRCBodytext"/>
        <w:rPr>
          <w:szCs w:val="24"/>
          <w:lang w:val="en-GB"/>
        </w:rPr>
      </w:pPr>
      <w:r w:rsidRPr="00C97AA1">
        <w:rPr>
          <w:szCs w:val="24"/>
          <w:shd w:val="clear" w:color="auto" w:fill="FFC000"/>
          <w:lang w:val="en-GB"/>
        </w:rPr>
        <w:t>PENDING</w:t>
      </w:r>
    </w:p>
    <w:p w14:paraId="14FBE1F7" w14:textId="397FEBB8" w:rsidR="00CF07FC" w:rsidRPr="003A3F4F" w:rsidRDefault="00CF07FC" w:rsidP="0002642E">
      <w:pPr>
        <w:pStyle w:val="Heading3"/>
      </w:pPr>
      <w:r w:rsidRPr="0002642E">
        <w:rPr>
          <w:lang w:val="en-GB"/>
        </w:rPr>
        <w:t>Recommendation 22</w:t>
      </w:r>
    </w:p>
    <w:p w14:paraId="5FFFF73C" w14:textId="775153E8" w:rsidR="00176316" w:rsidRPr="003A3F4F" w:rsidRDefault="00176316" w:rsidP="0002642E">
      <w:pPr>
        <w:pStyle w:val="VEOHRCBodytext"/>
      </w:pPr>
      <w:r w:rsidRPr="0002642E">
        <w:rPr>
          <w:lang w:val="en-GB"/>
        </w:rPr>
        <w:t xml:space="preserve">The Victorian Ombudsman, the Independent broad-based anti-corruption commission, and other relevant oversight bodies be given the power to request the </w:t>
      </w:r>
      <w:r w:rsidRPr="0002642E">
        <w:rPr>
          <w:lang w:val="en-GB"/>
        </w:rPr>
        <w:lastRenderedPageBreak/>
        <w:t>Victorian Equal Opportunity and Human Rights Commission to help them when they exercise their statutory powers in relation to human rights issues</w:t>
      </w:r>
      <w:r w:rsidR="00026826" w:rsidRPr="0002642E">
        <w:rPr>
          <w:lang w:val="en-GB"/>
        </w:rPr>
        <w:t>.</w:t>
      </w:r>
    </w:p>
    <w:p w14:paraId="79BCA776" w14:textId="77777777" w:rsidR="00176316" w:rsidRPr="00C97AA1" w:rsidRDefault="00176316" w:rsidP="006A6EEF">
      <w:pPr>
        <w:pStyle w:val="Heading4"/>
        <w:rPr>
          <w:lang w:val="en-GB"/>
        </w:rPr>
      </w:pPr>
      <w:r w:rsidRPr="00C97AA1">
        <w:rPr>
          <w:lang w:val="en-GB"/>
        </w:rPr>
        <w:t>Government response</w:t>
      </w:r>
    </w:p>
    <w:p w14:paraId="7A3A0375" w14:textId="77777777" w:rsidR="00176316" w:rsidRPr="00C97AA1" w:rsidRDefault="00176316" w:rsidP="006A6EEF">
      <w:pPr>
        <w:pStyle w:val="VEOHRCBodytext"/>
        <w:rPr>
          <w:szCs w:val="24"/>
          <w:lang w:val="en-GB"/>
        </w:rPr>
      </w:pPr>
      <w:r w:rsidRPr="00C97AA1">
        <w:rPr>
          <w:szCs w:val="24"/>
          <w:lang w:val="en-GB"/>
        </w:rPr>
        <w:t>Supported</w:t>
      </w:r>
    </w:p>
    <w:p w14:paraId="1EA38928" w14:textId="77777777" w:rsidR="00176316" w:rsidRPr="003A3F4F" w:rsidRDefault="00176316" w:rsidP="0002642E">
      <w:pPr>
        <w:pStyle w:val="VEOHRCBodytext"/>
      </w:pPr>
      <w:r w:rsidRPr="0002642E">
        <w:rPr>
          <w:b/>
          <w:lang w:val="en-GB"/>
        </w:rPr>
        <w:t>Progress – as reported in the 2017 Charter Report</w:t>
      </w:r>
    </w:p>
    <w:p w14:paraId="02D17B82" w14:textId="77777777" w:rsidR="00176316" w:rsidRPr="003A3F4F" w:rsidRDefault="00176316" w:rsidP="0002642E">
      <w:pPr>
        <w:pStyle w:val="VEOHRCBodytext"/>
      </w:pPr>
      <w:r w:rsidRPr="0002642E">
        <w:rPr>
          <w:lang w:val="en-GB"/>
        </w:rPr>
        <w:t>See Recommendation 12.</w:t>
      </w:r>
    </w:p>
    <w:p w14:paraId="397BD1A4" w14:textId="77777777" w:rsidR="00176316" w:rsidRPr="003A3F4F" w:rsidRDefault="00176316" w:rsidP="0002642E">
      <w:pPr>
        <w:pStyle w:val="VEOHRCBodytext"/>
      </w:pPr>
      <w:r w:rsidRPr="0002642E">
        <w:rPr>
          <w:b/>
          <w:lang w:val="en-GB"/>
        </w:rPr>
        <w:t>Progress during the 2018 calendar year</w:t>
      </w:r>
    </w:p>
    <w:p w14:paraId="5E2648E2" w14:textId="77777777" w:rsidR="00176316" w:rsidRPr="0002642E" w:rsidRDefault="00176316" w:rsidP="0002642E">
      <w:pPr>
        <w:pStyle w:val="VEOHRCBodytext"/>
      </w:pPr>
      <w:r w:rsidRPr="0002642E">
        <w:rPr>
          <w:lang w:val="en-GB"/>
        </w:rPr>
        <w:t>See Recommendation 12.</w:t>
      </w:r>
    </w:p>
    <w:p w14:paraId="7DC701CE" w14:textId="77777777" w:rsidR="00176316" w:rsidRPr="00C97AA1" w:rsidRDefault="00176316" w:rsidP="006A6EEF">
      <w:pPr>
        <w:pStyle w:val="VEOHRCBodytext"/>
        <w:rPr>
          <w:szCs w:val="24"/>
          <w:shd w:val="clear" w:color="auto" w:fill="FFC000"/>
          <w:lang w:val="en-GB"/>
        </w:rPr>
      </w:pPr>
      <w:r w:rsidRPr="00C97AA1">
        <w:rPr>
          <w:b/>
          <w:lang w:val="en-GB"/>
        </w:rPr>
        <w:t>Status</w:t>
      </w:r>
    </w:p>
    <w:p w14:paraId="569D37C4" w14:textId="77777777" w:rsidR="00176316" w:rsidRPr="00C97AA1" w:rsidRDefault="00176316" w:rsidP="006A6EEF">
      <w:pPr>
        <w:pStyle w:val="VEOHRCBodytext"/>
        <w:rPr>
          <w:szCs w:val="24"/>
          <w:lang w:val="en-GB"/>
        </w:rPr>
      </w:pPr>
      <w:r w:rsidRPr="00C97AA1">
        <w:rPr>
          <w:szCs w:val="24"/>
          <w:shd w:val="clear" w:color="auto" w:fill="FFC000"/>
          <w:lang w:val="en-GB"/>
        </w:rPr>
        <w:t>PENDING</w:t>
      </w:r>
    </w:p>
    <w:p w14:paraId="1B2774B4" w14:textId="77777777" w:rsidR="00CF07FC" w:rsidRPr="003A3F4F" w:rsidRDefault="00CF07FC" w:rsidP="0002642E">
      <w:pPr>
        <w:pStyle w:val="Heading3"/>
      </w:pPr>
      <w:r w:rsidRPr="0002642E">
        <w:rPr>
          <w:lang w:val="en-GB"/>
        </w:rPr>
        <w:t>Recommendation 23</w:t>
      </w:r>
    </w:p>
    <w:p w14:paraId="5C6A3EB3" w14:textId="060CF514" w:rsidR="00176316" w:rsidRPr="003A3F4F" w:rsidRDefault="00176316" w:rsidP="0002642E">
      <w:pPr>
        <w:pStyle w:val="VEOHRCBodytext"/>
      </w:pPr>
      <w:r w:rsidRPr="0002642E">
        <w:rPr>
          <w:lang w:val="en-GB"/>
        </w:rPr>
        <w:t>The Victorian Equal Opportunity and Human Rights Commission be given the statutory function and resources to offer dispute resolution for disputes under the Charter</w:t>
      </w:r>
      <w:r w:rsidR="00026826" w:rsidRPr="0002642E">
        <w:rPr>
          <w:lang w:val="en-GB"/>
        </w:rPr>
        <w:t>.</w:t>
      </w:r>
    </w:p>
    <w:p w14:paraId="72F43004" w14:textId="77777777" w:rsidR="00176316" w:rsidRPr="00C97AA1" w:rsidRDefault="00176316" w:rsidP="006A6EEF">
      <w:pPr>
        <w:pStyle w:val="Heading4"/>
        <w:rPr>
          <w:lang w:val="en-GB"/>
        </w:rPr>
      </w:pPr>
      <w:r w:rsidRPr="00C97AA1">
        <w:rPr>
          <w:lang w:val="en-GB"/>
        </w:rPr>
        <w:t>Government response</w:t>
      </w:r>
    </w:p>
    <w:p w14:paraId="4C4CAB55" w14:textId="77777777" w:rsidR="00176316" w:rsidRPr="00C97AA1" w:rsidRDefault="00176316" w:rsidP="006A6EEF">
      <w:pPr>
        <w:pStyle w:val="VEOHRCBodytext"/>
        <w:rPr>
          <w:szCs w:val="24"/>
          <w:lang w:val="en-GB"/>
        </w:rPr>
      </w:pPr>
      <w:r w:rsidRPr="00C97AA1">
        <w:rPr>
          <w:szCs w:val="24"/>
          <w:lang w:val="en-GB"/>
        </w:rPr>
        <w:t>Under further consideration</w:t>
      </w:r>
    </w:p>
    <w:p w14:paraId="3455C23B" w14:textId="77777777" w:rsidR="00176316" w:rsidRPr="003A3F4F" w:rsidRDefault="00176316" w:rsidP="0002642E">
      <w:pPr>
        <w:pStyle w:val="VEOHRCBodytext"/>
      </w:pPr>
      <w:r w:rsidRPr="0002642E">
        <w:rPr>
          <w:b/>
          <w:lang w:val="en-GB"/>
        </w:rPr>
        <w:t>Progress – as reported in the 2017 Charter Report</w:t>
      </w:r>
    </w:p>
    <w:p w14:paraId="59092FEB" w14:textId="3A22B53E" w:rsidR="00176316" w:rsidRPr="003A3F4F" w:rsidRDefault="00176316" w:rsidP="0002642E">
      <w:pPr>
        <w:pStyle w:val="VEOHRCBodytext"/>
      </w:pPr>
      <w:r w:rsidRPr="0002642E">
        <w:rPr>
          <w:lang w:val="en-GB"/>
        </w:rPr>
        <w:t>This recommendation remains under consideration by the Victorian Government.</w:t>
      </w:r>
    </w:p>
    <w:p w14:paraId="50802615" w14:textId="77777777" w:rsidR="00176316" w:rsidRPr="003A3F4F" w:rsidRDefault="00176316" w:rsidP="0002642E">
      <w:pPr>
        <w:pStyle w:val="VEOHRCBodytext"/>
      </w:pPr>
      <w:r w:rsidRPr="0002642E">
        <w:rPr>
          <w:b/>
          <w:lang w:val="en-GB"/>
        </w:rPr>
        <w:t>Progress during the 2018 calendar year</w:t>
      </w:r>
    </w:p>
    <w:p w14:paraId="5F41DA0E" w14:textId="608FCF1B" w:rsidR="00176316" w:rsidRPr="0002642E" w:rsidRDefault="00176316" w:rsidP="0002642E">
      <w:pPr>
        <w:pStyle w:val="VEOHRCBodytext"/>
      </w:pPr>
      <w:r w:rsidRPr="0002642E">
        <w:rPr>
          <w:lang w:val="en-GB"/>
        </w:rPr>
        <w:t>This recommendation remains under consideration by the Victorian Government.</w:t>
      </w:r>
    </w:p>
    <w:p w14:paraId="7C573089" w14:textId="77777777" w:rsidR="00176316" w:rsidRPr="00C97AA1" w:rsidRDefault="00176316" w:rsidP="006A6EEF">
      <w:pPr>
        <w:pStyle w:val="VEOHRCBodytext"/>
        <w:rPr>
          <w:szCs w:val="24"/>
          <w:shd w:val="clear" w:color="auto" w:fill="7030A0"/>
          <w:lang w:val="en-GB"/>
        </w:rPr>
      </w:pPr>
      <w:r w:rsidRPr="00C97AA1">
        <w:rPr>
          <w:b/>
          <w:lang w:val="en-GB"/>
        </w:rPr>
        <w:t>Status</w:t>
      </w:r>
    </w:p>
    <w:p w14:paraId="37EDF5BA" w14:textId="77777777" w:rsidR="00176316" w:rsidRPr="00C97AA1" w:rsidRDefault="00176316" w:rsidP="006A6EEF">
      <w:pPr>
        <w:pStyle w:val="VEOHRCBodytext"/>
        <w:rPr>
          <w:szCs w:val="24"/>
          <w:lang w:val="en-GB"/>
        </w:rPr>
      </w:pPr>
      <w:r w:rsidRPr="00C97AA1">
        <w:rPr>
          <w:szCs w:val="24"/>
          <w:shd w:val="clear" w:color="auto" w:fill="7030A0"/>
          <w:lang w:val="en-GB"/>
        </w:rPr>
        <w:t>UNDER CONSIDERATION</w:t>
      </w:r>
    </w:p>
    <w:p w14:paraId="448CAAEC" w14:textId="77777777" w:rsidR="00CF07FC" w:rsidRPr="003A3F4F" w:rsidRDefault="00CF07FC" w:rsidP="0002642E">
      <w:pPr>
        <w:pStyle w:val="Heading3"/>
      </w:pPr>
      <w:r w:rsidRPr="0002642E">
        <w:rPr>
          <w:lang w:val="en-GB"/>
        </w:rPr>
        <w:t>Recommendation 24</w:t>
      </w:r>
    </w:p>
    <w:p w14:paraId="63488B87" w14:textId="080938DF" w:rsidR="00176316" w:rsidRPr="003A3F4F" w:rsidRDefault="00176316" w:rsidP="0002642E">
      <w:pPr>
        <w:pStyle w:val="VEOHRCBodytext"/>
      </w:pPr>
      <w:r w:rsidRPr="0002642E">
        <w:rPr>
          <w:lang w:val="en-GB"/>
        </w:rPr>
        <w:t xml:space="preserve">The </w:t>
      </w:r>
      <w:r w:rsidRPr="0002642E">
        <w:t>Ombudsman Act 1973</w:t>
      </w:r>
      <w:r w:rsidRPr="0002642E">
        <w:rPr>
          <w:lang w:val="en-GB"/>
        </w:rPr>
        <w:t xml:space="preserve"> (Vic) make clear that the Ombudsman can consider human rights issues relating to the administrative actions of all public authorities under the Charter, except police and protective services officers. The Charter should note this jurisdiction</w:t>
      </w:r>
      <w:r w:rsidR="00026826" w:rsidRPr="0002642E">
        <w:rPr>
          <w:lang w:val="en-GB"/>
        </w:rPr>
        <w:t>.</w:t>
      </w:r>
    </w:p>
    <w:p w14:paraId="711D9F45" w14:textId="77777777" w:rsidR="00176316" w:rsidRPr="00C97AA1" w:rsidRDefault="00176316" w:rsidP="006A6EEF">
      <w:pPr>
        <w:pStyle w:val="Heading4"/>
        <w:rPr>
          <w:lang w:val="en-GB"/>
        </w:rPr>
      </w:pPr>
      <w:r w:rsidRPr="00C97AA1">
        <w:rPr>
          <w:lang w:val="en-GB"/>
        </w:rPr>
        <w:t>Government response</w:t>
      </w:r>
    </w:p>
    <w:p w14:paraId="35A862DA" w14:textId="77777777" w:rsidR="00176316" w:rsidRPr="00C97AA1" w:rsidRDefault="00176316" w:rsidP="006A6EEF">
      <w:pPr>
        <w:pStyle w:val="VEOHRCBodytext"/>
        <w:rPr>
          <w:szCs w:val="24"/>
          <w:lang w:val="en-GB"/>
        </w:rPr>
      </w:pPr>
      <w:r w:rsidRPr="00C97AA1">
        <w:rPr>
          <w:szCs w:val="24"/>
          <w:lang w:val="en-GB"/>
        </w:rPr>
        <w:t>Under further consideration</w:t>
      </w:r>
    </w:p>
    <w:p w14:paraId="17E50D94" w14:textId="77777777" w:rsidR="00176316" w:rsidRPr="003A3F4F" w:rsidRDefault="00176316" w:rsidP="0002642E">
      <w:pPr>
        <w:pStyle w:val="VEOHRCBodytext"/>
      </w:pPr>
      <w:r w:rsidRPr="0002642E">
        <w:rPr>
          <w:b/>
          <w:lang w:val="en-GB"/>
        </w:rPr>
        <w:t>Progress – as reported in the 2017 Charter Report</w:t>
      </w:r>
    </w:p>
    <w:p w14:paraId="4946AC13" w14:textId="64D7725D" w:rsidR="00176316" w:rsidRPr="003A3F4F" w:rsidRDefault="00176316" w:rsidP="0002642E">
      <w:pPr>
        <w:pStyle w:val="VEOHRCBodytext"/>
      </w:pPr>
      <w:r w:rsidRPr="0002642E">
        <w:rPr>
          <w:lang w:val="en-GB"/>
        </w:rPr>
        <w:t>This recommendation remains under consideration by the Victorian Government.</w:t>
      </w:r>
    </w:p>
    <w:p w14:paraId="37442F6B" w14:textId="77777777" w:rsidR="00176316" w:rsidRPr="003A3F4F" w:rsidRDefault="00176316" w:rsidP="0002642E">
      <w:pPr>
        <w:pStyle w:val="VEOHRCBodytext"/>
      </w:pPr>
      <w:r w:rsidRPr="0002642E">
        <w:rPr>
          <w:b/>
          <w:lang w:val="en-GB"/>
        </w:rPr>
        <w:t>Progress during the 2018 calendar year</w:t>
      </w:r>
    </w:p>
    <w:p w14:paraId="4DDBDF88" w14:textId="384B5232" w:rsidR="00176316" w:rsidRPr="0002642E" w:rsidRDefault="00176316" w:rsidP="0002642E">
      <w:pPr>
        <w:pStyle w:val="VEOHRCBodytext"/>
      </w:pPr>
      <w:r w:rsidRPr="0002642E">
        <w:rPr>
          <w:lang w:val="en-GB"/>
        </w:rPr>
        <w:t>This recommendation remains under consideration by the Victorian Government.</w:t>
      </w:r>
    </w:p>
    <w:p w14:paraId="071B3F13" w14:textId="77777777" w:rsidR="00176316" w:rsidRPr="00C97AA1" w:rsidRDefault="00176316" w:rsidP="006A6EEF">
      <w:pPr>
        <w:pStyle w:val="VEOHRCBodytext"/>
        <w:rPr>
          <w:szCs w:val="24"/>
          <w:shd w:val="clear" w:color="auto" w:fill="7030A0"/>
          <w:lang w:val="en-GB"/>
        </w:rPr>
      </w:pPr>
      <w:r w:rsidRPr="00C97AA1">
        <w:rPr>
          <w:b/>
          <w:lang w:val="en-GB"/>
        </w:rPr>
        <w:t>Status</w:t>
      </w:r>
    </w:p>
    <w:p w14:paraId="3B4F6723" w14:textId="77777777" w:rsidR="00176316" w:rsidRPr="00C97AA1" w:rsidRDefault="00176316" w:rsidP="006A6EEF">
      <w:pPr>
        <w:pStyle w:val="VEOHRCBodytext"/>
        <w:rPr>
          <w:szCs w:val="24"/>
          <w:lang w:val="en-GB"/>
        </w:rPr>
      </w:pPr>
      <w:r w:rsidRPr="00C97AA1">
        <w:rPr>
          <w:szCs w:val="24"/>
          <w:shd w:val="clear" w:color="auto" w:fill="7030A0"/>
          <w:lang w:val="en-GB"/>
        </w:rPr>
        <w:t>UNDER CONSIDERATION</w:t>
      </w:r>
    </w:p>
    <w:p w14:paraId="3061DABB" w14:textId="68FB0096" w:rsidR="00CF07FC" w:rsidRPr="003A3F4F" w:rsidRDefault="00CF07FC" w:rsidP="0002642E">
      <w:pPr>
        <w:pStyle w:val="Heading3"/>
      </w:pPr>
      <w:r w:rsidRPr="0002642E">
        <w:rPr>
          <w:lang w:val="en-GB"/>
        </w:rPr>
        <w:t>Recommendation 25</w:t>
      </w:r>
    </w:p>
    <w:p w14:paraId="288B1D10" w14:textId="405231C3" w:rsidR="00176316" w:rsidRPr="003A3F4F" w:rsidRDefault="00176316" w:rsidP="0002642E">
      <w:pPr>
        <w:pStyle w:val="VEOHRCBodytext"/>
      </w:pPr>
      <w:r w:rsidRPr="0002642E">
        <w:rPr>
          <w:lang w:val="en-GB"/>
        </w:rPr>
        <w:t xml:space="preserve">All relevant public sector oversight bodies should have the ability to consider human rights issues that arise within their jurisdiction, for example, the Mental Health Complaints Commissioner should continue to be able to consider human rights issues that relate to public mental health service providers. Mechanisms should be </w:t>
      </w:r>
      <w:r w:rsidRPr="0002642E">
        <w:rPr>
          <w:lang w:val="en-GB"/>
        </w:rPr>
        <w:lastRenderedPageBreak/>
        <w:t>established to enable referral and appropriate information sharing between complaint-handling and oversight bodies. The Charter should note these roles</w:t>
      </w:r>
      <w:r w:rsidR="00026826" w:rsidRPr="0002642E">
        <w:rPr>
          <w:lang w:val="en-GB"/>
        </w:rPr>
        <w:t>.</w:t>
      </w:r>
    </w:p>
    <w:p w14:paraId="7BE6BA43" w14:textId="77777777" w:rsidR="00176316" w:rsidRPr="00C97AA1" w:rsidRDefault="00176316" w:rsidP="006A6EEF">
      <w:pPr>
        <w:pStyle w:val="Heading4"/>
        <w:rPr>
          <w:lang w:val="en-GB"/>
        </w:rPr>
      </w:pPr>
      <w:r w:rsidRPr="00C97AA1">
        <w:rPr>
          <w:lang w:val="en-GB"/>
        </w:rPr>
        <w:t>Government response</w:t>
      </w:r>
    </w:p>
    <w:p w14:paraId="42F4F823" w14:textId="77777777" w:rsidR="00176316" w:rsidRPr="00C97AA1" w:rsidRDefault="00176316" w:rsidP="006A6EEF">
      <w:pPr>
        <w:rPr>
          <w:rFonts w:cs="Arial"/>
          <w:szCs w:val="24"/>
        </w:rPr>
      </w:pPr>
      <w:r w:rsidRPr="00C97AA1">
        <w:rPr>
          <w:rFonts w:cs="Arial"/>
          <w:szCs w:val="24"/>
        </w:rPr>
        <w:t>Under further consideration</w:t>
      </w:r>
    </w:p>
    <w:p w14:paraId="16C49CFA" w14:textId="77777777" w:rsidR="00176316" w:rsidRPr="003A3F4F" w:rsidRDefault="00176316" w:rsidP="0002642E">
      <w:pPr>
        <w:pStyle w:val="VEOHRCBodytext"/>
      </w:pPr>
      <w:r w:rsidRPr="0002642E">
        <w:rPr>
          <w:b/>
          <w:lang w:val="en-GB"/>
        </w:rPr>
        <w:t>Progress – as reported in the 2017 Charter Report</w:t>
      </w:r>
    </w:p>
    <w:p w14:paraId="0FC6CDFB" w14:textId="2C4BCC0D" w:rsidR="00176316" w:rsidRPr="003A3F4F" w:rsidRDefault="00176316" w:rsidP="0002642E">
      <w:pPr>
        <w:pStyle w:val="VEOHRCBodytext"/>
      </w:pPr>
      <w:r w:rsidRPr="0002642E">
        <w:rPr>
          <w:lang w:val="en-GB"/>
        </w:rPr>
        <w:t>This recommendation remains under consideration by the Victorian Government.</w:t>
      </w:r>
    </w:p>
    <w:p w14:paraId="58D8E1A3" w14:textId="77777777" w:rsidR="00176316" w:rsidRPr="003A3F4F" w:rsidRDefault="00176316" w:rsidP="0002642E">
      <w:pPr>
        <w:pStyle w:val="VEOHRCBodytext"/>
      </w:pPr>
      <w:r w:rsidRPr="0002642E">
        <w:rPr>
          <w:b/>
          <w:lang w:val="en-GB"/>
        </w:rPr>
        <w:t>Progress during the 2018 calendar year</w:t>
      </w:r>
    </w:p>
    <w:p w14:paraId="135500AF" w14:textId="72DFC9C3" w:rsidR="00176316" w:rsidRPr="0002642E" w:rsidRDefault="00176316" w:rsidP="0002642E">
      <w:pPr>
        <w:pStyle w:val="VEOHRCBodytext"/>
      </w:pPr>
      <w:r w:rsidRPr="0002642E">
        <w:rPr>
          <w:lang w:val="en-GB"/>
        </w:rPr>
        <w:t>This recommendation remains under consideration by the Victorian Government.</w:t>
      </w:r>
    </w:p>
    <w:p w14:paraId="3F080494" w14:textId="77777777" w:rsidR="00176316" w:rsidRPr="00C97AA1" w:rsidRDefault="00176316" w:rsidP="006A6EEF">
      <w:pPr>
        <w:pStyle w:val="VEOHRCBodytext"/>
        <w:rPr>
          <w:szCs w:val="24"/>
          <w:shd w:val="clear" w:color="auto" w:fill="7030A0"/>
          <w:lang w:val="en-GB"/>
        </w:rPr>
      </w:pPr>
      <w:r w:rsidRPr="00C97AA1">
        <w:rPr>
          <w:b/>
          <w:lang w:val="en-GB"/>
        </w:rPr>
        <w:t>Status</w:t>
      </w:r>
    </w:p>
    <w:p w14:paraId="31A474CA" w14:textId="77777777" w:rsidR="00176316" w:rsidRPr="00C97AA1" w:rsidRDefault="00176316" w:rsidP="006A6EEF">
      <w:pPr>
        <w:pStyle w:val="VEOHRCBodytext"/>
        <w:rPr>
          <w:szCs w:val="24"/>
          <w:lang w:val="en-GB"/>
        </w:rPr>
      </w:pPr>
      <w:r w:rsidRPr="00C97AA1">
        <w:rPr>
          <w:szCs w:val="24"/>
          <w:shd w:val="clear" w:color="auto" w:fill="7030A0"/>
          <w:lang w:val="en-GB"/>
        </w:rPr>
        <w:t>UNDER CONSIDERATION</w:t>
      </w:r>
    </w:p>
    <w:p w14:paraId="3FB6EB7F" w14:textId="77777777" w:rsidR="00FD0943" w:rsidRPr="003A3F4F" w:rsidRDefault="00FD0943" w:rsidP="0002642E">
      <w:pPr>
        <w:pStyle w:val="Heading3"/>
      </w:pPr>
      <w:r w:rsidRPr="0002642E">
        <w:rPr>
          <w:lang w:val="en-GB"/>
        </w:rPr>
        <w:t>Recommendation 26</w:t>
      </w:r>
    </w:p>
    <w:p w14:paraId="4BD86486" w14:textId="256B62F3" w:rsidR="00176316" w:rsidRPr="003A3F4F" w:rsidRDefault="00176316" w:rsidP="0002642E">
      <w:pPr>
        <w:pStyle w:val="VEOHRCBodytext"/>
      </w:pPr>
      <w:r w:rsidRPr="0002642E">
        <w:rPr>
          <w:lang w:val="en-GB"/>
        </w:rPr>
        <w:t>The Victorian Government ensure the Independent broad-based anti-corruption commission has capacity to investigate allegations of serious human rights abuses by police and protective services officers</w:t>
      </w:r>
      <w:r w:rsidR="00026826" w:rsidRPr="0002642E">
        <w:rPr>
          <w:lang w:val="en-GB"/>
        </w:rPr>
        <w:t>.</w:t>
      </w:r>
    </w:p>
    <w:p w14:paraId="47953B2D" w14:textId="77777777" w:rsidR="00176316" w:rsidRPr="00C97AA1" w:rsidRDefault="00176316" w:rsidP="006A6EEF">
      <w:pPr>
        <w:pStyle w:val="Heading4"/>
        <w:rPr>
          <w:lang w:val="en-GB"/>
        </w:rPr>
      </w:pPr>
      <w:r w:rsidRPr="00C97AA1">
        <w:rPr>
          <w:lang w:val="en-GB"/>
        </w:rPr>
        <w:t>Government response</w:t>
      </w:r>
    </w:p>
    <w:p w14:paraId="3F686F04" w14:textId="77777777" w:rsidR="00176316" w:rsidRPr="00C97AA1" w:rsidRDefault="00176316" w:rsidP="006A6EEF">
      <w:pPr>
        <w:pStyle w:val="VEOHRCBodytext"/>
        <w:rPr>
          <w:szCs w:val="24"/>
          <w:lang w:val="en-GB"/>
        </w:rPr>
      </w:pPr>
      <w:r w:rsidRPr="00C97AA1">
        <w:rPr>
          <w:szCs w:val="24"/>
          <w:lang w:val="en-GB"/>
        </w:rPr>
        <w:t>Supported</w:t>
      </w:r>
    </w:p>
    <w:p w14:paraId="2477BC54" w14:textId="77777777" w:rsidR="00176316" w:rsidRPr="003A3F4F" w:rsidRDefault="00176316" w:rsidP="0002642E">
      <w:pPr>
        <w:pStyle w:val="VEOHRCBodytext"/>
      </w:pPr>
      <w:r w:rsidRPr="0002642E">
        <w:rPr>
          <w:b/>
          <w:lang w:val="en-GB"/>
        </w:rPr>
        <w:t>Progress – as reported in the 2017 Charter Report</w:t>
      </w:r>
    </w:p>
    <w:p w14:paraId="2080AE1F" w14:textId="0E6EE7FA" w:rsidR="00176316" w:rsidRPr="003A3F4F" w:rsidRDefault="00176316" w:rsidP="0002642E">
      <w:pPr>
        <w:pStyle w:val="VEOHRCBodytext"/>
      </w:pPr>
      <w:r w:rsidRPr="0002642E">
        <w:rPr>
          <w:lang w:val="en-GB"/>
        </w:rPr>
        <w:t>The government will continue to ensure that the IBAC is sufficiently resourced to investigate allegations of human rights breaches by police and protective services officers.</w:t>
      </w:r>
    </w:p>
    <w:p w14:paraId="03A4994E" w14:textId="77777777" w:rsidR="00176316" w:rsidRPr="003A3F4F" w:rsidRDefault="00176316" w:rsidP="0002642E">
      <w:pPr>
        <w:pStyle w:val="VEOHRCBodytext"/>
      </w:pPr>
      <w:r w:rsidRPr="0002642E">
        <w:rPr>
          <w:b/>
          <w:lang w:val="en-GB"/>
        </w:rPr>
        <w:t>Progress during the 2018 calendar year</w:t>
      </w:r>
    </w:p>
    <w:p w14:paraId="5C9A0818" w14:textId="4FC61632" w:rsidR="00176316" w:rsidRPr="003A3F4F" w:rsidRDefault="00176316" w:rsidP="0002642E">
      <w:pPr>
        <w:pStyle w:val="VEOHRCBodytext"/>
      </w:pPr>
      <w:r w:rsidRPr="0002642E">
        <w:rPr>
          <w:lang w:val="en-GB"/>
        </w:rPr>
        <w:t xml:space="preserve">The former Victorian Parliament Independent broad-based anti-corruption commission committee (IBAC Committee) conducted an inquiry into the external oversight of police corruption and misconduct in Victoria. The </w:t>
      </w:r>
      <w:r w:rsidRPr="00C97AA1">
        <w:rPr>
          <w:szCs w:val="24"/>
          <w:lang w:val="en-GB"/>
        </w:rPr>
        <w:t>Committee's</w:t>
      </w:r>
      <w:r w:rsidRPr="0002642E">
        <w:rPr>
          <w:lang w:val="en-GB"/>
        </w:rPr>
        <w:t xml:space="preserve"> report was tabled on 4 September 2018.</w:t>
      </w:r>
    </w:p>
    <w:p w14:paraId="1C357ADB" w14:textId="77777777" w:rsidR="00176316" w:rsidRPr="003A3F4F" w:rsidRDefault="00176316" w:rsidP="0002642E">
      <w:pPr>
        <w:pStyle w:val="VEOHRCBodytext"/>
      </w:pPr>
      <w:r w:rsidRPr="0002642E">
        <w:rPr>
          <w:lang w:val="en-GB"/>
        </w:rPr>
        <w:t>That report makes recommendations which are relevant to this issue.</w:t>
      </w:r>
    </w:p>
    <w:p w14:paraId="4AB6D9E2" w14:textId="6AE6C897" w:rsidR="00176316" w:rsidRPr="0002642E" w:rsidRDefault="00176316" w:rsidP="0002642E">
      <w:pPr>
        <w:pStyle w:val="VEOHRCBodytext"/>
      </w:pPr>
      <w:r w:rsidRPr="0002642E">
        <w:rPr>
          <w:lang w:val="en-GB"/>
        </w:rPr>
        <w:t xml:space="preserve">At the time of writing, the Victorian Government was considering the IBAC </w:t>
      </w:r>
      <w:r w:rsidRPr="00C97AA1">
        <w:rPr>
          <w:szCs w:val="24"/>
          <w:lang w:val="en-GB"/>
        </w:rPr>
        <w:t>Committee's</w:t>
      </w:r>
      <w:r w:rsidRPr="0002642E">
        <w:rPr>
          <w:lang w:val="en-GB"/>
        </w:rPr>
        <w:t xml:space="preserve"> recommendations, along with related developments, and will respond in due course.</w:t>
      </w:r>
    </w:p>
    <w:p w14:paraId="63D18106" w14:textId="77777777" w:rsidR="00176316" w:rsidRPr="00C97AA1" w:rsidRDefault="00176316" w:rsidP="006A6EEF">
      <w:pPr>
        <w:pStyle w:val="VEOHRCBodytext"/>
        <w:rPr>
          <w:szCs w:val="24"/>
          <w:shd w:val="clear" w:color="auto" w:fill="92D050"/>
          <w:lang w:val="en-GB"/>
        </w:rPr>
      </w:pPr>
      <w:r w:rsidRPr="00C97AA1">
        <w:rPr>
          <w:b/>
          <w:lang w:val="en-GB"/>
        </w:rPr>
        <w:t>Status</w:t>
      </w:r>
    </w:p>
    <w:p w14:paraId="774FBFC8" w14:textId="77777777" w:rsidR="00176316" w:rsidRPr="00C97AA1" w:rsidRDefault="00176316" w:rsidP="006A6EEF">
      <w:pPr>
        <w:pStyle w:val="VEOHRCBodytext"/>
        <w:rPr>
          <w:szCs w:val="24"/>
          <w:lang w:val="en-GB"/>
        </w:rPr>
      </w:pPr>
      <w:r w:rsidRPr="00C97AA1">
        <w:rPr>
          <w:szCs w:val="24"/>
          <w:shd w:val="clear" w:color="auto" w:fill="92D050"/>
          <w:lang w:val="en-GB"/>
        </w:rPr>
        <w:t>COMPLETE / ONGOING</w:t>
      </w:r>
    </w:p>
    <w:p w14:paraId="497D5E7B" w14:textId="77777777" w:rsidR="00176316" w:rsidRPr="003A3F4F" w:rsidRDefault="00176316" w:rsidP="0002642E">
      <w:pPr>
        <w:pStyle w:val="Heading2"/>
        <w:ind w:left="0" w:firstLine="0"/>
      </w:pPr>
      <w:bookmarkStart w:id="125" w:name="_Toc22011550"/>
      <w:r w:rsidRPr="0002642E">
        <w:rPr>
          <w:lang w:val="en-GB"/>
        </w:rPr>
        <w:t>Chapter 4 – Remedies and oversight – the role of the courts</w:t>
      </w:r>
      <w:bookmarkEnd w:id="125"/>
    </w:p>
    <w:p w14:paraId="021ADEB5" w14:textId="77777777" w:rsidR="00FD0943" w:rsidRPr="003A3F4F" w:rsidRDefault="00FD0943" w:rsidP="0002642E">
      <w:pPr>
        <w:pStyle w:val="Heading3"/>
      </w:pPr>
      <w:r w:rsidRPr="0002642E">
        <w:rPr>
          <w:lang w:val="en-GB"/>
        </w:rPr>
        <w:t>Recommendation 27</w:t>
      </w:r>
    </w:p>
    <w:p w14:paraId="7EDD5285" w14:textId="32AA3E0B" w:rsidR="00176316" w:rsidRPr="00C97AA1" w:rsidRDefault="00176316" w:rsidP="0002642E">
      <w:pPr>
        <w:rPr>
          <w:rFonts w:cs="Arial"/>
          <w:szCs w:val="24"/>
        </w:rPr>
      </w:pPr>
      <w:r w:rsidRPr="00C97AA1">
        <w:rPr>
          <w:rFonts w:cs="Arial"/>
          <w:szCs w:val="24"/>
        </w:rPr>
        <w:t>The provisions and process for obtaining a remedy under the Charter be clarified and improved by:</w:t>
      </w:r>
    </w:p>
    <w:p w14:paraId="07B7E3B5" w14:textId="481B0922" w:rsidR="00176316" w:rsidRPr="00FD0943" w:rsidRDefault="00176316" w:rsidP="0002642E">
      <w:pPr>
        <w:pStyle w:val="ListParagraph"/>
        <w:numPr>
          <w:ilvl w:val="0"/>
          <w:numId w:val="36"/>
        </w:numPr>
        <w:rPr>
          <w:rFonts w:cs="Arial"/>
          <w:szCs w:val="24"/>
        </w:rPr>
      </w:pPr>
      <w:r w:rsidRPr="00FD0943">
        <w:rPr>
          <w:rFonts w:cs="Arial"/>
          <w:szCs w:val="24"/>
        </w:rPr>
        <w:t xml:space="preserve">amending the Charter to enable a person who claims a public authority has acted incompatibly with their human rights, in breach of section 38 of the Charter, to either apply to the Victorian Civil and Administrative Tribunal for a remedy or rely on the Charter in any legal proceedings. The amendment should be modelled on section 40C of the </w:t>
      </w:r>
      <w:r w:rsidRPr="0002642E">
        <w:t>Human Rights Act 2004</w:t>
      </w:r>
      <w:r w:rsidRPr="00FD0943">
        <w:rPr>
          <w:rFonts w:cs="Arial"/>
          <w:szCs w:val="24"/>
        </w:rPr>
        <w:t xml:space="preserve"> (ACT). </w:t>
      </w:r>
      <w:r w:rsidR="00FD0943">
        <w:rPr>
          <w:rFonts w:cs="Arial"/>
          <w:szCs w:val="24"/>
        </w:rPr>
        <w:br/>
      </w:r>
      <w:r w:rsidRPr="00FD0943">
        <w:rPr>
          <w:rFonts w:cs="Arial"/>
          <w:szCs w:val="24"/>
        </w:rPr>
        <w:lastRenderedPageBreak/>
        <w:t xml:space="preserve">The Tribunal's jurisdiction to determine whether a public authority has breached section 38 of the Charter should be similar to its jurisdiction in relation to unlawful discrimination under the </w:t>
      </w:r>
      <w:r w:rsidRPr="0002642E">
        <w:t>Equal Opportunity Act 2010</w:t>
      </w:r>
      <w:r w:rsidRPr="00FD0943">
        <w:rPr>
          <w:rFonts w:cs="Arial"/>
          <w:szCs w:val="24"/>
        </w:rPr>
        <w:t xml:space="preserve"> (Vic). If the Tribunal finds that a public authority has acted incompatibly with a Charter right, it should have power to grant any relief or remedy that it considers just and appropriate, excluding the power to award damages. </w:t>
      </w:r>
    </w:p>
    <w:p w14:paraId="34A74403" w14:textId="77777777" w:rsidR="00176316" w:rsidRPr="00C97AA1" w:rsidRDefault="00176316" w:rsidP="0002642E">
      <w:pPr>
        <w:pStyle w:val="ListParagraph"/>
        <w:numPr>
          <w:ilvl w:val="0"/>
          <w:numId w:val="36"/>
        </w:numPr>
        <w:rPr>
          <w:rFonts w:cs="Arial"/>
          <w:szCs w:val="24"/>
        </w:rPr>
      </w:pPr>
      <w:r w:rsidRPr="00C97AA1">
        <w:rPr>
          <w:rFonts w:cs="Arial"/>
          <w:szCs w:val="24"/>
        </w:rPr>
        <w:t>if the Charter is raised in another legal proceeding, the court or tribunal should retain the ability to make any order, or grant any relief or remedy, within its powers in relation to that proceeding. It should remain the case that a person is not entitled to be awarded any damages because of a breach of the Charter, in accordance with existing section 39(3) of the Charter.</w:t>
      </w:r>
    </w:p>
    <w:p w14:paraId="0FE8F5D8" w14:textId="0DBB5813" w:rsidR="00176316" w:rsidRPr="00C97AA1" w:rsidRDefault="00176316" w:rsidP="0002642E">
      <w:pPr>
        <w:pStyle w:val="ListParagraph"/>
        <w:numPr>
          <w:ilvl w:val="0"/>
          <w:numId w:val="36"/>
        </w:numPr>
        <w:rPr>
          <w:rFonts w:cs="Arial"/>
          <w:szCs w:val="24"/>
        </w:rPr>
      </w:pPr>
      <w:r w:rsidRPr="00C97AA1">
        <w:rPr>
          <w:rFonts w:cs="Arial"/>
          <w:szCs w:val="24"/>
        </w:rPr>
        <w:t>amending the Charter to make it clear that a person who claims that a decision of a public authority is incompatible with human rights, or was made without proper consideration of relevant human rights, can seek judicial review of that decision on the ground that the decision is unlawful under the Charter, without having to seek review on any other ground</w:t>
      </w:r>
      <w:r w:rsidR="00026826">
        <w:rPr>
          <w:rFonts w:cs="Arial"/>
          <w:szCs w:val="24"/>
        </w:rPr>
        <w:t>.</w:t>
      </w:r>
    </w:p>
    <w:p w14:paraId="772C0F45" w14:textId="77777777" w:rsidR="00176316" w:rsidRPr="00C97AA1" w:rsidRDefault="00176316" w:rsidP="003C3F41">
      <w:pPr>
        <w:pStyle w:val="Heading4"/>
        <w:rPr>
          <w:lang w:val="en-GB"/>
        </w:rPr>
      </w:pPr>
      <w:r w:rsidRPr="00C97AA1">
        <w:rPr>
          <w:lang w:val="en-GB"/>
        </w:rPr>
        <w:t>Government response</w:t>
      </w:r>
    </w:p>
    <w:p w14:paraId="327FD251" w14:textId="77777777" w:rsidR="00176316" w:rsidRPr="00C97AA1" w:rsidRDefault="00176316" w:rsidP="003C3F41">
      <w:pPr>
        <w:pStyle w:val="VEOHRCBodytext"/>
        <w:rPr>
          <w:szCs w:val="24"/>
          <w:lang w:val="en-GB"/>
        </w:rPr>
      </w:pPr>
      <w:r w:rsidRPr="00C97AA1">
        <w:rPr>
          <w:szCs w:val="24"/>
          <w:lang w:val="en-GB"/>
        </w:rPr>
        <w:t>Recommendation 27(a) and (c) is under further consideration.</w:t>
      </w:r>
    </w:p>
    <w:p w14:paraId="57AF34F3" w14:textId="77777777" w:rsidR="00176316" w:rsidRPr="003A3F4F" w:rsidRDefault="00176316" w:rsidP="0002642E">
      <w:pPr>
        <w:pStyle w:val="VEOHRCBodytext"/>
      </w:pPr>
      <w:r w:rsidRPr="0002642E">
        <w:rPr>
          <w:b/>
          <w:lang w:val="en-GB"/>
        </w:rPr>
        <w:t>Progress – as reported in the 2017 Charter Report</w:t>
      </w:r>
    </w:p>
    <w:p w14:paraId="4933E1E2" w14:textId="77777777" w:rsidR="00176316" w:rsidRPr="003A3F4F" w:rsidRDefault="00176316" w:rsidP="0002642E">
      <w:pPr>
        <w:pStyle w:val="VEOHRCBodytext"/>
      </w:pPr>
      <w:r w:rsidRPr="0002642E">
        <w:rPr>
          <w:lang w:val="en-GB"/>
        </w:rPr>
        <w:t>27(a) This recommendation remains under consideration.</w:t>
      </w:r>
    </w:p>
    <w:p w14:paraId="666D6A73" w14:textId="77777777" w:rsidR="00176316" w:rsidRPr="003A3F4F" w:rsidRDefault="00176316" w:rsidP="0002642E">
      <w:pPr>
        <w:pStyle w:val="VEOHRCBodytext"/>
      </w:pPr>
      <w:r w:rsidRPr="0002642E">
        <w:rPr>
          <w:lang w:val="en-GB"/>
        </w:rPr>
        <w:t>27(b) No action required</w:t>
      </w:r>
    </w:p>
    <w:p w14:paraId="0E99A555" w14:textId="77777777" w:rsidR="00176316" w:rsidRPr="003A3F4F" w:rsidRDefault="00176316" w:rsidP="0002642E">
      <w:pPr>
        <w:pStyle w:val="VEOHRCBodytext"/>
      </w:pPr>
      <w:r w:rsidRPr="0002642E">
        <w:rPr>
          <w:lang w:val="en-GB"/>
        </w:rPr>
        <w:t>27(c) This recommendation remains under consideration.</w:t>
      </w:r>
    </w:p>
    <w:p w14:paraId="37686268" w14:textId="77777777" w:rsidR="00176316" w:rsidRPr="003A3F4F" w:rsidRDefault="00176316" w:rsidP="0002642E">
      <w:pPr>
        <w:pStyle w:val="VEOHRCBodytext"/>
      </w:pPr>
      <w:r w:rsidRPr="0002642E">
        <w:rPr>
          <w:b/>
          <w:lang w:val="en-GB"/>
        </w:rPr>
        <w:t>Progress during the 2018 calendar year</w:t>
      </w:r>
    </w:p>
    <w:p w14:paraId="5867F6CB" w14:textId="77777777" w:rsidR="00176316" w:rsidRPr="003A3F4F" w:rsidRDefault="00176316" w:rsidP="0002642E">
      <w:pPr>
        <w:pStyle w:val="VEOHRCBodytext"/>
      </w:pPr>
      <w:r w:rsidRPr="0002642E">
        <w:rPr>
          <w:lang w:val="en-GB"/>
        </w:rPr>
        <w:t>27(a) This recommendation remains under consideration.</w:t>
      </w:r>
    </w:p>
    <w:p w14:paraId="27739D38" w14:textId="77777777" w:rsidR="00176316" w:rsidRPr="003A3F4F" w:rsidRDefault="00176316" w:rsidP="0002642E">
      <w:pPr>
        <w:pStyle w:val="VEOHRCBodytext"/>
      </w:pPr>
      <w:r w:rsidRPr="0002642E">
        <w:rPr>
          <w:lang w:val="en-GB"/>
        </w:rPr>
        <w:t>27(b) No action required</w:t>
      </w:r>
    </w:p>
    <w:p w14:paraId="19632E29" w14:textId="77777777" w:rsidR="00176316" w:rsidRPr="0002642E" w:rsidRDefault="00176316" w:rsidP="0002642E">
      <w:pPr>
        <w:pStyle w:val="VEOHRCBodytext"/>
      </w:pPr>
      <w:r w:rsidRPr="0002642E">
        <w:rPr>
          <w:lang w:val="en-GB"/>
        </w:rPr>
        <w:t>27(c) This recommendation remains under consideration</w:t>
      </w:r>
    </w:p>
    <w:p w14:paraId="0CEE92F2" w14:textId="77777777" w:rsidR="00176316" w:rsidRPr="00C97AA1" w:rsidRDefault="00176316" w:rsidP="006A6EEF">
      <w:pPr>
        <w:pStyle w:val="VEOHRCBodytext"/>
        <w:rPr>
          <w:b/>
          <w:lang w:val="en-GB"/>
        </w:rPr>
      </w:pPr>
      <w:r w:rsidRPr="00C97AA1">
        <w:rPr>
          <w:b/>
          <w:lang w:val="en-GB"/>
        </w:rPr>
        <w:t>Status</w:t>
      </w:r>
    </w:p>
    <w:p w14:paraId="76E6B3CB" w14:textId="2B982738" w:rsidR="00176316" w:rsidRPr="00C97AA1" w:rsidRDefault="00FD0943" w:rsidP="003C3F41">
      <w:pPr>
        <w:pStyle w:val="VEOHRCBodytext"/>
        <w:rPr>
          <w:szCs w:val="24"/>
          <w:lang w:val="en-GB"/>
        </w:rPr>
      </w:pPr>
      <w:r w:rsidRPr="00C97AA1">
        <w:rPr>
          <w:szCs w:val="24"/>
          <w:lang w:val="en-GB"/>
        </w:rPr>
        <w:t xml:space="preserve">27(a) </w:t>
      </w:r>
      <w:r w:rsidR="00176316" w:rsidRPr="00C97AA1">
        <w:rPr>
          <w:szCs w:val="24"/>
          <w:shd w:val="clear" w:color="auto" w:fill="7030A0"/>
          <w:lang w:val="en-GB"/>
        </w:rPr>
        <w:t>UNDER CONSIDERATION</w:t>
      </w:r>
    </w:p>
    <w:p w14:paraId="0B8C57D4" w14:textId="6665E50B" w:rsidR="00176316" w:rsidRPr="00C97AA1" w:rsidRDefault="00FD0943" w:rsidP="003C3F41">
      <w:pPr>
        <w:pStyle w:val="VEOHRCBodytext"/>
        <w:rPr>
          <w:szCs w:val="24"/>
          <w:lang w:val="en-GB"/>
        </w:rPr>
      </w:pPr>
      <w:r w:rsidRPr="00C97AA1">
        <w:rPr>
          <w:szCs w:val="24"/>
          <w:lang w:val="en-GB"/>
        </w:rPr>
        <w:t>27(</w:t>
      </w:r>
      <w:r>
        <w:rPr>
          <w:szCs w:val="24"/>
          <w:lang w:val="en-GB"/>
        </w:rPr>
        <w:t>b</w:t>
      </w:r>
      <w:r w:rsidRPr="00C97AA1">
        <w:rPr>
          <w:szCs w:val="24"/>
          <w:lang w:val="en-GB"/>
        </w:rPr>
        <w:t xml:space="preserve">) </w:t>
      </w:r>
      <w:r w:rsidR="00176316" w:rsidRPr="00C97AA1">
        <w:rPr>
          <w:szCs w:val="24"/>
          <w:shd w:val="clear" w:color="auto" w:fill="92D050"/>
          <w:lang w:val="en-GB"/>
        </w:rPr>
        <w:t>COMPLETE</w:t>
      </w:r>
    </w:p>
    <w:p w14:paraId="221214D8" w14:textId="02BBD01A" w:rsidR="00176316" w:rsidRPr="00C97AA1" w:rsidRDefault="00FD0943" w:rsidP="003C3F41">
      <w:pPr>
        <w:pStyle w:val="VEOHRCBodytext"/>
        <w:rPr>
          <w:szCs w:val="24"/>
          <w:lang w:val="en-GB"/>
        </w:rPr>
      </w:pPr>
      <w:r w:rsidRPr="00C97AA1">
        <w:rPr>
          <w:szCs w:val="24"/>
          <w:lang w:val="en-GB"/>
        </w:rPr>
        <w:t>27(</w:t>
      </w:r>
      <w:r>
        <w:rPr>
          <w:szCs w:val="24"/>
          <w:lang w:val="en-GB"/>
        </w:rPr>
        <w:t>c</w:t>
      </w:r>
      <w:r w:rsidRPr="00C97AA1">
        <w:rPr>
          <w:szCs w:val="24"/>
          <w:lang w:val="en-GB"/>
        </w:rPr>
        <w:t xml:space="preserve">) </w:t>
      </w:r>
      <w:r w:rsidR="00176316" w:rsidRPr="00C97AA1">
        <w:rPr>
          <w:szCs w:val="24"/>
          <w:shd w:val="clear" w:color="auto" w:fill="7030A0"/>
          <w:lang w:val="en-GB"/>
        </w:rPr>
        <w:t>UNDER CONSIDERATION</w:t>
      </w:r>
    </w:p>
    <w:p w14:paraId="2AB6581E" w14:textId="503A2EB9" w:rsidR="00176316" w:rsidRPr="003A3F4F" w:rsidRDefault="00176316" w:rsidP="0002642E">
      <w:pPr>
        <w:pStyle w:val="Heading2"/>
      </w:pPr>
      <w:bookmarkStart w:id="126" w:name="_Toc22011551"/>
      <w:r w:rsidRPr="0002642E">
        <w:rPr>
          <w:lang w:val="en-GB"/>
        </w:rPr>
        <w:t>Chapter 5 – Interpreting and applying the law</w:t>
      </w:r>
      <w:bookmarkEnd w:id="126"/>
    </w:p>
    <w:p w14:paraId="305F52D6" w14:textId="045A62A3" w:rsidR="00176316" w:rsidRPr="003A3F4F" w:rsidRDefault="00FD0943" w:rsidP="0002642E">
      <w:pPr>
        <w:pStyle w:val="Heading3"/>
      </w:pPr>
      <w:r w:rsidRPr="0002642E">
        <w:rPr>
          <w:lang w:val="en-GB"/>
        </w:rPr>
        <w:t>Recommendation 28</w:t>
      </w:r>
    </w:p>
    <w:p w14:paraId="53F9B0B6" w14:textId="77777777" w:rsidR="00176316" w:rsidRPr="00C97AA1" w:rsidRDefault="00176316" w:rsidP="0002642E">
      <w:pPr>
        <w:rPr>
          <w:rFonts w:cs="Arial"/>
          <w:szCs w:val="24"/>
        </w:rPr>
      </w:pPr>
      <w:r w:rsidRPr="00C97AA1">
        <w:rPr>
          <w:rFonts w:cs="Arial"/>
          <w:szCs w:val="24"/>
        </w:rPr>
        <w:t>Section 32 of the Charter be amended to:</w:t>
      </w:r>
    </w:p>
    <w:p w14:paraId="2CFD0F35" w14:textId="43C351B4" w:rsidR="00176316" w:rsidRPr="00C97AA1" w:rsidRDefault="00176316" w:rsidP="0002642E">
      <w:pPr>
        <w:pStyle w:val="ListParagraph"/>
        <w:numPr>
          <w:ilvl w:val="0"/>
          <w:numId w:val="38"/>
        </w:numPr>
        <w:rPr>
          <w:rFonts w:cs="Arial"/>
          <w:szCs w:val="24"/>
        </w:rPr>
      </w:pPr>
      <w:r w:rsidRPr="00C97AA1">
        <w:rPr>
          <w:rFonts w:cs="Arial"/>
          <w:szCs w:val="24"/>
        </w:rPr>
        <w:t>require statutory provisions to be interpreted, so far as it is possible to do so consistently with their purpose, in the way that is most compatible with human rights</w:t>
      </w:r>
    </w:p>
    <w:p w14:paraId="033D3CF9" w14:textId="77777777" w:rsidR="00176316" w:rsidRPr="00C97AA1" w:rsidRDefault="00176316" w:rsidP="0002642E">
      <w:pPr>
        <w:pStyle w:val="ListParagraph"/>
        <w:numPr>
          <w:ilvl w:val="0"/>
          <w:numId w:val="38"/>
        </w:numPr>
        <w:rPr>
          <w:rFonts w:cs="Arial"/>
          <w:szCs w:val="24"/>
        </w:rPr>
      </w:pPr>
      <w:r w:rsidRPr="00C97AA1">
        <w:rPr>
          <w:rFonts w:cs="Arial"/>
          <w:szCs w:val="24"/>
        </w:rPr>
        <w:t>require, where a choice must be made between possible meanings that are incompatible with human rights, that the provision be interpreted in the way that is least incompatible with human rights</w:t>
      </w:r>
    </w:p>
    <w:p w14:paraId="5F58D254" w14:textId="372230A5" w:rsidR="00176316" w:rsidRPr="00C97AA1" w:rsidRDefault="00176316" w:rsidP="0002642E">
      <w:pPr>
        <w:pStyle w:val="ListParagraph"/>
        <w:numPr>
          <w:ilvl w:val="0"/>
          <w:numId w:val="38"/>
        </w:numPr>
        <w:rPr>
          <w:rFonts w:cs="Arial"/>
          <w:szCs w:val="24"/>
        </w:rPr>
      </w:pPr>
      <w:r w:rsidRPr="00C97AA1">
        <w:rPr>
          <w:rFonts w:cs="Arial"/>
          <w:szCs w:val="24"/>
        </w:rPr>
        <w:t>make it clear that section 7(2) applies to the assessment of the interpretation of what is most compatible, or least incompatible, with human rights</w:t>
      </w:r>
    </w:p>
    <w:p w14:paraId="6D89D15C" w14:textId="672E923D" w:rsidR="00176316" w:rsidRPr="00C97AA1" w:rsidRDefault="00176316" w:rsidP="0002642E">
      <w:pPr>
        <w:pStyle w:val="ListParagraph"/>
        <w:numPr>
          <w:ilvl w:val="0"/>
          <w:numId w:val="38"/>
        </w:numPr>
        <w:rPr>
          <w:rFonts w:cs="Arial"/>
          <w:szCs w:val="24"/>
        </w:rPr>
      </w:pPr>
      <w:r w:rsidRPr="00C97AA1">
        <w:rPr>
          <w:rFonts w:cs="Arial"/>
          <w:szCs w:val="24"/>
        </w:rPr>
        <w:t>set out the steps for interpreting statutory provisions compatibly with human rights, to ensure clarity and accessibility</w:t>
      </w:r>
      <w:r w:rsidR="00026826">
        <w:rPr>
          <w:rFonts w:cs="Arial"/>
          <w:szCs w:val="24"/>
        </w:rPr>
        <w:t>.</w:t>
      </w:r>
    </w:p>
    <w:p w14:paraId="5B319607" w14:textId="77777777" w:rsidR="00176316" w:rsidRPr="00C97AA1" w:rsidRDefault="00176316" w:rsidP="000E3693">
      <w:pPr>
        <w:pStyle w:val="Heading4"/>
        <w:rPr>
          <w:lang w:val="en-GB"/>
        </w:rPr>
      </w:pPr>
      <w:r w:rsidRPr="00C97AA1">
        <w:rPr>
          <w:lang w:val="en-GB"/>
        </w:rPr>
        <w:lastRenderedPageBreak/>
        <w:t>Government response</w:t>
      </w:r>
    </w:p>
    <w:p w14:paraId="236B2210" w14:textId="77777777" w:rsidR="00176316" w:rsidRPr="00C97AA1" w:rsidRDefault="00176316" w:rsidP="000E3693">
      <w:pPr>
        <w:pStyle w:val="VEOHRCBodytext"/>
        <w:rPr>
          <w:szCs w:val="24"/>
          <w:lang w:val="en-GB"/>
        </w:rPr>
      </w:pPr>
      <w:r w:rsidRPr="00C97AA1">
        <w:rPr>
          <w:szCs w:val="24"/>
          <w:lang w:val="en-GB"/>
        </w:rPr>
        <w:t>Supported in principle.</w:t>
      </w:r>
    </w:p>
    <w:p w14:paraId="7516D1CF" w14:textId="77777777" w:rsidR="00176316" w:rsidRPr="003A3F4F" w:rsidRDefault="00176316" w:rsidP="0002642E">
      <w:pPr>
        <w:pStyle w:val="VEOHRCBodytext"/>
      </w:pPr>
      <w:r w:rsidRPr="0002642E">
        <w:rPr>
          <w:b/>
          <w:lang w:val="en-GB"/>
        </w:rPr>
        <w:t>Progress – as reported in the 2017 Charter Report</w:t>
      </w:r>
    </w:p>
    <w:p w14:paraId="34ED5AC2" w14:textId="77777777" w:rsidR="00176316" w:rsidRPr="003A3F4F" w:rsidRDefault="00176316" w:rsidP="0002642E">
      <w:pPr>
        <w:pStyle w:val="VEOHRCBodytext"/>
      </w:pPr>
      <w:r w:rsidRPr="0002642E">
        <w:rPr>
          <w:lang w:val="en-GB"/>
        </w:rPr>
        <w:t>See Recommendation 12.</w:t>
      </w:r>
    </w:p>
    <w:p w14:paraId="10BF92DB" w14:textId="77777777" w:rsidR="00176316" w:rsidRPr="003A3F4F" w:rsidRDefault="00176316" w:rsidP="0002642E">
      <w:pPr>
        <w:pStyle w:val="VEOHRCBodytext"/>
      </w:pPr>
      <w:r w:rsidRPr="0002642E">
        <w:rPr>
          <w:b/>
          <w:lang w:val="en-GB"/>
        </w:rPr>
        <w:t>Progress during the 2018 calendar year</w:t>
      </w:r>
    </w:p>
    <w:p w14:paraId="20718EE3" w14:textId="77777777" w:rsidR="00176316" w:rsidRPr="0002642E" w:rsidRDefault="00176316" w:rsidP="0002642E">
      <w:pPr>
        <w:pStyle w:val="VEOHRCBodytext"/>
      </w:pPr>
      <w:r w:rsidRPr="0002642E">
        <w:rPr>
          <w:lang w:val="en-GB"/>
        </w:rPr>
        <w:t>See Recommendation 12.</w:t>
      </w:r>
    </w:p>
    <w:p w14:paraId="3F835E33" w14:textId="77777777" w:rsidR="00176316" w:rsidRPr="00C97AA1" w:rsidRDefault="00176316" w:rsidP="006A6EEF">
      <w:pPr>
        <w:pStyle w:val="VEOHRCBodytext"/>
        <w:rPr>
          <w:b/>
          <w:lang w:val="en-GB"/>
        </w:rPr>
      </w:pPr>
      <w:r w:rsidRPr="00C97AA1">
        <w:rPr>
          <w:b/>
          <w:lang w:val="en-GB"/>
        </w:rPr>
        <w:t>Status</w:t>
      </w:r>
    </w:p>
    <w:p w14:paraId="79F66E5E" w14:textId="77777777" w:rsidR="00176316" w:rsidRPr="00C97AA1" w:rsidRDefault="00176316" w:rsidP="000E3693">
      <w:pPr>
        <w:pStyle w:val="VEOHRCBodytext"/>
        <w:rPr>
          <w:szCs w:val="24"/>
          <w:lang w:val="en-GB"/>
        </w:rPr>
      </w:pPr>
      <w:r w:rsidRPr="00C97AA1">
        <w:rPr>
          <w:szCs w:val="24"/>
          <w:shd w:val="clear" w:color="auto" w:fill="FFC000"/>
          <w:lang w:val="en-GB"/>
        </w:rPr>
        <w:t>PENDING</w:t>
      </w:r>
    </w:p>
    <w:p w14:paraId="40D17F07" w14:textId="4F1BAB51" w:rsidR="00FD0943" w:rsidRPr="003A3F4F" w:rsidRDefault="00FD0943" w:rsidP="0002642E">
      <w:pPr>
        <w:pStyle w:val="Heading3"/>
      </w:pPr>
      <w:r w:rsidRPr="0002642E">
        <w:rPr>
          <w:lang w:val="en-GB"/>
        </w:rPr>
        <w:t>Recommendation 29</w:t>
      </w:r>
    </w:p>
    <w:p w14:paraId="3BD97699" w14:textId="62F380F0" w:rsidR="00176316" w:rsidRPr="003A3F4F" w:rsidRDefault="00176316" w:rsidP="0002642E">
      <w:pPr>
        <w:pStyle w:val="VEOHRCBodytext"/>
      </w:pPr>
      <w:r w:rsidRPr="0002642E">
        <w:rPr>
          <w:lang w:val="en-GB"/>
        </w:rPr>
        <w:t xml:space="preserve">The Charter define the concepts of </w:t>
      </w:r>
      <w:r w:rsidRPr="00C97AA1">
        <w:rPr>
          <w:szCs w:val="24"/>
          <w:lang w:val="en-GB" w:eastAsia="ja-JP"/>
        </w:rPr>
        <w:t>'compatibility'</w:t>
      </w:r>
      <w:r w:rsidRPr="0002642E">
        <w:rPr>
          <w:lang w:val="en-GB"/>
        </w:rPr>
        <w:t xml:space="preserve"> and </w:t>
      </w:r>
      <w:r w:rsidRPr="00C97AA1">
        <w:rPr>
          <w:szCs w:val="24"/>
          <w:lang w:val="en-GB" w:eastAsia="ja-JP"/>
        </w:rPr>
        <w:t>'incompatibility'</w:t>
      </w:r>
      <w:r w:rsidRPr="0002642E">
        <w:rPr>
          <w:lang w:val="en-GB"/>
        </w:rPr>
        <w:t xml:space="preserve"> to make it clear that an act, decision or statutory provision is compatible with human rights when it places no limit on a human right, or it limits human rights in a way that is reasonable and demonstrably justifiable in terms of section 7(2). The Charter should use the two terms consistently, in relation to scrutiny of legislation (sections 28 and 30), the interpretation of legislation (sections 32, 36 and 37) and the obligations of public authorities (section 38)</w:t>
      </w:r>
      <w:r w:rsidR="00026826" w:rsidRPr="0002642E">
        <w:rPr>
          <w:lang w:val="en-GB"/>
        </w:rPr>
        <w:t>.</w:t>
      </w:r>
    </w:p>
    <w:p w14:paraId="20A7AFC3" w14:textId="77777777" w:rsidR="00176316" w:rsidRPr="00C97AA1" w:rsidRDefault="00176316" w:rsidP="000E3693">
      <w:pPr>
        <w:pStyle w:val="Heading4"/>
        <w:rPr>
          <w:lang w:val="en-GB"/>
        </w:rPr>
      </w:pPr>
      <w:r w:rsidRPr="00C97AA1">
        <w:rPr>
          <w:lang w:val="en-GB"/>
        </w:rPr>
        <w:t>Government response</w:t>
      </w:r>
    </w:p>
    <w:p w14:paraId="381F3F95" w14:textId="77777777" w:rsidR="00176316" w:rsidRPr="00C97AA1" w:rsidRDefault="00176316" w:rsidP="000E3693">
      <w:pPr>
        <w:pStyle w:val="VEOHRCBodytext"/>
        <w:rPr>
          <w:szCs w:val="24"/>
          <w:lang w:val="en-GB"/>
        </w:rPr>
      </w:pPr>
      <w:r w:rsidRPr="00C97AA1">
        <w:rPr>
          <w:szCs w:val="24"/>
          <w:lang w:val="en-GB"/>
        </w:rPr>
        <w:t>Supported</w:t>
      </w:r>
    </w:p>
    <w:p w14:paraId="21D712B2" w14:textId="77777777" w:rsidR="00176316" w:rsidRPr="003A3F4F" w:rsidRDefault="00176316" w:rsidP="0002642E">
      <w:pPr>
        <w:pStyle w:val="VEOHRCBodytext"/>
      </w:pPr>
      <w:r w:rsidRPr="0002642E">
        <w:rPr>
          <w:b/>
          <w:lang w:val="en-GB"/>
        </w:rPr>
        <w:t>Progress – as reported in the 2017 Charter Report</w:t>
      </w:r>
    </w:p>
    <w:p w14:paraId="18937B15" w14:textId="77777777" w:rsidR="00176316" w:rsidRPr="003A3F4F" w:rsidRDefault="00176316" w:rsidP="0002642E">
      <w:pPr>
        <w:pStyle w:val="VEOHRCBodytext"/>
      </w:pPr>
      <w:r w:rsidRPr="0002642E">
        <w:rPr>
          <w:lang w:val="en-GB"/>
        </w:rPr>
        <w:t>See Recommendation 12.</w:t>
      </w:r>
    </w:p>
    <w:p w14:paraId="6CE5851B" w14:textId="77777777" w:rsidR="00176316" w:rsidRPr="0002642E" w:rsidRDefault="00176316" w:rsidP="0002642E">
      <w:pPr>
        <w:pStyle w:val="VEOHRCBodytext"/>
      </w:pPr>
      <w:r w:rsidRPr="0002642E">
        <w:rPr>
          <w:b/>
          <w:lang w:val="en-GB"/>
        </w:rPr>
        <w:t>Progress during the 2018 calendar year</w:t>
      </w:r>
    </w:p>
    <w:p w14:paraId="3C304AA7" w14:textId="77777777" w:rsidR="00176316" w:rsidRPr="003A3F4F" w:rsidRDefault="00176316" w:rsidP="0002642E">
      <w:pPr>
        <w:pStyle w:val="VEOHRCBodytext"/>
      </w:pPr>
      <w:r w:rsidRPr="0002642E">
        <w:rPr>
          <w:lang w:val="en-GB"/>
        </w:rPr>
        <w:t>See Recommendation 12.</w:t>
      </w:r>
    </w:p>
    <w:p w14:paraId="23ACCD99" w14:textId="77777777" w:rsidR="00176316" w:rsidRPr="00C97AA1" w:rsidRDefault="00176316" w:rsidP="006A6EEF">
      <w:pPr>
        <w:pStyle w:val="VEOHRCBodytext"/>
        <w:rPr>
          <w:b/>
          <w:lang w:val="en-GB"/>
        </w:rPr>
      </w:pPr>
      <w:r w:rsidRPr="00C97AA1">
        <w:rPr>
          <w:b/>
          <w:lang w:val="en-GB"/>
        </w:rPr>
        <w:t>Status</w:t>
      </w:r>
    </w:p>
    <w:p w14:paraId="4DC676C3" w14:textId="77777777" w:rsidR="00176316" w:rsidRPr="00C97AA1" w:rsidRDefault="00176316" w:rsidP="000E3693">
      <w:pPr>
        <w:pStyle w:val="VEOHRCBodytext"/>
        <w:rPr>
          <w:szCs w:val="24"/>
          <w:lang w:val="en-GB"/>
        </w:rPr>
      </w:pPr>
      <w:r w:rsidRPr="00C97AA1">
        <w:rPr>
          <w:szCs w:val="24"/>
          <w:shd w:val="clear" w:color="auto" w:fill="FFC000"/>
          <w:lang w:val="en-GB"/>
        </w:rPr>
        <w:t>PENDING</w:t>
      </w:r>
    </w:p>
    <w:p w14:paraId="51C6F626" w14:textId="161A4B41" w:rsidR="00176316" w:rsidRPr="003A3F4F" w:rsidRDefault="00FD0943" w:rsidP="0002642E">
      <w:pPr>
        <w:pStyle w:val="Heading3"/>
      </w:pPr>
      <w:r w:rsidRPr="0002642E">
        <w:rPr>
          <w:lang w:val="en-GB"/>
        </w:rPr>
        <w:t>Recommendation 30</w:t>
      </w:r>
    </w:p>
    <w:p w14:paraId="58DDEB71" w14:textId="0555273E" w:rsidR="00176316" w:rsidRPr="003A3F4F" w:rsidRDefault="00176316" w:rsidP="0002642E">
      <w:pPr>
        <w:pStyle w:val="VEOHRCBodytext"/>
      </w:pPr>
      <w:r w:rsidRPr="0002642E">
        <w:rPr>
          <w:lang w:val="en-GB"/>
        </w:rPr>
        <w:t xml:space="preserve">Section 7, containing the general limitations clause, be excluded from the </w:t>
      </w:r>
      <w:r w:rsidRPr="00C97AA1">
        <w:rPr>
          <w:szCs w:val="24"/>
          <w:lang w:val="en-GB" w:eastAsia="ja-JP"/>
        </w:rPr>
        <w:t>Charter's</w:t>
      </w:r>
      <w:r w:rsidRPr="0002642E">
        <w:rPr>
          <w:lang w:val="en-GB"/>
        </w:rPr>
        <w:t xml:space="preserve"> definition of </w:t>
      </w:r>
      <w:r w:rsidRPr="00C97AA1">
        <w:rPr>
          <w:szCs w:val="24"/>
          <w:lang w:val="en-GB" w:eastAsia="ja-JP"/>
        </w:rPr>
        <w:t xml:space="preserve">'human rights' </w:t>
      </w:r>
      <w:r w:rsidRPr="0002642E">
        <w:rPr>
          <w:lang w:val="en-GB"/>
        </w:rPr>
        <w:t xml:space="preserve">and the definition of </w:t>
      </w:r>
      <w:r w:rsidRPr="00C97AA1">
        <w:rPr>
          <w:szCs w:val="24"/>
          <w:lang w:val="en-GB" w:eastAsia="ja-JP"/>
        </w:rPr>
        <w:t>'human rights'</w:t>
      </w:r>
      <w:r w:rsidRPr="0002642E">
        <w:rPr>
          <w:lang w:val="en-GB"/>
        </w:rPr>
        <w:t xml:space="preserve"> refer to all the rights in Part 2, not only the civil and political rights</w:t>
      </w:r>
      <w:r w:rsidR="00026826" w:rsidRPr="0002642E">
        <w:rPr>
          <w:lang w:val="en-GB"/>
        </w:rPr>
        <w:t>.</w:t>
      </w:r>
    </w:p>
    <w:p w14:paraId="549E2D82" w14:textId="77777777" w:rsidR="00176316" w:rsidRPr="00C97AA1" w:rsidRDefault="00176316" w:rsidP="00FD0943">
      <w:pPr>
        <w:pStyle w:val="Heading4"/>
        <w:rPr>
          <w:lang w:val="en-GB"/>
        </w:rPr>
      </w:pPr>
      <w:r w:rsidRPr="00FD0943">
        <w:t>Government</w:t>
      </w:r>
      <w:r w:rsidRPr="00C97AA1">
        <w:rPr>
          <w:lang w:val="en-GB"/>
        </w:rPr>
        <w:t xml:space="preserve"> response</w:t>
      </w:r>
    </w:p>
    <w:p w14:paraId="0F3238B1" w14:textId="77777777" w:rsidR="00176316" w:rsidRPr="00C97AA1" w:rsidRDefault="00176316" w:rsidP="000E3693">
      <w:pPr>
        <w:pStyle w:val="VEOHRCBodytext"/>
        <w:rPr>
          <w:szCs w:val="24"/>
          <w:lang w:val="en-GB"/>
        </w:rPr>
      </w:pPr>
      <w:r w:rsidRPr="00C97AA1">
        <w:rPr>
          <w:szCs w:val="24"/>
          <w:lang w:val="en-GB"/>
        </w:rPr>
        <w:t>Supported</w:t>
      </w:r>
    </w:p>
    <w:p w14:paraId="14B5A244" w14:textId="77777777" w:rsidR="00176316" w:rsidRPr="003A3F4F" w:rsidRDefault="00176316" w:rsidP="0002642E">
      <w:pPr>
        <w:pStyle w:val="VEOHRCBodytext"/>
      </w:pPr>
      <w:r w:rsidRPr="0002642E">
        <w:rPr>
          <w:b/>
          <w:lang w:val="en-GB"/>
        </w:rPr>
        <w:t>Progress – as reported in the 2017 Charter Report</w:t>
      </w:r>
    </w:p>
    <w:p w14:paraId="0FFFED12" w14:textId="77777777" w:rsidR="00176316" w:rsidRPr="003A3F4F" w:rsidRDefault="00176316" w:rsidP="003A3F4F">
      <w:pPr>
        <w:pStyle w:val="VEOHRCBodytext"/>
      </w:pPr>
      <w:r w:rsidRPr="0002642E">
        <w:rPr>
          <w:lang w:val="en-GB"/>
        </w:rPr>
        <w:t>See Recommendation 12.</w:t>
      </w:r>
    </w:p>
    <w:p w14:paraId="68367918" w14:textId="77777777" w:rsidR="00176316" w:rsidRPr="003A3F4F" w:rsidRDefault="00176316" w:rsidP="0002642E">
      <w:pPr>
        <w:pStyle w:val="VEOHRCBodytext"/>
      </w:pPr>
      <w:r w:rsidRPr="0002642E">
        <w:rPr>
          <w:b/>
          <w:lang w:val="en-GB"/>
        </w:rPr>
        <w:t>Progress during the 2018 calendar year</w:t>
      </w:r>
    </w:p>
    <w:p w14:paraId="0CD07858" w14:textId="77777777" w:rsidR="00176316" w:rsidRPr="003A3F4F" w:rsidRDefault="00176316" w:rsidP="0002642E">
      <w:pPr>
        <w:pStyle w:val="VEOHRCBodytext"/>
      </w:pPr>
      <w:r w:rsidRPr="0002642E">
        <w:rPr>
          <w:lang w:val="en-GB"/>
        </w:rPr>
        <w:t>See Recommendation 12.</w:t>
      </w:r>
    </w:p>
    <w:p w14:paraId="34A58DA7" w14:textId="77777777" w:rsidR="00176316" w:rsidRPr="00C97AA1" w:rsidRDefault="00176316" w:rsidP="006A6EEF">
      <w:pPr>
        <w:pStyle w:val="VEOHRCBodytext"/>
        <w:rPr>
          <w:b/>
          <w:lang w:val="en-GB"/>
        </w:rPr>
      </w:pPr>
      <w:r w:rsidRPr="00C97AA1">
        <w:rPr>
          <w:b/>
          <w:lang w:val="en-GB"/>
        </w:rPr>
        <w:t>Status</w:t>
      </w:r>
    </w:p>
    <w:p w14:paraId="58CA26D0" w14:textId="77777777" w:rsidR="00176316" w:rsidRPr="00C97AA1" w:rsidRDefault="00176316" w:rsidP="000E3693">
      <w:pPr>
        <w:pStyle w:val="VEOHRCBodytext"/>
        <w:rPr>
          <w:szCs w:val="24"/>
          <w:lang w:val="en-GB"/>
        </w:rPr>
      </w:pPr>
      <w:r w:rsidRPr="00C97AA1">
        <w:rPr>
          <w:szCs w:val="24"/>
          <w:shd w:val="clear" w:color="auto" w:fill="FFC000"/>
          <w:lang w:val="en-GB"/>
        </w:rPr>
        <w:t>PENDING</w:t>
      </w:r>
    </w:p>
    <w:p w14:paraId="5E3FD619" w14:textId="51CC35E5" w:rsidR="00176316" w:rsidRPr="003A3F4F" w:rsidRDefault="00FD0943" w:rsidP="0002642E">
      <w:pPr>
        <w:pStyle w:val="VEOHRCBodytext"/>
      </w:pPr>
      <w:r w:rsidRPr="0002642E">
        <w:rPr>
          <w:lang w:val="en-GB"/>
        </w:rPr>
        <w:t>Recommendation 31</w:t>
      </w:r>
    </w:p>
    <w:p w14:paraId="5205636F" w14:textId="72F752C1" w:rsidR="00176316" w:rsidRPr="003A3F4F" w:rsidRDefault="00176316" w:rsidP="0002642E">
      <w:pPr>
        <w:pStyle w:val="VEOHRCBodytext"/>
      </w:pPr>
      <w:r w:rsidRPr="0002642E">
        <w:rPr>
          <w:lang w:val="en-GB"/>
        </w:rPr>
        <w:t xml:space="preserve">The internal limitation on freedom of expression in section 15(3) be repealed, so the general limitation provision in section 7(2) can be applied as the </w:t>
      </w:r>
      <w:r w:rsidRPr="00C97AA1">
        <w:rPr>
          <w:szCs w:val="24"/>
          <w:lang w:val="en-GB" w:eastAsia="ja-JP"/>
        </w:rPr>
        <w:t>Charter's</w:t>
      </w:r>
      <w:r w:rsidRPr="0002642E">
        <w:rPr>
          <w:lang w:val="en-GB"/>
        </w:rPr>
        <w:t xml:space="preserve"> common test to balance competing rights and interests</w:t>
      </w:r>
      <w:r w:rsidR="00026826" w:rsidRPr="0002642E">
        <w:rPr>
          <w:lang w:val="en-GB"/>
        </w:rPr>
        <w:t>.</w:t>
      </w:r>
    </w:p>
    <w:p w14:paraId="33C477CF" w14:textId="77777777" w:rsidR="00176316" w:rsidRPr="00C97AA1" w:rsidRDefault="00176316" w:rsidP="000E3693">
      <w:pPr>
        <w:pStyle w:val="Heading4"/>
        <w:rPr>
          <w:lang w:val="en-GB"/>
        </w:rPr>
      </w:pPr>
      <w:r w:rsidRPr="00C97AA1">
        <w:rPr>
          <w:lang w:val="en-GB"/>
        </w:rPr>
        <w:lastRenderedPageBreak/>
        <w:t>Government response</w:t>
      </w:r>
    </w:p>
    <w:p w14:paraId="777CA012" w14:textId="77777777" w:rsidR="00176316" w:rsidRPr="00C97AA1" w:rsidRDefault="00176316" w:rsidP="000E3693">
      <w:pPr>
        <w:rPr>
          <w:rFonts w:cs="Arial"/>
          <w:szCs w:val="24"/>
        </w:rPr>
      </w:pPr>
      <w:r w:rsidRPr="00C97AA1">
        <w:rPr>
          <w:rFonts w:cs="Arial"/>
          <w:szCs w:val="24"/>
        </w:rPr>
        <w:t>Not supported</w:t>
      </w:r>
    </w:p>
    <w:p w14:paraId="7D9209EC" w14:textId="77777777" w:rsidR="00176316" w:rsidRPr="00C97AA1" w:rsidRDefault="00176316" w:rsidP="006A6EEF">
      <w:pPr>
        <w:pStyle w:val="VEOHRCBodytext"/>
        <w:rPr>
          <w:b/>
          <w:lang w:val="en-GB"/>
        </w:rPr>
      </w:pPr>
      <w:r w:rsidRPr="00C97AA1">
        <w:rPr>
          <w:b/>
          <w:lang w:val="en-GB"/>
        </w:rPr>
        <w:t>Status</w:t>
      </w:r>
    </w:p>
    <w:p w14:paraId="4643C0F0" w14:textId="77777777" w:rsidR="00176316" w:rsidRPr="00C97AA1" w:rsidRDefault="00176316" w:rsidP="000E3693">
      <w:pPr>
        <w:pStyle w:val="VEOHRCBodytext"/>
        <w:rPr>
          <w:szCs w:val="24"/>
          <w:lang w:val="en-GB"/>
        </w:rPr>
      </w:pPr>
      <w:r w:rsidRPr="00A76371">
        <w:rPr>
          <w:szCs w:val="24"/>
          <w:highlight w:val="lightGray"/>
          <w:lang w:val="en-GB"/>
        </w:rPr>
        <w:t>NOT SUPPORTED</w:t>
      </w:r>
    </w:p>
    <w:p w14:paraId="304D948D" w14:textId="32F81E46" w:rsidR="00176316" w:rsidRPr="003A3F4F" w:rsidRDefault="00FD0943" w:rsidP="0002642E">
      <w:pPr>
        <w:pStyle w:val="Heading3"/>
      </w:pPr>
      <w:r w:rsidRPr="0002642E">
        <w:rPr>
          <w:lang w:val="en-GB"/>
        </w:rPr>
        <w:t>Recommendation 32</w:t>
      </w:r>
    </w:p>
    <w:p w14:paraId="2B48A523" w14:textId="03EA2B4A" w:rsidR="00176316" w:rsidRPr="003A3F4F" w:rsidRDefault="00176316" w:rsidP="0002642E">
      <w:pPr>
        <w:pStyle w:val="VEOHRCBodytext"/>
        <w:tabs>
          <w:tab w:val="left" w:pos="1470"/>
        </w:tabs>
      </w:pPr>
      <w:r w:rsidRPr="0002642E">
        <w:rPr>
          <w:lang w:val="en-GB"/>
        </w:rPr>
        <w:t xml:space="preserve">Sections 36 and 37 of the Charter be amended to use the words </w:t>
      </w:r>
      <w:r w:rsidRPr="00C97AA1">
        <w:rPr>
          <w:szCs w:val="24"/>
          <w:lang w:val="en-GB" w:eastAsia="ja-JP"/>
        </w:rPr>
        <w:t>'declaration</w:t>
      </w:r>
      <w:r w:rsidRPr="0002642E">
        <w:rPr>
          <w:lang w:val="en-GB"/>
        </w:rPr>
        <w:t xml:space="preserve"> of incompatible </w:t>
      </w:r>
      <w:r w:rsidRPr="00C97AA1">
        <w:rPr>
          <w:szCs w:val="24"/>
          <w:lang w:val="en-GB" w:eastAsia="ja-JP"/>
        </w:rPr>
        <w:t xml:space="preserve">interpretation' </w:t>
      </w:r>
      <w:r w:rsidRPr="0002642E">
        <w:rPr>
          <w:lang w:val="en-GB"/>
        </w:rPr>
        <w:t xml:space="preserve">and </w:t>
      </w:r>
      <w:r w:rsidRPr="00C97AA1">
        <w:rPr>
          <w:szCs w:val="24"/>
          <w:lang w:val="en-GB" w:eastAsia="ja-JP"/>
        </w:rPr>
        <w:t>'cannot</w:t>
      </w:r>
      <w:r w:rsidRPr="0002642E">
        <w:rPr>
          <w:lang w:val="en-GB"/>
        </w:rPr>
        <w:t xml:space="preserve"> be interpreted compatibly with a human </w:t>
      </w:r>
      <w:r w:rsidRPr="00C97AA1">
        <w:rPr>
          <w:szCs w:val="24"/>
          <w:lang w:val="en-GB" w:eastAsia="ja-JP"/>
        </w:rPr>
        <w:t>right'</w:t>
      </w:r>
      <w:r w:rsidRPr="0002642E">
        <w:rPr>
          <w:lang w:val="en-GB"/>
        </w:rPr>
        <w:t>, for consistency with terminology used in related sections, including section 32</w:t>
      </w:r>
      <w:r w:rsidR="00026826" w:rsidRPr="0002642E">
        <w:rPr>
          <w:lang w:val="en-GB"/>
        </w:rPr>
        <w:t>.</w:t>
      </w:r>
    </w:p>
    <w:p w14:paraId="1CF4073C" w14:textId="77777777" w:rsidR="00176316" w:rsidRPr="00C97AA1" w:rsidRDefault="00176316" w:rsidP="000E3693">
      <w:pPr>
        <w:pStyle w:val="Heading4"/>
        <w:rPr>
          <w:lang w:val="en-GB"/>
        </w:rPr>
      </w:pPr>
      <w:r w:rsidRPr="00C97AA1">
        <w:rPr>
          <w:lang w:val="en-GB"/>
        </w:rPr>
        <w:t>Government response</w:t>
      </w:r>
    </w:p>
    <w:p w14:paraId="48E910C1" w14:textId="77777777" w:rsidR="00176316" w:rsidRPr="00C97AA1" w:rsidRDefault="00176316" w:rsidP="000E3693">
      <w:pPr>
        <w:pStyle w:val="VEOHRCBodytext"/>
        <w:rPr>
          <w:szCs w:val="24"/>
          <w:lang w:val="en-GB"/>
        </w:rPr>
      </w:pPr>
      <w:r w:rsidRPr="00C97AA1">
        <w:rPr>
          <w:szCs w:val="24"/>
          <w:lang w:val="en-GB"/>
        </w:rPr>
        <w:t>Supported</w:t>
      </w:r>
    </w:p>
    <w:p w14:paraId="3034A517" w14:textId="77777777" w:rsidR="00176316" w:rsidRPr="003A3F4F" w:rsidRDefault="00176316" w:rsidP="0002642E">
      <w:pPr>
        <w:pStyle w:val="VEOHRCBodytext"/>
      </w:pPr>
      <w:r w:rsidRPr="0002642E">
        <w:rPr>
          <w:b/>
          <w:lang w:val="en-GB"/>
        </w:rPr>
        <w:t>Progress – as reported in the 2017 Charter Report</w:t>
      </w:r>
    </w:p>
    <w:p w14:paraId="2A6EFB5E" w14:textId="77777777" w:rsidR="00176316" w:rsidRPr="003A3F4F" w:rsidRDefault="00176316" w:rsidP="0002642E">
      <w:pPr>
        <w:pStyle w:val="VEOHRCBodytext"/>
      </w:pPr>
      <w:r w:rsidRPr="0002642E">
        <w:rPr>
          <w:lang w:val="en-GB"/>
        </w:rPr>
        <w:t>See Recommendation 12.</w:t>
      </w:r>
    </w:p>
    <w:p w14:paraId="7EAE1265" w14:textId="77777777" w:rsidR="00176316" w:rsidRPr="003A3F4F" w:rsidRDefault="00176316" w:rsidP="0002642E">
      <w:pPr>
        <w:pStyle w:val="VEOHRCBodytext"/>
      </w:pPr>
      <w:r w:rsidRPr="0002642E">
        <w:rPr>
          <w:b/>
          <w:lang w:val="en-GB"/>
        </w:rPr>
        <w:t>Progress during the 2018 calendar year</w:t>
      </w:r>
    </w:p>
    <w:p w14:paraId="7704B74E" w14:textId="77777777" w:rsidR="00176316" w:rsidRPr="0002642E" w:rsidRDefault="00176316" w:rsidP="0002642E">
      <w:pPr>
        <w:pStyle w:val="VEOHRCBodytext"/>
      </w:pPr>
      <w:r w:rsidRPr="0002642E">
        <w:rPr>
          <w:lang w:val="en-GB"/>
        </w:rPr>
        <w:t>See Recommendation 12.</w:t>
      </w:r>
    </w:p>
    <w:p w14:paraId="0AF92D0A" w14:textId="77777777" w:rsidR="00176316" w:rsidRPr="00C97AA1" w:rsidRDefault="00176316" w:rsidP="006A6EEF">
      <w:pPr>
        <w:pStyle w:val="VEOHRCBodytext"/>
        <w:rPr>
          <w:b/>
          <w:lang w:val="en-GB"/>
        </w:rPr>
      </w:pPr>
      <w:r w:rsidRPr="00C97AA1">
        <w:rPr>
          <w:b/>
          <w:lang w:val="en-GB"/>
        </w:rPr>
        <w:t>Status</w:t>
      </w:r>
    </w:p>
    <w:p w14:paraId="3415C3E9" w14:textId="77777777" w:rsidR="00176316" w:rsidRPr="003A3F4F" w:rsidRDefault="00176316" w:rsidP="0002642E">
      <w:pPr>
        <w:pStyle w:val="VEOHRCBodytext"/>
      </w:pPr>
      <w:r w:rsidRPr="00C97AA1">
        <w:rPr>
          <w:szCs w:val="24"/>
          <w:shd w:val="clear" w:color="auto" w:fill="FFC000"/>
          <w:lang w:val="en-GB"/>
        </w:rPr>
        <w:t>PENDING</w:t>
      </w:r>
    </w:p>
    <w:p w14:paraId="4209933E" w14:textId="286C9F8E" w:rsidR="00176316" w:rsidRPr="003A3F4F" w:rsidRDefault="00E4174C" w:rsidP="0002642E">
      <w:pPr>
        <w:pStyle w:val="Heading3"/>
      </w:pPr>
      <w:r w:rsidRPr="0002642E">
        <w:rPr>
          <w:lang w:val="en-GB"/>
        </w:rPr>
        <w:t>Recommendation 33</w:t>
      </w:r>
    </w:p>
    <w:p w14:paraId="046283F3" w14:textId="68C82B39" w:rsidR="00176316" w:rsidRPr="003A3F4F" w:rsidRDefault="00176316" w:rsidP="0002642E">
      <w:pPr>
        <w:pStyle w:val="VEOHRCBodytext"/>
      </w:pPr>
      <w:r w:rsidRPr="0002642E">
        <w:rPr>
          <w:lang w:val="en-GB"/>
        </w:rPr>
        <w:t>Section 35 of the Charter be amended to remove the notice requirement for proceedings in the County Court and to give a judicial officer or tribunal member power to require a notice to be issued for a Charter issue of general importance or when otherwise in the interests of justice (at their discretion). Further, an explanatory note should be added to section 35 to make clear that proceedings do not have to be adjourned while notice is issued and responded</w:t>
      </w:r>
      <w:r w:rsidRPr="00C97AA1">
        <w:rPr>
          <w:szCs w:val="24"/>
          <w:lang w:val="en-GB" w:eastAsia="ja-JP"/>
        </w:rPr>
        <w:t xml:space="preserve"> </w:t>
      </w:r>
      <w:r w:rsidRPr="0002642E">
        <w:rPr>
          <w:lang w:val="en-GB"/>
        </w:rPr>
        <w:t>to. The Attorney-General and the Commission should retain their right to intervene in all proceedings</w:t>
      </w:r>
      <w:r w:rsidR="00026826" w:rsidRPr="0002642E">
        <w:rPr>
          <w:lang w:val="en-GB"/>
        </w:rPr>
        <w:t>.</w:t>
      </w:r>
    </w:p>
    <w:p w14:paraId="526CAD42" w14:textId="77777777" w:rsidR="00176316" w:rsidRPr="00C97AA1" w:rsidRDefault="00176316" w:rsidP="000E3693">
      <w:pPr>
        <w:pStyle w:val="Heading4"/>
        <w:rPr>
          <w:lang w:val="en-GB"/>
        </w:rPr>
      </w:pPr>
      <w:r w:rsidRPr="00C97AA1">
        <w:rPr>
          <w:lang w:val="en-GB"/>
        </w:rPr>
        <w:t>Government response</w:t>
      </w:r>
    </w:p>
    <w:p w14:paraId="5C1E9857" w14:textId="77777777" w:rsidR="00176316" w:rsidRPr="00C97AA1" w:rsidRDefault="00176316" w:rsidP="000E3693">
      <w:pPr>
        <w:pStyle w:val="VEOHRCBodytext"/>
        <w:rPr>
          <w:szCs w:val="24"/>
          <w:lang w:val="en-GB"/>
        </w:rPr>
      </w:pPr>
      <w:r w:rsidRPr="00C97AA1">
        <w:rPr>
          <w:szCs w:val="24"/>
          <w:lang w:val="en-GB"/>
        </w:rPr>
        <w:t>Supported in part</w:t>
      </w:r>
    </w:p>
    <w:p w14:paraId="1CC73718" w14:textId="77777777" w:rsidR="00176316" w:rsidRPr="003A3F4F" w:rsidRDefault="00176316" w:rsidP="0002642E">
      <w:pPr>
        <w:pStyle w:val="VEOHRCBodytext"/>
      </w:pPr>
      <w:r w:rsidRPr="0002642E">
        <w:rPr>
          <w:b/>
          <w:lang w:val="en-GB"/>
        </w:rPr>
        <w:t>Progress – as reported in the 2017 Charter Report</w:t>
      </w:r>
    </w:p>
    <w:p w14:paraId="14F8E50A" w14:textId="77777777" w:rsidR="00176316" w:rsidRPr="003A3F4F" w:rsidRDefault="00176316" w:rsidP="0002642E">
      <w:pPr>
        <w:pStyle w:val="VEOHRCBodytext"/>
      </w:pPr>
      <w:r w:rsidRPr="0002642E">
        <w:rPr>
          <w:lang w:val="en-GB"/>
        </w:rPr>
        <w:t>See Recommendation 12.</w:t>
      </w:r>
    </w:p>
    <w:p w14:paraId="2B776FA6" w14:textId="77777777" w:rsidR="00176316" w:rsidRPr="003A3F4F" w:rsidRDefault="00176316" w:rsidP="0002642E">
      <w:pPr>
        <w:pStyle w:val="VEOHRCBodytext"/>
      </w:pPr>
      <w:r w:rsidRPr="0002642E">
        <w:rPr>
          <w:b/>
          <w:lang w:val="en-GB"/>
        </w:rPr>
        <w:t>Progress during the 2018 calendar year</w:t>
      </w:r>
    </w:p>
    <w:p w14:paraId="200303EE" w14:textId="77777777" w:rsidR="00176316" w:rsidRPr="0002642E" w:rsidRDefault="00176316" w:rsidP="0002642E">
      <w:pPr>
        <w:pStyle w:val="VEOHRCBodytext"/>
      </w:pPr>
      <w:r w:rsidRPr="0002642E">
        <w:rPr>
          <w:lang w:val="en-GB"/>
        </w:rPr>
        <w:t>See Recommendation 12.</w:t>
      </w:r>
    </w:p>
    <w:p w14:paraId="2EBA8606" w14:textId="77777777" w:rsidR="00176316" w:rsidRPr="00C97AA1" w:rsidRDefault="00176316" w:rsidP="006A6EEF">
      <w:pPr>
        <w:pStyle w:val="VEOHRCBodytext"/>
        <w:rPr>
          <w:b/>
          <w:lang w:val="en-GB"/>
        </w:rPr>
      </w:pPr>
      <w:r w:rsidRPr="00C97AA1">
        <w:rPr>
          <w:b/>
          <w:lang w:val="en-GB"/>
        </w:rPr>
        <w:t>Status</w:t>
      </w:r>
    </w:p>
    <w:p w14:paraId="5455DC62" w14:textId="77777777" w:rsidR="00176316" w:rsidRPr="003A3F4F" w:rsidRDefault="00176316" w:rsidP="0002642E">
      <w:pPr>
        <w:pStyle w:val="VEOHRCBodytext"/>
      </w:pPr>
      <w:r w:rsidRPr="00C97AA1">
        <w:rPr>
          <w:szCs w:val="24"/>
          <w:shd w:val="clear" w:color="auto" w:fill="FFC000"/>
          <w:lang w:val="en-GB"/>
        </w:rPr>
        <w:t>PENDING</w:t>
      </w:r>
    </w:p>
    <w:p w14:paraId="7CF47284" w14:textId="1C554CC1" w:rsidR="00176316" w:rsidRPr="003A3F4F" w:rsidRDefault="00E4174C" w:rsidP="0002642E">
      <w:pPr>
        <w:pStyle w:val="Heading3"/>
      </w:pPr>
      <w:r w:rsidRPr="0002642E">
        <w:rPr>
          <w:lang w:val="en-GB"/>
        </w:rPr>
        <w:t>Recommendation 34</w:t>
      </w:r>
    </w:p>
    <w:p w14:paraId="48DA26C4" w14:textId="2E87B093" w:rsidR="00176316" w:rsidRPr="003A3F4F" w:rsidRDefault="00176316" w:rsidP="0002642E">
      <w:pPr>
        <w:pStyle w:val="VEOHRCBodytext"/>
      </w:pPr>
      <w:r w:rsidRPr="0002642E">
        <w:rPr>
          <w:lang w:val="en-GB"/>
        </w:rPr>
        <w:t>Sections 34 and 40 of the Charter be amended to explicitly give a judicial officer or tribunal member power to place conditions on interventions to support case management. Conditions may include, for example, timetabling, setting how the interveners may participate in proceedings, and confining the matters that submissions may address</w:t>
      </w:r>
      <w:r w:rsidR="00026826" w:rsidRPr="0002642E">
        <w:rPr>
          <w:lang w:val="en-GB"/>
        </w:rPr>
        <w:t>.</w:t>
      </w:r>
    </w:p>
    <w:p w14:paraId="740E0DEF" w14:textId="77777777" w:rsidR="00176316" w:rsidRPr="00C97AA1" w:rsidRDefault="00176316" w:rsidP="000E3693">
      <w:pPr>
        <w:pStyle w:val="Heading4"/>
        <w:rPr>
          <w:lang w:val="en-GB"/>
        </w:rPr>
      </w:pPr>
      <w:r w:rsidRPr="00C97AA1">
        <w:rPr>
          <w:lang w:val="en-GB"/>
        </w:rPr>
        <w:t>Government response</w:t>
      </w:r>
    </w:p>
    <w:p w14:paraId="698E4199" w14:textId="77777777" w:rsidR="00176316" w:rsidRPr="00C97AA1" w:rsidRDefault="00176316" w:rsidP="000E3693">
      <w:pPr>
        <w:pStyle w:val="VEOHRCBodytext"/>
        <w:rPr>
          <w:szCs w:val="24"/>
          <w:lang w:val="en-GB"/>
        </w:rPr>
      </w:pPr>
      <w:r w:rsidRPr="00C97AA1">
        <w:rPr>
          <w:szCs w:val="24"/>
          <w:lang w:val="en-GB"/>
        </w:rPr>
        <w:t>Supported</w:t>
      </w:r>
    </w:p>
    <w:p w14:paraId="11778937" w14:textId="77777777" w:rsidR="00176316" w:rsidRPr="003A3F4F" w:rsidRDefault="00176316" w:rsidP="0002642E">
      <w:pPr>
        <w:pStyle w:val="VEOHRCBodytext"/>
      </w:pPr>
      <w:r w:rsidRPr="0002642E">
        <w:rPr>
          <w:b/>
          <w:lang w:val="en-GB"/>
        </w:rPr>
        <w:t>Progress – as reported in the 2017 Charter Report</w:t>
      </w:r>
    </w:p>
    <w:p w14:paraId="3B5739FD" w14:textId="77777777" w:rsidR="00176316" w:rsidRPr="003A3F4F" w:rsidRDefault="00176316" w:rsidP="0002642E">
      <w:pPr>
        <w:pStyle w:val="VEOHRCBodytext"/>
      </w:pPr>
      <w:r w:rsidRPr="0002642E">
        <w:rPr>
          <w:lang w:val="en-GB"/>
        </w:rPr>
        <w:lastRenderedPageBreak/>
        <w:t>See Recommendation 12.</w:t>
      </w:r>
    </w:p>
    <w:p w14:paraId="1C586545" w14:textId="77777777" w:rsidR="00176316" w:rsidRPr="003A3F4F" w:rsidRDefault="00176316" w:rsidP="0002642E">
      <w:pPr>
        <w:pStyle w:val="VEOHRCBodytext"/>
      </w:pPr>
      <w:r w:rsidRPr="0002642E">
        <w:rPr>
          <w:b/>
          <w:lang w:val="en-GB"/>
        </w:rPr>
        <w:t>Progress during the 2018 calendar year</w:t>
      </w:r>
    </w:p>
    <w:p w14:paraId="0631D10D" w14:textId="77777777" w:rsidR="00176316" w:rsidRPr="0002642E" w:rsidRDefault="00176316" w:rsidP="0002642E">
      <w:pPr>
        <w:pStyle w:val="VEOHRCBodytext"/>
      </w:pPr>
      <w:r w:rsidRPr="0002642E">
        <w:rPr>
          <w:lang w:val="en-GB"/>
        </w:rPr>
        <w:t>See Recommendation 12.</w:t>
      </w:r>
    </w:p>
    <w:p w14:paraId="402D900D" w14:textId="77777777" w:rsidR="00176316" w:rsidRPr="00C97AA1" w:rsidRDefault="00176316" w:rsidP="006A6EEF">
      <w:pPr>
        <w:pStyle w:val="VEOHRCBodytext"/>
        <w:rPr>
          <w:b/>
          <w:lang w:val="en-GB"/>
        </w:rPr>
      </w:pPr>
      <w:r w:rsidRPr="00C97AA1">
        <w:rPr>
          <w:b/>
          <w:lang w:val="en-GB"/>
        </w:rPr>
        <w:t>Status</w:t>
      </w:r>
    </w:p>
    <w:p w14:paraId="19C96783" w14:textId="77777777" w:rsidR="00176316" w:rsidRPr="00C97AA1" w:rsidRDefault="00176316" w:rsidP="000E3693">
      <w:pPr>
        <w:pStyle w:val="VEOHRCBodytext"/>
        <w:rPr>
          <w:szCs w:val="24"/>
          <w:lang w:val="en-GB"/>
        </w:rPr>
      </w:pPr>
      <w:r w:rsidRPr="00C97AA1">
        <w:rPr>
          <w:szCs w:val="24"/>
          <w:shd w:val="clear" w:color="auto" w:fill="FFC000"/>
          <w:lang w:val="en-GB"/>
        </w:rPr>
        <w:t>PENDING</w:t>
      </w:r>
    </w:p>
    <w:p w14:paraId="5E94CB14" w14:textId="47B89D60" w:rsidR="00176316" w:rsidRPr="003A3F4F" w:rsidRDefault="00E4174C" w:rsidP="0002642E">
      <w:pPr>
        <w:pStyle w:val="Heading3"/>
      </w:pPr>
      <w:r w:rsidRPr="0002642E">
        <w:rPr>
          <w:lang w:val="en-GB"/>
        </w:rPr>
        <w:t>Recommendation 35</w:t>
      </w:r>
    </w:p>
    <w:p w14:paraId="0D3FAAD7" w14:textId="7CD08D2C" w:rsidR="00176316" w:rsidRPr="003A3F4F" w:rsidRDefault="00176316" w:rsidP="0002642E">
      <w:pPr>
        <w:pStyle w:val="VEOHRCBodytext"/>
      </w:pPr>
      <w:r w:rsidRPr="0002642E">
        <w:rPr>
          <w:lang w:val="en-GB"/>
        </w:rPr>
        <w:t>The Attorney-General and the Victorian Equal Opportunity and Human Rights Commission publish guidance on how they will consider and process Charter notifications and their cost policies as an intervener (when they do not already do so). The Attorney-General and the Commission should make this guidance available to the public and promote it in the legal sector</w:t>
      </w:r>
      <w:r w:rsidR="00026826" w:rsidRPr="0002642E">
        <w:rPr>
          <w:lang w:val="en-GB"/>
        </w:rPr>
        <w:t>.</w:t>
      </w:r>
    </w:p>
    <w:p w14:paraId="5E89B526" w14:textId="77777777" w:rsidR="00176316" w:rsidRPr="00C97AA1" w:rsidRDefault="00176316" w:rsidP="000E3693">
      <w:pPr>
        <w:pStyle w:val="Heading4"/>
        <w:rPr>
          <w:lang w:val="en-GB"/>
        </w:rPr>
      </w:pPr>
      <w:r w:rsidRPr="00C97AA1">
        <w:rPr>
          <w:lang w:val="en-GB"/>
        </w:rPr>
        <w:t>Government response</w:t>
      </w:r>
    </w:p>
    <w:p w14:paraId="22079ED2" w14:textId="77777777" w:rsidR="00176316" w:rsidRPr="00C97AA1" w:rsidRDefault="00176316" w:rsidP="000E3693">
      <w:pPr>
        <w:pStyle w:val="VEOHRCBodytext"/>
        <w:rPr>
          <w:szCs w:val="24"/>
          <w:lang w:val="en-GB"/>
        </w:rPr>
      </w:pPr>
      <w:r w:rsidRPr="00C97AA1">
        <w:rPr>
          <w:szCs w:val="24"/>
          <w:lang w:val="en-GB"/>
        </w:rPr>
        <w:t>Supported</w:t>
      </w:r>
    </w:p>
    <w:p w14:paraId="1964ABFE" w14:textId="77777777" w:rsidR="00176316" w:rsidRPr="003A3F4F" w:rsidRDefault="00176316" w:rsidP="0002642E">
      <w:pPr>
        <w:pStyle w:val="VEOHRCBodytext"/>
      </w:pPr>
      <w:r w:rsidRPr="0002642E">
        <w:rPr>
          <w:b/>
          <w:lang w:val="en-GB"/>
        </w:rPr>
        <w:t>Progress – as reported in the 2017 Charter Report</w:t>
      </w:r>
    </w:p>
    <w:p w14:paraId="5EE9797F" w14:textId="622F2A6F" w:rsidR="00176316" w:rsidRPr="003A3F4F" w:rsidRDefault="00176316" w:rsidP="003A3F4F">
      <w:pPr>
        <w:pStyle w:val="VEOHRCBodytext"/>
      </w:pPr>
      <w:r w:rsidRPr="0002642E">
        <w:rPr>
          <w:lang w:val="en-GB"/>
        </w:rPr>
        <w:t xml:space="preserve">During </w:t>
      </w:r>
      <w:proofErr w:type="gramStart"/>
      <w:r w:rsidRPr="0002642E">
        <w:rPr>
          <w:lang w:val="en-GB"/>
        </w:rPr>
        <w:t>2017</w:t>
      </w:r>
      <w:proofErr w:type="gramEnd"/>
      <w:r w:rsidRPr="0002642E">
        <w:rPr>
          <w:lang w:val="en-GB"/>
        </w:rPr>
        <w:t xml:space="preserve"> the Attorney-General d</w:t>
      </w:r>
      <w:r w:rsidRPr="003A3F4F">
        <w:rPr>
          <w:lang w:val="en-GB"/>
        </w:rPr>
        <w:t xml:space="preserve">eveloped Charter Intervention Guidelines, including costs policies as an intervener. The </w:t>
      </w:r>
      <w:r w:rsidRPr="00C97AA1">
        <w:rPr>
          <w:szCs w:val="24"/>
          <w:lang w:val="en-GB"/>
        </w:rPr>
        <w:t>Commission's</w:t>
      </w:r>
      <w:r w:rsidRPr="003A3F4F">
        <w:rPr>
          <w:lang w:val="en-GB"/>
        </w:rPr>
        <w:t xml:space="preserve"> Charter Intervention Guidelines are available on its website.</w:t>
      </w:r>
    </w:p>
    <w:p w14:paraId="3DE6DB66" w14:textId="05F6B210" w:rsidR="00176316" w:rsidRPr="003A3F4F" w:rsidRDefault="00176316" w:rsidP="003A3F4F">
      <w:pPr>
        <w:pStyle w:val="VEOHRCBodytext"/>
      </w:pPr>
      <w:r w:rsidRPr="003A3F4F">
        <w:rPr>
          <w:lang w:val="en-GB"/>
        </w:rPr>
        <w:t>At the time of writing this report, the Attorney-</w:t>
      </w:r>
      <w:r w:rsidRPr="00C97AA1">
        <w:rPr>
          <w:szCs w:val="24"/>
          <w:lang w:val="en-GB"/>
        </w:rPr>
        <w:t>General's</w:t>
      </w:r>
      <w:r w:rsidRPr="003A3F4F">
        <w:rPr>
          <w:lang w:val="en-GB"/>
        </w:rPr>
        <w:t xml:space="preserve"> Charter Intervention Guidelines have been made available on the DJR website and Commission website. The guidelines have also been distributed to the legal sector and other stakeholders, including Victoria Legal Aid, the Federation of Community Legal Centres Victoria, the JCV, the Victorian Bar, the Law Institute of Victoria and the Victorian Ombudsman.</w:t>
      </w:r>
    </w:p>
    <w:p w14:paraId="5C7B9EDC" w14:textId="77777777" w:rsidR="00176316" w:rsidRPr="003A3F4F" w:rsidRDefault="00176316" w:rsidP="003A3F4F">
      <w:pPr>
        <w:pStyle w:val="VEOHRCBodytext"/>
      </w:pPr>
      <w:r w:rsidRPr="003A3F4F">
        <w:rPr>
          <w:b/>
          <w:lang w:val="en-GB"/>
        </w:rPr>
        <w:t>Progress during the 2018 calendar year</w:t>
      </w:r>
    </w:p>
    <w:p w14:paraId="0D8A50B7" w14:textId="77777777" w:rsidR="00176316" w:rsidRPr="003A3F4F" w:rsidRDefault="00176316" w:rsidP="003A3F4F">
      <w:pPr>
        <w:pStyle w:val="VEOHRCBodytext"/>
      </w:pPr>
      <w:r w:rsidRPr="003A3F4F">
        <w:rPr>
          <w:lang w:val="en-GB"/>
        </w:rPr>
        <w:t>Completed in 2017.</w:t>
      </w:r>
    </w:p>
    <w:p w14:paraId="0E473A73" w14:textId="77777777" w:rsidR="00176316" w:rsidRPr="00C97AA1" w:rsidRDefault="00176316" w:rsidP="006A6EEF">
      <w:pPr>
        <w:pStyle w:val="VEOHRCBodytext"/>
        <w:rPr>
          <w:b/>
          <w:lang w:val="en-GB"/>
        </w:rPr>
      </w:pPr>
      <w:r w:rsidRPr="00C97AA1">
        <w:rPr>
          <w:b/>
          <w:lang w:val="en-GB"/>
        </w:rPr>
        <w:t>Status</w:t>
      </w:r>
    </w:p>
    <w:p w14:paraId="796DFDED" w14:textId="77777777" w:rsidR="00176316" w:rsidRPr="00C97AA1" w:rsidRDefault="00176316" w:rsidP="000E3693">
      <w:pPr>
        <w:pStyle w:val="VEOHRCBodytext"/>
        <w:rPr>
          <w:szCs w:val="24"/>
          <w:lang w:val="en-GB"/>
        </w:rPr>
      </w:pPr>
      <w:r w:rsidRPr="00C97AA1">
        <w:rPr>
          <w:szCs w:val="24"/>
          <w:shd w:val="clear" w:color="auto" w:fill="92D050"/>
          <w:lang w:val="en-GB"/>
        </w:rPr>
        <w:t>COMPLETE</w:t>
      </w:r>
    </w:p>
    <w:p w14:paraId="0BB36FC7" w14:textId="77777777" w:rsidR="00176316" w:rsidRPr="003A3F4F" w:rsidRDefault="00176316" w:rsidP="003A3F4F">
      <w:pPr>
        <w:pStyle w:val="Heading2"/>
        <w:ind w:left="0" w:firstLine="0"/>
      </w:pPr>
      <w:bookmarkStart w:id="127" w:name="_Toc22011552"/>
      <w:r w:rsidRPr="003A3F4F">
        <w:rPr>
          <w:lang w:val="en-GB"/>
        </w:rPr>
        <w:t>Chapter 6 – Firming the foundations – more effective parliamentary scrutiny</w:t>
      </w:r>
      <w:bookmarkEnd w:id="127"/>
    </w:p>
    <w:p w14:paraId="7DD3D060" w14:textId="278F2609" w:rsidR="00176316" w:rsidRPr="003A3F4F" w:rsidRDefault="00E4174C" w:rsidP="003A3F4F">
      <w:pPr>
        <w:pStyle w:val="Heading3"/>
      </w:pPr>
      <w:r w:rsidRPr="003A3F4F">
        <w:rPr>
          <w:lang w:val="en-GB"/>
        </w:rPr>
        <w:t>Recommendation 36</w:t>
      </w:r>
    </w:p>
    <w:p w14:paraId="41EDDDB9" w14:textId="18C650F7" w:rsidR="00176316" w:rsidRPr="003A3F4F" w:rsidRDefault="00176316" w:rsidP="003A3F4F">
      <w:pPr>
        <w:pStyle w:val="VEOHRCBodytext"/>
      </w:pPr>
      <w:r w:rsidRPr="003A3F4F">
        <w:rPr>
          <w:lang w:val="en-GB"/>
        </w:rPr>
        <w:t xml:space="preserve">The secretariat of the Scrutiny of Acts and Regulations Committee arrange for human rights induction training for members of the Committee and the Victorian Equal Opportunity and Human Rights Commission offer </w:t>
      </w:r>
      <w:proofErr w:type="gramStart"/>
      <w:r w:rsidRPr="003A3F4F">
        <w:rPr>
          <w:lang w:val="en-GB"/>
        </w:rPr>
        <w:t>a human rights</w:t>
      </w:r>
      <w:proofErr w:type="gramEnd"/>
      <w:r w:rsidRPr="003A3F4F">
        <w:rPr>
          <w:lang w:val="en-GB"/>
        </w:rPr>
        <w:t xml:space="preserve"> briefing to all new parliamentarians.</w:t>
      </w:r>
    </w:p>
    <w:p w14:paraId="5D5FDCF2" w14:textId="77777777" w:rsidR="00176316" w:rsidRPr="00C97AA1" w:rsidRDefault="00176316" w:rsidP="00090A40">
      <w:pPr>
        <w:pStyle w:val="Heading4"/>
        <w:rPr>
          <w:lang w:val="en-GB"/>
        </w:rPr>
      </w:pPr>
      <w:r w:rsidRPr="00C97AA1">
        <w:rPr>
          <w:lang w:val="en-GB"/>
        </w:rPr>
        <w:t>Government response</w:t>
      </w:r>
    </w:p>
    <w:p w14:paraId="7FCE24FB" w14:textId="77777777" w:rsidR="00176316" w:rsidRPr="00C97AA1" w:rsidRDefault="00176316" w:rsidP="00090A40">
      <w:pPr>
        <w:pStyle w:val="VEOHRCBodytext"/>
        <w:rPr>
          <w:szCs w:val="24"/>
          <w:lang w:val="en-GB"/>
        </w:rPr>
      </w:pPr>
      <w:r w:rsidRPr="00C97AA1">
        <w:rPr>
          <w:szCs w:val="24"/>
          <w:lang w:val="en-GB"/>
        </w:rPr>
        <w:t>Supported</w:t>
      </w:r>
    </w:p>
    <w:p w14:paraId="226DAA45" w14:textId="77777777" w:rsidR="00176316" w:rsidRPr="003A3F4F" w:rsidRDefault="00176316" w:rsidP="003A3F4F">
      <w:pPr>
        <w:pStyle w:val="VEOHRCBodytext"/>
      </w:pPr>
      <w:r w:rsidRPr="003A3F4F">
        <w:rPr>
          <w:b/>
          <w:lang w:val="en-GB"/>
        </w:rPr>
        <w:t>Progress – as reported in the 2017 Charter Report</w:t>
      </w:r>
    </w:p>
    <w:p w14:paraId="35A69EFE" w14:textId="7123ECD0" w:rsidR="00176316" w:rsidRPr="00C97AA1" w:rsidRDefault="00176316" w:rsidP="003A3F4F">
      <w:pPr>
        <w:rPr>
          <w:rFonts w:cs="Arial"/>
          <w:szCs w:val="24"/>
          <w:lang w:eastAsia="ja-JP"/>
        </w:rPr>
      </w:pPr>
      <w:r w:rsidRPr="00C97AA1">
        <w:rPr>
          <w:rFonts w:cs="Arial"/>
          <w:szCs w:val="24"/>
          <w:lang w:eastAsia="ja-JP"/>
        </w:rPr>
        <w:t>Committee members are provided with human rights briefing materials at the start of each parliament.</w:t>
      </w:r>
    </w:p>
    <w:p w14:paraId="0E710979" w14:textId="0A40D928" w:rsidR="00176316" w:rsidRPr="003A3F4F" w:rsidRDefault="00176316" w:rsidP="003A3F4F">
      <w:pPr>
        <w:pStyle w:val="VEOHRCBodytext"/>
      </w:pPr>
      <w:r w:rsidRPr="003A3F4F">
        <w:rPr>
          <w:lang w:val="en-GB"/>
        </w:rPr>
        <w:t>The Commission is yet to formalise a process for providing human rights briefings to all new parliamentarians.</w:t>
      </w:r>
    </w:p>
    <w:p w14:paraId="21850D8C" w14:textId="77777777" w:rsidR="00176316" w:rsidRPr="003A3F4F" w:rsidRDefault="00176316" w:rsidP="003A3F4F">
      <w:pPr>
        <w:pStyle w:val="VEOHRCBodytext"/>
      </w:pPr>
      <w:r w:rsidRPr="003A3F4F">
        <w:rPr>
          <w:b/>
          <w:lang w:val="en-GB"/>
        </w:rPr>
        <w:t>Progress during the 2018 calendar year</w:t>
      </w:r>
    </w:p>
    <w:p w14:paraId="385C1BD5" w14:textId="74D79517" w:rsidR="00176316" w:rsidRPr="00C97AA1" w:rsidRDefault="00176316" w:rsidP="003A3F4F">
      <w:pPr>
        <w:rPr>
          <w:rFonts w:cs="Arial"/>
          <w:szCs w:val="24"/>
          <w:lang w:eastAsia="ja-JP"/>
        </w:rPr>
      </w:pPr>
      <w:r w:rsidRPr="00C97AA1">
        <w:rPr>
          <w:rFonts w:cs="Arial"/>
          <w:szCs w:val="24"/>
          <w:lang w:eastAsia="ja-JP"/>
        </w:rPr>
        <w:lastRenderedPageBreak/>
        <w:t>Committee members are provided with human rights briefing materials at the start of each parliament.</w:t>
      </w:r>
    </w:p>
    <w:p w14:paraId="04F0D8DB" w14:textId="0D7F9117" w:rsidR="00176316" w:rsidRPr="003A3F4F" w:rsidRDefault="00176316" w:rsidP="003A3F4F">
      <w:pPr>
        <w:pStyle w:val="VEOHRCBodytext"/>
      </w:pPr>
      <w:r w:rsidRPr="003A3F4F">
        <w:rPr>
          <w:lang w:val="en-GB"/>
        </w:rPr>
        <w:t>The Commission is yet to formalise a process for providing human rights briefings to all new parliamentarians.</w:t>
      </w:r>
    </w:p>
    <w:p w14:paraId="26BBFDDC" w14:textId="77777777" w:rsidR="00176316" w:rsidRPr="00C97AA1" w:rsidRDefault="00176316" w:rsidP="006A6EEF">
      <w:pPr>
        <w:pStyle w:val="VEOHRCBodytext"/>
        <w:rPr>
          <w:b/>
          <w:lang w:val="en-GB"/>
        </w:rPr>
      </w:pPr>
      <w:r w:rsidRPr="00C97AA1">
        <w:rPr>
          <w:b/>
          <w:lang w:val="en-GB"/>
        </w:rPr>
        <w:t>Status</w:t>
      </w:r>
    </w:p>
    <w:p w14:paraId="3CFB6ABD" w14:textId="77777777" w:rsidR="00176316" w:rsidRPr="00C97AA1" w:rsidRDefault="00176316" w:rsidP="00090A40">
      <w:pPr>
        <w:pStyle w:val="VEOHRCBodytext"/>
        <w:rPr>
          <w:szCs w:val="24"/>
          <w:lang w:val="en-GB"/>
        </w:rPr>
      </w:pPr>
      <w:r w:rsidRPr="00C97AA1">
        <w:rPr>
          <w:szCs w:val="24"/>
          <w:shd w:val="clear" w:color="auto" w:fill="FFC000"/>
          <w:lang w:val="en-GB"/>
        </w:rPr>
        <w:t>PENDING</w:t>
      </w:r>
    </w:p>
    <w:p w14:paraId="143AA702" w14:textId="4B221A84" w:rsidR="00176316" w:rsidRPr="003A3F4F" w:rsidRDefault="00E4174C" w:rsidP="003A3F4F">
      <w:pPr>
        <w:pStyle w:val="Heading3"/>
      </w:pPr>
      <w:r w:rsidRPr="003A3F4F">
        <w:rPr>
          <w:lang w:val="en-GB"/>
        </w:rPr>
        <w:t>Recommendation 37</w:t>
      </w:r>
    </w:p>
    <w:p w14:paraId="2925C31B" w14:textId="77777777" w:rsidR="00176316" w:rsidRPr="00C97AA1" w:rsidRDefault="00176316" w:rsidP="003A3F4F">
      <w:pPr>
        <w:rPr>
          <w:rFonts w:cs="Arial"/>
          <w:szCs w:val="24"/>
          <w:lang w:eastAsia="ja-JP"/>
        </w:rPr>
      </w:pPr>
      <w:r w:rsidRPr="00C97AA1">
        <w:rPr>
          <w:rFonts w:cs="Arial"/>
          <w:szCs w:val="24"/>
          <w:lang w:eastAsia="ja-JP"/>
        </w:rPr>
        <w:t>The process for human rights scrutiny of Bills by the Scrutiny of Acts and Regulations Committee (SARC) be improved and public engagement in the process be enhanced by:</w:t>
      </w:r>
    </w:p>
    <w:p w14:paraId="28BAB24F" w14:textId="77777777" w:rsidR="00176316" w:rsidRPr="00C97AA1" w:rsidRDefault="00176316" w:rsidP="003A3F4F">
      <w:pPr>
        <w:pStyle w:val="ListParagraph"/>
        <w:numPr>
          <w:ilvl w:val="0"/>
          <w:numId w:val="39"/>
        </w:numPr>
        <w:rPr>
          <w:rFonts w:cs="Arial"/>
          <w:szCs w:val="24"/>
        </w:rPr>
      </w:pPr>
      <w:r w:rsidRPr="00C97AA1">
        <w:rPr>
          <w:rFonts w:cs="Arial"/>
          <w:szCs w:val="24"/>
        </w:rPr>
        <w:t xml:space="preserve">the Victorian Government considering how best to ensure that the Committee has sufficient time to scrutinise Bills that raise significant human rights issues </w:t>
      </w:r>
    </w:p>
    <w:p w14:paraId="1D574FD3" w14:textId="71EDCB09" w:rsidR="00176316" w:rsidRPr="00C97AA1" w:rsidRDefault="00176316" w:rsidP="003A3F4F">
      <w:pPr>
        <w:pStyle w:val="ListParagraph"/>
        <w:numPr>
          <w:ilvl w:val="0"/>
          <w:numId w:val="39"/>
        </w:numPr>
        <w:rPr>
          <w:rFonts w:cs="Arial"/>
          <w:szCs w:val="24"/>
        </w:rPr>
      </w:pPr>
      <w:r w:rsidRPr="00C97AA1">
        <w:rPr>
          <w:rFonts w:cs="Arial"/>
          <w:szCs w:val="24"/>
        </w:rPr>
        <w:t>the Committee establishing an electronic mailing list to notify individuals and organisations of Bills that it is considering and to invite submissions</w:t>
      </w:r>
    </w:p>
    <w:p w14:paraId="399E244D" w14:textId="4A931480" w:rsidR="00176316" w:rsidRPr="00C97AA1" w:rsidRDefault="00176316" w:rsidP="003A3F4F">
      <w:pPr>
        <w:pStyle w:val="ListParagraph"/>
        <w:numPr>
          <w:ilvl w:val="0"/>
          <w:numId w:val="39"/>
        </w:numPr>
        <w:rPr>
          <w:rFonts w:cs="Arial"/>
          <w:szCs w:val="24"/>
        </w:rPr>
      </w:pPr>
      <w:r w:rsidRPr="00C97AA1">
        <w:rPr>
          <w:rFonts w:cs="Arial"/>
          <w:szCs w:val="24"/>
        </w:rPr>
        <w:t>the Committee referring to the content of submissions made to it in its Alert Digests on Bills</w:t>
      </w:r>
      <w:r w:rsidR="00026826">
        <w:rPr>
          <w:rFonts w:cs="Arial"/>
          <w:szCs w:val="24"/>
        </w:rPr>
        <w:t>.</w:t>
      </w:r>
    </w:p>
    <w:p w14:paraId="02E35EDD" w14:textId="77777777" w:rsidR="00176316" w:rsidRPr="00C97AA1" w:rsidRDefault="00176316" w:rsidP="00090A40">
      <w:pPr>
        <w:pStyle w:val="Heading4"/>
        <w:rPr>
          <w:lang w:val="en-GB"/>
        </w:rPr>
      </w:pPr>
      <w:r w:rsidRPr="00C97AA1">
        <w:rPr>
          <w:lang w:val="en-GB"/>
        </w:rPr>
        <w:t>Government response</w:t>
      </w:r>
    </w:p>
    <w:p w14:paraId="0C7A719A" w14:textId="77777777" w:rsidR="00176316" w:rsidRPr="00C97AA1" w:rsidRDefault="00176316" w:rsidP="00090A40">
      <w:pPr>
        <w:pStyle w:val="VEOHRCBodytext"/>
        <w:rPr>
          <w:szCs w:val="24"/>
          <w:lang w:val="en-GB"/>
        </w:rPr>
      </w:pPr>
      <w:r w:rsidRPr="00C97AA1">
        <w:rPr>
          <w:szCs w:val="24"/>
          <w:lang w:val="en-GB"/>
        </w:rPr>
        <w:t>Supported in principle.</w:t>
      </w:r>
    </w:p>
    <w:p w14:paraId="5064D625" w14:textId="77777777" w:rsidR="00176316" w:rsidRPr="003A3F4F" w:rsidRDefault="00176316" w:rsidP="003A3F4F">
      <w:pPr>
        <w:pStyle w:val="VEOHRCBodytext"/>
      </w:pPr>
      <w:r w:rsidRPr="003A3F4F">
        <w:rPr>
          <w:b/>
          <w:lang w:val="en-GB"/>
        </w:rPr>
        <w:t>Progress – as reported in the 2017 Charter Report</w:t>
      </w:r>
    </w:p>
    <w:p w14:paraId="66BA9527" w14:textId="078652A3" w:rsidR="00176316" w:rsidRPr="003A3F4F" w:rsidRDefault="00176316" w:rsidP="003A3F4F">
      <w:pPr>
        <w:pStyle w:val="VEOHRCBodytext"/>
      </w:pPr>
      <w:r w:rsidRPr="003A3F4F">
        <w:rPr>
          <w:lang w:val="en-GB"/>
        </w:rPr>
        <w:t xml:space="preserve">The </w:t>
      </w:r>
      <w:r w:rsidR="00E4174C" w:rsidRPr="003A3F4F">
        <w:rPr>
          <w:lang w:val="en-GB"/>
        </w:rPr>
        <w:t>g</w:t>
      </w:r>
      <w:r w:rsidRPr="003A3F4F">
        <w:rPr>
          <w:lang w:val="en-GB"/>
        </w:rPr>
        <w:t xml:space="preserve">overnment will identify options for providing SARC with sufficient time to consider Bills that raise significant human rights issues. </w:t>
      </w:r>
    </w:p>
    <w:p w14:paraId="1EF8F660" w14:textId="7C300254" w:rsidR="00176316" w:rsidRPr="00C97AA1" w:rsidRDefault="00176316" w:rsidP="003A3F4F">
      <w:pPr>
        <w:rPr>
          <w:rFonts w:cs="Arial"/>
          <w:szCs w:val="24"/>
        </w:rPr>
      </w:pPr>
      <w:r w:rsidRPr="00C97AA1">
        <w:rPr>
          <w:rFonts w:cs="Arial"/>
          <w:szCs w:val="24"/>
        </w:rPr>
        <w:t>The committee scrutinises all Bills that are introduced into parliament each sitting week and reports back to parliament on those Bills in the following sitting week. The list of bills introduced each sitting week is available on the parliament's website. The committee refers to submissions that it receives on bills and may publish them on its website.</w:t>
      </w:r>
    </w:p>
    <w:p w14:paraId="254BEFD7" w14:textId="307079C4" w:rsidR="00176316" w:rsidRPr="003A3F4F" w:rsidRDefault="00176316" w:rsidP="003A3F4F">
      <w:pPr>
        <w:pStyle w:val="VEOHRCBodytext"/>
      </w:pPr>
      <w:r w:rsidRPr="003A3F4F">
        <w:rPr>
          <w:lang w:val="en-GB"/>
        </w:rPr>
        <w:t xml:space="preserve">The government notes that while </w:t>
      </w:r>
      <w:r w:rsidRPr="00C97AA1">
        <w:rPr>
          <w:rFonts w:eastAsia="Calibri"/>
          <w:szCs w:val="24"/>
          <w:lang w:val="en-GB" w:eastAsia="en-US"/>
        </w:rPr>
        <w:t>SARC's</w:t>
      </w:r>
      <w:r w:rsidRPr="003A3F4F">
        <w:rPr>
          <w:lang w:val="en-GB"/>
        </w:rPr>
        <w:t xml:space="preserve"> internal processes and procedures are a matter for it to consider, the government intends to write to SARC and draw to its attention parts (b) and (c) of the Recommendation.</w:t>
      </w:r>
    </w:p>
    <w:p w14:paraId="6D3CCA58" w14:textId="77777777" w:rsidR="00176316" w:rsidRPr="003A3F4F" w:rsidRDefault="00176316" w:rsidP="003A3F4F">
      <w:pPr>
        <w:pStyle w:val="VEOHRCBodytext"/>
      </w:pPr>
      <w:r w:rsidRPr="003A3F4F">
        <w:rPr>
          <w:b/>
          <w:lang w:val="en-GB"/>
        </w:rPr>
        <w:t>Progress during the 2018 calendar year</w:t>
      </w:r>
    </w:p>
    <w:p w14:paraId="2E9421C6" w14:textId="77777777" w:rsidR="00176316" w:rsidRPr="003A3F4F" w:rsidRDefault="00176316" w:rsidP="003A3F4F">
      <w:pPr>
        <w:pStyle w:val="VEOHRCBodytext"/>
      </w:pPr>
      <w:r w:rsidRPr="003A3F4F">
        <w:rPr>
          <w:lang w:val="en-GB"/>
        </w:rPr>
        <w:t>The review of any legislative options for providing SARC with sufficient time to consider Bills that raise significant human rights issues will be included as part of the consideration of possible legislative changes to improve the operation of the Charter, as per the response to Recommendation 12.</w:t>
      </w:r>
    </w:p>
    <w:p w14:paraId="03E06C38" w14:textId="0EF0E65D" w:rsidR="00176316" w:rsidRPr="003A3F4F" w:rsidRDefault="00176316" w:rsidP="003A3F4F">
      <w:pPr>
        <w:pStyle w:val="VEOHRCBodytext"/>
      </w:pPr>
      <w:r w:rsidRPr="00C97AA1">
        <w:rPr>
          <w:szCs w:val="24"/>
          <w:lang w:val="en-GB"/>
        </w:rPr>
        <w:t>SARC's</w:t>
      </w:r>
      <w:r w:rsidRPr="003A3F4F">
        <w:rPr>
          <w:lang w:val="en-GB"/>
        </w:rPr>
        <w:t xml:space="preserve"> internal processes and procedures are a matter for it to consider. Nevertheless, the government will revisit parts (b) and (c) of the Recommendation.</w:t>
      </w:r>
    </w:p>
    <w:p w14:paraId="53A4582A" w14:textId="77777777" w:rsidR="00176316" w:rsidRPr="00C97AA1" w:rsidRDefault="00176316" w:rsidP="006A6EEF">
      <w:pPr>
        <w:pStyle w:val="VEOHRCBodytext"/>
        <w:rPr>
          <w:b/>
          <w:lang w:val="en-GB"/>
        </w:rPr>
      </w:pPr>
      <w:r w:rsidRPr="00C97AA1">
        <w:rPr>
          <w:b/>
          <w:lang w:val="en-GB"/>
        </w:rPr>
        <w:t>Status</w:t>
      </w:r>
    </w:p>
    <w:p w14:paraId="073F1A77" w14:textId="77777777" w:rsidR="00176316" w:rsidRPr="00C97AA1" w:rsidRDefault="00176316" w:rsidP="00090A40">
      <w:pPr>
        <w:pStyle w:val="VEOHRCBodytext"/>
        <w:rPr>
          <w:szCs w:val="24"/>
          <w:lang w:val="en-GB"/>
        </w:rPr>
      </w:pPr>
      <w:r w:rsidRPr="00C97AA1">
        <w:rPr>
          <w:szCs w:val="24"/>
          <w:shd w:val="clear" w:color="auto" w:fill="FFC000"/>
          <w:lang w:val="en-GB"/>
        </w:rPr>
        <w:t>PENDING</w:t>
      </w:r>
    </w:p>
    <w:p w14:paraId="1AE706B3" w14:textId="78E8F80B" w:rsidR="00176316" w:rsidRPr="003A3F4F" w:rsidRDefault="00E4174C" w:rsidP="003A3F4F">
      <w:pPr>
        <w:pStyle w:val="Heading3"/>
      </w:pPr>
      <w:r w:rsidRPr="003A3F4F">
        <w:rPr>
          <w:lang w:val="en-GB"/>
        </w:rPr>
        <w:t>Recommendation 38</w:t>
      </w:r>
    </w:p>
    <w:p w14:paraId="2BF8AEBC" w14:textId="7E777055" w:rsidR="00176316" w:rsidRPr="003A3F4F" w:rsidRDefault="00176316" w:rsidP="003A3F4F">
      <w:pPr>
        <w:pStyle w:val="VEOHRCBodytext"/>
      </w:pPr>
      <w:r w:rsidRPr="003A3F4F">
        <w:rPr>
          <w:lang w:val="en-GB"/>
        </w:rPr>
        <w:t>The Victorian Government refer amendments to non-Victorian laws that apply in Victoria under a national scheme, and to Regulations under those laws, to the Scrutiny of Acts and Regulations Committee for consideration</w:t>
      </w:r>
      <w:r w:rsidR="00026826" w:rsidRPr="003A3F4F">
        <w:rPr>
          <w:lang w:val="en-GB"/>
        </w:rPr>
        <w:t>.</w:t>
      </w:r>
    </w:p>
    <w:p w14:paraId="7E54347D" w14:textId="77777777" w:rsidR="00176316" w:rsidRPr="00C97AA1" w:rsidRDefault="00176316" w:rsidP="00090A40">
      <w:pPr>
        <w:pStyle w:val="Heading4"/>
        <w:rPr>
          <w:lang w:val="en-GB"/>
        </w:rPr>
      </w:pPr>
      <w:r w:rsidRPr="00C97AA1">
        <w:rPr>
          <w:lang w:val="en-GB"/>
        </w:rPr>
        <w:lastRenderedPageBreak/>
        <w:t>Government response</w:t>
      </w:r>
    </w:p>
    <w:p w14:paraId="536C6A81" w14:textId="77777777" w:rsidR="00176316" w:rsidRPr="00C97AA1" w:rsidRDefault="00176316" w:rsidP="00090A40">
      <w:pPr>
        <w:pStyle w:val="VEOHRCBodytext"/>
        <w:rPr>
          <w:szCs w:val="24"/>
          <w:lang w:val="en-GB"/>
        </w:rPr>
      </w:pPr>
      <w:r w:rsidRPr="00C97AA1">
        <w:rPr>
          <w:szCs w:val="24"/>
          <w:lang w:val="en-GB"/>
        </w:rPr>
        <w:t>Supported</w:t>
      </w:r>
    </w:p>
    <w:p w14:paraId="013ECBAE" w14:textId="77777777" w:rsidR="00176316" w:rsidRPr="003A3F4F" w:rsidRDefault="00176316" w:rsidP="003A3F4F">
      <w:pPr>
        <w:pStyle w:val="VEOHRCBodytext"/>
      </w:pPr>
      <w:r w:rsidRPr="003A3F4F">
        <w:rPr>
          <w:b/>
          <w:lang w:val="en-GB"/>
        </w:rPr>
        <w:t>Progress – as reported in the 2017 Charter Report</w:t>
      </w:r>
    </w:p>
    <w:p w14:paraId="05D316D9" w14:textId="1716A6F2" w:rsidR="00176316" w:rsidRPr="003A3F4F" w:rsidRDefault="00176316" w:rsidP="003A3F4F">
      <w:pPr>
        <w:pStyle w:val="VEOHRCBodytext"/>
      </w:pPr>
      <w:r w:rsidRPr="003A3F4F">
        <w:rPr>
          <w:lang w:val="en-GB"/>
        </w:rPr>
        <w:t>The recommendation for referral to SARC will be encouraged as part of the whole-of-government policy on national schemes to be developed under Recommendation 47.</w:t>
      </w:r>
    </w:p>
    <w:p w14:paraId="0E202394" w14:textId="77777777" w:rsidR="00176316" w:rsidRPr="003A3F4F" w:rsidRDefault="00176316" w:rsidP="003A3F4F">
      <w:pPr>
        <w:pStyle w:val="VEOHRCBodytext"/>
      </w:pPr>
      <w:r w:rsidRPr="003A3F4F">
        <w:rPr>
          <w:b/>
          <w:lang w:val="en-GB"/>
        </w:rPr>
        <w:t>Progress during the 2018 calendar year</w:t>
      </w:r>
    </w:p>
    <w:p w14:paraId="14651B3D" w14:textId="75728D26" w:rsidR="00176316" w:rsidRPr="003A3F4F" w:rsidRDefault="00176316" w:rsidP="003A3F4F">
      <w:pPr>
        <w:pStyle w:val="VEOHRCBodytext"/>
      </w:pPr>
      <w:r w:rsidRPr="003A3F4F">
        <w:rPr>
          <w:lang w:val="en-GB"/>
        </w:rPr>
        <w:t>The recommendation for referral to SARC will be encouraged as part of the whole-of-government policy on national schemes currently being developed under Recommendation 47.</w:t>
      </w:r>
    </w:p>
    <w:p w14:paraId="05D2B075" w14:textId="77777777" w:rsidR="00176316" w:rsidRPr="00C97AA1" w:rsidRDefault="00176316" w:rsidP="006A6EEF">
      <w:pPr>
        <w:pStyle w:val="VEOHRCBodytext"/>
        <w:rPr>
          <w:b/>
          <w:lang w:val="en-GB"/>
        </w:rPr>
      </w:pPr>
      <w:r w:rsidRPr="00C97AA1">
        <w:rPr>
          <w:b/>
          <w:lang w:val="en-GB"/>
        </w:rPr>
        <w:t>Status</w:t>
      </w:r>
    </w:p>
    <w:p w14:paraId="615761D4" w14:textId="77777777" w:rsidR="00176316" w:rsidRPr="00C97AA1" w:rsidRDefault="00176316" w:rsidP="00090A40">
      <w:pPr>
        <w:pStyle w:val="VEOHRCBodytext"/>
        <w:rPr>
          <w:szCs w:val="24"/>
          <w:lang w:val="en-GB"/>
        </w:rPr>
      </w:pPr>
      <w:r w:rsidRPr="00C97AA1">
        <w:rPr>
          <w:szCs w:val="24"/>
          <w:shd w:val="clear" w:color="auto" w:fill="00B0F0"/>
          <w:lang w:val="en-GB"/>
        </w:rPr>
        <w:t>IN PROGRESS</w:t>
      </w:r>
    </w:p>
    <w:p w14:paraId="7050DBDA" w14:textId="1EF4FE84" w:rsidR="00176316" w:rsidRPr="003A3F4F" w:rsidRDefault="00E4174C" w:rsidP="003A3F4F">
      <w:pPr>
        <w:pStyle w:val="Heading3"/>
      </w:pPr>
      <w:r w:rsidRPr="003A3F4F">
        <w:rPr>
          <w:lang w:val="en-GB"/>
        </w:rPr>
        <w:t>Recommendation 39</w:t>
      </w:r>
    </w:p>
    <w:p w14:paraId="690F323A" w14:textId="469DF14D" w:rsidR="00176316" w:rsidRPr="003A3F4F" w:rsidRDefault="00176316" w:rsidP="003A3F4F">
      <w:pPr>
        <w:pStyle w:val="VEOHRCBodytext"/>
      </w:pPr>
      <w:r w:rsidRPr="003A3F4F">
        <w:rPr>
          <w:lang w:val="en-GB"/>
        </w:rPr>
        <w:t xml:space="preserve">Section 29 of the Charter be amended to specify the Scrutiny of Acts and Regulations </w:t>
      </w:r>
      <w:r w:rsidRPr="00C97AA1">
        <w:rPr>
          <w:szCs w:val="24"/>
          <w:lang w:val="en-GB" w:eastAsia="ja-JP"/>
        </w:rPr>
        <w:t>Committee's</w:t>
      </w:r>
      <w:r w:rsidRPr="003A3F4F">
        <w:rPr>
          <w:lang w:val="en-GB"/>
        </w:rPr>
        <w:t xml:space="preserve"> failure to report on the human rights compatibility of any Bill that becomes an Act does not affect the validity, operation or enforcement of that Act or any other statutory provision</w:t>
      </w:r>
      <w:r w:rsidR="00026826" w:rsidRPr="003A3F4F">
        <w:rPr>
          <w:lang w:val="en-GB"/>
        </w:rPr>
        <w:t>.</w:t>
      </w:r>
    </w:p>
    <w:p w14:paraId="0706DAFA" w14:textId="77777777" w:rsidR="00176316" w:rsidRPr="00C97AA1" w:rsidRDefault="00176316" w:rsidP="00090A40">
      <w:pPr>
        <w:pStyle w:val="Heading4"/>
        <w:rPr>
          <w:lang w:val="en-GB"/>
        </w:rPr>
      </w:pPr>
      <w:r w:rsidRPr="00C97AA1">
        <w:rPr>
          <w:lang w:val="en-GB"/>
        </w:rPr>
        <w:t>Government response</w:t>
      </w:r>
    </w:p>
    <w:p w14:paraId="2839BD46" w14:textId="77777777" w:rsidR="00176316" w:rsidRPr="00C97AA1" w:rsidRDefault="00176316" w:rsidP="00090A40">
      <w:pPr>
        <w:pStyle w:val="VEOHRCBodytext"/>
        <w:rPr>
          <w:szCs w:val="24"/>
          <w:lang w:val="en-GB"/>
        </w:rPr>
      </w:pPr>
      <w:r w:rsidRPr="00C97AA1">
        <w:rPr>
          <w:szCs w:val="24"/>
          <w:lang w:val="en-GB"/>
        </w:rPr>
        <w:t>Supported</w:t>
      </w:r>
    </w:p>
    <w:p w14:paraId="4A1EF328" w14:textId="77777777" w:rsidR="00176316" w:rsidRPr="003A3F4F" w:rsidRDefault="00176316" w:rsidP="003A3F4F">
      <w:pPr>
        <w:pStyle w:val="VEOHRCBodytext"/>
      </w:pPr>
      <w:r w:rsidRPr="003A3F4F">
        <w:rPr>
          <w:b/>
          <w:lang w:val="en-GB"/>
        </w:rPr>
        <w:t>Progress – as reported in the 2017 Charter Report</w:t>
      </w:r>
    </w:p>
    <w:p w14:paraId="15B75130" w14:textId="77777777" w:rsidR="00176316" w:rsidRPr="003A3F4F" w:rsidRDefault="00176316" w:rsidP="003A3F4F">
      <w:pPr>
        <w:pStyle w:val="VEOHRCBodytext"/>
      </w:pPr>
      <w:r w:rsidRPr="003A3F4F">
        <w:rPr>
          <w:lang w:val="en-GB"/>
        </w:rPr>
        <w:t>See Recommendation 12.</w:t>
      </w:r>
    </w:p>
    <w:p w14:paraId="34B25177" w14:textId="343EF29C" w:rsidR="00176316" w:rsidRPr="003A3F4F" w:rsidRDefault="00176316" w:rsidP="003A3F4F">
      <w:pPr>
        <w:pStyle w:val="VEOHRCBodytext"/>
      </w:pPr>
      <w:r w:rsidRPr="003A3F4F">
        <w:rPr>
          <w:b/>
          <w:lang w:val="en-GB"/>
        </w:rPr>
        <w:t>Progress during the 2018 calendar year</w:t>
      </w:r>
    </w:p>
    <w:p w14:paraId="76402441" w14:textId="77777777" w:rsidR="00176316" w:rsidRPr="003A3F4F" w:rsidRDefault="00176316" w:rsidP="003A3F4F">
      <w:pPr>
        <w:pStyle w:val="VEOHRCBodytext"/>
      </w:pPr>
      <w:r w:rsidRPr="003A3F4F">
        <w:rPr>
          <w:lang w:val="en-GB"/>
        </w:rPr>
        <w:t>See Recommendation 12.</w:t>
      </w:r>
    </w:p>
    <w:p w14:paraId="15BBC3F5" w14:textId="77777777" w:rsidR="00176316" w:rsidRPr="00C97AA1" w:rsidRDefault="00176316" w:rsidP="006A6EEF">
      <w:pPr>
        <w:pStyle w:val="VEOHRCBodytext"/>
        <w:rPr>
          <w:b/>
          <w:lang w:val="en-GB"/>
        </w:rPr>
      </w:pPr>
      <w:r w:rsidRPr="00C97AA1">
        <w:rPr>
          <w:b/>
          <w:lang w:val="en-GB"/>
        </w:rPr>
        <w:t>Status</w:t>
      </w:r>
    </w:p>
    <w:p w14:paraId="7F45D0F0" w14:textId="77777777" w:rsidR="00176316" w:rsidRPr="00C97AA1" w:rsidRDefault="00176316" w:rsidP="00090A40">
      <w:pPr>
        <w:pStyle w:val="VEOHRCBodytext"/>
        <w:rPr>
          <w:szCs w:val="24"/>
          <w:lang w:val="en-GB"/>
        </w:rPr>
      </w:pPr>
      <w:r w:rsidRPr="00C97AA1">
        <w:rPr>
          <w:szCs w:val="24"/>
          <w:shd w:val="clear" w:color="auto" w:fill="FFC000"/>
          <w:lang w:val="en-GB"/>
        </w:rPr>
        <w:t>PENDING</w:t>
      </w:r>
    </w:p>
    <w:p w14:paraId="346D7AF4" w14:textId="379DCDFE" w:rsidR="00176316" w:rsidRPr="003A3F4F" w:rsidRDefault="00E4174C" w:rsidP="003A3F4F">
      <w:pPr>
        <w:pStyle w:val="Heading3"/>
      </w:pPr>
      <w:r w:rsidRPr="003A3F4F">
        <w:rPr>
          <w:lang w:val="en-GB"/>
        </w:rPr>
        <w:t>Recommendation 40</w:t>
      </w:r>
    </w:p>
    <w:p w14:paraId="6712AE8A" w14:textId="1221F49B" w:rsidR="00176316" w:rsidRPr="003A3F4F" w:rsidRDefault="00176316" w:rsidP="003A3F4F">
      <w:pPr>
        <w:pStyle w:val="VEOHRCBodytext"/>
      </w:pPr>
      <w:r w:rsidRPr="003A3F4F">
        <w:rPr>
          <w:lang w:val="en-GB"/>
        </w:rPr>
        <w:t xml:space="preserve">To ensure that </w:t>
      </w:r>
      <w:r w:rsidR="005D3541" w:rsidRPr="003A3F4F">
        <w:rPr>
          <w:lang w:val="en-GB"/>
        </w:rPr>
        <w:t xml:space="preserve">House amendments </w:t>
      </w:r>
      <w:r w:rsidRPr="003A3F4F">
        <w:rPr>
          <w:lang w:val="en-GB"/>
        </w:rPr>
        <w:t xml:space="preserve">can be subject to human rights scrutiny and to make the Charter and the </w:t>
      </w:r>
      <w:r w:rsidRPr="003A3F4F">
        <w:t xml:space="preserve">Parliamentary Committees Act 2003 </w:t>
      </w:r>
      <w:r w:rsidRPr="003A3F4F">
        <w:rPr>
          <w:lang w:val="en-GB"/>
        </w:rPr>
        <w:t>(Vic) consistent, the Scrutiny of Acts and Regulations Committee should be given clear power to consider and report on provisions of Acts that it did not consider when a Bill was before parliament (within a limited time)</w:t>
      </w:r>
      <w:r w:rsidR="00026826" w:rsidRPr="003A3F4F">
        <w:rPr>
          <w:lang w:val="en-GB"/>
        </w:rPr>
        <w:t>.</w:t>
      </w:r>
    </w:p>
    <w:p w14:paraId="52BEE469" w14:textId="77777777" w:rsidR="00176316" w:rsidRPr="00C97AA1" w:rsidRDefault="00176316" w:rsidP="00090A40">
      <w:pPr>
        <w:pStyle w:val="Heading4"/>
        <w:rPr>
          <w:lang w:val="en-GB"/>
        </w:rPr>
      </w:pPr>
      <w:r w:rsidRPr="00C97AA1">
        <w:rPr>
          <w:lang w:val="en-GB"/>
        </w:rPr>
        <w:t>Government response</w:t>
      </w:r>
    </w:p>
    <w:p w14:paraId="34B9BC4A" w14:textId="77777777" w:rsidR="00176316" w:rsidRPr="003A3F4F" w:rsidRDefault="00176316" w:rsidP="003A3F4F">
      <w:pPr>
        <w:pStyle w:val="VEOHRCBodytext"/>
      </w:pPr>
      <w:r w:rsidRPr="00C97AA1">
        <w:rPr>
          <w:szCs w:val="24"/>
          <w:lang w:val="en-GB"/>
        </w:rPr>
        <w:t>Supported</w:t>
      </w:r>
    </w:p>
    <w:p w14:paraId="5479317C" w14:textId="77777777" w:rsidR="00176316" w:rsidRPr="003A3F4F" w:rsidRDefault="00176316" w:rsidP="003A3F4F">
      <w:pPr>
        <w:pStyle w:val="VEOHRCBodytext"/>
        <w:rPr>
          <w:b/>
        </w:rPr>
      </w:pPr>
      <w:r w:rsidRPr="003A3F4F">
        <w:rPr>
          <w:b/>
          <w:lang w:val="en-GB"/>
        </w:rPr>
        <w:t>Progress – as reported in the 2017 Charter Report</w:t>
      </w:r>
    </w:p>
    <w:p w14:paraId="7AC6AAB2" w14:textId="77777777" w:rsidR="00176316" w:rsidRPr="003A3F4F" w:rsidRDefault="00176316" w:rsidP="003A3F4F">
      <w:pPr>
        <w:pStyle w:val="VEOHRCBodytext"/>
      </w:pPr>
      <w:r w:rsidRPr="003A3F4F">
        <w:rPr>
          <w:lang w:val="en-GB"/>
        </w:rPr>
        <w:t>See Recommendation 12.</w:t>
      </w:r>
    </w:p>
    <w:p w14:paraId="328F5FCF" w14:textId="77777777" w:rsidR="00176316" w:rsidRPr="003A3F4F" w:rsidRDefault="00176316" w:rsidP="003A3F4F">
      <w:pPr>
        <w:pStyle w:val="VEOHRCBodytext"/>
        <w:rPr>
          <w:b/>
        </w:rPr>
      </w:pPr>
      <w:r w:rsidRPr="003A3F4F">
        <w:rPr>
          <w:b/>
          <w:lang w:val="en-GB"/>
        </w:rPr>
        <w:t>Progress during the 2018 calendar year</w:t>
      </w:r>
    </w:p>
    <w:p w14:paraId="65AB1AE5" w14:textId="77777777" w:rsidR="00176316" w:rsidRPr="003A3F4F" w:rsidRDefault="00176316" w:rsidP="003A3F4F">
      <w:pPr>
        <w:pStyle w:val="VEOHRCBodytext"/>
      </w:pPr>
      <w:r w:rsidRPr="003A3F4F">
        <w:rPr>
          <w:lang w:val="en-GB"/>
        </w:rPr>
        <w:t>See Recommendation 12.</w:t>
      </w:r>
    </w:p>
    <w:p w14:paraId="7033B0F5" w14:textId="77777777" w:rsidR="00176316" w:rsidRPr="00C97AA1" w:rsidRDefault="00176316" w:rsidP="006A6EEF">
      <w:pPr>
        <w:pStyle w:val="VEOHRCBodytext"/>
        <w:rPr>
          <w:b/>
          <w:lang w:val="en-GB"/>
        </w:rPr>
      </w:pPr>
      <w:r w:rsidRPr="00C97AA1">
        <w:rPr>
          <w:b/>
          <w:lang w:val="en-GB"/>
        </w:rPr>
        <w:t>Status</w:t>
      </w:r>
    </w:p>
    <w:p w14:paraId="6F6BC712" w14:textId="77777777" w:rsidR="00176316" w:rsidRPr="00C97AA1" w:rsidRDefault="00176316" w:rsidP="00090A40">
      <w:pPr>
        <w:pStyle w:val="VEOHRCBodytext"/>
        <w:rPr>
          <w:szCs w:val="24"/>
          <w:lang w:val="en-GB"/>
        </w:rPr>
      </w:pPr>
      <w:r w:rsidRPr="00C97AA1">
        <w:rPr>
          <w:szCs w:val="24"/>
          <w:shd w:val="clear" w:color="auto" w:fill="FFC000"/>
          <w:lang w:val="en-GB"/>
        </w:rPr>
        <w:t>PENDING</w:t>
      </w:r>
    </w:p>
    <w:p w14:paraId="14C0E2B2" w14:textId="1076DFD2" w:rsidR="00176316" w:rsidRPr="003A3F4F" w:rsidRDefault="00E4174C" w:rsidP="003A3F4F">
      <w:pPr>
        <w:pStyle w:val="Heading3"/>
      </w:pPr>
      <w:r w:rsidRPr="003A3F4F">
        <w:rPr>
          <w:lang w:val="en-GB"/>
        </w:rPr>
        <w:t>Recommendation 41</w:t>
      </w:r>
    </w:p>
    <w:p w14:paraId="46C58288" w14:textId="3BB1A93D" w:rsidR="00176316" w:rsidRPr="00C97AA1" w:rsidRDefault="00176316" w:rsidP="003A3F4F">
      <w:pPr>
        <w:rPr>
          <w:rFonts w:cs="Arial"/>
          <w:szCs w:val="24"/>
        </w:rPr>
      </w:pPr>
      <w:r w:rsidRPr="00C97AA1">
        <w:rPr>
          <w:rFonts w:cs="Arial"/>
          <w:szCs w:val="24"/>
        </w:rPr>
        <w:t>The human rights analysis in statements of compatibility be improved by:</w:t>
      </w:r>
    </w:p>
    <w:p w14:paraId="222D7A45" w14:textId="52EFE078" w:rsidR="00176316" w:rsidRPr="00C97AA1" w:rsidRDefault="00176316" w:rsidP="003A3F4F">
      <w:pPr>
        <w:pStyle w:val="ListParagraph"/>
        <w:numPr>
          <w:ilvl w:val="0"/>
          <w:numId w:val="40"/>
        </w:numPr>
        <w:rPr>
          <w:rFonts w:cs="Arial"/>
          <w:szCs w:val="24"/>
        </w:rPr>
      </w:pPr>
      <w:r w:rsidRPr="00C97AA1">
        <w:rPr>
          <w:rFonts w:cs="Arial"/>
          <w:szCs w:val="24"/>
        </w:rPr>
        <w:lastRenderedPageBreak/>
        <w:t>amending section 30 of the Charter to clarify that the Scrutiny of Acts and Regulations Committee may report to parliament on statements of compatibility</w:t>
      </w:r>
    </w:p>
    <w:p w14:paraId="45B85AE5" w14:textId="5E3B854A" w:rsidR="00176316" w:rsidRPr="00C97AA1" w:rsidRDefault="00176316" w:rsidP="003A3F4F">
      <w:pPr>
        <w:pStyle w:val="ListParagraph"/>
        <w:numPr>
          <w:ilvl w:val="0"/>
          <w:numId w:val="40"/>
        </w:numPr>
        <w:rPr>
          <w:rFonts w:cs="Arial"/>
          <w:szCs w:val="24"/>
        </w:rPr>
      </w:pPr>
      <w:r w:rsidRPr="00C97AA1">
        <w:rPr>
          <w:rFonts w:cs="Arial"/>
          <w:szCs w:val="24"/>
        </w:rPr>
        <w:t>the Victorian Government publishing draft statements of compatibility when exposure drafts of Bills are released for public comment</w:t>
      </w:r>
      <w:r w:rsidR="00026826">
        <w:rPr>
          <w:rFonts w:cs="Arial"/>
          <w:szCs w:val="24"/>
        </w:rPr>
        <w:t>.</w:t>
      </w:r>
    </w:p>
    <w:p w14:paraId="4C83D503" w14:textId="77777777" w:rsidR="00176316" w:rsidRPr="00C97AA1" w:rsidRDefault="00176316" w:rsidP="00090A40">
      <w:pPr>
        <w:pStyle w:val="Heading4"/>
        <w:rPr>
          <w:lang w:val="en-GB"/>
        </w:rPr>
      </w:pPr>
      <w:r w:rsidRPr="00C97AA1">
        <w:rPr>
          <w:lang w:val="en-GB"/>
        </w:rPr>
        <w:t>Government response</w:t>
      </w:r>
    </w:p>
    <w:p w14:paraId="3D15BDDB" w14:textId="77777777" w:rsidR="00176316" w:rsidRPr="00C97AA1" w:rsidRDefault="00176316" w:rsidP="00090A40">
      <w:pPr>
        <w:pStyle w:val="VEOHRCBodytext"/>
        <w:rPr>
          <w:szCs w:val="24"/>
          <w:lang w:val="en-GB"/>
        </w:rPr>
      </w:pPr>
      <w:r w:rsidRPr="00C97AA1">
        <w:rPr>
          <w:szCs w:val="24"/>
          <w:lang w:val="en-GB"/>
        </w:rPr>
        <w:t>Supported</w:t>
      </w:r>
    </w:p>
    <w:p w14:paraId="06214737" w14:textId="77777777" w:rsidR="00176316" w:rsidRPr="003A3F4F" w:rsidRDefault="00176316" w:rsidP="003A3F4F">
      <w:pPr>
        <w:pStyle w:val="VEOHRCBodytext"/>
      </w:pPr>
      <w:r w:rsidRPr="003A3F4F">
        <w:rPr>
          <w:b/>
          <w:lang w:val="en-GB"/>
        </w:rPr>
        <w:t>Progress – as reported in the 2017 Charter Report</w:t>
      </w:r>
    </w:p>
    <w:p w14:paraId="786CBF5B" w14:textId="77777777" w:rsidR="00E4174C" w:rsidRPr="003A3F4F" w:rsidRDefault="00176316" w:rsidP="003A3F4F">
      <w:pPr>
        <w:pStyle w:val="ListParagraph"/>
        <w:numPr>
          <w:ilvl w:val="0"/>
          <w:numId w:val="57"/>
        </w:numPr>
        <w:rPr>
          <w:lang w:val="en-GB"/>
        </w:rPr>
      </w:pPr>
      <w:r w:rsidRPr="00E4174C">
        <w:rPr>
          <w:rFonts w:cs="Arial"/>
          <w:szCs w:val="24"/>
        </w:rPr>
        <w:t>See</w:t>
      </w:r>
      <w:r w:rsidRPr="003A3F4F">
        <w:rPr>
          <w:lang w:val="en-GB"/>
        </w:rPr>
        <w:t xml:space="preserve"> Recommendation 12.</w:t>
      </w:r>
    </w:p>
    <w:p w14:paraId="125E6DE9" w14:textId="6709A786" w:rsidR="00176316" w:rsidRPr="003A3F4F" w:rsidRDefault="00176316" w:rsidP="003A3F4F">
      <w:pPr>
        <w:pStyle w:val="ListParagraph"/>
        <w:numPr>
          <w:ilvl w:val="0"/>
          <w:numId w:val="57"/>
        </w:numPr>
        <w:rPr>
          <w:lang w:val="en-GB"/>
        </w:rPr>
      </w:pPr>
      <w:r w:rsidRPr="003A3F4F">
        <w:rPr>
          <w:lang w:val="en-GB"/>
        </w:rPr>
        <w:t xml:space="preserve">In many </w:t>
      </w:r>
      <w:proofErr w:type="gramStart"/>
      <w:r w:rsidRPr="003A3F4F">
        <w:rPr>
          <w:lang w:val="en-GB"/>
        </w:rPr>
        <w:t>situations</w:t>
      </w:r>
      <w:proofErr w:type="gramEnd"/>
      <w:r w:rsidRPr="003A3F4F">
        <w:rPr>
          <w:lang w:val="en-GB"/>
        </w:rPr>
        <w:t xml:space="preserve"> draft Statements of Compatibility are already released with exposure drafts of Bills. If asked, the HRU advises that releasing draft Statements of Compatibility with exposure drafts of Bills is best practice. HRU will consider whether it is appropriate to send out further guidance on this matter, for example, by a practice note. </w:t>
      </w:r>
    </w:p>
    <w:p w14:paraId="4BAB2F07" w14:textId="77777777" w:rsidR="00176316" w:rsidRPr="003A3F4F" w:rsidRDefault="00176316" w:rsidP="003A3F4F">
      <w:pPr>
        <w:pStyle w:val="VEOHRCBodytext"/>
      </w:pPr>
      <w:r w:rsidRPr="003A3F4F">
        <w:rPr>
          <w:b/>
          <w:lang w:val="en-GB"/>
        </w:rPr>
        <w:t>Progress during the 2018 calendar year</w:t>
      </w:r>
    </w:p>
    <w:p w14:paraId="7F4F7A79" w14:textId="77777777" w:rsidR="00E4174C" w:rsidRPr="003A3F4F" w:rsidRDefault="00176316" w:rsidP="003A3F4F">
      <w:pPr>
        <w:pStyle w:val="ListParagraph"/>
        <w:numPr>
          <w:ilvl w:val="0"/>
          <w:numId w:val="58"/>
        </w:numPr>
        <w:rPr>
          <w:lang w:val="en-GB"/>
        </w:rPr>
      </w:pPr>
      <w:r w:rsidRPr="003A3F4F">
        <w:rPr>
          <w:lang w:val="en-GB"/>
        </w:rPr>
        <w:t xml:space="preserve">See </w:t>
      </w:r>
      <w:r w:rsidRPr="00E4174C">
        <w:rPr>
          <w:rFonts w:cs="Arial"/>
          <w:szCs w:val="24"/>
        </w:rPr>
        <w:t>Recommendation</w:t>
      </w:r>
      <w:r w:rsidRPr="003A3F4F">
        <w:rPr>
          <w:lang w:val="en-GB"/>
        </w:rPr>
        <w:t xml:space="preserve"> 12.</w:t>
      </w:r>
    </w:p>
    <w:p w14:paraId="11F0B150" w14:textId="2C698539" w:rsidR="00176316" w:rsidRPr="003A3F4F" w:rsidRDefault="00176316" w:rsidP="003A3F4F">
      <w:pPr>
        <w:pStyle w:val="ListParagraph"/>
        <w:numPr>
          <w:ilvl w:val="0"/>
          <w:numId w:val="58"/>
        </w:numPr>
        <w:rPr>
          <w:lang w:val="en-GB"/>
        </w:rPr>
      </w:pPr>
      <w:r w:rsidRPr="003A3F4F">
        <w:rPr>
          <w:lang w:val="en-GB"/>
        </w:rPr>
        <w:t>During 2018, HRU continued to advise that releasing draft Statements of Compatibility with exposure drafts of Bills is best practice, whenever human rights advice was provided across government and in training sessions.</w:t>
      </w:r>
    </w:p>
    <w:p w14:paraId="59CEF79E" w14:textId="77777777" w:rsidR="00176316" w:rsidRPr="00C97AA1" w:rsidRDefault="00176316" w:rsidP="006A6EEF">
      <w:pPr>
        <w:pStyle w:val="VEOHRCBodytext"/>
        <w:rPr>
          <w:b/>
          <w:lang w:val="en-GB"/>
        </w:rPr>
      </w:pPr>
      <w:r w:rsidRPr="00C97AA1">
        <w:rPr>
          <w:b/>
          <w:lang w:val="en-GB"/>
        </w:rPr>
        <w:t>Status</w:t>
      </w:r>
    </w:p>
    <w:p w14:paraId="6F47F805" w14:textId="77777777" w:rsidR="00E4174C" w:rsidRPr="00C97AA1" w:rsidRDefault="00E4174C" w:rsidP="004D6047">
      <w:pPr>
        <w:pStyle w:val="VEOHRCBodytext"/>
        <w:numPr>
          <w:ilvl w:val="0"/>
          <w:numId w:val="59"/>
        </w:numPr>
        <w:rPr>
          <w:szCs w:val="24"/>
          <w:lang w:val="en-GB"/>
        </w:rPr>
      </w:pPr>
      <w:r w:rsidRPr="00C97AA1">
        <w:rPr>
          <w:szCs w:val="24"/>
          <w:shd w:val="clear" w:color="auto" w:fill="FFC000"/>
          <w:lang w:val="en-GB"/>
        </w:rPr>
        <w:t>PENDING</w:t>
      </w:r>
    </w:p>
    <w:p w14:paraId="7ED91B04" w14:textId="77777777" w:rsidR="00E4174C" w:rsidRPr="00C97AA1" w:rsidRDefault="00E4174C" w:rsidP="004D6047">
      <w:pPr>
        <w:pStyle w:val="VEOHRCBodytext"/>
        <w:numPr>
          <w:ilvl w:val="0"/>
          <w:numId w:val="59"/>
        </w:numPr>
        <w:rPr>
          <w:szCs w:val="24"/>
          <w:lang w:val="en-GB"/>
        </w:rPr>
      </w:pPr>
      <w:r w:rsidRPr="00C97AA1">
        <w:rPr>
          <w:szCs w:val="24"/>
          <w:shd w:val="clear" w:color="auto" w:fill="92D050"/>
          <w:lang w:val="en-GB"/>
        </w:rPr>
        <w:t>COMPLETE / ONGOING</w:t>
      </w:r>
    </w:p>
    <w:p w14:paraId="14F71C08" w14:textId="5B16CFD6" w:rsidR="00176316" w:rsidRPr="003A3F4F" w:rsidRDefault="00E4174C" w:rsidP="003A3F4F">
      <w:pPr>
        <w:pStyle w:val="Heading3"/>
      </w:pPr>
      <w:r w:rsidRPr="003A3F4F">
        <w:rPr>
          <w:lang w:val="en-GB"/>
        </w:rPr>
        <w:t>Recommendation 42</w:t>
      </w:r>
    </w:p>
    <w:p w14:paraId="66FB13CE" w14:textId="11F9B434" w:rsidR="00176316" w:rsidRPr="003A3F4F" w:rsidRDefault="00176316" w:rsidP="003A3F4F">
      <w:pPr>
        <w:pStyle w:val="VEOHRCBodytext"/>
      </w:pPr>
      <w:r w:rsidRPr="003A3F4F">
        <w:rPr>
          <w:lang w:val="en-GB"/>
        </w:rPr>
        <w:t>The Victorian Government facilitate the identification of human rights impacts of legislative proposals and options for addressing them by consulting the Human Rights Unit in the Department of Justice &amp; Regulation at an early stage of developing legislation and drafting statements of compatibility</w:t>
      </w:r>
      <w:r w:rsidR="00026826" w:rsidRPr="003A3F4F">
        <w:rPr>
          <w:lang w:val="en-GB"/>
        </w:rPr>
        <w:t>.</w:t>
      </w:r>
    </w:p>
    <w:p w14:paraId="4933A8D1" w14:textId="77777777" w:rsidR="00176316" w:rsidRPr="00C97AA1" w:rsidRDefault="00176316" w:rsidP="00090A40">
      <w:pPr>
        <w:pStyle w:val="Heading4"/>
        <w:rPr>
          <w:lang w:val="en-GB"/>
        </w:rPr>
      </w:pPr>
      <w:r w:rsidRPr="00C97AA1">
        <w:rPr>
          <w:lang w:val="en-GB"/>
        </w:rPr>
        <w:t>Government response</w:t>
      </w:r>
    </w:p>
    <w:p w14:paraId="7CE11B5D" w14:textId="77777777" w:rsidR="00176316" w:rsidRPr="00C97AA1" w:rsidRDefault="00176316" w:rsidP="00090A40">
      <w:pPr>
        <w:pStyle w:val="VEOHRCBodytext"/>
        <w:rPr>
          <w:szCs w:val="24"/>
          <w:lang w:val="en-GB"/>
        </w:rPr>
      </w:pPr>
      <w:r w:rsidRPr="00C97AA1">
        <w:rPr>
          <w:szCs w:val="24"/>
          <w:lang w:val="en-GB"/>
        </w:rPr>
        <w:t>Supported</w:t>
      </w:r>
    </w:p>
    <w:p w14:paraId="62E3BAB7" w14:textId="77777777" w:rsidR="00176316" w:rsidRPr="003A3F4F" w:rsidRDefault="00176316" w:rsidP="003A3F4F">
      <w:pPr>
        <w:pStyle w:val="VEOHRCBodytext"/>
      </w:pPr>
      <w:r w:rsidRPr="003A3F4F">
        <w:rPr>
          <w:b/>
          <w:lang w:val="en-GB"/>
        </w:rPr>
        <w:t>Progress – as reported in the 2017 Charter Report</w:t>
      </w:r>
    </w:p>
    <w:p w14:paraId="00C1767F" w14:textId="61CAF3D2" w:rsidR="00176316" w:rsidRPr="003A3F4F" w:rsidRDefault="00176316" w:rsidP="003A3F4F">
      <w:pPr>
        <w:pStyle w:val="VEOHRCBodytext"/>
      </w:pPr>
      <w:r w:rsidRPr="003A3F4F">
        <w:rPr>
          <w:lang w:val="en-GB"/>
        </w:rPr>
        <w:t xml:space="preserve">Early engagement and consultation with the HRU when developing legislation is strongly encouraged. The importance of timely consultation with HRU is emphasised whenever human rights advice is provided across government, in training sessions, and by members on the Charter Leaders Group. </w:t>
      </w:r>
    </w:p>
    <w:p w14:paraId="18EB96C5" w14:textId="77777777" w:rsidR="00176316" w:rsidRPr="003A3F4F" w:rsidRDefault="00176316" w:rsidP="003A3F4F">
      <w:pPr>
        <w:pStyle w:val="VEOHRCBodytext"/>
      </w:pPr>
      <w:r w:rsidRPr="003A3F4F">
        <w:rPr>
          <w:b/>
          <w:lang w:val="en-GB"/>
        </w:rPr>
        <w:t>Progress during the 2018 calendar year</w:t>
      </w:r>
    </w:p>
    <w:p w14:paraId="25E865CD" w14:textId="77777777" w:rsidR="00176316" w:rsidRPr="003A3F4F" w:rsidRDefault="00176316" w:rsidP="003A3F4F">
      <w:pPr>
        <w:pStyle w:val="VEOHRCBodytext"/>
      </w:pPr>
      <w:r w:rsidRPr="003A3F4F">
        <w:rPr>
          <w:lang w:val="en-GB"/>
        </w:rPr>
        <w:t>During 2018, HRU continued to emphasise the importance of timely consultation whenever human rights advice is provided across government, in training sessions, and by members on the Charter Leaders Group.</w:t>
      </w:r>
    </w:p>
    <w:p w14:paraId="5F96381C" w14:textId="77777777" w:rsidR="00176316" w:rsidRPr="00C97AA1" w:rsidRDefault="00176316" w:rsidP="006A6EEF">
      <w:pPr>
        <w:pStyle w:val="VEOHRCBodytext"/>
        <w:rPr>
          <w:b/>
          <w:lang w:val="en-GB"/>
        </w:rPr>
      </w:pPr>
      <w:r w:rsidRPr="00C97AA1">
        <w:rPr>
          <w:b/>
          <w:lang w:val="en-GB"/>
        </w:rPr>
        <w:t>Status</w:t>
      </w:r>
    </w:p>
    <w:p w14:paraId="3512A012" w14:textId="77777777" w:rsidR="00176316" w:rsidRPr="00C97AA1" w:rsidRDefault="00176316" w:rsidP="00090A40">
      <w:pPr>
        <w:pStyle w:val="VEOHRCBodytext"/>
        <w:rPr>
          <w:szCs w:val="24"/>
          <w:lang w:val="en-GB"/>
        </w:rPr>
      </w:pPr>
      <w:r w:rsidRPr="00C97AA1">
        <w:rPr>
          <w:szCs w:val="24"/>
          <w:shd w:val="clear" w:color="auto" w:fill="92D050"/>
          <w:lang w:val="en-GB"/>
        </w:rPr>
        <w:t>COMPLETE / ONGOING</w:t>
      </w:r>
    </w:p>
    <w:p w14:paraId="2693A5C9" w14:textId="0DC9BB55" w:rsidR="00176316" w:rsidRPr="003A3F4F" w:rsidRDefault="00E4174C" w:rsidP="003A3F4F">
      <w:pPr>
        <w:pStyle w:val="Heading3"/>
      </w:pPr>
      <w:r w:rsidRPr="003A3F4F">
        <w:rPr>
          <w:lang w:val="en-GB"/>
        </w:rPr>
        <w:t>Recommendation 43</w:t>
      </w:r>
    </w:p>
    <w:p w14:paraId="094BE24B" w14:textId="5DB6990C" w:rsidR="00176316" w:rsidRPr="003A3F4F" w:rsidRDefault="00176316" w:rsidP="003A3F4F">
      <w:pPr>
        <w:pStyle w:val="VEOHRCBodytext"/>
      </w:pPr>
      <w:r w:rsidRPr="003A3F4F">
        <w:rPr>
          <w:lang w:val="en-GB"/>
        </w:rPr>
        <w:t>Members of parliament are encouraged to provide a short statement on the human rights compatibility of their proposed House amendments to parliament, when time permits</w:t>
      </w:r>
      <w:r w:rsidR="00026826" w:rsidRPr="003A3F4F">
        <w:rPr>
          <w:lang w:val="en-GB"/>
        </w:rPr>
        <w:t>.</w:t>
      </w:r>
    </w:p>
    <w:p w14:paraId="3F351BA8" w14:textId="77777777" w:rsidR="00176316" w:rsidRPr="00C97AA1" w:rsidRDefault="00176316" w:rsidP="00090A40">
      <w:pPr>
        <w:pStyle w:val="Heading4"/>
        <w:rPr>
          <w:lang w:val="en-GB"/>
        </w:rPr>
      </w:pPr>
      <w:r w:rsidRPr="00C97AA1">
        <w:rPr>
          <w:lang w:val="en-GB"/>
        </w:rPr>
        <w:lastRenderedPageBreak/>
        <w:t>Government response</w:t>
      </w:r>
    </w:p>
    <w:p w14:paraId="1695086C" w14:textId="77777777" w:rsidR="00176316" w:rsidRPr="00C97AA1" w:rsidRDefault="00176316" w:rsidP="00090A40">
      <w:pPr>
        <w:pStyle w:val="VEOHRCBodytext"/>
        <w:rPr>
          <w:szCs w:val="24"/>
          <w:lang w:val="en-GB"/>
        </w:rPr>
      </w:pPr>
      <w:r w:rsidRPr="00C97AA1">
        <w:rPr>
          <w:szCs w:val="24"/>
          <w:lang w:val="en-GB"/>
        </w:rPr>
        <w:t>Supported</w:t>
      </w:r>
    </w:p>
    <w:p w14:paraId="6E70C71C" w14:textId="77777777" w:rsidR="00176316" w:rsidRPr="003A3F4F" w:rsidRDefault="00176316" w:rsidP="003A3F4F">
      <w:pPr>
        <w:pStyle w:val="VEOHRCBodytext"/>
      </w:pPr>
      <w:r w:rsidRPr="003A3F4F">
        <w:rPr>
          <w:b/>
          <w:lang w:val="en-GB"/>
        </w:rPr>
        <w:t>Progress – as reported in the 2017 Charter Report</w:t>
      </w:r>
    </w:p>
    <w:p w14:paraId="70A2392B" w14:textId="29D8FD1C" w:rsidR="00176316" w:rsidRPr="003A3F4F" w:rsidRDefault="00176316" w:rsidP="003A3F4F">
      <w:pPr>
        <w:pStyle w:val="VEOHRCBodytext"/>
      </w:pPr>
      <w:r w:rsidRPr="003A3F4F">
        <w:rPr>
          <w:lang w:val="en-GB"/>
        </w:rPr>
        <w:t xml:space="preserve">In many situations, this is also current practice. If asked, the HRU advises departments and Ministers to update the human rights analyses when </w:t>
      </w:r>
      <w:r w:rsidR="005D3541" w:rsidRPr="003A3F4F">
        <w:rPr>
          <w:lang w:val="en-GB"/>
        </w:rPr>
        <w:t xml:space="preserve">House amendments </w:t>
      </w:r>
      <w:r w:rsidRPr="003A3F4F">
        <w:rPr>
          <w:lang w:val="en-GB"/>
        </w:rPr>
        <w:t xml:space="preserve">are proposed. </w:t>
      </w:r>
    </w:p>
    <w:p w14:paraId="1A78173E" w14:textId="77777777" w:rsidR="00176316" w:rsidRPr="003A3F4F" w:rsidRDefault="00176316" w:rsidP="003A3F4F">
      <w:pPr>
        <w:pStyle w:val="VEOHRCBodytext"/>
      </w:pPr>
      <w:r w:rsidRPr="003A3F4F">
        <w:rPr>
          <w:b/>
          <w:lang w:val="en-GB"/>
        </w:rPr>
        <w:t>Progress during the 2018 calendar year</w:t>
      </w:r>
    </w:p>
    <w:p w14:paraId="500EA627" w14:textId="4757FA0F" w:rsidR="00176316" w:rsidRPr="003A3F4F" w:rsidRDefault="00176316" w:rsidP="003A3F4F">
      <w:pPr>
        <w:pStyle w:val="VEOHRCBodytext"/>
      </w:pPr>
      <w:r w:rsidRPr="003A3F4F">
        <w:rPr>
          <w:lang w:val="en-GB"/>
        </w:rPr>
        <w:t xml:space="preserve">During 2018, HRU continued to advise departments and Ministers to update the human rights analyses when </w:t>
      </w:r>
      <w:r w:rsidR="005D3541" w:rsidRPr="003A3F4F">
        <w:rPr>
          <w:lang w:val="en-GB"/>
        </w:rPr>
        <w:t xml:space="preserve">House amendments </w:t>
      </w:r>
      <w:r w:rsidRPr="003A3F4F">
        <w:rPr>
          <w:lang w:val="en-GB"/>
        </w:rPr>
        <w:t>are proposed.</w:t>
      </w:r>
    </w:p>
    <w:p w14:paraId="5D09156F" w14:textId="77777777" w:rsidR="00176316" w:rsidRPr="00C97AA1" w:rsidRDefault="00176316" w:rsidP="006A6EEF">
      <w:pPr>
        <w:pStyle w:val="VEOHRCBodytext"/>
        <w:rPr>
          <w:b/>
          <w:lang w:val="en-GB"/>
        </w:rPr>
      </w:pPr>
      <w:r w:rsidRPr="00C97AA1">
        <w:rPr>
          <w:b/>
          <w:lang w:val="en-GB"/>
        </w:rPr>
        <w:t>Status</w:t>
      </w:r>
    </w:p>
    <w:p w14:paraId="450F552C" w14:textId="77777777" w:rsidR="00176316" w:rsidRPr="00C97AA1" w:rsidRDefault="00176316" w:rsidP="00090A40">
      <w:pPr>
        <w:pStyle w:val="VEOHRCBodytext"/>
        <w:rPr>
          <w:szCs w:val="24"/>
          <w:lang w:val="en-GB"/>
        </w:rPr>
      </w:pPr>
      <w:r w:rsidRPr="00C97AA1">
        <w:rPr>
          <w:szCs w:val="24"/>
          <w:shd w:val="clear" w:color="auto" w:fill="92D050"/>
          <w:lang w:val="en-GB"/>
        </w:rPr>
        <w:t>COMPLETE / ONGOING</w:t>
      </w:r>
    </w:p>
    <w:p w14:paraId="784365A1" w14:textId="5785FFA7" w:rsidR="00176316" w:rsidRPr="003A3F4F" w:rsidRDefault="00E4174C" w:rsidP="003A3F4F">
      <w:pPr>
        <w:pStyle w:val="Heading3"/>
      </w:pPr>
      <w:r w:rsidRPr="003A3F4F">
        <w:rPr>
          <w:lang w:val="en-GB"/>
        </w:rPr>
        <w:t>Recommendation 44</w:t>
      </w:r>
    </w:p>
    <w:p w14:paraId="4C9EB9DD" w14:textId="77777777" w:rsidR="00176316" w:rsidRPr="00C97AA1" w:rsidRDefault="00176316" w:rsidP="003A3F4F">
      <w:pPr>
        <w:rPr>
          <w:rFonts w:cs="Arial"/>
          <w:szCs w:val="24"/>
          <w:lang w:eastAsia="ja-JP"/>
        </w:rPr>
      </w:pPr>
      <w:r w:rsidRPr="00C97AA1">
        <w:rPr>
          <w:rFonts w:cs="Arial"/>
          <w:szCs w:val="24"/>
          <w:lang w:eastAsia="ja-JP"/>
        </w:rPr>
        <w:t>Human rights scrutiny of statutory rules and legislative instruments be made more transparent and effective by:</w:t>
      </w:r>
    </w:p>
    <w:p w14:paraId="004D2E2D" w14:textId="77777777" w:rsidR="00176316" w:rsidRPr="00C97AA1" w:rsidRDefault="00176316" w:rsidP="003A3F4F">
      <w:pPr>
        <w:pStyle w:val="ListParagraph"/>
        <w:numPr>
          <w:ilvl w:val="0"/>
          <w:numId w:val="41"/>
        </w:numPr>
        <w:rPr>
          <w:rFonts w:cs="Arial"/>
          <w:szCs w:val="24"/>
        </w:rPr>
      </w:pPr>
      <w:r w:rsidRPr="00C97AA1">
        <w:rPr>
          <w:rFonts w:cs="Arial"/>
          <w:szCs w:val="24"/>
        </w:rPr>
        <w:t>publishing all human rights certificates in an online repository maintained by the Scrutiny of Acts and Regulations Committee</w:t>
      </w:r>
    </w:p>
    <w:p w14:paraId="2BF1347D" w14:textId="545126C0" w:rsidR="00176316" w:rsidRPr="00C97AA1" w:rsidRDefault="00176316" w:rsidP="003A3F4F">
      <w:pPr>
        <w:pStyle w:val="ListParagraph"/>
        <w:numPr>
          <w:ilvl w:val="0"/>
          <w:numId w:val="41"/>
        </w:numPr>
        <w:rPr>
          <w:rFonts w:cs="Arial"/>
          <w:szCs w:val="24"/>
        </w:rPr>
      </w:pPr>
      <w:r w:rsidRPr="00C97AA1">
        <w:rPr>
          <w:rFonts w:cs="Arial"/>
          <w:szCs w:val="24"/>
        </w:rPr>
        <w:t>amending section 30 of the Charter to require the Scrutiny of Acts and Regulations Committee to consider all statutory rules and legislative instruments and report to parliament if it corresponds with a Minister about the human rights impact of any statutory rule or legislative instrument or considers the statutory rule or legislative instrument limits human rights</w:t>
      </w:r>
      <w:r w:rsidR="00026826">
        <w:rPr>
          <w:rFonts w:cs="Arial"/>
          <w:szCs w:val="24"/>
        </w:rPr>
        <w:t>.</w:t>
      </w:r>
    </w:p>
    <w:p w14:paraId="5F776578" w14:textId="77777777" w:rsidR="00176316" w:rsidRPr="00C97AA1" w:rsidRDefault="00176316" w:rsidP="00090A40">
      <w:pPr>
        <w:pStyle w:val="Heading4"/>
        <w:rPr>
          <w:lang w:val="en-GB"/>
        </w:rPr>
      </w:pPr>
      <w:r w:rsidRPr="00C97AA1">
        <w:rPr>
          <w:lang w:val="en-GB"/>
        </w:rPr>
        <w:t>Government response</w:t>
      </w:r>
    </w:p>
    <w:p w14:paraId="7F71B428" w14:textId="77777777" w:rsidR="00176316" w:rsidRPr="00C97AA1" w:rsidRDefault="00176316" w:rsidP="00090A40">
      <w:pPr>
        <w:pStyle w:val="VEOHRCBodytext"/>
        <w:rPr>
          <w:szCs w:val="24"/>
          <w:lang w:val="en-GB"/>
        </w:rPr>
      </w:pPr>
      <w:r w:rsidRPr="00C97AA1">
        <w:rPr>
          <w:szCs w:val="24"/>
          <w:lang w:val="en-GB"/>
        </w:rPr>
        <w:t>Supported</w:t>
      </w:r>
    </w:p>
    <w:p w14:paraId="48194F54" w14:textId="77777777" w:rsidR="00176316" w:rsidRPr="003A3F4F" w:rsidRDefault="00176316" w:rsidP="003A3F4F">
      <w:pPr>
        <w:pStyle w:val="VEOHRCBodytext"/>
      </w:pPr>
      <w:r w:rsidRPr="003A3F4F">
        <w:rPr>
          <w:b/>
          <w:lang w:val="en-GB"/>
        </w:rPr>
        <w:t>Progress – as reported in the 2017 Charter Report</w:t>
      </w:r>
    </w:p>
    <w:p w14:paraId="09B7AD2F" w14:textId="2334F4BA" w:rsidR="00E4174C" w:rsidRPr="003A3F4F" w:rsidRDefault="00176316" w:rsidP="003A3F4F">
      <w:pPr>
        <w:pStyle w:val="ListParagraph"/>
        <w:numPr>
          <w:ilvl w:val="0"/>
          <w:numId w:val="60"/>
        </w:numPr>
        <w:rPr>
          <w:lang w:val="en-GB"/>
        </w:rPr>
      </w:pPr>
      <w:r w:rsidRPr="00E4174C">
        <w:rPr>
          <w:rFonts w:cs="Arial"/>
        </w:rPr>
        <w:t>While</w:t>
      </w:r>
      <w:r w:rsidRPr="003A3F4F">
        <w:rPr>
          <w:lang w:val="en-GB"/>
        </w:rPr>
        <w:t xml:space="preserve"> </w:t>
      </w:r>
      <w:r w:rsidRPr="00E4174C">
        <w:rPr>
          <w:lang w:val="en-GB"/>
        </w:rPr>
        <w:t>SARC's</w:t>
      </w:r>
      <w:r w:rsidRPr="003A3F4F">
        <w:rPr>
          <w:lang w:val="en-GB"/>
        </w:rPr>
        <w:t xml:space="preserve"> internal processes and procedures are a matter for it to consider, the </w:t>
      </w:r>
      <w:r w:rsidRPr="00E4174C">
        <w:rPr>
          <w:rFonts w:cs="Arial"/>
          <w:szCs w:val="24"/>
        </w:rPr>
        <w:t>government</w:t>
      </w:r>
      <w:r w:rsidRPr="003A3F4F">
        <w:rPr>
          <w:lang w:val="en-GB"/>
        </w:rPr>
        <w:t xml:space="preserve"> intends draw to </w:t>
      </w:r>
      <w:r w:rsidRPr="00E4174C">
        <w:rPr>
          <w:lang w:val="en-GB"/>
        </w:rPr>
        <w:t>SARC's</w:t>
      </w:r>
      <w:r w:rsidRPr="003A3F4F">
        <w:rPr>
          <w:lang w:val="en-GB"/>
        </w:rPr>
        <w:t xml:space="preserve"> attention part (a) of the Recommendation.</w:t>
      </w:r>
    </w:p>
    <w:p w14:paraId="4C5E2824" w14:textId="4934AEC9" w:rsidR="00176316" w:rsidRPr="003A3F4F" w:rsidRDefault="00176316" w:rsidP="003A3F4F">
      <w:pPr>
        <w:pStyle w:val="ListParagraph"/>
        <w:numPr>
          <w:ilvl w:val="0"/>
          <w:numId w:val="60"/>
        </w:numPr>
        <w:rPr>
          <w:lang w:val="en-GB"/>
        </w:rPr>
      </w:pPr>
      <w:r w:rsidRPr="003A3F4F">
        <w:rPr>
          <w:lang w:val="en-GB"/>
        </w:rPr>
        <w:t>See Recommendation 12.</w:t>
      </w:r>
    </w:p>
    <w:p w14:paraId="5336B9CE" w14:textId="77777777" w:rsidR="00176316" w:rsidRPr="003A3F4F" w:rsidRDefault="00176316" w:rsidP="003A3F4F">
      <w:pPr>
        <w:pStyle w:val="VEOHRCBodytext"/>
      </w:pPr>
      <w:r w:rsidRPr="003A3F4F">
        <w:rPr>
          <w:b/>
          <w:lang w:val="en-GB"/>
        </w:rPr>
        <w:t>Progress during the 2018 calendar year</w:t>
      </w:r>
    </w:p>
    <w:p w14:paraId="604A33C0" w14:textId="72D72BC0" w:rsidR="00E4174C" w:rsidRPr="003A3F4F" w:rsidRDefault="00176316" w:rsidP="003A3F4F">
      <w:pPr>
        <w:pStyle w:val="ListParagraph"/>
        <w:numPr>
          <w:ilvl w:val="0"/>
          <w:numId w:val="61"/>
        </w:numPr>
        <w:rPr>
          <w:lang w:val="en-GB"/>
        </w:rPr>
      </w:pPr>
      <w:r w:rsidRPr="00E4174C">
        <w:rPr>
          <w:rFonts w:cs="Arial"/>
        </w:rPr>
        <w:t>SARC's</w:t>
      </w:r>
      <w:r w:rsidRPr="003A3F4F">
        <w:rPr>
          <w:lang w:val="en-GB"/>
        </w:rPr>
        <w:t xml:space="preserve"> internal processes and procedures are a matter for</w:t>
      </w:r>
      <w:r w:rsidRPr="00E4174C">
        <w:rPr>
          <w:szCs w:val="24"/>
          <w:lang w:val="en-GB"/>
        </w:rPr>
        <w:t xml:space="preserve"> </w:t>
      </w:r>
      <w:r w:rsidRPr="003A3F4F">
        <w:rPr>
          <w:lang w:val="en-GB"/>
        </w:rPr>
        <w:t>it to consider. Nevertheless, the government will revisit part (a) of the Recommendation.</w:t>
      </w:r>
    </w:p>
    <w:p w14:paraId="782CE2DA" w14:textId="05B0877B" w:rsidR="00176316" w:rsidRPr="003A3F4F" w:rsidRDefault="00176316" w:rsidP="003A3F4F">
      <w:pPr>
        <w:pStyle w:val="ListParagraph"/>
        <w:numPr>
          <w:ilvl w:val="0"/>
          <w:numId w:val="61"/>
        </w:numPr>
        <w:rPr>
          <w:lang w:val="en-GB"/>
        </w:rPr>
      </w:pPr>
      <w:r w:rsidRPr="003A3F4F">
        <w:rPr>
          <w:lang w:val="en-GB"/>
        </w:rPr>
        <w:t>See Recommendation 12.</w:t>
      </w:r>
    </w:p>
    <w:p w14:paraId="5E85C7DE" w14:textId="052243D8" w:rsidR="00176316" w:rsidRDefault="00176316" w:rsidP="006A6EEF">
      <w:pPr>
        <w:pStyle w:val="VEOHRCBodytext"/>
        <w:rPr>
          <w:b/>
          <w:lang w:val="en-GB"/>
        </w:rPr>
      </w:pPr>
      <w:r w:rsidRPr="00C97AA1">
        <w:rPr>
          <w:b/>
          <w:lang w:val="en-GB"/>
        </w:rPr>
        <w:t>Status</w:t>
      </w:r>
    </w:p>
    <w:p w14:paraId="61BA2D5A" w14:textId="77777777" w:rsidR="00E4174C" w:rsidRPr="00C97AA1" w:rsidRDefault="00E4174C" w:rsidP="00947A97">
      <w:pPr>
        <w:pStyle w:val="VEOHRCBodytext"/>
        <w:numPr>
          <w:ilvl w:val="0"/>
          <w:numId w:val="62"/>
        </w:numPr>
        <w:rPr>
          <w:szCs w:val="24"/>
          <w:lang w:val="en-GB"/>
        </w:rPr>
      </w:pPr>
      <w:r w:rsidRPr="00C97AA1">
        <w:rPr>
          <w:szCs w:val="24"/>
          <w:shd w:val="clear" w:color="auto" w:fill="FFC000"/>
          <w:lang w:val="en-GB"/>
        </w:rPr>
        <w:t>PENDING</w:t>
      </w:r>
    </w:p>
    <w:p w14:paraId="0E915B63" w14:textId="6956A6AA" w:rsidR="00E4174C" w:rsidRPr="003A3F4F" w:rsidRDefault="00E4174C" w:rsidP="003A3F4F">
      <w:pPr>
        <w:pStyle w:val="VEOHRCBodytext"/>
        <w:numPr>
          <w:ilvl w:val="0"/>
          <w:numId w:val="62"/>
        </w:numPr>
      </w:pPr>
      <w:r w:rsidRPr="00C97AA1">
        <w:rPr>
          <w:szCs w:val="24"/>
          <w:shd w:val="clear" w:color="auto" w:fill="FFC000"/>
          <w:lang w:val="en-GB"/>
        </w:rPr>
        <w:t>PENDING</w:t>
      </w:r>
    </w:p>
    <w:p w14:paraId="68C8B579" w14:textId="352B9195" w:rsidR="00176316" w:rsidRPr="003A3F4F" w:rsidRDefault="00E4174C" w:rsidP="003A3F4F">
      <w:pPr>
        <w:pStyle w:val="Heading3"/>
      </w:pPr>
      <w:r w:rsidRPr="003A3F4F">
        <w:rPr>
          <w:lang w:val="en-GB"/>
        </w:rPr>
        <w:t>Recommendation 45</w:t>
      </w:r>
    </w:p>
    <w:p w14:paraId="76E6D12C" w14:textId="43B64CD3" w:rsidR="00176316" w:rsidRPr="003A3F4F" w:rsidRDefault="00176316" w:rsidP="003A3F4F">
      <w:pPr>
        <w:pStyle w:val="VEOHRCBodytext"/>
      </w:pPr>
      <w:r w:rsidRPr="003A3F4F">
        <w:rPr>
          <w:lang w:val="en-GB"/>
        </w:rPr>
        <w:t xml:space="preserve">Local laws be made subject to the Charter by amending item 2(f) of Schedule 8 to the </w:t>
      </w:r>
      <w:r w:rsidRPr="003A3F4F">
        <w:t>Local Government Act 1989</w:t>
      </w:r>
      <w:r w:rsidRPr="003A3F4F">
        <w:rPr>
          <w:lang w:val="en-GB"/>
        </w:rPr>
        <w:t xml:space="preserve"> (Vic) to refer to the human rights in the Charter, making incompatibility with the human rights in the Charter a factor for the </w:t>
      </w:r>
      <w:r w:rsidRPr="00C97AA1">
        <w:rPr>
          <w:szCs w:val="24"/>
          <w:lang w:val="en-GB" w:eastAsia="ja-JP"/>
        </w:rPr>
        <w:t>Minister's</w:t>
      </w:r>
      <w:r w:rsidRPr="003A3F4F">
        <w:rPr>
          <w:lang w:val="en-GB"/>
        </w:rPr>
        <w:t xml:space="preserve"> consideration when deciding whether to recommend revocation of a local law</w:t>
      </w:r>
      <w:r w:rsidR="00026826" w:rsidRPr="003A3F4F">
        <w:rPr>
          <w:lang w:val="en-GB"/>
        </w:rPr>
        <w:t>.</w:t>
      </w:r>
    </w:p>
    <w:p w14:paraId="0FF38C9C" w14:textId="77777777" w:rsidR="00176316" w:rsidRPr="00C97AA1" w:rsidRDefault="00176316" w:rsidP="00090A40">
      <w:pPr>
        <w:pStyle w:val="Heading4"/>
        <w:rPr>
          <w:lang w:val="en-GB"/>
        </w:rPr>
      </w:pPr>
      <w:r w:rsidRPr="00C97AA1">
        <w:rPr>
          <w:lang w:val="en-GB"/>
        </w:rPr>
        <w:t>Government response</w:t>
      </w:r>
    </w:p>
    <w:p w14:paraId="196D427B" w14:textId="77777777" w:rsidR="00176316" w:rsidRPr="00C97AA1" w:rsidRDefault="00176316" w:rsidP="00090A40">
      <w:pPr>
        <w:pStyle w:val="VEOHRCBodytext"/>
        <w:rPr>
          <w:szCs w:val="24"/>
          <w:lang w:val="en-GB"/>
        </w:rPr>
      </w:pPr>
      <w:r w:rsidRPr="00C97AA1">
        <w:rPr>
          <w:szCs w:val="24"/>
          <w:lang w:val="en-GB"/>
        </w:rPr>
        <w:t>Supported in principle</w:t>
      </w:r>
    </w:p>
    <w:p w14:paraId="3B0B10EB" w14:textId="77777777" w:rsidR="00176316" w:rsidRPr="003A3F4F" w:rsidRDefault="00176316" w:rsidP="003A3F4F">
      <w:pPr>
        <w:pStyle w:val="VEOHRCBodytext"/>
      </w:pPr>
      <w:r w:rsidRPr="003A3F4F">
        <w:rPr>
          <w:b/>
          <w:lang w:val="en-GB"/>
        </w:rPr>
        <w:lastRenderedPageBreak/>
        <w:t>Progress – as reported in the 2017 Charter Report</w:t>
      </w:r>
    </w:p>
    <w:p w14:paraId="144029EA" w14:textId="0A0FA388" w:rsidR="00176316" w:rsidRPr="003A3F4F" w:rsidRDefault="00176316" w:rsidP="003A3F4F">
      <w:pPr>
        <w:pStyle w:val="VEOHRCBodytext"/>
      </w:pPr>
      <w:r w:rsidRPr="003A3F4F">
        <w:rPr>
          <w:lang w:val="en-GB"/>
        </w:rPr>
        <w:t xml:space="preserve">An exposure draft Bill to amend the </w:t>
      </w:r>
      <w:r w:rsidRPr="003A3F4F">
        <w:t>Local Government Act 1989,</w:t>
      </w:r>
      <w:r w:rsidRPr="003A3F4F">
        <w:rPr>
          <w:lang w:val="en-GB"/>
        </w:rPr>
        <w:t xml:space="preserve"> incorporating provisions to give effect to Recommendation 45, was made publicly available on 12 December 2017. For the Recommendation to be fully implemented, the Bill will need to be passed by parliament. </w:t>
      </w:r>
    </w:p>
    <w:p w14:paraId="7C94A955" w14:textId="15015CF8" w:rsidR="00176316" w:rsidRPr="003A3F4F" w:rsidRDefault="00176316" w:rsidP="003A3F4F">
      <w:pPr>
        <w:pStyle w:val="VEOHRCBodytext"/>
      </w:pPr>
      <w:r w:rsidRPr="003A3F4F">
        <w:rPr>
          <w:lang w:val="en-GB"/>
        </w:rPr>
        <w:t>At the time of writing this report, the Local Government Bill 2018 had been introduced by the Government.</w:t>
      </w:r>
    </w:p>
    <w:p w14:paraId="6E310BFA" w14:textId="77777777" w:rsidR="00176316" w:rsidRPr="003A3F4F" w:rsidRDefault="00176316" w:rsidP="003A3F4F">
      <w:pPr>
        <w:pStyle w:val="VEOHRCBodytext"/>
      </w:pPr>
      <w:r w:rsidRPr="003A3F4F">
        <w:rPr>
          <w:b/>
          <w:lang w:val="en-GB"/>
        </w:rPr>
        <w:t>Progress during the 2018 calendar year</w:t>
      </w:r>
    </w:p>
    <w:p w14:paraId="6418CAB1" w14:textId="07334A65" w:rsidR="00176316" w:rsidRPr="003A3F4F" w:rsidRDefault="00176316" w:rsidP="003A3F4F">
      <w:pPr>
        <w:pStyle w:val="VEOHRCBodytext"/>
      </w:pPr>
      <w:r w:rsidRPr="003A3F4F">
        <w:rPr>
          <w:lang w:val="en-GB"/>
        </w:rPr>
        <w:t>The Local Government Bill 2018, which sought to implement this recommendation, was introduced into the Legislative Assembly and passed. However, the Bill lapsed in the Legislative Council, with dissolution of the Victorian Parliament for the 2018 election.</w:t>
      </w:r>
    </w:p>
    <w:p w14:paraId="6B35D0E1" w14:textId="55B9B552" w:rsidR="00176316" w:rsidRPr="003A3F4F" w:rsidRDefault="00176316" w:rsidP="003A3F4F">
      <w:pPr>
        <w:pStyle w:val="VEOHRCBodytext"/>
      </w:pPr>
      <w:r w:rsidRPr="003A3F4F">
        <w:rPr>
          <w:lang w:val="en-GB"/>
        </w:rPr>
        <w:t>The Victorian Government will revisit this recommendation from the Review, as part of the legislative program for the 2018-2022 term.</w:t>
      </w:r>
    </w:p>
    <w:p w14:paraId="0A9B2541" w14:textId="77777777" w:rsidR="00176316" w:rsidRPr="00C97AA1" w:rsidRDefault="00176316" w:rsidP="006A6EEF">
      <w:pPr>
        <w:pStyle w:val="VEOHRCBodytext"/>
        <w:rPr>
          <w:b/>
          <w:lang w:val="en-GB"/>
        </w:rPr>
      </w:pPr>
      <w:r w:rsidRPr="00C97AA1">
        <w:rPr>
          <w:b/>
          <w:lang w:val="en-GB"/>
        </w:rPr>
        <w:t>Status</w:t>
      </w:r>
    </w:p>
    <w:p w14:paraId="3E5272B8" w14:textId="77777777" w:rsidR="00176316" w:rsidRPr="00C97AA1" w:rsidRDefault="00176316" w:rsidP="00090A40">
      <w:pPr>
        <w:pStyle w:val="VEOHRCBodytext"/>
        <w:rPr>
          <w:szCs w:val="24"/>
          <w:lang w:val="en-GB"/>
        </w:rPr>
      </w:pPr>
      <w:r w:rsidRPr="00C97AA1">
        <w:rPr>
          <w:szCs w:val="24"/>
          <w:shd w:val="clear" w:color="auto" w:fill="00B0F0"/>
          <w:lang w:val="en-GB"/>
        </w:rPr>
        <w:t>IN PROGRESS</w:t>
      </w:r>
    </w:p>
    <w:p w14:paraId="7C07DD93" w14:textId="5681C598" w:rsidR="00176316" w:rsidRPr="003A3F4F" w:rsidRDefault="00E4174C" w:rsidP="003A3F4F">
      <w:pPr>
        <w:pStyle w:val="Heading3"/>
      </w:pPr>
      <w:r w:rsidRPr="003A3F4F">
        <w:rPr>
          <w:lang w:val="en-GB"/>
        </w:rPr>
        <w:t>Recommendation 46</w:t>
      </w:r>
    </w:p>
    <w:p w14:paraId="54CC3D59" w14:textId="223F2DCB" w:rsidR="00176316" w:rsidRPr="003A3F4F" w:rsidRDefault="00176316" w:rsidP="003A3F4F">
      <w:pPr>
        <w:pStyle w:val="VEOHRCBodytext"/>
      </w:pPr>
      <w:r w:rsidRPr="003A3F4F">
        <w:rPr>
          <w:lang w:val="en-GB"/>
        </w:rPr>
        <w:t>The provision for override declarations in section 31 of the Charter be repealed. The explanatory materials for the amending statute should note that parliament has continuing authority to enact any statute (including statutes that are incompatible with human rights), and the statement of compatibility is the mechanism for noting this incompatibility. If legislation is passed that is incompatible with human rights, the responsible Minister should report to parliament on its operation every five years</w:t>
      </w:r>
      <w:r w:rsidR="00026826" w:rsidRPr="003A3F4F">
        <w:rPr>
          <w:lang w:val="en-GB"/>
        </w:rPr>
        <w:t>.</w:t>
      </w:r>
    </w:p>
    <w:p w14:paraId="3A5A5D5E" w14:textId="77777777" w:rsidR="00176316" w:rsidRPr="00C97AA1" w:rsidRDefault="00176316" w:rsidP="00090A40">
      <w:pPr>
        <w:pStyle w:val="Heading4"/>
        <w:rPr>
          <w:lang w:val="en-GB"/>
        </w:rPr>
      </w:pPr>
      <w:r w:rsidRPr="00C97AA1">
        <w:rPr>
          <w:lang w:val="en-GB"/>
        </w:rPr>
        <w:t>Government response</w:t>
      </w:r>
    </w:p>
    <w:p w14:paraId="5DD5364C" w14:textId="77777777" w:rsidR="00176316" w:rsidRPr="00C97AA1" w:rsidRDefault="00176316" w:rsidP="00090A40">
      <w:pPr>
        <w:pStyle w:val="VEOHRCBodytext"/>
        <w:rPr>
          <w:szCs w:val="24"/>
          <w:lang w:val="en-GB"/>
        </w:rPr>
      </w:pPr>
      <w:r w:rsidRPr="00C97AA1">
        <w:rPr>
          <w:szCs w:val="24"/>
          <w:lang w:val="en-GB"/>
        </w:rPr>
        <w:t>Not supported</w:t>
      </w:r>
    </w:p>
    <w:p w14:paraId="67718A4A" w14:textId="77777777" w:rsidR="00176316" w:rsidRPr="00C97AA1" w:rsidRDefault="00176316" w:rsidP="006A6EEF">
      <w:pPr>
        <w:pStyle w:val="VEOHRCBodytext"/>
        <w:rPr>
          <w:b/>
          <w:lang w:val="en-GB"/>
        </w:rPr>
      </w:pPr>
      <w:r w:rsidRPr="00C97AA1">
        <w:rPr>
          <w:b/>
          <w:lang w:val="en-GB"/>
        </w:rPr>
        <w:t>Status</w:t>
      </w:r>
    </w:p>
    <w:p w14:paraId="02D5459F" w14:textId="77777777" w:rsidR="00176316" w:rsidRPr="00C97AA1" w:rsidRDefault="00176316" w:rsidP="00090A40">
      <w:pPr>
        <w:pStyle w:val="VEOHRCBodytext"/>
        <w:rPr>
          <w:szCs w:val="24"/>
          <w:lang w:val="en-GB"/>
        </w:rPr>
      </w:pPr>
      <w:r w:rsidRPr="00A76371">
        <w:rPr>
          <w:szCs w:val="24"/>
          <w:highlight w:val="lightGray"/>
          <w:lang w:val="en-GB"/>
        </w:rPr>
        <w:t>NOT SUPPORTED</w:t>
      </w:r>
    </w:p>
    <w:p w14:paraId="4ADCA43A" w14:textId="77777777" w:rsidR="00176316" w:rsidRPr="003A3F4F" w:rsidRDefault="00176316" w:rsidP="003A3F4F">
      <w:pPr>
        <w:pStyle w:val="Heading2"/>
      </w:pPr>
      <w:bookmarkStart w:id="128" w:name="_Toc22011553"/>
      <w:r w:rsidRPr="003A3F4F">
        <w:rPr>
          <w:lang w:val="en-GB"/>
        </w:rPr>
        <w:t>Chapter 7 – Emerging issues</w:t>
      </w:r>
      <w:bookmarkEnd w:id="128"/>
    </w:p>
    <w:p w14:paraId="0D951925" w14:textId="673F7AE8" w:rsidR="00176316" w:rsidRPr="003A3F4F" w:rsidRDefault="00E4174C" w:rsidP="003A3F4F">
      <w:pPr>
        <w:pStyle w:val="Heading3"/>
      </w:pPr>
      <w:r w:rsidRPr="003A3F4F">
        <w:rPr>
          <w:lang w:val="en-GB"/>
        </w:rPr>
        <w:t>Recommendation 47</w:t>
      </w:r>
    </w:p>
    <w:p w14:paraId="2BF26347" w14:textId="66DCD9B7" w:rsidR="00176316" w:rsidRPr="003A3F4F" w:rsidRDefault="00176316" w:rsidP="003A3F4F">
      <w:pPr>
        <w:pStyle w:val="VEOHRCBodytext"/>
      </w:pPr>
      <w:r w:rsidRPr="003A3F4F">
        <w:rPr>
          <w:lang w:val="en-GB"/>
        </w:rPr>
        <w:t>The Victorian Government adopt a whole-of-government policy that, in developing a national scheme, the Charter should apply to the scheme in Victoria to the fullest extent possible. Alternatively, the national scheme should incorporate human rights protections equivalent to, or stronger than, the Charter. In developing a national scheme, the Government should consider separately the question of protection and promotion of human rights through scrutiny of legislation, the interpretation of legislation, whether regulators and others involved in administering a national scheme in Victoria are public authorities, and oversight and compliance mechanisms</w:t>
      </w:r>
      <w:r w:rsidR="00026826" w:rsidRPr="003A3F4F">
        <w:rPr>
          <w:lang w:val="en-GB"/>
        </w:rPr>
        <w:t>.</w:t>
      </w:r>
    </w:p>
    <w:p w14:paraId="0CD77589" w14:textId="77777777" w:rsidR="00176316" w:rsidRPr="00C97AA1" w:rsidRDefault="00176316" w:rsidP="00090A40">
      <w:pPr>
        <w:pStyle w:val="Heading4"/>
        <w:rPr>
          <w:lang w:val="en-GB"/>
        </w:rPr>
      </w:pPr>
      <w:r w:rsidRPr="00C97AA1">
        <w:rPr>
          <w:lang w:val="en-GB"/>
        </w:rPr>
        <w:t>Government response</w:t>
      </w:r>
    </w:p>
    <w:p w14:paraId="5645B0C2" w14:textId="77777777" w:rsidR="00176316" w:rsidRPr="00C97AA1" w:rsidRDefault="00176316" w:rsidP="00090A40">
      <w:pPr>
        <w:pStyle w:val="VEOHRCBodytext"/>
        <w:rPr>
          <w:szCs w:val="24"/>
          <w:lang w:val="en-GB"/>
        </w:rPr>
      </w:pPr>
      <w:r w:rsidRPr="00C97AA1">
        <w:rPr>
          <w:szCs w:val="24"/>
          <w:lang w:val="en-GB"/>
        </w:rPr>
        <w:t>Supported</w:t>
      </w:r>
    </w:p>
    <w:p w14:paraId="4A9AD532" w14:textId="77777777" w:rsidR="00176316" w:rsidRPr="003A3F4F" w:rsidRDefault="00176316" w:rsidP="003A3F4F">
      <w:pPr>
        <w:pStyle w:val="VEOHRCBodytext"/>
      </w:pPr>
      <w:r w:rsidRPr="003A3F4F">
        <w:rPr>
          <w:b/>
          <w:lang w:val="en-GB"/>
        </w:rPr>
        <w:t>Progress – as reported in the 2017 Charter Report</w:t>
      </w:r>
    </w:p>
    <w:p w14:paraId="476109DC" w14:textId="2E76F3E3" w:rsidR="00176316" w:rsidRPr="003A3F4F" w:rsidRDefault="00176316" w:rsidP="003A3F4F">
      <w:pPr>
        <w:pStyle w:val="VEOHRCBodytext"/>
      </w:pPr>
      <w:r w:rsidRPr="003A3F4F">
        <w:rPr>
          <w:lang w:val="en-GB"/>
        </w:rPr>
        <w:t xml:space="preserve">DJR proposes to develop this whole-of-government policy on national schemes, in consultation with relevant government departments, to acquit this Recommendation. </w:t>
      </w:r>
    </w:p>
    <w:p w14:paraId="70C40DEB" w14:textId="77777777" w:rsidR="00176316" w:rsidRPr="003A3F4F" w:rsidRDefault="00176316" w:rsidP="003A3F4F">
      <w:pPr>
        <w:pStyle w:val="VEOHRCBodytext"/>
      </w:pPr>
      <w:r w:rsidRPr="003A3F4F">
        <w:rPr>
          <w:b/>
          <w:lang w:val="en-GB"/>
        </w:rPr>
        <w:t>Progress during the 2018 calendar year</w:t>
      </w:r>
    </w:p>
    <w:p w14:paraId="1AA093E2" w14:textId="07E509C6" w:rsidR="00176316" w:rsidRPr="003A3F4F" w:rsidRDefault="00176316" w:rsidP="003A3F4F">
      <w:pPr>
        <w:pStyle w:val="VEOHRCBodytext"/>
      </w:pPr>
      <w:r w:rsidRPr="003A3F4F">
        <w:rPr>
          <w:lang w:val="en-GB"/>
        </w:rPr>
        <w:lastRenderedPageBreak/>
        <w:t>DJCS has commenced developing a whole-of-government policy on national schemes, which will be in consultation with relevant government departments.</w:t>
      </w:r>
    </w:p>
    <w:p w14:paraId="1D560D7C" w14:textId="77777777" w:rsidR="00176316" w:rsidRPr="00C97AA1" w:rsidRDefault="00176316" w:rsidP="006A6EEF">
      <w:pPr>
        <w:pStyle w:val="VEOHRCBodytext"/>
        <w:rPr>
          <w:b/>
          <w:lang w:val="en-GB"/>
        </w:rPr>
      </w:pPr>
      <w:r w:rsidRPr="00C97AA1">
        <w:rPr>
          <w:b/>
          <w:lang w:val="en-GB"/>
        </w:rPr>
        <w:t>Status</w:t>
      </w:r>
    </w:p>
    <w:p w14:paraId="60036492" w14:textId="77777777" w:rsidR="00176316" w:rsidRPr="00C97AA1" w:rsidRDefault="00176316" w:rsidP="00090A40">
      <w:pPr>
        <w:pStyle w:val="VEOHRCBodytext"/>
        <w:rPr>
          <w:szCs w:val="24"/>
          <w:lang w:val="en-GB"/>
        </w:rPr>
      </w:pPr>
      <w:r w:rsidRPr="00C97AA1">
        <w:rPr>
          <w:szCs w:val="24"/>
          <w:shd w:val="clear" w:color="auto" w:fill="00B0F0"/>
          <w:lang w:val="en-GB"/>
        </w:rPr>
        <w:t>IN PROGRESS</w:t>
      </w:r>
    </w:p>
    <w:p w14:paraId="7D361F0F" w14:textId="5AC4423C" w:rsidR="00176316" w:rsidRPr="003A3F4F" w:rsidRDefault="00E4174C" w:rsidP="003A3F4F">
      <w:pPr>
        <w:pStyle w:val="Heading3"/>
      </w:pPr>
      <w:r w:rsidRPr="003A3F4F">
        <w:rPr>
          <w:lang w:val="en-GB"/>
        </w:rPr>
        <w:t>Recommendation 48</w:t>
      </w:r>
    </w:p>
    <w:p w14:paraId="2052837A" w14:textId="77777777" w:rsidR="00176316" w:rsidRPr="00C97AA1" w:rsidRDefault="00176316" w:rsidP="003A3F4F">
      <w:pPr>
        <w:rPr>
          <w:rFonts w:cs="Arial"/>
          <w:szCs w:val="24"/>
          <w:lang w:eastAsia="ja-JP"/>
        </w:rPr>
      </w:pPr>
      <w:r w:rsidRPr="00C97AA1">
        <w:rPr>
          <w:rFonts w:cs="Arial"/>
          <w:szCs w:val="24"/>
          <w:lang w:eastAsia="ja-JP"/>
        </w:rPr>
        <w:t>The principles in the Preamble to the Charter be amended to:</w:t>
      </w:r>
    </w:p>
    <w:p w14:paraId="188AB112" w14:textId="78B4A05B" w:rsidR="00176316" w:rsidRPr="00C97AA1" w:rsidRDefault="00176316" w:rsidP="003A3F4F">
      <w:pPr>
        <w:pStyle w:val="ListParagraph"/>
        <w:numPr>
          <w:ilvl w:val="0"/>
          <w:numId w:val="42"/>
        </w:numPr>
        <w:rPr>
          <w:rFonts w:cs="Arial"/>
          <w:szCs w:val="24"/>
        </w:rPr>
      </w:pPr>
      <w:r w:rsidRPr="00C97AA1">
        <w:rPr>
          <w:rFonts w:cs="Arial"/>
          <w:szCs w:val="24"/>
        </w:rPr>
        <w:t>recognise the need for public authorities to take steps to respect, protect and promote human rights</w:t>
      </w:r>
    </w:p>
    <w:p w14:paraId="1BB7B989" w14:textId="4478C270" w:rsidR="00176316" w:rsidRPr="00C97AA1" w:rsidRDefault="00176316" w:rsidP="003A3F4F">
      <w:pPr>
        <w:pStyle w:val="ListParagraph"/>
        <w:numPr>
          <w:ilvl w:val="0"/>
          <w:numId w:val="42"/>
        </w:numPr>
        <w:rPr>
          <w:rFonts w:cs="Arial"/>
          <w:szCs w:val="24"/>
        </w:rPr>
      </w:pPr>
      <w:r w:rsidRPr="00C97AA1">
        <w:rPr>
          <w:rFonts w:cs="Arial"/>
          <w:szCs w:val="24"/>
        </w:rPr>
        <w:t>recognise the importance of individuals and communities being able to have a say about policies, practices and decisions that affect their lives</w:t>
      </w:r>
    </w:p>
    <w:p w14:paraId="725586DF" w14:textId="7506F1AD" w:rsidR="00176316" w:rsidRPr="00C97AA1" w:rsidRDefault="00176316" w:rsidP="003A3F4F">
      <w:pPr>
        <w:pStyle w:val="ListParagraph"/>
        <w:numPr>
          <w:ilvl w:val="0"/>
          <w:numId w:val="42"/>
        </w:numPr>
        <w:rPr>
          <w:rFonts w:cs="Arial"/>
          <w:szCs w:val="24"/>
        </w:rPr>
      </w:pPr>
      <w:r w:rsidRPr="00C97AA1">
        <w:rPr>
          <w:rFonts w:cs="Arial"/>
          <w:szCs w:val="24"/>
        </w:rPr>
        <w:t>refer to self-determination having special importance for the Aboriginal people of Victoria, as descendants of Australia's first peoples</w:t>
      </w:r>
      <w:r w:rsidR="00026826">
        <w:rPr>
          <w:rFonts w:cs="Arial"/>
          <w:szCs w:val="24"/>
        </w:rPr>
        <w:t>.</w:t>
      </w:r>
    </w:p>
    <w:p w14:paraId="56240B80" w14:textId="77777777" w:rsidR="00176316" w:rsidRPr="00C97AA1" w:rsidRDefault="00176316" w:rsidP="00090A40">
      <w:pPr>
        <w:pStyle w:val="Heading4"/>
        <w:rPr>
          <w:lang w:val="en-GB"/>
        </w:rPr>
      </w:pPr>
      <w:r w:rsidRPr="00C97AA1">
        <w:rPr>
          <w:lang w:val="en-GB"/>
        </w:rPr>
        <w:t>Government response</w:t>
      </w:r>
    </w:p>
    <w:p w14:paraId="2D7D4211" w14:textId="77777777" w:rsidR="00176316" w:rsidRPr="00C97AA1" w:rsidRDefault="00176316" w:rsidP="00090A40">
      <w:pPr>
        <w:pStyle w:val="VEOHRCBodytext"/>
        <w:rPr>
          <w:szCs w:val="24"/>
          <w:lang w:val="en-GB"/>
        </w:rPr>
      </w:pPr>
      <w:r w:rsidRPr="00C97AA1">
        <w:rPr>
          <w:szCs w:val="24"/>
          <w:lang w:val="en-GB"/>
        </w:rPr>
        <w:t>Supported</w:t>
      </w:r>
    </w:p>
    <w:p w14:paraId="7893DD0A" w14:textId="77777777" w:rsidR="00176316" w:rsidRPr="003A3F4F" w:rsidRDefault="00176316" w:rsidP="003A3F4F">
      <w:pPr>
        <w:pStyle w:val="VEOHRCBodytext"/>
      </w:pPr>
      <w:r w:rsidRPr="003A3F4F">
        <w:rPr>
          <w:b/>
          <w:lang w:val="en-GB"/>
        </w:rPr>
        <w:t>Progress – as reported in the 2017 Charter Report</w:t>
      </w:r>
    </w:p>
    <w:p w14:paraId="50F99B24" w14:textId="77777777" w:rsidR="00176316" w:rsidRPr="003A3F4F" w:rsidRDefault="00176316" w:rsidP="003A3F4F">
      <w:pPr>
        <w:pStyle w:val="VEOHRCBodytext"/>
      </w:pPr>
      <w:r w:rsidRPr="003A3F4F">
        <w:rPr>
          <w:lang w:val="en-GB"/>
        </w:rPr>
        <w:t>See Recommendation 12.</w:t>
      </w:r>
    </w:p>
    <w:p w14:paraId="12C182C2" w14:textId="77777777" w:rsidR="00176316" w:rsidRPr="003A3F4F" w:rsidRDefault="00176316" w:rsidP="003A3F4F">
      <w:pPr>
        <w:pStyle w:val="VEOHRCBodytext"/>
      </w:pPr>
      <w:r w:rsidRPr="003A3F4F">
        <w:rPr>
          <w:b/>
          <w:lang w:val="en-GB"/>
        </w:rPr>
        <w:t>Progress during the 2018 calendar year</w:t>
      </w:r>
    </w:p>
    <w:p w14:paraId="3FECD7AD" w14:textId="77777777" w:rsidR="00176316" w:rsidRPr="003A3F4F" w:rsidRDefault="00176316" w:rsidP="003A3F4F">
      <w:pPr>
        <w:pStyle w:val="VEOHRCBodytext"/>
      </w:pPr>
      <w:r w:rsidRPr="003A3F4F">
        <w:rPr>
          <w:lang w:val="en-GB"/>
        </w:rPr>
        <w:t>See Recommendation 12.</w:t>
      </w:r>
    </w:p>
    <w:p w14:paraId="2FB55E93" w14:textId="77777777" w:rsidR="00176316" w:rsidRPr="00C97AA1" w:rsidRDefault="00176316" w:rsidP="006A6EEF">
      <w:pPr>
        <w:pStyle w:val="VEOHRCBodytext"/>
        <w:rPr>
          <w:b/>
          <w:lang w:val="en-GB"/>
        </w:rPr>
      </w:pPr>
      <w:r w:rsidRPr="00C97AA1">
        <w:rPr>
          <w:b/>
          <w:lang w:val="en-GB"/>
        </w:rPr>
        <w:t>Status</w:t>
      </w:r>
    </w:p>
    <w:p w14:paraId="2011BCED" w14:textId="77777777" w:rsidR="00176316" w:rsidRPr="00C97AA1" w:rsidRDefault="00176316" w:rsidP="00090A40">
      <w:pPr>
        <w:pStyle w:val="VEOHRCBodytext"/>
        <w:rPr>
          <w:szCs w:val="24"/>
          <w:lang w:val="en-GB"/>
        </w:rPr>
      </w:pPr>
      <w:r w:rsidRPr="00C97AA1">
        <w:rPr>
          <w:szCs w:val="24"/>
          <w:shd w:val="clear" w:color="auto" w:fill="FFC000"/>
          <w:lang w:val="en-GB"/>
        </w:rPr>
        <w:t>PENDING</w:t>
      </w:r>
    </w:p>
    <w:p w14:paraId="638984EC" w14:textId="3869F4BE" w:rsidR="00176316" w:rsidRPr="003A3F4F" w:rsidRDefault="00E4174C" w:rsidP="003A3F4F">
      <w:pPr>
        <w:pStyle w:val="Heading3"/>
      </w:pPr>
      <w:r w:rsidRPr="003A3F4F">
        <w:rPr>
          <w:lang w:val="en-GB"/>
        </w:rPr>
        <w:t>Recommendation 49</w:t>
      </w:r>
    </w:p>
    <w:p w14:paraId="2DBD2DBF" w14:textId="0EB32524" w:rsidR="00176316" w:rsidRPr="003A3F4F" w:rsidRDefault="00176316" w:rsidP="003A3F4F">
      <w:pPr>
        <w:pStyle w:val="VEOHRCBodytext"/>
      </w:pPr>
      <w:r w:rsidRPr="003A3F4F">
        <w:rPr>
          <w:lang w:val="en-GB"/>
        </w:rPr>
        <w:t xml:space="preserve">The Victorian Government work with Victorian Aboriginal communities to promote, protect and respect self-determination and the empowerment of Aboriginal people. This work could be pursued through existing forums, such as the </w:t>
      </w:r>
      <w:r w:rsidRPr="00C97AA1">
        <w:rPr>
          <w:szCs w:val="24"/>
          <w:lang w:val="en-GB"/>
        </w:rPr>
        <w:t>Premier's</w:t>
      </w:r>
      <w:r w:rsidRPr="003A3F4F">
        <w:rPr>
          <w:lang w:val="en-GB"/>
        </w:rPr>
        <w:t xml:space="preserve"> meetings with members of the Aboriginal communities</w:t>
      </w:r>
      <w:r w:rsidR="00026826" w:rsidRPr="003A3F4F">
        <w:rPr>
          <w:lang w:val="en-GB"/>
        </w:rPr>
        <w:t>.</w:t>
      </w:r>
    </w:p>
    <w:p w14:paraId="4D90D453" w14:textId="77777777" w:rsidR="00176316" w:rsidRPr="00C97AA1" w:rsidRDefault="00176316" w:rsidP="00090A40">
      <w:pPr>
        <w:pStyle w:val="Heading4"/>
        <w:rPr>
          <w:lang w:val="en-GB"/>
        </w:rPr>
      </w:pPr>
      <w:r w:rsidRPr="00C97AA1">
        <w:rPr>
          <w:lang w:val="en-GB"/>
        </w:rPr>
        <w:t>Government response</w:t>
      </w:r>
    </w:p>
    <w:p w14:paraId="32B8035A" w14:textId="77777777" w:rsidR="00176316" w:rsidRPr="00C97AA1" w:rsidRDefault="00176316" w:rsidP="00090A40">
      <w:pPr>
        <w:pStyle w:val="VEOHRCBodytext"/>
        <w:rPr>
          <w:szCs w:val="24"/>
          <w:lang w:val="en-GB"/>
        </w:rPr>
      </w:pPr>
      <w:r w:rsidRPr="00C97AA1">
        <w:rPr>
          <w:szCs w:val="24"/>
          <w:lang w:val="en-GB"/>
        </w:rPr>
        <w:t>Supported</w:t>
      </w:r>
    </w:p>
    <w:p w14:paraId="58656C69" w14:textId="77777777" w:rsidR="00176316" w:rsidRPr="003A3F4F" w:rsidRDefault="00176316" w:rsidP="003A3F4F">
      <w:pPr>
        <w:pStyle w:val="VEOHRCBodytext"/>
      </w:pPr>
      <w:r w:rsidRPr="003A3F4F">
        <w:rPr>
          <w:b/>
          <w:lang w:val="en-GB"/>
        </w:rPr>
        <w:t>Progress – as reported in the 2017 Charter Report</w:t>
      </w:r>
    </w:p>
    <w:p w14:paraId="0F6C7E15" w14:textId="09A4A043" w:rsidR="00176316" w:rsidRPr="003A3F4F" w:rsidRDefault="00176316" w:rsidP="003A3F4F">
      <w:pPr>
        <w:pStyle w:val="VEOHRCBodytext"/>
      </w:pPr>
      <w:r w:rsidRPr="003A3F4F">
        <w:rPr>
          <w:lang w:val="en-GB"/>
        </w:rPr>
        <w:t xml:space="preserve">The government continues to work with Aboriginal communities to promote, protect and respect self-determination and the empowerment of Aboriginal people. During </w:t>
      </w:r>
      <w:proofErr w:type="gramStart"/>
      <w:r w:rsidRPr="003A3F4F">
        <w:rPr>
          <w:lang w:val="en-GB"/>
        </w:rPr>
        <w:t>2017</w:t>
      </w:r>
      <w:proofErr w:type="gramEnd"/>
      <w:r w:rsidRPr="003A3F4F">
        <w:rPr>
          <w:lang w:val="en-GB"/>
        </w:rPr>
        <w:t xml:space="preserve"> the government undertook significant consultation in relation to the Advancing the Treaty Process with Aboriginal Victorians Bill 2018, which reflects the shared aspiration of the Government and Aboriginal Victorians to negotiate a treaty or treaties that will tangibly help to improve the lives of Aboriginal Victorians. The Bill will be the roadmap to treaty negotiations (</w:t>
      </w:r>
      <w:r w:rsidRPr="00C97AA1">
        <w:rPr>
          <w:szCs w:val="24"/>
          <w:lang w:val="en-GB"/>
        </w:rPr>
        <w:t>e.g.</w:t>
      </w:r>
      <w:r w:rsidRPr="003A3F4F">
        <w:rPr>
          <w:lang w:val="en-GB"/>
        </w:rPr>
        <w:t xml:space="preserve"> through facilitating the establishment of a Treaty Authority and treaty negotiation framework).</w:t>
      </w:r>
    </w:p>
    <w:p w14:paraId="502DB43C" w14:textId="4DDBB83D" w:rsidR="00176316" w:rsidRPr="003A3F4F" w:rsidRDefault="00176316" w:rsidP="003A3F4F">
      <w:pPr>
        <w:pStyle w:val="VEOHRCBodytext"/>
      </w:pPr>
      <w:r w:rsidRPr="003A3F4F">
        <w:rPr>
          <w:lang w:val="en-GB"/>
        </w:rPr>
        <w:t>At the time of writing this report, the Advancing the Treaty Process with Aboriginal Victorians Bill 2018 had been introduced by the government and passed as law.</w:t>
      </w:r>
    </w:p>
    <w:p w14:paraId="04683C04" w14:textId="77777777" w:rsidR="00176316" w:rsidRPr="003A3F4F" w:rsidRDefault="00176316" w:rsidP="003A3F4F">
      <w:pPr>
        <w:pStyle w:val="VEOHRCBodytext"/>
      </w:pPr>
      <w:r w:rsidRPr="003A3F4F">
        <w:rPr>
          <w:b/>
          <w:lang w:val="en-GB"/>
        </w:rPr>
        <w:t>Progress during the 2018 calendar year</w:t>
      </w:r>
    </w:p>
    <w:p w14:paraId="14AFC850" w14:textId="0137C8D1" w:rsidR="00176316" w:rsidRPr="003A3F4F" w:rsidRDefault="00176316" w:rsidP="003A3F4F">
      <w:pPr>
        <w:pStyle w:val="VEOHRCBodytext"/>
      </w:pPr>
      <w:r w:rsidRPr="003A3F4F">
        <w:rPr>
          <w:lang w:val="en-GB"/>
        </w:rPr>
        <w:t xml:space="preserve">In October 2018, the Victorian Government reaffirmed its commitment to progressing Aboriginal self-determination through the Victorian Aboriginal Affairs Framework 2018-2023 (VAAF). The VAAF is an overarching framework for working with Aboriginal Victorians, organisations and the wider community to drive action and </w:t>
      </w:r>
      <w:r w:rsidRPr="003A3F4F">
        <w:rPr>
          <w:lang w:val="en-GB"/>
        </w:rPr>
        <w:lastRenderedPageBreak/>
        <w:t>improve outcomes. The VAAF acknowledges that government must transform its systems and structures to support self-determination.</w:t>
      </w:r>
    </w:p>
    <w:p w14:paraId="36A44ECC" w14:textId="4927BFF8" w:rsidR="00176316" w:rsidRPr="003A3F4F" w:rsidRDefault="00176316" w:rsidP="003A3F4F">
      <w:pPr>
        <w:pStyle w:val="VEOHRCBodytext"/>
      </w:pPr>
      <w:r w:rsidRPr="003A3F4F">
        <w:rPr>
          <w:lang w:val="en-GB"/>
        </w:rPr>
        <w:t xml:space="preserve">The </w:t>
      </w:r>
      <w:r w:rsidRPr="003A3F4F">
        <w:t>Advancing the Treaty Process with Aboriginal Victorians Act 2018</w:t>
      </w:r>
      <w:r w:rsidRPr="003A3F4F">
        <w:rPr>
          <w:lang w:val="en-GB"/>
        </w:rPr>
        <w:t xml:space="preserve"> was passed on 21 June 2018 and commenced operation on 1 August 2018. The Act recognises and celebrates the unique status, rights, cultures and histories of Aboriginal Victorians, and establishes a roadmap towards treaty negotiations. </w:t>
      </w:r>
    </w:p>
    <w:p w14:paraId="586FC89E" w14:textId="09E89066" w:rsidR="00176316" w:rsidRPr="003A3F4F" w:rsidRDefault="00176316" w:rsidP="003A3F4F">
      <w:pPr>
        <w:pStyle w:val="VEOHRCBodytext"/>
      </w:pPr>
      <w:r w:rsidRPr="003A3F4F">
        <w:rPr>
          <w:lang w:val="en-GB"/>
        </w:rPr>
        <w:t xml:space="preserve">The Victorian Treaty Advancement Commissioner continues to work with Aboriginal Victorians to establish a democratically-elected Aboriginal Representative Body, which will be known as the First </w:t>
      </w:r>
      <w:r w:rsidRPr="00C97AA1">
        <w:rPr>
          <w:szCs w:val="24"/>
          <w:lang w:val="en-GB"/>
        </w:rPr>
        <w:t>Peoples'</w:t>
      </w:r>
      <w:r w:rsidRPr="003A3F4F">
        <w:rPr>
          <w:lang w:val="en-GB"/>
        </w:rPr>
        <w:t xml:space="preserve"> Assembly of Victoria. The Assembly is expected to be established during 2019. </w:t>
      </w:r>
    </w:p>
    <w:p w14:paraId="53702D70" w14:textId="77777777" w:rsidR="00176316" w:rsidRPr="00C97AA1" w:rsidRDefault="00176316" w:rsidP="006A6EEF">
      <w:pPr>
        <w:pStyle w:val="VEOHRCBodytext"/>
        <w:rPr>
          <w:b/>
          <w:lang w:val="en-GB"/>
        </w:rPr>
      </w:pPr>
      <w:r w:rsidRPr="00C97AA1">
        <w:rPr>
          <w:b/>
          <w:lang w:val="en-GB"/>
        </w:rPr>
        <w:t>Status</w:t>
      </w:r>
    </w:p>
    <w:p w14:paraId="44B2BF64" w14:textId="77777777" w:rsidR="00176316" w:rsidRPr="00C97AA1" w:rsidRDefault="00176316" w:rsidP="00090A40">
      <w:pPr>
        <w:pStyle w:val="VEOHRCBodytext"/>
        <w:rPr>
          <w:szCs w:val="24"/>
          <w:lang w:val="en-GB"/>
        </w:rPr>
      </w:pPr>
      <w:r w:rsidRPr="00C97AA1">
        <w:rPr>
          <w:szCs w:val="24"/>
          <w:shd w:val="clear" w:color="auto" w:fill="00B0F0"/>
          <w:lang w:val="en-GB"/>
        </w:rPr>
        <w:t>IN PROGRESS</w:t>
      </w:r>
    </w:p>
    <w:p w14:paraId="18654AEE" w14:textId="16421F3F" w:rsidR="00176316" w:rsidRPr="003A3F4F" w:rsidRDefault="00E4174C" w:rsidP="003A3F4F">
      <w:pPr>
        <w:pStyle w:val="Heading3"/>
      </w:pPr>
      <w:r w:rsidRPr="003A3F4F">
        <w:rPr>
          <w:lang w:val="en-GB"/>
        </w:rPr>
        <w:t>Recommendation 50</w:t>
      </w:r>
    </w:p>
    <w:p w14:paraId="00F839A6" w14:textId="77777777" w:rsidR="00176316" w:rsidRPr="003A3F4F" w:rsidRDefault="00176316" w:rsidP="003A3F4F">
      <w:pPr>
        <w:pStyle w:val="VEOHRCBodytext"/>
      </w:pPr>
      <w:r w:rsidRPr="003A3F4F">
        <w:rPr>
          <w:lang w:val="en-GB"/>
        </w:rPr>
        <w:t>Section 17 of the Charter include a new provision that every person born in Victoria has the right to a name and to be registered as soon as practicable after birth</w:t>
      </w:r>
    </w:p>
    <w:p w14:paraId="4DC836B9" w14:textId="77777777" w:rsidR="00176316" w:rsidRPr="00C97AA1" w:rsidRDefault="00176316" w:rsidP="00090A40">
      <w:pPr>
        <w:pStyle w:val="Heading4"/>
        <w:rPr>
          <w:lang w:val="en-GB"/>
        </w:rPr>
      </w:pPr>
      <w:r w:rsidRPr="00C97AA1">
        <w:rPr>
          <w:lang w:val="en-GB"/>
        </w:rPr>
        <w:t>Government response</w:t>
      </w:r>
    </w:p>
    <w:p w14:paraId="2ABFB5B9" w14:textId="77777777" w:rsidR="00176316" w:rsidRPr="00C97AA1" w:rsidRDefault="00176316" w:rsidP="00090A40">
      <w:pPr>
        <w:pStyle w:val="VEOHRCBodytext"/>
        <w:rPr>
          <w:szCs w:val="24"/>
          <w:lang w:val="en-GB"/>
        </w:rPr>
      </w:pPr>
      <w:r w:rsidRPr="00C97AA1">
        <w:rPr>
          <w:szCs w:val="24"/>
          <w:lang w:val="en-GB"/>
        </w:rPr>
        <w:t>Supported</w:t>
      </w:r>
    </w:p>
    <w:p w14:paraId="17AB32DB" w14:textId="77777777" w:rsidR="00176316" w:rsidRPr="003A3F4F" w:rsidRDefault="00176316" w:rsidP="003A3F4F">
      <w:pPr>
        <w:pStyle w:val="VEOHRCBodytext"/>
      </w:pPr>
      <w:r w:rsidRPr="003A3F4F">
        <w:rPr>
          <w:b/>
          <w:lang w:val="en-GB"/>
        </w:rPr>
        <w:t>Progress – as reported in the 2017 Charter Report</w:t>
      </w:r>
    </w:p>
    <w:p w14:paraId="058128BC" w14:textId="77777777" w:rsidR="00176316" w:rsidRPr="003A3F4F" w:rsidRDefault="00176316" w:rsidP="003A3F4F">
      <w:pPr>
        <w:pStyle w:val="VEOHRCBodytext"/>
      </w:pPr>
      <w:r w:rsidRPr="003A3F4F">
        <w:rPr>
          <w:lang w:val="en-GB"/>
        </w:rPr>
        <w:t>See Recommendation 12.</w:t>
      </w:r>
    </w:p>
    <w:p w14:paraId="47047602" w14:textId="77777777" w:rsidR="00176316" w:rsidRPr="003A3F4F" w:rsidRDefault="00176316" w:rsidP="003A3F4F">
      <w:pPr>
        <w:pStyle w:val="VEOHRCBodytext"/>
      </w:pPr>
      <w:r w:rsidRPr="003A3F4F">
        <w:rPr>
          <w:b/>
          <w:lang w:val="en-GB"/>
        </w:rPr>
        <w:t>Progress during the 2018 calendar year</w:t>
      </w:r>
    </w:p>
    <w:p w14:paraId="7BE3CC8F" w14:textId="77777777" w:rsidR="00176316" w:rsidRPr="003A3F4F" w:rsidRDefault="00176316" w:rsidP="003A3F4F">
      <w:pPr>
        <w:pStyle w:val="VEOHRCBodytext"/>
      </w:pPr>
      <w:r w:rsidRPr="003A3F4F">
        <w:rPr>
          <w:lang w:val="en-GB"/>
        </w:rPr>
        <w:t>See Recommendation 12.</w:t>
      </w:r>
    </w:p>
    <w:p w14:paraId="37CD899B" w14:textId="77777777" w:rsidR="00176316" w:rsidRPr="00C97AA1" w:rsidRDefault="00176316" w:rsidP="006A6EEF">
      <w:pPr>
        <w:pStyle w:val="VEOHRCBodytext"/>
        <w:rPr>
          <w:b/>
          <w:lang w:val="en-GB"/>
        </w:rPr>
      </w:pPr>
      <w:r w:rsidRPr="00C97AA1">
        <w:rPr>
          <w:b/>
          <w:lang w:val="en-GB"/>
        </w:rPr>
        <w:t>Status</w:t>
      </w:r>
    </w:p>
    <w:p w14:paraId="17665B95" w14:textId="77777777" w:rsidR="00176316" w:rsidRPr="00C97AA1" w:rsidRDefault="00176316" w:rsidP="00090A40">
      <w:pPr>
        <w:pStyle w:val="VEOHRCBodytext"/>
        <w:rPr>
          <w:szCs w:val="24"/>
          <w:lang w:val="en-GB"/>
        </w:rPr>
      </w:pPr>
      <w:r w:rsidRPr="00C97AA1">
        <w:rPr>
          <w:szCs w:val="24"/>
          <w:shd w:val="clear" w:color="auto" w:fill="FFC000"/>
          <w:lang w:val="en-GB"/>
        </w:rPr>
        <w:t>PENDING</w:t>
      </w:r>
    </w:p>
    <w:p w14:paraId="4CD42C55" w14:textId="59B9CA00" w:rsidR="00176316" w:rsidRPr="003A3F4F" w:rsidRDefault="00E4174C" w:rsidP="003A3F4F">
      <w:pPr>
        <w:pStyle w:val="Heading3"/>
      </w:pPr>
      <w:r w:rsidRPr="003A3F4F">
        <w:rPr>
          <w:lang w:val="en-GB"/>
        </w:rPr>
        <w:t>Recommendation 51</w:t>
      </w:r>
    </w:p>
    <w:p w14:paraId="02B5A47B" w14:textId="55BD38FD" w:rsidR="00176316" w:rsidRPr="003A3F4F" w:rsidRDefault="00176316" w:rsidP="003A3F4F">
      <w:pPr>
        <w:pStyle w:val="VEOHRCBodytext"/>
      </w:pPr>
      <w:r w:rsidRPr="00C97AA1">
        <w:rPr>
          <w:szCs w:val="24"/>
          <w:lang w:val="en-GB"/>
        </w:rPr>
        <w:t>Discrimination'</w:t>
      </w:r>
      <w:r w:rsidRPr="003A3F4F">
        <w:rPr>
          <w:lang w:val="en-GB"/>
        </w:rPr>
        <w:t xml:space="preserve"> in the Charter be defined as </w:t>
      </w:r>
      <w:r w:rsidRPr="00C97AA1">
        <w:rPr>
          <w:szCs w:val="24"/>
          <w:lang w:val="en-GB"/>
        </w:rPr>
        <w:t xml:space="preserve">'direct </w:t>
      </w:r>
      <w:r w:rsidRPr="003A3F4F">
        <w:rPr>
          <w:lang w:val="en-GB"/>
        </w:rPr>
        <w:t xml:space="preserve">and indirect </w:t>
      </w:r>
      <w:r w:rsidRPr="00C97AA1">
        <w:rPr>
          <w:szCs w:val="24"/>
          <w:lang w:val="en-GB"/>
        </w:rPr>
        <w:t>discrimination'</w:t>
      </w:r>
      <w:r w:rsidRPr="003A3F4F">
        <w:rPr>
          <w:lang w:val="en-GB"/>
        </w:rPr>
        <w:t xml:space="preserve"> on the basis of a protected attribute in the Equal Opportunity Act 2010 (Vic).</w:t>
      </w:r>
    </w:p>
    <w:p w14:paraId="0D73AFDE" w14:textId="77777777" w:rsidR="00176316" w:rsidRPr="00C97AA1" w:rsidRDefault="00176316" w:rsidP="00090A40">
      <w:pPr>
        <w:pStyle w:val="Heading4"/>
        <w:rPr>
          <w:lang w:val="en-GB"/>
        </w:rPr>
      </w:pPr>
      <w:r w:rsidRPr="00C97AA1">
        <w:rPr>
          <w:lang w:val="en-GB"/>
        </w:rPr>
        <w:t>Government response</w:t>
      </w:r>
    </w:p>
    <w:p w14:paraId="59A73040" w14:textId="77777777" w:rsidR="00176316" w:rsidRPr="00C97AA1" w:rsidRDefault="00176316" w:rsidP="00090A40">
      <w:pPr>
        <w:pStyle w:val="VEOHRCBodytext"/>
        <w:rPr>
          <w:szCs w:val="24"/>
          <w:lang w:val="en-GB"/>
        </w:rPr>
      </w:pPr>
      <w:r w:rsidRPr="00C97AA1">
        <w:rPr>
          <w:szCs w:val="24"/>
          <w:lang w:val="en-GB"/>
        </w:rPr>
        <w:t>Supported</w:t>
      </w:r>
    </w:p>
    <w:p w14:paraId="7DF2F9A9" w14:textId="77777777" w:rsidR="00176316" w:rsidRPr="003A3F4F" w:rsidRDefault="00176316" w:rsidP="003A3F4F">
      <w:pPr>
        <w:pStyle w:val="VEOHRCBodytext"/>
      </w:pPr>
      <w:r w:rsidRPr="003A3F4F">
        <w:rPr>
          <w:b/>
          <w:lang w:val="en-GB"/>
        </w:rPr>
        <w:t>Progress – as reported in the 2017 Charter Report</w:t>
      </w:r>
    </w:p>
    <w:p w14:paraId="3715EF38" w14:textId="77777777" w:rsidR="00176316" w:rsidRPr="003A3F4F" w:rsidRDefault="00176316" w:rsidP="003A3F4F">
      <w:pPr>
        <w:pStyle w:val="VEOHRCBodytext"/>
      </w:pPr>
      <w:r w:rsidRPr="003A3F4F">
        <w:rPr>
          <w:lang w:val="en-GB"/>
        </w:rPr>
        <w:t>See Recommendation 12.</w:t>
      </w:r>
    </w:p>
    <w:p w14:paraId="5F871B5F" w14:textId="77777777" w:rsidR="00176316" w:rsidRPr="003A3F4F" w:rsidRDefault="00176316" w:rsidP="003A3F4F">
      <w:pPr>
        <w:pStyle w:val="VEOHRCBodytext"/>
      </w:pPr>
      <w:r w:rsidRPr="003A3F4F">
        <w:rPr>
          <w:b/>
          <w:lang w:val="en-GB"/>
        </w:rPr>
        <w:t>Progress during the 2018 calendar year</w:t>
      </w:r>
    </w:p>
    <w:p w14:paraId="6109FEE8" w14:textId="77777777" w:rsidR="00176316" w:rsidRPr="003A3F4F" w:rsidRDefault="00176316" w:rsidP="003A3F4F">
      <w:pPr>
        <w:pStyle w:val="VEOHRCBodytext"/>
      </w:pPr>
      <w:r w:rsidRPr="003A3F4F">
        <w:rPr>
          <w:lang w:val="en-GB"/>
        </w:rPr>
        <w:t>See Recommendation 12.</w:t>
      </w:r>
    </w:p>
    <w:p w14:paraId="2055A941" w14:textId="77777777" w:rsidR="00176316" w:rsidRPr="00C97AA1" w:rsidRDefault="00176316" w:rsidP="006A6EEF">
      <w:pPr>
        <w:pStyle w:val="VEOHRCBodytext"/>
        <w:rPr>
          <w:b/>
          <w:lang w:val="en-GB"/>
        </w:rPr>
      </w:pPr>
      <w:r w:rsidRPr="00C97AA1">
        <w:rPr>
          <w:b/>
          <w:lang w:val="en-GB"/>
        </w:rPr>
        <w:t>Status</w:t>
      </w:r>
    </w:p>
    <w:p w14:paraId="026AFAD8" w14:textId="77777777" w:rsidR="00176316" w:rsidRPr="00C97AA1" w:rsidRDefault="00176316" w:rsidP="00090A40">
      <w:pPr>
        <w:pStyle w:val="VEOHRCBodytext"/>
        <w:rPr>
          <w:szCs w:val="24"/>
          <w:lang w:val="en-GB"/>
        </w:rPr>
      </w:pPr>
      <w:r w:rsidRPr="00C97AA1">
        <w:rPr>
          <w:szCs w:val="24"/>
          <w:shd w:val="clear" w:color="auto" w:fill="FFC000"/>
          <w:lang w:val="en-GB"/>
        </w:rPr>
        <w:t>PENDING</w:t>
      </w:r>
    </w:p>
    <w:p w14:paraId="5D25F4CD" w14:textId="57403094" w:rsidR="00176316" w:rsidRPr="003A3F4F" w:rsidRDefault="00176316" w:rsidP="003A3F4F">
      <w:pPr>
        <w:pStyle w:val="Heading2"/>
      </w:pPr>
      <w:bookmarkStart w:id="129" w:name="_Toc22011554"/>
      <w:r w:rsidRPr="003A3F4F">
        <w:rPr>
          <w:lang w:val="en-GB"/>
        </w:rPr>
        <w:t>Chapter 8 – The need for a further review</w:t>
      </w:r>
      <w:bookmarkEnd w:id="129"/>
    </w:p>
    <w:p w14:paraId="142D4F7E" w14:textId="31667340" w:rsidR="00176316" w:rsidRPr="003A3F4F" w:rsidRDefault="00E4174C" w:rsidP="003A3F4F">
      <w:pPr>
        <w:pStyle w:val="Heading3"/>
      </w:pPr>
      <w:r w:rsidRPr="003A3F4F">
        <w:rPr>
          <w:lang w:val="en-GB"/>
        </w:rPr>
        <w:t>Recommendation 52</w:t>
      </w:r>
    </w:p>
    <w:p w14:paraId="294F5849" w14:textId="77777777" w:rsidR="00176316" w:rsidRPr="003A3F4F" w:rsidRDefault="00176316" w:rsidP="003A3F4F">
      <w:pPr>
        <w:pStyle w:val="VEOHRCBodytext"/>
      </w:pPr>
      <w:r w:rsidRPr="003A3F4F">
        <w:rPr>
          <w:lang w:val="en-GB"/>
        </w:rPr>
        <w:t xml:space="preserve">The Charter be amended to require the Attorney-General to cause there to be a further review of the Charter four years after the commencement of the proposed complaints and remedies provision. The review should consider the operation of the Charter and how it could be improved, including the application of economic, social </w:t>
      </w:r>
      <w:r w:rsidRPr="003A3F4F">
        <w:rPr>
          <w:lang w:val="en-GB"/>
        </w:rPr>
        <w:lastRenderedPageBreak/>
        <w:t>and cultural rights and the range of remedies available when human rights are breached.</w:t>
      </w:r>
    </w:p>
    <w:p w14:paraId="63FAB53F" w14:textId="77777777" w:rsidR="00176316" w:rsidRPr="00C97AA1" w:rsidRDefault="00176316" w:rsidP="00090A40">
      <w:pPr>
        <w:pStyle w:val="Heading4"/>
        <w:rPr>
          <w:lang w:val="en-GB"/>
        </w:rPr>
      </w:pPr>
      <w:r w:rsidRPr="00C97AA1">
        <w:rPr>
          <w:lang w:val="en-GB"/>
        </w:rPr>
        <w:t>Government response</w:t>
      </w:r>
    </w:p>
    <w:p w14:paraId="63B6B03E" w14:textId="77777777" w:rsidR="00176316" w:rsidRPr="00C97AA1" w:rsidRDefault="00176316" w:rsidP="00090A40">
      <w:pPr>
        <w:pStyle w:val="VEOHRCBodytext"/>
        <w:rPr>
          <w:szCs w:val="24"/>
          <w:lang w:val="en-GB"/>
        </w:rPr>
      </w:pPr>
      <w:r w:rsidRPr="00C97AA1">
        <w:rPr>
          <w:szCs w:val="24"/>
          <w:lang w:val="en-GB"/>
        </w:rPr>
        <w:t>Supported in principle.</w:t>
      </w:r>
    </w:p>
    <w:p w14:paraId="35CCC63C" w14:textId="77777777" w:rsidR="00176316" w:rsidRPr="003A3F4F" w:rsidRDefault="00176316" w:rsidP="003A3F4F">
      <w:pPr>
        <w:pStyle w:val="VEOHRCBodytext"/>
      </w:pPr>
      <w:r w:rsidRPr="003A3F4F">
        <w:rPr>
          <w:b/>
          <w:lang w:val="en-GB"/>
        </w:rPr>
        <w:t>Progress – as reported in the 2017 Charter Report</w:t>
      </w:r>
    </w:p>
    <w:p w14:paraId="53D76833" w14:textId="77777777" w:rsidR="00176316" w:rsidRPr="003A3F4F" w:rsidRDefault="00176316" w:rsidP="003A3F4F">
      <w:pPr>
        <w:pStyle w:val="VEOHRCBodytext"/>
      </w:pPr>
      <w:r w:rsidRPr="003A3F4F">
        <w:rPr>
          <w:lang w:val="en-GB"/>
        </w:rPr>
        <w:t>See Recommendation 12.</w:t>
      </w:r>
    </w:p>
    <w:p w14:paraId="09C54D6A" w14:textId="77777777" w:rsidR="00176316" w:rsidRPr="003A3F4F" w:rsidRDefault="00176316" w:rsidP="003A3F4F">
      <w:pPr>
        <w:pStyle w:val="VEOHRCBodytext"/>
      </w:pPr>
      <w:r w:rsidRPr="003A3F4F">
        <w:rPr>
          <w:b/>
          <w:lang w:val="en-GB"/>
        </w:rPr>
        <w:t>Progress during the 2018 calendar year</w:t>
      </w:r>
    </w:p>
    <w:p w14:paraId="7AA91466" w14:textId="77777777" w:rsidR="00176316" w:rsidRPr="00C97AA1" w:rsidRDefault="00176316" w:rsidP="00090A40">
      <w:pPr>
        <w:pStyle w:val="VEOHRCBodytext"/>
        <w:rPr>
          <w:szCs w:val="24"/>
          <w:lang w:val="en-GB"/>
        </w:rPr>
      </w:pPr>
      <w:r w:rsidRPr="003A3F4F">
        <w:rPr>
          <w:lang w:val="en-GB"/>
        </w:rPr>
        <w:t>See Recommendation 12.</w:t>
      </w:r>
    </w:p>
    <w:p w14:paraId="33848813" w14:textId="77777777" w:rsidR="00176316" w:rsidRPr="00C97AA1" w:rsidRDefault="00176316" w:rsidP="006A6EEF">
      <w:pPr>
        <w:pStyle w:val="VEOHRCBodytext"/>
        <w:rPr>
          <w:b/>
          <w:lang w:val="en-GB"/>
        </w:rPr>
      </w:pPr>
      <w:r w:rsidRPr="00C97AA1">
        <w:rPr>
          <w:b/>
          <w:lang w:val="en-GB"/>
        </w:rPr>
        <w:t>Status</w:t>
      </w:r>
    </w:p>
    <w:p w14:paraId="628555C4" w14:textId="41D3761B" w:rsidR="00951AC2" w:rsidRPr="00E4174C" w:rsidRDefault="00176316" w:rsidP="00E4174C">
      <w:pPr>
        <w:pStyle w:val="VEOHRCBodytext"/>
        <w:rPr>
          <w:szCs w:val="24"/>
          <w:lang w:val="en-GB"/>
        </w:rPr>
      </w:pPr>
      <w:r w:rsidRPr="00C97AA1">
        <w:rPr>
          <w:szCs w:val="24"/>
          <w:shd w:val="clear" w:color="auto" w:fill="FFC000"/>
          <w:lang w:val="en-GB"/>
        </w:rPr>
        <w:t>PENDING</w:t>
      </w:r>
    </w:p>
    <w:p w14:paraId="30381B78" w14:textId="77777777" w:rsidR="00951AC2" w:rsidRDefault="00951AC2" w:rsidP="00951AC2">
      <w:pPr>
        <w:spacing w:before="0" w:after="200" w:line="276" w:lineRule="auto"/>
        <w:rPr>
          <w:rStyle w:val="Characterbold"/>
        </w:rPr>
        <w:sectPr w:rsidR="00951AC2" w:rsidSect="00043EF1">
          <w:headerReference w:type="default" r:id="rId48"/>
          <w:footerReference w:type="default" r:id="rId49"/>
          <w:headerReference w:type="first" r:id="rId50"/>
          <w:footerReference w:type="first" r:id="rId51"/>
          <w:endnotePr>
            <w:numFmt w:val="decimal"/>
          </w:endnotePr>
          <w:pgSz w:w="11907" w:h="16839" w:code="9"/>
          <w:pgMar w:top="1134" w:right="1418" w:bottom="1134" w:left="1418" w:header="720" w:footer="720" w:gutter="0"/>
          <w:cols w:space="720"/>
          <w:docGrid w:linePitch="360"/>
        </w:sectPr>
      </w:pPr>
    </w:p>
    <w:p w14:paraId="73828735" w14:textId="1B104281" w:rsidR="00951AC2" w:rsidRDefault="00951AC2" w:rsidP="00C846A1">
      <w:pPr>
        <w:pStyle w:val="AppendixHeading1"/>
        <w:numPr>
          <w:ilvl w:val="0"/>
          <w:numId w:val="55"/>
        </w:numPr>
      </w:pPr>
      <w:bookmarkStart w:id="130" w:name="_Toc14345902"/>
      <w:r w:rsidRPr="00971736">
        <w:lastRenderedPageBreak/>
        <w:t xml:space="preserve">The </w:t>
      </w:r>
      <w:r>
        <w:t>h</w:t>
      </w:r>
      <w:r w:rsidRPr="00971736">
        <w:t xml:space="preserve">uman </w:t>
      </w:r>
      <w:r>
        <w:t>r</w:t>
      </w:r>
      <w:r w:rsidRPr="00971736">
        <w:t xml:space="preserve">ights </w:t>
      </w:r>
      <w:r>
        <w:t>c</w:t>
      </w:r>
      <w:r w:rsidRPr="00971736">
        <w:t xml:space="preserve">ulture </w:t>
      </w:r>
      <w:r>
        <w:t>i</w:t>
      </w:r>
      <w:r w:rsidRPr="00971736">
        <w:t xml:space="preserve">ndicator </w:t>
      </w:r>
      <w:r>
        <w:t>f</w:t>
      </w:r>
      <w:r w:rsidRPr="00971736">
        <w:t>ramework</w:t>
      </w:r>
      <w:bookmarkEnd w:id="130"/>
      <w:r w:rsidRPr="00971736">
        <w:t xml:space="preserve"> </w:t>
      </w:r>
    </w:p>
    <w:tbl>
      <w:tblPr>
        <w:tblStyle w:val="CustomTableblue"/>
        <w:tblW w:w="0" w:type="auto"/>
        <w:tblLook w:val="0420" w:firstRow="1" w:lastRow="0" w:firstColumn="0" w:lastColumn="0" w:noHBand="0" w:noVBand="1"/>
      </w:tblPr>
      <w:tblGrid>
        <w:gridCol w:w="1139"/>
        <w:gridCol w:w="2237"/>
        <w:gridCol w:w="2237"/>
        <w:gridCol w:w="2237"/>
        <w:gridCol w:w="2237"/>
        <w:gridCol w:w="2237"/>
        <w:gridCol w:w="2237"/>
      </w:tblGrid>
      <w:tr w:rsidR="008B0371" w14:paraId="1988ABF3" w14:textId="77777777" w:rsidTr="008153EA">
        <w:trPr>
          <w:cnfStyle w:val="100000000000" w:firstRow="1" w:lastRow="0" w:firstColumn="0" w:lastColumn="0" w:oddVBand="0" w:evenVBand="0" w:oddHBand="0" w:evenHBand="0" w:firstRowFirstColumn="0" w:firstRowLastColumn="0" w:lastRowFirstColumn="0" w:lastRowLastColumn="0"/>
        </w:trPr>
        <w:tc>
          <w:tcPr>
            <w:tcW w:w="1139" w:type="dxa"/>
          </w:tcPr>
          <w:p w14:paraId="39A92465" w14:textId="13EA14FA" w:rsidR="008B0371" w:rsidRDefault="008B0371" w:rsidP="008B0371">
            <w:pPr>
              <w:pStyle w:val="TableBodyText"/>
            </w:pPr>
            <w:r>
              <w:t>Influence</w:t>
            </w:r>
          </w:p>
        </w:tc>
        <w:tc>
          <w:tcPr>
            <w:tcW w:w="2237" w:type="dxa"/>
          </w:tcPr>
          <w:p w14:paraId="507C2840" w14:textId="44BC2EDB" w:rsidR="008B0371" w:rsidRPr="00A7299C" w:rsidRDefault="008B0371" w:rsidP="008B0371">
            <w:pPr>
              <w:pStyle w:val="TableBodyText"/>
            </w:pPr>
            <w:r>
              <w:t>Engaged leadership</w:t>
            </w:r>
          </w:p>
        </w:tc>
        <w:tc>
          <w:tcPr>
            <w:tcW w:w="2237" w:type="dxa"/>
          </w:tcPr>
          <w:p w14:paraId="4681F9B7" w14:textId="2BB9E2E7" w:rsidR="008B0371" w:rsidRPr="00A7299C" w:rsidRDefault="004862C5" w:rsidP="008B0371">
            <w:pPr>
              <w:pStyle w:val="TableBodyText"/>
            </w:pPr>
            <w:r>
              <w:t>Attitudes</w:t>
            </w:r>
            <w:r w:rsidR="008B0371">
              <w:t xml:space="preserve"> and values of employees</w:t>
            </w:r>
          </w:p>
        </w:tc>
        <w:tc>
          <w:tcPr>
            <w:tcW w:w="2237" w:type="dxa"/>
          </w:tcPr>
          <w:p w14:paraId="00DB762F" w14:textId="262A06A0" w:rsidR="008B0371" w:rsidRPr="00A7299C" w:rsidRDefault="008B0371" w:rsidP="008B0371">
            <w:pPr>
              <w:pStyle w:val="TableBodyText"/>
            </w:pPr>
            <w:r w:rsidRPr="008B0371">
              <w:t>Transparency and accountability</w:t>
            </w:r>
          </w:p>
        </w:tc>
        <w:tc>
          <w:tcPr>
            <w:tcW w:w="2237" w:type="dxa"/>
          </w:tcPr>
          <w:p w14:paraId="3A60B4CF" w14:textId="354CF899" w:rsidR="008B0371" w:rsidRPr="00A7299C" w:rsidRDefault="008B0371" w:rsidP="008B0371">
            <w:pPr>
              <w:pStyle w:val="TableBodyText"/>
            </w:pPr>
            <w:r w:rsidRPr="008B0371">
              <w:t>Community engagement and participation</w:t>
            </w:r>
          </w:p>
        </w:tc>
        <w:tc>
          <w:tcPr>
            <w:tcW w:w="2237" w:type="dxa"/>
          </w:tcPr>
          <w:p w14:paraId="661C8612" w14:textId="64E9E291" w:rsidR="008B0371" w:rsidRPr="00A7299C" w:rsidRDefault="008B0371" w:rsidP="008B0371">
            <w:pPr>
              <w:pStyle w:val="TableBodyText"/>
            </w:pPr>
            <w:r w:rsidRPr="008B0371">
              <w:t>Operational capability – knowledge and resourcing</w:t>
            </w:r>
          </w:p>
        </w:tc>
        <w:tc>
          <w:tcPr>
            <w:tcW w:w="2237" w:type="dxa"/>
          </w:tcPr>
          <w:p w14:paraId="20891415" w14:textId="77777777" w:rsidR="008B0371" w:rsidRPr="008B0371" w:rsidRDefault="008B0371" w:rsidP="008B0371">
            <w:pPr>
              <w:pStyle w:val="TableBodyText"/>
            </w:pPr>
            <w:r w:rsidRPr="008B0371">
              <w:t xml:space="preserve">Systems and processes </w:t>
            </w:r>
          </w:p>
          <w:p w14:paraId="28E5F8DB" w14:textId="7BA5BE79" w:rsidR="008B0371" w:rsidRDefault="008B0371" w:rsidP="008B0371">
            <w:pPr>
              <w:pStyle w:val="TableBodyText"/>
            </w:pPr>
          </w:p>
        </w:tc>
      </w:tr>
      <w:tr w:rsidR="0057517B" w14:paraId="7B44AD20" w14:textId="77777777" w:rsidTr="00C950FB">
        <w:trPr>
          <w:cnfStyle w:val="000000100000" w:firstRow="0" w:lastRow="0" w:firstColumn="0" w:lastColumn="0" w:oddVBand="0" w:evenVBand="0" w:oddHBand="1" w:evenHBand="0" w:firstRowFirstColumn="0" w:firstRowLastColumn="0" w:lastRowFirstColumn="0" w:lastRowLastColumn="0"/>
        </w:trPr>
        <w:tc>
          <w:tcPr>
            <w:tcW w:w="1139" w:type="dxa"/>
            <w:shd w:val="clear" w:color="auto" w:fill="0070C0"/>
          </w:tcPr>
          <w:p w14:paraId="2B393A35" w14:textId="11B61570" w:rsidR="0057517B" w:rsidRPr="00C950FB" w:rsidRDefault="0057517B" w:rsidP="00C950FB">
            <w:pPr>
              <w:pStyle w:val="TableBodyText"/>
              <w:rPr>
                <w:b/>
                <w:color w:val="FFFFFF" w:themeColor="background1"/>
              </w:rPr>
            </w:pPr>
            <w:r w:rsidRPr="00C950FB">
              <w:rPr>
                <w:b/>
                <w:color w:val="FFFFFF" w:themeColor="background1"/>
              </w:rPr>
              <w:t>Indicator</w:t>
            </w:r>
          </w:p>
        </w:tc>
        <w:tc>
          <w:tcPr>
            <w:tcW w:w="2237" w:type="dxa"/>
          </w:tcPr>
          <w:p w14:paraId="0A393CF0" w14:textId="77777777" w:rsidR="0057517B" w:rsidRPr="0057517B" w:rsidRDefault="0057517B" w:rsidP="0057517B">
            <w:pPr>
              <w:pStyle w:val="TableListBullet"/>
            </w:pPr>
            <w:r w:rsidRPr="0057517B">
              <w:t xml:space="preserve">Formal and informal leaders demonstrate their commitment to human rights and the Charter </w:t>
            </w:r>
          </w:p>
          <w:p w14:paraId="50E37025" w14:textId="77777777" w:rsidR="0057517B" w:rsidRPr="0057517B" w:rsidRDefault="0057517B" w:rsidP="0057517B">
            <w:pPr>
              <w:pStyle w:val="TableListBullet"/>
            </w:pPr>
            <w:r w:rsidRPr="0057517B">
              <w:t>Leadership forums (including business/ branch planning forums) include discussion on human rights</w:t>
            </w:r>
          </w:p>
          <w:p w14:paraId="7AA77186" w14:textId="6EA6A2A0" w:rsidR="0057517B" w:rsidRPr="00860524" w:rsidRDefault="0057517B" w:rsidP="008153EA">
            <w:pPr>
              <w:pStyle w:val="TableListBullet"/>
            </w:pPr>
            <w:r w:rsidRPr="0057517B">
              <w:t>Metrics on human rights are embedded in Executive Performance reviews</w:t>
            </w:r>
          </w:p>
        </w:tc>
        <w:tc>
          <w:tcPr>
            <w:tcW w:w="2237" w:type="dxa"/>
          </w:tcPr>
          <w:p w14:paraId="27F03DDD" w14:textId="77777777" w:rsidR="0057517B" w:rsidRPr="0057517B" w:rsidRDefault="0057517B" w:rsidP="0057517B">
            <w:pPr>
              <w:pStyle w:val="TableListBullet"/>
            </w:pPr>
            <w:r w:rsidRPr="0057517B">
              <w:t>People feel safe to raise issues and call out problems</w:t>
            </w:r>
          </w:p>
          <w:p w14:paraId="0AF76ADA" w14:textId="09B9CFC3" w:rsidR="0057517B" w:rsidRPr="00860524" w:rsidRDefault="0057517B" w:rsidP="008153EA">
            <w:pPr>
              <w:pStyle w:val="TableListBullet"/>
            </w:pPr>
            <w:r w:rsidRPr="0057517B">
              <w:t>The organisation is genuinely diverse and inclusive - staff reflect the communities they serve</w:t>
            </w:r>
          </w:p>
        </w:tc>
        <w:tc>
          <w:tcPr>
            <w:tcW w:w="2237" w:type="dxa"/>
          </w:tcPr>
          <w:p w14:paraId="085D6463" w14:textId="77777777" w:rsidR="0057517B" w:rsidRPr="0057517B" w:rsidRDefault="0057517B" w:rsidP="0057517B">
            <w:pPr>
              <w:pStyle w:val="TableListBullet"/>
            </w:pPr>
            <w:r w:rsidRPr="0057517B">
              <w:t>Organisations understand what is required for “good human rights practice”</w:t>
            </w:r>
          </w:p>
          <w:p w14:paraId="01E0EB88" w14:textId="77777777" w:rsidR="0057517B" w:rsidRPr="0057517B" w:rsidRDefault="0057517B" w:rsidP="0057517B">
            <w:pPr>
              <w:pStyle w:val="TableListBullet"/>
            </w:pPr>
            <w:r w:rsidRPr="0057517B">
              <w:t>Organisations know what they have achieved and what still needs to be done to embed a positive human rights culture</w:t>
            </w:r>
          </w:p>
          <w:p w14:paraId="1D626E37" w14:textId="333636C1" w:rsidR="0057517B" w:rsidRPr="00860524" w:rsidRDefault="0057517B" w:rsidP="0057517B">
            <w:pPr>
              <w:pStyle w:val="TableListBullet"/>
            </w:pPr>
            <w:r w:rsidRPr="0057517B">
              <w:t>Organisations understand and comply with human rights reporting mechanisms, including by reporting annually to the Commission by electing to complete the survey</w:t>
            </w:r>
          </w:p>
        </w:tc>
        <w:tc>
          <w:tcPr>
            <w:tcW w:w="2237" w:type="dxa"/>
          </w:tcPr>
          <w:p w14:paraId="3AE39B0B" w14:textId="77777777" w:rsidR="0057517B" w:rsidRPr="0057517B" w:rsidRDefault="0057517B" w:rsidP="0057517B">
            <w:pPr>
              <w:pStyle w:val="TableListBullet"/>
            </w:pPr>
            <w:r w:rsidRPr="0057517B">
              <w:t>Community participation has informed key ‘work’ (end users contribute to the design of service) and feedback is regularly sought from the community</w:t>
            </w:r>
          </w:p>
          <w:p w14:paraId="48BFD3EE" w14:textId="77777777" w:rsidR="0057517B" w:rsidRPr="0057517B" w:rsidRDefault="0057517B" w:rsidP="0057517B">
            <w:pPr>
              <w:pStyle w:val="TableListBullet"/>
            </w:pPr>
            <w:r w:rsidRPr="0057517B">
              <w:t xml:space="preserve">Improvements and interventions are made based on community feedback </w:t>
            </w:r>
          </w:p>
          <w:p w14:paraId="023230A0" w14:textId="77777777" w:rsidR="0057517B" w:rsidRPr="0057517B" w:rsidRDefault="0057517B" w:rsidP="0057517B">
            <w:pPr>
              <w:pStyle w:val="TableListBullet"/>
            </w:pPr>
            <w:r w:rsidRPr="0057517B">
              <w:t>Tools and information are available for community about their human rights</w:t>
            </w:r>
          </w:p>
          <w:p w14:paraId="5A801176" w14:textId="77777777" w:rsidR="0057517B" w:rsidRPr="0057517B" w:rsidRDefault="0057517B" w:rsidP="0057517B">
            <w:pPr>
              <w:pStyle w:val="TableListBullet"/>
            </w:pPr>
            <w:r w:rsidRPr="0057517B">
              <w:t>Structured / formal reflection on accessibility</w:t>
            </w:r>
          </w:p>
          <w:p w14:paraId="7E2AC391" w14:textId="77777777" w:rsidR="0057517B" w:rsidRPr="0057517B" w:rsidRDefault="0057517B" w:rsidP="0057517B">
            <w:pPr>
              <w:pStyle w:val="TableListBullet"/>
            </w:pPr>
            <w:r w:rsidRPr="0057517B">
              <w:lastRenderedPageBreak/>
              <w:t>Diverse cross section of community accessing services</w:t>
            </w:r>
          </w:p>
          <w:p w14:paraId="02B6219C" w14:textId="499D9181" w:rsidR="0057517B" w:rsidRPr="00860524" w:rsidRDefault="0057517B" w:rsidP="0057517B">
            <w:pPr>
              <w:pStyle w:val="TableListBullet"/>
            </w:pPr>
            <w:r w:rsidRPr="0057517B">
              <w:t>Complaint mechanisms are available and accessible to the community</w:t>
            </w:r>
          </w:p>
        </w:tc>
        <w:tc>
          <w:tcPr>
            <w:tcW w:w="2237" w:type="dxa"/>
          </w:tcPr>
          <w:p w14:paraId="3CE3D735" w14:textId="77777777" w:rsidR="0057517B" w:rsidRPr="0057517B" w:rsidRDefault="0057517B" w:rsidP="0057517B">
            <w:pPr>
              <w:pStyle w:val="TableListBullet"/>
            </w:pPr>
            <w:r w:rsidRPr="0057517B">
              <w:lastRenderedPageBreak/>
              <w:t>Victorian Public Service staff understand the Charter and how to apply it in their work</w:t>
            </w:r>
          </w:p>
          <w:p w14:paraId="0BC3E1D3" w14:textId="77777777" w:rsidR="0057517B" w:rsidRPr="0057517B" w:rsidRDefault="0057517B" w:rsidP="0057517B">
            <w:pPr>
              <w:pStyle w:val="TableListBullet"/>
            </w:pPr>
            <w:r w:rsidRPr="0057517B">
              <w:t xml:space="preserve">Relevant human rights days and achievements are articulated and celebrated </w:t>
            </w:r>
          </w:p>
          <w:p w14:paraId="74BB1FC2" w14:textId="77777777" w:rsidR="0057517B" w:rsidRPr="0057517B" w:rsidRDefault="0057517B" w:rsidP="0057517B">
            <w:pPr>
              <w:pStyle w:val="TableListBullet"/>
            </w:pPr>
            <w:r w:rsidRPr="0057517B">
              <w:t>Organisation has dedicated resources (both time and funding) to embed human rights</w:t>
            </w:r>
          </w:p>
          <w:p w14:paraId="73F64BBE" w14:textId="3864143A" w:rsidR="0057517B" w:rsidRPr="00860524" w:rsidRDefault="0057517B" w:rsidP="008153EA">
            <w:pPr>
              <w:pStyle w:val="TableListBullet"/>
            </w:pPr>
            <w:r w:rsidRPr="0057517B">
              <w:t>Champions or Influencers of human rights are empowered and resourced</w:t>
            </w:r>
          </w:p>
        </w:tc>
        <w:tc>
          <w:tcPr>
            <w:tcW w:w="2237" w:type="dxa"/>
          </w:tcPr>
          <w:p w14:paraId="268D9E83" w14:textId="77777777" w:rsidR="0057517B" w:rsidRPr="0057517B" w:rsidRDefault="0057517B" w:rsidP="0057517B">
            <w:pPr>
              <w:pStyle w:val="TableListBullet"/>
            </w:pPr>
            <w:r w:rsidRPr="0057517B">
              <w:t xml:space="preserve">The Charter is included in legal compliance frameworks </w:t>
            </w:r>
          </w:p>
          <w:p w14:paraId="2206DC43" w14:textId="77777777" w:rsidR="0057517B" w:rsidRPr="0057517B" w:rsidRDefault="0057517B" w:rsidP="0057517B">
            <w:pPr>
              <w:pStyle w:val="TableListBullet"/>
            </w:pPr>
            <w:r w:rsidRPr="0057517B">
              <w:t xml:space="preserve">Organisation embeds human rights in complaints, policies, branch / business planning documents, code of conduct and employment standards, risk management plans, internal grievance systems, processes, including inter agency agreements, research applications, procurement processes, </w:t>
            </w:r>
            <w:r w:rsidRPr="0057517B">
              <w:lastRenderedPageBreak/>
              <w:t>contracts, recruitment, position descriptions and performance reviews</w:t>
            </w:r>
          </w:p>
          <w:p w14:paraId="4D7ACE2F" w14:textId="7C3CB38E" w:rsidR="0057517B" w:rsidRDefault="0057517B" w:rsidP="0057517B">
            <w:pPr>
              <w:pStyle w:val="TableListBullet"/>
            </w:pPr>
            <w:r w:rsidRPr="0057517B">
              <w:t>Organisation delivers available, accessible, adaptable, acceptable, inclusive and quality services</w:t>
            </w:r>
          </w:p>
        </w:tc>
      </w:tr>
      <w:tr w:rsidR="008153EA" w14:paraId="67656141" w14:textId="77777777" w:rsidTr="00C950FB">
        <w:trPr>
          <w:cnfStyle w:val="000000010000" w:firstRow="0" w:lastRow="0" w:firstColumn="0" w:lastColumn="0" w:oddVBand="0" w:evenVBand="0" w:oddHBand="0" w:evenHBand="1" w:firstRowFirstColumn="0" w:firstRowLastColumn="0" w:lastRowFirstColumn="0" w:lastRowLastColumn="0"/>
        </w:trPr>
        <w:tc>
          <w:tcPr>
            <w:tcW w:w="1139" w:type="dxa"/>
            <w:shd w:val="clear" w:color="auto" w:fill="0070C0"/>
          </w:tcPr>
          <w:p w14:paraId="20C3F4DF" w14:textId="0AFDEB92" w:rsidR="008153EA" w:rsidRPr="00C950FB" w:rsidRDefault="008153EA" w:rsidP="00C950FB">
            <w:pPr>
              <w:pStyle w:val="TableBodyText"/>
              <w:rPr>
                <w:b/>
                <w:color w:val="FFFFFF" w:themeColor="background1"/>
              </w:rPr>
            </w:pPr>
            <w:r w:rsidRPr="00C950FB">
              <w:rPr>
                <w:b/>
                <w:color w:val="FFFFFF" w:themeColor="background1"/>
              </w:rPr>
              <w:lastRenderedPageBreak/>
              <w:t>Measure</w:t>
            </w:r>
          </w:p>
        </w:tc>
        <w:tc>
          <w:tcPr>
            <w:tcW w:w="2237" w:type="dxa"/>
          </w:tcPr>
          <w:p w14:paraId="1E9C1E8E" w14:textId="77777777" w:rsidR="008153EA" w:rsidRPr="008153EA" w:rsidRDefault="008153EA" w:rsidP="008153EA">
            <w:pPr>
              <w:pStyle w:val="TableListBullet"/>
            </w:pPr>
            <w:r w:rsidRPr="008153EA">
              <w:t>External commitment measured by how often and in what context human rights and the Charter are promoted externally (e.g. whether referenced in every speech, report and web page or just the human rights ones)</w:t>
            </w:r>
          </w:p>
          <w:p w14:paraId="664CE721" w14:textId="77777777" w:rsidR="008153EA" w:rsidRPr="008153EA" w:rsidRDefault="008153EA" w:rsidP="008153EA">
            <w:pPr>
              <w:pStyle w:val="TableListBullet"/>
            </w:pPr>
            <w:r w:rsidRPr="008153EA">
              <w:t xml:space="preserve">Internal commitment measured by how </w:t>
            </w:r>
            <w:r w:rsidRPr="008153EA">
              <w:lastRenderedPageBreak/>
              <w:t xml:space="preserve">often and in what context human rights and the Charter are promoted internally (e.g. in leadership forums or executive meetings or via internal staff communications) </w:t>
            </w:r>
          </w:p>
          <w:p w14:paraId="18AB3CE3" w14:textId="2F4BCA03" w:rsidR="008153EA" w:rsidRPr="00860524" w:rsidRDefault="008153EA" w:rsidP="008153EA">
            <w:pPr>
              <w:pStyle w:val="TableListBullet"/>
            </w:pPr>
            <w:r w:rsidRPr="008153EA">
              <w:t xml:space="preserve">Measure whether executives’ performance reviews include metrics for embedding a positive culture of human rights </w:t>
            </w:r>
          </w:p>
        </w:tc>
        <w:tc>
          <w:tcPr>
            <w:tcW w:w="2237" w:type="dxa"/>
          </w:tcPr>
          <w:p w14:paraId="09919395" w14:textId="77777777" w:rsidR="008153EA" w:rsidRPr="008153EA" w:rsidRDefault="008153EA" w:rsidP="008153EA">
            <w:pPr>
              <w:pStyle w:val="TableListBullet"/>
            </w:pPr>
            <w:r w:rsidRPr="008153EA">
              <w:lastRenderedPageBreak/>
              <w:t xml:space="preserve">Measure inclusive and diverse culture </w:t>
            </w:r>
          </w:p>
          <w:p w14:paraId="30D78157" w14:textId="77777777" w:rsidR="008153EA" w:rsidRPr="008153EA" w:rsidRDefault="008153EA" w:rsidP="008153EA">
            <w:pPr>
              <w:pStyle w:val="TableListBullet"/>
            </w:pPr>
            <w:r w:rsidRPr="008153EA">
              <w:t xml:space="preserve">Measure attitudes and values with questions: “In my workgroup, human rights are valued”, “My organisation encourages employees to act in ways that are consistent with human rights” available in Part 1 of the People Matter Survey </w:t>
            </w:r>
          </w:p>
          <w:p w14:paraId="5689A1A6" w14:textId="77777777" w:rsidR="008153EA" w:rsidRPr="008153EA" w:rsidRDefault="008153EA" w:rsidP="008153EA">
            <w:pPr>
              <w:pStyle w:val="TableListBullet"/>
            </w:pPr>
            <w:r w:rsidRPr="008153EA">
              <w:t xml:space="preserve">Measure how examples of </w:t>
            </w:r>
            <w:r w:rsidRPr="008153EA">
              <w:lastRenderedPageBreak/>
              <w:t xml:space="preserve">behaviours or decisions consistent with human rights and the Charter are shared at team planning forums or significant staff-wide forums </w:t>
            </w:r>
          </w:p>
          <w:p w14:paraId="13E30399" w14:textId="7C2A0A09" w:rsidR="008153EA" w:rsidRPr="00860524" w:rsidRDefault="008153EA" w:rsidP="00C950FB">
            <w:pPr>
              <w:pStyle w:val="TableListBullet"/>
            </w:pPr>
            <w:r w:rsidRPr="008153EA">
              <w:t>Measure whether human rights values have been expressly incorporated into organisation specific values</w:t>
            </w:r>
          </w:p>
        </w:tc>
        <w:tc>
          <w:tcPr>
            <w:tcW w:w="2237" w:type="dxa"/>
          </w:tcPr>
          <w:p w14:paraId="3F12CF52" w14:textId="77777777" w:rsidR="008153EA" w:rsidRPr="008153EA" w:rsidRDefault="008153EA" w:rsidP="008153EA">
            <w:pPr>
              <w:pStyle w:val="TableListBullet"/>
            </w:pPr>
            <w:r w:rsidRPr="008153EA">
              <w:lastRenderedPageBreak/>
              <w:t>Percentage of all organisations completing annual survey to public authorities</w:t>
            </w:r>
          </w:p>
          <w:p w14:paraId="5F7C6877" w14:textId="40E96BF4" w:rsidR="008153EA" w:rsidRPr="00860524" w:rsidRDefault="008153EA" w:rsidP="00A83970">
            <w:pPr>
              <w:pStyle w:val="TableListBullet"/>
            </w:pPr>
            <w:r w:rsidRPr="008153EA">
              <w:t>Qualitative case studies of role-models</w:t>
            </w:r>
          </w:p>
        </w:tc>
        <w:tc>
          <w:tcPr>
            <w:tcW w:w="2237" w:type="dxa"/>
          </w:tcPr>
          <w:p w14:paraId="064444DB" w14:textId="77777777" w:rsidR="008153EA" w:rsidRPr="008153EA" w:rsidRDefault="008153EA" w:rsidP="008153EA">
            <w:pPr>
              <w:pStyle w:val="TableListBullet"/>
            </w:pPr>
            <w:r w:rsidRPr="008153EA">
              <w:t xml:space="preserve">Have a process to identify groups in the community to consult with and how often they were consulted on key work and the development of key policy positions, and whether feedback regularly sought from the community </w:t>
            </w:r>
          </w:p>
          <w:p w14:paraId="04123FC8" w14:textId="77777777" w:rsidR="008153EA" w:rsidRPr="008153EA" w:rsidRDefault="008153EA" w:rsidP="008153EA">
            <w:pPr>
              <w:pStyle w:val="TableListBullet"/>
            </w:pPr>
            <w:r w:rsidRPr="008153EA">
              <w:t xml:space="preserve">How did the community engagement or participation </w:t>
            </w:r>
            <w:r w:rsidRPr="008153EA">
              <w:lastRenderedPageBreak/>
              <w:t xml:space="preserve">impact on the decision/policy? </w:t>
            </w:r>
          </w:p>
          <w:p w14:paraId="4B25944D" w14:textId="77777777" w:rsidR="008153EA" w:rsidRPr="008153EA" w:rsidRDefault="008153EA" w:rsidP="008153EA">
            <w:pPr>
              <w:pStyle w:val="TableListBullet"/>
            </w:pPr>
            <w:r w:rsidRPr="008153EA">
              <w:t xml:space="preserve">Measure whether information about the Charter and human rights is clear and accessible to the public </w:t>
            </w:r>
          </w:p>
          <w:p w14:paraId="7BB73419" w14:textId="77777777" w:rsidR="008153EA" w:rsidRPr="008153EA" w:rsidRDefault="008153EA" w:rsidP="008153EA">
            <w:pPr>
              <w:pStyle w:val="TableListBullet"/>
            </w:pPr>
            <w:r w:rsidRPr="008153EA">
              <w:t xml:space="preserve">Increased awareness in community about Charter and how to use it in </w:t>
            </w:r>
            <w:proofErr w:type="gramStart"/>
            <w:r w:rsidRPr="008153EA">
              <w:t>a complaints</w:t>
            </w:r>
            <w:proofErr w:type="gramEnd"/>
            <w:r w:rsidRPr="008153EA">
              <w:t xml:space="preserve"> process</w:t>
            </w:r>
          </w:p>
          <w:p w14:paraId="3E569306" w14:textId="77777777" w:rsidR="008153EA" w:rsidRPr="008153EA" w:rsidRDefault="008153EA" w:rsidP="008153EA">
            <w:pPr>
              <w:pStyle w:val="TableListBullet"/>
            </w:pPr>
            <w:r w:rsidRPr="008153EA">
              <w:t>The number of community submissions to the Scrutiny of Acts and Regulations Committee</w:t>
            </w:r>
          </w:p>
          <w:p w14:paraId="0A151E60" w14:textId="1A533568" w:rsidR="008153EA" w:rsidRPr="00860524" w:rsidRDefault="008153EA" w:rsidP="008153EA">
            <w:pPr>
              <w:pStyle w:val="TableListBullet"/>
            </w:pPr>
            <w:r w:rsidRPr="008153EA">
              <w:t>Qualitative case studies</w:t>
            </w:r>
          </w:p>
        </w:tc>
        <w:tc>
          <w:tcPr>
            <w:tcW w:w="2237" w:type="dxa"/>
          </w:tcPr>
          <w:p w14:paraId="0534A3A9" w14:textId="29EDCFD6" w:rsidR="008153EA" w:rsidRPr="008153EA" w:rsidRDefault="008153EA" w:rsidP="008153EA">
            <w:pPr>
              <w:pStyle w:val="TableListBullet"/>
            </w:pPr>
            <w:r w:rsidRPr="008153EA">
              <w:lastRenderedPageBreak/>
              <w:t xml:space="preserve">Measure the percentage of staff completing Charter </w:t>
            </w:r>
            <w:r w:rsidR="003F28FE" w:rsidRPr="008153EA">
              <w:t>education programs</w:t>
            </w:r>
            <w:r w:rsidRPr="008153EA">
              <w:t xml:space="preserve"> </w:t>
            </w:r>
          </w:p>
          <w:p w14:paraId="4F774BCE" w14:textId="77777777" w:rsidR="008153EA" w:rsidRPr="008153EA" w:rsidRDefault="008153EA" w:rsidP="008153EA">
            <w:pPr>
              <w:pStyle w:val="TableListBullet"/>
            </w:pPr>
            <w:r w:rsidRPr="008153EA">
              <w:t xml:space="preserve">Measure engagement with awareness raising activities, such as human rights days celebrated </w:t>
            </w:r>
          </w:p>
          <w:p w14:paraId="2EA40DA1" w14:textId="77777777" w:rsidR="008153EA" w:rsidRPr="008153EA" w:rsidRDefault="008153EA" w:rsidP="008153EA">
            <w:pPr>
              <w:pStyle w:val="TableListBullet"/>
            </w:pPr>
            <w:r w:rsidRPr="008153EA">
              <w:t xml:space="preserve">Measure awareness of the Charter and application to work: “I understand how the Charter of Human Rights and </w:t>
            </w:r>
            <w:r w:rsidRPr="008153EA">
              <w:lastRenderedPageBreak/>
              <w:t xml:space="preserve">Responsibilities applies to my work” available in Part 1 of the People Matter Survey </w:t>
            </w:r>
          </w:p>
          <w:p w14:paraId="66ABB3A0" w14:textId="77777777" w:rsidR="008153EA" w:rsidRPr="008153EA" w:rsidRDefault="008153EA" w:rsidP="008153EA">
            <w:pPr>
              <w:pStyle w:val="TableListBullet"/>
            </w:pPr>
            <w:r w:rsidRPr="008153EA">
              <w:t>Measure the number of dedicated resources (both time and funding) responsible for embedding positive human rights culture</w:t>
            </w:r>
          </w:p>
          <w:p w14:paraId="6416EEAB" w14:textId="77777777" w:rsidR="008153EA" w:rsidRPr="008153EA" w:rsidRDefault="008153EA" w:rsidP="008153EA">
            <w:pPr>
              <w:pStyle w:val="TableListBullet"/>
            </w:pPr>
            <w:r w:rsidRPr="008153EA">
              <w:t>Human rights and the Charter are embedded in professional development</w:t>
            </w:r>
          </w:p>
          <w:p w14:paraId="77FED943" w14:textId="5ECF0563" w:rsidR="008153EA" w:rsidRPr="00860524" w:rsidRDefault="008153EA" w:rsidP="008153EA">
            <w:pPr>
              <w:pStyle w:val="TableListBullet"/>
            </w:pPr>
            <w:r w:rsidRPr="008153EA">
              <w:t>Measure whether staff performance reviews include metrics for embedding a positive culture of human rights</w:t>
            </w:r>
          </w:p>
        </w:tc>
        <w:tc>
          <w:tcPr>
            <w:tcW w:w="2237" w:type="dxa"/>
          </w:tcPr>
          <w:p w14:paraId="470E9D0D" w14:textId="77777777" w:rsidR="008153EA" w:rsidRPr="008153EA" w:rsidRDefault="008153EA" w:rsidP="008153EA">
            <w:pPr>
              <w:pStyle w:val="TableListBullet"/>
            </w:pPr>
            <w:r w:rsidRPr="008153EA">
              <w:lastRenderedPageBreak/>
              <w:t>Human rights are embedded into decision making tools and/or processes, which are used across the organisation and are applied consistently and meaningfully from contracting through to service delivery</w:t>
            </w:r>
          </w:p>
          <w:p w14:paraId="16ABDFC1" w14:textId="77777777" w:rsidR="008153EA" w:rsidRPr="008153EA" w:rsidRDefault="008153EA" w:rsidP="008153EA">
            <w:pPr>
              <w:pStyle w:val="TableListBullet"/>
            </w:pPr>
            <w:r w:rsidRPr="008153EA">
              <w:t>Measure whether the Charter is included in legal compliance frameworks</w:t>
            </w:r>
          </w:p>
          <w:p w14:paraId="5AB3B565" w14:textId="77777777" w:rsidR="008153EA" w:rsidRPr="008153EA" w:rsidRDefault="008153EA" w:rsidP="008153EA">
            <w:pPr>
              <w:pStyle w:val="TableListBullet"/>
            </w:pPr>
            <w:r w:rsidRPr="008153EA">
              <w:lastRenderedPageBreak/>
              <w:t>Measure human rights breaches in risk management registers</w:t>
            </w:r>
          </w:p>
          <w:p w14:paraId="3B42CC11" w14:textId="77777777" w:rsidR="008153EA" w:rsidRPr="008153EA" w:rsidRDefault="008153EA" w:rsidP="008153EA">
            <w:pPr>
              <w:pStyle w:val="TableListBullet"/>
            </w:pPr>
            <w:r w:rsidRPr="008153EA">
              <w:t>Measure service improvements that stem from complaints (internal or external)</w:t>
            </w:r>
          </w:p>
          <w:p w14:paraId="0C9B82FE" w14:textId="77777777" w:rsidR="008153EA" w:rsidRPr="008153EA" w:rsidRDefault="008153EA" w:rsidP="008153EA">
            <w:pPr>
              <w:pStyle w:val="TableListBullet"/>
            </w:pPr>
            <w:r w:rsidRPr="008153EA">
              <w:t>Measure number of investigations undertaken by external independent bodies</w:t>
            </w:r>
          </w:p>
          <w:p w14:paraId="44FD0372" w14:textId="77777777" w:rsidR="008153EA" w:rsidRPr="008153EA" w:rsidRDefault="008153EA" w:rsidP="008153EA">
            <w:pPr>
              <w:pStyle w:val="TableListBullet"/>
            </w:pPr>
            <w:r w:rsidRPr="008153EA">
              <w:t>Volume of complaints, number of complaints resolved within the specified timeframe and any changes in complaint themes</w:t>
            </w:r>
          </w:p>
          <w:p w14:paraId="45D7159F" w14:textId="3979F698" w:rsidR="008153EA" w:rsidRDefault="008153EA" w:rsidP="008153EA">
            <w:pPr>
              <w:pStyle w:val="TableListBullet"/>
            </w:pPr>
            <w:r w:rsidRPr="008153EA">
              <w:t xml:space="preserve">Qualitative case studies - constructive stories about the value the Charter has brought are </w:t>
            </w:r>
            <w:r w:rsidRPr="008153EA">
              <w:lastRenderedPageBreak/>
              <w:t>told regularly and ongoing</w:t>
            </w:r>
          </w:p>
        </w:tc>
      </w:tr>
      <w:tr w:rsidR="008153EA" w14:paraId="6E01E547" w14:textId="77777777" w:rsidTr="00C950FB">
        <w:trPr>
          <w:cnfStyle w:val="000000100000" w:firstRow="0" w:lastRow="0" w:firstColumn="0" w:lastColumn="0" w:oddVBand="0" w:evenVBand="0" w:oddHBand="1" w:evenHBand="0" w:firstRowFirstColumn="0" w:firstRowLastColumn="0" w:lastRowFirstColumn="0" w:lastRowLastColumn="0"/>
        </w:trPr>
        <w:tc>
          <w:tcPr>
            <w:tcW w:w="1139" w:type="dxa"/>
            <w:shd w:val="clear" w:color="auto" w:fill="0070C0"/>
          </w:tcPr>
          <w:p w14:paraId="38C9F490" w14:textId="2801EA47" w:rsidR="008153EA" w:rsidRPr="00C950FB" w:rsidRDefault="008153EA" w:rsidP="00C950FB">
            <w:pPr>
              <w:pStyle w:val="TableBodyText"/>
              <w:rPr>
                <w:b/>
                <w:color w:val="FFFFFF" w:themeColor="background1"/>
              </w:rPr>
            </w:pPr>
            <w:r w:rsidRPr="00C950FB">
              <w:rPr>
                <w:b/>
                <w:color w:val="FFFFFF" w:themeColor="background1"/>
              </w:rPr>
              <w:lastRenderedPageBreak/>
              <w:t>Data source</w:t>
            </w:r>
          </w:p>
        </w:tc>
        <w:tc>
          <w:tcPr>
            <w:tcW w:w="2237" w:type="dxa"/>
          </w:tcPr>
          <w:p w14:paraId="36A3792F" w14:textId="77777777" w:rsidR="008153EA" w:rsidRPr="008153EA" w:rsidRDefault="008153EA" w:rsidP="008153EA">
            <w:pPr>
              <w:pStyle w:val="TableListBullet"/>
            </w:pPr>
            <w:r w:rsidRPr="008153EA">
              <w:t>Question in the annual survey to public authorities</w:t>
            </w:r>
          </w:p>
          <w:p w14:paraId="7AE305C2" w14:textId="386CDF3C" w:rsidR="008153EA" w:rsidRPr="00860524" w:rsidRDefault="008153EA" w:rsidP="008153EA">
            <w:pPr>
              <w:pStyle w:val="TableListBullet"/>
            </w:pPr>
            <w:r w:rsidRPr="008153EA">
              <w:t>Community interviews</w:t>
            </w:r>
          </w:p>
        </w:tc>
        <w:tc>
          <w:tcPr>
            <w:tcW w:w="2237" w:type="dxa"/>
          </w:tcPr>
          <w:p w14:paraId="43BCCE7F" w14:textId="77777777" w:rsidR="008153EA" w:rsidRPr="008153EA" w:rsidRDefault="008153EA" w:rsidP="008153EA">
            <w:pPr>
              <w:pStyle w:val="TableListBullet"/>
            </w:pPr>
            <w:r w:rsidRPr="008153EA">
              <w:t>People Matter Survey</w:t>
            </w:r>
          </w:p>
          <w:p w14:paraId="33D3CF33" w14:textId="510D0949" w:rsidR="008153EA" w:rsidRPr="00860524" w:rsidRDefault="008153EA" w:rsidP="00C950FB">
            <w:pPr>
              <w:pStyle w:val="TableListBullet"/>
            </w:pPr>
            <w:r w:rsidRPr="008153EA">
              <w:t>Question in the annual survey to public authorities</w:t>
            </w:r>
          </w:p>
        </w:tc>
        <w:tc>
          <w:tcPr>
            <w:tcW w:w="2237" w:type="dxa"/>
          </w:tcPr>
          <w:p w14:paraId="78948B90" w14:textId="77777777" w:rsidR="008153EA" w:rsidRPr="008153EA" w:rsidRDefault="008153EA" w:rsidP="008153EA">
            <w:pPr>
              <w:pStyle w:val="TableListBullet"/>
            </w:pPr>
            <w:r w:rsidRPr="008153EA">
              <w:t>Number of respondents to annual survey to public authorities</w:t>
            </w:r>
          </w:p>
          <w:p w14:paraId="6D73B5E6" w14:textId="75BB17EF" w:rsidR="008153EA" w:rsidRPr="00860524" w:rsidRDefault="008153EA" w:rsidP="008153EA">
            <w:pPr>
              <w:pStyle w:val="TableListBullet"/>
            </w:pPr>
            <w:r w:rsidRPr="008153EA">
              <w:t>Identified through the Charter Education Program</w:t>
            </w:r>
          </w:p>
        </w:tc>
        <w:tc>
          <w:tcPr>
            <w:tcW w:w="2237" w:type="dxa"/>
          </w:tcPr>
          <w:p w14:paraId="25921926" w14:textId="77777777" w:rsidR="008153EA" w:rsidRPr="008153EA" w:rsidRDefault="008153EA" w:rsidP="008153EA">
            <w:pPr>
              <w:pStyle w:val="TableListBullet"/>
            </w:pPr>
            <w:r w:rsidRPr="008153EA">
              <w:t>Question in the annual survey to public authorities</w:t>
            </w:r>
          </w:p>
          <w:p w14:paraId="70DB7AE1" w14:textId="77777777" w:rsidR="008153EA" w:rsidRPr="008153EA" w:rsidRDefault="008153EA" w:rsidP="008153EA">
            <w:pPr>
              <w:pStyle w:val="TableListBullet"/>
            </w:pPr>
            <w:r w:rsidRPr="008153EA">
              <w:t>Community interviews</w:t>
            </w:r>
          </w:p>
          <w:p w14:paraId="2F05ECCB" w14:textId="77777777" w:rsidR="008153EA" w:rsidRPr="008153EA" w:rsidRDefault="008153EA" w:rsidP="008153EA">
            <w:pPr>
              <w:pStyle w:val="TableListBullet"/>
            </w:pPr>
            <w:r w:rsidRPr="008153EA">
              <w:t>Identified through the Charter Education Program</w:t>
            </w:r>
          </w:p>
          <w:p w14:paraId="60179606" w14:textId="115A06AF" w:rsidR="008153EA" w:rsidRPr="00860524" w:rsidRDefault="008153EA" w:rsidP="008153EA">
            <w:pPr>
              <w:pStyle w:val="TableListBullet"/>
            </w:pPr>
            <w:r w:rsidRPr="008153EA">
              <w:t>Scrutiny of Acts and Regulations Committee reports</w:t>
            </w:r>
          </w:p>
        </w:tc>
        <w:tc>
          <w:tcPr>
            <w:tcW w:w="2237" w:type="dxa"/>
          </w:tcPr>
          <w:p w14:paraId="45BF205F" w14:textId="77777777" w:rsidR="008153EA" w:rsidRPr="008153EA" w:rsidRDefault="008153EA" w:rsidP="008153EA">
            <w:pPr>
              <w:pStyle w:val="TableListBullet"/>
            </w:pPr>
            <w:r w:rsidRPr="008153EA">
              <w:t>Question in the annual survey to public authorities</w:t>
            </w:r>
          </w:p>
          <w:p w14:paraId="219A5135" w14:textId="5049AA36" w:rsidR="008153EA" w:rsidRPr="00860524" w:rsidRDefault="008153EA" w:rsidP="008153EA">
            <w:pPr>
              <w:pStyle w:val="TableListBullet"/>
            </w:pPr>
            <w:r w:rsidRPr="008153EA">
              <w:t>People Matter Survey</w:t>
            </w:r>
          </w:p>
        </w:tc>
        <w:tc>
          <w:tcPr>
            <w:tcW w:w="2237" w:type="dxa"/>
          </w:tcPr>
          <w:p w14:paraId="3513C152" w14:textId="77777777" w:rsidR="008153EA" w:rsidRPr="008153EA" w:rsidRDefault="008153EA" w:rsidP="008153EA">
            <w:pPr>
              <w:pStyle w:val="TableListBullet"/>
            </w:pPr>
            <w:r w:rsidRPr="008153EA">
              <w:t>Question in survey to public authorities</w:t>
            </w:r>
          </w:p>
          <w:p w14:paraId="4F5AEB4E" w14:textId="51EC2940" w:rsidR="008153EA" w:rsidRDefault="008153EA" w:rsidP="008153EA">
            <w:pPr>
              <w:pStyle w:val="TableListBullet"/>
            </w:pPr>
            <w:r w:rsidRPr="008153EA">
              <w:t>Identified through the Charter Education Program</w:t>
            </w:r>
          </w:p>
        </w:tc>
      </w:tr>
    </w:tbl>
    <w:p w14:paraId="59D41EA9" w14:textId="77777777" w:rsidR="008B0371" w:rsidRPr="008B0371" w:rsidRDefault="008B0371" w:rsidP="008B0371">
      <w:pPr>
        <w:pStyle w:val="BodyText"/>
        <w:rPr>
          <w:lang w:eastAsia="en-AU"/>
        </w:rPr>
      </w:pPr>
    </w:p>
    <w:p w14:paraId="56B4BA30" w14:textId="77777777" w:rsidR="00951AC2" w:rsidRDefault="00951AC2" w:rsidP="00951AC2">
      <w:pPr>
        <w:spacing w:before="0" w:after="200" w:line="276" w:lineRule="auto"/>
      </w:pPr>
    </w:p>
    <w:p w14:paraId="6E57B7E0" w14:textId="77777777" w:rsidR="00951AC2" w:rsidRDefault="00951AC2" w:rsidP="00951AC2">
      <w:pPr>
        <w:spacing w:before="0" w:after="200" w:line="276" w:lineRule="auto"/>
        <w:rPr>
          <w:lang w:eastAsia="en-AU"/>
        </w:rPr>
        <w:sectPr w:rsidR="00951AC2" w:rsidSect="00D171F9">
          <w:endnotePr>
            <w:numFmt w:val="decimal"/>
          </w:endnotePr>
          <w:pgSz w:w="16839" w:h="11907" w:orient="landscape" w:code="9"/>
          <w:pgMar w:top="1418" w:right="1134" w:bottom="1418" w:left="1134" w:header="720" w:footer="720" w:gutter="0"/>
          <w:cols w:space="720"/>
          <w:docGrid w:linePitch="360"/>
        </w:sectPr>
      </w:pPr>
    </w:p>
    <w:p w14:paraId="3635F08E" w14:textId="77777777" w:rsidR="00951AC2" w:rsidRDefault="00951AC2" w:rsidP="00C846A1">
      <w:pPr>
        <w:pStyle w:val="AppendixHeading1"/>
        <w:numPr>
          <w:ilvl w:val="0"/>
          <w:numId w:val="55"/>
        </w:numPr>
      </w:pPr>
      <w:bookmarkStart w:id="131" w:name="_Toc4587613"/>
      <w:bookmarkStart w:id="132" w:name="_Toc8224943"/>
      <w:bookmarkStart w:id="133" w:name="_Toc14345903"/>
      <w:r>
        <w:lastRenderedPageBreak/>
        <w:t>List of survey participants</w:t>
      </w:r>
      <w:bookmarkEnd w:id="131"/>
      <w:bookmarkEnd w:id="132"/>
      <w:bookmarkEnd w:id="133"/>
    </w:p>
    <w:p w14:paraId="4E5A4BE1" w14:textId="77777777" w:rsidR="00951AC2" w:rsidRPr="009C13D2" w:rsidRDefault="00951AC2" w:rsidP="00951AC2">
      <w:pPr>
        <w:pStyle w:val="BodyText"/>
        <w:rPr>
          <w:color w:val="000000" w:themeColor="text1"/>
          <w:lang w:eastAsia="en-AU"/>
        </w:rPr>
      </w:pPr>
      <w:r>
        <w:rPr>
          <w:lang w:eastAsia="en-AU"/>
        </w:rPr>
        <w:t xml:space="preserve">Note: </w:t>
      </w:r>
      <w:r w:rsidRPr="003976B3">
        <w:rPr>
          <w:color w:val="000000" w:themeColor="text1"/>
          <w:lang w:eastAsia="en-AU"/>
        </w:rPr>
        <w:t>Small agencies tended to have less than 200 full-time equivalent</w:t>
      </w:r>
      <w:r>
        <w:rPr>
          <w:color w:val="000000" w:themeColor="text1"/>
          <w:lang w:eastAsia="en-AU"/>
        </w:rPr>
        <w:t xml:space="preserve"> </w:t>
      </w:r>
      <w:r w:rsidRPr="003976B3">
        <w:rPr>
          <w:color w:val="000000" w:themeColor="text1"/>
          <w:lang w:eastAsia="en-AU"/>
        </w:rPr>
        <w:t>employees and budgets for FY18 of less than $50 million. Even though some of the departments and department divisions are relatively small in terms of the number of full-time equivalent</w:t>
      </w:r>
      <w:r>
        <w:rPr>
          <w:color w:val="000000" w:themeColor="text1"/>
          <w:lang w:eastAsia="en-AU"/>
        </w:rPr>
        <w:t xml:space="preserve"> </w:t>
      </w:r>
      <w:r w:rsidRPr="003976B3">
        <w:rPr>
          <w:color w:val="000000" w:themeColor="text1"/>
          <w:lang w:eastAsia="en-AU"/>
        </w:rPr>
        <w:t>employees and budget, a separate grouping was considered appropriate based on the unique core functions for which they are responsible</w:t>
      </w:r>
      <w:r w:rsidRPr="009C13D2">
        <w:rPr>
          <w:color w:val="000000" w:themeColor="text1"/>
          <w:lang w:eastAsia="en-AU"/>
        </w:rPr>
        <w:t xml:space="preserve">. </w:t>
      </w:r>
    </w:p>
    <w:tbl>
      <w:tblPr>
        <w:tblStyle w:val="CustomTableblue"/>
        <w:tblW w:w="9067" w:type="dxa"/>
        <w:tblLook w:val="0420" w:firstRow="1" w:lastRow="0" w:firstColumn="0" w:lastColumn="0" w:noHBand="0" w:noVBand="1"/>
      </w:tblPr>
      <w:tblGrid>
        <w:gridCol w:w="562"/>
        <w:gridCol w:w="5812"/>
        <w:gridCol w:w="2693"/>
      </w:tblGrid>
      <w:tr w:rsidR="00951AC2" w14:paraId="20784241" w14:textId="77777777" w:rsidTr="003D49E2">
        <w:trPr>
          <w:cnfStyle w:val="100000000000" w:firstRow="1" w:lastRow="0" w:firstColumn="0" w:lastColumn="0" w:oddVBand="0" w:evenVBand="0" w:oddHBand="0" w:evenHBand="0" w:firstRowFirstColumn="0" w:firstRowLastColumn="0" w:lastRowFirstColumn="0" w:lastRowLastColumn="0"/>
        </w:trPr>
        <w:tc>
          <w:tcPr>
            <w:tcW w:w="562" w:type="dxa"/>
          </w:tcPr>
          <w:p w14:paraId="791DDDD6" w14:textId="77777777" w:rsidR="00951AC2" w:rsidRDefault="00951AC2" w:rsidP="003D49E2">
            <w:pPr>
              <w:pStyle w:val="TableBodyTextsmall"/>
              <w:spacing w:before="60" w:after="60"/>
            </w:pPr>
            <w:r>
              <w:t>#</w:t>
            </w:r>
          </w:p>
        </w:tc>
        <w:tc>
          <w:tcPr>
            <w:tcW w:w="5812" w:type="dxa"/>
          </w:tcPr>
          <w:p w14:paraId="09D4588D" w14:textId="77777777" w:rsidR="00951AC2" w:rsidRDefault="00951AC2" w:rsidP="003D49E2">
            <w:pPr>
              <w:pStyle w:val="TableBodyTextsmall"/>
              <w:spacing w:before="60" w:after="60"/>
            </w:pPr>
            <w:r>
              <w:t>Organisation</w:t>
            </w:r>
          </w:p>
        </w:tc>
        <w:tc>
          <w:tcPr>
            <w:tcW w:w="2693" w:type="dxa"/>
          </w:tcPr>
          <w:p w14:paraId="3255CBCD" w14:textId="77777777" w:rsidR="00951AC2" w:rsidRDefault="00951AC2" w:rsidP="003D49E2">
            <w:pPr>
              <w:pStyle w:val="TableBodyTextsmall"/>
              <w:spacing w:before="60" w:after="60"/>
            </w:pPr>
            <w:r>
              <w:t>Categorisation</w:t>
            </w:r>
          </w:p>
        </w:tc>
      </w:tr>
      <w:tr w:rsidR="00951AC2" w14:paraId="28FCC7D8"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409275BB" w14:textId="77777777" w:rsidR="00951AC2" w:rsidRDefault="00951AC2" w:rsidP="00C846A1">
            <w:pPr>
              <w:pStyle w:val="TableListNumber"/>
              <w:numPr>
                <w:ilvl w:val="0"/>
                <w:numId w:val="92"/>
              </w:numPr>
              <w:spacing w:before="60" w:after="60"/>
            </w:pPr>
          </w:p>
        </w:tc>
        <w:tc>
          <w:tcPr>
            <w:tcW w:w="5812" w:type="dxa"/>
          </w:tcPr>
          <w:p w14:paraId="4DBB50AA" w14:textId="77777777" w:rsidR="00951AC2" w:rsidRDefault="00951AC2" w:rsidP="003D49E2">
            <w:pPr>
              <w:pStyle w:val="TableBodyTextsmall"/>
              <w:spacing w:before="60" w:after="60"/>
              <w:rPr>
                <w:rFonts w:cs="Arial"/>
                <w:sz w:val="20"/>
              </w:rPr>
            </w:pPr>
            <w:r>
              <w:rPr>
                <w:rFonts w:cs="Arial"/>
                <w:sz w:val="20"/>
              </w:rPr>
              <w:t>Casey City Council</w:t>
            </w:r>
          </w:p>
        </w:tc>
        <w:tc>
          <w:tcPr>
            <w:tcW w:w="2693" w:type="dxa"/>
          </w:tcPr>
          <w:p w14:paraId="26125969" w14:textId="77777777" w:rsidR="00951AC2" w:rsidRDefault="00951AC2" w:rsidP="003D49E2">
            <w:pPr>
              <w:pStyle w:val="TableBodyTextsmall"/>
              <w:spacing w:before="60" w:after="60"/>
              <w:rPr>
                <w:rFonts w:cs="Arial"/>
                <w:sz w:val="20"/>
              </w:rPr>
            </w:pPr>
            <w:r>
              <w:rPr>
                <w:rFonts w:cs="Arial"/>
                <w:sz w:val="20"/>
              </w:rPr>
              <w:t>Council - Outer Metro</w:t>
            </w:r>
          </w:p>
        </w:tc>
      </w:tr>
      <w:tr w:rsidR="00951AC2" w14:paraId="3230FA73"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048B73E0" w14:textId="77777777" w:rsidR="00951AC2" w:rsidRDefault="00951AC2" w:rsidP="003D49E2">
            <w:pPr>
              <w:pStyle w:val="TableListNumber"/>
              <w:spacing w:before="60" w:after="60"/>
            </w:pPr>
          </w:p>
        </w:tc>
        <w:tc>
          <w:tcPr>
            <w:tcW w:w="5812" w:type="dxa"/>
          </w:tcPr>
          <w:p w14:paraId="74E91A02" w14:textId="77777777" w:rsidR="00951AC2" w:rsidRDefault="00951AC2" w:rsidP="003D49E2">
            <w:pPr>
              <w:pStyle w:val="TableBodyTextsmall"/>
              <w:spacing w:before="60" w:after="60"/>
              <w:rPr>
                <w:rFonts w:cs="Arial"/>
                <w:sz w:val="20"/>
              </w:rPr>
            </w:pPr>
            <w:r>
              <w:rPr>
                <w:rFonts w:cs="Arial"/>
                <w:sz w:val="20"/>
              </w:rPr>
              <w:t>Whittlesea City Council</w:t>
            </w:r>
          </w:p>
        </w:tc>
        <w:tc>
          <w:tcPr>
            <w:tcW w:w="2693" w:type="dxa"/>
          </w:tcPr>
          <w:p w14:paraId="2D97C36D" w14:textId="77777777" w:rsidR="00951AC2" w:rsidRDefault="00951AC2" w:rsidP="003D49E2">
            <w:pPr>
              <w:pStyle w:val="TableBodyTextsmall"/>
              <w:spacing w:before="60" w:after="60"/>
              <w:rPr>
                <w:rFonts w:cs="Arial"/>
                <w:sz w:val="20"/>
              </w:rPr>
            </w:pPr>
            <w:r>
              <w:rPr>
                <w:rFonts w:cs="Arial"/>
                <w:sz w:val="20"/>
              </w:rPr>
              <w:t>Council - Outer Metro</w:t>
            </w:r>
          </w:p>
        </w:tc>
      </w:tr>
      <w:tr w:rsidR="00951AC2" w14:paraId="356B0519"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1C04DD0E" w14:textId="77777777" w:rsidR="00951AC2" w:rsidRDefault="00951AC2" w:rsidP="003D49E2">
            <w:pPr>
              <w:pStyle w:val="TableListNumber"/>
              <w:spacing w:before="60" w:after="60"/>
            </w:pPr>
          </w:p>
        </w:tc>
        <w:tc>
          <w:tcPr>
            <w:tcW w:w="5812" w:type="dxa"/>
          </w:tcPr>
          <w:p w14:paraId="01A11C4F" w14:textId="77777777" w:rsidR="00951AC2" w:rsidRDefault="00951AC2" w:rsidP="003D49E2">
            <w:pPr>
              <w:pStyle w:val="TableBodyTextsmall"/>
              <w:spacing w:before="60" w:after="60"/>
              <w:rPr>
                <w:rFonts w:cs="Arial"/>
                <w:sz w:val="20"/>
              </w:rPr>
            </w:pPr>
            <w:r>
              <w:rPr>
                <w:rFonts w:cs="Arial"/>
                <w:sz w:val="20"/>
              </w:rPr>
              <w:t>Darebin City Council</w:t>
            </w:r>
          </w:p>
        </w:tc>
        <w:tc>
          <w:tcPr>
            <w:tcW w:w="2693" w:type="dxa"/>
          </w:tcPr>
          <w:p w14:paraId="1CC7BB59" w14:textId="77777777" w:rsidR="00951AC2" w:rsidRDefault="00951AC2" w:rsidP="003D49E2">
            <w:pPr>
              <w:pStyle w:val="TableBodyTextsmall"/>
              <w:spacing w:before="60" w:after="60"/>
              <w:rPr>
                <w:rFonts w:cs="Arial"/>
                <w:sz w:val="20"/>
              </w:rPr>
            </w:pPr>
            <w:r>
              <w:rPr>
                <w:rFonts w:cs="Arial"/>
                <w:sz w:val="20"/>
              </w:rPr>
              <w:t>Council - Metro Melbourne</w:t>
            </w:r>
          </w:p>
        </w:tc>
      </w:tr>
      <w:tr w:rsidR="00951AC2" w14:paraId="724D9363"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65AF6529" w14:textId="77777777" w:rsidR="00951AC2" w:rsidRDefault="00951AC2" w:rsidP="003D49E2">
            <w:pPr>
              <w:pStyle w:val="TableListNumber"/>
              <w:spacing w:before="60" w:after="60"/>
            </w:pPr>
          </w:p>
        </w:tc>
        <w:tc>
          <w:tcPr>
            <w:tcW w:w="5812" w:type="dxa"/>
          </w:tcPr>
          <w:p w14:paraId="14C8CC95" w14:textId="77777777" w:rsidR="00951AC2" w:rsidRDefault="00951AC2" w:rsidP="003D49E2">
            <w:pPr>
              <w:pStyle w:val="TableBodyTextsmall"/>
              <w:spacing w:before="60" w:after="60"/>
              <w:rPr>
                <w:rFonts w:cs="Arial"/>
                <w:sz w:val="20"/>
              </w:rPr>
            </w:pPr>
            <w:r>
              <w:rPr>
                <w:rFonts w:cs="Arial"/>
                <w:sz w:val="20"/>
              </w:rPr>
              <w:t>East Gippsland Shire Council</w:t>
            </w:r>
          </w:p>
        </w:tc>
        <w:tc>
          <w:tcPr>
            <w:tcW w:w="2693" w:type="dxa"/>
          </w:tcPr>
          <w:p w14:paraId="765D3F2D" w14:textId="77777777" w:rsidR="00951AC2" w:rsidRDefault="00951AC2" w:rsidP="003D49E2">
            <w:pPr>
              <w:pStyle w:val="TableBodyTextsmall"/>
              <w:spacing w:before="60" w:after="60"/>
              <w:rPr>
                <w:rFonts w:cs="Arial"/>
                <w:sz w:val="20"/>
              </w:rPr>
            </w:pPr>
            <w:r>
              <w:rPr>
                <w:rFonts w:cs="Arial"/>
                <w:sz w:val="20"/>
              </w:rPr>
              <w:t>Council – Regional</w:t>
            </w:r>
          </w:p>
        </w:tc>
      </w:tr>
      <w:tr w:rsidR="00951AC2" w14:paraId="6DF4F75D"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251C287D" w14:textId="77777777" w:rsidR="00951AC2" w:rsidRDefault="00951AC2" w:rsidP="003D49E2">
            <w:pPr>
              <w:pStyle w:val="TableListNumber"/>
              <w:spacing w:before="60" w:after="60"/>
            </w:pPr>
          </w:p>
        </w:tc>
        <w:tc>
          <w:tcPr>
            <w:tcW w:w="5812" w:type="dxa"/>
          </w:tcPr>
          <w:p w14:paraId="444A1010" w14:textId="77777777" w:rsidR="00951AC2" w:rsidRDefault="00951AC2" w:rsidP="003D49E2">
            <w:pPr>
              <w:pStyle w:val="TableBodyTextsmall"/>
              <w:spacing w:before="60" w:after="60"/>
              <w:rPr>
                <w:rFonts w:cs="Arial"/>
                <w:sz w:val="20"/>
              </w:rPr>
            </w:pPr>
            <w:r>
              <w:rPr>
                <w:rFonts w:cs="Arial"/>
                <w:sz w:val="20"/>
              </w:rPr>
              <w:t>Greater Geelong City Council</w:t>
            </w:r>
          </w:p>
        </w:tc>
        <w:tc>
          <w:tcPr>
            <w:tcW w:w="2693" w:type="dxa"/>
          </w:tcPr>
          <w:p w14:paraId="685708AE" w14:textId="77777777" w:rsidR="00951AC2" w:rsidRDefault="00951AC2" w:rsidP="003D49E2">
            <w:pPr>
              <w:pStyle w:val="TableBodyTextsmall"/>
              <w:spacing w:before="60" w:after="60"/>
              <w:rPr>
                <w:rFonts w:cs="Arial"/>
                <w:sz w:val="20"/>
              </w:rPr>
            </w:pPr>
            <w:r>
              <w:rPr>
                <w:rFonts w:cs="Arial"/>
                <w:sz w:val="20"/>
              </w:rPr>
              <w:t>Council – Regional</w:t>
            </w:r>
          </w:p>
        </w:tc>
      </w:tr>
      <w:tr w:rsidR="00951AC2" w14:paraId="22CFC877"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69C2AA29" w14:textId="77777777" w:rsidR="00951AC2" w:rsidRDefault="00951AC2" w:rsidP="003D49E2">
            <w:pPr>
              <w:pStyle w:val="TableListNumber"/>
              <w:spacing w:before="60" w:after="60"/>
            </w:pPr>
          </w:p>
        </w:tc>
        <w:tc>
          <w:tcPr>
            <w:tcW w:w="5812" w:type="dxa"/>
          </w:tcPr>
          <w:p w14:paraId="6C06DF01" w14:textId="77777777" w:rsidR="00951AC2" w:rsidRDefault="00951AC2" w:rsidP="003D49E2">
            <w:pPr>
              <w:pStyle w:val="TableBodyTextsmall"/>
              <w:spacing w:before="60" w:after="60"/>
              <w:rPr>
                <w:rFonts w:cs="Arial"/>
                <w:sz w:val="20"/>
              </w:rPr>
            </w:pPr>
            <w:r>
              <w:rPr>
                <w:rFonts w:cs="Arial"/>
                <w:sz w:val="20"/>
              </w:rPr>
              <w:t>Golden Plains Shire Council</w:t>
            </w:r>
          </w:p>
        </w:tc>
        <w:tc>
          <w:tcPr>
            <w:tcW w:w="2693" w:type="dxa"/>
          </w:tcPr>
          <w:p w14:paraId="5EA609B8" w14:textId="77777777" w:rsidR="00951AC2" w:rsidRDefault="00951AC2" w:rsidP="003D49E2">
            <w:pPr>
              <w:pStyle w:val="TableBodyTextsmall"/>
              <w:spacing w:before="60" w:after="60"/>
              <w:rPr>
                <w:rFonts w:cs="Arial"/>
                <w:sz w:val="20"/>
              </w:rPr>
            </w:pPr>
            <w:r>
              <w:rPr>
                <w:rFonts w:cs="Arial"/>
                <w:sz w:val="20"/>
              </w:rPr>
              <w:t>Council – Rural</w:t>
            </w:r>
          </w:p>
        </w:tc>
      </w:tr>
      <w:tr w:rsidR="00951AC2" w14:paraId="70C187BE"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184A30EF" w14:textId="77777777" w:rsidR="00951AC2" w:rsidRDefault="00951AC2" w:rsidP="003D49E2">
            <w:pPr>
              <w:pStyle w:val="TableListNumber"/>
              <w:spacing w:before="60" w:after="60"/>
            </w:pPr>
          </w:p>
        </w:tc>
        <w:tc>
          <w:tcPr>
            <w:tcW w:w="5812" w:type="dxa"/>
          </w:tcPr>
          <w:p w14:paraId="71440109" w14:textId="77777777" w:rsidR="00951AC2" w:rsidRDefault="00951AC2" w:rsidP="003D49E2">
            <w:pPr>
              <w:pStyle w:val="TableBodyTextsmall"/>
              <w:spacing w:before="60" w:after="60"/>
              <w:rPr>
                <w:rFonts w:cs="Arial"/>
                <w:sz w:val="20"/>
              </w:rPr>
            </w:pPr>
            <w:r>
              <w:rPr>
                <w:rFonts w:cs="Arial"/>
                <w:sz w:val="20"/>
              </w:rPr>
              <w:t>Moira Shire Council</w:t>
            </w:r>
          </w:p>
        </w:tc>
        <w:tc>
          <w:tcPr>
            <w:tcW w:w="2693" w:type="dxa"/>
          </w:tcPr>
          <w:p w14:paraId="58E8A9A8" w14:textId="77777777" w:rsidR="00951AC2" w:rsidRDefault="00951AC2" w:rsidP="003D49E2">
            <w:pPr>
              <w:pStyle w:val="TableBodyTextsmall"/>
              <w:spacing w:before="60" w:after="60"/>
              <w:rPr>
                <w:rFonts w:cs="Arial"/>
                <w:sz w:val="20"/>
              </w:rPr>
            </w:pPr>
            <w:r>
              <w:rPr>
                <w:rFonts w:cs="Arial"/>
                <w:sz w:val="20"/>
              </w:rPr>
              <w:t>Council – Rural</w:t>
            </w:r>
          </w:p>
        </w:tc>
      </w:tr>
      <w:tr w:rsidR="00951AC2" w14:paraId="5249E1CE"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4B816B93" w14:textId="77777777" w:rsidR="00951AC2" w:rsidRDefault="00951AC2" w:rsidP="003D49E2">
            <w:pPr>
              <w:pStyle w:val="TableListNumber"/>
              <w:spacing w:before="60" w:after="60"/>
            </w:pPr>
          </w:p>
        </w:tc>
        <w:tc>
          <w:tcPr>
            <w:tcW w:w="5812" w:type="dxa"/>
          </w:tcPr>
          <w:p w14:paraId="3F08C171" w14:textId="77777777" w:rsidR="00951AC2" w:rsidRDefault="00951AC2" w:rsidP="003D49E2">
            <w:pPr>
              <w:pStyle w:val="TableBodyTextsmall"/>
              <w:spacing w:before="60" w:after="60"/>
              <w:rPr>
                <w:rFonts w:cs="Arial"/>
                <w:sz w:val="20"/>
              </w:rPr>
            </w:pPr>
            <w:r>
              <w:rPr>
                <w:rFonts w:cs="Arial"/>
                <w:sz w:val="20"/>
              </w:rPr>
              <w:t>Port Phillip City Council</w:t>
            </w:r>
          </w:p>
        </w:tc>
        <w:tc>
          <w:tcPr>
            <w:tcW w:w="2693" w:type="dxa"/>
          </w:tcPr>
          <w:p w14:paraId="4DF1DA20" w14:textId="77777777" w:rsidR="00951AC2" w:rsidRDefault="00951AC2" w:rsidP="003D49E2">
            <w:pPr>
              <w:pStyle w:val="TableBodyTextsmall"/>
              <w:spacing w:before="60" w:after="60"/>
              <w:rPr>
                <w:rFonts w:cs="Arial"/>
                <w:sz w:val="20"/>
              </w:rPr>
            </w:pPr>
            <w:r>
              <w:rPr>
                <w:rFonts w:cs="Arial"/>
                <w:sz w:val="20"/>
              </w:rPr>
              <w:t>Council - Inner Melbourne</w:t>
            </w:r>
          </w:p>
        </w:tc>
      </w:tr>
      <w:tr w:rsidR="00951AC2" w14:paraId="696510B7"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7768700D" w14:textId="77777777" w:rsidR="00951AC2" w:rsidRDefault="00951AC2" w:rsidP="003D49E2">
            <w:pPr>
              <w:pStyle w:val="TableListNumber"/>
              <w:spacing w:before="60" w:after="60"/>
            </w:pPr>
          </w:p>
        </w:tc>
        <w:tc>
          <w:tcPr>
            <w:tcW w:w="5812" w:type="dxa"/>
          </w:tcPr>
          <w:p w14:paraId="7C9FA937" w14:textId="77777777" w:rsidR="00951AC2" w:rsidRDefault="00951AC2" w:rsidP="003D49E2">
            <w:pPr>
              <w:pStyle w:val="TableBodyTextsmall"/>
              <w:spacing w:before="60" w:after="60"/>
              <w:rPr>
                <w:rFonts w:cs="Arial"/>
                <w:sz w:val="20"/>
              </w:rPr>
            </w:pPr>
            <w:proofErr w:type="spellStart"/>
            <w:r>
              <w:rPr>
                <w:rFonts w:cs="Arial"/>
                <w:sz w:val="20"/>
              </w:rPr>
              <w:t>Stonnington</w:t>
            </w:r>
            <w:proofErr w:type="spellEnd"/>
            <w:r>
              <w:rPr>
                <w:rFonts w:cs="Arial"/>
                <w:sz w:val="20"/>
              </w:rPr>
              <w:t xml:space="preserve"> City Council</w:t>
            </w:r>
          </w:p>
        </w:tc>
        <w:tc>
          <w:tcPr>
            <w:tcW w:w="2693" w:type="dxa"/>
          </w:tcPr>
          <w:p w14:paraId="142BA4FC" w14:textId="77777777" w:rsidR="00951AC2" w:rsidRDefault="00951AC2" w:rsidP="003D49E2">
            <w:pPr>
              <w:pStyle w:val="TableBodyTextsmall"/>
              <w:spacing w:before="60" w:after="60"/>
              <w:rPr>
                <w:rFonts w:cs="Arial"/>
                <w:sz w:val="20"/>
              </w:rPr>
            </w:pPr>
            <w:r>
              <w:rPr>
                <w:rFonts w:cs="Arial"/>
                <w:sz w:val="20"/>
              </w:rPr>
              <w:t>Council - Inner Melbourne</w:t>
            </w:r>
          </w:p>
        </w:tc>
      </w:tr>
      <w:tr w:rsidR="00951AC2" w14:paraId="3EC1A8A4"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653F2D05" w14:textId="77777777" w:rsidR="00951AC2" w:rsidRDefault="00951AC2" w:rsidP="003D49E2">
            <w:pPr>
              <w:pStyle w:val="TableListNumber"/>
              <w:spacing w:before="60" w:after="60"/>
            </w:pPr>
          </w:p>
        </w:tc>
        <w:tc>
          <w:tcPr>
            <w:tcW w:w="5812" w:type="dxa"/>
          </w:tcPr>
          <w:p w14:paraId="43AF1246" w14:textId="77777777" w:rsidR="00951AC2" w:rsidRDefault="00951AC2" w:rsidP="003D49E2">
            <w:pPr>
              <w:pStyle w:val="TableBodyTextsmall"/>
              <w:spacing w:before="60" w:after="60"/>
              <w:rPr>
                <w:rFonts w:cs="Arial"/>
                <w:sz w:val="20"/>
              </w:rPr>
            </w:pPr>
            <w:r>
              <w:rPr>
                <w:rFonts w:cs="Arial"/>
                <w:sz w:val="20"/>
              </w:rPr>
              <w:t>Yarra City Council</w:t>
            </w:r>
          </w:p>
        </w:tc>
        <w:tc>
          <w:tcPr>
            <w:tcW w:w="2693" w:type="dxa"/>
          </w:tcPr>
          <w:p w14:paraId="2E5CF221" w14:textId="77777777" w:rsidR="00951AC2" w:rsidRDefault="00951AC2" w:rsidP="003D49E2">
            <w:pPr>
              <w:pStyle w:val="TableBodyTextsmall"/>
              <w:spacing w:before="60" w:after="60"/>
              <w:rPr>
                <w:rFonts w:cs="Arial"/>
                <w:sz w:val="20"/>
              </w:rPr>
            </w:pPr>
            <w:r>
              <w:rPr>
                <w:rFonts w:cs="Arial"/>
                <w:sz w:val="20"/>
              </w:rPr>
              <w:t>Council - Inner Melbourne</w:t>
            </w:r>
          </w:p>
        </w:tc>
      </w:tr>
      <w:tr w:rsidR="00951AC2" w14:paraId="428DFBD5"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266F6E73" w14:textId="77777777" w:rsidR="00951AC2" w:rsidRDefault="00951AC2" w:rsidP="003D49E2">
            <w:pPr>
              <w:pStyle w:val="TableListNumber"/>
              <w:spacing w:before="60" w:after="60"/>
            </w:pPr>
          </w:p>
        </w:tc>
        <w:tc>
          <w:tcPr>
            <w:tcW w:w="5812" w:type="dxa"/>
          </w:tcPr>
          <w:p w14:paraId="1BED0793" w14:textId="77777777" w:rsidR="00951AC2" w:rsidRDefault="00951AC2" w:rsidP="003D49E2">
            <w:pPr>
              <w:pStyle w:val="TableBodyTextsmall"/>
              <w:spacing w:before="60" w:after="60"/>
              <w:rPr>
                <w:rFonts w:cs="Arial"/>
                <w:sz w:val="20"/>
              </w:rPr>
            </w:pPr>
            <w:r>
              <w:rPr>
                <w:rFonts w:cs="Arial"/>
                <w:sz w:val="20"/>
              </w:rPr>
              <w:t>Commission for Children and Young People</w:t>
            </w:r>
          </w:p>
        </w:tc>
        <w:tc>
          <w:tcPr>
            <w:tcW w:w="2693" w:type="dxa"/>
          </w:tcPr>
          <w:p w14:paraId="6F48450D" w14:textId="77777777" w:rsidR="00951AC2" w:rsidRDefault="00951AC2" w:rsidP="003D49E2">
            <w:pPr>
              <w:pStyle w:val="TableBodyTextsmall"/>
              <w:spacing w:before="60" w:after="60"/>
              <w:rPr>
                <w:rFonts w:cs="Arial"/>
                <w:sz w:val="20"/>
              </w:rPr>
            </w:pPr>
            <w:r>
              <w:rPr>
                <w:rFonts w:cs="Arial"/>
                <w:sz w:val="20"/>
              </w:rPr>
              <w:t>Agency – Small</w:t>
            </w:r>
          </w:p>
        </w:tc>
      </w:tr>
      <w:tr w:rsidR="00951AC2" w14:paraId="7D6B529C"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5C02FACF" w14:textId="77777777" w:rsidR="00951AC2" w:rsidRDefault="00951AC2" w:rsidP="003D49E2">
            <w:pPr>
              <w:pStyle w:val="TableListNumber"/>
              <w:spacing w:before="60" w:after="60"/>
            </w:pPr>
          </w:p>
        </w:tc>
        <w:tc>
          <w:tcPr>
            <w:tcW w:w="5812" w:type="dxa"/>
          </w:tcPr>
          <w:p w14:paraId="795CCEA2" w14:textId="77777777" w:rsidR="00951AC2" w:rsidRDefault="00951AC2" w:rsidP="003D49E2">
            <w:pPr>
              <w:pStyle w:val="TableBodyTextsmall"/>
              <w:spacing w:before="60" w:after="60"/>
              <w:rPr>
                <w:rFonts w:cs="Arial"/>
                <w:sz w:val="20"/>
              </w:rPr>
            </w:pPr>
            <w:r>
              <w:rPr>
                <w:rFonts w:cs="Arial"/>
                <w:sz w:val="20"/>
              </w:rPr>
              <w:t>Disability Services Commissioner</w:t>
            </w:r>
          </w:p>
        </w:tc>
        <w:tc>
          <w:tcPr>
            <w:tcW w:w="2693" w:type="dxa"/>
          </w:tcPr>
          <w:p w14:paraId="78700B38" w14:textId="77777777" w:rsidR="00951AC2" w:rsidRDefault="00951AC2" w:rsidP="003D49E2">
            <w:pPr>
              <w:pStyle w:val="TableBodyTextsmall"/>
              <w:spacing w:before="60" w:after="60"/>
              <w:rPr>
                <w:rFonts w:cs="Arial"/>
                <w:sz w:val="20"/>
              </w:rPr>
            </w:pPr>
            <w:r>
              <w:rPr>
                <w:rFonts w:cs="Arial"/>
                <w:sz w:val="20"/>
              </w:rPr>
              <w:t>Agency – Small</w:t>
            </w:r>
          </w:p>
        </w:tc>
      </w:tr>
      <w:tr w:rsidR="00951AC2" w14:paraId="292280B2"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194D20D6" w14:textId="77777777" w:rsidR="00951AC2" w:rsidRDefault="00951AC2" w:rsidP="003D49E2">
            <w:pPr>
              <w:pStyle w:val="TableListNumber"/>
              <w:spacing w:before="60" w:after="60"/>
            </w:pPr>
          </w:p>
        </w:tc>
        <w:tc>
          <w:tcPr>
            <w:tcW w:w="5812" w:type="dxa"/>
          </w:tcPr>
          <w:p w14:paraId="3EF17674" w14:textId="77777777" w:rsidR="00951AC2" w:rsidRDefault="00951AC2" w:rsidP="003D49E2">
            <w:pPr>
              <w:pStyle w:val="TableBodyTextsmall"/>
              <w:spacing w:before="60" w:after="60"/>
              <w:rPr>
                <w:rFonts w:cs="Arial"/>
                <w:sz w:val="20"/>
              </w:rPr>
            </w:pPr>
            <w:r>
              <w:rPr>
                <w:rFonts w:cs="Arial"/>
                <w:sz w:val="20"/>
              </w:rPr>
              <w:t>Independent Broad-based Anti-</w:t>
            </w:r>
            <w:proofErr w:type="gramStart"/>
            <w:r>
              <w:rPr>
                <w:rFonts w:cs="Arial"/>
                <w:sz w:val="20"/>
              </w:rPr>
              <w:t>corruption</w:t>
            </w:r>
            <w:proofErr w:type="gramEnd"/>
            <w:r>
              <w:rPr>
                <w:rFonts w:cs="Arial"/>
                <w:sz w:val="20"/>
              </w:rPr>
              <w:t xml:space="preserve"> Commission</w:t>
            </w:r>
          </w:p>
        </w:tc>
        <w:tc>
          <w:tcPr>
            <w:tcW w:w="2693" w:type="dxa"/>
          </w:tcPr>
          <w:p w14:paraId="505A0945" w14:textId="77777777" w:rsidR="00951AC2" w:rsidRDefault="00951AC2" w:rsidP="003D49E2">
            <w:pPr>
              <w:pStyle w:val="TableBodyTextsmall"/>
              <w:spacing w:before="60" w:after="60"/>
              <w:rPr>
                <w:rFonts w:cs="Arial"/>
                <w:sz w:val="20"/>
              </w:rPr>
            </w:pPr>
            <w:r>
              <w:rPr>
                <w:rFonts w:cs="Arial"/>
                <w:sz w:val="20"/>
              </w:rPr>
              <w:t>Agency – Small</w:t>
            </w:r>
          </w:p>
        </w:tc>
      </w:tr>
      <w:tr w:rsidR="00951AC2" w14:paraId="3E600E3D"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2BB00455" w14:textId="77777777" w:rsidR="00951AC2" w:rsidRDefault="00951AC2" w:rsidP="003D49E2">
            <w:pPr>
              <w:pStyle w:val="TableListNumber"/>
              <w:spacing w:before="60" w:after="60"/>
            </w:pPr>
          </w:p>
        </w:tc>
        <w:tc>
          <w:tcPr>
            <w:tcW w:w="5812" w:type="dxa"/>
          </w:tcPr>
          <w:p w14:paraId="1AA2F84A" w14:textId="77777777" w:rsidR="00951AC2" w:rsidRDefault="00951AC2" w:rsidP="003D49E2">
            <w:pPr>
              <w:pStyle w:val="TableBodyTextsmall"/>
              <w:spacing w:before="60" w:after="60"/>
              <w:rPr>
                <w:rFonts w:cs="Arial"/>
                <w:sz w:val="20"/>
              </w:rPr>
            </w:pPr>
            <w:r>
              <w:rPr>
                <w:rFonts w:cs="Arial"/>
                <w:sz w:val="20"/>
              </w:rPr>
              <w:t>Inspector-General for Emergency Management</w:t>
            </w:r>
          </w:p>
        </w:tc>
        <w:tc>
          <w:tcPr>
            <w:tcW w:w="2693" w:type="dxa"/>
          </w:tcPr>
          <w:p w14:paraId="791BE654" w14:textId="77777777" w:rsidR="00951AC2" w:rsidRDefault="00951AC2" w:rsidP="003D49E2">
            <w:pPr>
              <w:pStyle w:val="TableBodyTextsmall"/>
              <w:spacing w:before="60" w:after="60"/>
              <w:rPr>
                <w:rFonts w:cs="Arial"/>
                <w:sz w:val="20"/>
              </w:rPr>
            </w:pPr>
            <w:r>
              <w:rPr>
                <w:rFonts w:cs="Arial"/>
                <w:sz w:val="20"/>
              </w:rPr>
              <w:t>Agency – Small</w:t>
            </w:r>
          </w:p>
        </w:tc>
      </w:tr>
      <w:tr w:rsidR="00951AC2" w14:paraId="2D683E6C"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060F1F64" w14:textId="77777777" w:rsidR="00951AC2" w:rsidRDefault="00951AC2" w:rsidP="003D49E2">
            <w:pPr>
              <w:pStyle w:val="TableListNumber"/>
              <w:spacing w:before="60" w:after="60"/>
            </w:pPr>
          </w:p>
        </w:tc>
        <w:tc>
          <w:tcPr>
            <w:tcW w:w="5812" w:type="dxa"/>
          </w:tcPr>
          <w:p w14:paraId="0D340205" w14:textId="77777777" w:rsidR="00951AC2" w:rsidRDefault="00951AC2" w:rsidP="003D49E2">
            <w:pPr>
              <w:pStyle w:val="TableBodyTextsmall"/>
              <w:spacing w:before="60" w:after="60"/>
              <w:rPr>
                <w:rFonts w:cs="Arial"/>
                <w:sz w:val="20"/>
              </w:rPr>
            </w:pPr>
            <w:r>
              <w:rPr>
                <w:rFonts w:cs="Arial"/>
                <w:sz w:val="20"/>
              </w:rPr>
              <w:t>Office of the Public Advocate</w:t>
            </w:r>
          </w:p>
        </w:tc>
        <w:tc>
          <w:tcPr>
            <w:tcW w:w="2693" w:type="dxa"/>
          </w:tcPr>
          <w:p w14:paraId="1F3E2042" w14:textId="77777777" w:rsidR="00951AC2" w:rsidRDefault="00951AC2" w:rsidP="003D49E2">
            <w:pPr>
              <w:pStyle w:val="TableBodyTextsmall"/>
              <w:spacing w:before="60" w:after="60"/>
              <w:rPr>
                <w:rFonts w:cs="Arial"/>
                <w:sz w:val="20"/>
              </w:rPr>
            </w:pPr>
            <w:r>
              <w:rPr>
                <w:rFonts w:cs="Arial"/>
                <w:sz w:val="20"/>
              </w:rPr>
              <w:t>Agency – Small</w:t>
            </w:r>
          </w:p>
        </w:tc>
      </w:tr>
      <w:tr w:rsidR="00951AC2" w14:paraId="11A77DB8"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132F82CA" w14:textId="77777777" w:rsidR="00951AC2" w:rsidRDefault="00951AC2" w:rsidP="003D49E2">
            <w:pPr>
              <w:pStyle w:val="TableListNumber"/>
              <w:spacing w:before="60" w:after="60"/>
            </w:pPr>
          </w:p>
        </w:tc>
        <w:tc>
          <w:tcPr>
            <w:tcW w:w="5812" w:type="dxa"/>
          </w:tcPr>
          <w:p w14:paraId="20B932C9" w14:textId="77777777" w:rsidR="00951AC2" w:rsidRDefault="00951AC2" w:rsidP="003D49E2">
            <w:pPr>
              <w:pStyle w:val="TableBodyTextsmall"/>
              <w:spacing w:before="60" w:after="60"/>
              <w:rPr>
                <w:rFonts w:cs="Arial"/>
                <w:sz w:val="20"/>
              </w:rPr>
            </w:pPr>
            <w:r>
              <w:rPr>
                <w:rFonts w:cs="Arial"/>
                <w:sz w:val="20"/>
              </w:rPr>
              <w:t>Registry of Births, Deaths and Marriages Victoria</w:t>
            </w:r>
          </w:p>
        </w:tc>
        <w:tc>
          <w:tcPr>
            <w:tcW w:w="2693" w:type="dxa"/>
          </w:tcPr>
          <w:p w14:paraId="7BDE13B8" w14:textId="77777777" w:rsidR="00951AC2" w:rsidRDefault="00951AC2" w:rsidP="003D49E2">
            <w:pPr>
              <w:pStyle w:val="TableBodyTextsmall"/>
              <w:spacing w:before="60" w:after="60"/>
              <w:rPr>
                <w:rFonts w:cs="Arial"/>
                <w:sz w:val="20"/>
              </w:rPr>
            </w:pPr>
            <w:r>
              <w:rPr>
                <w:rFonts w:cs="Arial"/>
                <w:sz w:val="20"/>
              </w:rPr>
              <w:t>Agency – Small</w:t>
            </w:r>
          </w:p>
        </w:tc>
      </w:tr>
      <w:tr w:rsidR="00951AC2" w14:paraId="1872FF94"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618EC9B1" w14:textId="77777777" w:rsidR="00951AC2" w:rsidRDefault="00951AC2" w:rsidP="003D49E2">
            <w:pPr>
              <w:pStyle w:val="TableListNumber"/>
              <w:spacing w:before="60" w:after="60"/>
            </w:pPr>
          </w:p>
        </w:tc>
        <w:tc>
          <w:tcPr>
            <w:tcW w:w="5812" w:type="dxa"/>
          </w:tcPr>
          <w:p w14:paraId="3DDC80F0" w14:textId="77777777" w:rsidR="00951AC2" w:rsidRDefault="00951AC2" w:rsidP="003D49E2">
            <w:pPr>
              <w:pStyle w:val="TableBodyTextsmall"/>
              <w:spacing w:before="60" w:after="60"/>
              <w:rPr>
                <w:rFonts w:cs="Arial"/>
                <w:sz w:val="20"/>
              </w:rPr>
            </w:pPr>
            <w:r>
              <w:rPr>
                <w:rFonts w:cs="Arial"/>
                <w:sz w:val="20"/>
              </w:rPr>
              <w:t>Victorian Ombudsman</w:t>
            </w:r>
          </w:p>
        </w:tc>
        <w:tc>
          <w:tcPr>
            <w:tcW w:w="2693" w:type="dxa"/>
          </w:tcPr>
          <w:p w14:paraId="4F4B57C5" w14:textId="77777777" w:rsidR="00951AC2" w:rsidRDefault="00951AC2" w:rsidP="003D49E2">
            <w:pPr>
              <w:pStyle w:val="TableBodyTextsmall"/>
              <w:spacing w:before="60" w:after="60"/>
              <w:rPr>
                <w:rFonts w:cs="Arial"/>
                <w:sz w:val="20"/>
              </w:rPr>
            </w:pPr>
            <w:r>
              <w:rPr>
                <w:rFonts w:cs="Arial"/>
                <w:sz w:val="20"/>
              </w:rPr>
              <w:t>Agency – Small</w:t>
            </w:r>
          </w:p>
        </w:tc>
      </w:tr>
      <w:tr w:rsidR="00951AC2" w14:paraId="634CA223"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0EC39088" w14:textId="77777777" w:rsidR="00951AC2" w:rsidRDefault="00951AC2" w:rsidP="003D49E2">
            <w:pPr>
              <w:pStyle w:val="TableListNumber"/>
              <w:spacing w:before="60" w:after="60"/>
            </w:pPr>
          </w:p>
        </w:tc>
        <w:tc>
          <w:tcPr>
            <w:tcW w:w="5812" w:type="dxa"/>
          </w:tcPr>
          <w:p w14:paraId="7F8C7AFB" w14:textId="77777777" w:rsidR="00951AC2" w:rsidRDefault="00951AC2" w:rsidP="003D49E2">
            <w:pPr>
              <w:pStyle w:val="TableBodyTextsmall"/>
              <w:spacing w:before="60" w:after="60"/>
              <w:rPr>
                <w:rFonts w:cs="Arial"/>
                <w:color w:val="000000"/>
                <w:sz w:val="20"/>
              </w:rPr>
            </w:pPr>
            <w:r>
              <w:rPr>
                <w:rFonts w:cs="Arial"/>
                <w:color w:val="000000"/>
                <w:sz w:val="20"/>
              </w:rPr>
              <w:t>Victorian Public Sector Commission</w:t>
            </w:r>
          </w:p>
        </w:tc>
        <w:tc>
          <w:tcPr>
            <w:tcW w:w="2693" w:type="dxa"/>
          </w:tcPr>
          <w:p w14:paraId="4B56FD9F" w14:textId="77777777" w:rsidR="00951AC2" w:rsidRDefault="00951AC2" w:rsidP="003D49E2">
            <w:pPr>
              <w:pStyle w:val="TableBodyTextsmall"/>
              <w:spacing w:before="60" w:after="60"/>
              <w:rPr>
                <w:rFonts w:cs="Arial"/>
                <w:sz w:val="20"/>
              </w:rPr>
            </w:pPr>
            <w:r>
              <w:rPr>
                <w:rFonts w:cs="Arial"/>
                <w:sz w:val="20"/>
              </w:rPr>
              <w:t>Agency – Small</w:t>
            </w:r>
          </w:p>
        </w:tc>
      </w:tr>
      <w:tr w:rsidR="00951AC2" w14:paraId="0F74C741"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0DF50FB4" w14:textId="77777777" w:rsidR="00951AC2" w:rsidRDefault="00951AC2" w:rsidP="003D49E2">
            <w:pPr>
              <w:pStyle w:val="TableListNumber"/>
              <w:spacing w:before="60" w:after="60"/>
            </w:pPr>
          </w:p>
        </w:tc>
        <w:tc>
          <w:tcPr>
            <w:tcW w:w="5812" w:type="dxa"/>
          </w:tcPr>
          <w:p w14:paraId="0D6830F4" w14:textId="77777777" w:rsidR="00951AC2" w:rsidRDefault="00951AC2" w:rsidP="003D49E2">
            <w:pPr>
              <w:pStyle w:val="TableBodyTextsmall"/>
              <w:spacing w:before="60" w:after="60"/>
              <w:rPr>
                <w:rFonts w:cs="Arial"/>
                <w:sz w:val="20"/>
              </w:rPr>
            </w:pPr>
            <w:r>
              <w:rPr>
                <w:rFonts w:cs="Arial"/>
                <w:sz w:val="20"/>
              </w:rPr>
              <w:t>Office of the Victorian Information Commissioner</w:t>
            </w:r>
          </w:p>
        </w:tc>
        <w:tc>
          <w:tcPr>
            <w:tcW w:w="2693" w:type="dxa"/>
          </w:tcPr>
          <w:p w14:paraId="712ABBD5" w14:textId="77777777" w:rsidR="00951AC2" w:rsidRDefault="00951AC2" w:rsidP="003D49E2">
            <w:pPr>
              <w:pStyle w:val="TableBodyTextsmall"/>
              <w:spacing w:before="60" w:after="60"/>
              <w:rPr>
                <w:rFonts w:cs="Arial"/>
                <w:sz w:val="20"/>
              </w:rPr>
            </w:pPr>
            <w:r>
              <w:rPr>
                <w:rFonts w:cs="Arial"/>
                <w:sz w:val="20"/>
              </w:rPr>
              <w:t>Agency – Small</w:t>
            </w:r>
          </w:p>
        </w:tc>
      </w:tr>
      <w:tr w:rsidR="00951AC2" w14:paraId="2CFFF859"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0E0CB93F" w14:textId="77777777" w:rsidR="00951AC2" w:rsidRDefault="00951AC2" w:rsidP="003D49E2">
            <w:pPr>
              <w:pStyle w:val="TableListNumber"/>
              <w:spacing w:before="60" w:after="60"/>
            </w:pPr>
          </w:p>
        </w:tc>
        <w:tc>
          <w:tcPr>
            <w:tcW w:w="5812" w:type="dxa"/>
          </w:tcPr>
          <w:p w14:paraId="192B54F2" w14:textId="77777777" w:rsidR="00951AC2" w:rsidRDefault="00951AC2" w:rsidP="003D49E2">
            <w:pPr>
              <w:pStyle w:val="TableBodyTextsmall"/>
              <w:spacing w:before="60" w:after="60"/>
              <w:rPr>
                <w:rFonts w:cs="Arial"/>
                <w:sz w:val="20"/>
              </w:rPr>
            </w:pPr>
            <w:r>
              <w:rPr>
                <w:rFonts w:cs="Arial"/>
                <w:sz w:val="20"/>
              </w:rPr>
              <w:t>Victorian Multicultural Commission</w:t>
            </w:r>
          </w:p>
        </w:tc>
        <w:tc>
          <w:tcPr>
            <w:tcW w:w="2693" w:type="dxa"/>
          </w:tcPr>
          <w:p w14:paraId="2E667E17" w14:textId="77777777" w:rsidR="00951AC2" w:rsidRDefault="00951AC2" w:rsidP="003D49E2">
            <w:pPr>
              <w:pStyle w:val="TableBodyTextsmall"/>
              <w:spacing w:before="60" w:after="60"/>
              <w:rPr>
                <w:rFonts w:cs="Arial"/>
                <w:sz w:val="20"/>
              </w:rPr>
            </w:pPr>
            <w:r>
              <w:rPr>
                <w:rFonts w:cs="Arial"/>
                <w:sz w:val="20"/>
              </w:rPr>
              <w:t>Agency – Small</w:t>
            </w:r>
          </w:p>
        </w:tc>
      </w:tr>
      <w:tr w:rsidR="00951AC2" w14:paraId="05330938"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72E72673" w14:textId="77777777" w:rsidR="00951AC2" w:rsidRDefault="00951AC2" w:rsidP="003D49E2">
            <w:pPr>
              <w:pStyle w:val="TableListNumber"/>
              <w:spacing w:before="60" w:after="60"/>
            </w:pPr>
          </w:p>
        </w:tc>
        <w:tc>
          <w:tcPr>
            <w:tcW w:w="5812" w:type="dxa"/>
          </w:tcPr>
          <w:p w14:paraId="28BB0BDB" w14:textId="77777777" w:rsidR="00951AC2" w:rsidRDefault="00951AC2" w:rsidP="003D49E2">
            <w:pPr>
              <w:pStyle w:val="TableBodyTextsmall"/>
              <w:spacing w:before="60" w:after="60"/>
              <w:rPr>
                <w:rFonts w:cs="Arial"/>
                <w:sz w:val="20"/>
              </w:rPr>
            </w:pPr>
            <w:r>
              <w:rPr>
                <w:rFonts w:cs="Arial"/>
                <w:sz w:val="20"/>
              </w:rPr>
              <w:t>Consumer Affairs Victoria</w:t>
            </w:r>
          </w:p>
        </w:tc>
        <w:tc>
          <w:tcPr>
            <w:tcW w:w="2693" w:type="dxa"/>
          </w:tcPr>
          <w:p w14:paraId="2AC290A0" w14:textId="77777777" w:rsidR="00951AC2" w:rsidRDefault="00951AC2" w:rsidP="003D49E2">
            <w:pPr>
              <w:pStyle w:val="TableBodyTextsmall"/>
              <w:spacing w:before="60" w:after="60"/>
              <w:rPr>
                <w:rFonts w:cs="Arial"/>
                <w:sz w:val="20"/>
              </w:rPr>
            </w:pPr>
            <w:r>
              <w:rPr>
                <w:rFonts w:cs="Arial"/>
                <w:sz w:val="20"/>
              </w:rPr>
              <w:t>Agency – Large</w:t>
            </w:r>
          </w:p>
        </w:tc>
      </w:tr>
      <w:tr w:rsidR="00951AC2" w14:paraId="56A0B59E"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11F55A93" w14:textId="77777777" w:rsidR="00951AC2" w:rsidRDefault="00951AC2" w:rsidP="003D49E2">
            <w:pPr>
              <w:pStyle w:val="TableListNumber"/>
              <w:spacing w:before="60" w:after="60"/>
            </w:pPr>
          </w:p>
        </w:tc>
        <w:tc>
          <w:tcPr>
            <w:tcW w:w="5812" w:type="dxa"/>
          </w:tcPr>
          <w:p w14:paraId="0CA079D8" w14:textId="77777777" w:rsidR="00951AC2" w:rsidRDefault="00951AC2" w:rsidP="003D49E2">
            <w:pPr>
              <w:pStyle w:val="TableBodyTextsmall"/>
              <w:spacing w:before="60" w:after="60"/>
              <w:rPr>
                <w:rFonts w:cs="Arial"/>
                <w:sz w:val="20"/>
              </w:rPr>
            </w:pPr>
            <w:r>
              <w:rPr>
                <w:rFonts w:cs="Arial"/>
                <w:sz w:val="20"/>
              </w:rPr>
              <w:t>Court Services Victoria</w:t>
            </w:r>
          </w:p>
        </w:tc>
        <w:tc>
          <w:tcPr>
            <w:tcW w:w="2693" w:type="dxa"/>
          </w:tcPr>
          <w:p w14:paraId="036F0F0A" w14:textId="77777777" w:rsidR="00951AC2" w:rsidRDefault="00951AC2" w:rsidP="003D49E2">
            <w:pPr>
              <w:pStyle w:val="TableBodyTextsmall"/>
              <w:spacing w:before="60" w:after="60"/>
              <w:rPr>
                <w:rFonts w:cs="Arial"/>
                <w:sz w:val="20"/>
              </w:rPr>
            </w:pPr>
            <w:r>
              <w:rPr>
                <w:rFonts w:cs="Arial"/>
                <w:sz w:val="20"/>
              </w:rPr>
              <w:t>Agency – Large</w:t>
            </w:r>
          </w:p>
        </w:tc>
      </w:tr>
      <w:tr w:rsidR="00951AC2" w14:paraId="49DF54F0"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6E645712" w14:textId="77777777" w:rsidR="00951AC2" w:rsidRDefault="00951AC2" w:rsidP="003D49E2">
            <w:pPr>
              <w:pStyle w:val="TableListNumber"/>
              <w:spacing w:before="60" w:after="60"/>
            </w:pPr>
          </w:p>
        </w:tc>
        <w:tc>
          <w:tcPr>
            <w:tcW w:w="5812" w:type="dxa"/>
          </w:tcPr>
          <w:p w14:paraId="1A6D443A" w14:textId="77777777" w:rsidR="00951AC2" w:rsidRDefault="00951AC2" w:rsidP="003D49E2">
            <w:pPr>
              <w:pStyle w:val="TableBodyTextsmall"/>
              <w:spacing w:before="60" w:after="60"/>
              <w:rPr>
                <w:rFonts w:cs="Arial"/>
                <w:sz w:val="20"/>
              </w:rPr>
            </w:pPr>
            <w:r>
              <w:rPr>
                <w:rFonts w:cs="Arial"/>
                <w:sz w:val="20"/>
              </w:rPr>
              <w:t>Parks Victoria</w:t>
            </w:r>
          </w:p>
        </w:tc>
        <w:tc>
          <w:tcPr>
            <w:tcW w:w="2693" w:type="dxa"/>
          </w:tcPr>
          <w:p w14:paraId="6CDF341E" w14:textId="77777777" w:rsidR="00951AC2" w:rsidRDefault="00951AC2" w:rsidP="003D49E2">
            <w:pPr>
              <w:pStyle w:val="TableBodyTextsmall"/>
              <w:spacing w:before="60" w:after="60"/>
              <w:rPr>
                <w:rFonts w:cs="Arial"/>
                <w:sz w:val="20"/>
              </w:rPr>
            </w:pPr>
            <w:r>
              <w:rPr>
                <w:rFonts w:cs="Arial"/>
                <w:sz w:val="20"/>
              </w:rPr>
              <w:t>Agency – Large</w:t>
            </w:r>
          </w:p>
        </w:tc>
      </w:tr>
      <w:tr w:rsidR="00951AC2" w14:paraId="52AD4C97"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17CA66B6" w14:textId="77777777" w:rsidR="00951AC2" w:rsidRDefault="00951AC2" w:rsidP="003D49E2">
            <w:pPr>
              <w:pStyle w:val="TableListNumber"/>
              <w:spacing w:before="60" w:after="60"/>
            </w:pPr>
          </w:p>
        </w:tc>
        <w:tc>
          <w:tcPr>
            <w:tcW w:w="5812" w:type="dxa"/>
          </w:tcPr>
          <w:p w14:paraId="4AD320B2" w14:textId="77777777" w:rsidR="00951AC2" w:rsidRDefault="00951AC2" w:rsidP="003D49E2">
            <w:pPr>
              <w:pStyle w:val="TableBodyTextsmall"/>
              <w:spacing w:before="60" w:after="60"/>
              <w:rPr>
                <w:rFonts w:cs="Arial"/>
                <w:color w:val="000000"/>
                <w:sz w:val="20"/>
              </w:rPr>
            </w:pPr>
            <w:r>
              <w:rPr>
                <w:rFonts w:cs="Arial"/>
                <w:color w:val="000000"/>
                <w:sz w:val="20"/>
              </w:rPr>
              <w:t xml:space="preserve">Peter </w:t>
            </w:r>
            <w:proofErr w:type="spellStart"/>
            <w:r>
              <w:rPr>
                <w:rFonts w:cs="Arial"/>
                <w:color w:val="000000"/>
                <w:sz w:val="20"/>
              </w:rPr>
              <w:t>MacCallum</w:t>
            </w:r>
            <w:proofErr w:type="spellEnd"/>
            <w:r>
              <w:rPr>
                <w:rFonts w:cs="Arial"/>
                <w:color w:val="000000"/>
                <w:sz w:val="20"/>
              </w:rPr>
              <w:t xml:space="preserve"> Cancer Centre</w:t>
            </w:r>
          </w:p>
        </w:tc>
        <w:tc>
          <w:tcPr>
            <w:tcW w:w="2693" w:type="dxa"/>
          </w:tcPr>
          <w:p w14:paraId="209A1892" w14:textId="77777777" w:rsidR="00951AC2" w:rsidRDefault="00951AC2" w:rsidP="003D49E2">
            <w:pPr>
              <w:pStyle w:val="TableBodyTextsmall"/>
              <w:spacing w:before="60" w:after="60"/>
              <w:rPr>
                <w:rFonts w:cs="Arial"/>
                <w:sz w:val="20"/>
              </w:rPr>
            </w:pPr>
            <w:r>
              <w:rPr>
                <w:rFonts w:cs="Arial"/>
                <w:sz w:val="20"/>
              </w:rPr>
              <w:t>Agency – Large</w:t>
            </w:r>
          </w:p>
        </w:tc>
      </w:tr>
      <w:tr w:rsidR="00951AC2" w14:paraId="12B9B9D6"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5D60157F" w14:textId="77777777" w:rsidR="00951AC2" w:rsidRDefault="00951AC2" w:rsidP="003D49E2">
            <w:pPr>
              <w:pStyle w:val="TableListNumber"/>
              <w:spacing w:before="60" w:after="60"/>
            </w:pPr>
          </w:p>
        </w:tc>
        <w:tc>
          <w:tcPr>
            <w:tcW w:w="5812" w:type="dxa"/>
          </w:tcPr>
          <w:p w14:paraId="4A257E68" w14:textId="77777777" w:rsidR="00951AC2" w:rsidRDefault="00951AC2" w:rsidP="003D49E2">
            <w:pPr>
              <w:pStyle w:val="TableBodyTextsmall"/>
              <w:spacing w:before="60" w:after="60"/>
              <w:rPr>
                <w:rFonts w:cs="Arial"/>
                <w:color w:val="000000"/>
                <w:sz w:val="20"/>
              </w:rPr>
            </w:pPr>
            <w:r>
              <w:rPr>
                <w:rFonts w:cs="Arial"/>
                <w:color w:val="000000"/>
                <w:sz w:val="20"/>
              </w:rPr>
              <w:t>Public Transport Victoria</w:t>
            </w:r>
          </w:p>
        </w:tc>
        <w:tc>
          <w:tcPr>
            <w:tcW w:w="2693" w:type="dxa"/>
          </w:tcPr>
          <w:p w14:paraId="1B6F2A62" w14:textId="77777777" w:rsidR="00951AC2" w:rsidRDefault="00951AC2" w:rsidP="003D49E2">
            <w:pPr>
              <w:pStyle w:val="TableBodyTextsmall"/>
              <w:spacing w:before="60" w:after="60"/>
              <w:rPr>
                <w:rFonts w:cs="Arial"/>
                <w:sz w:val="20"/>
              </w:rPr>
            </w:pPr>
            <w:r>
              <w:rPr>
                <w:rFonts w:cs="Arial"/>
                <w:sz w:val="20"/>
              </w:rPr>
              <w:t>Agency – Large</w:t>
            </w:r>
          </w:p>
        </w:tc>
      </w:tr>
      <w:tr w:rsidR="00951AC2" w14:paraId="53DDE90E"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7A1AFE1C" w14:textId="77777777" w:rsidR="00951AC2" w:rsidRDefault="00951AC2" w:rsidP="003D49E2">
            <w:pPr>
              <w:pStyle w:val="TableListNumber"/>
              <w:spacing w:before="60" w:after="60"/>
            </w:pPr>
          </w:p>
        </w:tc>
        <w:tc>
          <w:tcPr>
            <w:tcW w:w="5812" w:type="dxa"/>
          </w:tcPr>
          <w:p w14:paraId="7893814A" w14:textId="77777777" w:rsidR="00951AC2" w:rsidRDefault="00951AC2" w:rsidP="003D49E2">
            <w:pPr>
              <w:pStyle w:val="TableBodyTextsmall"/>
              <w:spacing w:before="60" w:after="60"/>
              <w:rPr>
                <w:rFonts w:cs="Arial"/>
                <w:color w:val="000000"/>
                <w:sz w:val="20"/>
              </w:rPr>
            </w:pPr>
            <w:r>
              <w:rPr>
                <w:rFonts w:cs="Arial"/>
                <w:color w:val="000000"/>
                <w:sz w:val="20"/>
              </w:rPr>
              <w:t>Royal Children’s Hospital</w:t>
            </w:r>
          </w:p>
        </w:tc>
        <w:tc>
          <w:tcPr>
            <w:tcW w:w="2693" w:type="dxa"/>
          </w:tcPr>
          <w:p w14:paraId="4DD3DD4E" w14:textId="77777777" w:rsidR="00951AC2" w:rsidRDefault="00951AC2" w:rsidP="003D49E2">
            <w:pPr>
              <w:pStyle w:val="TableBodyTextsmall"/>
              <w:spacing w:before="60" w:after="60"/>
              <w:rPr>
                <w:rFonts w:cs="Arial"/>
                <w:sz w:val="20"/>
              </w:rPr>
            </w:pPr>
            <w:r>
              <w:rPr>
                <w:rFonts w:cs="Arial"/>
                <w:sz w:val="20"/>
              </w:rPr>
              <w:t>Agency – Large</w:t>
            </w:r>
          </w:p>
        </w:tc>
      </w:tr>
      <w:tr w:rsidR="00951AC2" w14:paraId="1BFA9030"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03429143" w14:textId="77777777" w:rsidR="00951AC2" w:rsidRDefault="00951AC2" w:rsidP="003D49E2">
            <w:pPr>
              <w:pStyle w:val="TableListNumber"/>
              <w:spacing w:before="60" w:after="60"/>
            </w:pPr>
          </w:p>
        </w:tc>
        <w:tc>
          <w:tcPr>
            <w:tcW w:w="5812" w:type="dxa"/>
          </w:tcPr>
          <w:p w14:paraId="2BCB5C48" w14:textId="77777777" w:rsidR="00951AC2" w:rsidRDefault="00951AC2" w:rsidP="003D49E2">
            <w:pPr>
              <w:pStyle w:val="TableBodyTextsmall"/>
              <w:spacing w:before="60" w:after="60"/>
              <w:rPr>
                <w:rFonts w:cs="Arial"/>
                <w:color w:val="000000"/>
                <w:sz w:val="20"/>
              </w:rPr>
            </w:pPr>
            <w:r>
              <w:rPr>
                <w:rFonts w:cs="Arial"/>
                <w:color w:val="000000"/>
                <w:sz w:val="20"/>
              </w:rPr>
              <w:t>State Trustees Limited</w:t>
            </w:r>
          </w:p>
        </w:tc>
        <w:tc>
          <w:tcPr>
            <w:tcW w:w="2693" w:type="dxa"/>
          </w:tcPr>
          <w:p w14:paraId="339FFEB1" w14:textId="77777777" w:rsidR="00951AC2" w:rsidRDefault="00951AC2" w:rsidP="003D49E2">
            <w:pPr>
              <w:pStyle w:val="TableBodyTextsmall"/>
              <w:spacing w:before="60" w:after="60"/>
              <w:rPr>
                <w:rFonts w:cs="Arial"/>
                <w:sz w:val="20"/>
              </w:rPr>
            </w:pPr>
            <w:r>
              <w:rPr>
                <w:rFonts w:cs="Arial"/>
                <w:sz w:val="20"/>
              </w:rPr>
              <w:t>Agency – Large</w:t>
            </w:r>
          </w:p>
        </w:tc>
      </w:tr>
      <w:tr w:rsidR="00951AC2" w14:paraId="7137EEF8"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767A4AA4" w14:textId="77777777" w:rsidR="00951AC2" w:rsidRDefault="00951AC2" w:rsidP="003D49E2">
            <w:pPr>
              <w:pStyle w:val="TableListNumber"/>
              <w:spacing w:before="60" w:after="60"/>
            </w:pPr>
          </w:p>
        </w:tc>
        <w:tc>
          <w:tcPr>
            <w:tcW w:w="5812" w:type="dxa"/>
          </w:tcPr>
          <w:p w14:paraId="4C8E612D" w14:textId="77777777" w:rsidR="00951AC2" w:rsidRDefault="00951AC2" w:rsidP="003D49E2">
            <w:pPr>
              <w:pStyle w:val="TableBodyTextsmall"/>
              <w:spacing w:before="60" w:after="60"/>
              <w:rPr>
                <w:rFonts w:cs="Arial"/>
                <w:sz w:val="20"/>
              </w:rPr>
            </w:pPr>
            <w:r>
              <w:rPr>
                <w:rFonts w:cs="Arial"/>
                <w:sz w:val="20"/>
              </w:rPr>
              <w:t>Victoria Legal Aid</w:t>
            </w:r>
          </w:p>
        </w:tc>
        <w:tc>
          <w:tcPr>
            <w:tcW w:w="2693" w:type="dxa"/>
          </w:tcPr>
          <w:p w14:paraId="0D32CEE5" w14:textId="77777777" w:rsidR="00951AC2" w:rsidRDefault="00951AC2" w:rsidP="003D49E2">
            <w:pPr>
              <w:pStyle w:val="TableBodyTextsmall"/>
              <w:spacing w:before="60" w:after="60"/>
              <w:rPr>
                <w:rFonts w:cs="Arial"/>
                <w:sz w:val="20"/>
              </w:rPr>
            </w:pPr>
            <w:r>
              <w:rPr>
                <w:rFonts w:cs="Arial"/>
                <w:sz w:val="20"/>
              </w:rPr>
              <w:t>Agency – Large</w:t>
            </w:r>
          </w:p>
        </w:tc>
      </w:tr>
      <w:tr w:rsidR="00951AC2" w14:paraId="2D530831"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09D7A0C0" w14:textId="77777777" w:rsidR="00951AC2" w:rsidRDefault="00951AC2" w:rsidP="003D49E2">
            <w:pPr>
              <w:pStyle w:val="TableListNumber"/>
              <w:spacing w:before="60" w:after="60"/>
            </w:pPr>
          </w:p>
        </w:tc>
        <w:tc>
          <w:tcPr>
            <w:tcW w:w="5812" w:type="dxa"/>
          </w:tcPr>
          <w:p w14:paraId="303E9495" w14:textId="77777777" w:rsidR="00951AC2" w:rsidRDefault="00951AC2" w:rsidP="003D49E2">
            <w:pPr>
              <w:pStyle w:val="TableBodyTextsmall"/>
              <w:spacing w:before="60" w:after="60"/>
              <w:rPr>
                <w:rFonts w:cs="Arial"/>
                <w:sz w:val="20"/>
              </w:rPr>
            </w:pPr>
            <w:r>
              <w:rPr>
                <w:rFonts w:cs="Arial"/>
                <w:sz w:val="20"/>
              </w:rPr>
              <w:t>Department of Education and Training</w:t>
            </w:r>
          </w:p>
        </w:tc>
        <w:tc>
          <w:tcPr>
            <w:tcW w:w="2693" w:type="dxa"/>
          </w:tcPr>
          <w:p w14:paraId="6BD6DFC2" w14:textId="77777777" w:rsidR="00951AC2" w:rsidRDefault="00951AC2" w:rsidP="003D49E2">
            <w:pPr>
              <w:pStyle w:val="TableBodyTextsmall"/>
              <w:spacing w:before="60" w:after="60"/>
              <w:rPr>
                <w:rFonts w:cs="Arial"/>
                <w:sz w:val="20"/>
              </w:rPr>
            </w:pPr>
            <w:r>
              <w:rPr>
                <w:rFonts w:cs="Arial"/>
                <w:sz w:val="20"/>
              </w:rPr>
              <w:t>Department</w:t>
            </w:r>
          </w:p>
        </w:tc>
      </w:tr>
      <w:tr w:rsidR="00951AC2" w14:paraId="45D6E589"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656E1D3C" w14:textId="77777777" w:rsidR="00951AC2" w:rsidRDefault="00951AC2" w:rsidP="003D49E2">
            <w:pPr>
              <w:pStyle w:val="TableListNumber"/>
              <w:spacing w:before="60" w:after="60"/>
            </w:pPr>
          </w:p>
        </w:tc>
        <w:tc>
          <w:tcPr>
            <w:tcW w:w="5812" w:type="dxa"/>
          </w:tcPr>
          <w:p w14:paraId="4C64740B" w14:textId="77777777" w:rsidR="00951AC2" w:rsidRDefault="00951AC2" w:rsidP="003D49E2">
            <w:pPr>
              <w:pStyle w:val="TableBodyTextsmall"/>
              <w:spacing w:before="60" w:after="60"/>
              <w:rPr>
                <w:rFonts w:cs="Arial"/>
                <w:sz w:val="20"/>
              </w:rPr>
            </w:pPr>
            <w:r>
              <w:rPr>
                <w:rFonts w:cs="Arial"/>
                <w:sz w:val="20"/>
              </w:rPr>
              <w:t>Department of Justice and Community Safety</w:t>
            </w:r>
          </w:p>
        </w:tc>
        <w:tc>
          <w:tcPr>
            <w:tcW w:w="2693" w:type="dxa"/>
          </w:tcPr>
          <w:p w14:paraId="44C49D64" w14:textId="77777777" w:rsidR="00951AC2" w:rsidRDefault="00951AC2" w:rsidP="003D49E2">
            <w:pPr>
              <w:pStyle w:val="TableBodyTextsmall"/>
              <w:spacing w:before="60" w:after="60"/>
              <w:rPr>
                <w:rFonts w:cs="Arial"/>
                <w:sz w:val="20"/>
              </w:rPr>
            </w:pPr>
            <w:r>
              <w:rPr>
                <w:rFonts w:cs="Arial"/>
                <w:sz w:val="20"/>
              </w:rPr>
              <w:t>Department</w:t>
            </w:r>
          </w:p>
        </w:tc>
      </w:tr>
      <w:tr w:rsidR="00951AC2" w14:paraId="4ED2502B"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60309B4C" w14:textId="77777777" w:rsidR="00951AC2" w:rsidRDefault="00951AC2" w:rsidP="003D49E2">
            <w:pPr>
              <w:pStyle w:val="TableListNumber"/>
              <w:spacing w:before="60" w:after="60"/>
            </w:pPr>
          </w:p>
        </w:tc>
        <w:tc>
          <w:tcPr>
            <w:tcW w:w="5812" w:type="dxa"/>
          </w:tcPr>
          <w:p w14:paraId="43C2AD58" w14:textId="77777777" w:rsidR="00951AC2" w:rsidRDefault="00951AC2" w:rsidP="003D49E2">
            <w:pPr>
              <w:pStyle w:val="TableBodyTextsmall"/>
              <w:spacing w:before="60" w:after="60"/>
              <w:rPr>
                <w:rFonts w:cs="Arial"/>
                <w:sz w:val="20"/>
              </w:rPr>
            </w:pPr>
            <w:r>
              <w:rPr>
                <w:rFonts w:cs="Arial"/>
                <w:sz w:val="20"/>
              </w:rPr>
              <w:t>Department of Premier and Cabinet</w:t>
            </w:r>
          </w:p>
        </w:tc>
        <w:tc>
          <w:tcPr>
            <w:tcW w:w="2693" w:type="dxa"/>
          </w:tcPr>
          <w:p w14:paraId="1E80D0AD" w14:textId="77777777" w:rsidR="00951AC2" w:rsidRDefault="00951AC2" w:rsidP="003D49E2">
            <w:pPr>
              <w:pStyle w:val="TableBodyTextsmall"/>
              <w:spacing w:before="60" w:after="60"/>
            </w:pPr>
            <w:r w:rsidRPr="0000228A">
              <w:rPr>
                <w:rFonts w:cs="Arial"/>
                <w:sz w:val="20"/>
              </w:rPr>
              <w:t>Department</w:t>
            </w:r>
          </w:p>
        </w:tc>
      </w:tr>
      <w:tr w:rsidR="00951AC2" w14:paraId="084A7307"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755A5ADC" w14:textId="77777777" w:rsidR="00951AC2" w:rsidRDefault="00951AC2" w:rsidP="003D49E2">
            <w:pPr>
              <w:pStyle w:val="TableListNumber"/>
              <w:spacing w:before="60" w:after="60"/>
            </w:pPr>
          </w:p>
        </w:tc>
        <w:tc>
          <w:tcPr>
            <w:tcW w:w="5812" w:type="dxa"/>
          </w:tcPr>
          <w:p w14:paraId="265C9093" w14:textId="77777777" w:rsidR="00951AC2" w:rsidRDefault="00951AC2" w:rsidP="003D49E2">
            <w:pPr>
              <w:pStyle w:val="TableBodyTextsmall"/>
              <w:spacing w:before="60" w:after="60"/>
              <w:rPr>
                <w:rFonts w:cs="Arial"/>
                <w:color w:val="000000"/>
                <w:sz w:val="20"/>
              </w:rPr>
            </w:pPr>
            <w:r>
              <w:rPr>
                <w:rFonts w:cs="Arial"/>
                <w:color w:val="000000"/>
                <w:sz w:val="20"/>
              </w:rPr>
              <w:t>Department of Health and Human Services, Children and Families division</w:t>
            </w:r>
          </w:p>
        </w:tc>
        <w:tc>
          <w:tcPr>
            <w:tcW w:w="2693" w:type="dxa"/>
          </w:tcPr>
          <w:p w14:paraId="48232B8C" w14:textId="77777777" w:rsidR="00951AC2" w:rsidRDefault="00951AC2" w:rsidP="003D49E2">
            <w:pPr>
              <w:pStyle w:val="TableBodyTextsmall"/>
              <w:spacing w:before="60" w:after="60"/>
            </w:pPr>
            <w:r w:rsidRPr="0000228A">
              <w:rPr>
                <w:rFonts w:cs="Arial"/>
                <w:sz w:val="20"/>
              </w:rPr>
              <w:t>Department</w:t>
            </w:r>
          </w:p>
        </w:tc>
      </w:tr>
      <w:tr w:rsidR="00951AC2" w14:paraId="35E23684"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2B2B8CDD" w14:textId="77777777" w:rsidR="00951AC2" w:rsidRDefault="00951AC2" w:rsidP="003D49E2">
            <w:pPr>
              <w:pStyle w:val="TableListNumber"/>
              <w:spacing w:before="60" w:after="60"/>
            </w:pPr>
          </w:p>
        </w:tc>
        <w:tc>
          <w:tcPr>
            <w:tcW w:w="5812" w:type="dxa"/>
          </w:tcPr>
          <w:p w14:paraId="40C7D267" w14:textId="77777777" w:rsidR="00951AC2" w:rsidRDefault="00951AC2" w:rsidP="003D49E2">
            <w:pPr>
              <w:pStyle w:val="TableBodyTextsmall"/>
              <w:spacing w:before="60" w:after="60"/>
              <w:rPr>
                <w:rFonts w:cs="Arial"/>
                <w:color w:val="000000"/>
                <w:sz w:val="20"/>
              </w:rPr>
            </w:pPr>
            <w:r>
              <w:rPr>
                <w:rFonts w:cs="Arial"/>
                <w:color w:val="000000"/>
                <w:sz w:val="20"/>
              </w:rPr>
              <w:t>Department of Health and Human Services, Community Services Operations division</w:t>
            </w:r>
          </w:p>
        </w:tc>
        <w:tc>
          <w:tcPr>
            <w:tcW w:w="2693" w:type="dxa"/>
          </w:tcPr>
          <w:p w14:paraId="4CDF8445" w14:textId="77777777" w:rsidR="00951AC2" w:rsidRDefault="00951AC2" w:rsidP="003D49E2">
            <w:pPr>
              <w:pStyle w:val="TableBodyTextsmall"/>
              <w:spacing w:before="60" w:after="60"/>
            </w:pPr>
            <w:r w:rsidRPr="0000228A">
              <w:rPr>
                <w:rFonts w:cs="Arial"/>
                <w:sz w:val="20"/>
              </w:rPr>
              <w:t>Department</w:t>
            </w:r>
          </w:p>
        </w:tc>
      </w:tr>
      <w:tr w:rsidR="00951AC2" w14:paraId="01737BD2"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42522B90" w14:textId="77777777" w:rsidR="00951AC2" w:rsidRDefault="00951AC2" w:rsidP="003D49E2">
            <w:pPr>
              <w:pStyle w:val="TableListNumber"/>
              <w:spacing w:before="60" w:after="60"/>
            </w:pPr>
          </w:p>
        </w:tc>
        <w:tc>
          <w:tcPr>
            <w:tcW w:w="5812" w:type="dxa"/>
          </w:tcPr>
          <w:p w14:paraId="655E0355" w14:textId="77777777" w:rsidR="00951AC2" w:rsidRDefault="00951AC2" w:rsidP="003D49E2">
            <w:pPr>
              <w:pStyle w:val="TableBodyTextsmall"/>
              <w:spacing w:before="60" w:after="60"/>
              <w:rPr>
                <w:rFonts w:cs="Arial"/>
                <w:color w:val="000000"/>
                <w:sz w:val="20"/>
              </w:rPr>
            </w:pPr>
            <w:r>
              <w:rPr>
                <w:rFonts w:cs="Arial"/>
                <w:color w:val="000000"/>
                <w:sz w:val="20"/>
              </w:rPr>
              <w:t>Department of Health and Human Services, Housing and Infrastructure division</w:t>
            </w:r>
          </w:p>
        </w:tc>
        <w:tc>
          <w:tcPr>
            <w:tcW w:w="2693" w:type="dxa"/>
          </w:tcPr>
          <w:p w14:paraId="62B2D3C8" w14:textId="77777777" w:rsidR="00951AC2" w:rsidRDefault="00951AC2" w:rsidP="003D49E2">
            <w:pPr>
              <w:pStyle w:val="TableBodyTextsmall"/>
              <w:spacing w:before="60" w:after="60"/>
            </w:pPr>
            <w:r w:rsidRPr="0000228A">
              <w:rPr>
                <w:rFonts w:cs="Arial"/>
                <w:sz w:val="20"/>
              </w:rPr>
              <w:t>Department</w:t>
            </w:r>
          </w:p>
        </w:tc>
      </w:tr>
      <w:tr w:rsidR="00951AC2" w14:paraId="6C0E7908"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4661EACD" w14:textId="77777777" w:rsidR="00951AC2" w:rsidRDefault="00951AC2" w:rsidP="003D49E2">
            <w:pPr>
              <w:pStyle w:val="TableListNumber"/>
              <w:spacing w:before="60" w:after="60"/>
            </w:pPr>
          </w:p>
        </w:tc>
        <w:tc>
          <w:tcPr>
            <w:tcW w:w="5812" w:type="dxa"/>
          </w:tcPr>
          <w:p w14:paraId="35798734" w14:textId="77777777" w:rsidR="00951AC2" w:rsidRDefault="00951AC2" w:rsidP="003D49E2">
            <w:pPr>
              <w:pStyle w:val="TableBodyTextsmall"/>
              <w:spacing w:before="60" w:after="60"/>
              <w:rPr>
                <w:rFonts w:cs="Arial"/>
                <w:color w:val="000000"/>
                <w:sz w:val="20"/>
              </w:rPr>
            </w:pPr>
            <w:r>
              <w:rPr>
                <w:rFonts w:cs="Arial"/>
                <w:color w:val="000000"/>
                <w:sz w:val="20"/>
              </w:rPr>
              <w:t>Department of Health and Human Services, Regulation, Health Protection and Emergency Management division</w:t>
            </w:r>
          </w:p>
        </w:tc>
        <w:tc>
          <w:tcPr>
            <w:tcW w:w="2693" w:type="dxa"/>
          </w:tcPr>
          <w:p w14:paraId="124494D5" w14:textId="77777777" w:rsidR="00951AC2" w:rsidRDefault="00951AC2" w:rsidP="003D49E2">
            <w:pPr>
              <w:pStyle w:val="TableBodyTextsmall"/>
              <w:spacing w:before="60" w:after="60"/>
            </w:pPr>
            <w:r w:rsidRPr="0000228A">
              <w:rPr>
                <w:rFonts w:cs="Arial"/>
                <w:sz w:val="20"/>
              </w:rPr>
              <w:t>Department</w:t>
            </w:r>
          </w:p>
        </w:tc>
      </w:tr>
    </w:tbl>
    <w:p w14:paraId="024616F4" w14:textId="77777777" w:rsidR="00951AC2" w:rsidRDefault="00951AC2" w:rsidP="00951AC2">
      <w:pPr>
        <w:pStyle w:val="BodyText"/>
      </w:pPr>
    </w:p>
    <w:p w14:paraId="55EB499C" w14:textId="77777777" w:rsidR="00951AC2" w:rsidRDefault="00951AC2" w:rsidP="00951AC2">
      <w:pPr>
        <w:spacing w:before="0" w:after="200" w:line="276" w:lineRule="auto"/>
      </w:pPr>
      <w:r>
        <w:br w:type="page"/>
      </w:r>
    </w:p>
    <w:p w14:paraId="3E73BDA4" w14:textId="77777777" w:rsidR="00951AC2" w:rsidRDefault="00951AC2" w:rsidP="002F3427">
      <w:pPr>
        <w:pStyle w:val="AppendixHeading1"/>
        <w:numPr>
          <w:ilvl w:val="0"/>
          <w:numId w:val="55"/>
        </w:numPr>
      </w:pPr>
      <w:bookmarkStart w:id="134" w:name="_Toc14345904"/>
      <w:r>
        <w:lastRenderedPageBreak/>
        <w:t>List of community organisations</w:t>
      </w:r>
      <w:bookmarkEnd w:id="134"/>
    </w:p>
    <w:p w14:paraId="793F107F" w14:textId="77777777" w:rsidR="00951AC2" w:rsidRPr="009C13D2" w:rsidRDefault="00951AC2" w:rsidP="00951AC2">
      <w:pPr>
        <w:pStyle w:val="BodyText"/>
        <w:rPr>
          <w:color w:val="000000" w:themeColor="text1"/>
          <w:lang w:eastAsia="en-AU"/>
        </w:rPr>
      </w:pPr>
    </w:p>
    <w:tbl>
      <w:tblPr>
        <w:tblStyle w:val="CustomTableblue"/>
        <w:tblpPr w:leftFromText="180" w:rightFromText="180" w:vertAnchor="text" w:tblpY="1"/>
        <w:tblOverlap w:val="never"/>
        <w:tblW w:w="8359" w:type="dxa"/>
        <w:tblLook w:val="0420" w:firstRow="1" w:lastRow="0" w:firstColumn="0" w:lastColumn="0" w:noHBand="0" w:noVBand="1"/>
      </w:tblPr>
      <w:tblGrid>
        <w:gridCol w:w="562"/>
        <w:gridCol w:w="7797"/>
      </w:tblGrid>
      <w:tr w:rsidR="00951AC2" w14:paraId="7793638A" w14:textId="77777777" w:rsidTr="003D49E2">
        <w:trPr>
          <w:cnfStyle w:val="100000000000" w:firstRow="1" w:lastRow="0" w:firstColumn="0" w:lastColumn="0" w:oddVBand="0" w:evenVBand="0" w:oddHBand="0" w:evenHBand="0" w:firstRowFirstColumn="0" w:firstRowLastColumn="0" w:lastRowFirstColumn="0" w:lastRowLastColumn="0"/>
        </w:trPr>
        <w:tc>
          <w:tcPr>
            <w:tcW w:w="562" w:type="dxa"/>
          </w:tcPr>
          <w:p w14:paraId="0368C2C4" w14:textId="77777777" w:rsidR="00951AC2" w:rsidRDefault="00951AC2" w:rsidP="003D49E2">
            <w:pPr>
              <w:pStyle w:val="TableBodyTextsmall"/>
              <w:spacing w:before="60" w:after="60"/>
            </w:pPr>
            <w:r>
              <w:t>#</w:t>
            </w:r>
          </w:p>
        </w:tc>
        <w:tc>
          <w:tcPr>
            <w:tcW w:w="7797" w:type="dxa"/>
          </w:tcPr>
          <w:p w14:paraId="65047899" w14:textId="77777777" w:rsidR="00951AC2" w:rsidRDefault="00951AC2" w:rsidP="003D49E2">
            <w:pPr>
              <w:pStyle w:val="TableBodyTextsmall"/>
              <w:spacing w:before="60" w:after="60"/>
            </w:pPr>
            <w:r>
              <w:t>Organisation</w:t>
            </w:r>
          </w:p>
        </w:tc>
      </w:tr>
      <w:tr w:rsidR="00951AC2" w14:paraId="3A0693CF"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6C5E9CCA" w14:textId="77777777" w:rsidR="00951AC2" w:rsidRDefault="00951AC2" w:rsidP="002F3427">
            <w:pPr>
              <w:pStyle w:val="TableListNumber"/>
              <w:numPr>
                <w:ilvl w:val="0"/>
                <w:numId w:val="81"/>
              </w:numPr>
              <w:tabs>
                <w:tab w:val="num" w:pos="360"/>
              </w:tabs>
              <w:spacing w:before="60" w:after="60"/>
            </w:pPr>
          </w:p>
        </w:tc>
        <w:tc>
          <w:tcPr>
            <w:tcW w:w="7797" w:type="dxa"/>
          </w:tcPr>
          <w:p w14:paraId="04B1F4BC" w14:textId="77777777" w:rsidR="00951AC2" w:rsidRDefault="00951AC2" w:rsidP="003D49E2">
            <w:pPr>
              <w:pStyle w:val="TableBodyTextsmall"/>
              <w:spacing w:before="60" w:after="60"/>
              <w:rPr>
                <w:rFonts w:cs="Arial"/>
                <w:sz w:val="20"/>
              </w:rPr>
            </w:pPr>
            <w:r>
              <w:rPr>
                <w:rFonts w:cs="Arial"/>
                <w:sz w:val="20"/>
              </w:rPr>
              <w:t>Aboriginal Housing Victoria</w:t>
            </w:r>
          </w:p>
        </w:tc>
      </w:tr>
      <w:tr w:rsidR="00951AC2" w14:paraId="353D89DC"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296138ED" w14:textId="77777777" w:rsidR="00951AC2" w:rsidRDefault="00951AC2" w:rsidP="002F3427">
            <w:pPr>
              <w:pStyle w:val="TableListNumber"/>
              <w:numPr>
                <w:ilvl w:val="0"/>
                <w:numId w:val="81"/>
              </w:numPr>
              <w:tabs>
                <w:tab w:val="num" w:pos="360"/>
              </w:tabs>
              <w:spacing w:before="60" w:after="60"/>
            </w:pPr>
          </w:p>
        </w:tc>
        <w:tc>
          <w:tcPr>
            <w:tcW w:w="7797" w:type="dxa"/>
          </w:tcPr>
          <w:p w14:paraId="11D1B5F1" w14:textId="77777777" w:rsidR="00951AC2" w:rsidRDefault="00951AC2" w:rsidP="003D49E2">
            <w:pPr>
              <w:pStyle w:val="TableBodyTextsmall"/>
              <w:spacing w:before="60" w:after="60"/>
              <w:rPr>
                <w:rFonts w:cs="Arial"/>
                <w:sz w:val="20"/>
              </w:rPr>
            </w:pPr>
            <w:r>
              <w:rPr>
                <w:rFonts w:cs="Arial"/>
                <w:sz w:val="20"/>
              </w:rPr>
              <w:t>Association for Children with a Disability</w:t>
            </w:r>
          </w:p>
        </w:tc>
      </w:tr>
      <w:tr w:rsidR="00951AC2" w14:paraId="42BD67A3"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14DE9650" w14:textId="77777777" w:rsidR="00951AC2" w:rsidRDefault="00951AC2" w:rsidP="002F3427">
            <w:pPr>
              <w:pStyle w:val="TableListNumber"/>
              <w:numPr>
                <w:ilvl w:val="0"/>
                <w:numId w:val="81"/>
              </w:numPr>
              <w:tabs>
                <w:tab w:val="num" w:pos="360"/>
              </w:tabs>
              <w:spacing w:before="60" w:after="60"/>
            </w:pPr>
          </w:p>
        </w:tc>
        <w:tc>
          <w:tcPr>
            <w:tcW w:w="7797" w:type="dxa"/>
          </w:tcPr>
          <w:p w14:paraId="3A39494A" w14:textId="77777777" w:rsidR="00951AC2" w:rsidRDefault="00951AC2" w:rsidP="003D49E2">
            <w:pPr>
              <w:pStyle w:val="TableBodyTextsmall"/>
              <w:spacing w:before="60" w:after="60"/>
              <w:rPr>
                <w:rFonts w:cs="Arial"/>
                <w:sz w:val="20"/>
              </w:rPr>
            </w:pPr>
            <w:proofErr w:type="spellStart"/>
            <w:r>
              <w:rPr>
                <w:rFonts w:cs="Arial"/>
                <w:sz w:val="20"/>
              </w:rPr>
              <w:t>Castan</w:t>
            </w:r>
            <w:proofErr w:type="spellEnd"/>
            <w:r>
              <w:rPr>
                <w:rFonts w:cs="Arial"/>
                <w:sz w:val="20"/>
              </w:rPr>
              <w:t xml:space="preserve"> Centre for Human Rights Law</w:t>
            </w:r>
          </w:p>
        </w:tc>
      </w:tr>
      <w:tr w:rsidR="00951AC2" w14:paraId="6F492A2A"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773DA430" w14:textId="77777777" w:rsidR="00951AC2" w:rsidRDefault="00951AC2" w:rsidP="002F3427">
            <w:pPr>
              <w:pStyle w:val="TableListNumber"/>
              <w:numPr>
                <w:ilvl w:val="0"/>
                <w:numId w:val="81"/>
              </w:numPr>
              <w:tabs>
                <w:tab w:val="num" w:pos="360"/>
              </w:tabs>
              <w:spacing w:before="60" w:after="60"/>
            </w:pPr>
          </w:p>
        </w:tc>
        <w:tc>
          <w:tcPr>
            <w:tcW w:w="7797" w:type="dxa"/>
          </w:tcPr>
          <w:p w14:paraId="12D0CCB0" w14:textId="77777777" w:rsidR="00951AC2" w:rsidRDefault="00951AC2" w:rsidP="003D49E2">
            <w:pPr>
              <w:pStyle w:val="TableBodyTextsmall"/>
              <w:spacing w:before="60" w:after="60"/>
              <w:rPr>
                <w:rFonts w:cs="Arial"/>
                <w:sz w:val="20"/>
              </w:rPr>
            </w:pPr>
            <w:r>
              <w:rPr>
                <w:rFonts w:cs="Arial"/>
                <w:sz w:val="20"/>
              </w:rPr>
              <w:t>Centre for Multicultural Youth</w:t>
            </w:r>
          </w:p>
        </w:tc>
      </w:tr>
      <w:tr w:rsidR="00951AC2" w14:paraId="55260A7A"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64E3903B" w14:textId="77777777" w:rsidR="00951AC2" w:rsidRDefault="00951AC2" w:rsidP="002F3427">
            <w:pPr>
              <w:pStyle w:val="TableListNumber"/>
              <w:numPr>
                <w:ilvl w:val="0"/>
                <w:numId w:val="81"/>
              </w:numPr>
              <w:tabs>
                <w:tab w:val="num" w:pos="360"/>
              </w:tabs>
              <w:spacing w:before="60" w:after="60"/>
            </w:pPr>
          </w:p>
        </w:tc>
        <w:tc>
          <w:tcPr>
            <w:tcW w:w="7797" w:type="dxa"/>
          </w:tcPr>
          <w:p w14:paraId="092114C2" w14:textId="77777777" w:rsidR="00951AC2" w:rsidRDefault="00951AC2" w:rsidP="003D49E2">
            <w:pPr>
              <w:pStyle w:val="TableBodyTextsmall"/>
              <w:spacing w:before="60" w:after="60"/>
              <w:rPr>
                <w:rFonts w:cs="Arial"/>
                <w:sz w:val="20"/>
              </w:rPr>
            </w:pPr>
            <w:proofErr w:type="spellStart"/>
            <w:r>
              <w:rPr>
                <w:rFonts w:cs="Arial"/>
                <w:sz w:val="20"/>
              </w:rPr>
              <w:t>Djirra</w:t>
            </w:r>
            <w:proofErr w:type="spellEnd"/>
          </w:p>
        </w:tc>
      </w:tr>
      <w:tr w:rsidR="00951AC2" w14:paraId="72E43EC8"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2F6CC669" w14:textId="502873FE" w:rsidR="00951AC2" w:rsidRDefault="00951AC2" w:rsidP="00C846A1">
            <w:pPr>
              <w:pStyle w:val="TableListNumber"/>
              <w:numPr>
                <w:ilvl w:val="0"/>
                <w:numId w:val="81"/>
              </w:numPr>
              <w:spacing w:before="60" w:after="60"/>
            </w:pPr>
          </w:p>
        </w:tc>
        <w:tc>
          <w:tcPr>
            <w:tcW w:w="7797" w:type="dxa"/>
          </w:tcPr>
          <w:p w14:paraId="7B0466AF" w14:textId="77777777" w:rsidR="00951AC2" w:rsidRDefault="00951AC2" w:rsidP="003D49E2">
            <w:pPr>
              <w:pStyle w:val="TableBodyTextsmall"/>
              <w:spacing w:before="60" w:after="60"/>
              <w:rPr>
                <w:rFonts w:cs="Arial"/>
                <w:sz w:val="20"/>
              </w:rPr>
            </w:pPr>
            <w:r>
              <w:rPr>
                <w:rFonts w:cs="Arial"/>
                <w:sz w:val="20"/>
              </w:rPr>
              <w:t>Flemington Kensington Community Legal Centre</w:t>
            </w:r>
          </w:p>
        </w:tc>
      </w:tr>
      <w:tr w:rsidR="00951AC2" w14:paraId="4C3ECBEA"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39497E8F" w14:textId="77777777" w:rsidR="00951AC2" w:rsidRDefault="00951AC2" w:rsidP="002F3427">
            <w:pPr>
              <w:pStyle w:val="TableListNumber"/>
              <w:numPr>
                <w:ilvl w:val="0"/>
                <w:numId w:val="81"/>
              </w:numPr>
              <w:tabs>
                <w:tab w:val="num" w:pos="360"/>
              </w:tabs>
              <w:spacing w:before="60" w:after="60"/>
            </w:pPr>
          </w:p>
        </w:tc>
        <w:tc>
          <w:tcPr>
            <w:tcW w:w="7797" w:type="dxa"/>
          </w:tcPr>
          <w:p w14:paraId="5389102F" w14:textId="77777777" w:rsidR="00951AC2" w:rsidRDefault="00951AC2" w:rsidP="003D49E2">
            <w:pPr>
              <w:pStyle w:val="TableBodyTextsmall"/>
              <w:spacing w:before="60" w:after="60"/>
              <w:rPr>
                <w:rFonts w:cs="Arial"/>
                <w:sz w:val="20"/>
              </w:rPr>
            </w:pPr>
            <w:r>
              <w:rPr>
                <w:rFonts w:cs="Arial"/>
                <w:sz w:val="20"/>
              </w:rPr>
              <w:t>Islamic Council of Victoria</w:t>
            </w:r>
          </w:p>
        </w:tc>
      </w:tr>
      <w:tr w:rsidR="00951AC2" w14:paraId="5A1FC26B"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2021BEFB" w14:textId="77777777" w:rsidR="00951AC2" w:rsidRDefault="00951AC2" w:rsidP="002F3427">
            <w:pPr>
              <w:pStyle w:val="TableListNumber"/>
              <w:numPr>
                <w:ilvl w:val="0"/>
                <w:numId w:val="81"/>
              </w:numPr>
              <w:tabs>
                <w:tab w:val="num" w:pos="360"/>
              </w:tabs>
              <w:spacing w:before="60" w:after="60"/>
            </w:pPr>
          </w:p>
        </w:tc>
        <w:tc>
          <w:tcPr>
            <w:tcW w:w="7797" w:type="dxa"/>
          </w:tcPr>
          <w:p w14:paraId="49A85709" w14:textId="77777777" w:rsidR="00951AC2" w:rsidRDefault="00951AC2" w:rsidP="003D49E2">
            <w:pPr>
              <w:pStyle w:val="TableBodyTextsmall"/>
              <w:spacing w:before="60" w:after="60"/>
              <w:rPr>
                <w:rFonts w:cs="Arial"/>
                <w:sz w:val="20"/>
              </w:rPr>
            </w:pPr>
            <w:r>
              <w:rPr>
                <w:rFonts w:cs="Arial"/>
                <w:sz w:val="20"/>
              </w:rPr>
              <w:t>Melbourne Social Equity Institute</w:t>
            </w:r>
          </w:p>
        </w:tc>
      </w:tr>
      <w:tr w:rsidR="00951AC2" w14:paraId="20654285"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0F726E06" w14:textId="77777777" w:rsidR="00951AC2" w:rsidRDefault="00951AC2" w:rsidP="002F3427">
            <w:pPr>
              <w:pStyle w:val="TableListNumber"/>
              <w:numPr>
                <w:ilvl w:val="0"/>
                <w:numId w:val="81"/>
              </w:numPr>
              <w:tabs>
                <w:tab w:val="num" w:pos="360"/>
              </w:tabs>
              <w:spacing w:before="60" w:after="60"/>
            </w:pPr>
          </w:p>
        </w:tc>
        <w:tc>
          <w:tcPr>
            <w:tcW w:w="7797" w:type="dxa"/>
          </w:tcPr>
          <w:p w14:paraId="33F385EA" w14:textId="77777777" w:rsidR="00951AC2" w:rsidRDefault="00951AC2" w:rsidP="003D49E2">
            <w:pPr>
              <w:pStyle w:val="TableBodyTextsmall"/>
              <w:spacing w:before="60" w:after="60"/>
              <w:rPr>
                <w:rFonts w:cs="Arial"/>
                <w:sz w:val="20"/>
              </w:rPr>
            </w:pPr>
            <w:r>
              <w:rPr>
                <w:rFonts w:cs="Arial"/>
                <w:sz w:val="20"/>
              </w:rPr>
              <w:t>Merri Community Health</w:t>
            </w:r>
          </w:p>
        </w:tc>
      </w:tr>
      <w:tr w:rsidR="00951AC2" w14:paraId="344BD0E3"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67B599FE" w14:textId="77777777" w:rsidR="00951AC2" w:rsidRDefault="00951AC2" w:rsidP="002F3427">
            <w:pPr>
              <w:pStyle w:val="TableListNumber"/>
              <w:numPr>
                <w:ilvl w:val="0"/>
                <w:numId w:val="81"/>
              </w:numPr>
              <w:tabs>
                <w:tab w:val="num" w:pos="360"/>
              </w:tabs>
              <w:spacing w:before="60" w:after="60"/>
            </w:pPr>
          </w:p>
        </w:tc>
        <w:tc>
          <w:tcPr>
            <w:tcW w:w="7797" w:type="dxa"/>
          </w:tcPr>
          <w:p w14:paraId="3CE18F86" w14:textId="77777777" w:rsidR="00951AC2" w:rsidRDefault="00951AC2" w:rsidP="003D49E2">
            <w:pPr>
              <w:pStyle w:val="TableBodyTextsmall"/>
              <w:spacing w:before="60" w:after="60"/>
              <w:rPr>
                <w:rFonts w:cs="Arial"/>
                <w:sz w:val="20"/>
              </w:rPr>
            </w:pPr>
            <w:r>
              <w:rPr>
                <w:rFonts w:cs="Arial"/>
                <w:sz w:val="20"/>
              </w:rPr>
              <w:t>VALID, Victorian Advocacy League for Individuals with a Disability</w:t>
            </w:r>
          </w:p>
        </w:tc>
      </w:tr>
      <w:tr w:rsidR="00951AC2" w14:paraId="6449FE2F"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5B9959B2" w14:textId="77777777" w:rsidR="00951AC2" w:rsidRDefault="00951AC2" w:rsidP="002F3427">
            <w:pPr>
              <w:pStyle w:val="TableListNumber"/>
              <w:numPr>
                <w:ilvl w:val="0"/>
                <w:numId w:val="81"/>
              </w:numPr>
              <w:tabs>
                <w:tab w:val="num" w:pos="360"/>
              </w:tabs>
              <w:spacing w:before="60" w:after="60"/>
            </w:pPr>
          </w:p>
        </w:tc>
        <w:tc>
          <w:tcPr>
            <w:tcW w:w="7797" w:type="dxa"/>
          </w:tcPr>
          <w:p w14:paraId="2512FB93" w14:textId="77777777" w:rsidR="00951AC2" w:rsidRDefault="00951AC2" w:rsidP="003D49E2">
            <w:pPr>
              <w:pStyle w:val="TableBodyTextsmall"/>
              <w:spacing w:before="60" w:after="60"/>
              <w:rPr>
                <w:rFonts w:cs="Arial"/>
                <w:sz w:val="20"/>
              </w:rPr>
            </w:pPr>
            <w:r>
              <w:rPr>
                <w:rFonts w:cs="Arial"/>
                <w:sz w:val="20"/>
              </w:rPr>
              <w:t>Victorian Gay and Lesbian Rights Lobby</w:t>
            </w:r>
          </w:p>
        </w:tc>
      </w:tr>
      <w:tr w:rsidR="00951AC2" w14:paraId="58927BF1" w14:textId="77777777" w:rsidTr="003D49E2">
        <w:trPr>
          <w:cnfStyle w:val="000000010000" w:firstRow="0" w:lastRow="0" w:firstColumn="0" w:lastColumn="0" w:oddVBand="0" w:evenVBand="0" w:oddHBand="0" w:evenHBand="1" w:firstRowFirstColumn="0" w:firstRowLastColumn="0" w:lastRowFirstColumn="0" w:lastRowLastColumn="0"/>
        </w:trPr>
        <w:tc>
          <w:tcPr>
            <w:tcW w:w="562" w:type="dxa"/>
          </w:tcPr>
          <w:p w14:paraId="05A92B5E" w14:textId="77777777" w:rsidR="00951AC2" w:rsidRDefault="00951AC2" w:rsidP="002F3427">
            <w:pPr>
              <w:pStyle w:val="TableListNumber"/>
              <w:numPr>
                <w:ilvl w:val="0"/>
                <w:numId w:val="81"/>
              </w:numPr>
              <w:tabs>
                <w:tab w:val="num" w:pos="360"/>
              </w:tabs>
              <w:spacing w:before="60" w:after="60"/>
            </w:pPr>
          </w:p>
        </w:tc>
        <w:tc>
          <w:tcPr>
            <w:tcW w:w="7797" w:type="dxa"/>
          </w:tcPr>
          <w:p w14:paraId="45F163E7" w14:textId="77777777" w:rsidR="00951AC2" w:rsidRDefault="00951AC2" w:rsidP="003D49E2">
            <w:pPr>
              <w:pStyle w:val="TableBodyTextsmall"/>
              <w:spacing w:before="60" w:after="60"/>
              <w:rPr>
                <w:rFonts w:cs="Arial"/>
                <w:sz w:val="20"/>
              </w:rPr>
            </w:pPr>
            <w:r>
              <w:rPr>
                <w:rFonts w:cs="Arial"/>
                <w:sz w:val="20"/>
              </w:rPr>
              <w:t>Victorian Melbourne Illness Awareness Council</w:t>
            </w:r>
          </w:p>
        </w:tc>
      </w:tr>
      <w:tr w:rsidR="00951AC2" w14:paraId="1DEE1914" w14:textId="77777777" w:rsidTr="003D49E2">
        <w:trPr>
          <w:cnfStyle w:val="000000100000" w:firstRow="0" w:lastRow="0" w:firstColumn="0" w:lastColumn="0" w:oddVBand="0" w:evenVBand="0" w:oddHBand="1" w:evenHBand="0" w:firstRowFirstColumn="0" w:firstRowLastColumn="0" w:lastRowFirstColumn="0" w:lastRowLastColumn="0"/>
        </w:trPr>
        <w:tc>
          <w:tcPr>
            <w:tcW w:w="562" w:type="dxa"/>
          </w:tcPr>
          <w:p w14:paraId="06A9C364" w14:textId="77777777" w:rsidR="00951AC2" w:rsidRDefault="00951AC2" w:rsidP="002F3427">
            <w:pPr>
              <w:pStyle w:val="TableListNumber"/>
              <w:numPr>
                <w:ilvl w:val="0"/>
                <w:numId w:val="81"/>
              </w:numPr>
              <w:tabs>
                <w:tab w:val="num" w:pos="360"/>
              </w:tabs>
              <w:spacing w:before="60" w:after="60"/>
            </w:pPr>
          </w:p>
        </w:tc>
        <w:tc>
          <w:tcPr>
            <w:tcW w:w="7797" w:type="dxa"/>
          </w:tcPr>
          <w:p w14:paraId="39B989F4" w14:textId="77777777" w:rsidR="00951AC2" w:rsidRDefault="00951AC2" w:rsidP="003D49E2">
            <w:pPr>
              <w:pStyle w:val="TableBodyTextsmall"/>
              <w:spacing w:before="60" w:after="60"/>
              <w:rPr>
                <w:rFonts w:cs="Arial"/>
                <w:sz w:val="20"/>
              </w:rPr>
            </w:pPr>
            <w:r>
              <w:rPr>
                <w:rFonts w:cs="Arial"/>
                <w:sz w:val="20"/>
              </w:rPr>
              <w:t>Women’s Legal Service Victoria</w:t>
            </w:r>
          </w:p>
        </w:tc>
      </w:tr>
    </w:tbl>
    <w:p w14:paraId="5244DA06" w14:textId="77777777" w:rsidR="00951AC2" w:rsidRDefault="00951AC2" w:rsidP="00951AC2">
      <w:pPr>
        <w:pStyle w:val="BodyText"/>
      </w:pPr>
    </w:p>
    <w:p w14:paraId="366CF624" w14:textId="77777777" w:rsidR="00951AC2" w:rsidRDefault="00951AC2" w:rsidP="00951AC2">
      <w:pPr>
        <w:pStyle w:val="BodyText"/>
      </w:pPr>
    </w:p>
    <w:p w14:paraId="0D2B9461" w14:textId="77777777" w:rsidR="00951AC2" w:rsidRDefault="00951AC2" w:rsidP="00951AC2">
      <w:pPr>
        <w:pStyle w:val="BodyText"/>
      </w:pPr>
    </w:p>
    <w:p w14:paraId="5BE803C9" w14:textId="77777777" w:rsidR="00951AC2" w:rsidRDefault="00951AC2" w:rsidP="00951AC2">
      <w:pPr>
        <w:pStyle w:val="BodyText"/>
      </w:pPr>
      <w:r>
        <w:br w:type="textWrapping" w:clear="all"/>
      </w:r>
    </w:p>
    <w:p w14:paraId="6EE618D9" w14:textId="77777777" w:rsidR="00951AC2" w:rsidRDefault="00951AC2" w:rsidP="00951AC2">
      <w:pPr>
        <w:spacing w:before="0" w:after="200" w:line="276" w:lineRule="auto"/>
      </w:pPr>
      <w:r>
        <w:br w:type="page"/>
      </w:r>
    </w:p>
    <w:p w14:paraId="0C542D14" w14:textId="77777777" w:rsidR="00951AC2" w:rsidRDefault="00951AC2" w:rsidP="00C846A1">
      <w:pPr>
        <w:pStyle w:val="AppendixHeading1"/>
        <w:numPr>
          <w:ilvl w:val="0"/>
          <w:numId w:val="55"/>
        </w:numPr>
      </w:pPr>
      <w:bookmarkStart w:id="135" w:name="_Toc14345905"/>
      <w:r>
        <w:lastRenderedPageBreak/>
        <w:t>Scoring scheme</w:t>
      </w:r>
      <w:bookmarkEnd w:id="135"/>
    </w:p>
    <w:p w14:paraId="14520FA4" w14:textId="77777777" w:rsidR="00951AC2" w:rsidRDefault="00951AC2" w:rsidP="00951AC2">
      <w:pPr>
        <w:pStyle w:val="BodyText"/>
        <w:rPr>
          <w:rFonts w:cs="Arial"/>
          <w:szCs w:val="24"/>
        </w:rPr>
      </w:pPr>
    </w:p>
    <w:tbl>
      <w:tblPr>
        <w:tblStyle w:val="CustomTableblue"/>
        <w:tblW w:w="9067" w:type="dxa"/>
        <w:tblLook w:val="0420" w:firstRow="1" w:lastRow="0" w:firstColumn="0" w:lastColumn="0" w:noHBand="0" w:noVBand="1"/>
      </w:tblPr>
      <w:tblGrid>
        <w:gridCol w:w="973"/>
        <w:gridCol w:w="4551"/>
        <w:gridCol w:w="3543"/>
      </w:tblGrid>
      <w:tr w:rsidR="00951AC2" w14:paraId="3BFA8D5E" w14:textId="77777777" w:rsidTr="003D49E2">
        <w:trPr>
          <w:cnfStyle w:val="100000000000" w:firstRow="1" w:lastRow="0" w:firstColumn="0" w:lastColumn="0" w:oddVBand="0" w:evenVBand="0" w:oddHBand="0" w:evenHBand="0" w:firstRowFirstColumn="0" w:firstRowLastColumn="0" w:lastRowFirstColumn="0" w:lastRowLastColumn="0"/>
        </w:trPr>
        <w:tc>
          <w:tcPr>
            <w:tcW w:w="9067" w:type="dxa"/>
            <w:gridSpan w:val="3"/>
          </w:tcPr>
          <w:p w14:paraId="2B2EC2F9" w14:textId="77777777" w:rsidR="00951AC2" w:rsidRPr="006C5265" w:rsidRDefault="00951AC2" w:rsidP="003D49E2">
            <w:pPr>
              <w:pStyle w:val="TableBodyTextsmall"/>
              <w:spacing w:before="60" w:after="60"/>
              <w:rPr>
                <w:rFonts w:cs="Arial"/>
                <w:b w:val="0"/>
                <w:sz w:val="20"/>
              </w:rPr>
            </w:pPr>
            <w:r>
              <w:rPr>
                <w:rFonts w:cs="Arial"/>
                <w:sz w:val="20"/>
              </w:rPr>
              <w:t>Engaged leadership</w:t>
            </w:r>
            <w:r w:rsidRPr="006C5265">
              <w:rPr>
                <w:rFonts w:cs="Arial"/>
                <w:sz w:val="20"/>
              </w:rPr>
              <w:t xml:space="preserve"> (0 – 100 points)</w:t>
            </w:r>
          </w:p>
        </w:tc>
      </w:tr>
      <w:tr w:rsidR="00951AC2" w14:paraId="534D95D5"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160E30DC" w14:textId="77777777" w:rsidR="00951AC2" w:rsidRPr="006C5265" w:rsidRDefault="00951AC2" w:rsidP="003D49E2">
            <w:pPr>
              <w:pStyle w:val="TableBodyTextsmall"/>
              <w:spacing w:before="60" w:after="60"/>
              <w:rPr>
                <w:rFonts w:cs="Arial"/>
                <w:sz w:val="20"/>
              </w:rPr>
            </w:pPr>
            <w:r w:rsidRPr="006C5265">
              <w:rPr>
                <w:rFonts w:cs="Arial"/>
                <w:sz w:val="20"/>
              </w:rPr>
              <w:t>Source</w:t>
            </w:r>
          </w:p>
        </w:tc>
        <w:tc>
          <w:tcPr>
            <w:tcW w:w="4551" w:type="dxa"/>
          </w:tcPr>
          <w:p w14:paraId="39751601" w14:textId="77777777" w:rsidR="00951AC2" w:rsidRPr="006C5265" w:rsidRDefault="00951AC2" w:rsidP="003D49E2">
            <w:pPr>
              <w:pStyle w:val="TableBodyTextsmall"/>
              <w:spacing w:before="60" w:after="60"/>
              <w:rPr>
                <w:rFonts w:cs="Arial"/>
                <w:sz w:val="20"/>
              </w:rPr>
            </w:pPr>
            <w:r w:rsidRPr="006C5265">
              <w:rPr>
                <w:rFonts w:cs="Arial"/>
                <w:sz w:val="20"/>
              </w:rPr>
              <w:t>Question</w:t>
            </w:r>
          </w:p>
        </w:tc>
        <w:tc>
          <w:tcPr>
            <w:tcW w:w="3543" w:type="dxa"/>
          </w:tcPr>
          <w:p w14:paraId="5BD9F309" w14:textId="77777777" w:rsidR="00951AC2" w:rsidRPr="006C5265" w:rsidRDefault="00951AC2" w:rsidP="003D49E2">
            <w:pPr>
              <w:pStyle w:val="TableBodyTextsmall"/>
              <w:spacing w:before="60" w:after="60"/>
              <w:rPr>
                <w:rFonts w:cs="Arial"/>
                <w:sz w:val="20"/>
              </w:rPr>
            </w:pPr>
            <w:r w:rsidRPr="006C5265">
              <w:rPr>
                <w:rFonts w:cs="Arial"/>
                <w:sz w:val="20"/>
              </w:rPr>
              <w:t>Point allocation</w:t>
            </w:r>
          </w:p>
        </w:tc>
      </w:tr>
      <w:tr w:rsidR="00951AC2" w14:paraId="42B141E9"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6279E5FE" w14:textId="50B29358" w:rsidR="00951AC2" w:rsidRDefault="00951AC2" w:rsidP="003D49E2">
            <w:pPr>
              <w:pStyle w:val="TableListNumber"/>
              <w:numPr>
                <w:ilvl w:val="0"/>
                <w:numId w:val="0"/>
              </w:numPr>
              <w:spacing w:before="60" w:after="60"/>
            </w:pPr>
            <w:r>
              <w:t>Survey question</w:t>
            </w:r>
          </w:p>
        </w:tc>
        <w:tc>
          <w:tcPr>
            <w:tcW w:w="4551" w:type="dxa"/>
          </w:tcPr>
          <w:p w14:paraId="79792466" w14:textId="77777777" w:rsidR="00951AC2" w:rsidRPr="006C5265" w:rsidRDefault="00951AC2" w:rsidP="003D49E2">
            <w:pPr>
              <w:pStyle w:val="TableBodyTextsmall"/>
              <w:spacing w:before="60" w:after="60"/>
              <w:rPr>
                <w:rFonts w:cs="Arial"/>
                <w:sz w:val="20"/>
              </w:rPr>
            </w:pPr>
            <w:r w:rsidRPr="006C5265">
              <w:rPr>
                <w:rFonts w:cs="Arial"/>
                <w:sz w:val="20"/>
              </w:rPr>
              <w:t>Has your leadership / Executive promoted the following human rights in internal communications during the 2018 calendar year</w:t>
            </w:r>
            <w:r>
              <w:rPr>
                <w:rFonts w:cs="Arial"/>
                <w:sz w:val="20"/>
              </w:rPr>
              <w:t>?</w:t>
            </w:r>
          </w:p>
        </w:tc>
        <w:tc>
          <w:tcPr>
            <w:tcW w:w="3543" w:type="dxa"/>
          </w:tcPr>
          <w:p w14:paraId="3776692C" w14:textId="77777777" w:rsidR="00951AC2" w:rsidRPr="006C5265" w:rsidRDefault="00951AC2" w:rsidP="003D49E2">
            <w:pPr>
              <w:pStyle w:val="TableBodyTextsmall"/>
              <w:spacing w:before="60" w:after="60"/>
              <w:rPr>
                <w:rFonts w:cs="Arial"/>
                <w:sz w:val="20"/>
              </w:rPr>
            </w:pPr>
            <w:r w:rsidRPr="006C5265">
              <w:rPr>
                <w:rFonts w:cs="Arial"/>
                <w:sz w:val="20"/>
              </w:rPr>
              <w:t>0 = 0 points</w:t>
            </w:r>
          </w:p>
          <w:p w14:paraId="54AD8A3C" w14:textId="77777777" w:rsidR="00951AC2" w:rsidRPr="006C5265" w:rsidRDefault="00951AC2" w:rsidP="003D49E2">
            <w:pPr>
              <w:pStyle w:val="TableBodyTextsmall"/>
              <w:spacing w:before="60" w:after="60"/>
              <w:rPr>
                <w:rFonts w:cs="Arial"/>
                <w:sz w:val="20"/>
              </w:rPr>
            </w:pPr>
            <w:r w:rsidRPr="006C5265">
              <w:rPr>
                <w:rFonts w:cs="Arial"/>
                <w:sz w:val="20"/>
              </w:rPr>
              <w:t>1-5 = 10 points</w:t>
            </w:r>
          </w:p>
          <w:p w14:paraId="209D040E" w14:textId="77777777" w:rsidR="00951AC2" w:rsidRPr="006C5265" w:rsidRDefault="00951AC2" w:rsidP="003D49E2">
            <w:pPr>
              <w:pStyle w:val="TableBodyTextsmall"/>
              <w:spacing w:before="60" w:after="60"/>
              <w:rPr>
                <w:rFonts w:cs="Arial"/>
                <w:sz w:val="20"/>
              </w:rPr>
            </w:pPr>
            <w:r w:rsidRPr="006C5265">
              <w:rPr>
                <w:rFonts w:cs="Arial"/>
                <w:sz w:val="20"/>
              </w:rPr>
              <w:t>6+ = 20 points</w:t>
            </w:r>
          </w:p>
        </w:tc>
      </w:tr>
      <w:tr w:rsidR="00951AC2" w14:paraId="4FEF2EA2"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253A63A9" w14:textId="77777777" w:rsidR="00951AC2" w:rsidRDefault="00951AC2" w:rsidP="003D49E2">
            <w:pPr>
              <w:pStyle w:val="TableListNumber"/>
              <w:numPr>
                <w:ilvl w:val="0"/>
                <w:numId w:val="0"/>
              </w:numPr>
              <w:spacing w:before="60" w:after="60"/>
            </w:pPr>
            <w:r>
              <w:t>Survey question</w:t>
            </w:r>
          </w:p>
        </w:tc>
        <w:tc>
          <w:tcPr>
            <w:tcW w:w="4551" w:type="dxa"/>
          </w:tcPr>
          <w:p w14:paraId="4C0DFFF8" w14:textId="77777777" w:rsidR="00951AC2" w:rsidRDefault="00951AC2" w:rsidP="003D49E2">
            <w:pPr>
              <w:pStyle w:val="TableBodyTextsmall"/>
              <w:spacing w:before="60" w:after="60"/>
              <w:rPr>
                <w:rFonts w:cs="Arial"/>
                <w:sz w:val="20"/>
              </w:rPr>
            </w:pPr>
            <w:r w:rsidRPr="006C5265">
              <w:rPr>
                <w:rFonts w:cs="Arial"/>
                <w:sz w:val="20"/>
              </w:rPr>
              <w:t>Did your leadership / Executive promote your organisation’s public sector obligations under the Charter in internal communications during the 2018 calendar year?</w:t>
            </w:r>
          </w:p>
        </w:tc>
        <w:tc>
          <w:tcPr>
            <w:tcW w:w="3543" w:type="dxa"/>
          </w:tcPr>
          <w:p w14:paraId="5021A210" w14:textId="77777777" w:rsidR="00951AC2" w:rsidRPr="006C5265" w:rsidRDefault="00951AC2" w:rsidP="003D49E2">
            <w:pPr>
              <w:pStyle w:val="TableBodyTextsmall"/>
              <w:spacing w:before="60" w:after="60"/>
              <w:rPr>
                <w:rFonts w:cs="Arial"/>
                <w:sz w:val="20"/>
              </w:rPr>
            </w:pPr>
            <w:r w:rsidRPr="006C5265">
              <w:rPr>
                <w:rFonts w:cs="Arial"/>
                <w:sz w:val="20"/>
              </w:rPr>
              <w:t>Yes = 10 points</w:t>
            </w:r>
          </w:p>
          <w:p w14:paraId="355318E7" w14:textId="77777777" w:rsidR="00951AC2" w:rsidRDefault="00951AC2" w:rsidP="003D49E2">
            <w:pPr>
              <w:pStyle w:val="TableBodyTextsmall"/>
              <w:spacing w:before="60" w:after="60"/>
              <w:rPr>
                <w:rFonts w:cs="Arial"/>
                <w:sz w:val="20"/>
              </w:rPr>
            </w:pPr>
            <w:r w:rsidRPr="006C5265">
              <w:rPr>
                <w:rFonts w:cs="Arial"/>
                <w:sz w:val="20"/>
              </w:rPr>
              <w:t>No = 0 points</w:t>
            </w:r>
          </w:p>
        </w:tc>
      </w:tr>
      <w:tr w:rsidR="00951AC2" w14:paraId="7EBBB802"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25DCD917" w14:textId="77777777" w:rsidR="00951AC2" w:rsidRDefault="00951AC2" w:rsidP="003D49E2">
            <w:pPr>
              <w:pStyle w:val="TableListNumber"/>
              <w:numPr>
                <w:ilvl w:val="0"/>
                <w:numId w:val="0"/>
              </w:numPr>
              <w:spacing w:before="60" w:after="60"/>
            </w:pPr>
            <w:r>
              <w:t>Survey question</w:t>
            </w:r>
          </w:p>
        </w:tc>
        <w:tc>
          <w:tcPr>
            <w:tcW w:w="4551" w:type="dxa"/>
          </w:tcPr>
          <w:p w14:paraId="248111D6" w14:textId="77777777" w:rsidR="00951AC2" w:rsidRDefault="00951AC2" w:rsidP="003D49E2">
            <w:pPr>
              <w:pStyle w:val="TableBodyTextsmall"/>
              <w:spacing w:before="60" w:after="60"/>
              <w:rPr>
                <w:rFonts w:cs="Arial"/>
                <w:sz w:val="20"/>
              </w:rPr>
            </w:pPr>
            <w:r w:rsidRPr="006C5265">
              <w:rPr>
                <w:rFonts w:cs="Arial"/>
                <w:sz w:val="20"/>
              </w:rPr>
              <w:t>Did your leadership / Executive promote the importance of human rights to its work / functions in internal communications during the 2018 calendar year?</w:t>
            </w:r>
          </w:p>
        </w:tc>
        <w:tc>
          <w:tcPr>
            <w:tcW w:w="3543" w:type="dxa"/>
          </w:tcPr>
          <w:p w14:paraId="0696075A" w14:textId="77777777" w:rsidR="00951AC2" w:rsidRPr="006C5265" w:rsidRDefault="00951AC2" w:rsidP="003D49E2">
            <w:pPr>
              <w:pStyle w:val="TableBodyTextsmall"/>
              <w:spacing w:before="60" w:after="60"/>
              <w:rPr>
                <w:rFonts w:cs="Arial"/>
                <w:sz w:val="20"/>
              </w:rPr>
            </w:pPr>
            <w:r w:rsidRPr="006C5265">
              <w:rPr>
                <w:rFonts w:cs="Arial"/>
                <w:sz w:val="20"/>
              </w:rPr>
              <w:t>Yes = 10 points</w:t>
            </w:r>
          </w:p>
          <w:p w14:paraId="44A4BB8C" w14:textId="77777777" w:rsidR="00951AC2" w:rsidRDefault="00951AC2" w:rsidP="003D49E2">
            <w:pPr>
              <w:pStyle w:val="TableBodyTextsmall"/>
              <w:spacing w:before="60" w:after="60"/>
              <w:rPr>
                <w:rFonts w:cs="Arial"/>
                <w:sz w:val="20"/>
              </w:rPr>
            </w:pPr>
            <w:r w:rsidRPr="006C5265">
              <w:rPr>
                <w:rFonts w:cs="Arial"/>
                <w:sz w:val="20"/>
              </w:rPr>
              <w:t>No = 0 points</w:t>
            </w:r>
          </w:p>
        </w:tc>
      </w:tr>
      <w:tr w:rsidR="00951AC2" w14:paraId="363727CE"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028F0FE1" w14:textId="77777777" w:rsidR="00951AC2" w:rsidRDefault="00951AC2" w:rsidP="003D49E2">
            <w:pPr>
              <w:pStyle w:val="TableListNumber"/>
              <w:numPr>
                <w:ilvl w:val="0"/>
                <w:numId w:val="0"/>
              </w:numPr>
              <w:spacing w:before="60" w:after="60"/>
            </w:pPr>
            <w:r>
              <w:t>Survey question</w:t>
            </w:r>
          </w:p>
        </w:tc>
        <w:tc>
          <w:tcPr>
            <w:tcW w:w="4551" w:type="dxa"/>
          </w:tcPr>
          <w:p w14:paraId="4560D4A0" w14:textId="77777777" w:rsidR="00951AC2" w:rsidRDefault="00951AC2" w:rsidP="003D49E2">
            <w:pPr>
              <w:pStyle w:val="TableBodyTextsmall"/>
              <w:spacing w:before="60" w:after="60"/>
              <w:rPr>
                <w:rFonts w:cs="Arial"/>
                <w:sz w:val="20"/>
              </w:rPr>
            </w:pPr>
            <w:r w:rsidRPr="006C5265">
              <w:rPr>
                <w:rFonts w:cs="Arial"/>
                <w:sz w:val="20"/>
              </w:rPr>
              <w:t>Has your leadership / Executive promoted the following human rights in external communications during the 2018 calendar year?</w:t>
            </w:r>
          </w:p>
        </w:tc>
        <w:tc>
          <w:tcPr>
            <w:tcW w:w="3543" w:type="dxa"/>
          </w:tcPr>
          <w:p w14:paraId="2EC9C636" w14:textId="77777777" w:rsidR="00951AC2" w:rsidRPr="006C5265" w:rsidRDefault="00951AC2" w:rsidP="003D49E2">
            <w:pPr>
              <w:pStyle w:val="TableBodyTextsmall"/>
              <w:spacing w:before="60" w:after="60"/>
              <w:rPr>
                <w:rFonts w:cs="Arial"/>
                <w:sz w:val="20"/>
              </w:rPr>
            </w:pPr>
            <w:r w:rsidRPr="006C5265">
              <w:rPr>
                <w:rFonts w:cs="Arial"/>
                <w:sz w:val="20"/>
              </w:rPr>
              <w:t>0 = 0 points</w:t>
            </w:r>
          </w:p>
          <w:p w14:paraId="0DC5C60F" w14:textId="77777777" w:rsidR="00951AC2" w:rsidRPr="006C5265" w:rsidRDefault="00951AC2" w:rsidP="003D49E2">
            <w:pPr>
              <w:pStyle w:val="TableBodyTextsmall"/>
              <w:spacing w:before="60" w:after="60"/>
              <w:rPr>
                <w:rFonts w:cs="Arial"/>
                <w:sz w:val="20"/>
              </w:rPr>
            </w:pPr>
            <w:r w:rsidRPr="006C5265">
              <w:rPr>
                <w:rFonts w:cs="Arial"/>
                <w:sz w:val="20"/>
              </w:rPr>
              <w:t>1-5 = 10 points</w:t>
            </w:r>
          </w:p>
          <w:p w14:paraId="774BE904" w14:textId="77777777" w:rsidR="00951AC2" w:rsidRDefault="00951AC2" w:rsidP="003D49E2">
            <w:pPr>
              <w:pStyle w:val="TableBodyTextsmall"/>
              <w:spacing w:before="60" w:after="60"/>
              <w:rPr>
                <w:rFonts w:cs="Arial"/>
                <w:sz w:val="20"/>
              </w:rPr>
            </w:pPr>
            <w:r w:rsidRPr="006C5265">
              <w:rPr>
                <w:rFonts w:cs="Arial"/>
                <w:sz w:val="20"/>
              </w:rPr>
              <w:t>6+ = 20 points</w:t>
            </w:r>
          </w:p>
        </w:tc>
      </w:tr>
      <w:tr w:rsidR="00951AC2" w14:paraId="06AD2299"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7CFECC4B" w14:textId="77777777" w:rsidR="00951AC2" w:rsidRDefault="00951AC2" w:rsidP="003D49E2">
            <w:pPr>
              <w:pStyle w:val="TableListNumber"/>
              <w:numPr>
                <w:ilvl w:val="0"/>
                <w:numId w:val="0"/>
              </w:numPr>
              <w:spacing w:before="60" w:after="60"/>
            </w:pPr>
            <w:r>
              <w:t>Survey question</w:t>
            </w:r>
          </w:p>
        </w:tc>
        <w:tc>
          <w:tcPr>
            <w:tcW w:w="4551" w:type="dxa"/>
          </w:tcPr>
          <w:p w14:paraId="55F05DDE" w14:textId="77777777" w:rsidR="00951AC2" w:rsidRDefault="00951AC2" w:rsidP="003D49E2">
            <w:pPr>
              <w:pStyle w:val="TableBodyTextsmall"/>
              <w:spacing w:before="60" w:after="60"/>
              <w:rPr>
                <w:rFonts w:cs="Arial"/>
                <w:sz w:val="20"/>
              </w:rPr>
            </w:pPr>
            <w:r w:rsidRPr="006C5265">
              <w:rPr>
                <w:rFonts w:cs="Arial"/>
                <w:sz w:val="20"/>
              </w:rPr>
              <w:t>Did your leadership / Executive promote your organisation’s public sector obligations under the Charter in external communications during the 2018 calendar year?</w:t>
            </w:r>
          </w:p>
        </w:tc>
        <w:tc>
          <w:tcPr>
            <w:tcW w:w="3543" w:type="dxa"/>
          </w:tcPr>
          <w:p w14:paraId="014DFAF9" w14:textId="77777777" w:rsidR="00951AC2" w:rsidRPr="006C5265" w:rsidRDefault="00951AC2" w:rsidP="003D49E2">
            <w:pPr>
              <w:pStyle w:val="TableBodyTextsmall"/>
              <w:spacing w:before="60" w:after="60"/>
              <w:rPr>
                <w:rFonts w:cs="Arial"/>
                <w:sz w:val="20"/>
              </w:rPr>
            </w:pPr>
            <w:r w:rsidRPr="006C5265">
              <w:rPr>
                <w:rFonts w:cs="Arial"/>
                <w:sz w:val="20"/>
              </w:rPr>
              <w:t>Yes = 10 points</w:t>
            </w:r>
          </w:p>
          <w:p w14:paraId="27A1D676" w14:textId="77777777" w:rsidR="00951AC2" w:rsidRDefault="00951AC2" w:rsidP="003D49E2">
            <w:pPr>
              <w:pStyle w:val="TableBodyTextsmall"/>
              <w:spacing w:before="60" w:after="60"/>
              <w:rPr>
                <w:rFonts w:cs="Arial"/>
                <w:sz w:val="20"/>
              </w:rPr>
            </w:pPr>
            <w:r w:rsidRPr="006C5265">
              <w:rPr>
                <w:rFonts w:cs="Arial"/>
                <w:sz w:val="20"/>
              </w:rPr>
              <w:t>No = 0 points</w:t>
            </w:r>
          </w:p>
        </w:tc>
      </w:tr>
      <w:tr w:rsidR="00951AC2" w14:paraId="2FC3B5C1"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3B14E943" w14:textId="77777777" w:rsidR="00951AC2" w:rsidRDefault="00951AC2" w:rsidP="003D49E2">
            <w:pPr>
              <w:pStyle w:val="TableListNumber"/>
              <w:numPr>
                <w:ilvl w:val="0"/>
                <w:numId w:val="0"/>
              </w:numPr>
              <w:spacing w:before="60" w:after="60"/>
            </w:pPr>
            <w:r>
              <w:t>Survey question</w:t>
            </w:r>
          </w:p>
        </w:tc>
        <w:tc>
          <w:tcPr>
            <w:tcW w:w="4551" w:type="dxa"/>
          </w:tcPr>
          <w:p w14:paraId="2C458ED6" w14:textId="77777777" w:rsidR="00951AC2" w:rsidRDefault="00951AC2" w:rsidP="003D49E2">
            <w:pPr>
              <w:pStyle w:val="TableBodyTextsmall"/>
              <w:spacing w:before="60" w:after="60"/>
              <w:rPr>
                <w:rFonts w:cs="Arial"/>
                <w:sz w:val="20"/>
              </w:rPr>
            </w:pPr>
            <w:r w:rsidRPr="006C5265">
              <w:rPr>
                <w:rFonts w:cs="Arial"/>
                <w:sz w:val="20"/>
              </w:rPr>
              <w:t>Did your leadership / Executive promote the importance of human rights to its work / functions in external communications during the 2018 calendar year?</w:t>
            </w:r>
          </w:p>
        </w:tc>
        <w:tc>
          <w:tcPr>
            <w:tcW w:w="3543" w:type="dxa"/>
          </w:tcPr>
          <w:p w14:paraId="038581A9" w14:textId="77777777" w:rsidR="00951AC2" w:rsidRPr="006C5265" w:rsidRDefault="00951AC2" w:rsidP="003D49E2">
            <w:pPr>
              <w:pStyle w:val="TableBodyTextsmall"/>
              <w:spacing w:before="60" w:after="60"/>
              <w:rPr>
                <w:rFonts w:cs="Arial"/>
                <w:sz w:val="20"/>
              </w:rPr>
            </w:pPr>
            <w:r w:rsidRPr="006C5265">
              <w:rPr>
                <w:rFonts w:cs="Arial"/>
                <w:sz w:val="20"/>
              </w:rPr>
              <w:t>Yes = 10 points</w:t>
            </w:r>
          </w:p>
          <w:p w14:paraId="33CBE2AC" w14:textId="77777777" w:rsidR="00951AC2" w:rsidRDefault="00951AC2" w:rsidP="003D49E2">
            <w:pPr>
              <w:pStyle w:val="TableBodyTextsmall"/>
              <w:spacing w:before="60" w:after="60"/>
              <w:rPr>
                <w:rFonts w:cs="Arial"/>
                <w:sz w:val="20"/>
              </w:rPr>
            </w:pPr>
            <w:r w:rsidRPr="006C5265">
              <w:rPr>
                <w:rFonts w:cs="Arial"/>
                <w:sz w:val="20"/>
              </w:rPr>
              <w:t>No = 0 points</w:t>
            </w:r>
          </w:p>
        </w:tc>
      </w:tr>
      <w:tr w:rsidR="00951AC2" w14:paraId="31C60D28"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02207BB8" w14:textId="77777777" w:rsidR="00951AC2" w:rsidRDefault="00951AC2" w:rsidP="003D49E2">
            <w:pPr>
              <w:pStyle w:val="TableListNumber"/>
              <w:numPr>
                <w:ilvl w:val="0"/>
                <w:numId w:val="0"/>
              </w:numPr>
              <w:spacing w:before="60" w:after="60"/>
            </w:pPr>
            <w:r>
              <w:t>Survey question</w:t>
            </w:r>
          </w:p>
        </w:tc>
        <w:tc>
          <w:tcPr>
            <w:tcW w:w="4551" w:type="dxa"/>
          </w:tcPr>
          <w:p w14:paraId="3336E3B6" w14:textId="77777777" w:rsidR="00951AC2" w:rsidRDefault="00951AC2" w:rsidP="003D49E2">
            <w:pPr>
              <w:pStyle w:val="TableBodyTextsmall"/>
              <w:spacing w:before="60" w:after="60"/>
              <w:rPr>
                <w:rFonts w:cs="Arial"/>
                <w:sz w:val="20"/>
              </w:rPr>
            </w:pPr>
            <w:r w:rsidRPr="006C5265">
              <w:rPr>
                <w:rFonts w:cs="Arial"/>
                <w:sz w:val="20"/>
              </w:rPr>
              <w:t>Do Executives’ (E01 or E02) performance review documents in your organisation include any metrics related to promotion and protection of human rights?</w:t>
            </w:r>
          </w:p>
        </w:tc>
        <w:tc>
          <w:tcPr>
            <w:tcW w:w="3543" w:type="dxa"/>
          </w:tcPr>
          <w:p w14:paraId="5BCA9ADA" w14:textId="77777777" w:rsidR="00951AC2" w:rsidRPr="006C5265" w:rsidRDefault="00951AC2" w:rsidP="003D49E2">
            <w:pPr>
              <w:pStyle w:val="TableBodyTextsmall"/>
              <w:spacing w:before="60" w:after="60"/>
              <w:rPr>
                <w:rFonts w:cs="Arial"/>
                <w:sz w:val="20"/>
              </w:rPr>
            </w:pPr>
            <w:r w:rsidRPr="006C5265">
              <w:rPr>
                <w:rFonts w:cs="Arial"/>
                <w:sz w:val="20"/>
              </w:rPr>
              <w:t>1 = 20 (All)</w:t>
            </w:r>
          </w:p>
          <w:p w14:paraId="06A396F5" w14:textId="77777777" w:rsidR="00951AC2" w:rsidRPr="006C5265" w:rsidRDefault="00951AC2" w:rsidP="003D49E2">
            <w:pPr>
              <w:pStyle w:val="TableBodyTextsmall"/>
              <w:spacing w:before="60" w:after="60"/>
              <w:rPr>
                <w:rFonts w:cs="Arial"/>
                <w:sz w:val="20"/>
              </w:rPr>
            </w:pPr>
            <w:r w:rsidRPr="006C5265">
              <w:rPr>
                <w:rFonts w:cs="Arial"/>
                <w:sz w:val="20"/>
              </w:rPr>
              <w:t>2 = 15 (Most)</w:t>
            </w:r>
          </w:p>
          <w:p w14:paraId="4CE2EED9" w14:textId="77777777" w:rsidR="00951AC2" w:rsidRPr="006C5265" w:rsidRDefault="00951AC2" w:rsidP="003D49E2">
            <w:pPr>
              <w:pStyle w:val="TableBodyTextsmall"/>
              <w:spacing w:before="60" w:after="60"/>
              <w:rPr>
                <w:rFonts w:cs="Arial"/>
                <w:sz w:val="20"/>
              </w:rPr>
            </w:pPr>
            <w:r w:rsidRPr="006C5265">
              <w:rPr>
                <w:rFonts w:cs="Arial"/>
                <w:sz w:val="20"/>
              </w:rPr>
              <w:t>3 = 10 (Some)</w:t>
            </w:r>
          </w:p>
          <w:p w14:paraId="38F1DD5D" w14:textId="77777777" w:rsidR="00951AC2" w:rsidRDefault="00951AC2" w:rsidP="003D49E2">
            <w:pPr>
              <w:pStyle w:val="TableBodyTextsmall"/>
              <w:spacing w:before="60" w:after="60"/>
              <w:rPr>
                <w:rFonts w:cs="Arial"/>
                <w:sz w:val="20"/>
              </w:rPr>
            </w:pPr>
            <w:r w:rsidRPr="006C5265">
              <w:rPr>
                <w:rFonts w:cs="Arial"/>
                <w:sz w:val="20"/>
              </w:rPr>
              <w:t>4 = 0 (None)</w:t>
            </w:r>
          </w:p>
        </w:tc>
      </w:tr>
    </w:tbl>
    <w:p w14:paraId="15F37F3E" w14:textId="77777777" w:rsidR="00951AC2" w:rsidRDefault="00951AC2" w:rsidP="00951AC2">
      <w:pPr>
        <w:pStyle w:val="BodyText"/>
        <w:rPr>
          <w:rFonts w:cs="Arial"/>
          <w:szCs w:val="24"/>
        </w:rPr>
      </w:pPr>
    </w:p>
    <w:tbl>
      <w:tblPr>
        <w:tblStyle w:val="CustomTableblue"/>
        <w:tblW w:w="9067" w:type="dxa"/>
        <w:tblLook w:val="0420" w:firstRow="1" w:lastRow="0" w:firstColumn="0" w:lastColumn="0" w:noHBand="0" w:noVBand="1"/>
      </w:tblPr>
      <w:tblGrid>
        <w:gridCol w:w="973"/>
        <w:gridCol w:w="4551"/>
        <w:gridCol w:w="3543"/>
      </w:tblGrid>
      <w:tr w:rsidR="00951AC2" w14:paraId="76B5B9EC" w14:textId="77777777" w:rsidTr="003D49E2">
        <w:trPr>
          <w:cnfStyle w:val="100000000000" w:firstRow="1" w:lastRow="0" w:firstColumn="0" w:lastColumn="0" w:oddVBand="0" w:evenVBand="0" w:oddHBand="0" w:evenHBand="0" w:firstRowFirstColumn="0" w:firstRowLastColumn="0" w:lastRowFirstColumn="0" w:lastRowLastColumn="0"/>
        </w:trPr>
        <w:tc>
          <w:tcPr>
            <w:tcW w:w="9067" w:type="dxa"/>
            <w:gridSpan w:val="3"/>
          </w:tcPr>
          <w:p w14:paraId="39651A7B" w14:textId="77777777" w:rsidR="00951AC2" w:rsidRDefault="00951AC2" w:rsidP="003D49E2">
            <w:pPr>
              <w:pStyle w:val="TableBodyTextsmall"/>
              <w:spacing w:before="60" w:after="60"/>
            </w:pPr>
            <w:r>
              <w:rPr>
                <w:rFonts w:cs="Arial"/>
                <w:sz w:val="20"/>
              </w:rPr>
              <w:t>Attitudes and values of employees</w:t>
            </w:r>
            <w:r w:rsidRPr="006C5265">
              <w:rPr>
                <w:rFonts w:cs="Arial"/>
                <w:sz w:val="20"/>
              </w:rPr>
              <w:t xml:space="preserve"> (0 – 100 points)</w:t>
            </w:r>
          </w:p>
        </w:tc>
      </w:tr>
      <w:tr w:rsidR="00951AC2" w14:paraId="740398EC"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34AA7963" w14:textId="77777777" w:rsidR="00951AC2" w:rsidRPr="007F24CE" w:rsidRDefault="00951AC2" w:rsidP="003D49E2">
            <w:pPr>
              <w:pStyle w:val="TableBodyTextsmall"/>
              <w:spacing w:before="60" w:after="60"/>
              <w:rPr>
                <w:b/>
              </w:rPr>
            </w:pPr>
            <w:r w:rsidRPr="007F24CE">
              <w:rPr>
                <w:rFonts w:cs="Arial"/>
                <w:b/>
                <w:sz w:val="20"/>
              </w:rPr>
              <w:t>Source</w:t>
            </w:r>
          </w:p>
        </w:tc>
        <w:tc>
          <w:tcPr>
            <w:tcW w:w="4551" w:type="dxa"/>
          </w:tcPr>
          <w:p w14:paraId="0AFF9F1D" w14:textId="77777777" w:rsidR="00951AC2" w:rsidRPr="007F24CE" w:rsidRDefault="00951AC2" w:rsidP="003D49E2">
            <w:pPr>
              <w:pStyle w:val="TableBodyTextsmall"/>
              <w:spacing w:before="60" w:after="60"/>
              <w:rPr>
                <w:rFonts w:cs="Arial"/>
                <w:b/>
                <w:sz w:val="20"/>
              </w:rPr>
            </w:pPr>
            <w:r w:rsidRPr="007F24CE">
              <w:rPr>
                <w:rFonts w:cs="Arial"/>
                <w:b/>
                <w:sz w:val="20"/>
              </w:rPr>
              <w:t>Question</w:t>
            </w:r>
          </w:p>
        </w:tc>
        <w:tc>
          <w:tcPr>
            <w:tcW w:w="3543" w:type="dxa"/>
          </w:tcPr>
          <w:p w14:paraId="0B87CE57" w14:textId="77777777" w:rsidR="00951AC2" w:rsidRPr="007F24CE" w:rsidRDefault="00951AC2" w:rsidP="003D49E2">
            <w:pPr>
              <w:pStyle w:val="TableBodyTextsmall"/>
              <w:spacing w:before="60" w:after="60"/>
              <w:rPr>
                <w:rFonts w:cs="Arial"/>
                <w:b/>
                <w:sz w:val="20"/>
              </w:rPr>
            </w:pPr>
            <w:r w:rsidRPr="007F24CE">
              <w:rPr>
                <w:rFonts w:cs="Arial"/>
                <w:b/>
                <w:sz w:val="20"/>
              </w:rPr>
              <w:t>Point allocation</w:t>
            </w:r>
          </w:p>
        </w:tc>
      </w:tr>
      <w:tr w:rsidR="00951AC2" w14:paraId="0DE90159"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490E9437" w14:textId="77777777" w:rsidR="00951AC2" w:rsidRDefault="00951AC2" w:rsidP="003D49E2">
            <w:pPr>
              <w:pStyle w:val="TableListNumber"/>
              <w:numPr>
                <w:ilvl w:val="0"/>
                <w:numId w:val="0"/>
              </w:numPr>
              <w:spacing w:before="60" w:after="60"/>
            </w:pPr>
            <w:r>
              <w:t>Survey question</w:t>
            </w:r>
          </w:p>
        </w:tc>
        <w:tc>
          <w:tcPr>
            <w:tcW w:w="4551" w:type="dxa"/>
          </w:tcPr>
          <w:p w14:paraId="4F58CCD5" w14:textId="77777777" w:rsidR="00951AC2" w:rsidRPr="006C5265" w:rsidRDefault="00951AC2" w:rsidP="003D49E2">
            <w:pPr>
              <w:pStyle w:val="TableBodyTextsmall"/>
              <w:spacing w:before="60" w:after="60"/>
              <w:rPr>
                <w:rFonts w:cs="Arial"/>
                <w:sz w:val="20"/>
              </w:rPr>
            </w:pPr>
            <w:r w:rsidRPr="006C5265">
              <w:rPr>
                <w:rFonts w:cs="Arial"/>
                <w:sz w:val="20"/>
              </w:rPr>
              <w:t>Have examples of behaviours or decisions upholding or promoting human rights been shared at significant forums open to a majority of staff in your organisation during the 2018 calendar year?</w:t>
            </w:r>
          </w:p>
        </w:tc>
        <w:tc>
          <w:tcPr>
            <w:tcW w:w="3543" w:type="dxa"/>
          </w:tcPr>
          <w:p w14:paraId="1CB6F2D4" w14:textId="77777777" w:rsidR="00951AC2" w:rsidRPr="006C5265" w:rsidRDefault="00951AC2" w:rsidP="003D49E2">
            <w:pPr>
              <w:pStyle w:val="TableBodyTextsmall"/>
              <w:spacing w:before="60" w:after="60"/>
              <w:rPr>
                <w:rFonts w:cs="Arial"/>
                <w:sz w:val="20"/>
              </w:rPr>
            </w:pPr>
            <w:r w:rsidRPr="006C5265">
              <w:rPr>
                <w:rFonts w:cs="Arial"/>
                <w:sz w:val="20"/>
              </w:rPr>
              <w:t>0 = 0 points</w:t>
            </w:r>
          </w:p>
          <w:p w14:paraId="318E74A0" w14:textId="77777777" w:rsidR="00951AC2" w:rsidRPr="006C5265" w:rsidRDefault="00951AC2" w:rsidP="003D49E2">
            <w:pPr>
              <w:pStyle w:val="TableBodyTextsmall"/>
              <w:spacing w:before="60" w:after="60"/>
              <w:rPr>
                <w:rFonts w:cs="Arial"/>
                <w:sz w:val="20"/>
              </w:rPr>
            </w:pPr>
            <w:r w:rsidRPr="006C5265">
              <w:rPr>
                <w:rFonts w:cs="Arial"/>
                <w:sz w:val="20"/>
              </w:rPr>
              <w:t>1-5 = 10 points</w:t>
            </w:r>
          </w:p>
          <w:p w14:paraId="411CEE26" w14:textId="77777777" w:rsidR="00951AC2" w:rsidRPr="006C5265" w:rsidRDefault="00951AC2" w:rsidP="003D49E2">
            <w:pPr>
              <w:pStyle w:val="TableBodyTextsmall"/>
              <w:spacing w:before="60" w:after="60"/>
              <w:rPr>
                <w:rFonts w:cs="Arial"/>
                <w:sz w:val="20"/>
              </w:rPr>
            </w:pPr>
            <w:r w:rsidRPr="006C5265">
              <w:rPr>
                <w:rFonts w:cs="Arial"/>
                <w:sz w:val="20"/>
              </w:rPr>
              <w:t>6+ = 20 points</w:t>
            </w:r>
          </w:p>
        </w:tc>
      </w:tr>
      <w:tr w:rsidR="00951AC2" w14:paraId="3CD4B223"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3EE56922" w14:textId="77777777" w:rsidR="00951AC2" w:rsidRDefault="00951AC2" w:rsidP="003D49E2">
            <w:pPr>
              <w:pStyle w:val="TableListNumber"/>
              <w:numPr>
                <w:ilvl w:val="0"/>
                <w:numId w:val="0"/>
              </w:numPr>
              <w:spacing w:before="60" w:after="60"/>
            </w:pPr>
            <w:r>
              <w:t>Survey question</w:t>
            </w:r>
          </w:p>
        </w:tc>
        <w:tc>
          <w:tcPr>
            <w:tcW w:w="4551" w:type="dxa"/>
          </w:tcPr>
          <w:p w14:paraId="01FF00DE" w14:textId="77777777" w:rsidR="00951AC2" w:rsidRDefault="00951AC2" w:rsidP="003D49E2">
            <w:pPr>
              <w:pStyle w:val="TableBodyTextsmall"/>
              <w:spacing w:before="60" w:after="60"/>
              <w:rPr>
                <w:rFonts w:cs="Arial"/>
                <w:sz w:val="20"/>
              </w:rPr>
            </w:pPr>
            <w:r w:rsidRPr="006C5265">
              <w:rPr>
                <w:rFonts w:cs="Arial"/>
                <w:sz w:val="20"/>
              </w:rPr>
              <w:t xml:space="preserve">Use </w:t>
            </w:r>
            <w:r>
              <w:rPr>
                <w:rFonts w:cs="Arial"/>
                <w:sz w:val="20"/>
              </w:rPr>
              <w:t>Victorian public sector</w:t>
            </w:r>
            <w:r w:rsidRPr="006C5265">
              <w:rPr>
                <w:rFonts w:cs="Arial"/>
                <w:sz w:val="20"/>
              </w:rPr>
              <w:t xml:space="preserve"> values or have human rights expressly incorporated into your organisation’s specific values</w:t>
            </w:r>
          </w:p>
        </w:tc>
        <w:tc>
          <w:tcPr>
            <w:tcW w:w="3543" w:type="dxa"/>
          </w:tcPr>
          <w:p w14:paraId="2ED0EB03" w14:textId="77777777" w:rsidR="00951AC2" w:rsidRPr="006C5265" w:rsidRDefault="00951AC2" w:rsidP="003D49E2">
            <w:pPr>
              <w:pStyle w:val="TableBodyTextsmall"/>
              <w:spacing w:before="60" w:after="60"/>
              <w:rPr>
                <w:rFonts w:cs="Arial"/>
                <w:sz w:val="20"/>
              </w:rPr>
            </w:pPr>
            <w:r w:rsidRPr="006C5265">
              <w:rPr>
                <w:rFonts w:cs="Arial"/>
                <w:sz w:val="20"/>
              </w:rPr>
              <w:t>Yes = 20 points</w:t>
            </w:r>
          </w:p>
          <w:p w14:paraId="1FD4ABEF" w14:textId="77777777" w:rsidR="00951AC2" w:rsidRDefault="00951AC2" w:rsidP="003D49E2">
            <w:pPr>
              <w:pStyle w:val="TableBodyTextsmall"/>
              <w:spacing w:before="60" w:after="60"/>
              <w:rPr>
                <w:rFonts w:cs="Arial"/>
                <w:sz w:val="20"/>
              </w:rPr>
            </w:pPr>
            <w:r w:rsidRPr="006C5265">
              <w:rPr>
                <w:rFonts w:cs="Arial"/>
                <w:sz w:val="20"/>
              </w:rPr>
              <w:t>No = 0 points</w:t>
            </w:r>
          </w:p>
        </w:tc>
      </w:tr>
      <w:tr w:rsidR="00951AC2" w14:paraId="60916EC3"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46C2B90A" w14:textId="77777777" w:rsidR="00951AC2" w:rsidRDefault="00951AC2" w:rsidP="003D49E2">
            <w:pPr>
              <w:pStyle w:val="TableListNumber"/>
              <w:numPr>
                <w:ilvl w:val="0"/>
                <w:numId w:val="0"/>
              </w:numPr>
              <w:spacing w:before="60" w:after="60"/>
            </w:pPr>
            <w:r>
              <w:t>Survey question</w:t>
            </w:r>
          </w:p>
        </w:tc>
        <w:tc>
          <w:tcPr>
            <w:tcW w:w="4551" w:type="dxa"/>
          </w:tcPr>
          <w:p w14:paraId="374183AF" w14:textId="77777777" w:rsidR="00951AC2" w:rsidRDefault="00951AC2" w:rsidP="003D49E2">
            <w:pPr>
              <w:pStyle w:val="TableBodyTextsmall"/>
              <w:spacing w:before="60" w:after="60"/>
              <w:rPr>
                <w:rFonts w:cs="Arial"/>
                <w:sz w:val="20"/>
              </w:rPr>
            </w:pPr>
            <w:r w:rsidRPr="006C5265">
              <w:rPr>
                <w:rFonts w:cs="Arial"/>
                <w:sz w:val="20"/>
              </w:rPr>
              <w:t>Does your organisation have a diversity and inclusion action plan that is internally available?</w:t>
            </w:r>
          </w:p>
        </w:tc>
        <w:tc>
          <w:tcPr>
            <w:tcW w:w="3543" w:type="dxa"/>
          </w:tcPr>
          <w:p w14:paraId="67659C40" w14:textId="77777777" w:rsidR="00951AC2" w:rsidRPr="006C5265" w:rsidRDefault="00951AC2" w:rsidP="003D49E2">
            <w:pPr>
              <w:pStyle w:val="TableBodyTextsmall"/>
              <w:spacing w:before="60" w:after="60"/>
              <w:rPr>
                <w:rFonts w:cs="Arial"/>
                <w:sz w:val="20"/>
              </w:rPr>
            </w:pPr>
            <w:r w:rsidRPr="006C5265">
              <w:rPr>
                <w:rFonts w:cs="Arial"/>
                <w:sz w:val="20"/>
              </w:rPr>
              <w:t>Yes =</w:t>
            </w:r>
            <w:r>
              <w:rPr>
                <w:rFonts w:cs="Arial"/>
                <w:sz w:val="20"/>
              </w:rPr>
              <w:t xml:space="preserve"> </w:t>
            </w:r>
            <w:r w:rsidRPr="006C5265">
              <w:rPr>
                <w:rFonts w:cs="Arial"/>
                <w:sz w:val="20"/>
              </w:rPr>
              <w:t>20 points</w:t>
            </w:r>
          </w:p>
          <w:p w14:paraId="40282E9F" w14:textId="77777777" w:rsidR="00951AC2" w:rsidRDefault="00951AC2" w:rsidP="003D49E2">
            <w:pPr>
              <w:pStyle w:val="TableBodyTextsmall"/>
              <w:spacing w:before="60" w:after="60"/>
              <w:rPr>
                <w:rFonts w:cs="Arial"/>
                <w:sz w:val="20"/>
              </w:rPr>
            </w:pPr>
            <w:r w:rsidRPr="006C5265">
              <w:rPr>
                <w:rFonts w:cs="Arial"/>
                <w:sz w:val="20"/>
              </w:rPr>
              <w:t>No = 0 points</w:t>
            </w:r>
          </w:p>
        </w:tc>
      </w:tr>
      <w:tr w:rsidR="00951AC2" w14:paraId="434F2331"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46532959" w14:textId="77777777" w:rsidR="00951AC2" w:rsidRDefault="00951AC2" w:rsidP="003D49E2">
            <w:pPr>
              <w:pStyle w:val="TableListNumber"/>
              <w:numPr>
                <w:ilvl w:val="0"/>
                <w:numId w:val="0"/>
              </w:numPr>
              <w:spacing w:before="60" w:after="60"/>
            </w:pPr>
            <w:r>
              <w:t xml:space="preserve">People Matter Survey </w:t>
            </w:r>
          </w:p>
        </w:tc>
        <w:tc>
          <w:tcPr>
            <w:tcW w:w="4551" w:type="dxa"/>
          </w:tcPr>
          <w:p w14:paraId="7F66147E" w14:textId="77777777" w:rsidR="00951AC2" w:rsidRDefault="00951AC2" w:rsidP="003D49E2">
            <w:pPr>
              <w:pStyle w:val="TableBodyTextsmall"/>
              <w:spacing w:before="60" w:after="60"/>
              <w:rPr>
                <w:rFonts w:cs="Arial"/>
                <w:sz w:val="20"/>
              </w:rPr>
            </w:pPr>
            <w:r w:rsidRPr="006C5265">
              <w:rPr>
                <w:rFonts w:cs="Arial"/>
                <w:sz w:val="20"/>
              </w:rPr>
              <w:t>In my workgroup, human rights are valued</w:t>
            </w:r>
          </w:p>
        </w:tc>
        <w:tc>
          <w:tcPr>
            <w:tcW w:w="3543" w:type="dxa"/>
          </w:tcPr>
          <w:p w14:paraId="0A2D2BD3" w14:textId="77777777" w:rsidR="00951AC2" w:rsidRPr="006C5265" w:rsidRDefault="00951AC2" w:rsidP="003D49E2">
            <w:pPr>
              <w:pStyle w:val="TableBodyTextsmall"/>
              <w:spacing w:before="60" w:after="60"/>
              <w:rPr>
                <w:rFonts w:cs="Arial"/>
                <w:sz w:val="20"/>
              </w:rPr>
            </w:pPr>
            <w:r w:rsidRPr="006C5265">
              <w:rPr>
                <w:rFonts w:cs="Arial"/>
                <w:sz w:val="20"/>
              </w:rPr>
              <w:t xml:space="preserve">Above </w:t>
            </w:r>
            <w:r>
              <w:rPr>
                <w:rFonts w:cs="Arial"/>
                <w:sz w:val="20"/>
              </w:rPr>
              <w:t>Victorian public sector</w:t>
            </w:r>
            <w:r w:rsidRPr="006C5265">
              <w:rPr>
                <w:rFonts w:cs="Arial"/>
                <w:sz w:val="20"/>
              </w:rPr>
              <w:t xml:space="preserve"> average (&gt;= 10 percentage points (pp) for total agreement) = 20 points</w:t>
            </w:r>
          </w:p>
          <w:p w14:paraId="01F6EF7C" w14:textId="77777777" w:rsidR="00951AC2" w:rsidRPr="006C5265" w:rsidRDefault="00951AC2" w:rsidP="003D49E2">
            <w:pPr>
              <w:pStyle w:val="TableBodyTextsmall"/>
              <w:spacing w:before="60" w:after="60"/>
              <w:rPr>
                <w:rFonts w:cs="Arial"/>
                <w:sz w:val="20"/>
              </w:rPr>
            </w:pPr>
            <w:r w:rsidRPr="006C5265">
              <w:rPr>
                <w:rFonts w:cs="Arial"/>
                <w:sz w:val="20"/>
              </w:rPr>
              <w:t xml:space="preserve">In line with </w:t>
            </w:r>
            <w:r>
              <w:rPr>
                <w:rFonts w:cs="Arial"/>
                <w:sz w:val="20"/>
              </w:rPr>
              <w:t>Victorian public sector</w:t>
            </w:r>
            <w:r w:rsidRPr="007F24CE">
              <w:rPr>
                <w:rFonts w:cs="Arial"/>
                <w:sz w:val="20"/>
              </w:rPr>
              <w:t xml:space="preserve"> </w:t>
            </w:r>
            <w:r w:rsidRPr="006C5265">
              <w:rPr>
                <w:rFonts w:cs="Arial"/>
                <w:sz w:val="20"/>
              </w:rPr>
              <w:t xml:space="preserve">average (+/- 9 pp) or where </w:t>
            </w:r>
            <w:r>
              <w:rPr>
                <w:rFonts w:cs="Arial"/>
                <w:sz w:val="20"/>
              </w:rPr>
              <w:t xml:space="preserve">People </w:t>
            </w:r>
            <w:r>
              <w:rPr>
                <w:rFonts w:cs="Arial"/>
                <w:sz w:val="20"/>
              </w:rPr>
              <w:lastRenderedPageBreak/>
              <w:t>Matter Survey</w:t>
            </w:r>
            <w:r w:rsidRPr="006C5265">
              <w:rPr>
                <w:rFonts w:cs="Arial"/>
                <w:sz w:val="20"/>
              </w:rPr>
              <w:t xml:space="preserve"> results are unavailable = 15 points</w:t>
            </w:r>
          </w:p>
          <w:p w14:paraId="794E1381" w14:textId="77777777" w:rsidR="00951AC2" w:rsidRDefault="00951AC2" w:rsidP="003D49E2">
            <w:pPr>
              <w:pStyle w:val="TableBodyTextsmall"/>
              <w:spacing w:before="60" w:after="60"/>
              <w:rPr>
                <w:rFonts w:cs="Arial"/>
                <w:sz w:val="20"/>
              </w:rPr>
            </w:pPr>
            <w:r w:rsidRPr="006C5265">
              <w:rPr>
                <w:rFonts w:cs="Arial"/>
                <w:sz w:val="20"/>
              </w:rPr>
              <w:t xml:space="preserve">Below whole </w:t>
            </w:r>
            <w:r>
              <w:rPr>
                <w:rFonts w:cs="Arial"/>
                <w:sz w:val="20"/>
              </w:rPr>
              <w:t>Victorian public sector</w:t>
            </w:r>
            <w:r w:rsidRPr="007F24CE">
              <w:rPr>
                <w:rFonts w:cs="Arial"/>
                <w:sz w:val="20"/>
              </w:rPr>
              <w:t xml:space="preserve"> </w:t>
            </w:r>
            <w:r w:rsidRPr="006C5265">
              <w:rPr>
                <w:rFonts w:cs="Arial"/>
                <w:sz w:val="20"/>
              </w:rPr>
              <w:t>(more than 10% under) = 0 points</w:t>
            </w:r>
          </w:p>
        </w:tc>
      </w:tr>
      <w:tr w:rsidR="00951AC2" w14:paraId="13EBBEFB"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4E05EBC9" w14:textId="77777777" w:rsidR="00951AC2" w:rsidRDefault="00951AC2" w:rsidP="003D49E2">
            <w:pPr>
              <w:pStyle w:val="TableListNumber"/>
              <w:numPr>
                <w:ilvl w:val="0"/>
                <w:numId w:val="0"/>
              </w:numPr>
              <w:spacing w:before="60" w:after="60"/>
            </w:pPr>
            <w:r>
              <w:lastRenderedPageBreak/>
              <w:t>People Matter Survey</w:t>
            </w:r>
          </w:p>
        </w:tc>
        <w:tc>
          <w:tcPr>
            <w:tcW w:w="4551" w:type="dxa"/>
          </w:tcPr>
          <w:p w14:paraId="543367D1" w14:textId="77777777" w:rsidR="00951AC2" w:rsidRDefault="00951AC2" w:rsidP="003D49E2">
            <w:pPr>
              <w:pStyle w:val="TableBodyTextsmall"/>
              <w:spacing w:before="60" w:after="60"/>
              <w:rPr>
                <w:rFonts w:cs="Arial"/>
                <w:sz w:val="20"/>
              </w:rPr>
            </w:pPr>
            <w:r w:rsidRPr="006C5265">
              <w:rPr>
                <w:rFonts w:cs="Arial"/>
                <w:sz w:val="20"/>
              </w:rPr>
              <w:t>My organisation encourages employees to act in ways that are consistent with human rights</w:t>
            </w:r>
          </w:p>
        </w:tc>
        <w:tc>
          <w:tcPr>
            <w:tcW w:w="3543" w:type="dxa"/>
          </w:tcPr>
          <w:p w14:paraId="5322A90C" w14:textId="77777777" w:rsidR="00951AC2" w:rsidRPr="007F24CE" w:rsidRDefault="00951AC2" w:rsidP="003D49E2">
            <w:pPr>
              <w:pStyle w:val="TableBodyTextsmall"/>
              <w:spacing w:before="60" w:after="60"/>
              <w:rPr>
                <w:rFonts w:cs="Arial"/>
                <w:sz w:val="20"/>
              </w:rPr>
            </w:pPr>
            <w:r w:rsidRPr="007F24CE">
              <w:rPr>
                <w:rFonts w:cs="Arial"/>
                <w:sz w:val="20"/>
              </w:rPr>
              <w:t xml:space="preserve">Above </w:t>
            </w:r>
            <w:r>
              <w:rPr>
                <w:rFonts w:cs="Arial"/>
                <w:sz w:val="20"/>
              </w:rPr>
              <w:t>Victorian public sector</w:t>
            </w:r>
            <w:r w:rsidRPr="007F24CE">
              <w:rPr>
                <w:rFonts w:cs="Arial"/>
                <w:sz w:val="20"/>
              </w:rPr>
              <w:t xml:space="preserve"> average (&gt;= 10 percentage points (pp) for total agreement) = 20 points</w:t>
            </w:r>
          </w:p>
          <w:p w14:paraId="73BC0F51" w14:textId="77777777" w:rsidR="00951AC2" w:rsidRPr="007F24CE" w:rsidRDefault="00951AC2" w:rsidP="003D49E2">
            <w:pPr>
              <w:pStyle w:val="TableBodyTextsmall"/>
              <w:spacing w:before="60" w:after="60"/>
              <w:rPr>
                <w:rFonts w:cs="Arial"/>
                <w:sz w:val="20"/>
              </w:rPr>
            </w:pPr>
            <w:r w:rsidRPr="007F24CE">
              <w:rPr>
                <w:rFonts w:cs="Arial"/>
                <w:sz w:val="20"/>
              </w:rPr>
              <w:t xml:space="preserve">In line with </w:t>
            </w:r>
            <w:r>
              <w:rPr>
                <w:rFonts w:cs="Arial"/>
                <w:sz w:val="20"/>
              </w:rPr>
              <w:t>Victorian public sector</w:t>
            </w:r>
            <w:r w:rsidRPr="007F24CE">
              <w:rPr>
                <w:rFonts w:cs="Arial"/>
                <w:sz w:val="20"/>
              </w:rPr>
              <w:t xml:space="preserve"> average (+/- 9 pp) or where </w:t>
            </w:r>
            <w:r>
              <w:rPr>
                <w:rFonts w:cs="Arial"/>
                <w:sz w:val="20"/>
              </w:rPr>
              <w:t>People Matter Survey</w:t>
            </w:r>
            <w:r w:rsidRPr="007F24CE">
              <w:rPr>
                <w:rFonts w:cs="Arial"/>
                <w:sz w:val="20"/>
              </w:rPr>
              <w:t xml:space="preserve"> results are unavailable = 15 points</w:t>
            </w:r>
          </w:p>
          <w:p w14:paraId="10A48E17" w14:textId="77777777" w:rsidR="00951AC2" w:rsidRDefault="00951AC2" w:rsidP="003D49E2">
            <w:pPr>
              <w:pStyle w:val="TableBodyTextsmall"/>
              <w:spacing w:before="60" w:after="60"/>
              <w:rPr>
                <w:rFonts w:cs="Arial"/>
                <w:sz w:val="20"/>
              </w:rPr>
            </w:pPr>
            <w:r w:rsidRPr="007F24CE">
              <w:rPr>
                <w:rFonts w:cs="Arial"/>
                <w:sz w:val="20"/>
              </w:rPr>
              <w:t xml:space="preserve">Below whole </w:t>
            </w:r>
            <w:r>
              <w:rPr>
                <w:rFonts w:cs="Arial"/>
                <w:sz w:val="20"/>
              </w:rPr>
              <w:t>Victorian public sector</w:t>
            </w:r>
            <w:r w:rsidRPr="007F24CE">
              <w:rPr>
                <w:rFonts w:cs="Arial"/>
                <w:sz w:val="20"/>
              </w:rPr>
              <w:t xml:space="preserve"> (more than 10% under) = 0 points</w:t>
            </w:r>
          </w:p>
        </w:tc>
      </w:tr>
    </w:tbl>
    <w:p w14:paraId="560A669E" w14:textId="77777777" w:rsidR="00951AC2" w:rsidRDefault="00951AC2" w:rsidP="00951AC2">
      <w:pPr>
        <w:pStyle w:val="BodyText"/>
        <w:rPr>
          <w:rFonts w:cs="Arial"/>
          <w:szCs w:val="24"/>
        </w:rPr>
      </w:pPr>
    </w:p>
    <w:tbl>
      <w:tblPr>
        <w:tblStyle w:val="CustomTableblue"/>
        <w:tblW w:w="9067" w:type="dxa"/>
        <w:tblLook w:val="0420" w:firstRow="1" w:lastRow="0" w:firstColumn="0" w:lastColumn="0" w:noHBand="0" w:noVBand="1"/>
      </w:tblPr>
      <w:tblGrid>
        <w:gridCol w:w="973"/>
        <w:gridCol w:w="4551"/>
        <w:gridCol w:w="3543"/>
      </w:tblGrid>
      <w:tr w:rsidR="00951AC2" w14:paraId="3B9A7747" w14:textId="77777777" w:rsidTr="003D49E2">
        <w:trPr>
          <w:cnfStyle w:val="100000000000" w:firstRow="1" w:lastRow="0" w:firstColumn="0" w:lastColumn="0" w:oddVBand="0" w:evenVBand="0" w:oddHBand="0" w:evenHBand="0" w:firstRowFirstColumn="0" w:firstRowLastColumn="0" w:lastRowFirstColumn="0" w:lastRowLastColumn="0"/>
        </w:trPr>
        <w:tc>
          <w:tcPr>
            <w:tcW w:w="9067" w:type="dxa"/>
            <w:gridSpan w:val="3"/>
          </w:tcPr>
          <w:p w14:paraId="680FA785" w14:textId="77777777" w:rsidR="00951AC2" w:rsidRDefault="00951AC2" w:rsidP="003D49E2">
            <w:pPr>
              <w:pStyle w:val="TableBodyTextsmall"/>
              <w:spacing w:before="60" w:after="60"/>
            </w:pPr>
            <w:r>
              <w:rPr>
                <w:rFonts w:cs="Arial"/>
                <w:sz w:val="20"/>
              </w:rPr>
              <w:t>Community engagement and participation</w:t>
            </w:r>
            <w:r w:rsidRPr="007F24CE">
              <w:rPr>
                <w:rFonts w:cs="Arial"/>
                <w:sz w:val="20"/>
              </w:rPr>
              <w:t xml:space="preserve"> (0 – 100 points)</w:t>
            </w:r>
          </w:p>
        </w:tc>
      </w:tr>
      <w:tr w:rsidR="00951AC2" w14:paraId="134FAFA7"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2FDEB017" w14:textId="77777777" w:rsidR="00951AC2" w:rsidRPr="007F24CE" w:rsidRDefault="00951AC2" w:rsidP="003D49E2">
            <w:pPr>
              <w:pStyle w:val="TableBodyTextsmall"/>
              <w:spacing w:before="60" w:after="60"/>
              <w:rPr>
                <w:b/>
              </w:rPr>
            </w:pPr>
            <w:r w:rsidRPr="007F24CE">
              <w:rPr>
                <w:rFonts w:cs="Arial"/>
                <w:b/>
                <w:sz w:val="20"/>
              </w:rPr>
              <w:t>Source</w:t>
            </w:r>
          </w:p>
        </w:tc>
        <w:tc>
          <w:tcPr>
            <w:tcW w:w="4551" w:type="dxa"/>
          </w:tcPr>
          <w:p w14:paraId="0D163F45" w14:textId="77777777" w:rsidR="00951AC2" w:rsidRPr="007F24CE" w:rsidRDefault="00951AC2" w:rsidP="003D49E2">
            <w:pPr>
              <w:pStyle w:val="TableBodyTextsmall"/>
              <w:spacing w:before="60" w:after="60"/>
              <w:rPr>
                <w:rFonts w:cs="Arial"/>
                <w:b/>
                <w:sz w:val="20"/>
              </w:rPr>
            </w:pPr>
            <w:r w:rsidRPr="007F24CE">
              <w:rPr>
                <w:rFonts w:cs="Arial"/>
                <w:b/>
                <w:sz w:val="20"/>
              </w:rPr>
              <w:t>Question</w:t>
            </w:r>
          </w:p>
        </w:tc>
        <w:tc>
          <w:tcPr>
            <w:tcW w:w="3543" w:type="dxa"/>
          </w:tcPr>
          <w:p w14:paraId="2985F689" w14:textId="77777777" w:rsidR="00951AC2" w:rsidRPr="007F24CE" w:rsidRDefault="00951AC2" w:rsidP="003D49E2">
            <w:pPr>
              <w:pStyle w:val="TableBodyTextsmall"/>
              <w:spacing w:before="60" w:after="60"/>
              <w:rPr>
                <w:rFonts w:cs="Arial"/>
                <w:b/>
                <w:sz w:val="20"/>
              </w:rPr>
            </w:pPr>
            <w:r w:rsidRPr="007F24CE">
              <w:rPr>
                <w:rFonts w:cs="Arial"/>
                <w:b/>
                <w:sz w:val="20"/>
              </w:rPr>
              <w:t>Point allocation</w:t>
            </w:r>
          </w:p>
        </w:tc>
      </w:tr>
      <w:tr w:rsidR="00951AC2" w14:paraId="18CEB299"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731250E3" w14:textId="77777777" w:rsidR="00951AC2" w:rsidRDefault="00951AC2" w:rsidP="003D49E2">
            <w:pPr>
              <w:pStyle w:val="TableListNumber"/>
              <w:numPr>
                <w:ilvl w:val="0"/>
                <w:numId w:val="0"/>
              </w:numPr>
              <w:spacing w:before="60" w:after="60"/>
            </w:pPr>
            <w:r>
              <w:t>Survey question</w:t>
            </w:r>
          </w:p>
        </w:tc>
        <w:tc>
          <w:tcPr>
            <w:tcW w:w="4551" w:type="dxa"/>
          </w:tcPr>
          <w:p w14:paraId="20B60FA6" w14:textId="77777777" w:rsidR="00951AC2" w:rsidRPr="006C5265" w:rsidRDefault="00951AC2" w:rsidP="003D49E2">
            <w:pPr>
              <w:pStyle w:val="TableListNumber"/>
              <w:numPr>
                <w:ilvl w:val="0"/>
                <w:numId w:val="0"/>
              </w:numPr>
              <w:spacing w:before="60" w:after="60"/>
            </w:pPr>
            <w:r>
              <w:t>How often did your organisation engage with relevant community groups in relation to human rights when developing key work and policy positions during the 2018 calendar year?</w:t>
            </w:r>
          </w:p>
        </w:tc>
        <w:tc>
          <w:tcPr>
            <w:tcW w:w="3543" w:type="dxa"/>
          </w:tcPr>
          <w:p w14:paraId="03831E76" w14:textId="77777777" w:rsidR="00951AC2" w:rsidRPr="006C5265" w:rsidRDefault="00951AC2" w:rsidP="003D49E2">
            <w:pPr>
              <w:pStyle w:val="TableListNumber"/>
              <w:numPr>
                <w:ilvl w:val="0"/>
                <w:numId w:val="0"/>
              </w:numPr>
              <w:spacing w:before="60" w:after="60"/>
            </w:pPr>
            <w:r>
              <w:t>Always = 40 points</w:t>
            </w:r>
          </w:p>
          <w:p w14:paraId="58344F76" w14:textId="77777777" w:rsidR="00951AC2" w:rsidRDefault="00951AC2" w:rsidP="003D49E2">
            <w:pPr>
              <w:pStyle w:val="TableListNumber"/>
              <w:numPr>
                <w:ilvl w:val="0"/>
                <w:numId w:val="0"/>
              </w:numPr>
              <w:spacing w:before="60" w:after="60"/>
            </w:pPr>
            <w:r>
              <w:t>Often = 30 points</w:t>
            </w:r>
          </w:p>
          <w:p w14:paraId="69D93D5A" w14:textId="77777777" w:rsidR="00951AC2" w:rsidRDefault="00951AC2" w:rsidP="003D49E2">
            <w:pPr>
              <w:pStyle w:val="TableListNumber"/>
              <w:numPr>
                <w:ilvl w:val="0"/>
                <w:numId w:val="0"/>
              </w:numPr>
              <w:spacing w:before="60" w:after="60"/>
            </w:pPr>
            <w:r>
              <w:t>Occasionally =20 points</w:t>
            </w:r>
          </w:p>
          <w:p w14:paraId="4E139D94" w14:textId="77777777" w:rsidR="00951AC2" w:rsidRDefault="00951AC2" w:rsidP="003D49E2">
            <w:pPr>
              <w:pStyle w:val="TableListNumber"/>
              <w:numPr>
                <w:ilvl w:val="0"/>
                <w:numId w:val="0"/>
              </w:numPr>
              <w:spacing w:before="60" w:after="60"/>
            </w:pPr>
            <w:r>
              <w:t>Rarely = 10 points</w:t>
            </w:r>
          </w:p>
          <w:p w14:paraId="61912894" w14:textId="77777777" w:rsidR="00951AC2" w:rsidRPr="006C5265" w:rsidRDefault="00951AC2" w:rsidP="003D49E2">
            <w:pPr>
              <w:pStyle w:val="TableListNumber"/>
              <w:numPr>
                <w:ilvl w:val="0"/>
                <w:numId w:val="0"/>
              </w:numPr>
              <w:spacing w:before="60" w:after="60"/>
            </w:pPr>
            <w:r>
              <w:t>Never = 0 points</w:t>
            </w:r>
          </w:p>
        </w:tc>
      </w:tr>
      <w:tr w:rsidR="00951AC2" w14:paraId="7478107D"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4CA66296" w14:textId="77777777" w:rsidR="00951AC2" w:rsidRDefault="00951AC2" w:rsidP="003D49E2">
            <w:pPr>
              <w:pStyle w:val="TableListNumber"/>
              <w:numPr>
                <w:ilvl w:val="0"/>
                <w:numId w:val="0"/>
              </w:numPr>
              <w:spacing w:before="60" w:after="60"/>
            </w:pPr>
            <w:r>
              <w:t>Survey question</w:t>
            </w:r>
          </w:p>
        </w:tc>
        <w:tc>
          <w:tcPr>
            <w:tcW w:w="4551" w:type="dxa"/>
          </w:tcPr>
          <w:p w14:paraId="2620E784" w14:textId="77777777" w:rsidR="00951AC2" w:rsidRPr="006C5265" w:rsidRDefault="00951AC2" w:rsidP="003D49E2">
            <w:pPr>
              <w:pStyle w:val="TableListNumber"/>
              <w:numPr>
                <w:ilvl w:val="0"/>
                <w:numId w:val="0"/>
              </w:numPr>
              <w:spacing w:before="60" w:after="60"/>
            </w:pPr>
            <w:r>
              <w:t>How often did your organisation engage with relevant community groups in relation to human rights to obtain ongoing feedback about key work and policy positions during the 2018 calendar year?</w:t>
            </w:r>
          </w:p>
        </w:tc>
        <w:tc>
          <w:tcPr>
            <w:tcW w:w="3543" w:type="dxa"/>
          </w:tcPr>
          <w:p w14:paraId="575E7051" w14:textId="77777777" w:rsidR="00951AC2" w:rsidRDefault="00951AC2" w:rsidP="003D49E2">
            <w:pPr>
              <w:pStyle w:val="TableListNumber"/>
              <w:numPr>
                <w:ilvl w:val="0"/>
                <w:numId w:val="0"/>
              </w:numPr>
              <w:spacing w:before="60" w:after="60"/>
            </w:pPr>
            <w:r>
              <w:t>Monthly or more often = 25 points</w:t>
            </w:r>
          </w:p>
          <w:p w14:paraId="5D07CA8F" w14:textId="77777777" w:rsidR="00951AC2" w:rsidRDefault="00951AC2" w:rsidP="003D49E2">
            <w:pPr>
              <w:pStyle w:val="TableListNumber"/>
              <w:numPr>
                <w:ilvl w:val="0"/>
                <w:numId w:val="0"/>
              </w:numPr>
              <w:spacing w:before="60" w:after="60"/>
            </w:pPr>
            <w:r>
              <w:t>Every 2 – 6 months = 20 points</w:t>
            </w:r>
          </w:p>
          <w:p w14:paraId="0EF2C8D0" w14:textId="77777777" w:rsidR="00951AC2" w:rsidRDefault="00951AC2" w:rsidP="003D49E2">
            <w:pPr>
              <w:pStyle w:val="TableListNumber"/>
              <w:numPr>
                <w:ilvl w:val="0"/>
                <w:numId w:val="0"/>
              </w:numPr>
              <w:spacing w:before="60" w:after="60"/>
            </w:pPr>
            <w:r>
              <w:t>Every 7 – 12 months = 15 points</w:t>
            </w:r>
          </w:p>
          <w:p w14:paraId="130E8684" w14:textId="77777777" w:rsidR="00951AC2" w:rsidRDefault="00951AC2" w:rsidP="003D49E2">
            <w:pPr>
              <w:pStyle w:val="TableListNumber"/>
              <w:numPr>
                <w:ilvl w:val="0"/>
                <w:numId w:val="0"/>
              </w:numPr>
              <w:spacing w:before="60" w:after="60"/>
            </w:pPr>
            <w:r>
              <w:t>Annually or less frequently = 5 points</w:t>
            </w:r>
          </w:p>
          <w:p w14:paraId="2F4B3D36" w14:textId="77777777" w:rsidR="00951AC2" w:rsidRPr="006C5265" w:rsidRDefault="00951AC2" w:rsidP="003D49E2">
            <w:pPr>
              <w:pStyle w:val="TableListNumber"/>
              <w:numPr>
                <w:ilvl w:val="0"/>
                <w:numId w:val="0"/>
              </w:numPr>
              <w:spacing w:before="60" w:after="60"/>
            </w:pPr>
            <w:r>
              <w:t>Never = 0 points</w:t>
            </w:r>
          </w:p>
        </w:tc>
      </w:tr>
      <w:tr w:rsidR="00951AC2" w14:paraId="06DD8109"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3D1D7D60" w14:textId="77777777" w:rsidR="00951AC2" w:rsidRDefault="00951AC2" w:rsidP="003D49E2">
            <w:pPr>
              <w:pStyle w:val="TableListNumber"/>
              <w:numPr>
                <w:ilvl w:val="0"/>
                <w:numId w:val="0"/>
              </w:numPr>
              <w:spacing w:before="60" w:after="60"/>
            </w:pPr>
            <w:r>
              <w:t>Survey question</w:t>
            </w:r>
          </w:p>
        </w:tc>
        <w:tc>
          <w:tcPr>
            <w:tcW w:w="4551" w:type="dxa"/>
          </w:tcPr>
          <w:p w14:paraId="2F5FB05B" w14:textId="77777777" w:rsidR="00951AC2" w:rsidRPr="006C5265" w:rsidRDefault="00951AC2" w:rsidP="003D49E2">
            <w:pPr>
              <w:pStyle w:val="TableListNumber"/>
              <w:numPr>
                <w:ilvl w:val="0"/>
                <w:numId w:val="0"/>
              </w:numPr>
              <w:spacing w:before="60" w:after="60"/>
            </w:pPr>
            <w:r>
              <w:t>Does your organisation provide the Victorian community with tools or information about the following aspects of their human rights in dealing with your organisation?</w:t>
            </w:r>
          </w:p>
        </w:tc>
        <w:tc>
          <w:tcPr>
            <w:tcW w:w="3543" w:type="dxa"/>
          </w:tcPr>
          <w:p w14:paraId="04FD5CCB" w14:textId="77777777" w:rsidR="00951AC2" w:rsidRPr="006C5265" w:rsidRDefault="00951AC2" w:rsidP="003D49E2">
            <w:pPr>
              <w:pStyle w:val="TableListNumber"/>
              <w:numPr>
                <w:ilvl w:val="0"/>
                <w:numId w:val="0"/>
              </w:numPr>
              <w:spacing w:before="60" w:after="60"/>
            </w:pPr>
            <w:r>
              <w:t>10 points each for first 3, or 35 points for 4+ (35 points in total)</w:t>
            </w:r>
          </w:p>
        </w:tc>
      </w:tr>
    </w:tbl>
    <w:p w14:paraId="7AABECF7" w14:textId="77777777" w:rsidR="00951AC2" w:rsidRDefault="00951AC2" w:rsidP="00951AC2">
      <w:pPr>
        <w:pStyle w:val="BodyText"/>
        <w:rPr>
          <w:rFonts w:cs="Arial"/>
          <w:szCs w:val="24"/>
        </w:rPr>
      </w:pPr>
    </w:p>
    <w:tbl>
      <w:tblPr>
        <w:tblStyle w:val="CustomTableblue"/>
        <w:tblW w:w="9067" w:type="dxa"/>
        <w:tblLook w:val="0420" w:firstRow="1" w:lastRow="0" w:firstColumn="0" w:lastColumn="0" w:noHBand="0" w:noVBand="1"/>
      </w:tblPr>
      <w:tblGrid>
        <w:gridCol w:w="973"/>
        <w:gridCol w:w="4551"/>
        <w:gridCol w:w="3543"/>
      </w:tblGrid>
      <w:tr w:rsidR="00951AC2" w14:paraId="38B5E036" w14:textId="77777777" w:rsidTr="003D49E2">
        <w:trPr>
          <w:cnfStyle w:val="100000000000" w:firstRow="1" w:lastRow="0" w:firstColumn="0" w:lastColumn="0" w:oddVBand="0" w:evenVBand="0" w:oddHBand="0" w:evenHBand="0" w:firstRowFirstColumn="0" w:firstRowLastColumn="0" w:lastRowFirstColumn="0" w:lastRowLastColumn="0"/>
        </w:trPr>
        <w:tc>
          <w:tcPr>
            <w:tcW w:w="9067" w:type="dxa"/>
            <w:gridSpan w:val="3"/>
          </w:tcPr>
          <w:p w14:paraId="30AEB080" w14:textId="77777777" w:rsidR="00951AC2" w:rsidRDefault="00951AC2" w:rsidP="003D49E2">
            <w:pPr>
              <w:pStyle w:val="TableBodyTextsmall"/>
              <w:spacing w:before="60" w:after="60"/>
            </w:pPr>
            <w:r>
              <w:rPr>
                <w:rFonts w:cs="Arial"/>
                <w:sz w:val="20"/>
              </w:rPr>
              <w:t>Operational capability</w:t>
            </w:r>
            <w:r w:rsidRPr="007F24CE">
              <w:rPr>
                <w:rFonts w:cs="Arial"/>
                <w:sz w:val="20"/>
              </w:rPr>
              <w:t xml:space="preserve"> (0 – 100 points)</w:t>
            </w:r>
          </w:p>
        </w:tc>
      </w:tr>
      <w:tr w:rsidR="00951AC2" w14:paraId="2BE02A0F"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34675CEC" w14:textId="77777777" w:rsidR="00951AC2" w:rsidRPr="007F24CE" w:rsidRDefault="00951AC2" w:rsidP="003D49E2">
            <w:pPr>
              <w:pStyle w:val="TableBodyTextsmall"/>
              <w:spacing w:before="60" w:after="60"/>
              <w:rPr>
                <w:b/>
              </w:rPr>
            </w:pPr>
            <w:r w:rsidRPr="007F24CE">
              <w:rPr>
                <w:rFonts w:cs="Arial"/>
                <w:b/>
                <w:sz w:val="20"/>
              </w:rPr>
              <w:t>Source</w:t>
            </w:r>
          </w:p>
        </w:tc>
        <w:tc>
          <w:tcPr>
            <w:tcW w:w="4551" w:type="dxa"/>
          </w:tcPr>
          <w:p w14:paraId="7C649363" w14:textId="77777777" w:rsidR="00951AC2" w:rsidRPr="007F24CE" w:rsidRDefault="00951AC2" w:rsidP="003D49E2">
            <w:pPr>
              <w:pStyle w:val="TableBodyTextsmall"/>
              <w:spacing w:before="60" w:after="60"/>
              <w:rPr>
                <w:rFonts w:cs="Arial"/>
                <w:b/>
                <w:sz w:val="20"/>
              </w:rPr>
            </w:pPr>
            <w:r w:rsidRPr="007F24CE">
              <w:rPr>
                <w:rFonts w:cs="Arial"/>
                <w:b/>
                <w:sz w:val="20"/>
              </w:rPr>
              <w:t>Question</w:t>
            </w:r>
          </w:p>
        </w:tc>
        <w:tc>
          <w:tcPr>
            <w:tcW w:w="3543" w:type="dxa"/>
          </w:tcPr>
          <w:p w14:paraId="39772C02" w14:textId="77777777" w:rsidR="00951AC2" w:rsidRPr="007F24CE" w:rsidRDefault="00951AC2" w:rsidP="003D49E2">
            <w:pPr>
              <w:pStyle w:val="TableBodyTextsmall"/>
              <w:spacing w:before="60" w:after="60"/>
              <w:rPr>
                <w:rFonts w:cs="Arial"/>
                <w:b/>
                <w:sz w:val="20"/>
              </w:rPr>
            </w:pPr>
            <w:r w:rsidRPr="007F24CE">
              <w:rPr>
                <w:rFonts w:cs="Arial"/>
                <w:b/>
                <w:sz w:val="20"/>
              </w:rPr>
              <w:t>Point allocation</w:t>
            </w:r>
          </w:p>
        </w:tc>
      </w:tr>
      <w:tr w:rsidR="00951AC2" w14:paraId="2CBE93E3"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51BA596A" w14:textId="77777777" w:rsidR="00951AC2" w:rsidRDefault="00951AC2" w:rsidP="003D49E2">
            <w:pPr>
              <w:pStyle w:val="TableListNumber"/>
              <w:numPr>
                <w:ilvl w:val="0"/>
                <w:numId w:val="0"/>
              </w:numPr>
              <w:spacing w:before="60" w:after="60"/>
            </w:pPr>
            <w:r>
              <w:t>Survey question</w:t>
            </w:r>
          </w:p>
        </w:tc>
        <w:tc>
          <w:tcPr>
            <w:tcW w:w="4551" w:type="dxa"/>
          </w:tcPr>
          <w:p w14:paraId="75051AC9" w14:textId="77777777" w:rsidR="00951AC2" w:rsidRPr="001524F9" w:rsidRDefault="00951AC2" w:rsidP="003D49E2">
            <w:pPr>
              <w:pStyle w:val="TableListNumber"/>
              <w:numPr>
                <w:ilvl w:val="0"/>
                <w:numId w:val="0"/>
              </w:numPr>
              <w:spacing w:before="60" w:after="60"/>
            </w:pPr>
            <w:r>
              <w:t>Approximately what percentage of staff in your organisation completed Charter (of Human Rights and Responsibilities) training programs during the 2018 calendar year?</w:t>
            </w:r>
          </w:p>
        </w:tc>
        <w:tc>
          <w:tcPr>
            <w:tcW w:w="3543" w:type="dxa"/>
          </w:tcPr>
          <w:p w14:paraId="5FE184B5" w14:textId="77777777" w:rsidR="00951AC2" w:rsidRPr="003E7BF2" w:rsidRDefault="00951AC2" w:rsidP="003D49E2">
            <w:pPr>
              <w:pStyle w:val="TableListNumber"/>
              <w:numPr>
                <w:ilvl w:val="0"/>
                <w:numId w:val="0"/>
              </w:numPr>
              <w:spacing w:before="60" w:after="60"/>
            </w:pPr>
            <w:r>
              <w:t>If percentage result 30% or higher = 30 points</w:t>
            </w:r>
          </w:p>
          <w:p w14:paraId="69ACFEF9" w14:textId="77777777" w:rsidR="00951AC2" w:rsidRPr="001524F9" w:rsidRDefault="00951AC2" w:rsidP="003D49E2">
            <w:pPr>
              <w:pStyle w:val="TableListNumber"/>
              <w:numPr>
                <w:ilvl w:val="0"/>
                <w:numId w:val="0"/>
              </w:numPr>
              <w:spacing w:before="60" w:after="60"/>
            </w:pPr>
            <w:r>
              <w:t>If percentage result lower than 30%, percentage result = number of points (e.g. 28% = 28 points)</w:t>
            </w:r>
          </w:p>
        </w:tc>
      </w:tr>
      <w:tr w:rsidR="00951AC2" w14:paraId="198ABFCC"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263C47DA" w14:textId="77777777" w:rsidR="00951AC2" w:rsidRDefault="00951AC2" w:rsidP="003D49E2">
            <w:pPr>
              <w:pStyle w:val="TableListNumber"/>
              <w:numPr>
                <w:ilvl w:val="0"/>
                <w:numId w:val="0"/>
              </w:numPr>
              <w:spacing w:before="60" w:after="60"/>
            </w:pPr>
            <w:r>
              <w:t>Survey question</w:t>
            </w:r>
          </w:p>
        </w:tc>
        <w:tc>
          <w:tcPr>
            <w:tcW w:w="4551" w:type="dxa"/>
          </w:tcPr>
          <w:p w14:paraId="719D4E9C" w14:textId="77777777" w:rsidR="00951AC2" w:rsidRPr="001524F9" w:rsidRDefault="00951AC2" w:rsidP="003D49E2">
            <w:pPr>
              <w:pStyle w:val="TableListNumber"/>
              <w:numPr>
                <w:ilvl w:val="0"/>
                <w:numId w:val="0"/>
              </w:numPr>
              <w:spacing w:before="60" w:after="60"/>
            </w:pPr>
            <w:r>
              <w:t>Raised awareness of human rights among staff</w:t>
            </w:r>
          </w:p>
        </w:tc>
        <w:tc>
          <w:tcPr>
            <w:tcW w:w="3543" w:type="dxa"/>
          </w:tcPr>
          <w:p w14:paraId="3ADD9D66" w14:textId="77777777" w:rsidR="00951AC2" w:rsidRDefault="00951AC2" w:rsidP="003D49E2">
            <w:pPr>
              <w:pStyle w:val="TableListNumber"/>
              <w:numPr>
                <w:ilvl w:val="0"/>
                <w:numId w:val="0"/>
              </w:numPr>
              <w:spacing w:before="60" w:after="60"/>
            </w:pPr>
            <w:r>
              <w:t>Yes = 10 points</w:t>
            </w:r>
          </w:p>
          <w:p w14:paraId="62EC2D17" w14:textId="77777777" w:rsidR="00951AC2" w:rsidRPr="001524F9" w:rsidRDefault="00951AC2" w:rsidP="003D49E2">
            <w:pPr>
              <w:pStyle w:val="TableListNumber"/>
              <w:numPr>
                <w:ilvl w:val="0"/>
                <w:numId w:val="0"/>
              </w:numPr>
              <w:spacing w:before="60" w:after="60"/>
            </w:pPr>
            <w:r>
              <w:t>No = 0 points</w:t>
            </w:r>
          </w:p>
        </w:tc>
      </w:tr>
      <w:tr w:rsidR="00951AC2" w14:paraId="33D26415"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7AECB2EC" w14:textId="77777777" w:rsidR="00951AC2" w:rsidRDefault="00951AC2" w:rsidP="003D49E2">
            <w:pPr>
              <w:pStyle w:val="TableListNumber"/>
              <w:numPr>
                <w:ilvl w:val="0"/>
                <w:numId w:val="0"/>
              </w:numPr>
              <w:spacing w:before="60" w:after="60"/>
            </w:pPr>
            <w:r>
              <w:t>Survey question</w:t>
            </w:r>
          </w:p>
        </w:tc>
        <w:tc>
          <w:tcPr>
            <w:tcW w:w="4551" w:type="dxa"/>
          </w:tcPr>
          <w:p w14:paraId="65990251" w14:textId="77777777" w:rsidR="00951AC2" w:rsidRPr="001524F9" w:rsidRDefault="00951AC2" w:rsidP="003D49E2">
            <w:pPr>
              <w:pStyle w:val="TableListNumber"/>
              <w:numPr>
                <w:ilvl w:val="0"/>
                <w:numId w:val="0"/>
              </w:numPr>
              <w:spacing w:before="60" w:after="60"/>
            </w:pPr>
            <w:r>
              <w:t>Does your organisation have dedicated resources responsible for embedding a positive human rights culture?</w:t>
            </w:r>
          </w:p>
        </w:tc>
        <w:tc>
          <w:tcPr>
            <w:tcW w:w="3543" w:type="dxa"/>
          </w:tcPr>
          <w:p w14:paraId="39FABD8F" w14:textId="77777777" w:rsidR="00951AC2" w:rsidRDefault="00951AC2" w:rsidP="003D49E2">
            <w:pPr>
              <w:pStyle w:val="TableListNumber"/>
              <w:numPr>
                <w:ilvl w:val="0"/>
                <w:numId w:val="0"/>
              </w:numPr>
              <w:spacing w:before="60" w:after="60"/>
            </w:pPr>
            <w:r>
              <w:t>Yes = 10 points</w:t>
            </w:r>
          </w:p>
          <w:p w14:paraId="6346F282" w14:textId="77777777" w:rsidR="00951AC2" w:rsidRPr="001524F9" w:rsidRDefault="00951AC2" w:rsidP="003D49E2">
            <w:pPr>
              <w:pStyle w:val="TableListNumber"/>
              <w:numPr>
                <w:ilvl w:val="0"/>
                <w:numId w:val="0"/>
              </w:numPr>
              <w:spacing w:before="60" w:after="60"/>
            </w:pPr>
            <w:r>
              <w:t>No = 0 points</w:t>
            </w:r>
          </w:p>
        </w:tc>
      </w:tr>
      <w:tr w:rsidR="00951AC2" w14:paraId="2139AF45"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295640F6" w14:textId="77777777" w:rsidR="00951AC2" w:rsidRDefault="00951AC2" w:rsidP="003D49E2">
            <w:pPr>
              <w:pStyle w:val="TableListNumber"/>
              <w:numPr>
                <w:ilvl w:val="0"/>
                <w:numId w:val="0"/>
              </w:numPr>
              <w:spacing w:before="60" w:after="60"/>
            </w:pPr>
            <w:r>
              <w:t>Survey question</w:t>
            </w:r>
          </w:p>
        </w:tc>
        <w:tc>
          <w:tcPr>
            <w:tcW w:w="4551" w:type="dxa"/>
          </w:tcPr>
          <w:p w14:paraId="6D06F435" w14:textId="77777777" w:rsidR="00951AC2" w:rsidRPr="001524F9" w:rsidRDefault="00951AC2" w:rsidP="003D49E2">
            <w:pPr>
              <w:pStyle w:val="TableListNumber"/>
              <w:numPr>
                <w:ilvl w:val="0"/>
                <w:numId w:val="0"/>
              </w:numPr>
              <w:spacing w:before="60" w:after="60"/>
            </w:pPr>
            <w:r>
              <w:t xml:space="preserve">Are human rights and the Charter embedded in general professional development activities (that </w:t>
            </w:r>
            <w:r>
              <w:lastRenderedPageBreak/>
              <w:t>is, not specific Charter or human rights training programs)?</w:t>
            </w:r>
          </w:p>
        </w:tc>
        <w:tc>
          <w:tcPr>
            <w:tcW w:w="3543" w:type="dxa"/>
          </w:tcPr>
          <w:p w14:paraId="3ED38319" w14:textId="77777777" w:rsidR="00951AC2" w:rsidRDefault="00951AC2" w:rsidP="003D49E2">
            <w:pPr>
              <w:pStyle w:val="TableListNumber"/>
              <w:numPr>
                <w:ilvl w:val="0"/>
                <w:numId w:val="0"/>
              </w:numPr>
              <w:spacing w:before="60" w:after="60"/>
            </w:pPr>
            <w:r>
              <w:lastRenderedPageBreak/>
              <w:t>Yes = 10 points</w:t>
            </w:r>
          </w:p>
          <w:p w14:paraId="53593B02" w14:textId="77777777" w:rsidR="00951AC2" w:rsidRPr="001524F9" w:rsidRDefault="00951AC2" w:rsidP="003D49E2">
            <w:pPr>
              <w:pStyle w:val="TableListNumber"/>
              <w:numPr>
                <w:ilvl w:val="0"/>
                <w:numId w:val="0"/>
              </w:numPr>
              <w:spacing w:before="60" w:after="60"/>
            </w:pPr>
            <w:r>
              <w:t>No = 0 points</w:t>
            </w:r>
          </w:p>
        </w:tc>
      </w:tr>
      <w:tr w:rsidR="00951AC2" w14:paraId="48DEB5B5"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3D05A0FD" w14:textId="77777777" w:rsidR="00951AC2" w:rsidRDefault="00951AC2" w:rsidP="003D49E2">
            <w:pPr>
              <w:pStyle w:val="TableListNumber"/>
              <w:numPr>
                <w:ilvl w:val="0"/>
                <w:numId w:val="0"/>
              </w:numPr>
              <w:spacing w:before="60" w:after="60"/>
            </w:pPr>
            <w:r>
              <w:lastRenderedPageBreak/>
              <w:t>Survey question</w:t>
            </w:r>
          </w:p>
        </w:tc>
        <w:tc>
          <w:tcPr>
            <w:tcW w:w="4551" w:type="dxa"/>
          </w:tcPr>
          <w:p w14:paraId="1BFDE939" w14:textId="77777777" w:rsidR="00951AC2" w:rsidRPr="001524F9" w:rsidRDefault="00951AC2" w:rsidP="003D49E2">
            <w:pPr>
              <w:pStyle w:val="TableListNumber"/>
              <w:numPr>
                <w:ilvl w:val="0"/>
                <w:numId w:val="0"/>
              </w:numPr>
              <w:spacing w:before="60" w:after="60"/>
            </w:pPr>
            <w:r>
              <w:t>Do staff performance review documents include any metrics related to promoting and protecting human rights?</w:t>
            </w:r>
          </w:p>
        </w:tc>
        <w:tc>
          <w:tcPr>
            <w:tcW w:w="3543" w:type="dxa"/>
          </w:tcPr>
          <w:p w14:paraId="76E8E4FA" w14:textId="77777777" w:rsidR="00951AC2" w:rsidRDefault="00951AC2" w:rsidP="003D49E2">
            <w:pPr>
              <w:pStyle w:val="TableListNumber"/>
              <w:numPr>
                <w:ilvl w:val="0"/>
                <w:numId w:val="0"/>
              </w:numPr>
              <w:spacing w:before="60" w:after="60"/>
            </w:pPr>
            <w:r>
              <w:t>1 = 20 (All)</w:t>
            </w:r>
          </w:p>
          <w:p w14:paraId="5FA550A4" w14:textId="77777777" w:rsidR="00951AC2" w:rsidRDefault="00951AC2" w:rsidP="003D49E2">
            <w:pPr>
              <w:pStyle w:val="TableListNumber"/>
              <w:numPr>
                <w:ilvl w:val="0"/>
                <w:numId w:val="0"/>
              </w:numPr>
              <w:spacing w:before="60" w:after="60"/>
            </w:pPr>
            <w:r>
              <w:t>2 = 15 (Most)</w:t>
            </w:r>
          </w:p>
          <w:p w14:paraId="64138D4D" w14:textId="77777777" w:rsidR="00951AC2" w:rsidRDefault="00951AC2" w:rsidP="003D49E2">
            <w:pPr>
              <w:pStyle w:val="TableListNumber"/>
              <w:numPr>
                <w:ilvl w:val="0"/>
                <w:numId w:val="0"/>
              </w:numPr>
              <w:spacing w:before="60" w:after="60"/>
            </w:pPr>
            <w:r>
              <w:t>3 = 10 (Some)</w:t>
            </w:r>
          </w:p>
          <w:p w14:paraId="5D20A820" w14:textId="77777777" w:rsidR="00951AC2" w:rsidRPr="001524F9" w:rsidRDefault="00951AC2" w:rsidP="003D49E2">
            <w:pPr>
              <w:pStyle w:val="TableListNumber"/>
              <w:numPr>
                <w:ilvl w:val="0"/>
                <w:numId w:val="0"/>
              </w:numPr>
              <w:spacing w:before="60" w:after="60"/>
            </w:pPr>
            <w:r>
              <w:t>4 = 0 (None)</w:t>
            </w:r>
          </w:p>
        </w:tc>
      </w:tr>
      <w:tr w:rsidR="00951AC2" w14:paraId="0C4039DC"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22EDB1AE" w14:textId="77777777" w:rsidR="00951AC2" w:rsidRDefault="00951AC2" w:rsidP="003D49E2">
            <w:pPr>
              <w:pStyle w:val="TableListNumber"/>
              <w:numPr>
                <w:ilvl w:val="0"/>
                <w:numId w:val="0"/>
              </w:numPr>
              <w:spacing w:before="60" w:after="60"/>
            </w:pPr>
            <w:r>
              <w:t>People Matter Survey</w:t>
            </w:r>
          </w:p>
        </w:tc>
        <w:tc>
          <w:tcPr>
            <w:tcW w:w="4551" w:type="dxa"/>
          </w:tcPr>
          <w:p w14:paraId="13C61A49" w14:textId="77777777" w:rsidR="00951AC2" w:rsidRPr="001524F9" w:rsidRDefault="00951AC2" w:rsidP="003D49E2">
            <w:pPr>
              <w:pStyle w:val="TableListNumber"/>
              <w:numPr>
                <w:ilvl w:val="0"/>
                <w:numId w:val="0"/>
              </w:numPr>
              <w:spacing w:before="60" w:after="60"/>
            </w:pPr>
            <w:r>
              <w:t>PMS. I understand how the Charter of Human Rights and Responsibilities applies to my work</w:t>
            </w:r>
          </w:p>
        </w:tc>
        <w:tc>
          <w:tcPr>
            <w:tcW w:w="3543" w:type="dxa"/>
          </w:tcPr>
          <w:p w14:paraId="31EB0D3B" w14:textId="77777777" w:rsidR="00951AC2" w:rsidRPr="001524F9" w:rsidRDefault="00951AC2" w:rsidP="003D49E2">
            <w:pPr>
              <w:pStyle w:val="TableListNumber"/>
              <w:numPr>
                <w:ilvl w:val="0"/>
                <w:numId w:val="0"/>
              </w:numPr>
              <w:spacing w:before="60" w:after="60"/>
            </w:pPr>
            <w:r w:rsidRPr="001524F9">
              <w:t>Above Victorian public sector average (&gt;= 10 percentage points (pp) for total agreement) = 20 points</w:t>
            </w:r>
          </w:p>
          <w:p w14:paraId="21675871" w14:textId="77777777" w:rsidR="00951AC2" w:rsidRPr="001524F9" w:rsidRDefault="00951AC2" w:rsidP="003D49E2">
            <w:pPr>
              <w:pStyle w:val="TableListNumber"/>
              <w:numPr>
                <w:ilvl w:val="0"/>
                <w:numId w:val="0"/>
              </w:numPr>
              <w:spacing w:before="60" w:after="60"/>
            </w:pPr>
            <w:r w:rsidRPr="001524F9">
              <w:t xml:space="preserve">In line with Victorian public sector average (+/- 9 pp) or where </w:t>
            </w:r>
            <w:r>
              <w:t>People Matter Survey</w:t>
            </w:r>
            <w:r w:rsidRPr="001524F9">
              <w:t xml:space="preserve"> results are unavailable = 15 points</w:t>
            </w:r>
          </w:p>
          <w:p w14:paraId="14B8AFE2" w14:textId="77777777" w:rsidR="00951AC2" w:rsidRPr="001524F9" w:rsidRDefault="00951AC2" w:rsidP="003D49E2">
            <w:pPr>
              <w:pStyle w:val="TableListNumber"/>
              <w:numPr>
                <w:ilvl w:val="0"/>
                <w:numId w:val="0"/>
              </w:numPr>
              <w:spacing w:before="60" w:after="60"/>
            </w:pPr>
            <w:r w:rsidRPr="001524F9">
              <w:t>Below whole Victorian public sector (more than 10% under) = 0 points</w:t>
            </w:r>
          </w:p>
        </w:tc>
      </w:tr>
    </w:tbl>
    <w:p w14:paraId="16F86EB6" w14:textId="77777777" w:rsidR="00951AC2" w:rsidRDefault="00951AC2" w:rsidP="00951AC2">
      <w:pPr>
        <w:pStyle w:val="BodyText"/>
        <w:rPr>
          <w:rFonts w:cs="Arial"/>
          <w:szCs w:val="24"/>
        </w:rPr>
      </w:pPr>
    </w:p>
    <w:tbl>
      <w:tblPr>
        <w:tblStyle w:val="CustomTableblue"/>
        <w:tblW w:w="9067" w:type="dxa"/>
        <w:tblLook w:val="0420" w:firstRow="1" w:lastRow="0" w:firstColumn="0" w:lastColumn="0" w:noHBand="0" w:noVBand="1"/>
      </w:tblPr>
      <w:tblGrid>
        <w:gridCol w:w="973"/>
        <w:gridCol w:w="4551"/>
        <w:gridCol w:w="3543"/>
      </w:tblGrid>
      <w:tr w:rsidR="00951AC2" w14:paraId="6EA68C13" w14:textId="77777777" w:rsidTr="003D49E2">
        <w:trPr>
          <w:cnfStyle w:val="100000000000" w:firstRow="1" w:lastRow="0" w:firstColumn="0" w:lastColumn="0" w:oddVBand="0" w:evenVBand="0" w:oddHBand="0" w:evenHBand="0" w:firstRowFirstColumn="0" w:firstRowLastColumn="0" w:lastRowFirstColumn="0" w:lastRowLastColumn="0"/>
        </w:trPr>
        <w:tc>
          <w:tcPr>
            <w:tcW w:w="9067" w:type="dxa"/>
            <w:gridSpan w:val="3"/>
          </w:tcPr>
          <w:p w14:paraId="53BC0206" w14:textId="77777777" w:rsidR="00951AC2" w:rsidRDefault="00951AC2" w:rsidP="003D49E2">
            <w:pPr>
              <w:pStyle w:val="TableBodyTextsmall"/>
              <w:spacing w:before="60" w:after="60"/>
            </w:pPr>
            <w:r>
              <w:rPr>
                <w:rFonts w:cs="Arial"/>
                <w:sz w:val="20"/>
              </w:rPr>
              <w:t>Systems and processes</w:t>
            </w:r>
            <w:r w:rsidRPr="007F24CE">
              <w:rPr>
                <w:rFonts w:cs="Arial"/>
                <w:sz w:val="20"/>
              </w:rPr>
              <w:t xml:space="preserve"> (0 – 100 points)</w:t>
            </w:r>
          </w:p>
        </w:tc>
      </w:tr>
      <w:tr w:rsidR="00951AC2" w14:paraId="58271999"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0658A453" w14:textId="77777777" w:rsidR="00951AC2" w:rsidRPr="007F24CE" w:rsidRDefault="00951AC2" w:rsidP="003D49E2">
            <w:pPr>
              <w:pStyle w:val="TableBodyTextsmall"/>
              <w:spacing w:before="60" w:after="60"/>
              <w:rPr>
                <w:b/>
              </w:rPr>
            </w:pPr>
            <w:r w:rsidRPr="007F24CE">
              <w:rPr>
                <w:rFonts w:cs="Arial"/>
                <w:b/>
                <w:sz w:val="20"/>
              </w:rPr>
              <w:t>Source</w:t>
            </w:r>
          </w:p>
        </w:tc>
        <w:tc>
          <w:tcPr>
            <w:tcW w:w="4551" w:type="dxa"/>
          </w:tcPr>
          <w:p w14:paraId="11A4BB87" w14:textId="77777777" w:rsidR="00951AC2" w:rsidRPr="007F24CE" w:rsidRDefault="00951AC2" w:rsidP="003D49E2">
            <w:pPr>
              <w:pStyle w:val="TableBodyTextsmall"/>
              <w:spacing w:before="60" w:after="60"/>
              <w:rPr>
                <w:rFonts w:cs="Arial"/>
                <w:b/>
                <w:sz w:val="20"/>
              </w:rPr>
            </w:pPr>
            <w:r w:rsidRPr="007F24CE">
              <w:rPr>
                <w:rFonts w:cs="Arial"/>
                <w:b/>
                <w:sz w:val="20"/>
              </w:rPr>
              <w:t>Question</w:t>
            </w:r>
          </w:p>
        </w:tc>
        <w:tc>
          <w:tcPr>
            <w:tcW w:w="3543" w:type="dxa"/>
          </w:tcPr>
          <w:p w14:paraId="77BAE66F" w14:textId="77777777" w:rsidR="00951AC2" w:rsidRPr="007F24CE" w:rsidRDefault="00951AC2" w:rsidP="003D49E2">
            <w:pPr>
              <w:pStyle w:val="TableBodyTextsmall"/>
              <w:spacing w:before="60" w:after="60"/>
              <w:rPr>
                <w:rFonts w:cs="Arial"/>
                <w:b/>
                <w:sz w:val="20"/>
              </w:rPr>
            </w:pPr>
            <w:r w:rsidRPr="007F24CE">
              <w:rPr>
                <w:rFonts w:cs="Arial"/>
                <w:b/>
                <w:sz w:val="20"/>
              </w:rPr>
              <w:t>Point allocation</w:t>
            </w:r>
          </w:p>
        </w:tc>
      </w:tr>
      <w:tr w:rsidR="00951AC2" w14:paraId="7EB3255C"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6F0DE45C" w14:textId="77777777" w:rsidR="00951AC2" w:rsidRDefault="00951AC2" w:rsidP="003D49E2">
            <w:pPr>
              <w:pStyle w:val="TableListNumber"/>
              <w:numPr>
                <w:ilvl w:val="0"/>
                <w:numId w:val="0"/>
              </w:numPr>
              <w:spacing w:before="60" w:after="60"/>
            </w:pPr>
            <w:r>
              <w:t>Survey question</w:t>
            </w:r>
          </w:p>
        </w:tc>
        <w:tc>
          <w:tcPr>
            <w:tcW w:w="4551" w:type="dxa"/>
          </w:tcPr>
          <w:p w14:paraId="02FE9F34" w14:textId="77777777" w:rsidR="00951AC2" w:rsidRPr="001524F9" w:rsidRDefault="00951AC2" w:rsidP="003D49E2">
            <w:pPr>
              <w:pStyle w:val="TableListNumber"/>
              <w:numPr>
                <w:ilvl w:val="0"/>
                <w:numId w:val="0"/>
              </w:numPr>
              <w:spacing w:before="60" w:after="60"/>
            </w:pPr>
            <w:r>
              <w:t>To what extent are human rights embedded into processes or tools used across the organisation: Recruitment, Performance reviews and other human resources processes, Procurement / contracts, Processes involving decision making tools, Legal compliance framework, Risk management register, Business / brand planning documents, Policies</w:t>
            </w:r>
          </w:p>
        </w:tc>
        <w:tc>
          <w:tcPr>
            <w:tcW w:w="3543" w:type="dxa"/>
          </w:tcPr>
          <w:p w14:paraId="7D2E3214" w14:textId="77777777" w:rsidR="00951AC2" w:rsidRPr="003E7BF2" w:rsidRDefault="00951AC2" w:rsidP="003D49E2">
            <w:pPr>
              <w:keepNext/>
              <w:spacing w:after="0"/>
              <w:rPr>
                <w:rFonts w:eastAsia="Times New Roman" w:cs="Times New Roman"/>
                <w:bCs/>
                <w:sz w:val="20"/>
                <w:szCs w:val="24"/>
                <w:lang w:eastAsia="en-GB"/>
              </w:rPr>
            </w:pPr>
            <w:r w:rsidRPr="003E7BF2">
              <w:rPr>
                <w:rFonts w:eastAsia="Times New Roman" w:cs="Times New Roman"/>
                <w:bCs/>
                <w:sz w:val="20"/>
                <w:szCs w:val="24"/>
                <w:lang w:eastAsia="en-GB"/>
              </w:rPr>
              <w:t>4 = 50 points (Great extent)</w:t>
            </w:r>
          </w:p>
          <w:p w14:paraId="70441F34" w14:textId="77777777" w:rsidR="00951AC2" w:rsidRPr="003E7BF2" w:rsidRDefault="00951AC2" w:rsidP="003D49E2">
            <w:pPr>
              <w:keepNext/>
              <w:spacing w:after="0"/>
              <w:rPr>
                <w:rFonts w:eastAsia="Times New Roman" w:cs="Times New Roman"/>
                <w:bCs/>
                <w:sz w:val="20"/>
                <w:szCs w:val="24"/>
                <w:lang w:eastAsia="en-GB"/>
              </w:rPr>
            </w:pPr>
            <w:r w:rsidRPr="003E7BF2">
              <w:rPr>
                <w:rFonts w:eastAsia="Times New Roman" w:cs="Times New Roman"/>
                <w:bCs/>
                <w:sz w:val="20"/>
                <w:szCs w:val="24"/>
                <w:lang w:eastAsia="en-GB"/>
              </w:rPr>
              <w:t>2 or 3 = 25 points (Some or Moderate extent)</w:t>
            </w:r>
          </w:p>
          <w:p w14:paraId="006DFB11" w14:textId="77777777" w:rsidR="00951AC2" w:rsidRPr="003E7BF2" w:rsidRDefault="00951AC2" w:rsidP="003D49E2">
            <w:pPr>
              <w:keepNext/>
              <w:spacing w:after="0"/>
              <w:rPr>
                <w:rFonts w:eastAsia="Times New Roman" w:cs="Times New Roman"/>
                <w:bCs/>
                <w:sz w:val="20"/>
                <w:szCs w:val="24"/>
                <w:lang w:eastAsia="en-GB"/>
              </w:rPr>
            </w:pPr>
            <w:r w:rsidRPr="003E7BF2">
              <w:rPr>
                <w:rFonts w:eastAsia="Times New Roman" w:cs="Times New Roman"/>
                <w:bCs/>
                <w:sz w:val="20"/>
                <w:szCs w:val="24"/>
                <w:lang w:eastAsia="en-GB"/>
              </w:rPr>
              <w:t>1 = 0 points (Not at all)</w:t>
            </w:r>
          </w:p>
          <w:p w14:paraId="16456151" w14:textId="77777777" w:rsidR="00951AC2" w:rsidRPr="001524F9" w:rsidRDefault="00951AC2" w:rsidP="003D49E2">
            <w:pPr>
              <w:pStyle w:val="TableListNumber"/>
              <w:numPr>
                <w:ilvl w:val="0"/>
                <w:numId w:val="0"/>
              </w:numPr>
              <w:spacing w:before="60" w:after="60"/>
            </w:pPr>
            <w:r>
              <w:t>/ number of processes or tools applicable</w:t>
            </w:r>
          </w:p>
        </w:tc>
      </w:tr>
      <w:tr w:rsidR="00951AC2" w14:paraId="6FA3EEFB"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39AD23F6" w14:textId="77777777" w:rsidR="00951AC2" w:rsidRDefault="00951AC2" w:rsidP="003D49E2">
            <w:pPr>
              <w:pStyle w:val="TableListNumber"/>
              <w:numPr>
                <w:ilvl w:val="0"/>
                <w:numId w:val="0"/>
              </w:numPr>
              <w:spacing w:before="60" w:after="60"/>
            </w:pPr>
            <w:r>
              <w:t>Survey question</w:t>
            </w:r>
          </w:p>
        </w:tc>
        <w:tc>
          <w:tcPr>
            <w:tcW w:w="4551" w:type="dxa"/>
          </w:tcPr>
          <w:p w14:paraId="42495508" w14:textId="77777777" w:rsidR="00951AC2" w:rsidRPr="001524F9" w:rsidRDefault="00951AC2" w:rsidP="003D49E2">
            <w:pPr>
              <w:pStyle w:val="TableListNumber"/>
              <w:numPr>
                <w:ilvl w:val="0"/>
                <w:numId w:val="0"/>
              </w:numPr>
              <w:spacing w:before="60" w:after="60"/>
            </w:pPr>
            <w:r>
              <w:t>Does your organisation have a complaints policy?</w:t>
            </w:r>
          </w:p>
        </w:tc>
        <w:tc>
          <w:tcPr>
            <w:tcW w:w="3543" w:type="dxa"/>
          </w:tcPr>
          <w:p w14:paraId="124FE462" w14:textId="77777777" w:rsidR="00951AC2" w:rsidRPr="003E7BF2" w:rsidRDefault="00951AC2" w:rsidP="003D49E2">
            <w:pPr>
              <w:spacing w:after="0"/>
              <w:rPr>
                <w:rFonts w:eastAsia="Times New Roman" w:cs="Times New Roman"/>
                <w:bCs/>
                <w:sz w:val="20"/>
                <w:szCs w:val="24"/>
                <w:lang w:eastAsia="en-GB"/>
              </w:rPr>
            </w:pPr>
            <w:r w:rsidRPr="003E7BF2">
              <w:rPr>
                <w:rFonts w:eastAsia="Times New Roman" w:cs="Times New Roman"/>
                <w:bCs/>
                <w:sz w:val="20"/>
                <w:szCs w:val="24"/>
                <w:lang w:eastAsia="en-GB"/>
              </w:rPr>
              <w:t>1 = 30 points (Yes – publicly available)</w:t>
            </w:r>
          </w:p>
          <w:p w14:paraId="1DF93A3A" w14:textId="77777777" w:rsidR="00951AC2" w:rsidRPr="003E7BF2" w:rsidRDefault="00951AC2" w:rsidP="003D49E2">
            <w:pPr>
              <w:spacing w:after="0"/>
              <w:rPr>
                <w:rFonts w:eastAsia="Times New Roman" w:cs="Times New Roman"/>
                <w:bCs/>
                <w:sz w:val="20"/>
                <w:szCs w:val="24"/>
                <w:lang w:eastAsia="en-GB"/>
              </w:rPr>
            </w:pPr>
            <w:r w:rsidRPr="003E7BF2">
              <w:rPr>
                <w:rFonts w:eastAsia="Times New Roman" w:cs="Times New Roman"/>
                <w:bCs/>
                <w:sz w:val="20"/>
                <w:szCs w:val="24"/>
                <w:lang w:eastAsia="en-GB"/>
              </w:rPr>
              <w:t>2 = 15 points (Yes – but not publicly available)</w:t>
            </w:r>
          </w:p>
          <w:p w14:paraId="7D3B8681" w14:textId="77777777" w:rsidR="00951AC2" w:rsidRPr="001524F9" w:rsidRDefault="00951AC2" w:rsidP="003D49E2">
            <w:pPr>
              <w:pStyle w:val="TableListNumber"/>
              <w:numPr>
                <w:ilvl w:val="0"/>
                <w:numId w:val="0"/>
              </w:numPr>
              <w:spacing w:before="60" w:after="60"/>
            </w:pPr>
            <w:r>
              <w:t>3 = 0 points (No)</w:t>
            </w:r>
          </w:p>
        </w:tc>
      </w:tr>
      <w:tr w:rsidR="00951AC2" w14:paraId="3E26CE6E"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7F141794" w14:textId="77777777" w:rsidR="00951AC2" w:rsidRDefault="00951AC2" w:rsidP="003D49E2">
            <w:pPr>
              <w:pStyle w:val="TableListNumber"/>
              <w:numPr>
                <w:ilvl w:val="0"/>
                <w:numId w:val="0"/>
              </w:numPr>
              <w:spacing w:before="60" w:after="60"/>
            </w:pPr>
            <w:r>
              <w:t>Survey question</w:t>
            </w:r>
          </w:p>
        </w:tc>
        <w:tc>
          <w:tcPr>
            <w:tcW w:w="4551" w:type="dxa"/>
          </w:tcPr>
          <w:p w14:paraId="40D98778" w14:textId="77777777" w:rsidR="00951AC2" w:rsidRPr="001524F9" w:rsidRDefault="00951AC2" w:rsidP="003D49E2">
            <w:pPr>
              <w:pStyle w:val="TableListNumber"/>
              <w:numPr>
                <w:ilvl w:val="0"/>
                <w:numId w:val="0"/>
              </w:numPr>
              <w:spacing w:before="60" w:after="60"/>
            </w:pPr>
            <w:r>
              <w:t>Does your complaints policy prompt staff to consider whether the human rights of the complainant have been engaged?</w:t>
            </w:r>
          </w:p>
        </w:tc>
        <w:tc>
          <w:tcPr>
            <w:tcW w:w="3543" w:type="dxa"/>
          </w:tcPr>
          <w:p w14:paraId="742EE66D" w14:textId="77777777" w:rsidR="00951AC2" w:rsidRPr="003E7BF2" w:rsidRDefault="00951AC2" w:rsidP="003D49E2">
            <w:pPr>
              <w:spacing w:after="0"/>
              <w:rPr>
                <w:rFonts w:eastAsia="Times New Roman" w:cs="Times New Roman"/>
                <w:bCs/>
                <w:sz w:val="20"/>
                <w:szCs w:val="24"/>
                <w:lang w:eastAsia="en-GB"/>
              </w:rPr>
            </w:pPr>
            <w:r w:rsidRPr="003E7BF2">
              <w:rPr>
                <w:rFonts w:eastAsia="Times New Roman" w:cs="Times New Roman"/>
                <w:bCs/>
                <w:sz w:val="20"/>
                <w:szCs w:val="24"/>
                <w:lang w:eastAsia="en-GB"/>
              </w:rPr>
              <w:t>Yes = 10 points</w:t>
            </w:r>
          </w:p>
          <w:p w14:paraId="464AC9A6" w14:textId="77777777" w:rsidR="00951AC2" w:rsidRPr="001524F9" w:rsidRDefault="00951AC2" w:rsidP="003D49E2">
            <w:pPr>
              <w:pStyle w:val="TableListNumber"/>
              <w:numPr>
                <w:ilvl w:val="0"/>
                <w:numId w:val="0"/>
              </w:numPr>
              <w:spacing w:before="60" w:after="60"/>
            </w:pPr>
            <w:r>
              <w:t>No = 0 points</w:t>
            </w:r>
          </w:p>
        </w:tc>
      </w:tr>
      <w:tr w:rsidR="00951AC2" w14:paraId="4B86B0EF" w14:textId="77777777" w:rsidTr="003D49E2">
        <w:trPr>
          <w:cnfStyle w:val="000000100000" w:firstRow="0" w:lastRow="0" w:firstColumn="0" w:lastColumn="0" w:oddVBand="0" w:evenVBand="0" w:oddHBand="1" w:evenHBand="0" w:firstRowFirstColumn="0" w:firstRowLastColumn="0" w:lastRowFirstColumn="0" w:lastRowLastColumn="0"/>
        </w:trPr>
        <w:tc>
          <w:tcPr>
            <w:tcW w:w="973" w:type="dxa"/>
          </w:tcPr>
          <w:p w14:paraId="71CA25BA" w14:textId="77777777" w:rsidR="00951AC2" w:rsidRDefault="00951AC2" w:rsidP="003D49E2">
            <w:pPr>
              <w:pStyle w:val="TableListNumber"/>
              <w:numPr>
                <w:ilvl w:val="0"/>
                <w:numId w:val="0"/>
              </w:numPr>
              <w:spacing w:before="60" w:after="60"/>
            </w:pPr>
            <w:r>
              <w:t>Survey question</w:t>
            </w:r>
          </w:p>
        </w:tc>
        <w:tc>
          <w:tcPr>
            <w:tcW w:w="4551" w:type="dxa"/>
          </w:tcPr>
          <w:p w14:paraId="7316539E" w14:textId="77777777" w:rsidR="00951AC2" w:rsidRPr="001524F9" w:rsidRDefault="00951AC2" w:rsidP="003D49E2">
            <w:pPr>
              <w:pStyle w:val="TableListNumber"/>
              <w:numPr>
                <w:ilvl w:val="0"/>
                <w:numId w:val="0"/>
              </w:numPr>
              <w:spacing w:before="60" w:after="60"/>
            </w:pPr>
            <w:r>
              <w:t>Does your complaints policy include a timeframe for resolving complaints?</w:t>
            </w:r>
          </w:p>
        </w:tc>
        <w:tc>
          <w:tcPr>
            <w:tcW w:w="3543" w:type="dxa"/>
          </w:tcPr>
          <w:p w14:paraId="3A92C8C3" w14:textId="77777777" w:rsidR="00951AC2" w:rsidRPr="003E7BF2" w:rsidRDefault="00951AC2" w:rsidP="003D49E2">
            <w:pPr>
              <w:spacing w:after="0"/>
              <w:rPr>
                <w:rFonts w:eastAsia="Times New Roman" w:cs="Times New Roman"/>
                <w:bCs/>
                <w:sz w:val="20"/>
                <w:szCs w:val="24"/>
                <w:lang w:eastAsia="en-GB"/>
              </w:rPr>
            </w:pPr>
            <w:r w:rsidRPr="003E7BF2">
              <w:rPr>
                <w:rFonts w:eastAsia="Times New Roman" w:cs="Times New Roman"/>
                <w:bCs/>
                <w:sz w:val="20"/>
                <w:szCs w:val="24"/>
                <w:lang w:eastAsia="en-GB"/>
              </w:rPr>
              <w:t xml:space="preserve">Yes = 5 points </w:t>
            </w:r>
          </w:p>
          <w:p w14:paraId="2C2CBE21" w14:textId="77777777" w:rsidR="00951AC2" w:rsidRPr="001524F9" w:rsidRDefault="00951AC2" w:rsidP="003D49E2">
            <w:pPr>
              <w:pStyle w:val="TableListNumber"/>
              <w:numPr>
                <w:ilvl w:val="0"/>
                <w:numId w:val="0"/>
              </w:numPr>
              <w:spacing w:before="60" w:after="60"/>
            </w:pPr>
            <w:r>
              <w:t>No = 0 points</w:t>
            </w:r>
          </w:p>
        </w:tc>
      </w:tr>
      <w:tr w:rsidR="00951AC2" w14:paraId="15FF2A58" w14:textId="77777777" w:rsidTr="003D49E2">
        <w:trPr>
          <w:cnfStyle w:val="000000010000" w:firstRow="0" w:lastRow="0" w:firstColumn="0" w:lastColumn="0" w:oddVBand="0" w:evenVBand="0" w:oddHBand="0" w:evenHBand="1" w:firstRowFirstColumn="0" w:firstRowLastColumn="0" w:lastRowFirstColumn="0" w:lastRowLastColumn="0"/>
        </w:trPr>
        <w:tc>
          <w:tcPr>
            <w:tcW w:w="973" w:type="dxa"/>
          </w:tcPr>
          <w:p w14:paraId="093E9C77" w14:textId="77777777" w:rsidR="00951AC2" w:rsidRDefault="00951AC2" w:rsidP="003D49E2">
            <w:pPr>
              <w:pStyle w:val="TableListNumber"/>
              <w:numPr>
                <w:ilvl w:val="0"/>
                <w:numId w:val="0"/>
              </w:numPr>
              <w:spacing w:before="60" w:after="60"/>
            </w:pPr>
            <w:r>
              <w:t>Survey question</w:t>
            </w:r>
          </w:p>
        </w:tc>
        <w:tc>
          <w:tcPr>
            <w:tcW w:w="4551" w:type="dxa"/>
          </w:tcPr>
          <w:p w14:paraId="42053A53" w14:textId="77777777" w:rsidR="00951AC2" w:rsidRPr="001524F9" w:rsidRDefault="00951AC2" w:rsidP="003D49E2">
            <w:pPr>
              <w:pStyle w:val="TableListNumber"/>
              <w:numPr>
                <w:ilvl w:val="0"/>
                <w:numId w:val="0"/>
              </w:numPr>
              <w:spacing w:before="60" w:after="60"/>
            </w:pPr>
            <w:r>
              <w:t>Does your organisation record whether service improvements are made in response to complaints?</w:t>
            </w:r>
          </w:p>
        </w:tc>
        <w:tc>
          <w:tcPr>
            <w:tcW w:w="3543" w:type="dxa"/>
          </w:tcPr>
          <w:p w14:paraId="5D9B6BBA" w14:textId="77777777" w:rsidR="00951AC2" w:rsidRPr="003E7BF2" w:rsidRDefault="00951AC2" w:rsidP="003D49E2">
            <w:pPr>
              <w:spacing w:after="0"/>
              <w:rPr>
                <w:rFonts w:eastAsia="Times New Roman" w:cs="Times New Roman"/>
                <w:bCs/>
                <w:sz w:val="20"/>
                <w:szCs w:val="24"/>
                <w:lang w:eastAsia="en-GB"/>
              </w:rPr>
            </w:pPr>
            <w:r w:rsidRPr="003E7BF2">
              <w:rPr>
                <w:rFonts w:eastAsia="Times New Roman" w:cs="Times New Roman"/>
                <w:bCs/>
                <w:sz w:val="20"/>
                <w:szCs w:val="24"/>
                <w:lang w:eastAsia="en-GB"/>
              </w:rPr>
              <w:t>Yes = 5 points</w:t>
            </w:r>
          </w:p>
          <w:p w14:paraId="2E8095CA" w14:textId="77777777" w:rsidR="00951AC2" w:rsidRPr="001524F9" w:rsidRDefault="00951AC2" w:rsidP="003D49E2">
            <w:pPr>
              <w:pStyle w:val="TableListNumber"/>
              <w:numPr>
                <w:ilvl w:val="0"/>
                <w:numId w:val="0"/>
              </w:numPr>
              <w:spacing w:before="60" w:after="60"/>
            </w:pPr>
            <w:r>
              <w:t>No = 0 points</w:t>
            </w:r>
          </w:p>
        </w:tc>
      </w:tr>
    </w:tbl>
    <w:p w14:paraId="79084224" w14:textId="77777777" w:rsidR="00951AC2" w:rsidRDefault="00951AC2" w:rsidP="00951AC2">
      <w:pPr>
        <w:pStyle w:val="BodyText"/>
      </w:pPr>
    </w:p>
    <w:p w14:paraId="4CDE468E" w14:textId="77777777" w:rsidR="00951AC2" w:rsidRDefault="00951AC2" w:rsidP="00951AC2">
      <w:pPr>
        <w:spacing w:before="0" w:after="200" w:line="276" w:lineRule="auto"/>
      </w:pPr>
    </w:p>
    <w:p w14:paraId="06458996" w14:textId="77777777" w:rsidR="00951AC2" w:rsidRDefault="00951AC2" w:rsidP="00951AC2">
      <w:pPr>
        <w:spacing w:before="0" w:after="200" w:line="276" w:lineRule="auto"/>
        <w:rPr>
          <w:rStyle w:val="Characterbold"/>
        </w:rPr>
      </w:pPr>
      <w:r>
        <w:rPr>
          <w:rStyle w:val="Characterbold"/>
        </w:rPr>
        <w:br w:type="page"/>
      </w:r>
    </w:p>
    <w:p w14:paraId="34BBE45C" w14:textId="77777777" w:rsidR="00951AC2" w:rsidRDefault="00951AC2" w:rsidP="00C846A1">
      <w:pPr>
        <w:pStyle w:val="AppendixHeading1"/>
        <w:numPr>
          <w:ilvl w:val="0"/>
          <w:numId w:val="55"/>
        </w:numPr>
        <w:tabs>
          <w:tab w:val="clear" w:pos="2268"/>
        </w:tabs>
        <w:ind w:left="0" w:firstLine="0"/>
      </w:pPr>
      <w:bookmarkStart w:id="136" w:name="_Toc14345906"/>
      <w:bookmarkStart w:id="137" w:name="_Hlk8720347"/>
      <w:r>
        <w:lastRenderedPageBreak/>
        <w:t>Cases raising or considering the Charter in 2018</w:t>
      </w:r>
      <w:r w:rsidRPr="004862C5">
        <w:rPr>
          <w:rStyle w:val="FootnoteReference"/>
        </w:rPr>
        <w:footnoteReference w:id="106"/>
      </w:r>
      <w:bookmarkEnd w:id="136"/>
    </w:p>
    <w:tbl>
      <w:tblPr>
        <w:tblStyle w:val="CustomTableblue"/>
        <w:tblW w:w="9776" w:type="dxa"/>
        <w:tblLook w:val="0420" w:firstRow="1" w:lastRow="0" w:firstColumn="0" w:lastColumn="0" w:noHBand="0" w:noVBand="1"/>
      </w:tblPr>
      <w:tblGrid>
        <w:gridCol w:w="5240"/>
        <w:gridCol w:w="2126"/>
        <w:gridCol w:w="2410"/>
      </w:tblGrid>
      <w:tr w:rsidR="00951AC2" w14:paraId="5B036636" w14:textId="77777777" w:rsidTr="003D49E2">
        <w:trPr>
          <w:cnfStyle w:val="100000000000" w:firstRow="1" w:lastRow="0" w:firstColumn="0" w:lastColumn="0" w:oddVBand="0" w:evenVBand="0" w:oddHBand="0" w:evenHBand="0" w:firstRowFirstColumn="0" w:firstRowLastColumn="0" w:lastRowFirstColumn="0" w:lastRowLastColumn="0"/>
        </w:trPr>
        <w:tc>
          <w:tcPr>
            <w:tcW w:w="5240" w:type="dxa"/>
          </w:tcPr>
          <w:bookmarkEnd w:id="137"/>
          <w:p w14:paraId="27345EFC" w14:textId="77777777" w:rsidR="00951AC2" w:rsidRPr="009764E0" w:rsidRDefault="00951AC2" w:rsidP="003D49E2">
            <w:pPr>
              <w:pStyle w:val="BodyText"/>
              <w:rPr>
                <w:rStyle w:val="Characterbold"/>
                <w:b/>
                <w:sz w:val="20"/>
              </w:rPr>
            </w:pPr>
            <w:r w:rsidRPr="009764E0">
              <w:rPr>
                <w:rStyle w:val="Characterbold"/>
                <w:b/>
                <w:sz w:val="20"/>
              </w:rPr>
              <w:t>Case</w:t>
            </w:r>
          </w:p>
        </w:tc>
        <w:tc>
          <w:tcPr>
            <w:tcW w:w="2126" w:type="dxa"/>
          </w:tcPr>
          <w:p w14:paraId="1F2CC0EA" w14:textId="77777777" w:rsidR="00951AC2" w:rsidRPr="009764E0" w:rsidRDefault="00951AC2" w:rsidP="003D49E2">
            <w:pPr>
              <w:pStyle w:val="BodyText"/>
              <w:rPr>
                <w:rStyle w:val="Characterbold"/>
                <w:b/>
                <w:sz w:val="20"/>
              </w:rPr>
            </w:pPr>
            <w:r w:rsidRPr="009764E0">
              <w:rPr>
                <w:rStyle w:val="Characterbold"/>
                <w:b/>
                <w:sz w:val="20"/>
              </w:rPr>
              <w:t>Date</w:t>
            </w:r>
          </w:p>
        </w:tc>
        <w:tc>
          <w:tcPr>
            <w:tcW w:w="2410" w:type="dxa"/>
          </w:tcPr>
          <w:p w14:paraId="12F1A2E8" w14:textId="77777777" w:rsidR="00951AC2" w:rsidRPr="009764E0" w:rsidRDefault="00951AC2" w:rsidP="003D49E2">
            <w:pPr>
              <w:pStyle w:val="BodyText"/>
              <w:rPr>
                <w:rStyle w:val="Characterbold"/>
                <w:b/>
                <w:sz w:val="20"/>
              </w:rPr>
            </w:pPr>
            <w:r w:rsidRPr="009764E0">
              <w:rPr>
                <w:rStyle w:val="Characterbold"/>
                <w:b/>
                <w:sz w:val="20"/>
              </w:rPr>
              <w:t>Court</w:t>
            </w:r>
          </w:p>
        </w:tc>
      </w:tr>
      <w:tr w:rsidR="00951AC2" w14:paraId="1EB4C7D2"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2C750DD8" w14:textId="77777777" w:rsidR="00951AC2" w:rsidRPr="009764E0" w:rsidRDefault="00951AC2" w:rsidP="003D49E2">
            <w:pPr>
              <w:pStyle w:val="TableBodyTextsmall"/>
              <w:spacing w:before="60" w:after="60"/>
              <w:rPr>
                <w:rFonts w:cs="Arial"/>
                <w:sz w:val="20"/>
              </w:rPr>
            </w:pPr>
            <w:r w:rsidRPr="009764E0">
              <w:rPr>
                <w:rFonts w:cs="Arial"/>
                <w:i/>
                <w:sz w:val="20"/>
              </w:rPr>
              <w:t>Haigh v Ryan</w:t>
            </w:r>
            <w:r w:rsidRPr="009764E0">
              <w:rPr>
                <w:rFonts w:cs="Arial"/>
                <w:sz w:val="20"/>
              </w:rPr>
              <w:t xml:space="preserve"> [2018] VSC 474</w:t>
            </w:r>
          </w:p>
        </w:tc>
        <w:tc>
          <w:tcPr>
            <w:tcW w:w="2126" w:type="dxa"/>
          </w:tcPr>
          <w:p w14:paraId="21A0E459" w14:textId="77777777" w:rsidR="00951AC2" w:rsidRPr="009764E0" w:rsidRDefault="00951AC2" w:rsidP="003D49E2">
            <w:pPr>
              <w:pStyle w:val="TableBodyTextsmall"/>
              <w:spacing w:before="60" w:after="60"/>
              <w:rPr>
                <w:rFonts w:cs="Arial"/>
                <w:sz w:val="20"/>
              </w:rPr>
            </w:pPr>
            <w:r w:rsidRPr="009764E0">
              <w:rPr>
                <w:rFonts w:cs="Arial"/>
                <w:sz w:val="20"/>
              </w:rPr>
              <w:t>24 August 2018</w:t>
            </w:r>
          </w:p>
        </w:tc>
        <w:tc>
          <w:tcPr>
            <w:tcW w:w="2410" w:type="dxa"/>
          </w:tcPr>
          <w:p w14:paraId="3464EBBF" w14:textId="77777777" w:rsidR="00951AC2" w:rsidRPr="009764E0" w:rsidRDefault="00951AC2" w:rsidP="003D49E2">
            <w:pPr>
              <w:pStyle w:val="TableBodyTextsmall"/>
              <w:spacing w:before="60" w:after="60"/>
              <w:rPr>
                <w:rFonts w:cs="Arial"/>
                <w:sz w:val="20"/>
              </w:rPr>
            </w:pPr>
            <w:r w:rsidRPr="009764E0">
              <w:rPr>
                <w:rFonts w:cs="Arial"/>
                <w:sz w:val="20"/>
              </w:rPr>
              <w:t xml:space="preserve">Supreme Court </w:t>
            </w:r>
          </w:p>
        </w:tc>
      </w:tr>
      <w:tr w:rsidR="00951AC2" w14:paraId="5D9FEE3D"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18627711" w14:textId="77777777" w:rsidR="00951AC2" w:rsidRPr="009764E0" w:rsidRDefault="00951AC2" w:rsidP="003D49E2">
            <w:pPr>
              <w:pStyle w:val="TableBodyTextsmall"/>
              <w:spacing w:before="60" w:after="60"/>
              <w:rPr>
                <w:rFonts w:cs="Arial"/>
                <w:sz w:val="20"/>
              </w:rPr>
            </w:pPr>
            <w:r w:rsidRPr="009764E0">
              <w:rPr>
                <w:rFonts w:cs="Arial"/>
                <w:i/>
                <w:sz w:val="20"/>
              </w:rPr>
              <w:t>Owners Corporation v Black</w:t>
            </w:r>
            <w:r w:rsidRPr="009764E0">
              <w:rPr>
                <w:rFonts w:cs="Arial"/>
                <w:sz w:val="20"/>
              </w:rPr>
              <w:t xml:space="preserve"> [2018] VSC 337</w:t>
            </w:r>
          </w:p>
        </w:tc>
        <w:tc>
          <w:tcPr>
            <w:tcW w:w="2126" w:type="dxa"/>
          </w:tcPr>
          <w:p w14:paraId="147E8E5C" w14:textId="77777777" w:rsidR="00951AC2" w:rsidRPr="009764E0" w:rsidRDefault="00951AC2" w:rsidP="003D49E2">
            <w:pPr>
              <w:pStyle w:val="TableBodyTextsmall"/>
              <w:spacing w:before="60" w:after="60"/>
              <w:rPr>
                <w:rFonts w:cs="Arial"/>
                <w:sz w:val="20"/>
              </w:rPr>
            </w:pPr>
            <w:r w:rsidRPr="009764E0">
              <w:rPr>
                <w:rFonts w:cs="Arial"/>
                <w:sz w:val="20"/>
              </w:rPr>
              <w:t>21 June 2018</w:t>
            </w:r>
          </w:p>
        </w:tc>
        <w:tc>
          <w:tcPr>
            <w:tcW w:w="2410" w:type="dxa"/>
          </w:tcPr>
          <w:p w14:paraId="56282853"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2EE91B2E"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5B837E30" w14:textId="77777777" w:rsidR="00951AC2" w:rsidRPr="009764E0" w:rsidRDefault="00951AC2" w:rsidP="003D49E2">
            <w:pPr>
              <w:pStyle w:val="TableBodyTextsmall"/>
              <w:spacing w:before="60" w:after="60"/>
              <w:rPr>
                <w:rFonts w:cs="Arial"/>
                <w:sz w:val="20"/>
              </w:rPr>
            </w:pPr>
            <w:r w:rsidRPr="009764E0">
              <w:rPr>
                <w:rFonts w:cs="Arial"/>
                <w:i/>
                <w:sz w:val="20"/>
              </w:rPr>
              <w:t>PBU and NJE v Mental Health Tribunal</w:t>
            </w:r>
            <w:r w:rsidRPr="009764E0">
              <w:rPr>
                <w:rFonts w:cs="Arial"/>
                <w:sz w:val="20"/>
              </w:rPr>
              <w:t xml:space="preserve"> [2018] VSC 564</w:t>
            </w:r>
          </w:p>
        </w:tc>
        <w:tc>
          <w:tcPr>
            <w:tcW w:w="2126" w:type="dxa"/>
          </w:tcPr>
          <w:p w14:paraId="5E8CE415" w14:textId="77777777" w:rsidR="00951AC2" w:rsidRPr="009764E0" w:rsidRDefault="00951AC2" w:rsidP="003D49E2">
            <w:pPr>
              <w:pStyle w:val="TableBodyTextsmall"/>
              <w:spacing w:before="60" w:after="60"/>
              <w:rPr>
                <w:rFonts w:cs="Arial"/>
                <w:sz w:val="20"/>
              </w:rPr>
            </w:pPr>
            <w:r w:rsidRPr="009764E0">
              <w:rPr>
                <w:rFonts w:cs="Arial"/>
                <w:sz w:val="20"/>
              </w:rPr>
              <w:t>1 November 2018</w:t>
            </w:r>
          </w:p>
        </w:tc>
        <w:tc>
          <w:tcPr>
            <w:tcW w:w="2410" w:type="dxa"/>
          </w:tcPr>
          <w:p w14:paraId="5E16E201"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4CD88F06"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3FC46CE2" w14:textId="77777777" w:rsidR="00951AC2" w:rsidRPr="009764E0" w:rsidRDefault="00951AC2" w:rsidP="003D49E2">
            <w:pPr>
              <w:pStyle w:val="TableBodyTextsmall"/>
              <w:spacing w:before="60" w:after="60"/>
              <w:rPr>
                <w:rFonts w:cs="Arial"/>
                <w:sz w:val="20"/>
              </w:rPr>
            </w:pPr>
            <w:proofErr w:type="spellStart"/>
            <w:r w:rsidRPr="009764E0">
              <w:rPr>
                <w:rFonts w:cs="Arial"/>
                <w:i/>
                <w:sz w:val="20"/>
              </w:rPr>
              <w:t>Cemino</w:t>
            </w:r>
            <w:proofErr w:type="spellEnd"/>
            <w:r w:rsidRPr="009764E0">
              <w:rPr>
                <w:rFonts w:cs="Arial"/>
                <w:i/>
                <w:sz w:val="20"/>
              </w:rPr>
              <w:t xml:space="preserve"> v </w:t>
            </w:r>
            <w:proofErr w:type="spellStart"/>
            <w:r w:rsidRPr="009764E0">
              <w:rPr>
                <w:rFonts w:cs="Arial"/>
                <w:i/>
                <w:sz w:val="20"/>
              </w:rPr>
              <w:t>Cannan</w:t>
            </w:r>
            <w:proofErr w:type="spellEnd"/>
            <w:r w:rsidRPr="009764E0">
              <w:rPr>
                <w:rFonts w:cs="Arial"/>
                <w:sz w:val="20"/>
              </w:rPr>
              <w:t xml:space="preserve"> [2018] VSC 535</w:t>
            </w:r>
          </w:p>
        </w:tc>
        <w:tc>
          <w:tcPr>
            <w:tcW w:w="2126" w:type="dxa"/>
          </w:tcPr>
          <w:p w14:paraId="6D91E447" w14:textId="77777777" w:rsidR="00951AC2" w:rsidRPr="009764E0" w:rsidRDefault="00951AC2" w:rsidP="003D49E2">
            <w:pPr>
              <w:pStyle w:val="TableBodyTextsmall"/>
              <w:spacing w:before="60" w:after="60"/>
              <w:rPr>
                <w:rFonts w:cs="Arial"/>
                <w:sz w:val="20"/>
              </w:rPr>
            </w:pPr>
            <w:r w:rsidRPr="009764E0">
              <w:rPr>
                <w:rFonts w:cs="Arial"/>
                <w:sz w:val="20"/>
              </w:rPr>
              <w:t>17 September 2018</w:t>
            </w:r>
          </w:p>
        </w:tc>
        <w:tc>
          <w:tcPr>
            <w:tcW w:w="2410" w:type="dxa"/>
          </w:tcPr>
          <w:p w14:paraId="10EF7141"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482CA1DE"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2AF3ACCD" w14:textId="77777777" w:rsidR="00951AC2" w:rsidRPr="009764E0" w:rsidRDefault="00951AC2" w:rsidP="003D49E2">
            <w:pPr>
              <w:pStyle w:val="TableBodyTextsmall"/>
              <w:spacing w:before="60" w:after="60"/>
              <w:rPr>
                <w:rFonts w:cs="Arial"/>
                <w:sz w:val="20"/>
              </w:rPr>
            </w:pPr>
            <w:r w:rsidRPr="009764E0">
              <w:rPr>
                <w:rFonts w:cs="Arial"/>
                <w:i/>
                <w:sz w:val="20"/>
              </w:rPr>
              <w:t xml:space="preserve">DPP v </w:t>
            </w:r>
            <w:proofErr w:type="spellStart"/>
            <w:r w:rsidRPr="009764E0">
              <w:rPr>
                <w:rFonts w:cs="Arial"/>
                <w:i/>
                <w:sz w:val="20"/>
              </w:rPr>
              <w:t>Rayment</w:t>
            </w:r>
            <w:proofErr w:type="spellEnd"/>
            <w:r w:rsidRPr="009764E0">
              <w:rPr>
                <w:rFonts w:cs="Arial"/>
                <w:sz w:val="20"/>
              </w:rPr>
              <w:t xml:space="preserve"> [2018] VSC 663</w:t>
            </w:r>
          </w:p>
        </w:tc>
        <w:tc>
          <w:tcPr>
            <w:tcW w:w="2126" w:type="dxa"/>
          </w:tcPr>
          <w:p w14:paraId="61390338" w14:textId="77777777" w:rsidR="00951AC2" w:rsidRPr="009764E0" w:rsidRDefault="00951AC2" w:rsidP="003D49E2">
            <w:pPr>
              <w:pStyle w:val="TableBodyTextsmall"/>
              <w:spacing w:before="60" w:after="60"/>
              <w:rPr>
                <w:rFonts w:cs="Arial"/>
                <w:sz w:val="20"/>
              </w:rPr>
            </w:pPr>
            <w:r w:rsidRPr="009764E0">
              <w:rPr>
                <w:rFonts w:cs="Arial"/>
                <w:sz w:val="20"/>
              </w:rPr>
              <w:t>2 November 2018</w:t>
            </w:r>
          </w:p>
        </w:tc>
        <w:tc>
          <w:tcPr>
            <w:tcW w:w="2410" w:type="dxa"/>
          </w:tcPr>
          <w:p w14:paraId="633D77DF"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0D9A3713"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734AA527" w14:textId="77777777" w:rsidR="00951AC2" w:rsidRPr="009764E0" w:rsidRDefault="00951AC2" w:rsidP="003D49E2">
            <w:pPr>
              <w:pStyle w:val="TableBodyTextsmall"/>
              <w:spacing w:before="60" w:after="60"/>
              <w:rPr>
                <w:rFonts w:cs="Arial"/>
                <w:sz w:val="20"/>
              </w:rPr>
            </w:pPr>
            <w:r w:rsidRPr="009764E0">
              <w:rPr>
                <w:rFonts w:cs="Arial"/>
                <w:i/>
                <w:sz w:val="20"/>
              </w:rPr>
              <w:t>AB &amp; EF v CD</w:t>
            </w:r>
            <w:r w:rsidRPr="009764E0">
              <w:rPr>
                <w:rFonts w:cs="Arial"/>
                <w:sz w:val="20"/>
              </w:rPr>
              <w:t xml:space="preserve"> [2017] VSC 350</w:t>
            </w:r>
          </w:p>
        </w:tc>
        <w:tc>
          <w:tcPr>
            <w:tcW w:w="2126" w:type="dxa"/>
          </w:tcPr>
          <w:p w14:paraId="11AEAB67" w14:textId="77777777" w:rsidR="00951AC2" w:rsidRPr="009764E0" w:rsidRDefault="00951AC2" w:rsidP="003D49E2">
            <w:pPr>
              <w:pStyle w:val="TableBodyTextsmall"/>
              <w:spacing w:before="60" w:after="60"/>
              <w:rPr>
                <w:rFonts w:cs="Arial"/>
                <w:sz w:val="20"/>
              </w:rPr>
            </w:pPr>
            <w:r w:rsidRPr="009764E0">
              <w:rPr>
                <w:rFonts w:cs="Arial"/>
                <w:sz w:val="20"/>
              </w:rPr>
              <w:t>19 June 2017</w:t>
            </w:r>
          </w:p>
        </w:tc>
        <w:tc>
          <w:tcPr>
            <w:tcW w:w="2410" w:type="dxa"/>
          </w:tcPr>
          <w:p w14:paraId="74F246FC"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3A7547CB"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703F7B63" w14:textId="77777777" w:rsidR="00951AC2" w:rsidRPr="009764E0" w:rsidRDefault="00951AC2" w:rsidP="003D49E2">
            <w:pPr>
              <w:pStyle w:val="TableBodyTextsmall"/>
              <w:spacing w:before="60" w:after="60"/>
              <w:rPr>
                <w:rFonts w:cs="Arial"/>
                <w:sz w:val="20"/>
              </w:rPr>
            </w:pPr>
            <w:r w:rsidRPr="009764E0">
              <w:rPr>
                <w:rFonts w:cs="Arial"/>
                <w:i/>
                <w:sz w:val="20"/>
              </w:rPr>
              <w:t>AB v CD and EF</w:t>
            </w:r>
            <w:r w:rsidRPr="009764E0">
              <w:rPr>
                <w:rFonts w:cs="Arial"/>
                <w:sz w:val="20"/>
              </w:rPr>
              <w:t xml:space="preserve"> [2017] VSCA 338</w:t>
            </w:r>
          </w:p>
        </w:tc>
        <w:tc>
          <w:tcPr>
            <w:tcW w:w="2126" w:type="dxa"/>
          </w:tcPr>
          <w:p w14:paraId="4E6D7A9A" w14:textId="77777777" w:rsidR="00951AC2" w:rsidRPr="009764E0" w:rsidRDefault="00951AC2" w:rsidP="003D49E2">
            <w:pPr>
              <w:pStyle w:val="TableBodyTextsmall"/>
              <w:spacing w:before="60" w:after="60"/>
              <w:rPr>
                <w:rFonts w:cs="Arial"/>
                <w:sz w:val="20"/>
              </w:rPr>
            </w:pPr>
            <w:r w:rsidRPr="009764E0">
              <w:rPr>
                <w:rFonts w:cs="Arial"/>
                <w:sz w:val="20"/>
              </w:rPr>
              <w:t>21 November 2018</w:t>
            </w:r>
          </w:p>
        </w:tc>
        <w:tc>
          <w:tcPr>
            <w:tcW w:w="2410" w:type="dxa"/>
          </w:tcPr>
          <w:p w14:paraId="590546AD" w14:textId="77777777" w:rsidR="00951AC2" w:rsidRPr="009764E0" w:rsidRDefault="00951AC2" w:rsidP="003D49E2">
            <w:pPr>
              <w:pStyle w:val="TableBodyTextsmall"/>
              <w:spacing w:before="60" w:after="60"/>
              <w:rPr>
                <w:rFonts w:cs="Arial"/>
                <w:sz w:val="20"/>
              </w:rPr>
            </w:pPr>
            <w:r w:rsidRPr="009764E0">
              <w:rPr>
                <w:rFonts w:cs="Arial"/>
                <w:sz w:val="20"/>
              </w:rPr>
              <w:t>Court of Appeal</w:t>
            </w:r>
          </w:p>
        </w:tc>
      </w:tr>
      <w:tr w:rsidR="00951AC2" w14:paraId="0A6DA97C"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405014A2" w14:textId="77777777" w:rsidR="00951AC2" w:rsidRPr="009764E0" w:rsidRDefault="00951AC2" w:rsidP="003D49E2">
            <w:pPr>
              <w:pStyle w:val="TableBodyTextsmall"/>
              <w:spacing w:before="60" w:after="60"/>
              <w:rPr>
                <w:rFonts w:cs="Arial"/>
                <w:sz w:val="20"/>
              </w:rPr>
            </w:pPr>
            <w:r w:rsidRPr="009764E0">
              <w:rPr>
                <w:rFonts w:cs="Arial"/>
                <w:i/>
                <w:sz w:val="20"/>
              </w:rPr>
              <w:t>AB &amp; CD; EF v CD</w:t>
            </w:r>
            <w:r w:rsidRPr="009764E0">
              <w:rPr>
                <w:rFonts w:cs="Arial"/>
                <w:sz w:val="20"/>
              </w:rPr>
              <w:t xml:space="preserve"> [2019] HCA 6</w:t>
            </w:r>
          </w:p>
        </w:tc>
        <w:tc>
          <w:tcPr>
            <w:tcW w:w="2126" w:type="dxa"/>
          </w:tcPr>
          <w:p w14:paraId="5B34552E" w14:textId="77777777" w:rsidR="00951AC2" w:rsidRPr="009764E0" w:rsidRDefault="00951AC2" w:rsidP="003D49E2">
            <w:pPr>
              <w:pStyle w:val="TableBodyTextsmall"/>
              <w:spacing w:before="60" w:after="60"/>
              <w:rPr>
                <w:rFonts w:cs="Arial"/>
                <w:sz w:val="20"/>
              </w:rPr>
            </w:pPr>
            <w:r w:rsidRPr="009764E0">
              <w:rPr>
                <w:rFonts w:cs="Arial"/>
                <w:sz w:val="20"/>
              </w:rPr>
              <w:t>27 February 2019</w:t>
            </w:r>
          </w:p>
        </w:tc>
        <w:tc>
          <w:tcPr>
            <w:tcW w:w="2410" w:type="dxa"/>
          </w:tcPr>
          <w:p w14:paraId="01B4A6BF" w14:textId="77777777" w:rsidR="00951AC2" w:rsidRPr="009764E0" w:rsidRDefault="00951AC2" w:rsidP="003D49E2">
            <w:pPr>
              <w:pStyle w:val="TableBodyTextsmall"/>
              <w:spacing w:before="60" w:after="60"/>
              <w:rPr>
                <w:rFonts w:cs="Arial"/>
                <w:sz w:val="20"/>
              </w:rPr>
            </w:pPr>
            <w:r w:rsidRPr="009764E0">
              <w:rPr>
                <w:rFonts w:cs="Arial"/>
                <w:sz w:val="20"/>
              </w:rPr>
              <w:t>High Court</w:t>
            </w:r>
          </w:p>
        </w:tc>
      </w:tr>
      <w:tr w:rsidR="00951AC2" w14:paraId="2C96D8C7"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2C0BA117" w14:textId="77777777" w:rsidR="00951AC2" w:rsidRPr="009764E0" w:rsidRDefault="00951AC2" w:rsidP="003D49E2">
            <w:pPr>
              <w:pStyle w:val="TableBodyTextsmall"/>
              <w:spacing w:before="60" w:after="60"/>
              <w:rPr>
                <w:rFonts w:cs="Arial"/>
                <w:sz w:val="20"/>
              </w:rPr>
            </w:pPr>
            <w:r w:rsidRPr="009764E0">
              <w:rPr>
                <w:rFonts w:cs="Arial"/>
                <w:i/>
                <w:sz w:val="20"/>
              </w:rPr>
              <w:t>Deputy Commissioner of Taxation v Bourke</w:t>
            </w:r>
            <w:r w:rsidRPr="009764E0">
              <w:rPr>
                <w:rFonts w:cs="Arial"/>
                <w:sz w:val="20"/>
              </w:rPr>
              <w:t xml:space="preserve"> [2018] VSC 380</w:t>
            </w:r>
          </w:p>
        </w:tc>
        <w:tc>
          <w:tcPr>
            <w:tcW w:w="2126" w:type="dxa"/>
          </w:tcPr>
          <w:p w14:paraId="552FABD0" w14:textId="77777777" w:rsidR="00951AC2" w:rsidRPr="009764E0" w:rsidRDefault="00951AC2" w:rsidP="003D49E2">
            <w:pPr>
              <w:pStyle w:val="TableBodyTextsmall"/>
              <w:spacing w:before="60" w:after="60"/>
              <w:rPr>
                <w:rFonts w:cs="Arial"/>
                <w:sz w:val="20"/>
              </w:rPr>
            </w:pPr>
            <w:r w:rsidRPr="009764E0">
              <w:rPr>
                <w:rFonts w:cs="Arial"/>
                <w:sz w:val="20"/>
              </w:rPr>
              <w:t xml:space="preserve">11 July 2018 </w:t>
            </w:r>
          </w:p>
        </w:tc>
        <w:tc>
          <w:tcPr>
            <w:tcW w:w="2410" w:type="dxa"/>
          </w:tcPr>
          <w:p w14:paraId="20DF2B8F"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1524AD9D"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32071D3D" w14:textId="77777777" w:rsidR="00951AC2" w:rsidRPr="009764E0" w:rsidRDefault="00951AC2" w:rsidP="003D49E2">
            <w:pPr>
              <w:pStyle w:val="TableBodyTextsmall"/>
              <w:spacing w:before="60" w:after="60"/>
              <w:rPr>
                <w:rFonts w:cs="Arial"/>
                <w:sz w:val="20"/>
              </w:rPr>
            </w:pPr>
            <w:r w:rsidRPr="009764E0">
              <w:rPr>
                <w:rFonts w:cs="Arial"/>
                <w:i/>
                <w:sz w:val="20"/>
              </w:rPr>
              <w:t>United Firefighters’ Union v VEOHRC</w:t>
            </w:r>
            <w:r w:rsidRPr="009764E0">
              <w:rPr>
                <w:rFonts w:cs="Arial"/>
                <w:sz w:val="20"/>
              </w:rPr>
              <w:t xml:space="preserve"> [2018] VSCA 252</w:t>
            </w:r>
          </w:p>
        </w:tc>
        <w:tc>
          <w:tcPr>
            <w:tcW w:w="2126" w:type="dxa"/>
          </w:tcPr>
          <w:p w14:paraId="55F989EC" w14:textId="77777777" w:rsidR="00951AC2" w:rsidRPr="009764E0" w:rsidRDefault="00951AC2" w:rsidP="003D49E2">
            <w:pPr>
              <w:pStyle w:val="TableBodyTextsmall"/>
              <w:spacing w:before="60" w:after="60"/>
              <w:rPr>
                <w:rFonts w:cs="Arial"/>
                <w:sz w:val="20"/>
              </w:rPr>
            </w:pPr>
            <w:r w:rsidRPr="009764E0">
              <w:rPr>
                <w:rFonts w:cs="Arial"/>
                <w:sz w:val="20"/>
              </w:rPr>
              <w:t>4 October 2018</w:t>
            </w:r>
          </w:p>
        </w:tc>
        <w:tc>
          <w:tcPr>
            <w:tcW w:w="2410" w:type="dxa"/>
          </w:tcPr>
          <w:p w14:paraId="612CF7A0" w14:textId="77777777" w:rsidR="00951AC2" w:rsidRPr="009764E0" w:rsidRDefault="00951AC2" w:rsidP="003D49E2">
            <w:pPr>
              <w:pStyle w:val="TableBodyTextsmall"/>
              <w:spacing w:before="60" w:after="60"/>
              <w:rPr>
                <w:rFonts w:cs="Arial"/>
                <w:sz w:val="20"/>
              </w:rPr>
            </w:pPr>
            <w:r w:rsidRPr="009764E0">
              <w:rPr>
                <w:rFonts w:cs="Arial"/>
                <w:sz w:val="20"/>
              </w:rPr>
              <w:t>Court of Appeal</w:t>
            </w:r>
          </w:p>
        </w:tc>
      </w:tr>
      <w:tr w:rsidR="00951AC2" w14:paraId="320A7D45"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3B251682" w14:textId="77777777" w:rsidR="00951AC2" w:rsidRPr="009764E0" w:rsidRDefault="00951AC2" w:rsidP="003D49E2">
            <w:pPr>
              <w:pStyle w:val="TableBodyTextsmall"/>
              <w:spacing w:before="60" w:after="60"/>
              <w:rPr>
                <w:rFonts w:cs="Arial"/>
                <w:sz w:val="20"/>
              </w:rPr>
            </w:pPr>
            <w:r w:rsidRPr="009764E0">
              <w:rPr>
                <w:rFonts w:cs="Arial"/>
                <w:i/>
                <w:sz w:val="20"/>
              </w:rPr>
              <w:t xml:space="preserve">Victorian Taxi Families </w:t>
            </w:r>
            <w:proofErr w:type="spellStart"/>
            <w:r w:rsidRPr="009764E0">
              <w:rPr>
                <w:rFonts w:cs="Arial"/>
                <w:i/>
                <w:sz w:val="20"/>
              </w:rPr>
              <w:t>Inc</w:t>
            </w:r>
            <w:proofErr w:type="spellEnd"/>
            <w:r w:rsidRPr="009764E0">
              <w:rPr>
                <w:rFonts w:cs="Arial"/>
                <w:i/>
                <w:sz w:val="20"/>
              </w:rPr>
              <w:t xml:space="preserve"> &amp; Anor v Taxi Services Commission</w:t>
            </w:r>
            <w:r w:rsidRPr="009764E0">
              <w:rPr>
                <w:rFonts w:cs="Arial"/>
                <w:sz w:val="20"/>
              </w:rPr>
              <w:t xml:space="preserve"> [2018] VSC 594</w:t>
            </w:r>
          </w:p>
        </w:tc>
        <w:tc>
          <w:tcPr>
            <w:tcW w:w="2126" w:type="dxa"/>
          </w:tcPr>
          <w:p w14:paraId="18DD5517" w14:textId="77777777" w:rsidR="00951AC2" w:rsidRPr="009764E0" w:rsidRDefault="00951AC2" w:rsidP="003D49E2">
            <w:pPr>
              <w:pStyle w:val="TableBodyTextsmall"/>
              <w:spacing w:before="60" w:after="60"/>
              <w:rPr>
                <w:rFonts w:cs="Arial"/>
                <w:sz w:val="20"/>
              </w:rPr>
            </w:pPr>
            <w:r w:rsidRPr="009764E0">
              <w:rPr>
                <w:rFonts w:cs="Arial"/>
                <w:sz w:val="20"/>
              </w:rPr>
              <w:t>12 October 2018</w:t>
            </w:r>
          </w:p>
        </w:tc>
        <w:tc>
          <w:tcPr>
            <w:tcW w:w="2410" w:type="dxa"/>
          </w:tcPr>
          <w:p w14:paraId="7E16215A"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1BF33914"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57749868" w14:textId="77777777" w:rsidR="00951AC2" w:rsidRPr="009764E0" w:rsidRDefault="00951AC2" w:rsidP="003D49E2">
            <w:pPr>
              <w:pStyle w:val="TableBodyTextsmall"/>
              <w:spacing w:before="60" w:after="60"/>
              <w:rPr>
                <w:rFonts w:cs="Arial"/>
                <w:sz w:val="20"/>
              </w:rPr>
            </w:pPr>
            <w:r w:rsidRPr="009764E0">
              <w:rPr>
                <w:rFonts w:cs="Arial"/>
                <w:i/>
                <w:sz w:val="20"/>
              </w:rPr>
              <w:t xml:space="preserve">DPP v </w:t>
            </w:r>
            <w:proofErr w:type="spellStart"/>
            <w:r w:rsidRPr="009764E0">
              <w:rPr>
                <w:rFonts w:cs="Arial"/>
                <w:i/>
                <w:sz w:val="20"/>
              </w:rPr>
              <w:t>Natale</w:t>
            </w:r>
            <w:proofErr w:type="spellEnd"/>
            <w:r w:rsidRPr="009764E0">
              <w:rPr>
                <w:rFonts w:cs="Arial"/>
                <w:i/>
                <w:sz w:val="20"/>
              </w:rPr>
              <w:t xml:space="preserve"> (Ruling)</w:t>
            </w:r>
            <w:r w:rsidRPr="009764E0">
              <w:rPr>
                <w:rFonts w:cs="Arial"/>
                <w:sz w:val="20"/>
              </w:rPr>
              <w:t xml:space="preserve"> [2018] VSC 339</w:t>
            </w:r>
          </w:p>
        </w:tc>
        <w:tc>
          <w:tcPr>
            <w:tcW w:w="2126" w:type="dxa"/>
          </w:tcPr>
          <w:p w14:paraId="2F07AD8A" w14:textId="77777777" w:rsidR="00951AC2" w:rsidRPr="009764E0" w:rsidRDefault="00951AC2" w:rsidP="003D49E2">
            <w:pPr>
              <w:pStyle w:val="TableBodyTextsmall"/>
              <w:spacing w:before="60" w:after="60"/>
              <w:rPr>
                <w:rFonts w:cs="Arial"/>
                <w:sz w:val="20"/>
              </w:rPr>
            </w:pPr>
            <w:r w:rsidRPr="009764E0">
              <w:rPr>
                <w:rFonts w:cs="Arial"/>
                <w:sz w:val="20"/>
              </w:rPr>
              <w:t>26 June 2018</w:t>
            </w:r>
          </w:p>
        </w:tc>
        <w:tc>
          <w:tcPr>
            <w:tcW w:w="2410" w:type="dxa"/>
          </w:tcPr>
          <w:p w14:paraId="54996637"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40C5E2FA"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5CE179B9" w14:textId="77777777" w:rsidR="00951AC2" w:rsidRPr="009764E0" w:rsidRDefault="00951AC2" w:rsidP="003D49E2">
            <w:pPr>
              <w:pStyle w:val="TableBodyTextsmall"/>
              <w:spacing w:before="60" w:after="60"/>
              <w:rPr>
                <w:rFonts w:cs="Arial"/>
                <w:sz w:val="20"/>
              </w:rPr>
            </w:pPr>
            <w:r w:rsidRPr="009764E0">
              <w:rPr>
                <w:rFonts w:cs="Arial"/>
                <w:i/>
                <w:sz w:val="20"/>
              </w:rPr>
              <w:t xml:space="preserve">Bendigo and Adelaide Bank Limited v </w:t>
            </w:r>
            <w:proofErr w:type="spellStart"/>
            <w:r w:rsidRPr="009764E0">
              <w:rPr>
                <w:rFonts w:cs="Arial"/>
                <w:i/>
                <w:sz w:val="20"/>
              </w:rPr>
              <w:t>Laszczuk</w:t>
            </w:r>
            <w:proofErr w:type="spellEnd"/>
            <w:r w:rsidRPr="009764E0">
              <w:rPr>
                <w:rFonts w:cs="Arial"/>
                <w:i/>
                <w:sz w:val="20"/>
              </w:rPr>
              <w:t xml:space="preserve"> &amp; Anor</w:t>
            </w:r>
            <w:r w:rsidRPr="009764E0">
              <w:rPr>
                <w:rFonts w:cs="Arial"/>
                <w:sz w:val="20"/>
              </w:rPr>
              <w:t xml:space="preserve"> [2018] VSC 388</w:t>
            </w:r>
          </w:p>
        </w:tc>
        <w:tc>
          <w:tcPr>
            <w:tcW w:w="2126" w:type="dxa"/>
          </w:tcPr>
          <w:p w14:paraId="510796A8" w14:textId="77777777" w:rsidR="00951AC2" w:rsidRPr="009764E0" w:rsidRDefault="00951AC2" w:rsidP="003D49E2">
            <w:pPr>
              <w:pStyle w:val="TableBodyTextsmall"/>
              <w:spacing w:before="60" w:after="60"/>
              <w:rPr>
                <w:rFonts w:cs="Arial"/>
                <w:sz w:val="20"/>
              </w:rPr>
            </w:pPr>
            <w:r w:rsidRPr="009764E0">
              <w:rPr>
                <w:rFonts w:cs="Arial"/>
                <w:sz w:val="20"/>
              </w:rPr>
              <w:t>10 August 2018</w:t>
            </w:r>
          </w:p>
        </w:tc>
        <w:tc>
          <w:tcPr>
            <w:tcW w:w="2410" w:type="dxa"/>
          </w:tcPr>
          <w:p w14:paraId="2B2B8CD0"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33238689"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02A15B61" w14:textId="77777777" w:rsidR="00951AC2" w:rsidRPr="009764E0" w:rsidRDefault="00951AC2" w:rsidP="003D49E2">
            <w:pPr>
              <w:pStyle w:val="TableBodyTextsmall"/>
              <w:spacing w:before="60" w:after="60"/>
              <w:rPr>
                <w:rFonts w:cs="Arial"/>
                <w:sz w:val="20"/>
              </w:rPr>
            </w:pPr>
            <w:r w:rsidRPr="009764E0">
              <w:rPr>
                <w:rFonts w:cs="Arial"/>
                <w:i/>
                <w:sz w:val="20"/>
              </w:rPr>
              <w:t xml:space="preserve">Doughty-Cowell (Victoria Police) v </w:t>
            </w:r>
            <w:proofErr w:type="spellStart"/>
            <w:r w:rsidRPr="009764E0">
              <w:rPr>
                <w:rFonts w:cs="Arial"/>
                <w:i/>
                <w:sz w:val="20"/>
              </w:rPr>
              <w:t>Kyriazis</w:t>
            </w:r>
            <w:proofErr w:type="spellEnd"/>
            <w:r w:rsidRPr="009764E0">
              <w:rPr>
                <w:rFonts w:cs="Arial"/>
                <w:sz w:val="20"/>
              </w:rPr>
              <w:t xml:space="preserve"> [2018] VSCA 216</w:t>
            </w:r>
          </w:p>
        </w:tc>
        <w:tc>
          <w:tcPr>
            <w:tcW w:w="2126" w:type="dxa"/>
          </w:tcPr>
          <w:p w14:paraId="033B4174" w14:textId="77777777" w:rsidR="00951AC2" w:rsidRPr="009764E0" w:rsidRDefault="00951AC2" w:rsidP="003D49E2">
            <w:pPr>
              <w:pStyle w:val="TableBodyTextsmall"/>
              <w:spacing w:before="60" w:after="60"/>
              <w:rPr>
                <w:rFonts w:cs="Arial"/>
                <w:sz w:val="20"/>
              </w:rPr>
            </w:pPr>
            <w:r w:rsidRPr="009764E0">
              <w:rPr>
                <w:rFonts w:cs="Arial"/>
                <w:sz w:val="20"/>
              </w:rPr>
              <w:t>29 August 2018</w:t>
            </w:r>
          </w:p>
        </w:tc>
        <w:tc>
          <w:tcPr>
            <w:tcW w:w="2410" w:type="dxa"/>
          </w:tcPr>
          <w:p w14:paraId="134AAEE0" w14:textId="77777777" w:rsidR="00951AC2" w:rsidRPr="009764E0" w:rsidRDefault="00951AC2" w:rsidP="003D49E2">
            <w:pPr>
              <w:pStyle w:val="TableBodyTextsmall"/>
              <w:spacing w:before="60" w:after="60"/>
              <w:rPr>
                <w:rFonts w:cs="Arial"/>
                <w:sz w:val="20"/>
              </w:rPr>
            </w:pPr>
            <w:r w:rsidRPr="009764E0">
              <w:rPr>
                <w:rFonts w:cs="Arial"/>
                <w:sz w:val="20"/>
              </w:rPr>
              <w:t>Court of Appeal</w:t>
            </w:r>
          </w:p>
        </w:tc>
      </w:tr>
      <w:tr w:rsidR="00951AC2" w14:paraId="053B6B10"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74ED0CB4" w14:textId="77777777" w:rsidR="00951AC2" w:rsidRPr="009764E0" w:rsidRDefault="00951AC2" w:rsidP="003D49E2">
            <w:pPr>
              <w:pStyle w:val="TableBodyTextsmall"/>
              <w:spacing w:before="60" w:after="60"/>
              <w:rPr>
                <w:rFonts w:cs="Arial"/>
                <w:sz w:val="20"/>
              </w:rPr>
            </w:pPr>
            <w:r w:rsidRPr="009764E0">
              <w:rPr>
                <w:rFonts w:cs="Arial"/>
                <w:i/>
                <w:sz w:val="20"/>
              </w:rPr>
              <w:t>DPP v Lyons</w:t>
            </w:r>
            <w:r w:rsidRPr="009764E0">
              <w:rPr>
                <w:rFonts w:cs="Arial"/>
                <w:sz w:val="20"/>
              </w:rPr>
              <w:t xml:space="preserve"> [2018] VSCA 247</w:t>
            </w:r>
          </w:p>
        </w:tc>
        <w:tc>
          <w:tcPr>
            <w:tcW w:w="2126" w:type="dxa"/>
          </w:tcPr>
          <w:p w14:paraId="450D4256" w14:textId="77777777" w:rsidR="00951AC2" w:rsidRPr="009764E0" w:rsidRDefault="00951AC2" w:rsidP="003D49E2">
            <w:pPr>
              <w:pStyle w:val="TableBodyTextsmall"/>
              <w:spacing w:before="60" w:after="60"/>
              <w:rPr>
                <w:rFonts w:cs="Arial"/>
                <w:sz w:val="20"/>
              </w:rPr>
            </w:pPr>
            <w:r w:rsidRPr="009764E0">
              <w:rPr>
                <w:rFonts w:cs="Arial"/>
                <w:sz w:val="20"/>
              </w:rPr>
              <w:t>27 September 2018</w:t>
            </w:r>
          </w:p>
        </w:tc>
        <w:tc>
          <w:tcPr>
            <w:tcW w:w="2410" w:type="dxa"/>
          </w:tcPr>
          <w:p w14:paraId="28B6BB47" w14:textId="77777777" w:rsidR="00951AC2" w:rsidRPr="009764E0" w:rsidRDefault="00951AC2" w:rsidP="003D49E2">
            <w:pPr>
              <w:pStyle w:val="TableBodyTextsmall"/>
              <w:spacing w:before="60" w:after="60"/>
              <w:rPr>
                <w:rFonts w:cs="Arial"/>
                <w:sz w:val="20"/>
              </w:rPr>
            </w:pPr>
            <w:r w:rsidRPr="009764E0">
              <w:rPr>
                <w:rFonts w:cs="Arial"/>
                <w:sz w:val="20"/>
              </w:rPr>
              <w:t>Court of Appeal</w:t>
            </w:r>
          </w:p>
        </w:tc>
      </w:tr>
      <w:tr w:rsidR="00951AC2" w14:paraId="589B8248"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5386F73D" w14:textId="77777777" w:rsidR="00951AC2" w:rsidRPr="009764E0" w:rsidRDefault="00951AC2" w:rsidP="003D49E2">
            <w:pPr>
              <w:pStyle w:val="TableBodyTextsmall"/>
              <w:spacing w:before="60" w:after="60"/>
              <w:rPr>
                <w:rFonts w:cs="Arial"/>
                <w:sz w:val="20"/>
              </w:rPr>
            </w:pPr>
            <w:r w:rsidRPr="009764E0">
              <w:rPr>
                <w:rFonts w:cs="Arial"/>
                <w:i/>
                <w:sz w:val="20"/>
              </w:rPr>
              <w:t>Robert v Harkness</w:t>
            </w:r>
            <w:r w:rsidRPr="009764E0">
              <w:rPr>
                <w:rFonts w:cs="Arial"/>
                <w:sz w:val="20"/>
              </w:rPr>
              <w:t xml:space="preserve"> [2018] VSCA 215</w:t>
            </w:r>
          </w:p>
        </w:tc>
        <w:tc>
          <w:tcPr>
            <w:tcW w:w="2126" w:type="dxa"/>
          </w:tcPr>
          <w:p w14:paraId="7BC7C25D" w14:textId="77777777" w:rsidR="00951AC2" w:rsidRPr="009764E0" w:rsidRDefault="00951AC2" w:rsidP="003D49E2">
            <w:pPr>
              <w:pStyle w:val="TableBodyTextsmall"/>
              <w:spacing w:before="60" w:after="60"/>
              <w:rPr>
                <w:rFonts w:cs="Arial"/>
                <w:sz w:val="20"/>
              </w:rPr>
            </w:pPr>
            <w:r w:rsidRPr="009764E0">
              <w:rPr>
                <w:rFonts w:cs="Arial"/>
                <w:sz w:val="20"/>
              </w:rPr>
              <w:t>29 August 2018</w:t>
            </w:r>
          </w:p>
        </w:tc>
        <w:tc>
          <w:tcPr>
            <w:tcW w:w="2410" w:type="dxa"/>
          </w:tcPr>
          <w:p w14:paraId="39785682" w14:textId="77777777" w:rsidR="00951AC2" w:rsidRPr="009764E0" w:rsidRDefault="00951AC2" w:rsidP="003D49E2">
            <w:pPr>
              <w:pStyle w:val="TableBodyTextsmall"/>
              <w:spacing w:before="60" w:after="60"/>
              <w:rPr>
                <w:rFonts w:cs="Arial"/>
                <w:sz w:val="20"/>
              </w:rPr>
            </w:pPr>
            <w:r w:rsidRPr="009764E0">
              <w:rPr>
                <w:rFonts w:cs="Arial"/>
                <w:sz w:val="20"/>
              </w:rPr>
              <w:t>Court of Appeal</w:t>
            </w:r>
          </w:p>
        </w:tc>
      </w:tr>
      <w:tr w:rsidR="00951AC2" w14:paraId="4566C3EC"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60E1E1D1" w14:textId="77777777" w:rsidR="00951AC2" w:rsidRPr="009764E0" w:rsidRDefault="00951AC2" w:rsidP="003D49E2">
            <w:pPr>
              <w:pStyle w:val="TableBodyTextsmall"/>
              <w:spacing w:before="60" w:after="60"/>
              <w:rPr>
                <w:rFonts w:cs="Arial"/>
                <w:sz w:val="20"/>
              </w:rPr>
            </w:pPr>
            <w:r w:rsidRPr="009764E0">
              <w:rPr>
                <w:rFonts w:cs="Arial"/>
                <w:i/>
                <w:sz w:val="20"/>
              </w:rPr>
              <w:t>Rossi Homes Pty Ltd v Dun and Bradstreet (Australia) Pty Ltd</w:t>
            </w:r>
            <w:r w:rsidRPr="009764E0">
              <w:rPr>
                <w:rFonts w:cs="Arial"/>
                <w:sz w:val="20"/>
              </w:rPr>
              <w:t xml:space="preserve"> [2018] VSC 314 </w:t>
            </w:r>
          </w:p>
        </w:tc>
        <w:tc>
          <w:tcPr>
            <w:tcW w:w="2126" w:type="dxa"/>
          </w:tcPr>
          <w:p w14:paraId="54A0EAB6" w14:textId="77777777" w:rsidR="00951AC2" w:rsidRPr="009764E0" w:rsidRDefault="00951AC2" w:rsidP="003D49E2">
            <w:pPr>
              <w:pStyle w:val="TableBodyTextsmall"/>
              <w:spacing w:before="60" w:after="60"/>
              <w:rPr>
                <w:rFonts w:cs="Arial"/>
                <w:sz w:val="20"/>
              </w:rPr>
            </w:pPr>
            <w:r w:rsidRPr="009764E0">
              <w:rPr>
                <w:rFonts w:cs="Arial"/>
                <w:sz w:val="20"/>
              </w:rPr>
              <w:t>14 June 2018</w:t>
            </w:r>
          </w:p>
        </w:tc>
        <w:tc>
          <w:tcPr>
            <w:tcW w:w="2410" w:type="dxa"/>
          </w:tcPr>
          <w:p w14:paraId="3C593583"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4A988767"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12770CB4" w14:textId="77777777" w:rsidR="00951AC2" w:rsidRPr="009764E0" w:rsidRDefault="00951AC2" w:rsidP="003D49E2">
            <w:pPr>
              <w:pStyle w:val="TableBodyTextsmall"/>
              <w:spacing w:before="60" w:after="60"/>
              <w:rPr>
                <w:rFonts w:cs="Arial"/>
                <w:sz w:val="20"/>
              </w:rPr>
            </w:pPr>
            <w:r w:rsidRPr="009764E0">
              <w:rPr>
                <w:rFonts w:cs="Arial"/>
                <w:i/>
                <w:sz w:val="20"/>
              </w:rPr>
              <w:t>Re Greco</w:t>
            </w:r>
            <w:r w:rsidRPr="009764E0">
              <w:rPr>
                <w:rFonts w:cs="Arial"/>
                <w:sz w:val="20"/>
              </w:rPr>
              <w:t xml:space="preserve"> [2018] VSC 175</w:t>
            </w:r>
          </w:p>
        </w:tc>
        <w:tc>
          <w:tcPr>
            <w:tcW w:w="2126" w:type="dxa"/>
          </w:tcPr>
          <w:p w14:paraId="7C2F124E" w14:textId="77777777" w:rsidR="00951AC2" w:rsidRPr="009764E0" w:rsidRDefault="00951AC2" w:rsidP="003D49E2">
            <w:pPr>
              <w:pStyle w:val="TableBodyTextsmall"/>
              <w:spacing w:before="60" w:after="60"/>
              <w:rPr>
                <w:rFonts w:cs="Arial"/>
                <w:sz w:val="20"/>
              </w:rPr>
            </w:pPr>
            <w:r w:rsidRPr="009764E0">
              <w:rPr>
                <w:rFonts w:cs="Arial"/>
                <w:sz w:val="20"/>
              </w:rPr>
              <w:t>13 April 2018</w:t>
            </w:r>
          </w:p>
        </w:tc>
        <w:tc>
          <w:tcPr>
            <w:tcW w:w="2410" w:type="dxa"/>
          </w:tcPr>
          <w:p w14:paraId="34DE2E07"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1B2BD964"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588F517C" w14:textId="77777777" w:rsidR="00951AC2" w:rsidRPr="009764E0" w:rsidRDefault="00D65BFD" w:rsidP="003D49E2">
            <w:pPr>
              <w:pStyle w:val="TableBodyTextsmall"/>
              <w:spacing w:before="60" w:after="60"/>
              <w:rPr>
                <w:rFonts w:cs="Arial"/>
                <w:sz w:val="20"/>
              </w:rPr>
            </w:pPr>
            <w:hyperlink r:id="rId52" w:history="1">
              <w:proofErr w:type="spellStart"/>
              <w:r w:rsidR="00951AC2" w:rsidRPr="009764E0">
                <w:rPr>
                  <w:rFonts w:cs="Arial"/>
                  <w:i/>
                  <w:sz w:val="20"/>
                </w:rPr>
                <w:t>Gullquist</w:t>
              </w:r>
              <w:proofErr w:type="spellEnd"/>
              <w:r w:rsidR="00951AC2" w:rsidRPr="009764E0">
                <w:rPr>
                  <w:rFonts w:cs="Arial"/>
                  <w:i/>
                  <w:sz w:val="20"/>
                </w:rPr>
                <w:t xml:space="preserve"> v Victorian Legal Services Commissioner </w:t>
              </w:r>
              <w:r w:rsidR="00951AC2" w:rsidRPr="009764E0">
                <w:rPr>
                  <w:rFonts w:cs="Arial"/>
                  <w:sz w:val="20"/>
                </w:rPr>
                <w:t>[2018] VSCA 259</w:t>
              </w:r>
            </w:hyperlink>
          </w:p>
        </w:tc>
        <w:tc>
          <w:tcPr>
            <w:tcW w:w="2126" w:type="dxa"/>
          </w:tcPr>
          <w:p w14:paraId="0D35DE70" w14:textId="77777777" w:rsidR="00951AC2" w:rsidRPr="009764E0" w:rsidRDefault="00951AC2" w:rsidP="003D49E2">
            <w:pPr>
              <w:pStyle w:val="TableBodyTextsmall"/>
              <w:spacing w:before="60" w:after="60"/>
              <w:rPr>
                <w:rFonts w:cs="Arial"/>
                <w:sz w:val="20"/>
              </w:rPr>
            </w:pPr>
            <w:r w:rsidRPr="009764E0">
              <w:rPr>
                <w:rFonts w:cs="Arial"/>
                <w:sz w:val="20"/>
              </w:rPr>
              <w:t>11 October 2018</w:t>
            </w:r>
          </w:p>
        </w:tc>
        <w:tc>
          <w:tcPr>
            <w:tcW w:w="2410" w:type="dxa"/>
          </w:tcPr>
          <w:p w14:paraId="66A320BD" w14:textId="77777777" w:rsidR="00951AC2" w:rsidRPr="009764E0" w:rsidRDefault="00951AC2" w:rsidP="003D49E2">
            <w:pPr>
              <w:pStyle w:val="TableBodyTextsmall"/>
              <w:spacing w:before="60" w:after="60"/>
              <w:rPr>
                <w:rFonts w:cs="Arial"/>
                <w:sz w:val="20"/>
              </w:rPr>
            </w:pPr>
            <w:r w:rsidRPr="009764E0">
              <w:rPr>
                <w:rFonts w:cs="Arial"/>
                <w:sz w:val="20"/>
              </w:rPr>
              <w:t>Court of Appeal</w:t>
            </w:r>
          </w:p>
        </w:tc>
      </w:tr>
      <w:tr w:rsidR="00951AC2" w14:paraId="32715689"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7C3F85ED" w14:textId="77777777" w:rsidR="00951AC2" w:rsidRPr="009764E0" w:rsidRDefault="00D65BFD" w:rsidP="003D49E2">
            <w:pPr>
              <w:pStyle w:val="TableBodyTextsmall"/>
              <w:spacing w:before="60" w:after="60"/>
              <w:rPr>
                <w:rFonts w:cs="Arial"/>
                <w:sz w:val="20"/>
              </w:rPr>
            </w:pPr>
            <w:hyperlink r:id="rId53" w:history="1">
              <w:r w:rsidR="00951AC2" w:rsidRPr="009764E0">
                <w:rPr>
                  <w:rFonts w:cs="Arial"/>
                  <w:i/>
                  <w:sz w:val="20"/>
                </w:rPr>
                <w:t xml:space="preserve">Waddington v State of Victoria &amp; </w:t>
              </w:r>
              <w:proofErr w:type="spellStart"/>
              <w:r w:rsidR="00951AC2" w:rsidRPr="009764E0">
                <w:rPr>
                  <w:rFonts w:cs="Arial"/>
                  <w:i/>
                  <w:sz w:val="20"/>
                </w:rPr>
                <w:t>Ors</w:t>
              </w:r>
              <w:proofErr w:type="spellEnd"/>
              <w:r w:rsidR="00951AC2" w:rsidRPr="009764E0">
                <w:rPr>
                  <w:rFonts w:cs="Arial"/>
                  <w:sz w:val="20"/>
                </w:rPr>
                <w:t xml:space="preserve"> [2018] VSC 746</w:t>
              </w:r>
            </w:hyperlink>
          </w:p>
        </w:tc>
        <w:tc>
          <w:tcPr>
            <w:tcW w:w="2126" w:type="dxa"/>
          </w:tcPr>
          <w:p w14:paraId="2C01C292" w14:textId="77777777" w:rsidR="00951AC2" w:rsidRPr="009764E0" w:rsidRDefault="00951AC2" w:rsidP="003D49E2">
            <w:pPr>
              <w:pStyle w:val="TableBodyTextsmall"/>
              <w:spacing w:before="60" w:after="60"/>
              <w:rPr>
                <w:rFonts w:cs="Arial"/>
                <w:sz w:val="20"/>
              </w:rPr>
            </w:pPr>
            <w:r w:rsidRPr="009764E0">
              <w:rPr>
                <w:rFonts w:cs="Arial"/>
                <w:sz w:val="20"/>
              </w:rPr>
              <w:t>14 December 2018</w:t>
            </w:r>
          </w:p>
        </w:tc>
        <w:tc>
          <w:tcPr>
            <w:tcW w:w="2410" w:type="dxa"/>
          </w:tcPr>
          <w:p w14:paraId="5A921D0D" w14:textId="77777777" w:rsidR="00951AC2" w:rsidRPr="009764E0" w:rsidRDefault="00951AC2" w:rsidP="003D49E2">
            <w:pPr>
              <w:pStyle w:val="TableBodyTextsmall"/>
              <w:spacing w:before="60" w:after="60"/>
              <w:rPr>
                <w:rFonts w:cs="Arial"/>
                <w:sz w:val="20"/>
              </w:rPr>
            </w:pPr>
            <w:r w:rsidRPr="009764E0">
              <w:rPr>
                <w:rFonts w:cs="Arial"/>
                <w:sz w:val="20"/>
              </w:rPr>
              <w:t xml:space="preserve">Supreme Court </w:t>
            </w:r>
          </w:p>
        </w:tc>
      </w:tr>
      <w:tr w:rsidR="00951AC2" w14:paraId="3873090F"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4111A54E" w14:textId="77777777" w:rsidR="00951AC2" w:rsidRPr="009764E0" w:rsidRDefault="00D65BFD" w:rsidP="003D49E2">
            <w:pPr>
              <w:pStyle w:val="TableBodyTextsmall"/>
              <w:spacing w:before="60" w:after="60"/>
              <w:rPr>
                <w:rFonts w:cs="Arial"/>
                <w:sz w:val="20"/>
              </w:rPr>
            </w:pPr>
            <w:hyperlink r:id="rId54" w:history="1">
              <w:r w:rsidR="00951AC2" w:rsidRPr="009764E0">
                <w:rPr>
                  <w:rFonts w:cs="Arial"/>
                  <w:i/>
                  <w:sz w:val="20"/>
                </w:rPr>
                <w:t xml:space="preserve">The Queen v </w:t>
              </w:r>
              <w:proofErr w:type="spellStart"/>
              <w:r w:rsidR="00951AC2" w:rsidRPr="009764E0">
                <w:rPr>
                  <w:rFonts w:cs="Arial"/>
                  <w:i/>
                  <w:sz w:val="20"/>
                </w:rPr>
                <w:t>Chaarani</w:t>
              </w:r>
              <w:proofErr w:type="spellEnd"/>
              <w:r w:rsidR="00951AC2" w:rsidRPr="009764E0">
                <w:rPr>
                  <w:rFonts w:cs="Arial"/>
                  <w:i/>
                  <w:sz w:val="20"/>
                </w:rPr>
                <w:t xml:space="preserve"> (Ruling 1)</w:t>
              </w:r>
              <w:r w:rsidR="00951AC2" w:rsidRPr="009764E0">
                <w:rPr>
                  <w:rFonts w:cs="Arial"/>
                  <w:sz w:val="20"/>
                </w:rPr>
                <w:t xml:space="preserve"> [2018] VSC 387</w:t>
              </w:r>
            </w:hyperlink>
          </w:p>
        </w:tc>
        <w:tc>
          <w:tcPr>
            <w:tcW w:w="2126" w:type="dxa"/>
          </w:tcPr>
          <w:p w14:paraId="5CFF6B83" w14:textId="77777777" w:rsidR="00951AC2" w:rsidRPr="009764E0" w:rsidRDefault="00951AC2" w:rsidP="003D49E2">
            <w:pPr>
              <w:pStyle w:val="TableBodyTextsmall"/>
              <w:spacing w:before="60" w:after="60"/>
              <w:rPr>
                <w:rFonts w:cs="Arial"/>
                <w:sz w:val="20"/>
              </w:rPr>
            </w:pPr>
            <w:r w:rsidRPr="009764E0">
              <w:rPr>
                <w:rFonts w:cs="Arial"/>
                <w:sz w:val="20"/>
              </w:rPr>
              <w:t>16 July 2018</w:t>
            </w:r>
          </w:p>
        </w:tc>
        <w:tc>
          <w:tcPr>
            <w:tcW w:w="2410" w:type="dxa"/>
          </w:tcPr>
          <w:p w14:paraId="4DCC7A0C"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334ABF5C"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302F511A" w14:textId="77777777" w:rsidR="00951AC2" w:rsidRPr="009764E0" w:rsidRDefault="00951AC2" w:rsidP="003D49E2">
            <w:pPr>
              <w:pStyle w:val="TableBodyTextsmall"/>
              <w:spacing w:before="60" w:after="60"/>
              <w:rPr>
                <w:rFonts w:cs="Arial"/>
                <w:sz w:val="20"/>
              </w:rPr>
            </w:pPr>
            <w:proofErr w:type="spellStart"/>
            <w:r w:rsidRPr="009764E0">
              <w:rPr>
                <w:rFonts w:cs="Arial"/>
                <w:i/>
                <w:sz w:val="20"/>
              </w:rPr>
              <w:t>Karam</w:t>
            </w:r>
            <w:proofErr w:type="spellEnd"/>
            <w:r w:rsidRPr="009764E0">
              <w:rPr>
                <w:rFonts w:cs="Arial"/>
                <w:i/>
                <w:sz w:val="20"/>
              </w:rPr>
              <w:t xml:space="preserve"> v </w:t>
            </w:r>
            <w:proofErr w:type="spellStart"/>
            <w:r w:rsidRPr="009764E0">
              <w:rPr>
                <w:rFonts w:cs="Arial"/>
                <w:i/>
                <w:sz w:val="20"/>
              </w:rPr>
              <w:t>Palome</w:t>
            </w:r>
            <w:proofErr w:type="spellEnd"/>
            <w:r w:rsidRPr="009764E0">
              <w:rPr>
                <w:rFonts w:cs="Arial"/>
                <w:i/>
                <w:sz w:val="20"/>
              </w:rPr>
              <w:t xml:space="preserve"> Shoes Pty Ltd</w:t>
            </w:r>
            <w:r w:rsidRPr="009764E0">
              <w:rPr>
                <w:rFonts w:cs="Arial"/>
                <w:sz w:val="20"/>
              </w:rPr>
              <w:t xml:space="preserve"> [2018] VSC 2016</w:t>
            </w:r>
          </w:p>
        </w:tc>
        <w:tc>
          <w:tcPr>
            <w:tcW w:w="2126" w:type="dxa"/>
          </w:tcPr>
          <w:p w14:paraId="22472551" w14:textId="77777777" w:rsidR="00951AC2" w:rsidRPr="009764E0" w:rsidRDefault="00951AC2" w:rsidP="003D49E2">
            <w:pPr>
              <w:pStyle w:val="TableBodyTextsmall"/>
              <w:spacing w:before="60" w:after="60"/>
              <w:rPr>
                <w:rFonts w:cs="Arial"/>
                <w:sz w:val="20"/>
              </w:rPr>
            </w:pPr>
            <w:r w:rsidRPr="009764E0">
              <w:rPr>
                <w:rFonts w:cs="Arial"/>
                <w:sz w:val="20"/>
              </w:rPr>
              <w:t>1 May 2018</w:t>
            </w:r>
          </w:p>
        </w:tc>
        <w:tc>
          <w:tcPr>
            <w:tcW w:w="2410" w:type="dxa"/>
          </w:tcPr>
          <w:p w14:paraId="1E6F6A39"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5024DD02"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559BFE2B" w14:textId="77777777" w:rsidR="00951AC2" w:rsidRPr="009764E0" w:rsidRDefault="00951AC2" w:rsidP="003D49E2">
            <w:pPr>
              <w:pStyle w:val="TableBodyTextsmall"/>
              <w:spacing w:before="60" w:after="60"/>
              <w:rPr>
                <w:rFonts w:cs="Arial"/>
                <w:sz w:val="20"/>
              </w:rPr>
            </w:pPr>
            <w:proofErr w:type="spellStart"/>
            <w:r w:rsidRPr="009764E0">
              <w:rPr>
                <w:rFonts w:cs="Arial"/>
                <w:i/>
                <w:sz w:val="20"/>
              </w:rPr>
              <w:t>Kinnersly</w:t>
            </w:r>
            <w:proofErr w:type="spellEnd"/>
            <w:r w:rsidRPr="009764E0">
              <w:rPr>
                <w:rFonts w:cs="Arial"/>
                <w:i/>
                <w:sz w:val="20"/>
              </w:rPr>
              <w:t xml:space="preserve"> v Johnson</w:t>
            </w:r>
            <w:r w:rsidRPr="009764E0">
              <w:rPr>
                <w:rFonts w:cs="Arial"/>
                <w:sz w:val="20"/>
              </w:rPr>
              <w:t xml:space="preserve"> [2018] VSC 752</w:t>
            </w:r>
          </w:p>
        </w:tc>
        <w:tc>
          <w:tcPr>
            <w:tcW w:w="2126" w:type="dxa"/>
          </w:tcPr>
          <w:p w14:paraId="5C7297FA" w14:textId="77777777" w:rsidR="00951AC2" w:rsidRPr="009764E0" w:rsidRDefault="00951AC2" w:rsidP="003D49E2">
            <w:pPr>
              <w:pStyle w:val="TableBodyTextsmall"/>
              <w:spacing w:before="60" w:after="60"/>
              <w:rPr>
                <w:rFonts w:cs="Arial"/>
                <w:sz w:val="20"/>
              </w:rPr>
            </w:pPr>
            <w:r w:rsidRPr="009764E0">
              <w:rPr>
                <w:rFonts w:cs="Arial"/>
                <w:sz w:val="20"/>
              </w:rPr>
              <w:t>5 December 2018</w:t>
            </w:r>
          </w:p>
        </w:tc>
        <w:tc>
          <w:tcPr>
            <w:tcW w:w="2410" w:type="dxa"/>
          </w:tcPr>
          <w:p w14:paraId="333D424A" w14:textId="77777777" w:rsidR="00951AC2" w:rsidRPr="009764E0" w:rsidRDefault="00951AC2" w:rsidP="003D49E2">
            <w:pPr>
              <w:pStyle w:val="TableBodyTextsmall"/>
              <w:spacing w:before="60" w:after="60"/>
              <w:rPr>
                <w:rFonts w:cs="Arial"/>
                <w:sz w:val="20"/>
              </w:rPr>
            </w:pPr>
            <w:r w:rsidRPr="009764E0">
              <w:rPr>
                <w:rFonts w:cs="Arial"/>
                <w:sz w:val="20"/>
              </w:rPr>
              <w:t>Supreme Court</w:t>
            </w:r>
          </w:p>
        </w:tc>
      </w:tr>
      <w:tr w:rsidR="00951AC2" w14:paraId="378E6A48"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313F848C" w14:textId="77777777" w:rsidR="00951AC2" w:rsidRPr="009764E0" w:rsidRDefault="00D65BFD" w:rsidP="003D49E2">
            <w:pPr>
              <w:pStyle w:val="TableBodyTextsmall"/>
              <w:spacing w:before="60" w:after="60"/>
              <w:rPr>
                <w:rFonts w:cs="Arial"/>
                <w:sz w:val="20"/>
              </w:rPr>
            </w:pPr>
            <w:hyperlink r:id="rId55" w:history="1">
              <w:proofErr w:type="spellStart"/>
              <w:r w:rsidR="00951AC2" w:rsidRPr="009764E0">
                <w:rPr>
                  <w:rFonts w:cs="Arial"/>
                  <w:i/>
                  <w:sz w:val="20"/>
                </w:rPr>
                <w:t>Marke</w:t>
              </w:r>
              <w:proofErr w:type="spellEnd"/>
              <w:r w:rsidR="00951AC2" w:rsidRPr="009764E0">
                <w:rPr>
                  <w:rFonts w:cs="Arial"/>
                  <w:i/>
                  <w:sz w:val="20"/>
                </w:rPr>
                <w:t xml:space="preserve"> v Victorian </w:t>
              </w:r>
              <w:proofErr w:type="spellStart"/>
              <w:r w:rsidR="00951AC2" w:rsidRPr="009764E0">
                <w:rPr>
                  <w:rFonts w:cs="Arial"/>
                  <w:i/>
                  <w:sz w:val="20"/>
                </w:rPr>
                <w:t>Workcover</w:t>
              </w:r>
              <w:proofErr w:type="spellEnd"/>
              <w:r w:rsidR="00951AC2" w:rsidRPr="009764E0">
                <w:rPr>
                  <w:rFonts w:cs="Arial"/>
                  <w:i/>
                  <w:sz w:val="20"/>
                </w:rPr>
                <w:t xml:space="preserve"> Authority (Review and Regulation)</w:t>
              </w:r>
              <w:r w:rsidR="00951AC2" w:rsidRPr="009764E0">
                <w:rPr>
                  <w:rFonts w:cs="Arial"/>
                  <w:sz w:val="20"/>
                </w:rPr>
                <w:t xml:space="preserve"> [2018] VCAT 53 </w:t>
              </w:r>
            </w:hyperlink>
          </w:p>
        </w:tc>
        <w:tc>
          <w:tcPr>
            <w:tcW w:w="2126" w:type="dxa"/>
          </w:tcPr>
          <w:p w14:paraId="6CCCBB22" w14:textId="77777777" w:rsidR="00951AC2" w:rsidRPr="009764E0" w:rsidRDefault="00951AC2" w:rsidP="003D49E2">
            <w:pPr>
              <w:pStyle w:val="TableBodyTextsmall"/>
              <w:spacing w:before="60" w:after="60"/>
              <w:rPr>
                <w:rFonts w:cs="Arial"/>
                <w:sz w:val="20"/>
              </w:rPr>
            </w:pPr>
            <w:r w:rsidRPr="009764E0">
              <w:rPr>
                <w:rFonts w:cs="Arial"/>
                <w:sz w:val="20"/>
              </w:rPr>
              <w:t>18 January 2018</w:t>
            </w:r>
          </w:p>
        </w:tc>
        <w:tc>
          <w:tcPr>
            <w:tcW w:w="2410" w:type="dxa"/>
          </w:tcPr>
          <w:p w14:paraId="0534041C"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18DAED03"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6D902A44" w14:textId="77777777" w:rsidR="00951AC2" w:rsidRPr="009764E0" w:rsidRDefault="00951AC2" w:rsidP="003D49E2">
            <w:pPr>
              <w:pStyle w:val="TableBodyTextsmall"/>
              <w:spacing w:before="60" w:after="60"/>
              <w:rPr>
                <w:rFonts w:cs="Arial"/>
                <w:sz w:val="20"/>
              </w:rPr>
            </w:pPr>
            <w:r w:rsidRPr="009764E0">
              <w:rPr>
                <w:rFonts w:cs="Arial"/>
                <w:i/>
                <w:sz w:val="20"/>
              </w:rPr>
              <w:t>GHL v Mental Health Tribunal (Human Rights)</w:t>
            </w:r>
            <w:r w:rsidRPr="009764E0">
              <w:rPr>
                <w:rFonts w:cs="Arial"/>
                <w:sz w:val="20"/>
              </w:rPr>
              <w:t xml:space="preserve"> [2018] VCAT 255</w:t>
            </w:r>
          </w:p>
        </w:tc>
        <w:tc>
          <w:tcPr>
            <w:tcW w:w="2126" w:type="dxa"/>
          </w:tcPr>
          <w:p w14:paraId="4EB251F0" w14:textId="77777777" w:rsidR="00951AC2" w:rsidRPr="009764E0" w:rsidRDefault="00951AC2" w:rsidP="003D49E2">
            <w:pPr>
              <w:pStyle w:val="TableBodyTextsmall"/>
              <w:spacing w:before="60" w:after="60"/>
              <w:rPr>
                <w:rFonts w:cs="Arial"/>
                <w:sz w:val="20"/>
              </w:rPr>
            </w:pPr>
            <w:r w:rsidRPr="009764E0">
              <w:rPr>
                <w:rFonts w:cs="Arial"/>
                <w:sz w:val="20"/>
              </w:rPr>
              <w:t>23 February 2018</w:t>
            </w:r>
          </w:p>
        </w:tc>
        <w:tc>
          <w:tcPr>
            <w:tcW w:w="2410" w:type="dxa"/>
          </w:tcPr>
          <w:p w14:paraId="29FE38EF"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27E0BFD9"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21C34ACF" w14:textId="77777777" w:rsidR="00951AC2" w:rsidRPr="009764E0" w:rsidRDefault="00951AC2" w:rsidP="003D49E2">
            <w:pPr>
              <w:pStyle w:val="TableBodyTextsmall"/>
              <w:spacing w:before="60" w:after="60"/>
              <w:rPr>
                <w:rFonts w:cs="Arial"/>
                <w:sz w:val="20"/>
              </w:rPr>
            </w:pPr>
            <w:r w:rsidRPr="009764E0">
              <w:rPr>
                <w:rFonts w:cs="Arial"/>
                <w:i/>
                <w:sz w:val="20"/>
              </w:rPr>
              <w:t>MTD obo YTA v Lifestyle Solutions (</w:t>
            </w:r>
            <w:proofErr w:type="spellStart"/>
            <w:r w:rsidRPr="009764E0">
              <w:rPr>
                <w:rFonts w:cs="Arial"/>
                <w:i/>
                <w:sz w:val="20"/>
              </w:rPr>
              <w:t>Aust</w:t>
            </w:r>
            <w:proofErr w:type="spellEnd"/>
            <w:r w:rsidRPr="009764E0">
              <w:rPr>
                <w:rFonts w:cs="Arial"/>
                <w:i/>
                <w:sz w:val="20"/>
              </w:rPr>
              <w:t>) Ltd (Human Rights)</w:t>
            </w:r>
            <w:r w:rsidRPr="009764E0">
              <w:rPr>
                <w:rFonts w:cs="Arial"/>
                <w:sz w:val="20"/>
              </w:rPr>
              <w:t xml:space="preserve"> [2018] VCAT 440</w:t>
            </w:r>
          </w:p>
        </w:tc>
        <w:tc>
          <w:tcPr>
            <w:tcW w:w="2126" w:type="dxa"/>
          </w:tcPr>
          <w:p w14:paraId="5C199BF3" w14:textId="77777777" w:rsidR="00951AC2" w:rsidRPr="009764E0" w:rsidRDefault="00951AC2" w:rsidP="003D49E2">
            <w:pPr>
              <w:pStyle w:val="TableBodyTextsmall"/>
              <w:spacing w:before="60" w:after="60"/>
              <w:rPr>
                <w:rFonts w:cs="Arial"/>
                <w:sz w:val="20"/>
              </w:rPr>
            </w:pPr>
            <w:r w:rsidRPr="009764E0">
              <w:rPr>
                <w:rFonts w:cs="Arial"/>
                <w:sz w:val="20"/>
              </w:rPr>
              <w:t>29 March 2018</w:t>
            </w:r>
          </w:p>
        </w:tc>
        <w:tc>
          <w:tcPr>
            <w:tcW w:w="2410" w:type="dxa"/>
          </w:tcPr>
          <w:p w14:paraId="5D808E52"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5C4175D7"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742CBC6C" w14:textId="77777777" w:rsidR="00951AC2" w:rsidRPr="009764E0" w:rsidRDefault="00951AC2" w:rsidP="003D49E2">
            <w:pPr>
              <w:pStyle w:val="TableBodyTextsmall"/>
              <w:spacing w:before="60" w:after="60"/>
              <w:rPr>
                <w:rFonts w:cs="Arial"/>
                <w:sz w:val="20"/>
              </w:rPr>
            </w:pPr>
            <w:r w:rsidRPr="009764E0">
              <w:rPr>
                <w:rFonts w:cs="Arial"/>
                <w:i/>
                <w:sz w:val="20"/>
              </w:rPr>
              <w:lastRenderedPageBreak/>
              <w:t>THY v Mental Health Tribunal (Human Rights)</w:t>
            </w:r>
            <w:r w:rsidRPr="009764E0">
              <w:rPr>
                <w:rFonts w:cs="Arial"/>
                <w:sz w:val="20"/>
              </w:rPr>
              <w:t xml:space="preserve"> [2018] VCAT 584</w:t>
            </w:r>
          </w:p>
        </w:tc>
        <w:tc>
          <w:tcPr>
            <w:tcW w:w="2126" w:type="dxa"/>
          </w:tcPr>
          <w:p w14:paraId="73457E35" w14:textId="77777777" w:rsidR="00951AC2" w:rsidRPr="009764E0" w:rsidRDefault="00951AC2" w:rsidP="003D49E2">
            <w:pPr>
              <w:pStyle w:val="TableBodyTextsmall"/>
              <w:spacing w:before="60" w:after="60"/>
              <w:rPr>
                <w:rFonts w:cs="Arial"/>
                <w:sz w:val="20"/>
              </w:rPr>
            </w:pPr>
            <w:r w:rsidRPr="009764E0">
              <w:rPr>
                <w:rFonts w:cs="Arial"/>
                <w:sz w:val="20"/>
              </w:rPr>
              <w:t>19 April 2018</w:t>
            </w:r>
          </w:p>
        </w:tc>
        <w:tc>
          <w:tcPr>
            <w:tcW w:w="2410" w:type="dxa"/>
          </w:tcPr>
          <w:p w14:paraId="4C07A493"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13B7B345"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56529C29" w14:textId="77777777" w:rsidR="00951AC2" w:rsidRPr="009764E0" w:rsidRDefault="00951AC2" w:rsidP="003D49E2">
            <w:pPr>
              <w:pStyle w:val="TableBodyTextsmall"/>
              <w:spacing w:before="60" w:after="60"/>
              <w:rPr>
                <w:rFonts w:cs="Arial"/>
                <w:sz w:val="20"/>
              </w:rPr>
            </w:pPr>
            <w:r w:rsidRPr="009764E0">
              <w:rPr>
                <w:rFonts w:cs="Arial"/>
                <w:i/>
                <w:sz w:val="20"/>
              </w:rPr>
              <w:t>LGH v Mental Health Tribunal (Human Rights)</w:t>
            </w:r>
            <w:r w:rsidRPr="009764E0">
              <w:rPr>
                <w:rFonts w:cs="Arial"/>
                <w:sz w:val="20"/>
              </w:rPr>
              <w:t xml:space="preserve"> [2018] VCAT 535</w:t>
            </w:r>
          </w:p>
        </w:tc>
        <w:tc>
          <w:tcPr>
            <w:tcW w:w="2126" w:type="dxa"/>
          </w:tcPr>
          <w:p w14:paraId="3A3DAFAE" w14:textId="77777777" w:rsidR="00951AC2" w:rsidRPr="009764E0" w:rsidRDefault="00951AC2" w:rsidP="003D49E2">
            <w:pPr>
              <w:pStyle w:val="TableBodyTextsmall"/>
              <w:spacing w:before="60" w:after="60"/>
              <w:rPr>
                <w:rFonts w:cs="Arial"/>
                <w:sz w:val="20"/>
              </w:rPr>
            </w:pPr>
            <w:r w:rsidRPr="009764E0">
              <w:rPr>
                <w:rFonts w:cs="Arial"/>
                <w:sz w:val="20"/>
              </w:rPr>
              <w:t>27 April 2018</w:t>
            </w:r>
          </w:p>
        </w:tc>
        <w:tc>
          <w:tcPr>
            <w:tcW w:w="2410" w:type="dxa"/>
          </w:tcPr>
          <w:p w14:paraId="6B89776E"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38E34F01"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09651EBC" w14:textId="77777777" w:rsidR="00951AC2" w:rsidRPr="009764E0" w:rsidRDefault="00951AC2" w:rsidP="003D49E2">
            <w:pPr>
              <w:pStyle w:val="TableBodyTextsmall"/>
              <w:spacing w:before="60" w:after="60"/>
              <w:rPr>
                <w:rFonts w:cs="Arial"/>
                <w:sz w:val="20"/>
              </w:rPr>
            </w:pPr>
            <w:r w:rsidRPr="009764E0">
              <w:rPr>
                <w:rFonts w:cs="Arial"/>
                <w:i/>
                <w:sz w:val="20"/>
              </w:rPr>
              <w:t xml:space="preserve">Director of Housing v </w:t>
            </w:r>
            <w:proofErr w:type="spellStart"/>
            <w:r w:rsidRPr="009764E0">
              <w:rPr>
                <w:rFonts w:cs="Arial"/>
                <w:i/>
                <w:sz w:val="20"/>
              </w:rPr>
              <w:t>Follari</w:t>
            </w:r>
            <w:proofErr w:type="spellEnd"/>
            <w:r w:rsidRPr="009764E0">
              <w:rPr>
                <w:rFonts w:cs="Arial"/>
                <w:i/>
                <w:sz w:val="20"/>
              </w:rPr>
              <w:t xml:space="preserve"> (Residential Tenancies)</w:t>
            </w:r>
            <w:r w:rsidRPr="009764E0">
              <w:rPr>
                <w:rFonts w:cs="Arial"/>
                <w:sz w:val="20"/>
              </w:rPr>
              <w:t xml:space="preserve"> [2018] VCAT 657</w:t>
            </w:r>
          </w:p>
        </w:tc>
        <w:tc>
          <w:tcPr>
            <w:tcW w:w="2126" w:type="dxa"/>
          </w:tcPr>
          <w:p w14:paraId="0758BC69" w14:textId="77777777" w:rsidR="00951AC2" w:rsidRPr="009764E0" w:rsidRDefault="00951AC2" w:rsidP="003D49E2">
            <w:pPr>
              <w:pStyle w:val="TableBodyTextsmall"/>
              <w:spacing w:before="60" w:after="60"/>
              <w:rPr>
                <w:rFonts w:cs="Arial"/>
                <w:sz w:val="20"/>
              </w:rPr>
            </w:pPr>
            <w:r w:rsidRPr="009764E0">
              <w:rPr>
                <w:rFonts w:cs="Arial"/>
                <w:sz w:val="20"/>
              </w:rPr>
              <w:t>27 April 2018</w:t>
            </w:r>
          </w:p>
        </w:tc>
        <w:tc>
          <w:tcPr>
            <w:tcW w:w="2410" w:type="dxa"/>
          </w:tcPr>
          <w:p w14:paraId="7240BEC4"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72EB6546"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035A9F20" w14:textId="77777777" w:rsidR="00951AC2" w:rsidRPr="009764E0" w:rsidRDefault="00D65BFD" w:rsidP="003D49E2">
            <w:pPr>
              <w:pStyle w:val="TableBodyTextsmall"/>
              <w:spacing w:before="60" w:after="60"/>
              <w:rPr>
                <w:rFonts w:cs="Arial"/>
                <w:sz w:val="20"/>
              </w:rPr>
            </w:pPr>
            <w:hyperlink r:id="rId56" w:history="1">
              <w:r w:rsidR="00951AC2" w:rsidRPr="009764E0">
                <w:rPr>
                  <w:rFonts w:cs="Arial"/>
                  <w:i/>
                  <w:sz w:val="20"/>
                </w:rPr>
                <w:t>Carey Baptist Grammar School Limited - Exemption (Human Rights)</w:t>
              </w:r>
              <w:r w:rsidR="00951AC2" w:rsidRPr="009764E0">
                <w:rPr>
                  <w:rFonts w:cs="Arial"/>
                  <w:sz w:val="20"/>
                </w:rPr>
                <w:t xml:space="preserve"> [2018] VCAT 866</w:t>
              </w:r>
            </w:hyperlink>
          </w:p>
        </w:tc>
        <w:tc>
          <w:tcPr>
            <w:tcW w:w="2126" w:type="dxa"/>
          </w:tcPr>
          <w:p w14:paraId="46974639" w14:textId="77777777" w:rsidR="00951AC2" w:rsidRPr="009764E0" w:rsidRDefault="00951AC2" w:rsidP="003D49E2">
            <w:pPr>
              <w:pStyle w:val="TableBodyTextsmall"/>
              <w:spacing w:before="60" w:after="60"/>
              <w:rPr>
                <w:rFonts w:cs="Arial"/>
                <w:sz w:val="20"/>
              </w:rPr>
            </w:pPr>
            <w:r w:rsidRPr="009764E0">
              <w:rPr>
                <w:rFonts w:cs="Arial"/>
                <w:sz w:val="20"/>
              </w:rPr>
              <w:t>7 June 2018</w:t>
            </w:r>
          </w:p>
        </w:tc>
        <w:tc>
          <w:tcPr>
            <w:tcW w:w="2410" w:type="dxa"/>
          </w:tcPr>
          <w:p w14:paraId="346DCA01"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658B4F2B"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4B991142" w14:textId="77777777" w:rsidR="00951AC2" w:rsidRPr="009764E0" w:rsidRDefault="00951AC2" w:rsidP="003D49E2">
            <w:pPr>
              <w:pStyle w:val="TableBodyTextsmall"/>
              <w:spacing w:before="60" w:after="60"/>
              <w:rPr>
                <w:rFonts w:cs="Arial"/>
                <w:sz w:val="20"/>
              </w:rPr>
            </w:pPr>
            <w:r w:rsidRPr="009764E0">
              <w:rPr>
                <w:rFonts w:cs="Arial"/>
                <w:i/>
                <w:sz w:val="20"/>
              </w:rPr>
              <w:t>Benham v Housing First Ltd (Residential Tenancies)</w:t>
            </w:r>
            <w:r w:rsidRPr="009764E0">
              <w:rPr>
                <w:rFonts w:cs="Arial"/>
                <w:sz w:val="20"/>
              </w:rPr>
              <w:t xml:space="preserve"> [2018] VCAT 1282</w:t>
            </w:r>
          </w:p>
        </w:tc>
        <w:tc>
          <w:tcPr>
            <w:tcW w:w="2126" w:type="dxa"/>
          </w:tcPr>
          <w:p w14:paraId="4A38014B" w14:textId="77777777" w:rsidR="00951AC2" w:rsidRPr="009764E0" w:rsidRDefault="00951AC2" w:rsidP="003D49E2">
            <w:pPr>
              <w:pStyle w:val="TableBodyTextsmall"/>
              <w:spacing w:before="60" w:after="60"/>
              <w:rPr>
                <w:rFonts w:cs="Arial"/>
                <w:sz w:val="20"/>
              </w:rPr>
            </w:pPr>
            <w:r w:rsidRPr="009764E0">
              <w:rPr>
                <w:rFonts w:cs="Arial"/>
                <w:sz w:val="20"/>
              </w:rPr>
              <w:t>17 August 2018</w:t>
            </w:r>
          </w:p>
        </w:tc>
        <w:tc>
          <w:tcPr>
            <w:tcW w:w="2410" w:type="dxa"/>
          </w:tcPr>
          <w:p w14:paraId="61967ECC"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20F8F4FF"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2C691683" w14:textId="77777777" w:rsidR="00951AC2" w:rsidRPr="009764E0" w:rsidRDefault="00D65BFD" w:rsidP="003D49E2">
            <w:pPr>
              <w:pStyle w:val="TableBodyTextsmall"/>
              <w:spacing w:before="60" w:after="60"/>
              <w:rPr>
                <w:rFonts w:cs="Arial"/>
                <w:sz w:val="20"/>
              </w:rPr>
            </w:pPr>
            <w:hyperlink r:id="rId57" w:history="1">
              <w:proofErr w:type="spellStart"/>
              <w:r w:rsidR="00951AC2" w:rsidRPr="009764E0">
                <w:rPr>
                  <w:rFonts w:cs="Arial"/>
                  <w:i/>
                  <w:sz w:val="20"/>
                </w:rPr>
                <w:t>Marke</w:t>
              </w:r>
              <w:proofErr w:type="spellEnd"/>
              <w:r w:rsidR="00951AC2" w:rsidRPr="009764E0">
                <w:rPr>
                  <w:rFonts w:cs="Arial"/>
                  <w:i/>
                  <w:sz w:val="20"/>
                </w:rPr>
                <w:t xml:space="preserve"> v Victoria Police FOI Division (Review and Regulation)</w:t>
              </w:r>
              <w:r w:rsidR="00951AC2" w:rsidRPr="009764E0">
                <w:rPr>
                  <w:rFonts w:cs="Arial"/>
                  <w:sz w:val="20"/>
                </w:rPr>
                <w:t xml:space="preserve"> [2018] VCAT 1320 </w:t>
              </w:r>
            </w:hyperlink>
          </w:p>
        </w:tc>
        <w:tc>
          <w:tcPr>
            <w:tcW w:w="2126" w:type="dxa"/>
          </w:tcPr>
          <w:p w14:paraId="56917D06" w14:textId="77777777" w:rsidR="00951AC2" w:rsidRPr="009764E0" w:rsidRDefault="00951AC2" w:rsidP="003D49E2">
            <w:pPr>
              <w:pStyle w:val="TableBodyTextsmall"/>
              <w:spacing w:before="60" w:after="60"/>
              <w:rPr>
                <w:rFonts w:cs="Arial"/>
                <w:sz w:val="20"/>
              </w:rPr>
            </w:pPr>
            <w:r w:rsidRPr="009764E0">
              <w:rPr>
                <w:rFonts w:cs="Arial"/>
                <w:sz w:val="20"/>
              </w:rPr>
              <w:t>24 August 2018</w:t>
            </w:r>
          </w:p>
        </w:tc>
        <w:tc>
          <w:tcPr>
            <w:tcW w:w="2410" w:type="dxa"/>
          </w:tcPr>
          <w:p w14:paraId="26763C6D"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24BB4B67"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09DB947C" w14:textId="77777777" w:rsidR="00951AC2" w:rsidRPr="009764E0" w:rsidRDefault="00951AC2" w:rsidP="003D49E2">
            <w:pPr>
              <w:pStyle w:val="TableBodyTextsmall"/>
              <w:spacing w:before="60" w:after="60"/>
              <w:rPr>
                <w:rFonts w:cs="Arial"/>
                <w:sz w:val="20"/>
              </w:rPr>
            </w:pPr>
            <w:r w:rsidRPr="009764E0">
              <w:rPr>
                <w:rFonts w:cs="Arial"/>
                <w:i/>
                <w:sz w:val="20"/>
              </w:rPr>
              <w:t>Secular Party of Australia Inc. v the Department of Education and Training (Human Rights)</w:t>
            </w:r>
            <w:r w:rsidRPr="009764E0">
              <w:rPr>
                <w:rFonts w:cs="Arial"/>
                <w:sz w:val="20"/>
              </w:rPr>
              <w:t xml:space="preserve"> [2018] VCAT 1321</w:t>
            </w:r>
          </w:p>
        </w:tc>
        <w:tc>
          <w:tcPr>
            <w:tcW w:w="2126" w:type="dxa"/>
          </w:tcPr>
          <w:p w14:paraId="47DC1537" w14:textId="77777777" w:rsidR="00951AC2" w:rsidRPr="009764E0" w:rsidRDefault="00951AC2" w:rsidP="003D49E2">
            <w:pPr>
              <w:pStyle w:val="TableBodyTextsmall"/>
              <w:spacing w:before="60" w:after="60"/>
              <w:rPr>
                <w:rFonts w:cs="Arial"/>
                <w:sz w:val="20"/>
              </w:rPr>
            </w:pPr>
            <w:r w:rsidRPr="009764E0">
              <w:rPr>
                <w:rFonts w:cs="Arial"/>
                <w:sz w:val="20"/>
              </w:rPr>
              <w:t>27 August 2018</w:t>
            </w:r>
          </w:p>
        </w:tc>
        <w:tc>
          <w:tcPr>
            <w:tcW w:w="2410" w:type="dxa"/>
          </w:tcPr>
          <w:p w14:paraId="6126B359"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09823341"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404881BD" w14:textId="77777777" w:rsidR="00951AC2" w:rsidRPr="009764E0" w:rsidRDefault="00951AC2" w:rsidP="003D49E2">
            <w:pPr>
              <w:pStyle w:val="TableBodyTextsmall"/>
              <w:spacing w:before="60" w:after="60"/>
              <w:rPr>
                <w:rFonts w:cs="Arial"/>
                <w:sz w:val="20"/>
              </w:rPr>
            </w:pPr>
            <w:r w:rsidRPr="009764E0">
              <w:rPr>
                <w:rFonts w:cs="Arial"/>
                <w:i/>
                <w:sz w:val="20"/>
              </w:rPr>
              <w:t>FTL v Mental Health Tribunal (Human Rights)</w:t>
            </w:r>
            <w:r w:rsidRPr="009764E0">
              <w:rPr>
                <w:rFonts w:cs="Arial"/>
                <w:sz w:val="20"/>
              </w:rPr>
              <w:t xml:space="preserve"> [2018] VCAT 1456</w:t>
            </w:r>
          </w:p>
        </w:tc>
        <w:tc>
          <w:tcPr>
            <w:tcW w:w="2126" w:type="dxa"/>
          </w:tcPr>
          <w:p w14:paraId="38A608E7" w14:textId="77777777" w:rsidR="00951AC2" w:rsidRPr="009764E0" w:rsidRDefault="00951AC2" w:rsidP="003D49E2">
            <w:pPr>
              <w:pStyle w:val="TableBodyTextsmall"/>
              <w:spacing w:before="60" w:after="60"/>
              <w:rPr>
                <w:rFonts w:cs="Arial"/>
                <w:sz w:val="20"/>
              </w:rPr>
            </w:pPr>
            <w:r w:rsidRPr="009764E0">
              <w:rPr>
                <w:rFonts w:cs="Arial"/>
                <w:sz w:val="20"/>
              </w:rPr>
              <w:t>25 September 2018</w:t>
            </w:r>
          </w:p>
        </w:tc>
        <w:tc>
          <w:tcPr>
            <w:tcW w:w="2410" w:type="dxa"/>
          </w:tcPr>
          <w:p w14:paraId="54B04635"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329BF483"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62F4E97A" w14:textId="77777777" w:rsidR="00951AC2" w:rsidRPr="009764E0" w:rsidRDefault="00951AC2" w:rsidP="003D49E2">
            <w:pPr>
              <w:pStyle w:val="TableBodyTextsmall"/>
              <w:spacing w:before="60" w:after="60"/>
              <w:rPr>
                <w:rFonts w:cs="Arial"/>
                <w:sz w:val="20"/>
              </w:rPr>
            </w:pPr>
            <w:r w:rsidRPr="009764E0">
              <w:rPr>
                <w:rFonts w:cs="Arial"/>
                <w:i/>
                <w:sz w:val="20"/>
              </w:rPr>
              <w:t>Dawson v Greyhound Racing Victoria (Review and Regulation)</w:t>
            </w:r>
            <w:r w:rsidRPr="009764E0">
              <w:rPr>
                <w:rFonts w:cs="Arial"/>
                <w:sz w:val="20"/>
              </w:rPr>
              <w:t xml:space="preserve"> [2018] VCAT 1572</w:t>
            </w:r>
          </w:p>
        </w:tc>
        <w:tc>
          <w:tcPr>
            <w:tcW w:w="2126" w:type="dxa"/>
          </w:tcPr>
          <w:p w14:paraId="68ADD53E" w14:textId="77777777" w:rsidR="00951AC2" w:rsidRPr="009764E0" w:rsidRDefault="00951AC2" w:rsidP="003D49E2">
            <w:pPr>
              <w:pStyle w:val="TableBodyTextsmall"/>
              <w:spacing w:before="60" w:after="60"/>
              <w:rPr>
                <w:rFonts w:cs="Arial"/>
                <w:sz w:val="20"/>
              </w:rPr>
            </w:pPr>
            <w:r w:rsidRPr="009764E0">
              <w:rPr>
                <w:rFonts w:cs="Arial"/>
                <w:sz w:val="20"/>
              </w:rPr>
              <w:t>16 October 2018</w:t>
            </w:r>
          </w:p>
        </w:tc>
        <w:tc>
          <w:tcPr>
            <w:tcW w:w="2410" w:type="dxa"/>
          </w:tcPr>
          <w:p w14:paraId="6FDAA940"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2173387E"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24000D99" w14:textId="77777777" w:rsidR="00951AC2" w:rsidRPr="009764E0" w:rsidRDefault="00951AC2" w:rsidP="003D49E2">
            <w:pPr>
              <w:pStyle w:val="TableBodyTextsmall"/>
              <w:spacing w:before="60" w:after="60"/>
              <w:rPr>
                <w:rFonts w:cs="Arial"/>
                <w:sz w:val="20"/>
              </w:rPr>
            </w:pPr>
            <w:proofErr w:type="spellStart"/>
            <w:r w:rsidRPr="009764E0">
              <w:rPr>
                <w:rFonts w:cs="Arial"/>
                <w:i/>
                <w:sz w:val="20"/>
              </w:rPr>
              <w:t>Fidge</w:t>
            </w:r>
            <w:proofErr w:type="spellEnd"/>
            <w:r w:rsidRPr="009764E0">
              <w:rPr>
                <w:rFonts w:cs="Arial"/>
                <w:i/>
                <w:sz w:val="20"/>
              </w:rPr>
              <w:t xml:space="preserve"> v Municipal Electoral Tribunal (Review and Regulation)</w:t>
            </w:r>
            <w:r w:rsidRPr="009764E0">
              <w:rPr>
                <w:rFonts w:cs="Arial"/>
                <w:sz w:val="20"/>
              </w:rPr>
              <w:t xml:space="preserve"> [2018] VCAT 1654</w:t>
            </w:r>
          </w:p>
        </w:tc>
        <w:tc>
          <w:tcPr>
            <w:tcW w:w="2126" w:type="dxa"/>
          </w:tcPr>
          <w:p w14:paraId="31166F6A" w14:textId="77777777" w:rsidR="00951AC2" w:rsidRPr="009764E0" w:rsidRDefault="00951AC2" w:rsidP="003D49E2">
            <w:pPr>
              <w:pStyle w:val="TableBodyTextsmall"/>
              <w:spacing w:before="60" w:after="60"/>
              <w:rPr>
                <w:rFonts w:cs="Arial"/>
                <w:sz w:val="20"/>
              </w:rPr>
            </w:pPr>
            <w:r w:rsidRPr="009764E0">
              <w:rPr>
                <w:rFonts w:cs="Arial"/>
                <w:sz w:val="20"/>
              </w:rPr>
              <w:t>23 October 2018</w:t>
            </w:r>
          </w:p>
        </w:tc>
        <w:tc>
          <w:tcPr>
            <w:tcW w:w="2410" w:type="dxa"/>
          </w:tcPr>
          <w:p w14:paraId="44BCFE43"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6412EFBB"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5C4AFFAE" w14:textId="77777777" w:rsidR="00951AC2" w:rsidRPr="009764E0" w:rsidRDefault="00951AC2" w:rsidP="003D49E2">
            <w:pPr>
              <w:pStyle w:val="TableBodyTextsmall"/>
              <w:spacing w:before="60" w:after="60"/>
              <w:rPr>
                <w:rFonts w:cs="Arial"/>
                <w:sz w:val="20"/>
              </w:rPr>
            </w:pPr>
            <w:r w:rsidRPr="009764E0">
              <w:rPr>
                <w:rFonts w:cs="Arial"/>
                <w:i/>
                <w:sz w:val="20"/>
              </w:rPr>
              <w:t>Country Fire Authority v KTN (Human Rights) (Corrected)</w:t>
            </w:r>
            <w:r w:rsidRPr="009764E0">
              <w:rPr>
                <w:rFonts w:cs="Arial"/>
                <w:sz w:val="20"/>
              </w:rPr>
              <w:t xml:space="preserve"> [2018] VCAT 1719 </w:t>
            </w:r>
          </w:p>
        </w:tc>
        <w:tc>
          <w:tcPr>
            <w:tcW w:w="2126" w:type="dxa"/>
          </w:tcPr>
          <w:p w14:paraId="443FA21C" w14:textId="77777777" w:rsidR="00951AC2" w:rsidRPr="009764E0" w:rsidRDefault="00951AC2" w:rsidP="003D49E2">
            <w:pPr>
              <w:pStyle w:val="TableBodyTextsmall"/>
              <w:spacing w:before="60" w:after="60"/>
              <w:rPr>
                <w:rFonts w:cs="Arial"/>
                <w:sz w:val="20"/>
              </w:rPr>
            </w:pPr>
            <w:r w:rsidRPr="009764E0">
              <w:rPr>
                <w:rFonts w:cs="Arial"/>
                <w:sz w:val="20"/>
              </w:rPr>
              <w:t>14 November 2018</w:t>
            </w:r>
          </w:p>
        </w:tc>
        <w:tc>
          <w:tcPr>
            <w:tcW w:w="2410" w:type="dxa"/>
          </w:tcPr>
          <w:p w14:paraId="583AD53A"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0C5C8EBE"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4583B4B9" w14:textId="77777777" w:rsidR="00951AC2" w:rsidRPr="009764E0" w:rsidRDefault="00951AC2" w:rsidP="003D49E2">
            <w:pPr>
              <w:pStyle w:val="TableBodyTextsmall"/>
              <w:spacing w:before="60" w:after="60"/>
              <w:rPr>
                <w:rFonts w:cs="Arial"/>
                <w:sz w:val="20"/>
              </w:rPr>
            </w:pPr>
            <w:r w:rsidRPr="009764E0">
              <w:rPr>
                <w:rFonts w:cs="Arial"/>
                <w:i/>
                <w:sz w:val="20"/>
              </w:rPr>
              <w:t>Goh v Port Phillip CC</w:t>
            </w:r>
            <w:r w:rsidRPr="009764E0">
              <w:rPr>
                <w:rFonts w:cs="Arial"/>
                <w:sz w:val="20"/>
              </w:rPr>
              <w:t xml:space="preserve"> [2018] VCAT 1515</w:t>
            </w:r>
          </w:p>
        </w:tc>
        <w:tc>
          <w:tcPr>
            <w:tcW w:w="2126" w:type="dxa"/>
          </w:tcPr>
          <w:p w14:paraId="68B8E43D" w14:textId="77777777" w:rsidR="00951AC2" w:rsidRPr="009764E0" w:rsidRDefault="00951AC2" w:rsidP="003D49E2">
            <w:pPr>
              <w:pStyle w:val="TableBodyTextsmall"/>
              <w:spacing w:before="60" w:after="60"/>
              <w:rPr>
                <w:rFonts w:cs="Arial"/>
                <w:sz w:val="20"/>
              </w:rPr>
            </w:pPr>
            <w:r w:rsidRPr="009764E0">
              <w:rPr>
                <w:rFonts w:cs="Arial"/>
                <w:sz w:val="20"/>
              </w:rPr>
              <w:t>20 November 2018</w:t>
            </w:r>
          </w:p>
        </w:tc>
        <w:tc>
          <w:tcPr>
            <w:tcW w:w="2410" w:type="dxa"/>
          </w:tcPr>
          <w:p w14:paraId="1818D97F"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6A8081A5"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55DCCBF0" w14:textId="77777777" w:rsidR="00951AC2" w:rsidRPr="009764E0" w:rsidRDefault="00951AC2" w:rsidP="003D49E2">
            <w:pPr>
              <w:pStyle w:val="TableBodyTextsmall"/>
              <w:spacing w:before="60" w:after="60"/>
              <w:rPr>
                <w:rFonts w:cs="Arial"/>
                <w:sz w:val="20"/>
              </w:rPr>
            </w:pPr>
            <w:r w:rsidRPr="009764E0">
              <w:rPr>
                <w:rFonts w:cs="Arial"/>
                <w:i/>
                <w:sz w:val="20"/>
              </w:rPr>
              <w:t>Muldoon v Registrar of Births, Deaths and Marriages (Review and Regulation)</w:t>
            </w:r>
            <w:r w:rsidRPr="009764E0">
              <w:rPr>
                <w:rFonts w:cs="Arial"/>
                <w:sz w:val="20"/>
              </w:rPr>
              <w:t xml:space="preserve"> [2018] VCAT 1866</w:t>
            </w:r>
          </w:p>
        </w:tc>
        <w:tc>
          <w:tcPr>
            <w:tcW w:w="2126" w:type="dxa"/>
          </w:tcPr>
          <w:p w14:paraId="1288A9E1" w14:textId="77777777" w:rsidR="00951AC2" w:rsidRPr="009764E0" w:rsidRDefault="00951AC2" w:rsidP="003D49E2">
            <w:pPr>
              <w:pStyle w:val="TableBodyTextsmall"/>
              <w:spacing w:before="60" w:after="60"/>
              <w:rPr>
                <w:rFonts w:cs="Arial"/>
                <w:sz w:val="20"/>
              </w:rPr>
            </w:pPr>
            <w:r w:rsidRPr="009764E0">
              <w:rPr>
                <w:rFonts w:cs="Arial"/>
                <w:sz w:val="20"/>
              </w:rPr>
              <w:t>4 December 2018</w:t>
            </w:r>
          </w:p>
        </w:tc>
        <w:tc>
          <w:tcPr>
            <w:tcW w:w="2410" w:type="dxa"/>
          </w:tcPr>
          <w:p w14:paraId="1FE9E19A" w14:textId="77777777" w:rsidR="00951AC2" w:rsidRPr="009764E0" w:rsidRDefault="00951AC2" w:rsidP="003D49E2">
            <w:pPr>
              <w:pStyle w:val="TableBodyTextsmall"/>
              <w:spacing w:before="60" w:after="60"/>
              <w:rPr>
                <w:rFonts w:cs="Arial"/>
                <w:sz w:val="20"/>
              </w:rPr>
            </w:pPr>
            <w:r w:rsidRPr="009764E0">
              <w:rPr>
                <w:rFonts w:cs="Arial"/>
                <w:sz w:val="20"/>
              </w:rPr>
              <w:t>VCAT</w:t>
            </w:r>
          </w:p>
        </w:tc>
      </w:tr>
      <w:tr w:rsidR="00951AC2" w14:paraId="36C8BE38" w14:textId="77777777" w:rsidTr="003D49E2">
        <w:trPr>
          <w:cnfStyle w:val="000000010000" w:firstRow="0" w:lastRow="0" w:firstColumn="0" w:lastColumn="0" w:oddVBand="0" w:evenVBand="0" w:oddHBand="0" w:evenHBand="1" w:firstRowFirstColumn="0" w:firstRowLastColumn="0" w:lastRowFirstColumn="0" w:lastRowLastColumn="0"/>
        </w:trPr>
        <w:tc>
          <w:tcPr>
            <w:tcW w:w="5240" w:type="dxa"/>
          </w:tcPr>
          <w:p w14:paraId="5EFA99B1" w14:textId="77777777" w:rsidR="00951AC2" w:rsidRPr="009764E0" w:rsidRDefault="00951AC2" w:rsidP="003D49E2">
            <w:pPr>
              <w:pStyle w:val="TableBodyTextsmall"/>
              <w:spacing w:before="60" w:after="60"/>
              <w:rPr>
                <w:rFonts w:cs="Arial"/>
                <w:sz w:val="20"/>
              </w:rPr>
            </w:pPr>
            <w:r w:rsidRPr="009764E0">
              <w:rPr>
                <w:rFonts w:cs="Arial"/>
                <w:i/>
                <w:sz w:val="20"/>
              </w:rPr>
              <w:t>LDC</w:t>
            </w:r>
            <w:r w:rsidRPr="009764E0">
              <w:rPr>
                <w:rFonts w:cs="Arial"/>
                <w:sz w:val="20"/>
              </w:rPr>
              <w:t xml:space="preserve"> [2048] VMHT 2</w:t>
            </w:r>
          </w:p>
        </w:tc>
        <w:tc>
          <w:tcPr>
            <w:tcW w:w="2126" w:type="dxa"/>
          </w:tcPr>
          <w:p w14:paraId="4EE6F3B7" w14:textId="77777777" w:rsidR="00951AC2" w:rsidRPr="009764E0" w:rsidRDefault="00951AC2" w:rsidP="003D49E2">
            <w:pPr>
              <w:pStyle w:val="TableBodyTextsmall"/>
              <w:spacing w:before="60" w:after="60"/>
              <w:rPr>
                <w:rFonts w:cs="Arial"/>
                <w:sz w:val="20"/>
              </w:rPr>
            </w:pPr>
            <w:r w:rsidRPr="009764E0">
              <w:rPr>
                <w:rFonts w:cs="Arial"/>
                <w:sz w:val="20"/>
              </w:rPr>
              <w:t>9 January 2018</w:t>
            </w:r>
          </w:p>
        </w:tc>
        <w:tc>
          <w:tcPr>
            <w:tcW w:w="2410" w:type="dxa"/>
          </w:tcPr>
          <w:p w14:paraId="0D209A36" w14:textId="77777777" w:rsidR="00951AC2" w:rsidRPr="009764E0" w:rsidRDefault="00951AC2" w:rsidP="003D49E2">
            <w:pPr>
              <w:pStyle w:val="TableBodyTextsmall"/>
              <w:spacing w:before="60" w:after="60"/>
              <w:rPr>
                <w:rFonts w:cs="Arial"/>
                <w:sz w:val="20"/>
              </w:rPr>
            </w:pPr>
            <w:r w:rsidRPr="009764E0">
              <w:rPr>
                <w:rFonts w:cs="Arial"/>
                <w:sz w:val="20"/>
              </w:rPr>
              <w:t>Mental Health Tribunal</w:t>
            </w:r>
          </w:p>
        </w:tc>
      </w:tr>
      <w:tr w:rsidR="00951AC2" w14:paraId="70B7F5D3" w14:textId="77777777" w:rsidTr="003D49E2">
        <w:trPr>
          <w:cnfStyle w:val="000000100000" w:firstRow="0" w:lastRow="0" w:firstColumn="0" w:lastColumn="0" w:oddVBand="0" w:evenVBand="0" w:oddHBand="1" w:evenHBand="0" w:firstRowFirstColumn="0" w:firstRowLastColumn="0" w:lastRowFirstColumn="0" w:lastRowLastColumn="0"/>
        </w:trPr>
        <w:tc>
          <w:tcPr>
            <w:tcW w:w="5240" w:type="dxa"/>
          </w:tcPr>
          <w:p w14:paraId="4E363173" w14:textId="77777777" w:rsidR="00951AC2" w:rsidRPr="009764E0" w:rsidRDefault="00951AC2" w:rsidP="003D49E2">
            <w:pPr>
              <w:pStyle w:val="TableBodyTextsmall"/>
              <w:spacing w:before="60" w:after="60"/>
              <w:rPr>
                <w:rFonts w:cs="Arial"/>
                <w:sz w:val="20"/>
              </w:rPr>
            </w:pPr>
            <w:r w:rsidRPr="009764E0">
              <w:rPr>
                <w:rFonts w:cs="Arial"/>
                <w:i/>
                <w:sz w:val="20"/>
              </w:rPr>
              <w:t>Minogue v Victoria</w:t>
            </w:r>
            <w:r w:rsidRPr="009764E0">
              <w:rPr>
                <w:rFonts w:cs="Arial"/>
                <w:sz w:val="20"/>
              </w:rPr>
              <w:t xml:space="preserve"> [2018] HCA 27 </w:t>
            </w:r>
          </w:p>
        </w:tc>
        <w:tc>
          <w:tcPr>
            <w:tcW w:w="2126" w:type="dxa"/>
          </w:tcPr>
          <w:p w14:paraId="1013F115" w14:textId="77777777" w:rsidR="00951AC2" w:rsidRPr="009764E0" w:rsidRDefault="00951AC2" w:rsidP="003D49E2">
            <w:pPr>
              <w:pStyle w:val="TableBodyTextsmall"/>
              <w:spacing w:before="60" w:after="60"/>
              <w:rPr>
                <w:rFonts w:cs="Arial"/>
                <w:sz w:val="20"/>
              </w:rPr>
            </w:pPr>
            <w:r w:rsidRPr="009764E0">
              <w:rPr>
                <w:rFonts w:cs="Arial"/>
                <w:sz w:val="20"/>
              </w:rPr>
              <w:t>20 June 2018</w:t>
            </w:r>
          </w:p>
        </w:tc>
        <w:tc>
          <w:tcPr>
            <w:tcW w:w="2410" w:type="dxa"/>
          </w:tcPr>
          <w:p w14:paraId="6814601C" w14:textId="77777777" w:rsidR="00951AC2" w:rsidRPr="009764E0" w:rsidRDefault="00951AC2" w:rsidP="003D49E2">
            <w:pPr>
              <w:pStyle w:val="TableBodyTextsmall"/>
              <w:spacing w:before="60" w:after="60"/>
              <w:rPr>
                <w:rFonts w:cs="Arial"/>
                <w:sz w:val="20"/>
              </w:rPr>
            </w:pPr>
            <w:r w:rsidRPr="009764E0">
              <w:rPr>
                <w:rFonts w:cs="Arial"/>
                <w:sz w:val="20"/>
              </w:rPr>
              <w:t>High Court</w:t>
            </w:r>
          </w:p>
        </w:tc>
      </w:tr>
    </w:tbl>
    <w:p w14:paraId="5C5E8FD2" w14:textId="77777777" w:rsidR="00951AC2" w:rsidRPr="004E4E0F" w:rsidRDefault="00951AC2" w:rsidP="00951AC2">
      <w:pPr>
        <w:pStyle w:val="BodyText"/>
      </w:pPr>
    </w:p>
    <w:p w14:paraId="32C041FB" w14:textId="77777777" w:rsidR="00951AC2" w:rsidRDefault="00951AC2" w:rsidP="00951AC2">
      <w:pPr>
        <w:rPr>
          <w:rStyle w:val="Characterbold"/>
        </w:rPr>
      </w:pPr>
      <w:r>
        <w:rPr>
          <w:rStyle w:val="Characterbold"/>
        </w:rPr>
        <w:br w:type="page"/>
      </w:r>
    </w:p>
    <w:p w14:paraId="14B01A18" w14:textId="77777777" w:rsidR="00951AC2" w:rsidRDefault="00951AC2" w:rsidP="00951AC2">
      <w:r w:rsidRPr="00902D12">
        <w:rPr>
          <w:rStyle w:val="Characterbold"/>
        </w:rPr>
        <w:lastRenderedPageBreak/>
        <w:t>Contact us</w:t>
      </w:r>
    </w:p>
    <w:p w14:paraId="42E5D160" w14:textId="77777777" w:rsidR="00951AC2" w:rsidRDefault="00951AC2" w:rsidP="00951AC2">
      <w:pPr>
        <w:pStyle w:val="BodyText"/>
      </w:pPr>
      <w:r>
        <w:t xml:space="preserve">Enquiry Line </w:t>
      </w:r>
      <w:r>
        <w:tab/>
      </w:r>
      <w:r>
        <w:tab/>
      </w:r>
      <w:r>
        <w:tab/>
        <w:t>1300 292 153 or (03) 9032 3583</w:t>
      </w:r>
      <w:r>
        <w:br/>
        <w:t>Fax</w:t>
      </w:r>
      <w:r>
        <w:tab/>
      </w:r>
      <w:r>
        <w:tab/>
      </w:r>
      <w:r>
        <w:tab/>
      </w:r>
      <w:r>
        <w:tab/>
        <w:t>1300 891 858</w:t>
      </w:r>
      <w:r>
        <w:br/>
        <w:t>Hearing impaired (TTY)</w:t>
      </w:r>
      <w:r>
        <w:tab/>
        <w:t>1300 289 621</w:t>
      </w:r>
      <w:r>
        <w:br/>
        <w:t>Interpreters</w:t>
      </w:r>
      <w:r>
        <w:tab/>
      </w:r>
      <w:r>
        <w:tab/>
      </w:r>
      <w:r>
        <w:tab/>
        <w:t>1300 152 494</w:t>
      </w:r>
      <w:r>
        <w:br/>
        <w:t>Email</w:t>
      </w:r>
      <w:r>
        <w:tab/>
      </w:r>
      <w:r>
        <w:tab/>
      </w:r>
      <w:r>
        <w:tab/>
      </w:r>
      <w:r>
        <w:tab/>
      </w:r>
      <w:hyperlink r:id="rId58" w:history="1">
        <w:r w:rsidRPr="000B6AEF">
          <w:rPr>
            <w:rStyle w:val="Hyperlink"/>
          </w:rPr>
          <w:t>enquiries@veohrc.vic.gov.au</w:t>
        </w:r>
      </w:hyperlink>
      <w:r>
        <w:br/>
        <w:t>Website</w:t>
      </w:r>
      <w:r>
        <w:tab/>
      </w:r>
      <w:r>
        <w:tab/>
      </w:r>
      <w:r>
        <w:tab/>
      </w:r>
      <w:hyperlink r:id="rId59" w:history="1">
        <w:r w:rsidRPr="00AF44F2">
          <w:rPr>
            <w:rStyle w:val="Hyperlink"/>
          </w:rPr>
          <w:t>humanrightscommission.vic.gov.au</w:t>
        </w:r>
      </w:hyperlink>
      <w:r>
        <w:br/>
        <w:t>Follow us on Twitter</w:t>
      </w:r>
      <w:r>
        <w:tab/>
      </w:r>
      <w:r>
        <w:tab/>
      </w:r>
      <w:hyperlink r:id="rId60" w:history="1">
        <w:r w:rsidRPr="003F17B6">
          <w:rPr>
            <w:rStyle w:val="Hyperlink"/>
          </w:rPr>
          <w:t>www.twitter.com/veohrc</w:t>
        </w:r>
      </w:hyperlink>
      <w:r>
        <w:br/>
        <w:t>Find us at</w:t>
      </w:r>
      <w:r>
        <w:tab/>
      </w:r>
      <w:r>
        <w:tab/>
      </w:r>
      <w:r>
        <w:tab/>
      </w:r>
      <w:hyperlink r:id="rId61" w:history="1">
        <w:r w:rsidRPr="003F17B6">
          <w:rPr>
            <w:rStyle w:val="Hyperlink"/>
          </w:rPr>
          <w:t>www.facebook.com/veohrc</w:t>
        </w:r>
      </w:hyperlink>
    </w:p>
    <w:p w14:paraId="059E34BB" w14:textId="77777777" w:rsidR="00951AC2" w:rsidRDefault="00951AC2" w:rsidP="00951AC2">
      <w:pPr>
        <w:pStyle w:val="BodyText"/>
        <w:rPr>
          <w:lang w:eastAsia="en-GB"/>
        </w:rPr>
      </w:pPr>
    </w:p>
    <w:p w14:paraId="6911B03F" w14:textId="03E60522" w:rsidR="008E0945" w:rsidRPr="003015FD" w:rsidRDefault="00951AC2" w:rsidP="006132B8">
      <w:pPr>
        <w:pStyle w:val="Heading4"/>
      </w:pPr>
      <w:r w:rsidRPr="00F43C28">
        <w:t>humanrightscommission.vic.gov.au</w:t>
      </w:r>
    </w:p>
    <w:sectPr w:rsidR="008E0945" w:rsidRPr="003015FD" w:rsidSect="00043EF1">
      <w:headerReference w:type="default" r:id="rId62"/>
      <w:footerReference w:type="default" r:id="rId63"/>
      <w:headerReference w:type="first" r:id="rId64"/>
      <w:footerReference w:type="first" r:id="rId65"/>
      <w:endnotePr>
        <w:numFmt w:val="decimal"/>
      </w:endnotePr>
      <w:pgSz w:w="11907" w:h="16839" w:code="9"/>
      <w:pgMar w:top="1134" w:right="1418" w:bottom="1134"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9A2C67" w16cid:durableId="215016D9"/>
  <w16cid:commentId w16cid:paraId="1FAA261E" w16cid:durableId="2150169C"/>
  <w16cid:commentId w16cid:paraId="50751392" w16cid:durableId="21501676"/>
  <w16cid:commentId w16cid:paraId="69E13CD9" w16cid:durableId="21501785"/>
  <w16cid:commentId w16cid:paraId="4C705BC4" w16cid:durableId="21500E9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340D9" w14:textId="77777777" w:rsidR="00D65BFD" w:rsidRDefault="00D65BFD" w:rsidP="005B74F5">
      <w:r>
        <w:separator/>
      </w:r>
    </w:p>
  </w:endnote>
  <w:endnote w:type="continuationSeparator" w:id="0">
    <w:p w14:paraId="32BF9BD5" w14:textId="77777777" w:rsidR="00D65BFD" w:rsidRDefault="00D65BFD" w:rsidP="005B74F5">
      <w:r>
        <w:continuationSeparator/>
      </w:r>
    </w:p>
  </w:endnote>
  <w:endnote w:type="continuationNotice" w:id="1">
    <w:p w14:paraId="102374CA" w14:textId="77777777" w:rsidR="00D65BFD" w:rsidRDefault="00D65B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MT-Medium">
    <w:charset w:val="00"/>
    <w:family w:val="auto"/>
    <w:pitch w:val="variable"/>
    <w:sig w:usb0="00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inionPro-Regular">
    <w:charset w:val="00"/>
    <w:family w:val="auto"/>
    <w:pitch w:val="variable"/>
    <w:sig w:usb0="60000287" w:usb1="00000001" w:usb2="00000000" w:usb3="00000000" w:csb0="0000019F" w:csb1="00000000"/>
  </w:font>
  <w:font w:name="Graphik-Bold">
    <w:charset w:val="00"/>
    <w:family w:val="auto"/>
    <w:pitch w:val="variable"/>
    <w:sig w:usb0="A000002F" w:usb1="4000045A" w:usb2="00000000" w:usb3="00000000" w:csb0="00000093" w:csb1="00000000"/>
  </w:font>
  <w:font w:name="Graphik-Regular">
    <w:charset w:val="00"/>
    <w:family w:val="auto"/>
    <w:pitch w:val="variable"/>
    <w:sig w:usb0="A000002F" w:usb1="4000045A" w:usb2="00000000" w:usb3="00000000" w:csb0="00000093" w:csb1="00000000"/>
  </w:font>
  <w:font w:name="Graphik-Medium">
    <w:charset w:val="00"/>
    <w:family w:val="auto"/>
    <w:pitch w:val="variable"/>
    <w:sig w:usb0="A000002F" w:usb1="4000045A" w:usb2="00000000" w:usb3="00000000" w:csb0="00000093" w:csb1="00000000"/>
  </w:font>
  <w:font w:name="Graphik-Semibold">
    <w:charset w:val="00"/>
    <w:family w:val="auto"/>
    <w:pitch w:val="variable"/>
    <w:sig w:usb0="A000002F" w:usb1="4000045A" w:usb2="00000000" w:usb3="00000000" w:csb0="00000093" w:csb1="00000000"/>
  </w:font>
  <w:font w:name="Graphik-RegularItalic">
    <w:charset w:val="00"/>
    <w:family w:val="auto"/>
    <w:pitch w:val="variable"/>
    <w:sig w:usb0="A000002F" w:usb1="4000045A" w:usb2="00000000" w:usb3="00000000" w:csb0="00000093"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337291"/>
      <w:docPartObj>
        <w:docPartGallery w:val="Page Numbers (Bottom of Page)"/>
        <w:docPartUnique/>
      </w:docPartObj>
    </w:sdtPr>
    <w:sdtEndPr>
      <w:rPr>
        <w:noProof/>
      </w:rPr>
    </w:sdtEndPr>
    <w:sdtContent>
      <w:p w14:paraId="69BE28C5" w14:textId="696253BD" w:rsidR="00B026DA" w:rsidRPr="00046354" w:rsidRDefault="00B026DA" w:rsidP="00DE1791">
        <w:pPr>
          <w:pStyle w:val="Footer"/>
        </w:pPr>
        <w:r w:rsidRPr="00046354">
          <w:rPr>
            <w:rStyle w:val="Characteritalic"/>
          </w:rPr>
          <w:fldChar w:fldCharType="begin"/>
        </w:r>
        <w:r w:rsidRPr="00046354">
          <w:rPr>
            <w:rStyle w:val="Characteritalic"/>
          </w:rPr>
          <w:instrText xml:space="preserve"> STYLEREF  Title  \* MERGEFORMAT </w:instrText>
        </w:r>
        <w:r w:rsidRPr="00046354">
          <w:rPr>
            <w:rStyle w:val="Characteritalic"/>
          </w:rPr>
          <w:fldChar w:fldCharType="separate"/>
        </w:r>
        <w:r w:rsidR="0075194E">
          <w:rPr>
            <w:rStyle w:val="Characteritalic"/>
            <w:noProof/>
          </w:rPr>
          <w:t>2018 report on the operation of the Charter of Human Rights and Responsibilities</w:t>
        </w:r>
        <w:r w:rsidRPr="00046354">
          <w:rPr>
            <w:rStyle w:val="Characteritalic"/>
          </w:rPr>
          <w:fldChar w:fldCharType="end"/>
        </w:r>
        <w:r>
          <w:tab/>
        </w:r>
        <w:r w:rsidRPr="00982493">
          <w:t xml:space="preserve">Page </w:t>
        </w:r>
        <w:r w:rsidRPr="00982493">
          <w:fldChar w:fldCharType="begin"/>
        </w:r>
        <w:r w:rsidRPr="00982493">
          <w:instrText xml:space="preserve"> PAGE  \* Arabic  \* MERGEFORMAT </w:instrText>
        </w:r>
        <w:r w:rsidRPr="00982493">
          <w:fldChar w:fldCharType="separate"/>
        </w:r>
        <w:r w:rsidR="0075194E">
          <w:rPr>
            <w:noProof/>
          </w:rPr>
          <w:t>5</w:t>
        </w:r>
        <w:r w:rsidRPr="00982493">
          <w:fldChar w:fldCharType="end"/>
        </w:r>
        <w:r w:rsidRPr="00982493">
          <w:t xml:space="preserve"> of </w:t>
        </w:r>
        <w:r w:rsidR="00D65BFD">
          <w:fldChar w:fldCharType="begin"/>
        </w:r>
        <w:r w:rsidR="00D65BFD">
          <w:instrText xml:space="preserve"> NUMPAGES  \* Arabic  \* MERGEFORMAT </w:instrText>
        </w:r>
        <w:r w:rsidR="00D65BFD">
          <w:fldChar w:fldCharType="separate"/>
        </w:r>
        <w:r w:rsidR="0075194E">
          <w:rPr>
            <w:noProof/>
          </w:rPr>
          <w:t>108</w:t>
        </w:r>
        <w:r w:rsidR="00D65BFD">
          <w:rPr>
            <w:noProof/>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BE4F" w14:textId="77777777" w:rsidR="00B026DA" w:rsidRDefault="00B026DA" w:rsidP="00DE1791">
    <w:pPr>
      <w:pStyle w:val="Footer"/>
    </w:pPr>
    <w:r>
      <w:rPr>
        <w:noProof/>
        <w:lang w:val="en-GB" w:eastAsia="en-GB"/>
      </w:rPr>
      <mc:AlternateContent>
        <mc:Choice Requires="wps">
          <w:drawing>
            <wp:anchor distT="0" distB="0" distL="114300" distR="114300" simplePos="0" relativeHeight="251672576" behindDoc="0" locked="0" layoutInCell="1" allowOverlap="1" wp14:anchorId="3F8E1619" wp14:editId="48F28D54">
              <wp:simplePos x="0" y="0"/>
              <wp:positionH relativeFrom="column">
                <wp:posOffset>-92392</wp:posOffset>
              </wp:positionH>
              <wp:positionV relativeFrom="paragraph">
                <wp:posOffset>116205</wp:posOffset>
              </wp:positionV>
              <wp:extent cx="3752912" cy="357188"/>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3752912" cy="357188"/>
                      </a:xfrm>
                      <a:prstGeom prst="rect">
                        <a:avLst/>
                      </a:prstGeom>
                      <a:noFill/>
                      <a:ln w="6350">
                        <a:noFill/>
                      </a:ln>
                    </wps:spPr>
                    <wps:txbx>
                      <w:txbxContent>
                        <w:p w14:paraId="588E64CE" w14:textId="77777777" w:rsidR="00B026DA" w:rsidRPr="00034D42" w:rsidRDefault="00B026DA" w:rsidP="00DE1791">
                          <w:r w:rsidRPr="00034D42">
                            <w:t>humanrightscommission.vic.gov.au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8E1619" id="_x0000_t202" coordsize="21600,21600" o:spt="202" path="m0,0l0,21600,21600,21600,21600,0xe">
              <v:stroke joinstyle="miter"/>
              <v:path gradientshapeok="t" o:connecttype="rect"/>
            </v:shapetype>
            <v:shape id="Text Box 9" o:spid="_x0000_s1026" type="#_x0000_t202" style="position:absolute;margin-left:-7.25pt;margin-top:9.15pt;width:295.5pt;height:28.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" filled="f" stroked="f" strokeweight=".5pt">
              <v:textbox>
                <w:txbxContent>
                  <w:p w14:paraId="588E64CE" w14:textId="77777777" w:rsidR="00B026DA" w:rsidRPr="00034D42" w:rsidRDefault="00B026DA" w:rsidP="00DE1791">
                    <w:r w:rsidRPr="00034D42">
                      <w:t>humanrightscommission.vic.gov.au</w:t>
                    </w:r>
                  </w:p>
                </w:txbxContent>
              </v:textbox>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1C24BDF6" wp14:editId="4898562A">
              <wp:simplePos x="0" y="0"/>
              <wp:positionH relativeFrom="column">
                <wp:posOffset>-556699</wp:posOffset>
              </wp:positionH>
              <wp:positionV relativeFrom="paragraph">
                <wp:posOffset>65405</wp:posOffset>
              </wp:positionV>
              <wp:extent cx="765810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0EDD0" id="Rectangle 8" o:spid="_x0000_s1026" style="position:absolute;margin-left:-43.85pt;margin-top:5.15pt;width:603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" fillcolor="#454545"/>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581A8" w14:textId="77777777" w:rsidR="00B026DA" w:rsidRDefault="00B026DA" w:rsidP="005B74F5">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3</w:t>
    </w:r>
    <w:r w:rsidRPr="00024595">
      <w:rPr>
        <w:rStyle w:val="PageNumber"/>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0C4EB" w14:textId="77777777" w:rsidR="00B026DA" w:rsidRPr="00133589" w:rsidRDefault="00B026DA" w:rsidP="003F304C">
    <w:pPr>
      <w:pStyle w:val="Footer"/>
    </w:pPr>
    <w:r w:rsidRPr="00133589">
      <w:tab/>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1B15B" w14:textId="77777777" w:rsidR="00B026DA" w:rsidRDefault="00B026DA">
    <w:pPr>
      <w:pStyle w:val="Footer"/>
    </w:pPr>
    <w:r>
      <w:rPr>
        <w:noProof/>
        <w:lang w:val="en-GB" w:eastAsia="en-GB"/>
      </w:rPr>
      <w:drawing>
        <wp:anchor distT="0" distB="0" distL="114300" distR="114300" simplePos="0" relativeHeight="251675648" behindDoc="1" locked="0" layoutInCell="1" allowOverlap="1" wp14:anchorId="5E869B99" wp14:editId="6D0C2D92">
          <wp:simplePos x="0" y="0"/>
          <wp:positionH relativeFrom="column">
            <wp:posOffset>-427512</wp:posOffset>
          </wp:positionH>
          <wp:positionV relativeFrom="paragraph">
            <wp:posOffset>-700644</wp:posOffset>
          </wp:positionV>
          <wp:extent cx="3552825" cy="986808"/>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OHRCLogo.png"/>
                  <pic:cNvPicPr/>
                </pic:nvPicPr>
                <pic:blipFill>
                  <a:blip r:embed="rId1">
                    <a:extLst>
                      <a:ext uri="{28A0092B-C50C-407E-A947-70E740481C1C}">
                        <a14:useLocalDpi xmlns:a14="http://schemas.microsoft.com/office/drawing/2010/main" val="0"/>
                      </a:ext>
                    </a:extLst>
                  </a:blip>
                  <a:stretch>
                    <a:fillRect/>
                  </a:stretch>
                </pic:blipFill>
                <pic:spPr>
                  <a:xfrm>
                    <a:off x="0" y="0"/>
                    <a:ext cx="3552825" cy="986808"/>
                  </a:xfrm>
                  <a:prstGeom prst="rect">
                    <a:avLst/>
                  </a:prstGeom>
                </pic:spPr>
              </pic:pic>
            </a:graphicData>
          </a:graphic>
        </wp:anchor>
      </w:drawing>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34B60" w14:textId="3D8F474E" w:rsidR="00B026DA" w:rsidRPr="00133589" w:rsidRDefault="00B026DA" w:rsidP="005B74F5">
    <w:pPr>
      <w:pStyle w:val="Footer"/>
    </w:pPr>
    <w:r w:rsidRPr="00133589">
      <w:tab/>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D4369" w14:textId="77777777" w:rsidR="00B026DA" w:rsidRDefault="00B026DA" w:rsidP="005B74F5">
    <w:pPr>
      <w:pStyle w:val="Footer"/>
    </w:pPr>
    <w:r>
      <w:rPr>
        <w:noProof/>
        <w:lang w:val="en-GB" w:eastAsia="en-GB"/>
      </w:rPr>
      <w:drawing>
        <wp:anchor distT="0" distB="0" distL="114300" distR="114300" simplePos="0" relativeHeight="251664384" behindDoc="1" locked="0" layoutInCell="1" allowOverlap="1" wp14:anchorId="37253681" wp14:editId="29A8BF38">
          <wp:simplePos x="0" y="0"/>
          <wp:positionH relativeFrom="column">
            <wp:posOffset>-427512</wp:posOffset>
          </wp:positionH>
          <wp:positionV relativeFrom="paragraph">
            <wp:posOffset>-700644</wp:posOffset>
          </wp:positionV>
          <wp:extent cx="3552825" cy="986808"/>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OHRCLogo.png"/>
                  <pic:cNvPicPr/>
                </pic:nvPicPr>
                <pic:blipFill>
                  <a:blip r:embed="rId1">
                    <a:extLst>
                      <a:ext uri="{28A0092B-C50C-407E-A947-70E740481C1C}">
                        <a14:useLocalDpi xmlns:a14="http://schemas.microsoft.com/office/drawing/2010/main" val="0"/>
                      </a:ext>
                    </a:extLst>
                  </a:blip>
                  <a:stretch>
                    <a:fillRect/>
                  </a:stretch>
                </pic:blipFill>
                <pic:spPr>
                  <a:xfrm>
                    <a:off x="0" y="0"/>
                    <a:ext cx="3552825" cy="986808"/>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EF6EB" w14:textId="77777777" w:rsidR="00D65BFD" w:rsidRDefault="00D65BFD" w:rsidP="005B74F5">
      <w:r>
        <w:separator/>
      </w:r>
    </w:p>
  </w:footnote>
  <w:footnote w:type="continuationSeparator" w:id="0">
    <w:p w14:paraId="2D50CB4B" w14:textId="77777777" w:rsidR="00D65BFD" w:rsidRDefault="00D65BFD" w:rsidP="005B74F5">
      <w:r>
        <w:continuationSeparator/>
      </w:r>
    </w:p>
  </w:footnote>
  <w:footnote w:type="continuationNotice" w:id="1">
    <w:p w14:paraId="325E4023" w14:textId="77777777" w:rsidR="00D65BFD" w:rsidRDefault="00D65BFD">
      <w:pPr>
        <w:spacing w:before="0" w:after="0" w:line="240" w:lineRule="auto"/>
      </w:pPr>
    </w:p>
  </w:footnote>
  <w:footnote w:id="2">
    <w:p w14:paraId="345DF860" w14:textId="77777777" w:rsidR="0075194E" w:rsidRPr="00A96204" w:rsidRDefault="0075194E" w:rsidP="0075194E">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w:t>
      </w:r>
      <w:r w:rsidRPr="00A96204">
        <w:rPr>
          <w:rStyle w:val="VEOHRCwww"/>
          <w:rFonts w:cs="Arial"/>
          <w:color w:val="000000"/>
          <w:sz w:val="20"/>
        </w:rPr>
        <w:t>Michael Brett Young, 'From Commitment to Culture: The 2015 Review of the Charter of Human Rights and Responsibilities Act 2006' (Report, 1 September 2015).</w:t>
      </w:r>
    </w:p>
  </w:footnote>
  <w:footnote w:id="3">
    <w:p w14:paraId="140E42E2" w14:textId="77777777" w:rsidR="0075194E" w:rsidRPr="00A96204" w:rsidRDefault="0075194E" w:rsidP="0075194E">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w:t>
      </w:r>
      <w:r w:rsidRPr="00A96204">
        <w:rPr>
          <w:rStyle w:val="Characteritalic"/>
          <w:rFonts w:cs="Arial"/>
          <w:sz w:val="20"/>
        </w:rPr>
        <w:t xml:space="preserve">PBU &amp; NJE v Mental Health Tribunal </w:t>
      </w:r>
      <w:r w:rsidRPr="00A96204">
        <w:rPr>
          <w:rFonts w:cs="Arial"/>
          <w:sz w:val="20"/>
        </w:rPr>
        <w:t>[2018] VSC 564 (1 November 2018).</w:t>
      </w:r>
    </w:p>
  </w:footnote>
  <w:footnote w:id="4">
    <w:p w14:paraId="0228A0F0" w14:textId="77777777" w:rsidR="0075194E" w:rsidRPr="00A96204" w:rsidRDefault="0075194E" w:rsidP="0075194E">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[2018] VSC 535.</w:t>
      </w:r>
    </w:p>
  </w:footnote>
  <w:footnote w:id="5">
    <w:p w14:paraId="6BB2B994" w14:textId="77777777" w:rsidR="0075194E" w:rsidRPr="00A96204" w:rsidRDefault="0075194E" w:rsidP="0075194E">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[2018] VSCA 215 (29 August 2018).</w:t>
      </w:r>
    </w:p>
  </w:footnote>
  <w:footnote w:id="6">
    <w:p w14:paraId="1A8920C2" w14:textId="1BF4CEB6"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The Victorian public sector </w:t>
      </w:r>
      <w:r>
        <w:rPr>
          <w:rFonts w:cs="Arial"/>
          <w:sz w:val="20"/>
          <w:szCs w:val="20"/>
        </w:rPr>
        <w:t>v</w:t>
      </w:r>
      <w:r w:rsidRPr="00A96204">
        <w:rPr>
          <w:rFonts w:cs="Arial"/>
          <w:sz w:val="20"/>
          <w:szCs w:val="20"/>
        </w:rPr>
        <w:t>alues are Responsiveness, Integrity, Impartiality, Accountability, Respect, Leadership, and Human Rights &lt; https://vpsc.vic.gov.au/ethics-behaviours-culture/promoting-integrity/vps-values-and-employment-principles/&gt;.</w:t>
      </w:r>
    </w:p>
  </w:footnote>
  <w:footnote w:id="7">
    <w:p w14:paraId="19BA61AF" w14:textId="19AAE600"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The Victorian Employment Principles are Fair and Reasonable Treatment, Merit in Employment, Equal Employment Opportunity, Human Rights, Reasonable Avenue of Redress, and Career Public Service &lt; https://vpsc.vic.gov.au/ethics-behaviours-culture/promoting-integrity/vps-values-and-employment-principles/&gt;.</w:t>
      </w:r>
    </w:p>
  </w:footnote>
  <w:footnote w:id="8">
    <w:p w14:paraId="1E423AB0" w14:textId="3FE12C38"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A96204">
        <w:rPr>
          <w:rStyle w:val="VEOHRCBodytextChar"/>
          <w:sz w:val="20"/>
          <w:szCs w:val="20"/>
          <w:lang w:eastAsia="en-GB"/>
        </w:rPr>
        <w:t>Charter</w:t>
      </w:r>
      <w:r w:rsidRPr="00A96204">
        <w:rPr>
          <w:rStyle w:val="VEOHRCBodytextChar"/>
          <w:i/>
          <w:sz w:val="20"/>
          <w:szCs w:val="20"/>
        </w:rPr>
        <w:t xml:space="preserve"> of Human Rights and Responsibilities Act 2006</w:t>
      </w:r>
      <w:r w:rsidRPr="00A96204">
        <w:rPr>
          <w:rStyle w:val="VEOHRCwww"/>
          <w:rFonts w:cs="Arial"/>
          <w:color w:val="000000"/>
          <w:sz w:val="20"/>
          <w:szCs w:val="20"/>
        </w:rPr>
        <w:t>, s 28.</w:t>
      </w:r>
    </w:p>
  </w:footnote>
  <w:footnote w:id="9">
    <w:p w14:paraId="6DD229AF" w14:textId="0DEECEB5"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A96204">
        <w:rPr>
          <w:rStyle w:val="VEOHRCwww"/>
          <w:rFonts w:cs="Arial"/>
          <w:color w:val="000000"/>
          <w:sz w:val="20"/>
          <w:szCs w:val="20"/>
        </w:rPr>
        <w:t>Ibid s 32.</w:t>
      </w:r>
    </w:p>
  </w:footnote>
  <w:footnote w:id="10">
    <w:p w14:paraId="3295FDCF" w14:textId="10A07FBF"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A96204">
        <w:rPr>
          <w:rStyle w:val="VEOHRCwww"/>
          <w:rFonts w:cs="Arial"/>
          <w:color w:val="000000"/>
          <w:sz w:val="20"/>
          <w:szCs w:val="20"/>
        </w:rPr>
        <w:t>Ibid s 38.</w:t>
      </w:r>
    </w:p>
  </w:footnote>
  <w:footnote w:id="11">
    <w:p w14:paraId="3F36C2F2" w14:textId="7173C469"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A96204">
        <w:rPr>
          <w:rStyle w:val="VEOHRCwww"/>
          <w:rFonts w:cs="Arial"/>
          <w:bCs w:val="0"/>
          <w:color w:val="000000"/>
          <w:sz w:val="20"/>
          <w:szCs w:val="20"/>
        </w:rPr>
        <w:t>Ibid s 40.</w:t>
      </w:r>
    </w:p>
  </w:footnote>
  <w:footnote w:id="12">
    <w:p w14:paraId="32E1821A" w14:textId="4D4733B8"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A96204">
        <w:rPr>
          <w:rStyle w:val="VEOHRCwww"/>
          <w:rFonts w:cs="Arial"/>
          <w:color w:val="auto"/>
          <w:sz w:val="20"/>
          <w:szCs w:val="20"/>
        </w:rPr>
        <w:t xml:space="preserve">Ibid s 31; </w:t>
      </w:r>
      <w:r w:rsidRPr="00A96204">
        <w:rPr>
          <w:rStyle w:val="VEOHRCBodytextChar"/>
          <w:sz w:val="20"/>
          <w:szCs w:val="20"/>
          <w:lang w:eastAsia="en-GB"/>
        </w:rPr>
        <w:t>Victoria's Charter of Human Rights and Responsibilities: Lessons for the National Debate</w:t>
      </w:r>
      <w:r w:rsidRPr="00A96204">
        <w:rPr>
          <w:rStyle w:val="VEOHRCwww"/>
          <w:rFonts w:cs="Arial"/>
          <w:color w:val="auto"/>
          <w:sz w:val="20"/>
          <w:szCs w:val="20"/>
        </w:rPr>
        <w:t>, Parl Paper No 46 (2006) &lt;http://www.aph.gov.au/senate/~/~/link.aspx?_id=A20FB46F919D44A68AF6D8CB54EE2076&amp;_z=z&gt;</w:t>
      </w:r>
      <w:r w:rsidRPr="00A96204">
        <w:rPr>
          <w:rStyle w:val="VEOHRCwww"/>
          <w:rFonts w:cs="Arial"/>
          <w:color w:val="000000"/>
          <w:sz w:val="20"/>
          <w:szCs w:val="20"/>
        </w:rPr>
        <w:t>.</w:t>
      </w:r>
    </w:p>
  </w:footnote>
  <w:footnote w:id="13">
    <w:p w14:paraId="26E04CB2" w14:textId="5D1BB632" w:rsidR="00B026DA" w:rsidRPr="00E60A23"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7E6BF3">
        <w:rPr>
          <w:noProof/>
        </w:rPr>
        <w:t xml:space="preserve"> </w:t>
      </w:r>
      <w:r>
        <w:rPr>
          <w:noProof/>
        </w:rPr>
        <w:t>Victorian Equal Opportunity and Human Rights Commission</w:t>
      </w:r>
      <w:r>
        <w:rPr>
          <w:rFonts w:cs="Arial"/>
          <w:sz w:val="20"/>
          <w:szCs w:val="20"/>
        </w:rPr>
        <w:t xml:space="preserve">, ‘The Charter’, </w:t>
      </w:r>
      <w:r>
        <w:rPr>
          <w:rFonts w:cs="Arial"/>
          <w:i/>
          <w:sz w:val="20"/>
          <w:szCs w:val="20"/>
        </w:rPr>
        <w:t xml:space="preserve">Victoria’s Charter of Human Rights and Responsibilities </w:t>
      </w:r>
      <w:r>
        <w:rPr>
          <w:rFonts w:cs="Arial"/>
          <w:sz w:val="20"/>
          <w:szCs w:val="20"/>
        </w:rPr>
        <w:t xml:space="preserve">(Web Page) </w:t>
      </w:r>
      <w:r w:rsidRPr="00E60A23">
        <w:rPr>
          <w:rFonts w:cs="Arial"/>
          <w:sz w:val="20"/>
          <w:szCs w:val="20"/>
        </w:rPr>
        <w:t>&lt;https://www.humanrightscommission.vic.gov.au/human-rights/the-charter&gt;</w:t>
      </w:r>
      <w:r>
        <w:rPr>
          <w:rFonts w:cs="Arial"/>
          <w:sz w:val="20"/>
          <w:szCs w:val="20"/>
        </w:rPr>
        <w:t>;</w:t>
      </w:r>
      <w:r w:rsidRPr="00E60A23">
        <w:rPr>
          <w:rFonts w:cs="Arial"/>
          <w:sz w:val="20"/>
          <w:szCs w:val="20"/>
        </w:rPr>
        <w:t xml:space="preserve"> &lt;https://www.humanrightscommission.vic.gov.au/component/k2/item/117?Itemid=584&gt;. </w:t>
      </w:r>
    </w:p>
  </w:footnote>
  <w:footnote w:id="14">
    <w:p w14:paraId="05EB0BBB" w14:textId="51B1E9C0" w:rsidR="00B026DA" w:rsidRPr="00A96204" w:rsidRDefault="00B026DA" w:rsidP="005410B8">
      <w:pPr>
        <w:pStyle w:val="TableNote"/>
        <w:spacing w:before="0" w:after="0" w:line="240" w:lineRule="auto"/>
        <w:rPr>
          <w:rFonts w:cs="Arial"/>
          <w:sz w:val="20"/>
          <w:szCs w:val="20"/>
        </w:rPr>
      </w:pPr>
      <w:r w:rsidRPr="00E60A23">
        <w:rPr>
          <w:rStyle w:val="FootnoteReference"/>
          <w:rFonts w:cs="Arial"/>
          <w:sz w:val="20"/>
          <w:szCs w:val="20"/>
        </w:rPr>
        <w:footnoteRef/>
      </w:r>
      <w:r>
        <w:rPr>
          <w:noProof/>
        </w:rPr>
        <w:t xml:space="preserve"> Victorian Equal Opportunity and Human Rights Commission</w:t>
      </w:r>
      <w:r>
        <w:rPr>
          <w:rFonts w:cs="Arial"/>
          <w:sz w:val="20"/>
          <w:szCs w:val="20"/>
        </w:rPr>
        <w:t xml:space="preserve">, ‘e-learning’, </w:t>
      </w:r>
      <w:r>
        <w:rPr>
          <w:rFonts w:cs="Arial"/>
          <w:i/>
          <w:sz w:val="20"/>
          <w:szCs w:val="20"/>
        </w:rPr>
        <w:t xml:space="preserve">Charter of Human Rights in Victoria Online education program </w:t>
      </w:r>
      <w:r>
        <w:rPr>
          <w:rFonts w:cs="Arial"/>
          <w:sz w:val="20"/>
          <w:szCs w:val="20"/>
        </w:rPr>
        <w:t>(Web Page)</w:t>
      </w:r>
      <w:r w:rsidRPr="00E60A23">
        <w:rPr>
          <w:rFonts w:cs="Arial"/>
          <w:sz w:val="20"/>
          <w:szCs w:val="20"/>
        </w:rPr>
        <w:t xml:space="preserve"> &lt;https://humanrightscommission.vic.gov.au/e-learning&gt;.</w:t>
      </w:r>
      <w:r>
        <w:rPr>
          <w:rFonts w:cs="Arial"/>
          <w:sz w:val="20"/>
          <w:szCs w:val="20"/>
        </w:rPr>
        <w:t xml:space="preserve"> </w:t>
      </w:r>
    </w:p>
  </w:footnote>
  <w:footnote w:id="15">
    <w:p w14:paraId="639CB89F" w14:textId="31613C46"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w:t>
      </w:r>
      <w:bookmarkStart w:id="64" w:name="_Hlk9858956"/>
      <w:r w:rsidRPr="00A96204">
        <w:rPr>
          <w:rFonts w:cs="Arial"/>
          <w:sz w:val="20"/>
        </w:rPr>
        <w:t>Transparency and Accountability does not receive a score as no questions in the survey or other data sources collected by the Commission specifically addressed this influence on a human rights culture.</w:t>
      </w:r>
      <w:bookmarkEnd w:id="64"/>
      <w:r w:rsidRPr="00A96204">
        <w:rPr>
          <w:rFonts w:cs="Arial"/>
          <w:sz w:val="20"/>
        </w:rPr>
        <w:t xml:space="preserve"> See section </w:t>
      </w:r>
      <w:r>
        <w:rPr>
          <w:rFonts w:cs="Arial"/>
          <w:sz w:val="20"/>
        </w:rPr>
        <w:t>2</w:t>
      </w:r>
      <w:r w:rsidRPr="00A96204">
        <w:rPr>
          <w:rFonts w:cs="Arial"/>
          <w:sz w:val="20"/>
        </w:rPr>
        <w:t xml:space="preserve">.7.4 for further details. </w:t>
      </w:r>
    </w:p>
  </w:footnote>
  <w:footnote w:id="16">
    <w:p w14:paraId="3A0D511C" w14:textId="6FBF7D5B" w:rsidR="00B026DA" w:rsidRDefault="00B026DA" w:rsidP="00CE341A">
      <w:pPr>
        <w:pStyle w:val="FootnoteText"/>
        <w:spacing w:before="0" w:after="0" w:line="240" w:lineRule="auto"/>
      </w:pPr>
      <w:r>
        <w:rPr>
          <w:rStyle w:val="FootnoteReference"/>
        </w:rPr>
        <w:footnoteRef/>
      </w:r>
      <w:r>
        <w:t xml:space="preserve"> </w:t>
      </w:r>
      <w:r w:rsidRPr="00A96204">
        <w:rPr>
          <w:rStyle w:val="VEOHRCwww"/>
          <w:rFonts w:cs="Arial"/>
          <w:color w:val="000000"/>
          <w:sz w:val="20"/>
        </w:rPr>
        <w:t>Michael Brett Young, 'From Commitment to Culture: The 2015 Review of the Charter of Human Rights and Responsibilities Act 2006' (Report, 1 September 2015)</w:t>
      </w:r>
      <w:r>
        <w:rPr>
          <w:rStyle w:val="VEOHRCwww"/>
          <w:rFonts w:cs="Arial"/>
          <w:color w:val="000000"/>
          <w:sz w:val="20"/>
        </w:rPr>
        <w:t>, 46</w:t>
      </w:r>
      <w:r w:rsidRPr="00A96204">
        <w:rPr>
          <w:rStyle w:val="VEOHRCwww"/>
          <w:rFonts w:cs="Arial"/>
          <w:color w:val="000000"/>
          <w:sz w:val="20"/>
        </w:rPr>
        <w:t>.</w:t>
      </w:r>
    </w:p>
  </w:footnote>
  <w:footnote w:id="17">
    <w:p w14:paraId="6981B712" w14:textId="49F4D037" w:rsidR="00B026DA" w:rsidRDefault="00B026DA" w:rsidP="00CE341A">
      <w:pPr>
        <w:pStyle w:val="FootnoteText"/>
        <w:spacing w:before="0" w:after="0" w:line="240" w:lineRule="auto"/>
      </w:pPr>
      <w:r>
        <w:rPr>
          <w:rStyle w:val="FootnoteReference"/>
        </w:rPr>
        <w:footnoteRef/>
      </w:r>
      <w:r>
        <w:t xml:space="preserve"> </w:t>
      </w:r>
      <w:r w:rsidRPr="00A96204">
        <w:rPr>
          <w:rFonts w:cs="Arial"/>
          <w:sz w:val="20"/>
        </w:rPr>
        <w:t xml:space="preserve">Victorian Equal Opportunity and Human Rights Commission, </w:t>
      </w:r>
      <w:r>
        <w:rPr>
          <w:rFonts w:cs="Arial"/>
          <w:i/>
          <w:sz w:val="20"/>
        </w:rPr>
        <w:t xml:space="preserve">Waiter, is that inclusion in my </w:t>
      </w:r>
      <w:proofErr w:type="gramStart"/>
      <w:r>
        <w:rPr>
          <w:rFonts w:cs="Arial"/>
          <w:i/>
          <w:sz w:val="20"/>
        </w:rPr>
        <w:t>soup?:</w:t>
      </w:r>
      <w:proofErr w:type="gramEnd"/>
      <w:r>
        <w:rPr>
          <w:rFonts w:cs="Arial"/>
          <w:i/>
          <w:sz w:val="20"/>
        </w:rPr>
        <w:t xml:space="preserve"> a new recipe to improve business performance</w:t>
      </w:r>
      <w:r w:rsidRPr="00A96204">
        <w:rPr>
          <w:rFonts w:cs="Arial"/>
          <w:i/>
          <w:sz w:val="20"/>
        </w:rPr>
        <w:t xml:space="preserve"> </w:t>
      </w:r>
      <w:r w:rsidRPr="00A96204">
        <w:rPr>
          <w:rFonts w:cs="Arial"/>
          <w:sz w:val="20"/>
        </w:rPr>
        <w:t>(Report, June 2015) 62</w:t>
      </w:r>
      <w:r>
        <w:rPr>
          <w:rStyle w:val="VEOHRCwww"/>
          <w:rFonts w:cs="Arial"/>
          <w:color w:val="000000"/>
          <w:sz w:val="20"/>
        </w:rPr>
        <w:t>.</w:t>
      </w:r>
    </w:p>
  </w:footnote>
  <w:footnote w:id="18">
    <w:p w14:paraId="0C835183" w14:textId="1A660446" w:rsidR="00B026DA" w:rsidRDefault="00B026DA" w:rsidP="00CE341A">
      <w:pPr>
        <w:pStyle w:val="FootnoteText"/>
        <w:spacing w:before="0" w:after="0" w:line="240" w:lineRule="auto"/>
      </w:pPr>
      <w:r>
        <w:rPr>
          <w:rStyle w:val="FootnoteReference"/>
        </w:rPr>
        <w:footnoteRef/>
      </w:r>
      <w:r>
        <w:t xml:space="preserve"> </w:t>
      </w:r>
      <w:r w:rsidRPr="00A96204">
        <w:rPr>
          <w:rStyle w:val="VEOHRCwww"/>
          <w:rFonts w:cs="Arial"/>
          <w:color w:val="000000"/>
          <w:sz w:val="20"/>
        </w:rPr>
        <w:t>Michael Brett Young, 'From Commitment to Culture: The 2015 Review of the Charter of Human Rights and Responsibilities Act 2006' (Report, 1 September 2015)</w:t>
      </w:r>
      <w:r>
        <w:rPr>
          <w:rStyle w:val="VEOHRCwww"/>
          <w:rFonts w:cs="Arial"/>
          <w:color w:val="000000"/>
          <w:sz w:val="20"/>
        </w:rPr>
        <w:t>, 36</w:t>
      </w:r>
    </w:p>
  </w:footnote>
  <w:footnote w:id="19">
    <w:p w14:paraId="0E63A6DF" w14:textId="061FEB89"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50 per cent of local council, 40 per cent of small agencies and 43 per cent of large agencies</w:t>
      </w:r>
      <w:r>
        <w:rPr>
          <w:rFonts w:cs="Arial"/>
          <w:sz w:val="20"/>
        </w:rPr>
        <w:t>.</w:t>
      </w:r>
      <w:r w:rsidRPr="00A96204">
        <w:rPr>
          <w:rFonts w:cs="Arial"/>
          <w:sz w:val="20"/>
        </w:rPr>
        <w:t xml:space="preserve"> </w:t>
      </w:r>
    </w:p>
  </w:footnote>
  <w:footnote w:id="20">
    <w:p w14:paraId="70200736" w14:textId="7B63C6DB" w:rsidR="00B026DA" w:rsidRDefault="00B026DA" w:rsidP="00CD538F">
      <w:pPr>
        <w:pStyle w:val="FootnoteText"/>
      </w:pPr>
      <w:r>
        <w:rPr>
          <w:rStyle w:val="FootnoteReference"/>
        </w:rPr>
        <w:footnoteRef/>
      </w:r>
      <w:r>
        <w:t xml:space="preserve"> Recommended references for developing any policy: </w:t>
      </w:r>
      <w:r w:rsidRPr="00CD538F">
        <w:rPr>
          <w:i/>
        </w:rPr>
        <w:t xml:space="preserve">Complaints: Good Practice Guide for Public Sector Agencies </w:t>
      </w:r>
      <w:r>
        <w:t xml:space="preserve">(2016), Victorian Ombudsman; </w:t>
      </w:r>
      <w:r w:rsidRPr="00CD538F">
        <w:rPr>
          <w:i/>
        </w:rPr>
        <w:t xml:space="preserve">Councils and complaints: A good practice guide </w:t>
      </w:r>
      <w:r>
        <w:t xml:space="preserve">(2015), Victorian Ombudsman; </w:t>
      </w:r>
      <w:r w:rsidRPr="00CD538F">
        <w:rPr>
          <w:i/>
        </w:rPr>
        <w:t>Good Practice Guide: Managing Complaints Involving Human Rights</w:t>
      </w:r>
      <w:r>
        <w:t xml:space="preserve"> (2017), Department of Justice and Regulation</w:t>
      </w:r>
    </w:p>
    <w:p w14:paraId="3754CFCB" w14:textId="692FB4F6" w:rsidR="00B026DA" w:rsidRDefault="00B026DA" w:rsidP="00CD538F">
      <w:pPr>
        <w:pStyle w:val="FootnoteText"/>
      </w:pPr>
    </w:p>
  </w:footnote>
  <w:footnote w:id="21">
    <w:p w14:paraId="0DA0CC3F" w14:textId="2EA6D9DD"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340A87">
        <w:rPr>
          <w:rFonts w:cs="Arial"/>
          <w:i/>
          <w:sz w:val="20"/>
          <w:szCs w:val="20"/>
        </w:rPr>
        <w:t>Charter of Human Rights and Responsibilities Act 2006</w:t>
      </w:r>
      <w:r w:rsidRPr="00A96204">
        <w:rPr>
          <w:rFonts w:cs="Arial"/>
          <w:sz w:val="20"/>
          <w:szCs w:val="20"/>
        </w:rPr>
        <w:t xml:space="preserve"> (Vic) s 28.</w:t>
      </w:r>
    </w:p>
  </w:footnote>
  <w:footnote w:id="22">
    <w:p w14:paraId="6CC841A2" w14:textId="7A5214E1" w:rsidR="00B026DA" w:rsidRPr="00A96204" w:rsidRDefault="00B026DA" w:rsidP="005410B8">
      <w:pPr>
        <w:pStyle w:val="TableNote"/>
        <w:spacing w:before="0" w:after="0" w:line="240" w:lineRule="auto"/>
        <w:rPr>
          <w:rFonts w:cs="Arial"/>
          <w:color w:val="000000" w:themeColor="text1"/>
          <w:sz w:val="20"/>
          <w:szCs w:val="20"/>
        </w:rPr>
      </w:pPr>
      <w:r w:rsidRPr="00A96204">
        <w:rPr>
          <w:rStyle w:val="FootnoteReference"/>
          <w:rFonts w:cs="Arial"/>
          <w:sz w:val="20"/>
          <w:szCs w:val="20"/>
        </w:rPr>
        <w:footnoteRef/>
      </w:r>
      <w:r w:rsidRPr="00A96204">
        <w:rPr>
          <w:rFonts w:cs="Arial"/>
          <w:sz w:val="20"/>
          <w:szCs w:val="20"/>
        </w:rPr>
        <w:t xml:space="preserve"> 101 Bills were presented to the Victorian Parliament in 2018, according to the Bills Status List archive </w:t>
      </w:r>
      <w:r w:rsidRPr="00A96204">
        <w:rPr>
          <w:rFonts w:cs="Arial"/>
          <w:color w:val="000000" w:themeColor="text1"/>
          <w:sz w:val="20"/>
          <w:szCs w:val="20"/>
        </w:rPr>
        <w:t>&lt;</w:t>
      </w:r>
      <w:hyperlink r:id="rId1" w:history="1">
        <w:r w:rsidRPr="00A96204">
          <w:rPr>
            <w:rStyle w:val="Hyperlink"/>
            <w:rFonts w:cs="Arial"/>
            <w:color w:val="000000" w:themeColor="text1"/>
            <w:sz w:val="20"/>
            <w:szCs w:val="20"/>
            <w:u w:val="none"/>
          </w:rPr>
          <w:t>http://www.legislation.vic.gov.au</w:t>
        </w:r>
      </w:hyperlink>
      <w:r w:rsidRPr="00A96204">
        <w:rPr>
          <w:rStyle w:val="Hyperlink"/>
          <w:rFonts w:cs="Arial"/>
          <w:color w:val="000000" w:themeColor="text1"/>
          <w:sz w:val="20"/>
          <w:szCs w:val="20"/>
          <w:u w:val="none"/>
        </w:rPr>
        <w:t>&gt;</w:t>
      </w:r>
      <w:r w:rsidRPr="00A96204">
        <w:rPr>
          <w:rFonts w:cs="Arial"/>
          <w:color w:val="000000" w:themeColor="text1"/>
          <w:sz w:val="20"/>
          <w:szCs w:val="20"/>
        </w:rPr>
        <w:t>.</w:t>
      </w:r>
      <w:r>
        <w:rPr>
          <w:rFonts w:cs="Arial"/>
          <w:color w:val="000000" w:themeColor="text1"/>
          <w:sz w:val="20"/>
          <w:szCs w:val="20"/>
        </w:rPr>
        <w:t xml:space="preserve"> </w:t>
      </w:r>
    </w:p>
  </w:footnote>
  <w:footnote w:id="23">
    <w:p w14:paraId="598ADF42" w14:textId="39F7F892" w:rsidR="00B026DA" w:rsidRPr="00A96204" w:rsidRDefault="00B026DA" w:rsidP="005410B8">
      <w:pPr>
        <w:pStyle w:val="TableNote"/>
        <w:spacing w:before="0" w:after="0" w:line="240" w:lineRule="auto"/>
        <w:rPr>
          <w:rFonts w:cs="Arial"/>
          <w:sz w:val="20"/>
          <w:szCs w:val="20"/>
        </w:rPr>
      </w:pPr>
      <w:r w:rsidRPr="00A96204">
        <w:rPr>
          <w:rStyle w:val="FootnoteReference"/>
          <w:rFonts w:cs="Arial"/>
          <w:color w:val="000000" w:themeColor="text1"/>
          <w:sz w:val="20"/>
          <w:szCs w:val="20"/>
        </w:rPr>
        <w:footnoteRef/>
      </w:r>
      <w:r w:rsidRPr="00A96204">
        <w:rPr>
          <w:rFonts w:cs="Arial"/>
          <w:sz w:val="20"/>
          <w:szCs w:val="20"/>
        </w:rPr>
        <w:t xml:space="preserve"> 123 Bills were presented to the Victorian Parliament in 2017, according to the Bills Status List archive &lt;</w:t>
      </w:r>
      <w:hyperlink r:id="rId2" w:history="1">
        <w:r w:rsidRPr="00A96204">
          <w:rPr>
            <w:rStyle w:val="Hyperlink"/>
            <w:rFonts w:cs="Arial"/>
            <w:color w:val="000000" w:themeColor="text1"/>
            <w:sz w:val="20"/>
            <w:szCs w:val="20"/>
            <w:u w:val="none"/>
          </w:rPr>
          <w:t>http://www.legislation.vic.gov.au</w:t>
        </w:r>
      </w:hyperlink>
      <w:r w:rsidRPr="00A96204">
        <w:rPr>
          <w:rStyle w:val="Hyperlink"/>
          <w:rFonts w:cs="Arial"/>
          <w:color w:val="000000" w:themeColor="text1"/>
          <w:sz w:val="20"/>
          <w:szCs w:val="20"/>
          <w:u w:val="none"/>
        </w:rPr>
        <w:t>&gt;</w:t>
      </w:r>
      <w:r w:rsidRPr="00A96204">
        <w:rPr>
          <w:rFonts w:cs="Arial"/>
          <w:sz w:val="20"/>
          <w:szCs w:val="20"/>
        </w:rPr>
        <w:t>.</w:t>
      </w:r>
      <w:r>
        <w:rPr>
          <w:rFonts w:cs="Arial"/>
          <w:sz w:val="20"/>
          <w:szCs w:val="20"/>
        </w:rPr>
        <w:t xml:space="preserve"> </w:t>
      </w:r>
    </w:p>
  </w:footnote>
  <w:footnote w:id="24">
    <w:p w14:paraId="3FA3C71C" w14:textId="7907C430" w:rsidR="00B026DA" w:rsidRPr="00A96204" w:rsidRDefault="00B026DA" w:rsidP="005410B8">
      <w:pPr>
        <w:pStyle w:val="TableNote"/>
        <w:spacing w:before="0" w:after="0" w:line="240" w:lineRule="auto"/>
        <w:rPr>
          <w:rFonts w:cs="Arial"/>
          <w:sz w:val="20"/>
          <w:szCs w:val="20"/>
        </w:rPr>
      </w:pPr>
      <w:r w:rsidRPr="00A96204">
        <w:rPr>
          <w:rStyle w:val="FootnoteReference"/>
          <w:rFonts w:cs="Arial"/>
          <w:color w:val="000000" w:themeColor="text1"/>
          <w:sz w:val="20"/>
          <w:szCs w:val="20"/>
        </w:rPr>
        <w:footnoteRef/>
      </w:r>
      <w:r w:rsidRPr="00A96204">
        <w:rPr>
          <w:rFonts w:cs="Arial"/>
          <w:sz w:val="20"/>
          <w:szCs w:val="20"/>
        </w:rPr>
        <w:t xml:space="preserve"> 124 Bills were presented to the Victorian Parliament in 2016, according to the Bills Status List archive &lt;</w:t>
      </w:r>
      <w:hyperlink r:id="rId3" w:history="1">
        <w:r w:rsidRPr="00A96204">
          <w:rPr>
            <w:rStyle w:val="Hyperlink"/>
            <w:rFonts w:cs="Arial"/>
            <w:color w:val="000000" w:themeColor="text1"/>
            <w:sz w:val="20"/>
            <w:szCs w:val="20"/>
            <w:u w:val="none"/>
          </w:rPr>
          <w:t>http://www.legislation.vic.gov.au</w:t>
        </w:r>
      </w:hyperlink>
      <w:r w:rsidRPr="00A96204">
        <w:rPr>
          <w:rStyle w:val="Hyperlink"/>
          <w:rFonts w:cs="Arial"/>
          <w:color w:val="000000" w:themeColor="text1"/>
          <w:sz w:val="20"/>
          <w:szCs w:val="20"/>
          <w:u w:val="none"/>
        </w:rPr>
        <w:t>&gt;</w:t>
      </w:r>
      <w:r w:rsidRPr="00A96204">
        <w:rPr>
          <w:rFonts w:cs="Arial"/>
          <w:sz w:val="20"/>
          <w:szCs w:val="20"/>
        </w:rPr>
        <w:t>.</w:t>
      </w:r>
      <w:r>
        <w:rPr>
          <w:rFonts w:cs="Arial"/>
          <w:sz w:val="20"/>
          <w:szCs w:val="20"/>
        </w:rPr>
        <w:t xml:space="preserve"> </w:t>
      </w:r>
    </w:p>
  </w:footnote>
  <w:footnote w:id="25">
    <w:p w14:paraId="091A58BD" w14:textId="39FE6CC2" w:rsidR="00B026DA" w:rsidRPr="00A96204" w:rsidRDefault="00B026DA" w:rsidP="005410B8">
      <w:pPr>
        <w:pStyle w:val="TableNote"/>
        <w:spacing w:before="0" w:after="0" w:line="240" w:lineRule="auto"/>
        <w:rPr>
          <w:rFonts w:cs="Arial"/>
          <w:sz w:val="20"/>
          <w:szCs w:val="20"/>
        </w:rPr>
      </w:pPr>
      <w:r w:rsidRPr="00A96204">
        <w:rPr>
          <w:rStyle w:val="FootnoteReference"/>
          <w:rFonts w:cs="Arial"/>
          <w:color w:val="000000" w:themeColor="text1"/>
          <w:sz w:val="20"/>
          <w:szCs w:val="20"/>
        </w:rPr>
        <w:footnoteRef/>
      </w:r>
      <w:r w:rsidRPr="00A96204">
        <w:rPr>
          <w:rFonts w:cs="Arial"/>
          <w:sz w:val="20"/>
          <w:szCs w:val="20"/>
        </w:rPr>
        <w:t xml:space="preserve"> 102 Bills were presented to the Victorian Parliament in 2015, according to the Bills Status List archive &lt;</w:t>
      </w:r>
      <w:hyperlink r:id="rId4" w:history="1">
        <w:r w:rsidRPr="00A96204">
          <w:rPr>
            <w:rStyle w:val="Hyperlink"/>
            <w:rFonts w:cs="Arial"/>
            <w:color w:val="000000" w:themeColor="text1"/>
            <w:sz w:val="20"/>
            <w:szCs w:val="20"/>
            <w:u w:val="none"/>
          </w:rPr>
          <w:t>http://www.legislation.vic.gov.au</w:t>
        </w:r>
      </w:hyperlink>
      <w:r w:rsidRPr="00A96204">
        <w:rPr>
          <w:rStyle w:val="Hyperlink"/>
          <w:rFonts w:cs="Arial"/>
          <w:color w:val="000000" w:themeColor="text1"/>
          <w:sz w:val="20"/>
          <w:szCs w:val="20"/>
          <w:u w:val="none"/>
        </w:rPr>
        <w:t>&gt;</w:t>
      </w:r>
      <w:r w:rsidRPr="00A96204">
        <w:rPr>
          <w:rFonts w:cs="Arial"/>
          <w:sz w:val="20"/>
          <w:szCs w:val="20"/>
        </w:rPr>
        <w:t>.</w:t>
      </w:r>
      <w:r>
        <w:rPr>
          <w:rFonts w:cs="Arial"/>
          <w:sz w:val="20"/>
          <w:szCs w:val="20"/>
        </w:rPr>
        <w:t xml:space="preserve"> </w:t>
      </w:r>
    </w:p>
  </w:footnote>
  <w:footnote w:id="26">
    <w:p w14:paraId="52CAFCC9" w14:textId="6EAEF6D8"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 Parliamentary Debates, Legislative Assembly, 21 June 2018 (Martin </w:t>
      </w:r>
      <w:proofErr w:type="spellStart"/>
      <w:r w:rsidRPr="00A96204">
        <w:rPr>
          <w:rFonts w:cs="Arial"/>
          <w:sz w:val="20"/>
          <w:szCs w:val="20"/>
        </w:rPr>
        <w:t>Pakula</w:t>
      </w:r>
      <w:proofErr w:type="spellEnd"/>
      <w:r w:rsidRPr="00A96204">
        <w:rPr>
          <w:rFonts w:cs="Arial"/>
          <w:sz w:val="20"/>
          <w:szCs w:val="20"/>
        </w:rPr>
        <w:t>).</w:t>
      </w:r>
    </w:p>
  </w:footnote>
  <w:footnote w:id="27">
    <w:p w14:paraId="505098B7" w14:textId="506B3F93"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Ibid.</w:t>
      </w:r>
    </w:p>
  </w:footnote>
  <w:footnote w:id="28">
    <w:p w14:paraId="3EFF7B53" w14:textId="778EA84E"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Ibid.</w:t>
      </w:r>
    </w:p>
  </w:footnote>
  <w:footnote w:id="29">
    <w:p w14:paraId="6A2AE6A2" w14:textId="6F303DA8"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Scrutiny of Acts and Regulations Committee, Parliament of Victoria, Alert Digest No.10 (2018).</w:t>
      </w:r>
    </w:p>
  </w:footnote>
  <w:footnote w:id="30">
    <w:p w14:paraId="0ADEB9A2" w14:textId="0CD92C96"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Ibid.</w:t>
      </w:r>
    </w:p>
  </w:footnote>
  <w:footnote w:id="31">
    <w:p w14:paraId="1D843B18" w14:textId="709F2A1C"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340A87">
        <w:rPr>
          <w:rFonts w:cs="Arial"/>
          <w:i/>
          <w:sz w:val="20"/>
          <w:szCs w:val="20"/>
        </w:rPr>
        <w:t>Charter of Human Rights and Responsibilities Act 2006</w:t>
      </w:r>
      <w:r w:rsidRPr="00A96204">
        <w:rPr>
          <w:rFonts w:cs="Arial"/>
          <w:sz w:val="20"/>
          <w:szCs w:val="20"/>
        </w:rPr>
        <w:t xml:space="preserve"> (Vic) </w:t>
      </w:r>
      <w:r>
        <w:rPr>
          <w:rFonts w:cs="Arial"/>
          <w:sz w:val="20"/>
          <w:szCs w:val="20"/>
        </w:rPr>
        <w:t>s</w:t>
      </w:r>
      <w:r w:rsidRPr="00A96204">
        <w:rPr>
          <w:rFonts w:cs="Arial"/>
          <w:sz w:val="20"/>
          <w:szCs w:val="20"/>
        </w:rPr>
        <w:t xml:space="preserve"> 31(1).</w:t>
      </w:r>
    </w:p>
  </w:footnote>
  <w:footnote w:id="32">
    <w:p w14:paraId="74DBC6E1" w14:textId="0B3BB164"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Human Rights Consultation Committee, 'Rights, Responsibilities and Respect' (Report, 30 November 2005) 75.</w:t>
      </w:r>
    </w:p>
  </w:footnote>
  <w:footnote w:id="33">
    <w:p w14:paraId="2E69AAAA" w14:textId="73D47029"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Ibid. See also Explanatory Memorandum, </w:t>
      </w:r>
      <w:r w:rsidRPr="00A96204">
        <w:rPr>
          <w:rFonts w:cs="Arial"/>
          <w:i/>
          <w:sz w:val="20"/>
          <w:szCs w:val="20"/>
        </w:rPr>
        <w:t>Charter of Human Rights and Responsibilities Bill 2006</w:t>
      </w:r>
      <w:r w:rsidRPr="00A96204">
        <w:rPr>
          <w:rFonts w:cs="Arial"/>
          <w:sz w:val="20"/>
          <w:szCs w:val="20"/>
        </w:rPr>
        <w:t xml:space="preserve"> (Vic) 1, 21.</w:t>
      </w:r>
    </w:p>
  </w:footnote>
  <w:footnote w:id="34">
    <w:p w14:paraId="26C4F83A" w14:textId="5B8FA131"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A96204">
        <w:rPr>
          <w:rFonts w:cs="Arial"/>
          <w:i/>
          <w:sz w:val="20"/>
          <w:szCs w:val="20"/>
        </w:rPr>
        <w:t>International Covenant on Civil and Political Rights</w:t>
      </w:r>
      <w:r w:rsidRPr="00A96204">
        <w:rPr>
          <w:rFonts w:cs="Arial"/>
          <w:sz w:val="20"/>
          <w:szCs w:val="20"/>
        </w:rPr>
        <w:t>, opened for signature 16 December 1966, [1980] ATS 23 (entered into force 13 November 1980) art 4.</w:t>
      </w:r>
    </w:p>
  </w:footnote>
  <w:footnote w:id="35">
    <w:p w14:paraId="6D7392F2" w14:textId="3015B808"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Human Rights Consultation Committee, 'Rights, Responsibilities and Respect' (Report, 30 November 2005) 75.</w:t>
      </w:r>
    </w:p>
  </w:footnote>
  <w:footnote w:id="36">
    <w:p w14:paraId="05D951DE" w14:textId="087DA1AC"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Victorian Equal Opportunity and Human Rights Commission, </w:t>
      </w:r>
      <w:r w:rsidRPr="00A96204">
        <w:rPr>
          <w:rFonts w:cs="Arial"/>
          <w:i/>
          <w:sz w:val="20"/>
          <w:szCs w:val="20"/>
        </w:rPr>
        <w:t xml:space="preserve">2014 Report on the Operation of the Charter of Human Rights and Responsibilities </w:t>
      </w:r>
      <w:r w:rsidRPr="00A96204">
        <w:rPr>
          <w:rFonts w:cs="Arial"/>
          <w:sz w:val="20"/>
          <w:szCs w:val="20"/>
        </w:rPr>
        <w:t>(Report, June 2015) 62.</w:t>
      </w:r>
    </w:p>
  </w:footnote>
  <w:footnote w:id="37">
    <w:p w14:paraId="7D26602D" w14:textId="50A7656D"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Charter of Human Rights and Responsibilities Act 2006 (Vic) s 31(7).</w:t>
      </w:r>
    </w:p>
  </w:footnote>
  <w:footnote w:id="38">
    <w:p w14:paraId="444496D5" w14:textId="56AFE67A"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Victorian Equal Opportunity and Human Rights Commission, </w:t>
      </w:r>
      <w:r w:rsidRPr="00A96204">
        <w:rPr>
          <w:rFonts w:cs="Arial"/>
          <w:i/>
          <w:sz w:val="20"/>
          <w:szCs w:val="20"/>
        </w:rPr>
        <w:t xml:space="preserve">2014 Report on the Operation of the Charter of Human Rights and Responsibilities </w:t>
      </w:r>
      <w:r w:rsidRPr="00A96204">
        <w:rPr>
          <w:rFonts w:cs="Arial"/>
          <w:sz w:val="20"/>
          <w:szCs w:val="20"/>
        </w:rPr>
        <w:t>(Report, June 2015) 62.</w:t>
      </w:r>
    </w:p>
  </w:footnote>
  <w:footnote w:id="39">
    <w:p w14:paraId="165B4638" w14:textId="26FD066A"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Charter of Human Rights and Responsibilities Act 2006 (Vic) s 41(a)(iii).</w:t>
      </w:r>
    </w:p>
  </w:footnote>
  <w:footnote w:id="40">
    <w:p w14:paraId="46A187D8" w14:textId="574B0F0C"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Potential exceptional circumstances envisaged in the Explanatory Memorandum, Charter of Human Rights and Responsibilities Bill 2006 (Vic) 21 cl 31 included </w:t>
      </w:r>
      <w:r>
        <w:rPr>
          <w:rFonts w:cs="Arial"/>
          <w:sz w:val="20"/>
          <w:szCs w:val="20"/>
        </w:rPr>
        <w:t>"</w:t>
      </w:r>
      <w:r w:rsidRPr="00A96204">
        <w:rPr>
          <w:rFonts w:cs="Arial"/>
          <w:sz w:val="20"/>
          <w:szCs w:val="20"/>
        </w:rPr>
        <w:t>threats to national security or a state of emergency which threatens the safety, security and welfare of the people of Victoria</w:t>
      </w:r>
      <w:r>
        <w:rPr>
          <w:rFonts w:cs="Arial"/>
          <w:sz w:val="20"/>
          <w:szCs w:val="20"/>
        </w:rPr>
        <w:t>"</w:t>
      </w:r>
      <w:r w:rsidRPr="00A96204">
        <w:rPr>
          <w:rFonts w:cs="Arial"/>
          <w:sz w:val="20"/>
          <w:szCs w:val="20"/>
        </w:rPr>
        <w:t>.</w:t>
      </w:r>
    </w:p>
  </w:footnote>
  <w:footnote w:id="41">
    <w:p w14:paraId="3DE53778" w14:textId="0609ECF3"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340A87">
        <w:rPr>
          <w:rFonts w:cs="Arial"/>
          <w:i/>
          <w:sz w:val="20"/>
          <w:szCs w:val="20"/>
        </w:rPr>
        <w:t>Charter of Human Rights and Responsibilities Act 2006</w:t>
      </w:r>
      <w:r w:rsidRPr="00A96204">
        <w:rPr>
          <w:rFonts w:cs="Arial"/>
          <w:sz w:val="20"/>
          <w:szCs w:val="20"/>
        </w:rPr>
        <w:t xml:space="preserve"> (Vic) s 31(7).</w:t>
      </w:r>
    </w:p>
  </w:footnote>
  <w:footnote w:id="42">
    <w:p w14:paraId="49D70F24" w14:textId="06C32456" w:rsidR="00B026DA" w:rsidRDefault="00B026DA">
      <w:pPr>
        <w:pStyle w:val="FootnoteText"/>
      </w:pPr>
      <w:r>
        <w:rPr>
          <w:rStyle w:val="FootnoteReference"/>
        </w:rPr>
        <w:footnoteRef/>
      </w:r>
      <w:r>
        <w:t xml:space="preserve"> </w:t>
      </w:r>
      <w:r w:rsidRPr="001712E8">
        <w:rPr>
          <w:i/>
        </w:rPr>
        <w:t>Craig Minogue v State of Victoria</w:t>
      </w:r>
      <w:r w:rsidRPr="001712E8">
        <w:t xml:space="preserve"> [2018] HCA 27.</w:t>
      </w:r>
    </w:p>
  </w:footnote>
  <w:footnote w:id="43">
    <w:p w14:paraId="65035E2D" w14:textId="57948D2A"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hyperlink r:id="rId5" w:history="1">
        <w:r w:rsidRPr="00A96204">
          <w:rPr>
            <w:rFonts w:cs="Arial"/>
            <w:sz w:val="20"/>
            <w:szCs w:val="20"/>
          </w:rPr>
          <w:t>Victoria, Parliamentary Debates, Legislative Assembly, 25 July 2018 (Lisa Neville) 2238</w:t>
        </w:r>
      </w:hyperlink>
      <w:r w:rsidRPr="00A96204">
        <w:rPr>
          <w:rFonts w:cs="Arial"/>
          <w:sz w:val="20"/>
          <w:szCs w:val="20"/>
        </w:rPr>
        <w:t>.</w:t>
      </w:r>
    </w:p>
  </w:footnote>
  <w:footnote w:id="44">
    <w:p w14:paraId="4D40C41B" w14:textId="343ABDAE"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hyperlink r:id="rId6" w:history="1">
        <w:r w:rsidRPr="00A96204">
          <w:rPr>
            <w:rFonts w:cs="Arial"/>
            <w:sz w:val="20"/>
            <w:szCs w:val="20"/>
          </w:rPr>
          <w:t>Victoria, Parliamentary Debates, Legislative Assembly, 24 July 2018 (Lisa Neville) 2235</w:t>
        </w:r>
      </w:hyperlink>
      <w:r w:rsidRPr="00A96204">
        <w:rPr>
          <w:rFonts w:cs="Arial"/>
          <w:sz w:val="20"/>
          <w:szCs w:val="20"/>
        </w:rPr>
        <w:t>.</w:t>
      </w:r>
    </w:p>
  </w:footnote>
  <w:footnote w:id="45">
    <w:p w14:paraId="48B01EE4" w14:textId="1E08F070"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hyperlink r:id="rId7" w:history="1">
        <w:r w:rsidRPr="00A96204">
          <w:rPr>
            <w:rFonts w:cs="Arial"/>
            <w:sz w:val="20"/>
            <w:szCs w:val="20"/>
          </w:rPr>
          <w:t>Ibid.</w:t>
        </w:r>
      </w:hyperlink>
    </w:p>
  </w:footnote>
  <w:footnote w:id="46">
    <w:p w14:paraId="279DFDED" w14:textId="1A1A527F"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Scrutiny of Acts and Regulation Committee, Parliament of Victoria, </w:t>
      </w:r>
      <w:hyperlink r:id="rId8" w:history="1">
        <w:r w:rsidRPr="00A96204">
          <w:rPr>
            <w:rFonts w:cs="Arial"/>
            <w:sz w:val="20"/>
            <w:szCs w:val="20"/>
          </w:rPr>
          <w:t>Alert Digest No. 11 (2018</w:t>
        </w:r>
      </w:hyperlink>
      <w:r w:rsidRPr="00A96204">
        <w:rPr>
          <w:rFonts w:cs="Arial"/>
          <w:sz w:val="20"/>
          <w:szCs w:val="20"/>
        </w:rPr>
        <w:t>).</w:t>
      </w:r>
    </w:p>
  </w:footnote>
  <w:footnote w:id="47">
    <w:p w14:paraId="7323328E" w14:textId="166970FC"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Scrutiny of Acts and Regulations Committee, Parliament of Victoria, Alert Digest No.12 (2018), 34.</w:t>
      </w:r>
    </w:p>
  </w:footnote>
  <w:footnote w:id="48">
    <w:p w14:paraId="28575A0A" w14:textId="4BE40536"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A96204">
        <w:rPr>
          <w:rFonts w:cs="Arial"/>
          <w:i/>
          <w:sz w:val="20"/>
          <w:szCs w:val="20"/>
        </w:rPr>
        <w:t>Minogue v State of Victoria</w:t>
      </w:r>
      <w:r w:rsidR="000F43EF">
        <w:rPr>
          <w:rFonts w:cs="Arial"/>
          <w:sz w:val="20"/>
          <w:szCs w:val="20"/>
        </w:rPr>
        <w:t xml:space="preserve"> </w:t>
      </w:r>
      <w:r w:rsidRPr="00B026DA">
        <w:rPr>
          <w:rFonts w:cs="Arial"/>
          <w:sz w:val="20"/>
          <w:szCs w:val="20"/>
        </w:rPr>
        <w:t>[2019] HCA 31. On 11 September 2019, Dr Minogue lost his High Court challenge</w:t>
      </w:r>
      <w:r w:rsidRPr="00A96204">
        <w:rPr>
          <w:rFonts w:cs="Arial"/>
          <w:sz w:val="20"/>
          <w:szCs w:val="20"/>
        </w:rPr>
        <w:t>.</w:t>
      </w:r>
    </w:p>
  </w:footnote>
  <w:footnote w:id="49">
    <w:p w14:paraId="3A25ED34" w14:textId="06E43101"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82 Bills were introduced into Parliament in 2017 and 92 Bills were introduced in 2016.</w:t>
      </w:r>
    </w:p>
  </w:footnote>
  <w:footnote w:id="50">
    <w:p w14:paraId="5C09A6E0" w14:textId="4AFF5083"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The number of Bills introduced in 2018 and the number of SARC reports are not correlative as SARC also responded to Bills introduced in previous years.</w:t>
      </w:r>
    </w:p>
  </w:footnote>
  <w:footnote w:id="51">
    <w:p w14:paraId="7953C80C" w14:textId="568A6F08"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Scrutiny of Acts and Regulations Committee, Parliament of Victoria, Alert Digest No.7 (2018), 18,19.</w:t>
      </w:r>
    </w:p>
  </w:footnote>
  <w:footnote w:id="52">
    <w:p w14:paraId="1E2E6B0C" w14:textId="35EDFB95"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 Parliamentary Debates, Legislative Assembly, 9 May 2018 (Martin </w:t>
      </w:r>
      <w:proofErr w:type="spellStart"/>
      <w:r w:rsidRPr="00A96204">
        <w:rPr>
          <w:rFonts w:cs="Arial"/>
          <w:sz w:val="20"/>
          <w:szCs w:val="20"/>
        </w:rPr>
        <w:t>Pakula</w:t>
      </w:r>
      <w:proofErr w:type="spellEnd"/>
      <w:r w:rsidRPr="00A96204">
        <w:rPr>
          <w:rFonts w:cs="Arial"/>
          <w:sz w:val="20"/>
          <w:szCs w:val="20"/>
        </w:rPr>
        <w:t>).</w:t>
      </w:r>
    </w:p>
  </w:footnote>
  <w:footnote w:id="53">
    <w:p w14:paraId="75CD7A68" w14:textId="3E5E1FEC"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Scrutiny of Acts and Regulations Committee, Parliament of Victoria, Alert Digest No.8 (2018), 49.</w:t>
      </w:r>
    </w:p>
  </w:footnote>
  <w:footnote w:id="54">
    <w:p w14:paraId="66DDD9D2" w14:textId="466C3F87"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 Parliamentary Debates, Legislative Council, 9 August 2018, 3977 (David Davis) and 3993 (Joshua Morris).</w:t>
      </w:r>
    </w:p>
  </w:footnote>
  <w:footnote w:id="55">
    <w:p w14:paraId="67FA38CF" w14:textId="2AE8E140"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 Parliamentary Debates, Legislative Council, 26 July 2018, 3294 (Edward </w:t>
      </w:r>
      <w:proofErr w:type="spellStart"/>
      <w:r w:rsidRPr="00A96204">
        <w:rPr>
          <w:rFonts w:cs="Arial"/>
          <w:sz w:val="20"/>
          <w:szCs w:val="20"/>
        </w:rPr>
        <w:t>O'Donohue</w:t>
      </w:r>
      <w:proofErr w:type="spellEnd"/>
      <w:r w:rsidRPr="00A96204">
        <w:rPr>
          <w:rFonts w:cs="Arial"/>
          <w:sz w:val="20"/>
          <w:szCs w:val="20"/>
        </w:rPr>
        <w:t>).</w:t>
      </w:r>
    </w:p>
  </w:footnote>
  <w:footnote w:id="56">
    <w:p w14:paraId="05625025" w14:textId="29194DA8"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Ibid 3297 (Sue </w:t>
      </w:r>
      <w:proofErr w:type="spellStart"/>
      <w:r w:rsidRPr="00A96204">
        <w:rPr>
          <w:rFonts w:cs="Arial"/>
          <w:sz w:val="20"/>
          <w:szCs w:val="20"/>
        </w:rPr>
        <w:t>Pennicuik</w:t>
      </w:r>
      <w:proofErr w:type="spellEnd"/>
      <w:r w:rsidRPr="00A96204">
        <w:rPr>
          <w:rFonts w:cs="Arial"/>
          <w:sz w:val="20"/>
          <w:szCs w:val="20"/>
          <w:lang w:eastAsia="en-AU"/>
        </w:rPr>
        <w:t>)</w:t>
      </w:r>
      <w:r w:rsidRPr="00A96204">
        <w:rPr>
          <w:rFonts w:cs="Arial"/>
          <w:sz w:val="20"/>
          <w:szCs w:val="20"/>
        </w:rPr>
        <w:t>.</w:t>
      </w:r>
    </w:p>
  </w:footnote>
  <w:footnote w:id="57">
    <w:p w14:paraId="27A940FB" w14:textId="182D18E9"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 Parliamentary Debates, Legislative Council, 19 June 2018, 2764 (Georgie Crozier) and 21 June 2018, 2908 (Georgie Crozier).</w:t>
      </w:r>
    </w:p>
  </w:footnote>
  <w:footnote w:id="58">
    <w:p w14:paraId="232EB71A" w14:textId="3C78A359"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Ibid.</w:t>
      </w:r>
    </w:p>
  </w:footnote>
  <w:footnote w:id="59">
    <w:p w14:paraId="523312B9" w14:textId="7EE9C6B1"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Ibid 2516 (Sue </w:t>
      </w:r>
      <w:proofErr w:type="spellStart"/>
      <w:r w:rsidRPr="00A96204">
        <w:rPr>
          <w:rFonts w:cs="Arial"/>
          <w:sz w:val="20"/>
          <w:szCs w:val="20"/>
        </w:rPr>
        <w:t>Pennicuik</w:t>
      </w:r>
      <w:proofErr w:type="spellEnd"/>
      <w:r w:rsidRPr="00A96204">
        <w:rPr>
          <w:rFonts w:cs="Arial"/>
          <w:sz w:val="20"/>
          <w:szCs w:val="20"/>
        </w:rPr>
        <w:t>) and Legislative Assembly, 23 May 2018, 1523 (Robert Clark).</w:t>
      </w:r>
    </w:p>
  </w:footnote>
  <w:footnote w:id="60">
    <w:p w14:paraId="0C62187B" w14:textId="5D769908"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 Parliamentary Debates, Legislative Council, 8 March 2018 840 (Melina Bath) and 842 (Inga </w:t>
      </w:r>
      <w:proofErr w:type="spellStart"/>
      <w:r w:rsidRPr="00A96204">
        <w:rPr>
          <w:rFonts w:cs="Arial"/>
          <w:sz w:val="20"/>
          <w:szCs w:val="20"/>
        </w:rPr>
        <w:t>Peulich</w:t>
      </w:r>
      <w:proofErr w:type="spellEnd"/>
      <w:r w:rsidRPr="00A96204">
        <w:rPr>
          <w:rFonts w:cs="Arial"/>
          <w:sz w:val="20"/>
          <w:szCs w:val="20"/>
        </w:rPr>
        <w:t>).</w:t>
      </w:r>
    </w:p>
  </w:footnote>
  <w:footnote w:id="61">
    <w:p w14:paraId="2A51CEEC" w14:textId="1B030E0E"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Parliament Victoria, Bills Status List 2018.</w:t>
      </w:r>
    </w:p>
  </w:footnote>
  <w:footnote w:id="62">
    <w:p w14:paraId="1F7BFBF8" w14:textId="7B0C3244"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A96204">
        <w:rPr>
          <w:rStyle w:val="VEOHRCwww"/>
          <w:rFonts w:cs="Arial"/>
          <w:color w:val="000000"/>
          <w:sz w:val="20"/>
          <w:szCs w:val="20"/>
        </w:rPr>
        <w:t>Michael Brett Young, 'From Commitment to Culture: The 2015 Review of the Charter of Human Rights and Responsibilities Act 2006' (Report, 1 September 2015).</w:t>
      </w:r>
    </w:p>
  </w:footnote>
  <w:footnote w:id="63">
    <w:p w14:paraId="727E1077" w14:textId="20C14736"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 Parliamentary Debates, Legislative Assembly, 21 June 2018, 2197 (Lisa Neville).</w:t>
      </w:r>
    </w:p>
  </w:footnote>
  <w:footnote w:id="64">
    <w:p w14:paraId="694A87FC" w14:textId="1813653E"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 Parliamentary Debates, Legislative Assembly, 5 June 2018, 1727 (Lidia Thorpe).</w:t>
      </w:r>
    </w:p>
  </w:footnote>
  <w:footnote w:id="65">
    <w:p w14:paraId="6B4FB7F8" w14:textId="0562C14B"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Scrutiny of Acts and Regulations Committee, Parliament of Victoria, Alert Digest No. 5 (2018), 9, 10.</w:t>
      </w:r>
    </w:p>
  </w:footnote>
  <w:footnote w:id="66">
    <w:p w14:paraId="6C5194BC" w14:textId="0014769D"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 Parliamentary Debates, Legislative Assembly, 6 June 2018, 1847.</w:t>
      </w:r>
    </w:p>
  </w:footnote>
  <w:footnote w:id="67">
    <w:p w14:paraId="10C3E304" w14:textId="7321A95B"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Michael Brett Young, From Commitment to Culture: The 2015 Review of the Charter of Human Rights and Responsibilities Act 2006 (Report, 1 September 2015), Recommendation 43.</w:t>
      </w:r>
    </w:p>
  </w:footnote>
  <w:footnote w:id="68">
    <w:p w14:paraId="45E8C786" w14:textId="6B1685B7"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Ibid, Recommendation 37(a).</w:t>
      </w:r>
    </w:p>
  </w:footnote>
  <w:footnote w:id="69">
    <w:p w14:paraId="0E3B4CEE" w14:textId="1EE0F73F"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Ibid, Recommendation 37(c).</w:t>
      </w:r>
    </w:p>
  </w:footnote>
  <w:footnote w:id="70">
    <w:p w14:paraId="1402F37F" w14:textId="231CBE94"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Victorian Equal Opportunity and Human Rights Commission, </w:t>
      </w:r>
      <w:r w:rsidRPr="00A96204">
        <w:rPr>
          <w:rFonts w:cs="Arial"/>
          <w:i/>
          <w:sz w:val="20"/>
          <w:szCs w:val="20"/>
        </w:rPr>
        <w:t xml:space="preserve">2016 Report on the Operation of the Charter of Human Rights and Responsibilities </w:t>
      </w:r>
      <w:r w:rsidRPr="00A96204">
        <w:rPr>
          <w:rFonts w:cs="Arial"/>
          <w:sz w:val="20"/>
          <w:szCs w:val="20"/>
        </w:rPr>
        <w:t>(Report, October 2017) 55.</w:t>
      </w:r>
    </w:p>
  </w:footnote>
  <w:footnote w:id="71">
    <w:p w14:paraId="504408FB" w14:textId="251F79FF"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Scrutiny of Acts and Regulations Committee, Parliament of Victoria, Submissions from Commissioner for Children and Young People, </w:t>
      </w:r>
      <w:proofErr w:type="spellStart"/>
      <w:r w:rsidRPr="00A96204">
        <w:rPr>
          <w:rFonts w:cs="Arial"/>
          <w:sz w:val="20"/>
          <w:szCs w:val="20"/>
        </w:rPr>
        <w:t>Youthlaw</w:t>
      </w:r>
      <w:proofErr w:type="spellEnd"/>
      <w:r w:rsidRPr="00A96204">
        <w:rPr>
          <w:rFonts w:cs="Arial"/>
          <w:sz w:val="20"/>
          <w:szCs w:val="20"/>
        </w:rPr>
        <w:t xml:space="preserve"> and joint submission from the Law Institute of Victoria, Federation of Community Legal Centres, 2018 &lt;</w:t>
      </w:r>
      <w:hyperlink r:id="rId9" w:history="1">
        <w:r w:rsidRPr="00A96204">
          <w:rPr>
            <w:rStyle w:val="Hyperlink"/>
            <w:rFonts w:cs="Arial"/>
            <w:color w:val="000000" w:themeColor="text1"/>
            <w:sz w:val="20"/>
            <w:szCs w:val="20"/>
            <w:u w:val="none"/>
          </w:rPr>
          <w:t>https://www.parliament.vic.gov.au/sarc/article/916</w:t>
        </w:r>
      </w:hyperlink>
      <w:r w:rsidRPr="00A96204">
        <w:rPr>
          <w:rStyle w:val="Hyperlink"/>
          <w:rFonts w:cs="Arial"/>
          <w:color w:val="000000" w:themeColor="text1"/>
          <w:sz w:val="20"/>
          <w:szCs w:val="20"/>
          <w:u w:val="none"/>
        </w:rPr>
        <w:t>&gt;</w:t>
      </w:r>
      <w:r w:rsidRPr="00A96204">
        <w:rPr>
          <w:rFonts w:cs="Arial"/>
          <w:sz w:val="20"/>
          <w:szCs w:val="20"/>
        </w:rPr>
        <w:t xml:space="preserve"> and Alert Digest No. 11 (2018), 21.</w:t>
      </w:r>
      <w:r>
        <w:rPr>
          <w:rFonts w:cs="Arial"/>
          <w:sz w:val="20"/>
          <w:szCs w:val="20"/>
        </w:rPr>
        <w:t xml:space="preserve"> </w:t>
      </w:r>
    </w:p>
  </w:footnote>
  <w:footnote w:id="72">
    <w:p w14:paraId="5D1967B6" w14:textId="4397EEFF" w:rsidR="00B026DA" w:rsidRPr="00A96204" w:rsidRDefault="00B026DA" w:rsidP="005410B8">
      <w:pPr>
        <w:pStyle w:val="TableNote"/>
        <w:spacing w:before="0" w:after="0" w:line="240" w:lineRule="auto"/>
        <w:rPr>
          <w:rFonts w:cs="Arial"/>
          <w:sz w:val="20"/>
          <w:szCs w:val="20"/>
        </w:rPr>
      </w:pPr>
      <w:r w:rsidRPr="00A96204">
        <w:rPr>
          <w:rStyle w:val="FootnoteReference"/>
          <w:rFonts w:cs="Arial"/>
          <w:color w:val="000000" w:themeColor="text1"/>
          <w:sz w:val="20"/>
          <w:szCs w:val="20"/>
        </w:rPr>
        <w:footnoteRef/>
      </w:r>
      <w:r w:rsidRPr="00A96204">
        <w:rPr>
          <w:rFonts w:cs="Arial"/>
          <w:sz w:val="20"/>
          <w:szCs w:val="20"/>
        </w:rPr>
        <w:t xml:space="preserve"> Scrutiny of Acts and Regulations Committee, Parliament of Victoria, Joint submission from Law Institute of Victoria, Federation of Community Legal Centres and Human Rights Law Centre, 2018</w:t>
      </w:r>
      <w:r>
        <w:rPr>
          <w:rFonts w:cs="Arial"/>
          <w:sz w:val="20"/>
          <w:szCs w:val="20"/>
        </w:rPr>
        <w:t xml:space="preserve"> </w:t>
      </w:r>
      <w:r w:rsidRPr="00A96204">
        <w:rPr>
          <w:rFonts w:cs="Arial"/>
          <w:sz w:val="20"/>
          <w:szCs w:val="20"/>
        </w:rPr>
        <w:t>&lt;</w:t>
      </w:r>
      <w:hyperlink r:id="rId10" w:history="1">
        <w:r w:rsidRPr="00A96204">
          <w:rPr>
            <w:rStyle w:val="Hyperlink"/>
            <w:rFonts w:cs="Arial"/>
            <w:color w:val="000000" w:themeColor="text1"/>
            <w:sz w:val="20"/>
            <w:szCs w:val="20"/>
            <w:u w:val="none"/>
          </w:rPr>
          <w:t>https://www.parliament.vic.gov.au/sarc/article/916</w:t>
        </w:r>
      </w:hyperlink>
      <w:r w:rsidRPr="00A96204">
        <w:rPr>
          <w:rStyle w:val="Hyperlink"/>
          <w:rFonts w:cs="Arial"/>
          <w:color w:val="000000" w:themeColor="text1"/>
          <w:sz w:val="20"/>
          <w:szCs w:val="20"/>
          <w:u w:val="none"/>
        </w:rPr>
        <w:t>&gt;</w:t>
      </w:r>
      <w:r w:rsidRPr="00A96204">
        <w:rPr>
          <w:rFonts w:cs="Arial"/>
          <w:sz w:val="20"/>
          <w:szCs w:val="20"/>
        </w:rPr>
        <w:t xml:space="preserve"> and Alert Digest No. 10 (2018).</w:t>
      </w:r>
      <w:r>
        <w:rPr>
          <w:rFonts w:cs="Arial"/>
          <w:sz w:val="20"/>
          <w:szCs w:val="20"/>
        </w:rPr>
        <w:t xml:space="preserve"> </w:t>
      </w:r>
    </w:p>
  </w:footnote>
  <w:footnote w:id="73">
    <w:p w14:paraId="32ACABDA" w14:textId="36B891CA" w:rsidR="00B026DA" w:rsidRPr="00A96204" w:rsidRDefault="00B026DA" w:rsidP="005410B8">
      <w:pPr>
        <w:pStyle w:val="TableNote"/>
        <w:spacing w:before="0" w:after="0" w:line="240" w:lineRule="auto"/>
        <w:rPr>
          <w:rFonts w:cs="Arial"/>
          <w:sz w:val="20"/>
          <w:szCs w:val="20"/>
        </w:rPr>
      </w:pPr>
      <w:r w:rsidRPr="00A96204">
        <w:rPr>
          <w:rStyle w:val="FootnoteReference"/>
          <w:rFonts w:cs="Arial"/>
          <w:color w:val="000000" w:themeColor="text1"/>
          <w:sz w:val="20"/>
          <w:szCs w:val="20"/>
        </w:rPr>
        <w:footnoteRef/>
      </w:r>
      <w:r w:rsidRPr="00A96204">
        <w:rPr>
          <w:rFonts w:cs="Arial"/>
          <w:sz w:val="20"/>
          <w:szCs w:val="20"/>
        </w:rPr>
        <w:t xml:space="preserve"> Scrutiny of Acts and Regulations Committee, Parliament of Victoria, Submissions from the Commission and the Commissioner for Children and Young People, </w:t>
      </w:r>
      <w:proofErr w:type="gramStart"/>
      <w:r w:rsidRPr="00A96204">
        <w:rPr>
          <w:rFonts w:cs="Arial"/>
          <w:sz w:val="20"/>
          <w:szCs w:val="20"/>
        </w:rPr>
        <w:t>2018</w:t>
      </w:r>
      <w:r>
        <w:rPr>
          <w:rFonts w:cs="Arial"/>
          <w:sz w:val="20"/>
          <w:szCs w:val="20"/>
        </w:rPr>
        <w:t xml:space="preserve"> </w:t>
      </w:r>
      <w:r w:rsidRPr="00A96204">
        <w:rPr>
          <w:rFonts w:cs="Arial"/>
          <w:sz w:val="20"/>
          <w:szCs w:val="20"/>
        </w:rPr>
        <w:t xml:space="preserve"> &lt;</w:t>
      </w:r>
      <w:proofErr w:type="gramEnd"/>
      <w:r>
        <w:fldChar w:fldCharType="begin"/>
      </w:r>
      <w:r>
        <w:instrText xml:space="preserve"> HYPERLINK "https://www.parliament.vic.gov.au/sarc/article/916" </w:instrText>
      </w:r>
      <w:r>
        <w:fldChar w:fldCharType="separate"/>
      </w:r>
      <w:r w:rsidRPr="00A96204">
        <w:rPr>
          <w:rStyle w:val="Hyperlink"/>
          <w:rFonts w:cs="Arial"/>
          <w:color w:val="000000" w:themeColor="text1"/>
          <w:sz w:val="20"/>
          <w:szCs w:val="20"/>
          <w:u w:val="none"/>
        </w:rPr>
        <w:t>https://www.parliament.vic.gov.au/sarc/article/916</w:t>
      </w:r>
      <w:r>
        <w:rPr>
          <w:rStyle w:val="Hyperlink"/>
          <w:rFonts w:cs="Arial"/>
          <w:color w:val="000000" w:themeColor="text1"/>
          <w:sz w:val="20"/>
          <w:szCs w:val="20"/>
          <w:u w:val="none"/>
        </w:rPr>
        <w:fldChar w:fldCharType="end"/>
      </w:r>
      <w:r w:rsidRPr="00A96204">
        <w:rPr>
          <w:rStyle w:val="Hyperlink"/>
          <w:rFonts w:cs="Arial"/>
          <w:color w:val="000000" w:themeColor="text1"/>
          <w:sz w:val="20"/>
          <w:szCs w:val="20"/>
          <w:u w:val="none"/>
        </w:rPr>
        <w:t>&gt;</w:t>
      </w:r>
      <w:r w:rsidRPr="00A96204">
        <w:rPr>
          <w:rFonts w:cs="Arial"/>
          <w:sz w:val="20"/>
          <w:szCs w:val="20"/>
        </w:rPr>
        <w:t xml:space="preserve"> and Alert Digest No. 7 (2018).</w:t>
      </w:r>
    </w:p>
  </w:footnote>
  <w:footnote w:id="74">
    <w:p w14:paraId="254991E7" w14:textId="61BDD476" w:rsidR="00B026DA" w:rsidRPr="00A96204" w:rsidRDefault="00B026DA" w:rsidP="005410B8">
      <w:pPr>
        <w:pStyle w:val="EndnoteText"/>
        <w:spacing w:before="0" w:line="240" w:lineRule="auto"/>
        <w:rPr>
          <w:rFonts w:cs="Arial"/>
        </w:rPr>
      </w:pPr>
      <w:r w:rsidRPr="00A96204">
        <w:rPr>
          <w:rStyle w:val="FootnoteReference"/>
          <w:rFonts w:cs="Arial"/>
          <w:color w:val="000000" w:themeColor="text1"/>
        </w:rPr>
        <w:footnoteRef/>
      </w:r>
      <w:r w:rsidRPr="00A96204">
        <w:rPr>
          <w:rFonts w:cs="Arial"/>
        </w:rPr>
        <w:t xml:space="preserve"> Scrutiny of Acts and Regulations Committee, Parliament of Victoria, Submission from the Australian Road Transport Suppliers Association, </w:t>
      </w:r>
      <w:proofErr w:type="gramStart"/>
      <w:r w:rsidRPr="00A96204">
        <w:rPr>
          <w:rFonts w:cs="Arial"/>
        </w:rPr>
        <w:t>2018</w:t>
      </w:r>
      <w:r>
        <w:rPr>
          <w:rFonts w:cs="Arial"/>
        </w:rPr>
        <w:t xml:space="preserve"> </w:t>
      </w:r>
      <w:r w:rsidRPr="00A96204">
        <w:rPr>
          <w:rFonts w:cs="Arial"/>
        </w:rPr>
        <w:t xml:space="preserve"> &lt;</w:t>
      </w:r>
      <w:proofErr w:type="gramEnd"/>
      <w:r>
        <w:fldChar w:fldCharType="begin"/>
      </w:r>
      <w:r>
        <w:instrText xml:space="preserve"> HYPERLINK "https://www.parliament.vic.gov.au/sarc/article/916" </w:instrText>
      </w:r>
      <w:r>
        <w:fldChar w:fldCharType="separate"/>
      </w:r>
      <w:r w:rsidRPr="00A96204">
        <w:rPr>
          <w:rStyle w:val="Hyperlink"/>
          <w:rFonts w:cs="Arial"/>
          <w:color w:val="000000" w:themeColor="text1"/>
          <w:u w:val="none"/>
        </w:rPr>
        <w:t>https://www.parliament.vic.gov.au/sarc/article/916</w:t>
      </w:r>
      <w:r>
        <w:rPr>
          <w:rStyle w:val="Hyperlink"/>
          <w:rFonts w:cs="Arial"/>
          <w:color w:val="000000" w:themeColor="text1"/>
          <w:u w:val="none"/>
        </w:rPr>
        <w:fldChar w:fldCharType="end"/>
      </w:r>
      <w:r w:rsidRPr="00A96204">
        <w:rPr>
          <w:rStyle w:val="Hyperlink"/>
          <w:rFonts w:cs="Arial"/>
          <w:color w:val="000000" w:themeColor="text1"/>
          <w:u w:val="none"/>
        </w:rPr>
        <w:t>&gt;</w:t>
      </w:r>
      <w:r w:rsidRPr="00A96204">
        <w:rPr>
          <w:rFonts w:cs="Arial"/>
        </w:rPr>
        <w:t xml:space="preserve"> and Alert Digest No. 4 (2018).</w:t>
      </w:r>
      <w:r>
        <w:rPr>
          <w:rFonts w:cs="Arial"/>
        </w:rPr>
        <w:t xml:space="preserve"> </w:t>
      </w:r>
    </w:p>
  </w:footnote>
  <w:footnote w:id="75">
    <w:p w14:paraId="698241E2" w14:textId="4A8CAA27" w:rsidR="00B026DA" w:rsidRPr="00A96204" w:rsidRDefault="00B026DA" w:rsidP="001D1E54">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Scrutiny of Acts and Regulations Committee, Parliament of Victoria, Submissions from the Commission and the Commissioner for Children </w:t>
      </w:r>
      <w:r w:rsidRPr="00A96204">
        <w:rPr>
          <w:rFonts w:cs="Arial"/>
          <w:color w:val="000000" w:themeColor="text1"/>
          <w:sz w:val="20"/>
          <w:szCs w:val="20"/>
        </w:rPr>
        <w:t>and Young People, 2018</w:t>
      </w:r>
      <w:r>
        <w:rPr>
          <w:rFonts w:cs="Arial"/>
          <w:color w:val="000000" w:themeColor="text1"/>
          <w:sz w:val="20"/>
          <w:szCs w:val="20"/>
        </w:rPr>
        <w:t xml:space="preserve"> </w:t>
      </w:r>
      <w:r w:rsidRPr="00A96204">
        <w:rPr>
          <w:rFonts w:cs="Arial"/>
          <w:color w:val="000000" w:themeColor="text1"/>
          <w:sz w:val="20"/>
          <w:szCs w:val="20"/>
        </w:rPr>
        <w:t>&lt;</w:t>
      </w:r>
      <w:hyperlink r:id="rId11" w:history="1">
        <w:r w:rsidRPr="00A96204">
          <w:rPr>
            <w:rStyle w:val="Hyperlink"/>
            <w:rFonts w:cs="Arial"/>
            <w:color w:val="000000" w:themeColor="text1"/>
            <w:sz w:val="20"/>
            <w:szCs w:val="20"/>
            <w:u w:val="none"/>
          </w:rPr>
          <w:t>https://www.parliament.vic.gov.au/sarc/article/916</w:t>
        </w:r>
      </w:hyperlink>
      <w:r w:rsidRPr="00A96204">
        <w:rPr>
          <w:rStyle w:val="Hyperlink"/>
          <w:rFonts w:cs="Arial"/>
          <w:color w:val="000000" w:themeColor="text1"/>
          <w:sz w:val="20"/>
          <w:szCs w:val="20"/>
          <w:u w:val="none"/>
        </w:rPr>
        <w:t>&gt;</w:t>
      </w:r>
      <w:r w:rsidRPr="00A96204">
        <w:rPr>
          <w:rFonts w:cs="Arial"/>
          <w:color w:val="000000" w:themeColor="text1"/>
          <w:sz w:val="20"/>
          <w:szCs w:val="20"/>
          <w:lang w:eastAsia="en-AU"/>
        </w:rPr>
        <w:t>.</w:t>
      </w:r>
      <w:r>
        <w:rPr>
          <w:rFonts w:cs="Arial"/>
          <w:color w:val="000000" w:themeColor="text1"/>
          <w:sz w:val="20"/>
          <w:szCs w:val="20"/>
          <w:lang w:eastAsia="en-AU"/>
        </w:rPr>
        <w:t xml:space="preserve"> </w:t>
      </w:r>
    </w:p>
  </w:footnote>
  <w:footnote w:id="76">
    <w:p w14:paraId="452668F2" w14:textId="77777777" w:rsidR="00B026DA" w:rsidRPr="00A96204" w:rsidRDefault="00B026DA" w:rsidP="001D1E54">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Victoria, Parliamentary Debated, Legislative Council, 26 July 2018, 3348.</w:t>
      </w:r>
    </w:p>
  </w:footnote>
  <w:footnote w:id="77">
    <w:p w14:paraId="1A0BA6B6" w14:textId="0813D47B" w:rsidR="00B026DA" w:rsidRPr="00A96204" w:rsidRDefault="00B026DA" w:rsidP="00AF62D4">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w:t>
      </w:r>
      <w:r w:rsidRPr="00AF62D4">
        <w:rPr>
          <w:rFonts w:cs="Arial"/>
          <w:i/>
          <w:sz w:val="20"/>
        </w:rPr>
        <w:t>Robert v Harkness</w:t>
      </w:r>
      <w:r w:rsidRPr="00AF62D4">
        <w:rPr>
          <w:rFonts w:cs="Arial"/>
          <w:sz w:val="20"/>
        </w:rPr>
        <w:t xml:space="preserve"> [2</w:t>
      </w:r>
      <w:r>
        <w:rPr>
          <w:rFonts w:cs="Arial"/>
          <w:sz w:val="20"/>
        </w:rPr>
        <w:t xml:space="preserve">018] </w:t>
      </w:r>
      <w:r w:rsidRPr="00A96204">
        <w:rPr>
          <w:rFonts w:cs="Arial"/>
          <w:sz w:val="20"/>
        </w:rPr>
        <w:t>VSCA 215 (29 August 2018).</w:t>
      </w:r>
    </w:p>
  </w:footnote>
  <w:footnote w:id="78">
    <w:p w14:paraId="52E19642" w14:textId="52D93A08" w:rsidR="00B026DA" w:rsidRDefault="00B026DA" w:rsidP="00AF62D4">
      <w:pPr>
        <w:pStyle w:val="FootnoteText"/>
        <w:spacing w:before="0" w:after="0" w:line="240" w:lineRule="auto"/>
      </w:pPr>
      <w:r w:rsidRPr="00AF62D4">
        <w:rPr>
          <w:rStyle w:val="FootnoteReference"/>
          <w:rFonts w:cs="Arial"/>
          <w:sz w:val="20"/>
        </w:rPr>
        <w:footnoteRef/>
      </w:r>
      <w:r w:rsidRPr="00AF62D4">
        <w:rPr>
          <w:rStyle w:val="FootnoteReference"/>
          <w:rFonts w:cs="Arial"/>
          <w:sz w:val="20"/>
        </w:rPr>
        <w:t xml:space="preserve"> </w:t>
      </w:r>
      <w:r w:rsidRPr="00AF62D4">
        <w:rPr>
          <w:rFonts w:cs="Arial"/>
          <w:sz w:val="20"/>
        </w:rPr>
        <w:t xml:space="preserve">Ibid [47], Referencing Gleeson CJ in </w:t>
      </w:r>
      <w:r w:rsidRPr="00AF62D4">
        <w:rPr>
          <w:rFonts w:cs="Arial"/>
          <w:i/>
          <w:sz w:val="20"/>
        </w:rPr>
        <w:t xml:space="preserve">Re Minister for Immigration and Multicultural and Indigenous Affairs; Ex Parte Lam </w:t>
      </w:r>
      <w:r w:rsidRPr="00AF62D4">
        <w:rPr>
          <w:rFonts w:cs="Arial"/>
          <w:sz w:val="20"/>
        </w:rPr>
        <w:t>(2003) 214 CLR 1.</w:t>
      </w:r>
    </w:p>
  </w:footnote>
  <w:footnote w:id="79">
    <w:p w14:paraId="2C87BB69" w14:textId="77777777" w:rsidR="00B026DA" w:rsidRDefault="00B026DA" w:rsidP="00AF62D4">
      <w:pPr>
        <w:pStyle w:val="FootnoteText"/>
        <w:spacing w:before="0" w:after="0" w:line="240" w:lineRule="auto"/>
      </w:pPr>
      <w:r w:rsidRPr="00AF62D4">
        <w:rPr>
          <w:rStyle w:val="FootnoteReference"/>
          <w:rFonts w:cs="Arial"/>
          <w:sz w:val="20"/>
        </w:rPr>
        <w:footnoteRef/>
      </w:r>
      <w:r w:rsidRPr="00AF62D4">
        <w:rPr>
          <w:rStyle w:val="FootnoteReference"/>
          <w:rFonts w:cs="Arial"/>
          <w:sz w:val="20"/>
        </w:rPr>
        <w:t xml:space="preserve"> </w:t>
      </w:r>
      <w:r w:rsidRPr="00AF62D4">
        <w:rPr>
          <w:rFonts w:cs="Arial"/>
          <w:sz w:val="20"/>
        </w:rPr>
        <w:t>Ibid [48].</w:t>
      </w:r>
    </w:p>
  </w:footnote>
  <w:footnote w:id="80">
    <w:p w14:paraId="7656D6B3" w14:textId="30EB39DD" w:rsidR="00B026DA" w:rsidRDefault="00B026DA" w:rsidP="00AF62D4">
      <w:pPr>
        <w:pStyle w:val="FootnoteText"/>
        <w:spacing w:before="0" w:after="0" w:line="240" w:lineRule="auto"/>
      </w:pPr>
      <w:r w:rsidRPr="00AF62D4">
        <w:rPr>
          <w:rStyle w:val="FootnoteReference"/>
          <w:rFonts w:cs="Arial"/>
          <w:sz w:val="20"/>
        </w:rPr>
        <w:footnoteRef/>
      </w:r>
      <w:r>
        <w:t xml:space="preserve"> </w:t>
      </w:r>
      <w:r w:rsidRPr="00AF62D4">
        <w:rPr>
          <w:rFonts w:cs="Arial"/>
          <w:sz w:val="20"/>
        </w:rPr>
        <w:t>Ibid [4</w:t>
      </w:r>
      <w:r>
        <w:rPr>
          <w:rFonts w:cs="Arial"/>
          <w:sz w:val="20"/>
        </w:rPr>
        <w:t>9</w:t>
      </w:r>
      <w:r w:rsidRPr="00AF62D4">
        <w:rPr>
          <w:rFonts w:cs="Arial"/>
          <w:sz w:val="20"/>
        </w:rPr>
        <w:t>].</w:t>
      </w:r>
    </w:p>
  </w:footnote>
  <w:footnote w:id="81">
    <w:p w14:paraId="2347F1C1" w14:textId="686706D8" w:rsidR="00B026DA" w:rsidRPr="00A96204" w:rsidRDefault="00B026DA" w:rsidP="00AF62D4">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w:t>
      </w:r>
      <w:r w:rsidRPr="00A96204">
        <w:rPr>
          <w:rFonts w:cs="Arial"/>
          <w:i/>
          <w:sz w:val="20"/>
        </w:rPr>
        <w:t>AB &amp; EF v CD</w:t>
      </w:r>
      <w:r w:rsidRPr="00A96204">
        <w:rPr>
          <w:rFonts w:cs="Arial"/>
          <w:sz w:val="20"/>
        </w:rPr>
        <w:t xml:space="preserve"> [2017] VSC 350; </w:t>
      </w:r>
      <w:r w:rsidRPr="00A96204">
        <w:rPr>
          <w:rFonts w:cs="Arial"/>
          <w:i/>
          <w:sz w:val="20"/>
        </w:rPr>
        <w:t>AB v CD &amp; EF</w:t>
      </w:r>
      <w:r w:rsidRPr="00A96204">
        <w:rPr>
          <w:rFonts w:cs="Arial"/>
          <w:sz w:val="20"/>
        </w:rPr>
        <w:t xml:space="preserve"> [2017] VSCA 338 (21 November 2017); </w:t>
      </w:r>
      <w:r w:rsidRPr="00A96204">
        <w:rPr>
          <w:rFonts w:cs="Arial"/>
          <w:i/>
          <w:sz w:val="20"/>
        </w:rPr>
        <w:t>AB v CD; EF</w:t>
      </w:r>
      <w:r w:rsidRPr="00A96204">
        <w:rPr>
          <w:rFonts w:cs="Arial"/>
          <w:sz w:val="20"/>
        </w:rPr>
        <w:t xml:space="preserve"> [2018] HCA 58 (5 November 2018). The proceedings commenced in 2017, however no reporting of the matter was permitted by the courts until 5 February 2019.</w:t>
      </w:r>
    </w:p>
  </w:footnote>
  <w:footnote w:id="82">
    <w:p w14:paraId="1A124B03" w14:textId="560FEB25"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Ibid [172].</w:t>
      </w:r>
    </w:p>
  </w:footnote>
  <w:footnote w:id="83">
    <w:p w14:paraId="4AD47A05" w14:textId="43F41B83"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w:t>
      </w:r>
      <w:bookmarkStart w:id="106" w:name="_Hlk4589158"/>
      <w:r w:rsidRPr="00A96204">
        <w:rPr>
          <w:rFonts w:cs="Arial"/>
          <w:sz w:val="20"/>
        </w:rPr>
        <w:t>Ibid [244]</w:t>
      </w:r>
      <w:proofErr w:type="gramStart"/>
      <w:r w:rsidRPr="00A96204">
        <w:rPr>
          <w:rFonts w:cs="Arial"/>
          <w:sz w:val="20"/>
        </w:rPr>
        <w:t>-[</w:t>
      </w:r>
      <w:proofErr w:type="gramEnd"/>
      <w:r w:rsidRPr="00A96204">
        <w:rPr>
          <w:rFonts w:cs="Arial"/>
          <w:sz w:val="20"/>
        </w:rPr>
        <w:t>245</w:t>
      </w:r>
      <w:bookmarkEnd w:id="106"/>
      <w:r w:rsidRPr="00A96204">
        <w:rPr>
          <w:rFonts w:cs="Arial"/>
          <w:sz w:val="20"/>
        </w:rPr>
        <w:t>].</w:t>
      </w:r>
    </w:p>
  </w:footnote>
  <w:footnote w:id="84">
    <w:p w14:paraId="5459FA0A" w14:textId="6122DC61"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w:t>
      </w:r>
      <w:r w:rsidRPr="00A96204">
        <w:rPr>
          <w:rFonts w:cs="Arial"/>
          <w:i/>
          <w:sz w:val="20"/>
        </w:rPr>
        <w:t>AB v CD; EF v CD</w:t>
      </w:r>
      <w:r w:rsidRPr="00A96204">
        <w:rPr>
          <w:rFonts w:cs="Arial"/>
          <w:sz w:val="20"/>
        </w:rPr>
        <w:t xml:space="preserve"> [2018] HCA 58 (5 November 2018).</w:t>
      </w:r>
    </w:p>
  </w:footnote>
  <w:footnote w:id="85">
    <w:p w14:paraId="1ADA44E0" w14:textId="51D4E76C"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w:t>
      </w:r>
      <w:r w:rsidRPr="00914231">
        <w:rPr>
          <w:rFonts w:cs="Arial"/>
          <w:i/>
          <w:sz w:val="20"/>
        </w:rPr>
        <w:t>Charter of Human Rights and Responsibilities Act 2006</w:t>
      </w:r>
      <w:r w:rsidRPr="00A96204">
        <w:rPr>
          <w:rFonts w:cs="Arial"/>
          <w:sz w:val="20"/>
        </w:rPr>
        <w:t xml:space="preserve"> (Vic), s 8.</w:t>
      </w:r>
    </w:p>
  </w:footnote>
  <w:footnote w:id="86">
    <w:p w14:paraId="2F79A7CA" w14:textId="77777777" w:rsidR="00B026DA" w:rsidRDefault="00B026DA" w:rsidP="001706A9">
      <w:pPr>
        <w:pStyle w:val="FootnoteText"/>
        <w:spacing w:before="0" w:after="0" w:line="240" w:lineRule="auto"/>
        <w:ind w:left="0" w:firstLine="0"/>
      </w:pPr>
      <w:r w:rsidRPr="008F6682">
        <w:rPr>
          <w:rStyle w:val="FootnoteReference"/>
          <w:sz w:val="20"/>
        </w:rPr>
        <w:footnoteRef/>
      </w:r>
      <w:r w:rsidRPr="008F6682">
        <w:rPr>
          <w:sz w:val="20"/>
        </w:rPr>
        <w:t xml:space="preserve"> [2018] VSC 564.</w:t>
      </w:r>
    </w:p>
  </w:footnote>
  <w:footnote w:id="87">
    <w:p w14:paraId="009BF0DF" w14:textId="77777777" w:rsidR="00B026DA" w:rsidRDefault="00B026DA" w:rsidP="001706A9">
      <w:pPr>
        <w:pStyle w:val="FootnoteText"/>
        <w:spacing w:before="0" w:after="0" w:line="240" w:lineRule="auto"/>
      </w:pPr>
      <w:r w:rsidRPr="008F6682">
        <w:rPr>
          <w:rStyle w:val="FootnoteReference"/>
          <w:sz w:val="20"/>
        </w:rPr>
        <w:footnoteRef/>
      </w:r>
      <w:r w:rsidRPr="008F6682">
        <w:rPr>
          <w:sz w:val="20"/>
        </w:rPr>
        <w:t xml:space="preserve"> [2018] VSC 337.</w:t>
      </w:r>
    </w:p>
  </w:footnote>
  <w:footnote w:id="88">
    <w:p w14:paraId="429106CA" w14:textId="7B154124"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[2018] VSC 564 (1 November 2018).</w:t>
      </w:r>
    </w:p>
  </w:footnote>
  <w:footnote w:id="89">
    <w:p w14:paraId="50BE3CD0" w14:textId="0C903F01"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Ibid [87].</w:t>
      </w:r>
    </w:p>
  </w:footnote>
  <w:footnote w:id="90">
    <w:p w14:paraId="2D2FD1B4" w14:textId="58A1FE82"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Ibid [113].</w:t>
      </w:r>
    </w:p>
  </w:footnote>
  <w:footnote w:id="91">
    <w:p w14:paraId="1E8CAD93" w14:textId="20756766"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Ibid [283].</w:t>
      </w:r>
    </w:p>
  </w:footnote>
  <w:footnote w:id="92">
    <w:p w14:paraId="0B28477B" w14:textId="3995E2AA" w:rsidR="00B026DA" w:rsidRPr="00E85FE1" w:rsidRDefault="00B026DA" w:rsidP="00E85FE1">
      <w:pPr>
        <w:pStyle w:val="FootnoteText"/>
        <w:spacing w:before="0" w:after="0" w:line="240" w:lineRule="auto"/>
        <w:rPr>
          <w:sz w:val="20"/>
        </w:rPr>
      </w:pPr>
      <w:r w:rsidRPr="00E85FE1">
        <w:rPr>
          <w:rStyle w:val="FootnoteReference"/>
          <w:sz w:val="20"/>
        </w:rPr>
        <w:footnoteRef/>
      </w:r>
      <w:r w:rsidRPr="00E85FE1">
        <w:rPr>
          <w:sz w:val="20"/>
        </w:rPr>
        <w:t xml:space="preserve"> Victoria Legal Aid</w:t>
      </w:r>
      <w:r w:rsidRPr="00E85FE1">
        <w:rPr>
          <w:rFonts w:cs="Arial"/>
          <w:sz w:val="20"/>
        </w:rPr>
        <w:t xml:space="preserve">, </w:t>
      </w:r>
      <w:r w:rsidRPr="00E85FE1">
        <w:rPr>
          <w:rFonts w:cs="Arial"/>
          <w:i/>
          <w:sz w:val="20"/>
        </w:rPr>
        <w:t xml:space="preserve">PBU &amp; NJE v Mental Health Tribunal case note </w:t>
      </w:r>
      <w:r w:rsidRPr="00E85FE1">
        <w:rPr>
          <w:rFonts w:cs="Arial"/>
          <w:sz w:val="20"/>
        </w:rPr>
        <w:t xml:space="preserve">(November 2018) 62 Victoria Legal Aid, </w:t>
      </w:r>
      <w:r w:rsidRPr="00E85FE1">
        <w:rPr>
          <w:rFonts w:cs="Arial"/>
          <w:i/>
          <w:sz w:val="20"/>
        </w:rPr>
        <w:t>PBU &amp; NJE v Mental Health Tribunal case note,</w:t>
      </w:r>
      <w:r w:rsidRPr="00E85FE1">
        <w:rPr>
          <w:rFonts w:cs="Arial"/>
          <w:sz w:val="20"/>
        </w:rPr>
        <w:t xml:space="preserve"> June 2018 (Web Page) &lt;</w:t>
      </w:r>
      <w:r w:rsidRPr="00E85FE1">
        <w:rPr>
          <w:sz w:val="20"/>
        </w:rPr>
        <w:t xml:space="preserve"> </w:t>
      </w:r>
      <w:r w:rsidRPr="00E85FE1">
        <w:rPr>
          <w:rFonts w:cs="Arial"/>
          <w:sz w:val="20"/>
        </w:rPr>
        <w:t>https://www.legalaid.vic.gov.au/about-us/news/landmark-judgment-strengthens-patients-rights-in-compulsory-electroconvulsive-treatment-cases</w:t>
      </w:r>
      <w:r w:rsidRPr="00E85FE1">
        <w:rPr>
          <w:rStyle w:val="Hyperlink"/>
          <w:rFonts w:cs="Arial"/>
          <w:sz w:val="20"/>
        </w:rPr>
        <w:t>&gt;</w:t>
      </w:r>
      <w:r>
        <w:rPr>
          <w:rStyle w:val="Hyperlink"/>
          <w:rFonts w:cs="Arial"/>
          <w:sz w:val="20"/>
        </w:rPr>
        <w:t>.</w:t>
      </w:r>
    </w:p>
  </w:footnote>
  <w:footnote w:id="93">
    <w:p w14:paraId="11B4B066" w14:textId="36207570" w:rsidR="00B026DA" w:rsidRPr="00E85FE1" w:rsidRDefault="00B026DA" w:rsidP="00E85FE1">
      <w:pPr>
        <w:pStyle w:val="FootnoteText"/>
        <w:spacing w:before="0" w:after="0" w:line="240" w:lineRule="auto"/>
        <w:rPr>
          <w:sz w:val="20"/>
        </w:rPr>
      </w:pPr>
      <w:r w:rsidRPr="00E85FE1">
        <w:rPr>
          <w:rStyle w:val="FootnoteReference"/>
          <w:sz w:val="20"/>
        </w:rPr>
        <w:footnoteRef/>
      </w:r>
      <w:r w:rsidRPr="00E85FE1">
        <w:rPr>
          <w:sz w:val="20"/>
        </w:rPr>
        <w:t xml:space="preserve"> </w:t>
      </w:r>
      <w:r>
        <w:rPr>
          <w:sz w:val="20"/>
        </w:rPr>
        <w:t>Ibid.</w:t>
      </w:r>
    </w:p>
  </w:footnote>
  <w:footnote w:id="94">
    <w:p w14:paraId="15EBA94F" w14:textId="62B8B6B0"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[2018] VSC 337.</w:t>
      </w:r>
    </w:p>
  </w:footnote>
  <w:footnote w:id="95">
    <w:p w14:paraId="0CCB0B6D" w14:textId="1FBAA18F"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w:t>
      </w:r>
      <w:r>
        <w:rPr>
          <w:rFonts w:cs="Arial"/>
          <w:sz w:val="20"/>
        </w:rPr>
        <w:t xml:space="preserve">The Victorian Equal Opportunity and Human Rights Commission, </w:t>
      </w:r>
      <w:r>
        <w:rPr>
          <w:rFonts w:cs="Arial"/>
          <w:i/>
          <w:sz w:val="20"/>
        </w:rPr>
        <w:t xml:space="preserve">Owners Corporation v Black </w:t>
      </w:r>
      <w:r>
        <w:rPr>
          <w:rFonts w:cs="Arial"/>
          <w:sz w:val="20"/>
        </w:rPr>
        <w:t>[2018] VSC 337-21 June 2018 (Web Page) &lt;</w:t>
      </w:r>
      <w:r w:rsidRPr="000F3456">
        <w:rPr>
          <w:rFonts w:cs="Arial"/>
          <w:sz w:val="20"/>
        </w:rPr>
        <w:t>https://www.humanrightscommission.vic.gov.au/component/k2/item/1710-owners-corporation-v-anne-black#vcat-decision-20-december-2018</w:t>
      </w:r>
      <w:r w:rsidRPr="00E85FE1">
        <w:rPr>
          <w:rStyle w:val="Hyperlink"/>
          <w:rFonts w:cs="Arial"/>
          <w:color w:val="auto"/>
          <w:sz w:val="20"/>
          <w:u w:val="none"/>
        </w:rPr>
        <w:t>&gt;</w:t>
      </w:r>
      <w:r w:rsidRPr="00A96204">
        <w:rPr>
          <w:rFonts w:cs="Arial"/>
          <w:sz w:val="20"/>
        </w:rPr>
        <w:t>.</w:t>
      </w:r>
      <w:r>
        <w:rPr>
          <w:rFonts w:cs="Arial"/>
          <w:sz w:val="20"/>
        </w:rPr>
        <w:t xml:space="preserve"> </w:t>
      </w:r>
    </w:p>
  </w:footnote>
  <w:footnote w:id="96">
    <w:p w14:paraId="64821243" w14:textId="4AE6C009"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[2018] VSC 535.</w:t>
      </w:r>
    </w:p>
  </w:footnote>
  <w:footnote w:id="97">
    <w:p w14:paraId="6D0380FC" w14:textId="10145968"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w:t>
      </w:r>
      <w:r w:rsidRPr="00A96204">
        <w:rPr>
          <w:rStyle w:val="FootnoteReference"/>
          <w:rFonts w:cs="Arial"/>
          <w:sz w:val="20"/>
          <w:vertAlign w:val="baseline"/>
        </w:rPr>
        <w:t xml:space="preserve">The Koori Court has jurisdiction to deal with the proceedings and the transfer to Shepparton was necessary because the Koori Court does not sit at the Echuca Magistrates' Court. Importantly, both Echuca and Shepparton are located on Yorta </w:t>
      </w:r>
      <w:proofErr w:type="spellStart"/>
      <w:r w:rsidRPr="00A96204">
        <w:rPr>
          <w:rStyle w:val="FootnoteReference"/>
          <w:rFonts w:cs="Arial"/>
          <w:sz w:val="20"/>
          <w:vertAlign w:val="baseline"/>
        </w:rPr>
        <w:t>Yorta</w:t>
      </w:r>
      <w:proofErr w:type="spellEnd"/>
      <w:r w:rsidRPr="00A96204">
        <w:rPr>
          <w:rStyle w:val="FootnoteReference"/>
          <w:rFonts w:cs="Arial"/>
          <w:sz w:val="20"/>
          <w:vertAlign w:val="baseline"/>
        </w:rPr>
        <w:t xml:space="preserve"> land, with many Aboriginal people from the Yorta </w:t>
      </w:r>
      <w:proofErr w:type="spellStart"/>
      <w:r w:rsidRPr="00A96204">
        <w:rPr>
          <w:rStyle w:val="FootnoteReference"/>
          <w:rFonts w:cs="Arial"/>
          <w:sz w:val="20"/>
          <w:vertAlign w:val="baseline"/>
        </w:rPr>
        <w:t>Yorta</w:t>
      </w:r>
      <w:proofErr w:type="spellEnd"/>
      <w:r w:rsidRPr="00A96204">
        <w:rPr>
          <w:rStyle w:val="FootnoteReference"/>
          <w:rFonts w:cs="Arial"/>
          <w:sz w:val="20"/>
          <w:vertAlign w:val="baseline"/>
        </w:rPr>
        <w:t xml:space="preserve"> clan residing in Echuca, Shepparton and elsewhere.</w:t>
      </w:r>
    </w:p>
  </w:footnote>
  <w:footnote w:id="98">
    <w:p w14:paraId="3A782BEC" w14:textId="52E2AF4B"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This principle is discussed in </w:t>
      </w:r>
      <w:r w:rsidRPr="00A96204">
        <w:rPr>
          <w:rFonts w:cs="Arial"/>
          <w:i/>
          <w:sz w:val="20"/>
        </w:rPr>
        <w:t xml:space="preserve">Rossi v </w:t>
      </w:r>
      <w:proofErr w:type="spellStart"/>
      <w:r w:rsidRPr="00A96204">
        <w:rPr>
          <w:rFonts w:cs="Arial"/>
          <w:i/>
          <w:sz w:val="20"/>
        </w:rPr>
        <w:t>Martland</w:t>
      </w:r>
      <w:proofErr w:type="spellEnd"/>
      <w:r w:rsidRPr="00A96204">
        <w:rPr>
          <w:rFonts w:cs="Arial"/>
          <w:sz w:val="20"/>
        </w:rPr>
        <w:t xml:space="preserve"> (1994) 75 A Crim R 411 (Rossi)</w:t>
      </w:r>
      <w:r>
        <w:rPr>
          <w:rFonts w:cs="Arial"/>
          <w:sz w:val="20"/>
        </w:rPr>
        <w:t>.</w:t>
      </w:r>
    </w:p>
  </w:footnote>
  <w:footnote w:id="99">
    <w:p w14:paraId="2F39D7A0" w14:textId="7AA2F9D9"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w:t>
      </w:r>
      <w:proofErr w:type="spellStart"/>
      <w:r w:rsidRPr="00A96204">
        <w:rPr>
          <w:rStyle w:val="Characteritalic"/>
          <w:rFonts w:cs="Arial"/>
          <w:sz w:val="20"/>
        </w:rPr>
        <w:t>Cemino</w:t>
      </w:r>
      <w:proofErr w:type="spellEnd"/>
      <w:r w:rsidRPr="00A96204">
        <w:rPr>
          <w:rStyle w:val="Characteritalic"/>
          <w:rFonts w:cs="Arial"/>
          <w:sz w:val="20"/>
        </w:rPr>
        <w:t xml:space="preserve"> v </w:t>
      </w:r>
      <w:proofErr w:type="spellStart"/>
      <w:r w:rsidRPr="00A96204">
        <w:rPr>
          <w:rStyle w:val="Characteritalic"/>
          <w:rFonts w:cs="Arial"/>
          <w:sz w:val="20"/>
        </w:rPr>
        <w:t>Cannan</w:t>
      </w:r>
      <w:proofErr w:type="spellEnd"/>
      <w:r w:rsidRPr="00A96204">
        <w:rPr>
          <w:rFonts w:cs="Arial"/>
          <w:sz w:val="20"/>
        </w:rPr>
        <w:t>, Ibid, [25].</w:t>
      </w:r>
    </w:p>
  </w:footnote>
  <w:footnote w:id="100">
    <w:p w14:paraId="5911D543" w14:textId="415DA2DE"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Ibid [74].</w:t>
      </w:r>
    </w:p>
  </w:footnote>
  <w:footnote w:id="101">
    <w:p w14:paraId="1C2F57C3" w14:textId="1640FD32"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Ibid [96].</w:t>
      </w:r>
    </w:p>
  </w:footnote>
  <w:footnote w:id="102">
    <w:p w14:paraId="5F46A74F" w14:textId="0248B51F"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Ibid [143].</w:t>
      </w:r>
    </w:p>
  </w:footnote>
  <w:footnote w:id="103">
    <w:p w14:paraId="348D68E0" w14:textId="567FB751" w:rsidR="00B026DA" w:rsidRPr="00A96204" w:rsidRDefault="00B026DA" w:rsidP="005410B8">
      <w:pPr>
        <w:pStyle w:val="FootnoteText"/>
        <w:spacing w:before="0" w:after="0" w:line="240" w:lineRule="auto"/>
        <w:rPr>
          <w:rFonts w:cs="Arial"/>
          <w:sz w:val="20"/>
        </w:rPr>
      </w:pPr>
      <w:r w:rsidRPr="00A96204">
        <w:rPr>
          <w:rStyle w:val="FootnoteReference"/>
          <w:rFonts w:cs="Arial"/>
          <w:sz w:val="20"/>
        </w:rPr>
        <w:footnoteRef/>
      </w:r>
      <w:r w:rsidRPr="00A96204">
        <w:rPr>
          <w:rFonts w:cs="Arial"/>
          <w:sz w:val="20"/>
        </w:rPr>
        <w:t xml:space="preserve"> Ibid [143].</w:t>
      </w:r>
    </w:p>
  </w:footnote>
  <w:footnote w:id="104">
    <w:p w14:paraId="2FFD37C9" w14:textId="4DD6048C"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w:t>
      </w:r>
      <w:r w:rsidRPr="00914231">
        <w:rPr>
          <w:rFonts w:cs="Arial"/>
          <w:i/>
          <w:sz w:val="20"/>
          <w:szCs w:val="20"/>
        </w:rPr>
        <w:t>Charter of Human Rights and Responsibilities Act 2006</w:t>
      </w:r>
      <w:r>
        <w:rPr>
          <w:rFonts w:cs="Arial"/>
          <w:sz w:val="20"/>
          <w:szCs w:val="20"/>
        </w:rPr>
        <w:t xml:space="preserve"> (Vic)</w:t>
      </w:r>
      <w:r w:rsidRPr="00A96204">
        <w:rPr>
          <w:rFonts w:cs="Arial"/>
          <w:sz w:val="20"/>
          <w:szCs w:val="20"/>
        </w:rPr>
        <w:t>, s 44</w:t>
      </w:r>
      <w:r w:rsidRPr="00A96204">
        <w:rPr>
          <w:rFonts w:cs="Arial"/>
          <w:sz w:val="20"/>
          <w:szCs w:val="20"/>
          <w:lang w:eastAsia="en-AU"/>
        </w:rPr>
        <w:t>.</w:t>
      </w:r>
    </w:p>
  </w:footnote>
  <w:footnote w:id="105">
    <w:p w14:paraId="2051EEC4" w14:textId="55D4BAAC" w:rsidR="00B026DA" w:rsidRPr="00A96204" w:rsidRDefault="00B026DA" w:rsidP="005410B8">
      <w:pPr>
        <w:pStyle w:val="TableNote"/>
        <w:spacing w:before="0" w:after="0" w:line="240" w:lineRule="auto"/>
        <w:rPr>
          <w:rFonts w:cs="Arial"/>
          <w:sz w:val="20"/>
          <w:szCs w:val="20"/>
        </w:rPr>
      </w:pPr>
      <w:r w:rsidRPr="00A96204">
        <w:rPr>
          <w:rStyle w:val="FootnoteReference"/>
          <w:rFonts w:cs="Arial"/>
          <w:sz w:val="20"/>
          <w:szCs w:val="20"/>
        </w:rPr>
        <w:footnoteRef/>
      </w:r>
      <w:r w:rsidRPr="00A96204">
        <w:rPr>
          <w:rFonts w:cs="Arial"/>
          <w:sz w:val="20"/>
          <w:szCs w:val="20"/>
        </w:rPr>
        <w:t xml:space="preserve"> Ibid s 45</w:t>
      </w:r>
      <w:r w:rsidRPr="00A96204">
        <w:rPr>
          <w:rFonts w:cs="Arial"/>
          <w:sz w:val="20"/>
          <w:szCs w:val="20"/>
          <w:lang w:eastAsia="en-AU"/>
        </w:rPr>
        <w:t>.</w:t>
      </w:r>
    </w:p>
  </w:footnote>
  <w:footnote w:id="106">
    <w:p w14:paraId="672721D2" w14:textId="5D0A3C83" w:rsidR="00B026DA" w:rsidRDefault="00B026DA" w:rsidP="005410B8">
      <w:pPr>
        <w:pStyle w:val="FootnoteText"/>
        <w:spacing w:before="0" w:after="0" w:line="240" w:lineRule="auto"/>
      </w:pPr>
      <w:r>
        <w:rPr>
          <w:rStyle w:val="FootnoteReference"/>
        </w:rPr>
        <w:footnoteRef/>
      </w:r>
      <w:r>
        <w:t xml:space="preserve"> This table includes published decisions reports at www.austlii.edu.au. Not all court and tribunal decision are reported on </w:t>
      </w:r>
      <w:proofErr w:type="spellStart"/>
      <w:r>
        <w:t>Austlii</w:t>
      </w:r>
      <w:proofErr w:type="spellEnd"/>
      <w:r>
        <w:t xml:space="preserve"> (</w:t>
      </w:r>
      <w:r w:rsidRPr="0094269E">
        <w:t>Australasian Legal Information Institute</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056B5" w14:textId="77777777" w:rsidR="00B026DA" w:rsidRDefault="00B026DA" w:rsidP="00DE1791">
    <w:pPr>
      <w:pStyle w:val="Header"/>
    </w:pPr>
    <w:r>
      <w:rPr>
        <w:noProof/>
        <w:lang w:val="en-GB" w:eastAsia="en-GB"/>
      </w:rPr>
      <mc:AlternateContent>
        <mc:Choice Requires="wps">
          <w:drawing>
            <wp:anchor distT="0" distB="0" distL="114300" distR="114300" simplePos="0" relativeHeight="251670528" behindDoc="0" locked="0" layoutInCell="1" allowOverlap="1" wp14:anchorId="26F54F10" wp14:editId="2BE6E8C3">
              <wp:simplePos x="0" y="0"/>
              <wp:positionH relativeFrom="page">
                <wp:align>left</wp:align>
              </wp:positionH>
              <wp:positionV relativeFrom="paragraph">
                <wp:posOffset>4567894</wp:posOffset>
              </wp:positionV>
              <wp:extent cx="7658100" cy="5166360"/>
              <wp:effectExtent l="0" t="0" r="1905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BECBF" id="Rectangle 7" o:spid="_x0000_s1026" style="position:absolute;margin-left:0;margin-top:359.7pt;width:603pt;height:406.8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" fillcolor="#f3f4ea">
              <w10:wrap anchorx="page"/>
            </v:rect>
          </w:pict>
        </mc:Fallback>
      </mc:AlternateContent>
    </w:r>
    <w:r w:rsidRPr="00E41201">
      <w:rPr>
        <w:noProof/>
        <w:lang w:val="en-GB" w:eastAsia="en-GB"/>
      </w:rPr>
      <mc:AlternateContent>
        <mc:Choice Requires="wps">
          <w:drawing>
            <wp:anchor distT="0" distB="0" distL="114300" distR="114300" simplePos="0" relativeHeight="251669504" behindDoc="0" locked="0" layoutInCell="1" allowOverlap="1" wp14:anchorId="547C5369" wp14:editId="4098C36D">
              <wp:simplePos x="0" y="0"/>
              <wp:positionH relativeFrom="page">
                <wp:align>left</wp:align>
              </wp:positionH>
              <wp:positionV relativeFrom="paragraph">
                <wp:posOffset>-456414</wp:posOffset>
              </wp:positionV>
              <wp:extent cx="7658100" cy="5029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48479" id="Rectangle 6" o:spid="_x0000_s1026" style="position:absolute;margin-left:0;margin-top:-35.9pt;width:603pt;height:396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" fillcolor="#00a5e6" stroked="f">
              <w10:wrap anchorx="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95E1D" w14:textId="77777777" w:rsidR="00B026DA" w:rsidRPr="00C12273" w:rsidRDefault="00B026DA" w:rsidP="003F304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C7170" w14:textId="77777777" w:rsidR="00B026DA" w:rsidRDefault="00B026DA" w:rsidP="003F304C">
    <w:pPr>
      <w:pStyle w:val="Header"/>
    </w:pPr>
    <w:r>
      <w:rPr>
        <w:noProof/>
        <w:lang w:val="en-GB" w:eastAsia="en-GB"/>
      </w:rPr>
      <w:drawing>
        <wp:anchor distT="0" distB="0" distL="114300" distR="114300" simplePos="0" relativeHeight="251674624" behindDoc="1" locked="0" layoutInCell="1" allowOverlap="1" wp14:anchorId="43F5E7BE" wp14:editId="4BC84EDF">
          <wp:simplePos x="0" y="0"/>
          <wp:positionH relativeFrom="column">
            <wp:posOffset>-914400</wp:posOffset>
          </wp:positionH>
          <wp:positionV relativeFrom="page">
            <wp:posOffset>48895</wp:posOffset>
          </wp:positionV>
          <wp:extent cx="7560000" cy="10692000"/>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7C020" w14:textId="77777777" w:rsidR="00B026DA" w:rsidRPr="00C12273" w:rsidRDefault="00B026DA" w:rsidP="005B74F5">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E7E3A" w14:textId="77777777" w:rsidR="00B026DA" w:rsidRDefault="00B026DA" w:rsidP="005B74F5">
    <w:pPr>
      <w:pStyle w:val="Header"/>
    </w:pPr>
    <w:r>
      <w:rPr>
        <w:noProof/>
        <w:lang w:val="en-GB" w:eastAsia="en-GB"/>
      </w:rPr>
      <w:drawing>
        <wp:anchor distT="0" distB="0" distL="114300" distR="114300" simplePos="0" relativeHeight="251663360" behindDoc="1" locked="0" layoutInCell="1" allowOverlap="1" wp14:anchorId="5B21C88D" wp14:editId="3A179E6B">
          <wp:simplePos x="0" y="0"/>
          <wp:positionH relativeFrom="column">
            <wp:posOffset>-914400</wp:posOffset>
          </wp:positionH>
          <wp:positionV relativeFrom="page">
            <wp:posOffset>48895</wp:posOffset>
          </wp:positionV>
          <wp:extent cx="7560000" cy="10692000"/>
          <wp:effectExtent l="0" t="0" r="9525"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766455A"/>
    <w:lvl w:ilvl="0">
      <w:start w:val="1"/>
      <w:numFmt w:val="bullet"/>
      <w:pStyle w:val="ListBullet5"/>
      <w:lvlText w:val=""/>
      <w:lvlJc w:val="left"/>
      <w:pPr>
        <w:tabs>
          <w:tab w:val="num" w:pos="18219"/>
        </w:tabs>
        <w:ind w:left="18219" w:hanging="360"/>
      </w:pPr>
      <w:rPr>
        <w:rFonts w:ascii="Symbol" w:hAnsi="Symbol" w:hint="default"/>
      </w:rPr>
    </w:lvl>
  </w:abstractNum>
  <w:abstractNum w:abstractNumId="1">
    <w:nsid w:val="FFFFFF81"/>
    <w:multiLevelType w:val="singleLevel"/>
    <w:tmpl w:val="98BE5D88"/>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06EE1077"/>
    <w:multiLevelType w:val="hybridMultilevel"/>
    <w:tmpl w:val="520E7608"/>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731221B"/>
    <w:multiLevelType w:val="multilevel"/>
    <w:tmpl w:val="54B62ED8"/>
    <w:styleLink w:val="BulletList"/>
    <w:lvl w:ilvl="0">
      <w:start w:val="1"/>
      <w:numFmt w:val="bullet"/>
      <w:lvlRestart w:val="0"/>
      <w:lvlText w:val=""/>
      <w:lvlJc w:val="left"/>
      <w:pPr>
        <w:tabs>
          <w:tab w:val="num" w:pos="567"/>
        </w:tabs>
        <w:ind w:left="567" w:hanging="567"/>
      </w:pPr>
      <w:rPr>
        <w:rFonts w:ascii="Symbol" w:hAnsi="Symbol" w:hint="default"/>
        <w:b w:val="0"/>
        <w:i w:val="0"/>
        <w:color w:val="auto"/>
      </w:rPr>
    </w:lvl>
    <w:lvl w:ilvl="1">
      <w:start w:val="1"/>
      <w:numFmt w:val="bullet"/>
      <w:lvlText w:val="–"/>
      <w:lvlJc w:val="left"/>
      <w:pPr>
        <w:tabs>
          <w:tab w:val="num" w:pos="1134"/>
        </w:tabs>
        <w:ind w:left="1134" w:hanging="567"/>
      </w:pPr>
      <w:rPr>
        <w:rFonts w:ascii="Arial" w:hAnsi="Arial" w:hint="default"/>
        <w:b w:val="0"/>
        <w:i w:val="0"/>
        <w:color w:val="auto"/>
      </w:rPr>
    </w:lvl>
    <w:lvl w:ilvl="2">
      <w:start w:val="1"/>
      <w:numFmt w:val="bullet"/>
      <w:lvlText w:val="o"/>
      <w:lvlJc w:val="left"/>
      <w:pPr>
        <w:tabs>
          <w:tab w:val="num" w:pos="1701"/>
        </w:tabs>
        <w:ind w:left="1701" w:hanging="567"/>
      </w:pPr>
      <w:rPr>
        <w:rFonts w:ascii="Arial" w:hAnsi="Arial" w:hint="default"/>
        <w:b w:val="0"/>
        <w:i w:val="0"/>
        <w:color w:val="auto"/>
        <w:sz w:val="10"/>
        <w:szCs w:val="10"/>
      </w:rPr>
    </w:lvl>
    <w:lvl w:ilvl="3">
      <w:start w:val="1"/>
      <w:numFmt w:val="bullet"/>
      <w:lvlText w:val=""/>
      <w:lvlJc w:val="left"/>
      <w:pPr>
        <w:tabs>
          <w:tab w:val="num" w:pos="2268"/>
        </w:tabs>
        <w:ind w:left="2268" w:hanging="567"/>
      </w:pPr>
      <w:rPr>
        <w:rFonts w:ascii="Wingdings" w:hAnsi="Wingdings" w:hint="default"/>
        <w:b w:val="0"/>
        <w:i w:val="0"/>
        <w:color w:val="auto"/>
        <w:sz w:val="10"/>
        <w:szCs w:val="10"/>
      </w:rPr>
    </w:lvl>
    <w:lvl w:ilvl="4">
      <w:start w:val="1"/>
      <w:numFmt w:val="none"/>
      <w:lvlText w:val="%5"/>
      <w:lvlJc w:val="left"/>
      <w:pPr>
        <w:tabs>
          <w:tab w:val="num" w:pos="0"/>
        </w:tabs>
        <w:ind w:left="0" w:firstLine="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4">
    <w:nsid w:val="08112352"/>
    <w:multiLevelType w:val="multilevel"/>
    <w:tmpl w:val="8CEA6DAA"/>
    <w:name w:val="Bullets"/>
    <w:styleLink w:val="Bullets"/>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567"/>
        </w:tabs>
        <w:ind w:left="568" w:hanging="284"/>
      </w:pPr>
      <w:rPr>
        <w:rFonts w:ascii="Arial" w:hAnsi="Arial" w:hint="default"/>
        <w:color w:val="auto"/>
      </w:rPr>
    </w:lvl>
    <w:lvl w:ilvl="2">
      <w:start w:val="1"/>
      <w:numFmt w:val="bullet"/>
      <w:pStyle w:val="Bullet3"/>
      <w:lvlText w:val="◦"/>
      <w:lvlJc w:val="left"/>
      <w:pPr>
        <w:tabs>
          <w:tab w:val="num" w:pos="851"/>
        </w:tabs>
        <w:ind w:left="852" w:hanging="284"/>
      </w:pPr>
      <w:rPr>
        <w:rFonts w:ascii="Georgia" w:hAnsi="Georgia" w:hint="default"/>
        <w:color w:val="auto"/>
      </w:rPr>
    </w:lvl>
    <w:lvl w:ilvl="3">
      <w:start w:val="1"/>
      <w:numFmt w:val="bullet"/>
      <w:pStyle w:val="Bullet4"/>
      <w:lvlText w:val=""/>
      <w:lvlJc w:val="left"/>
      <w:pPr>
        <w:tabs>
          <w:tab w:val="num" w:pos="1134"/>
        </w:tabs>
        <w:ind w:left="1136" w:hanging="284"/>
      </w:pPr>
      <w:rPr>
        <w:rFonts w:ascii="Symbol" w:hAnsi="Symbol" w:hint="default"/>
        <w:color w:val="auto"/>
      </w:rPr>
    </w:lvl>
    <w:lvl w:ilvl="4">
      <w:start w:val="1"/>
      <w:numFmt w:val="lowerLetter"/>
      <w:lvlText w:val="(%5)"/>
      <w:lvlJc w:val="left"/>
      <w:pPr>
        <w:tabs>
          <w:tab w:val="num" w:pos="1418"/>
        </w:tabs>
        <w:ind w:left="1420" w:hanging="284"/>
      </w:pPr>
      <w:rPr>
        <w:rFonts w:hint="default"/>
      </w:rPr>
    </w:lvl>
    <w:lvl w:ilvl="5">
      <w:start w:val="1"/>
      <w:numFmt w:val="lowerRoman"/>
      <w:lvlText w:val="(%6)"/>
      <w:lvlJc w:val="left"/>
      <w:pPr>
        <w:tabs>
          <w:tab w:val="num" w:pos="1701"/>
        </w:tabs>
        <w:ind w:left="1701" w:hanging="281"/>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5">
    <w:nsid w:val="084F7801"/>
    <w:multiLevelType w:val="multilevel"/>
    <w:tmpl w:val="904AEB3A"/>
    <w:numStyleLink w:val="TableListNumbermaster"/>
  </w:abstractNum>
  <w:abstractNum w:abstractNumId="6">
    <w:nsid w:val="0880361A"/>
    <w:multiLevelType w:val="multilevel"/>
    <w:tmpl w:val="78FE4636"/>
    <w:lvl w:ilvl="0">
      <w:start w:val="1"/>
      <w:numFmt w:val="bullet"/>
      <w:lvlText w:val=""/>
      <w:lvlJc w:val="left"/>
      <w:pPr>
        <w:ind w:left="340" w:hanging="283"/>
      </w:pPr>
      <w:rPr>
        <w:rFonts w:ascii="Symbol" w:hAnsi="Symbol" w:hint="default"/>
        <w:color w:val="auto"/>
      </w:rPr>
    </w:lvl>
    <w:lvl w:ilvl="1">
      <w:start w:val="1"/>
      <w:numFmt w:val="bullet"/>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nsid w:val="0A0A57B1"/>
    <w:multiLevelType w:val="hybridMultilevel"/>
    <w:tmpl w:val="EA127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AA76AE0"/>
    <w:multiLevelType w:val="hybridMultilevel"/>
    <w:tmpl w:val="352EB4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0CCD50A5"/>
    <w:multiLevelType w:val="multilevel"/>
    <w:tmpl w:val="38A8CCB8"/>
    <w:styleLink w:val="AppendixHeadings"/>
    <w:lvl w:ilvl="0">
      <w:start w:val="1"/>
      <w:numFmt w:val="upperRoman"/>
      <w:lvlText w:val="%1."/>
      <w:lvlJc w:val="left"/>
      <w:pPr>
        <w:ind w:left="0" w:firstLine="0"/>
      </w:pPr>
      <w:rPr>
        <w:rFonts w:ascii="Calibri" w:hAnsi="Calibri" w:hint="default"/>
        <w:color w:val="172983"/>
        <w:sz w:val="36"/>
      </w:rPr>
    </w:lvl>
    <w:lvl w:ilvl="1">
      <w:start w:val="1"/>
      <w:numFmt w:val="upperLetter"/>
      <w:lvlText w:val="%2."/>
      <w:lvlJc w:val="left"/>
      <w:pPr>
        <w:ind w:left="0" w:firstLine="0"/>
      </w:pPr>
      <w:rPr>
        <w:rFonts w:asciiTheme="minorHAnsi" w:hAnsiTheme="minorHAnsi" w:hint="default"/>
        <w:color w:val="172983"/>
        <w:sz w:val="32"/>
      </w:rPr>
    </w:lvl>
    <w:lvl w:ilvl="2">
      <w:start w:val="1"/>
      <w:numFmt w:val="lowerRoman"/>
      <w:lvlText w:val="%3."/>
      <w:lvlJc w:val="right"/>
      <w:pPr>
        <w:ind w:left="5400" w:hanging="180"/>
      </w:pPr>
      <w:rPr>
        <w:rFonts w:hint="default"/>
      </w:rPr>
    </w:lvl>
    <w:lvl w:ilvl="3">
      <w:start w:val="1"/>
      <w:numFmt w:val="decimal"/>
      <w:lvlText w:val="%4."/>
      <w:lvlJc w:val="left"/>
      <w:pPr>
        <w:ind w:left="6120" w:hanging="360"/>
      </w:pPr>
      <w:rPr>
        <w:rFonts w:hint="default"/>
      </w:rPr>
    </w:lvl>
    <w:lvl w:ilvl="4">
      <w:start w:val="1"/>
      <w:numFmt w:val="lowerLetter"/>
      <w:lvlText w:val="%5."/>
      <w:lvlJc w:val="left"/>
      <w:pPr>
        <w:ind w:left="6840" w:hanging="360"/>
      </w:pPr>
      <w:rPr>
        <w:rFonts w:hint="default"/>
      </w:rPr>
    </w:lvl>
    <w:lvl w:ilvl="5">
      <w:start w:val="1"/>
      <w:numFmt w:val="lowerRoman"/>
      <w:lvlText w:val="%6."/>
      <w:lvlJc w:val="right"/>
      <w:pPr>
        <w:ind w:left="7560" w:hanging="180"/>
      </w:pPr>
      <w:rPr>
        <w:rFonts w:hint="default"/>
      </w:rPr>
    </w:lvl>
    <w:lvl w:ilvl="6">
      <w:start w:val="1"/>
      <w:numFmt w:val="decimal"/>
      <w:lvlText w:val="%7."/>
      <w:lvlJc w:val="left"/>
      <w:pPr>
        <w:ind w:left="8280" w:hanging="360"/>
      </w:pPr>
      <w:rPr>
        <w:rFonts w:hint="default"/>
      </w:rPr>
    </w:lvl>
    <w:lvl w:ilvl="7">
      <w:start w:val="1"/>
      <w:numFmt w:val="lowerLetter"/>
      <w:lvlText w:val="%8."/>
      <w:lvlJc w:val="left"/>
      <w:pPr>
        <w:ind w:left="9000" w:hanging="360"/>
      </w:pPr>
      <w:rPr>
        <w:rFonts w:hint="default"/>
      </w:rPr>
    </w:lvl>
    <w:lvl w:ilvl="8">
      <w:start w:val="1"/>
      <w:numFmt w:val="lowerRoman"/>
      <w:lvlText w:val="%9."/>
      <w:lvlJc w:val="right"/>
      <w:pPr>
        <w:ind w:left="9720" w:hanging="180"/>
      </w:pPr>
      <w:rPr>
        <w:rFonts w:hint="default"/>
      </w:rPr>
    </w:lvl>
  </w:abstractNum>
  <w:abstractNum w:abstractNumId="11">
    <w:nsid w:val="0F167765"/>
    <w:multiLevelType w:val="multilevel"/>
    <w:tmpl w:val="35266F38"/>
    <w:styleLink w:val="AppendixHeadingmaster"/>
    <w:lvl w:ilvl="0">
      <w:start w:val="1"/>
      <w:numFmt w:val="upperLetter"/>
      <w:pStyle w:val="AppendixHeading1"/>
      <w:lvlText w:val="Appendix %1"/>
      <w:lvlJc w:val="left"/>
      <w:pPr>
        <w:ind w:left="2325" w:hanging="2325"/>
      </w:pPr>
      <w:rPr>
        <w:rFonts w:ascii="Arial" w:hAnsi="Arial" w:hint="default"/>
        <w:b w:val="0"/>
        <w:i w:val="0"/>
        <w:color w:val="auto"/>
        <w:sz w:val="48"/>
      </w:rPr>
    </w:lvl>
    <w:lvl w:ilvl="1">
      <w:start w:val="1"/>
      <w:numFmt w:val="decimal"/>
      <w:pStyle w:val="AppendixHeading2"/>
      <w:lvlText w:val="%1.%2."/>
      <w:lvlJc w:val="left"/>
      <w:pPr>
        <w:ind w:left="1021" w:hanging="1021"/>
      </w:pPr>
      <w:rPr>
        <w:rFonts w:hint="default"/>
        <w:b/>
        <w:i w:val="0"/>
        <w:sz w:val="36"/>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753D77"/>
    <w:multiLevelType w:val="multilevel"/>
    <w:tmpl w:val="442A7A30"/>
    <w:styleLink w:val="Headingsmaster"/>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382326"/>
    <w:multiLevelType w:val="hybridMultilevel"/>
    <w:tmpl w:val="9ED4955C"/>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1597FB2"/>
    <w:multiLevelType w:val="multilevel"/>
    <w:tmpl w:val="5EDC86A8"/>
    <w:lvl w:ilvl="0">
      <w:start w:val="1"/>
      <w:numFmt w:val="bullet"/>
      <w:lvlText w:val=""/>
      <w:lvlJc w:val="left"/>
      <w:pPr>
        <w:ind w:left="340" w:hanging="283"/>
      </w:pPr>
      <w:rPr>
        <w:rFonts w:ascii="Symbol" w:hAnsi="Symbol" w:hint="default"/>
        <w:color w:val="auto"/>
      </w:rPr>
    </w:lvl>
    <w:lvl w:ilvl="1">
      <w:start w:val="1"/>
      <w:numFmt w:val="bullet"/>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0"/>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7FB6F5D"/>
    <w:multiLevelType w:val="multilevel"/>
    <w:tmpl w:val="540CA368"/>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9F60073"/>
    <w:multiLevelType w:val="multilevel"/>
    <w:tmpl w:val="016870D0"/>
    <w:lvl w:ilvl="0">
      <w:start w:val="1"/>
      <w:numFmt w:val="bullet"/>
      <w:pStyle w:val="TableNumberedList1"/>
      <w:lvlText w:val=""/>
      <w:lvlJc w:val="left"/>
      <w:pPr>
        <w:tabs>
          <w:tab w:val="num" w:pos="283"/>
        </w:tabs>
        <w:ind w:left="284" w:hanging="284"/>
      </w:pPr>
      <w:rPr>
        <w:rFonts w:ascii="Symbol" w:hAnsi="Symbol" w:hint="default"/>
        <w:b w:val="0"/>
        <w:i w:val="0"/>
        <w:color w:val="auto"/>
        <w:sz w:val="20"/>
      </w:rPr>
    </w:lvl>
    <w:lvl w:ilvl="1">
      <w:start w:val="1"/>
      <w:numFmt w:val="lowerLetter"/>
      <w:lvlRestart w:val="0"/>
      <w:pStyle w:val="TableNumberedList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3"/>
      <w:lvlText w:val="%3"/>
      <w:lvlJc w:val="left"/>
      <w:pPr>
        <w:tabs>
          <w:tab w:val="num" w:pos="851"/>
        </w:tabs>
        <w:ind w:left="851" w:hanging="284"/>
      </w:pPr>
      <w:rPr>
        <w:rFonts w:ascii="Arial" w:hAnsi="Arial"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0">
    <w:nsid w:val="2BDC4A7E"/>
    <w:multiLevelType w:val="multilevel"/>
    <w:tmpl w:val="35266F38"/>
    <w:numStyleLink w:val="AppendixHeadingmaster"/>
  </w:abstractNum>
  <w:abstractNum w:abstractNumId="21">
    <w:nsid w:val="2CE17AA1"/>
    <w:multiLevelType w:val="hybridMultilevel"/>
    <w:tmpl w:val="A0B6E9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2D9328E2"/>
    <w:multiLevelType w:val="multilevel"/>
    <w:tmpl w:val="69C6531C"/>
    <w:styleLink w:val="ListNumbermaster"/>
    <w:lvl w:ilvl="0">
      <w:start w:val="1"/>
      <w:numFmt w:val="decimal"/>
      <w:pStyle w:val="ListNumber"/>
      <w:lvlText w:val="%1."/>
      <w:lvlJc w:val="left"/>
      <w:pPr>
        <w:ind w:left="360" w:hanging="360"/>
      </w:pPr>
      <w:rPr>
        <w:rFonts w:ascii="Arial" w:hAnsi="Arial" w:hint="default"/>
        <w:color w:val="auto"/>
        <w:sz w:val="24"/>
      </w:rPr>
    </w:lvl>
    <w:lvl w:ilvl="1">
      <w:start w:val="1"/>
      <w:numFmt w:val="lowerLetter"/>
      <w:pStyle w:val="ListNumber2"/>
      <w:lvlText w:val="%2."/>
      <w:lvlJc w:val="left"/>
      <w:pPr>
        <w:ind w:left="720" w:hanging="360"/>
      </w:pPr>
      <w:rPr>
        <w:rFonts w:ascii="Arial" w:hAnsi="Arial" w:hint="default"/>
        <w:color w:val="auto"/>
        <w:sz w:val="24"/>
      </w:rPr>
    </w:lvl>
    <w:lvl w:ilvl="2">
      <w:start w:val="1"/>
      <w:numFmt w:val="lowerRoman"/>
      <w:pStyle w:val="ListNumber3"/>
      <w:lvlText w:val="%3."/>
      <w:lvlJc w:val="left"/>
      <w:pPr>
        <w:ind w:left="1080" w:hanging="360"/>
      </w:pPr>
      <w:rPr>
        <w:rFonts w:ascii="Arial" w:hAnsi="Arial" w:hint="default"/>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DEE5121"/>
    <w:multiLevelType w:val="multilevel"/>
    <w:tmpl w:val="40186B4C"/>
    <w:lvl w:ilvl="0">
      <w:start w:val="1"/>
      <w:numFmt w:val="bullet"/>
      <w:lvlText w:val=""/>
      <w:lvlJc w:val="left"/>
      <w:pPr>
        <w:ind w:left="340" w:hanging="283"/>
      </w:pPr>
      <w:rPr>
        <w:rFonts w:ascii="Symbol" w:hAnsi="Symbol" w:hint="default"/>
        <w:color w:val="auto"/>
      </w:rPr>
    </w:lvl>
    <w:lvl w:ilvl="1">
      <w:start w:val="1"/>
      <w:numFmt w:val="bullet"/>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E203511"/>
    <w:multiLevelType w:val="hybridMultilevel"/>
    <w:tmpl w:val="1F2AD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E3D1375"/>
    <w:multiLevelType w:val="hybridMultilevel"/>
    <w:tmpl w:val="75444E5C"/>
    <w:lvl w:ilvl="0" w:tplc="B8A8B732">
      <w:start w:val="1"/>
      <w:numFmt w:val="bullet"/>
      <w:pStyle w:val="VEOHRCList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2F7C680B"/>
    <w:multiLevelType w:val="hybridMultilevel"/>
    <w:tmpl w:val="520E7608"/>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31CB661F"/>
    <w:multiLevelType w:val="multilevel"/>
    <w:tmpl w:val="4CEC827C"/>
    <w:styleLink w:val="ReportHeadings"/>
    <w:lvl w:ilvl="0">
      <w:start w:val="1"/>
      <w:numFmt w:val="upperRoman"/>
      <w:lvlText w:val="%1."/>
      <w:lvlJc w:val="left"/>
      <w:pPr>
        <w:ind w:left="1275" w:hanging="567"/>
      </w:pPr>
      <w:rPr>
        <w:rFonts w:asciiTheme="minorHAnsi" w:hAnsiTheme="minorHAnsi" w:hint="default"/>
        <w:b/>
        <w:i w:val="0"/>
        <w:strike w:val="0"/>
        <w:dstrike w:val="0"/>
        <w:vanish w:val="0"/>
        <w:color w:val="172983"/>
        <w:sz w:val="40"/>
        <w:vertAlign w:val="baseline"/>
      </w:rPr>
    </w:lvl>
    <w:lvl w:ilvl="1">
      <w:start w:val="1"/>
      <w:numFmt w:val="upperLetter"/>
      <w:lvlText w:val="%2."/>
      <w:lvlJc w:val="left"/>
      <w:pPr>
        <w:ind w:left="567" w:hanging="567"/>
      </w:pPr>
      <w:rPr>
        <w:rFonts w:asciiTheme="minorHAnsi" w:hAnsiTheme="minorHAnsi" w:hint="default"/>
        <w:b/>
        <w:bCs/>
        <w:i w:val="0"/>
        <w:iCs w:val="0"/>
        <w:caps w:val="0"/>
        <w:smallCaps w:val="0"/>
        <w:strike w:val="0"/>
        <w:dstrike w:val="0"/>
        <w:vanish w:val="0"/>
        <w:color w:val="172983"/>
        <w:spacing w:val="0"/>
        <w:kern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lowerRoman"/>
      <w:lvlText w:val="%3."/>
      <w:lvlJc w:val="left"/>
      <w:pPr>
        <w:tabs>
          <w:tab w:val="num" w:pos="1106"/>
        </w:tabs>
        <w:ind w:left="567" w:hanging="567"/>
      </w:pPr>
      <w:rPr>
        <w:rFonts w:asciiTheme="minorHAnsi" w:hAnsiTheme="minorHAnsi" w:hint="default"/>
        <w:b/>
        <w:color w:val="172983"/>
        <w:sz w:val="32"/>
      </w:rPr>
    </w:lvl>
    <w:lvl w:ilvl="3">
      <w:start w:val="1"/>
      <w:numFmt w:val="none"/>
      <w:lvlText w:val=""/>
      <w:lvlJc w:val="left"/>
      <w:pPr>
        <w:tabs>
          <w:tab w:val="num" w:pos="284"/>
        </w:tabs>
        <w:ind w:left="284" w:firstLine="0"/>
      </w:pPr>
      <w:rPr>
        <w:rFonts w:asciiTheme="minorHAnsi" w:hAnsiTheme="minorHAnsi" w:hint="default"/>
        <w:i/>
        <w:color w:val="172983"/>
        <w:sz w:val="28"/>
      </w:rPr>
    </w:lvl>
    <w:lvl w:ilvl="4">
      <w:start w:val="1"/>
      <w:numFmt w:val="none"/>
      <w:lvlText w:val=""/>
      <w:lvlJc w:val="left"/>
      <w:pPr>
        <w:tabs>
          <w:tab w:val="num" w:pos="284"/>
        </w:tabs>
        <w:ind w:left="284" w:firstLine="0"/>
      </w:pPr>
      <w:rPr>
        <w:rFonts w:hint="default"/>
      </w:rPr>
    </w:lvl>
    <w:lvl w:ilvl="5">
      <w:start w:val="1"/>
      <w:numFmt w:val="none"/>
      <w:lvlText w:val=""/>
      <w:lvlJc w:val="left"/>
      <w:pPr>
        <w:tabs>
          <w:tab w:val="num" w:pos="284"/>
        </w:tabs>
        <w:ind w:left="284" w:firstLine="0"/>
      </w:pPr>
      <w:rPr>
        <w:rFonts w:hint="default"/>
      </w:rPr>
    </w:lvl>
    <w:lvl w:ilvl="6">
      <w:start w:val="1"/>
      <w:numFmt w:val="none"/>
      <w:lvlText w:val=""/>
      <w:lvlJc w:val="left"/>
      <w:pPr>
        <w:tabs>
          <w:tab w:val="num" w:pos="284"/>
        </w:tabs>
        <w:ind w:left="284" w:firstLine="0"/>
      </w:pPr>
      <w:rPr>
        <w:rFonts w:hint="default"/>
      </w:rPr>
    </w:lvl>
    <w:lvl w:ilvl="7">
      <w:start w:val="1"/>
      <w:numFmt w:val="none"/>
      <w:lvlText w:val=""/>
      <w:lvlJc w:val="left"/>
      <w:pPr>
        <w:tabs>
          <w:tab w:val="num" w:pos="284"/>
        </w:tabs>
        <w:ind w:left="284" w:firstLine="0"/>
      </w:pPr>
      <w:rPr>
        <w:rFonts w:hint="default"/>
      </w:rPr>
    </w:lvl>
    <w:lvl w:ilvl="8">
      <w:start w:val="1"/>
      <w:numFmt w:val="none"/>
      <w:lvlText w:val=""/>
      <w:lvlJc w:val="left"/>
      <w:pPr>
        <w:tabs>
          <w:tab w:val="num" w:pos="284"/>
        </w:tabs>
        <w:ind w:left="284" w:firstLine="0"/>
      </w:pPr>
      <w:rPr>
        <w:rFonts w:hint="default"/>
      </w:rPr>
    </w:lvl>
  </w:abstractNum>
  <w:abstractNum w:abstractNumId="28">
    <w:nsid w:val="338E0256"/>
    <w:multiLevelType w:val="hybridMultilevel"/>
    <w:tmpl w:val="E96208CC"/>
    <w:lvl w:ilvl="0" w:tplc="BBD0B9EC">
      <w:start w:val="1"/>
      <w:numFmt w:val="lowerLetter"/>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29">
    <w:nsid w:val="33C41275"/>
    <w:multiLevelType w:val="hybridMultilevel"/>
    <w:tmpl w:val="9ED4955C"/>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45C4292E"/>
    <w:multiLevelType w:val="hybridMultilevel"/>
    <w:tmpl w:val="9ED4955C"/>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47D50479"/>
    <w:multiLevelType w:val="multilevel"/>
    <w:tmpl w:val="28E66356"/>
    <w:styleLink w:val="ListAlphanumericmaster"/>
    <w:lvl w:ilvl="0">
      <w:start w:val="1"/>
      <w:numFmt w:val="lowerLetter"/>
      <w:pStyle w:val="MRQuestionText"/>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81D40AD"/>
    <w:multiLevelType w:val="multilevel"/>
    <w:tmpl w:val="F59A9740"/>
    <w:lvl w:ilvl="0">
      <w:start w:val="1"/>
      <w:numFmt w:val="decimal"/>
      <w:pStyle w:val="SingleOptionQuestionText"/>
      <w:lvlText w:val="%1"/>
      <w:lvlJc w:val="left"/>
      <w:pPr>
        <w:ind w:left="360" w:hanging="360"/>
      </w:pPr>
      <w:rPr>
        <w:rFonts w:hint="default"/>
        <w:color w:val="auto"/>
      </w:rPr>
    </w:lvl>
    <w:lvl w:ilvl="1">
      <w:start w:val="1"/>
      <w:numFmt w:val="decimal"/>
      <w:pStyle w:val="ValueLabel"/>
      <w:lvlText w:val="%2"/>
      <w:lvlJc w:val="left"/>
      <w:pPr>
        <w:ind w:left="792" w:hanging="432"/>
      </w:pPr>
      <w:rPr>
        <w:rFonts w:hint="default"/>
      </w:rPr>
    </w:lvl>
    <w:lvl w:ilvl="2">
      <w:start w:val="1"/>
      <w:numFmt w:val="lowerLetter"/>
      <w:lvlRestart w:val="1"/>
      <w:pStyle w:val="GridLabel"/>
      <w:lvlText w:val="%3"/>
      <w:lvlJc w:val="left"/>
      <w:pPr>
        <w:ind w:left="1350"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AEA3074"/>
    <w:multiLevelType w:val="multilevel"/>
    <w:tmpl w:val="F8520542"/>
    <w:lvl w:ilvl="0">
      <w:start w:val="1"/>
      <w:numFmt w:val="bullet"/>
      <w:lvlText w:val=""/>
      <w:lvlJc w:val="left"/>
      <w:pPr>
        <w:ind w:left="340" w:hanging="283"/>
      </w:pPr>
      <w:rPr>
        <w:rFonts w:ascii="Symbol" w:hAnsi="Symbol" w:hint="default"/>
        <w:color w:val="auto"/>
      </w:rPr>
    </w:lvl>
    <w:lvl w:ilvl="1">
      <w:start w:val="1"/>
      <w:numFmt w:val="bullet"/>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C1629E6"/>
    <w:multiLevelType w:val="hybridMultilevel"/>
    <w:tmpl w:val="10D8817C"/>
    <w:lvl w:ilvl="0" w:tplc="0C09000F">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4D8C2F25"/>
    <w:multiLevelType w:val="multilevel"/>
    <w:tmpl w:val="6E008996"/>
    <w:lvl w:ilvl="0">
      <w:start w:val="1"/>
      <w:numFmt w:val="bullet"/>
      <w:lvlRestart w:val="0"/>
      <w:pStyle w:val="TableBullet1Normal"/>
      <w:lvlText w:val=""/>
      <w:lvlJc w:val="left"/>
      <w:pPr>
        <w:tabs>
          <w:tab w:val="num" w:pos="283"/>
        </w:tabs>
        <w:ind w:left="284" w:hanging="284"/>
      </w:pPr>
      <w:rPr>
        <w:rFonts w:ascii="Symbol" w:hAnsi="Symbol" w:hint="default"/>
        <w:b w:val="0"/>
        <w:i w:val="0"/>
        <w:color w:val="auto"/>
      </w:rPr>
    </w:lvl>
    <w:lvl w:ilvl="1">
      <w:start w:val="1"/>
      <w:numFmt w:val="bullet"/>
      <w:lvlRestart w:val="0"/>
      <w:pStyle w:val="TableBullet2Normal"/>
      <w:lvlText w:val="–"/>
      <w:lvlJc w:val="left"/>
      <w:pPr>
        <w:tabs>
          <w:tab w:val="num" w:pos="567"/>
        </w:tabs>
        <w:ind w:left="567" w:hanging="283"/>
      </w:pPr>
      <w:rPr>
        <w:rFonts w:ascii="Arial" w:hAnsi="Arial" w:hint="default"/>
        <w:b w:val="0"/>
        <w:i w:val="0"/>
        <w:color w:val="auto"/>
        <w:szCs w:val="10"/>
      </w:rPr>
    </w:lvl>
    <w:lvl w:ilvl="2">
      <w:start w:val="1"/>
      <w:numFmt w:val="bullet"/>
      <w:lvlRestart w:val="0"/>
      <w:pStyle w:val="TableBullet3Normal"/>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36">
    <w:nsid w:val="51376F29"/>
    <w:multiLevelType w:val="hybridMultilevel"/>
    <w:tmpl w:val="74F2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1D21CDB"/>
    <w:multiLevelType w:val="hybridMultilevel"/>
    <w:tmpl w:val="E96208CC"/>
    <w:lvl w:ilvl="0" w:tplc="BBD0B9EC">
      <w:start w:val="1"/>
      <w:numFmt w:val="lowerLetter"/>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38">
    <w:nsid w:val="537508C1"/>
    <w:multiLevelType w:val="hybridMultilevel"/>
    <w:tmpl w:val="3CD412EE"/>
    <w:lvl w:ilvl="0" w:tplc="B9324248">
      <w:start w:val="1"/>
      <w:numFmt w:val="bullet"/>
      <w:pStyle w:val="Foot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772054A"/>
    <w:multiLevelType w:val="hybridMultilevel"/>
    <w:tmpl w:val="4232F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57A51FC2"/>
    <w:multiLevelType w:val="multilevel"/>
    <w:tmpl w:val="3C58879C"/>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8225146"/>
    <w:multiLevelType w:val="hybridMultilevel"/>
    <w:tmpl w:val="9ED4955C"/>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5AD858AD"/>
    <w:multiLevelType w:val="hybridMultilevel"/>
    <w:tmpl w:val="5B6EFE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5B8839A1"/>
    <w:multiLevelType w:val="hybridMultilevel"/>
    <w:tmpl w:val="1BFE4A6E"/>
    <w:lvl w:ilvl="0" w:tplc="D38883A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5E4E1D4B"/>
    <w:multiLevelType w:val="hybridMultilevel"/>
    <w:tmpl w:val="520E7608"/>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648E6CBA"/>
    <w:multiLevelType w:val="multilevel"/>
    <w:tmpl w:val="540CA368"/>
    <w:styleLink w:val="ListBulletmaster"/>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7753356"/>
    <w:multiLevelType w:val="hybridMultilevel"/>
    <w:tmpl w:val="520E7608"/>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nsid w:val="6A550B51"/>
    <w:multiLevelType w:val="hybridMultilevel"/>
    <w:tmpl w:val="A9A49C48"/>
    <w:lvl w:ilvl="0" w:tplc="F98C3BF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6AB73B67"/>
    <w:multiLevelType w:val="hybridMultilevel"/>
    <w:tmpl w:val="E96208CC"/>
    <w:lvl w:ilvl="0" w:tplc="BBD0B9EC">
      <w:start w:val="1"/>
      <w:numFmt w:val="lowerLetter"/>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50">
    <w:nsid w:val="6C0B4104"/>
    <w:multiLevelType w:val="hybridMultilevel"/>
    <w:tmpl w:val="F4D2C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6C3F031A"/>
    <w:multiLevelType w:val="multilevel"/>
    <w:tmpl w:val="A1224394"/>
    <w:numStyleLink w:val="ListLegalmaster"/>
  </w:abstractNum>
  <w:abstractNum w:abstractNumId="52">
    <w:nsid w:val="6D093F17"/>
    <w:multiLevelType w:val="multilevel"/>
    <w:tmpl w:val="904AEB3A"/>
    <w:numStyleLink w:val="TableListNumbermaster"/>
  </w:abstractNum>
  <w:abstractNum w:abstractNumId="53">
    <w:nsid w:val="6DBF0135"/>
    <w:multiLevelType w:val="multilevel"/>
    <w:tmpl w:val="062642BC"/>
    <w:styleLink w:val="RecommendationListmaster"/>
    <w:lvl w:ilvl="0">
      <w:start w:val="1"/>
      <w:numFmt w:val="none"/>
      <w:lvlText w:val="Recommendations"/>
      <w:lvlJc w:val="left"/>
      <w:pPr>
        <w:ind w:left="360" w:hanging="360"/>
      </w:pPr>
      <w:rPr>
        <w:rFonts w:hint="default"/>
      </w:rPr>
    </w:lvl>
    <w:lvl w:ilvl="1">
      <w:start w:val="1"/>
      <w:numFmt w:val="decimal"/>
      <w:lvlText w:val="Recommenda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F571BE7"/>
    <w:multiLevelType w:val="multilevel"/>
    <w:tmpl w:val="3C58879C"/>
    <w:numStyleLink w:val="TableListBulletmaster"/>
  </w:abstractNum>
  <w:abstractNum w:abstractNumId="55">
    <w:nsid w:val="6FE506EA"/>
    <w:multiLevelType w:val="hybridMultilevel"/>
    <w:tmpl w:val="520E7608"/>
    <w:lvl w:ilvl="0" w:tplc="BBD0B9EC">
      <w:start w:val="1"/>
      <w:numFmt w:val="lowerLetter"/>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56">
    <w:nsid w:val="707518CF"/>
    <w:multiLevelType w:val="multilevel"/>
    <w:tmpl w:val="8CEA6DAA"/>
    <w:name w:val="Bullets2"/>
    <w:numStyleLink w:val="Bullets"/>
  </w:abstractNum>
  <w:abstractNum w:abstractNumId="57">
    <w:nsid w:val="70DD1641"/>
    <w:multiLevelType w:val="multilevel"/>
    <w:tmpl w:val="CEE6D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722556FA"/>
    <w:multiLevelType w:val="multilevel"/>
    <w:tmpl w:val="84BC8B10"/>
    <w:lvl w:ilvl="0">
      <w:start w:val="1"/>
      <w:numFmt w:val="bullet"/>
      <w:pStyle w:val="BoxBullet"/>
      <w:lvlText w:val=""/>
      <w:lvlJc w:val="left"/>
      <w:pPr>
        <w:ind w:left="360" w:hanging="360"/>
      </w:pPr>
      <w:rPr>
        <w:rFonts w:ascii="Symbol" w:hAnsi="Symbol" w:hint="default"/>
      </w:rPr>
    </w:lvl>
    <w:lvl w:ilvl="1">
      <w:start w:val="1"/>
      <w:numFmt w:val="bullet"/>
      <w:pStyle w:val="BoxBullet2"/>
      <w:lvlText w:val=""/>
      <w:lvlJc w:val="left"/>
      <w:pPr>
        <w:ind w:left="720" w:hanging="360"/>
      </w:pPr>
      <w:rPr>
        <w:rFonts w:ascii="Wingdings" w:hAnsi="Wingdings" w:hint="default"/>
      </w:rPr>
    </w:lvl>
    <w:lvl w:ilvl="2">
      <w:start w:val="1"/>
      <w:numFmt w:val="bullet"/>
      <w:pStyle w:val="BoxBullet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nsid w:val="74105F19"/>
    <w:multiLevelType w:val="hybridMultilevel"/>
    <w:tmpl w:val="520E7608"/>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nsid w:val="750B0826"/>
    <w:multiLevelType w:val="multilevel"/>
    <w:tmpl w:val="69C6531C"/>
    <w:numStyleLink w:val="ListNumbermaster"/>
  </w:abstractNum>
  <w:abstractNum w:abstractNumId="61">
    <w:nsid w:val="75650461"/>
    <w:multiLevelType w:val="hybridMultilevel"/>
    <w:tmpl w:val="520E7608"/>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nsid w:val="79E75921"/>
    <w:multiLevelType w:val="hybridMultilevel"/>
    <w:tmpl w:val="216A4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nsid w:val="7A6844C2"/>
    <w:multiLevelType w:val="hybridMultilevel"/>
    <w:tmpl w:val="9ED4955C"/>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nsid w:val="7B096B57"/>
    <w:multiLevelType w:val="hybridMultilevel"/>
    <w:tmpl w:val="8DCE7C6A"/>
    <w:lvl w:ilvl="0" w:tplc="0C090001">
      <w:start w:val="1"/>
      <w:numFmt w:val="decimal"/>
      <w:pStyle w:val="VEOHRCNumberedlist"/>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nsid w:val="7B3C084C"/>
    <w:multiLevelType w:val="hybridMultilevel"/>
    <w:tmpl w:val="B69C2E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45"/>
  </w:num>
  <w:num w:numId="3">
    <w:abstractNumId w:val="12"/>
  </w:num>
  <w:num w:numId="4">
    <w:abstractNumId w:val="46"/>
  </w:num>
  <w:num w:numId="5">
    <w:abstractNumId w:val="22"/>
  </w:num>
  <w:num w:numId="6">
    <w:abstractNumId w:val="40"/>
  </w:num>
  <w:num w:numId="7">
    <w:abstractNumId w:val="14"/>
  </w:num>
  <w:num w:numId="8">
    <w:abstractNumId w:val="31"/>
  </w:num>
  <w:num w:numId="9">
    <w:abstractNumId w:val="16"/>
  </w:num>
  <w:num w:numId="10">
    <w:abstractNumId w:val="51"/>
  </w:num>
  <w:num w:numId="11">
    <w:abstractNumId w:val="20"/>
    <w:lvlOverride w:ilvl="0">
      <w:lvl w:ilvl="0">
        <w:start w:val="1"/>
        <w:numFmt w:val="upperLetter"/>
        <w:pStyle w:val="AppendixHeading1"/>
        <w:lvlText w:val="Appendix %1"/>
        <w:lvlJc w:val="left"/>
        <w:pPr>
          <w:ind w:left="2325" w:hanging="2325"/>
        </w:pPr>
        <w:rPr>
          <w:rFonts w:ascii="Arial" w:hAnsi="Arial" w:hint="default"/>
          <w:b w:val="0"/>
          <w:i w:val="0"/>
          <w:color w:val="auto"/>
          <w:sz w:val="48"/>
        </w:rPr>
      </w:lvl>
    </w:lvlOverride>
  </w:num>
  <w:num w:numId="12">
    <w:abstractNumId w:val="18"/>
  </w:num>
  <w:num w:numId="13">
    <w:abstractNumId w:val="60"/>
  </w:num>
  <w:num w:numId="14">
    <w:abstractNumId w:val="54"/>
  </w:num>
  <w:num w:numId="15">
    <w:abstractNumId w:val="53"/>
  </w:num>
  <w:num w:numId="16">
    <w:abstractNumId w:val="25"/>
  </w:num>
  <w:num w:numId="17">
    <w:abstractNumId w:val="64"/>
  </w:num>
  <w:num w:numId="18">
    <w:abstractNumId w:val="3"/>
  </w:num>
  <w:num w:numId="19">
    <w:abstractNumId w:val="35"/>
  </w:num>
  <w:num w:numId="20">
    <w:abstractNumId w:val="7"/>
  </w:num>
  <w:num w:numId="21">
    <w:abstractNumId w:val="4"/>
  </w:num>
  <w:num w:numId="22">
    <w:abstractNumId w:val="56"/>
  </w:num>
  <w:num w:numId="23">
    <w:abstractNumId w:val="19"/>
  </w:num>
  <w:num w:numId="24">
    <w:abstractNumId w:val="0"/>
  </w:num>
  <w:num w:numId="25">
    <w:abstractNumId w:val="1"/>
  </w:num>
  <w:num w:numId="26">
    <w:abstractNumId w:val="38"/>
  </w:num>
  <w:num w:numId="27">
    <w:abstractNumId w:val="10"/>
  </w:num>
  <w:num w:numId="28">
    <w:abstractNumId w:val="27"/>
  </w:num>
  <w:num w:numId="29">
    <w:abstractNumId w:val="32"/>
  </w:num>
  <w:num w:numId="30">
    <w:abstractNumId w:val="58"/>
  </w:num>
  <w:num w:numId="31">
    <w:abstractNumId w:val="5"/>
    <w:lvlOverride w:ilvl="0">
      <w:lvl w:ilvl="0">
        <w:start w:val="1"/>
        <w:numFmt w:val="decimal"/>
        <w:lvlText w:val="%1."/>
        <w:lvlJc w:val="left"/>
        <w:pPr>
          <w:ind w:left="360" w:hanging="360"/>
        </w:pPr>
        <w:rPr>
          <w:rFonts w:hint="default"/>
          <w:color w:val="auto"/>
        </w:rPr>
      </w:lvl>
    </w:lvlOverride>
    <w:lvlOverride w:ilvl="1">
      <w:lvl w:ilvl="1">
        <w:start w:val="1"/>
        <w:numFmt w:val="lowerLetter"/>
        <w:lvlText w:val="%2."/>
        <w:lvlJc w:val="left"/>
        <w:pPr>
          <w:ind w:left="720" w:hanging="360"/>
        </w:pPr>
        <w:rPr>
          <w:rFonts w:hint="default"/>
          <w:color w:val="auto"/>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7"/>
  </w:num>
  <w:num w:numId="33">
    <w:abstractNumId w:val="28"/>
  </w:num>
  <w:num w:numId="34">
    <w:abstractNumId w:val="49"/>
  </w:num>
  <w:num w:numId="35">
    <w:abstractNumId w:val="37"/>
  </w:num>
  <w:num w:numId="36">
    <w:abstractNumId w:val="26"/>
  </w:num>
  <w:num w:numId="37">
    <w:abstractNumId w:val="62"/>
  </w:num>
  <w:num w:numId="38">
    <w:abstractNumId w:val="61"/>
  </w:num>
  <w:num w:numId="39">
    <w:abstractNumId w:val="55"/>
  </w:num>
  <w:num w:numId="40">
    <w:abstractNumId w:val="59"/>
  </w:num>
  <w:num w:numId="41">
    <w:abstractNumId w:val="29"/>
  </w:num>
  <w:num w:numId="42">
    <w:abstractNumId w:val="30"/>
  </w:num>
  <w:num w:numId="43">
    <w:abstractNumId w:val="6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8"/>
  </w:num>
  <w:num w:numId="47">
    <w:abstractNumId w:val="42"/>
  </w:num>
  <w:num w:numId="48">
    <w:abstractNumId w:val="33"/>
  </w:num>
  <w:num w:numId="49">
    <w:abstractNumId w:val="23"/>
  </w:num>
  <w:num w:numId="50">
    <w:abstractNumId w:val="6"/>
  </w:num>
  <w:num w:numId="51">
    <w:abstractNumId w:val="15"/>
  </w:num>
  <w:num w:numId="52">
    <w:abstractNumId w:val="50"/>
  </w:num>
  <w:num w:numId="53">
    <w:abstractNumId w:val="43"/>
  </w:num>
  <w:num w:numId="54">
    <w:abstractNumId w:val="48"/>
  </w:num>
  <w:num w:numId="55">
    <w:abstractNumId w:val="20"/>
    <w:lvlOverride w:ilvl="0">
      <w:lvl w:ilvl="0">
        <w:start w:val="1"/>
        <w:numFmt w:val="upperLetter"/>
        <w:pStyle w:val="AppendixHeading1"/>
        <w:lvlText w:val="Appendix %1"/>
        <w:lvlJc w:val="left"/>
        <w:pPr>
          <w:ind w:left="2325" w:hanging="2325"/>
        </w:pPr>
        <w:rPr>
          <w:rFonts w:ascii="Arial" w:hAnsi="Arial" w:hint="default"/>
          <w:b w:val="0"/>
          <w:i w:val="0"/>
          <w:color w:val="auto"/>
          <w:sz w:val="48"/>
        </w:rPr>
      </w:lvl>
    </w:lvlOverride>
  </w:num>
  <w:num w:numId="56">
    <w:abstractNumId w:val="5"/>
    <w:lvlOverride w:ilvl="0">
      <w:startOverride w:val="1"/>
      <w:lvl w:ilvl="0">
        <w:start w:val="1"/>
        <w:numFmt w:val="decimal"/>
        <w:lvlText w:val="%1."/>
        <w:lvlJc w:val="left"/>
        <w:pPr>
          <w:ind w:left="360" w:hanging="360"/>
        </w:pPr>
        <w:rPr>
          <w:rFonts w:hint="default"/>
          <w:color w:val="auto"/>
        </w:rPr>
      </w:lvl>
    </w:lvlOverride>
    <w:lvlOverride w:ilvl="1">
      <w:startOverride w:val="1"/>
      <w:lvl w:ilvl="1">
        <w:start w:val="1"/>
        <w:numFmt w:val="lowerLetter"/>
        <w:lvlText w:val="%2."/>
        <w:lvlJc w:val="left"/>
        <w:pPr>
          <w:ind w:left="720" w:hanging="360"/>
        </w:pPr>
        <w:rPr>
          <w:rFonts w:hint="default"/>
          <w:color w:val="auto"/>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7">
    <w:abstractNumId w:val="44"/>
  </w:num>
  <w:num w:numId="58">
    <w:abstractNumId w:val="2"/>
  </w:num>
  <w:num w:numId="59">
    <w:abstractNumId w:val="47"/>
  </w:num>
  <w:num w:numId="60">
    <w:abstractNumId w:val="13"/>
  </w:num>
  <w:num w:numId="61">
    <w:abstractNumId w:val="41"/>
  </w:num>
  <w:num w:numId="62">
    <w:abstractNumId w:val="63"/>
  </w:num>
  <w:num w:numId="63">
    <w:abstractNumId w:val="57"/>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num>
  <w:num w:numId="83">
    <w:abstractNumId w:val="52"/>
  </w:num>
  <w:num w:numId="84">
    <w:abstractNumId w:val="52"/>
  </w:num>
  <w:num w:numId="85">
    <w:abstractNumId w:val="52"/>
  </w:num>
  <w:num w:numId="86">
    <w:abstractNumId w:val="52"/>
  </w:num>
  <w:num w:numId="87">
    <w:abstractNumId w:val="52"/>
  </w:num>
  <w:num w:numId="88">
    <w:abstractNumId w:val="18"/>
  </w:num>
  <w:num w:numId="89">
    <w:abstractNumId w:val="18"/>
  </w:num>
  <w:num w:numId="90">
    <w:abstractNumId w:val="52"/>
  </w:num>
  <w:num w:numId="91">
    <w:abstractNumId w:val="52"/>
  </w:num>
  <w:num w:numId="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0"/>
    <w:lvlOverride w:ilvl="0">
      <w:lvl w:ilvl="0">
        <w:start w:val="1"/>
        <w:numFmt w:val="upperLetter"/>
        <w:pStyle w:val="AppendixHeading1"/>
        <w:lvlText w:val="Appendix %1"/>
        <w:lvlJc w:val="left"/>
        <w:pPr>
          <w:ind w:left="2325" w:hanging="2325"/>
        </w:pPr>
        <w:rPr>
          <w:rFonts w:ascii="Arial" w:hAnsi="Arial" w:hint="default"/>
          <w:b w:val="0"/>
          <w:i w:val="0"/>
          <w:color w:val="auto"/>
          <w:sz w:val="48"/>
        </w:rPr>
      </w:lvl>
    </w:lvlOverride>
  </w:num>
  <w:num w:numId="94">
    <w:abstractNumId w:val="18"/>
  </w:num>
  <w:num w:numId="95">
    <w:abstractNumId w:val="21"/>
  </w:num>
  <w:num w:numId="96">
    <w:abstractNumId w:val="39"/>
  </w:num>
  <w:num w:numId="97">
    <w:abstractNumId w:val="34"/>
  </w:num>
  <w:num w:numId="98">
    <w:abstractNumId w:val="9"/>
  </w:num>
  <w:num w:numId="99">
    <w:abstractNumId w:val="36"/>
  </w:num>
  <w:num w:numId="100">
    <w:abstractNumId w:val="2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nforcement="0"/>
  <w:autoFormatOverride/>
  <w:defaultTabStop w:val="720"/>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E3sTSzMDEyMjCyMDZU0lEKTi0uzszPAykwrgUA5MdhVywAAAA="/>
  </w:docVars>
  <w:rsids>
    <w:rsidRoot w:val="004523AC"/>
    <w:rsid w:val="000004C5"/>
    <w:rsid w:val="00003751"/>
    <w:rsid w:val="00003D36"/>
    <w:rsid w:val="000043B6"/>
    <w:rsid w:val="00004769"/>
    <w:rsid w:val="00005D79"/>
    <w:rsid w:val="00005ECE"/>
    <w:rsid w:val="00010A93"/>
    <w:rsid w:val="00011422"/>
    <w:rsid w:val="00011665"/>
    <w:rsid w:val="00011827"/>
    <w:rsid w:val="00012F8D"/>
    <w:rsid w:val="0001365E"/>
    <w:rsid w:val="00017B96"/>
    <w:rsid w:val="00020FF3"/>
    <w:rsid w:val="0002584B"/>
    <w:rsid w:val="0002610D"/>
    <w:rsid w:val="0002642E"/>
    <w:rsid w:val="00026826"/>
    <w:rsid w:val="0002738A"/>
    <w:rsid w:val="00030AA2"/>
    <w:rsid w:val="00030EAE"/>
    <w:rsid w:val="00033C3E"/>
    <w:rsid w:val="00034D42"/>
    <w:rsid w:val="000362A7"/>
    <w:rsid w:val="000365E2"/>
    <w:rsid w:val="000373FE"/>
    <w:rsid w:val="00040AE7"/>
    <w:rsid w:val="000419F4"/>
    <w:rsid w:val="00043E4B"/>
    <w:rsid w:val="00043EF1"/>
    <w:rsid w:val="00044440"/>
    <w:rsid w:val="00044506"/>
    <w:rsid w:val="0004497B"/>
    <w:rsid w:val="00046354"/>
    <w:rsid w:val="00047136"/>
    <w:rsid w:val="00050D10"/>
    <w:rsid w:val="00051941"/>
    <w:rsid w:val="00054270"/>
    <w:rsid w:val="00054BFA"/>
    <w:rsid w:val="00055A77"/>
    <w:rsid w:val="000562FB"/>
    <w:rsid w:val="00057EB6"/>
    <w:rsid w:val="00060290"/>
    <w:rsid w:val="00060A5D"/>
    <w:rsid w:val="00060F8B"/>
    <w:rsid w:val="000617A7"/>
    <w:rsid w:val="00061DB2"/>
    <w:rsid w:val="00062A70"/>
    <w:rsid w:val="00062C65"/>
    <w:rsid w:val="00063B52"/>
    <w:rsid w:val="00065CC4"/>
    <w:rsid w:val="00066B58"/>
    <w:rsid w:val="00066F5A"/>
    <w:rsid w:val="00070335"/>
    <w:rsid w:val="000743FF"/>
    <w:rsid w:val="000758B0"/>
    <w:rsid w:val="00076BFD"/>
    <w:rsid w:val="00081E07"/>
    <w:rsid w:val="000828E6"/>
    <w:rsid w:val="00082CF3"/>
    <w:rsid w:val="000831B0"/>
    <w:rsid w:val="00084FDB"/>
    <w:rsid w:val="000850A0"/>
    <w:rsid w:val="00085371"/>
    <w:rsid w:val="00086633"/>
    <w:rsid w:val="00086E8C"/>
    <w:rsid w:val="00087F52"/>
    <w:rsid w:val="00090A40"/>
    <w:rsid w:val="00090DD3"/>
    <w:rsid w:val="000913D4"/>
    <w:rsid w:val="00091BBB"/>
    <w:rsid w:val="00091CB3"/>
    <w:rsid w:val="000929CD"/>
    <w:rsid w:val="00093021"/>
    <w:rsid w:val="000946B5"/>
    <w:rsid w:val="0009519F"/>
    <w:rsid w:val="00095570"/>
    <w:rsid w:val="000969C5"/>
    <w:rsid w:val="00097211"/>
    <w:rsid w:val="000A1B3E"/>
    <w:rsid w:val="000A53F7"/>
    <w:rsid w:val="000A5507"/>
    <w:rsid w:val="000A5D30"/>
    <w:rsid w:val="000A5ED7"/>
    <w:rsid w:val="000A7A3E"/>
    <w:rsid w:val="000B0361"/>
    <w:rsid w:val="000B065E"/>
    <w:rsid w:val="000B29CB"/>
    <w:rsid w:val="000B3558"/>
    <w:rsid w:val="000B38EB"/>
    <w:rsid w:val="000B5804"/>
    <w:rsid w:val="000B5D63"/>
    <w:rsid w:val="000B6414"/>
    <w:rsid w:val="000B6B62"/>
    <w:rsid w:val="000B6D8E"/>
    <w:rsid w:val="000B6F62"/>
    <w:rsid w:val="000B73B9"/>
    <w:rsid w:val="000B7E7A"/>
    <w:rsid w:val="000C0F81"/>
    <w:rsid w:val="000C1AF6"/>
    <w:rsid w:val="000C23E8"/>
    <w:rsid w:val="000C2C09"/>
    <w:rsid w:val="000C5726"/>
    <w:rsid w:val="000C59A3"/>
    <w:rsid w:val="000C60AC"/>
    <w:rsid w:val="000C6CD5"/>
    <w:rsid w:val="000D1A7F"/>
    <w:rsid w:val="000D2A98"/>
    <w:rsid w:val="000D426F"/>
    <w:rsid w:val="000D748E"/>
    <w:rsid w:val="000E1952"/>
    <w:rsid w:val="000E2843"/>
    <w:rsid w:val="000E3693"/>
    <w:rsid w:val="000E3C8A"/>
    <w:rsid w:val="000E4C9C"/>
    <w:rsid w:val="000E4DD7"/>
    <w:rsid w:val="000E74A0"/>
    <w:rsid w:val="000F125F"/>
    <w:rsid w:val="000F1484"/>
    <w:rsid w:val="000F1E34"/>
    <w:rsid w:val="000F3456"/>
    <w:rsid w:val="000F3888"/>
    <w:rsid w:val="000F43EF"/>
    <w:rsid w:val="000F5387"/>
    <w:rsid w:val="000F5BD8"/>
    <w:rsid w:val="000F6C59"/>
    <w:rsid w:val="000F726C"/>
    <w:rsid w:val="000F7888"/>
    <w:rsid w:val="000F7B41"/>
    <w:rsid w:val="00104750"/>
    <w:rsid w:val="00104C26"/>
    <w:rsid w:val="001056FE"/>
    <w:rsid w:val="00105769"/>
    <w:rsid w:val="001057A3"/>
    <w:rsid w:val="001101ED"/>
    <w:rsid w:val="0011081A"/>
    <w:rsid w:val="00111940"/>
    <w:rsid w:val="00112902"/>
    <w:rsid w:val="00112BE4"/>
    <w:rsid w:val="001132AA"/>
    <w:rsid w:val="00113C57"/>
    <w:rsid w:val="00115726"/>
    <w:rsid w:val="00116A9C"/>
    <w:rsid w:val="00116C5A"/>
    <w:rsid w:val="00116DB7"/>
    <w:rsid w:val="001177DE"/>
    <w:rsid w:val="0012293E"/>
    <w:rsid w:val="0012560D"/>
    <w:rsid w:val="001264E2"/>
    <w:rsid w:val="0013007F"/>
    <w:rsid w:val="00130B54"/>
    <w:rsid w:val="0013158F"/>
    <w:rsid w:val="00133DD3"/>
    <w:rsid w:val="001346AE"/>
    <w:rsid w:val="00135C97"/>
    <w:rsid w:val="00136E50"/>
    <w:rsid w:val="001372CE"/>
    <w:rsid w:val="0013745C"/>
    <w:rsid w:val="001379C5"/>
    <w:rsid w:val="00141CB6"/>
    <w:rsid w:val="001430BE"/>
    <w:rsid w:val="001444B2"/>
    <w:rsid w:val="001448D6"/>
    <w:rsid w:val="00146D19"/>
    <w:rsid w:val="0015088C"/>
    <w:rsid w:val="00150E5A"/>
    <w:rsid w:val="001521DA"/>
    <w:rsid w:val="001524F9"/>
    <w:rsid w:val="00153B73"/>
    <w:rsid w:val="00154F1B"/>
    <w:rsid w:val="00155B28"/>
    <w:rsid w:val="00160EA7"/>
    <w:rsid w:val="00162745"/>
    <w:rsid w:val="00163C16"/>
    <w:rsid w:val="00166036"/>
    <w:rsid w:val="001664C6"/>
    <w:rsid w:val="00167548"/>
    <w:rsid w:val="001706A9"/>
    <w:rsid w:val="001712E8"/>
    <w:rsid w:val="001723F2"/>
    <w:rsid w:val="00172538"/>
    <w:rsid w:val="001726E4"/>
    <w:rsid w:val="00174049"/>
    <w:rsid w:val="001742A2"/>
    <w:rsid w:val="001757F6"/>
    <w:rsid w:val="00176316"/>
    <w:rsid w:val="00176D7F"/>
    <w:rsid w:val="001776CB"/>
    <w:rsid w:val="0018214B"/>
    <w:rsid w:val="00186429"/>
    <w:rsid w:val="0018767E"/>
    <w:rsid w:val="001915E5"/>
    <w:rsid w:val="00192BCE"/>
    <w:rsid w:val="00192DDC"/>
    <w:rsid w:val="00194D4F"/>
    <w:rsid w:val="00196F9B"/>
    <w:rsid w:val="00197A3B"/>
    <w:rsid w:val="00197EE3"/>
    <w:rsid w:val="001A09B6"/>
    <w:rsid w:val="001A0A5C"/>
    <w:rsid w:val="001A165D"/>
    <w:rsid w:val="001A31C2"/>
    <w:rsid w:val="001A3CC5"/>
    <w:rsid w:val="001A412B"/>
    <w:rsid w:val="001A7E36"/>
    <w:rsid w:val="001B0254"/>
    <w:rsid w:val="001B0579"/>
    <w:rsid w:val="001B0DEB"/>
    <w:rsid w:val="001B1B6E"/>
    <w:rsid w:val="001B3FA4"/>
    <w:rsid w:val="001B4579"/>
    <w:rsid w:val="001B52B0"/>
    <w:rsid w:val="001B556C"/>
    <w:rsid w:val="001B7430"/>
    <w:rsid w:val="001C1354"/>
    <w:rsid w:val="001C1CF7"/>
    <w:rsid w:val="001C3550"/>
    <w:rsid w:val="001C4183"/>
    <w:rsid w:val="001C7212"/>
    <w:rsid w:val="001D18E5"/>
    <w:rsid w:val="001D1E54"/>
    <w:rsid w:val="001D418D"/>
    <w:rsid w:val="001D450D"/>
    <w:rsid w:val="001D7380"/>
    <w:rsid w:val="001D73FD"/>
    <w:rsid w:val="001D7E81"/>
    <w:rsid w:val="001E157F"/>
    <w:rsid w:val="001E1A31"/>
    <w:rsid w:val="001E1BED"/>
    <w:rsid w:val="001E4971"/>
    <w:rsid w:val="001F17D3"/>
    <w:rsid w:val="001F35F5"/>
    <w:rsid w:val="001F586E"/>
    <w:rsid w:val="001F60C9"/>
    <w:rsid w:val="001F740A"/>
    <w:rsid w:val="001F74CA"/>
    <w:rsid w:val="00200C9C"/>
    <w:rsid w:val="0020139C"/>
    <w:rsid w:val="00203BC1"/>
    <w:rsid w:val="002050C9"/>
    <w:rsid w:val="00205F70"/>
    <w:rsid w:val="00205F9A"/>
    <w:rsid w:val="00206633"/>
    <w:rsid w:val="00207580"/>
    <w:rsid w:val="00207D9C"/>
    <w:rsid w:val="002110F4"/>
    <w:rsid w:val="0021203E"/>
    <w:rsid w:val="00213353"/>
    <w:rsid w:val="00213E1B"/>
    <w:rsid w:val="0021462A"/>
    <w:rsid w:val="002148F8"/>
    <w:rsid w:val="00214B81"/>
    <w:rsid w:val="00215DC5"/>
    <w:rsid w:val="00215FA4"/>
    <w:rsid w:val="00216B37"/>
    <w:rsid w:val="00217ACB"/>
    <w:rsid w:val="002212AE"/>
    <w:rsid w:val="00221F3B"/>
    <w:rsid w:val="0022285A"/>
    <w:rsid w:val="0022361E"/>
    <w:rsid w:val="00224FA9"/>
    <w:rsid w:val="00225044"/>
    <w:rsid w:val="002262B1"/>
    <w:rsid w:val="002263E5"/>
    <w:rsid w:val="0022717F"/>
    <w:rsid w:val="00230C58"/>
    <w:rsid w:val="0023334D"/>
    <w:rsid w:val="00233A54"/>
    <w:rsid w:val="002357D1"/>
    <w:rsid w:val="0023754A"/>
    <w:rsid w:val="002375BC"/>
    <w:rsid w:val="00240B10"/>
    <w:rsid w:val="00241524"/>
    <w:rsid w:val="0024641B"/>
    <w:rsid w:val="002477B1"/>
    <w:rsid w:val="002478C9"/>
    <w:rsid w:val="00250AF7"/>
    <w:rsid w:val="0025175F"/>
    <w:rsid w:val="00252BB4"/>
    <w:rsid w:val="0025454B"/>
    <w:rsid w:val="00255BE7"/>
    <w:rsid w:val="00260B29"/>
    <w:rsid w:val="00262F59"/>
    <w:rsid w:val="002655F3"/>
    <w:rsid w:val="00266110"/>
    <w:rsid w:val="002665E0"/>
    <w:rsid w:val="002676D4"/>
    <w:rsid w:val="00270E4E"/>
    <w:rsid w:val="00270F83"/>
    <w:rsid w:val="0027138C"/>
    <w:rsid w:val="00273A38"/>
    <w:rsid w:val="0028108B"/>
    <w:rsid w:val="00282303"/>
    <w:rsid w:val="002845B5"/>
    <w:rsid w:val="0028539D"/>
    <w:rsid w:val="00287250"/>
    <w:rsid w:val="00287AF1"/>
    <w:rsid w:val="0029031C"/>
    <w:rsid w:val="002903B1"/>
    <w:rsid w:val="00291313"/>
    <w:rsid w:val="00293E02"/>
    <w:rsid w:val="00296E91"/>
    <w:rsid w:val="002973C7"/>
    <w:rsid w:val="002A0501"/>
    <w:rsid w:val="002A0916"/>
    <w:rsid w:val="002A13A9"/>
    <w:rsid w:val="002A1423"/>
    <w:rsid w:val="002A4391"/>
    <w:rsid w:val="002A50F4"/>
    <w:rsid w:val="002A51E7"/>
    <w:rsid w:val="002B0862"/>
    <w:rsid w:val="002B0CAB"/>
    <w:rsid w:val="002B1ADA"/>
    <w:rsid w:val="002B21E7"/>
    <w:rsid w:val="002B3360"/>
    <w:rsid w:val="002B3BCD"/>
    <w:rsid w:val="002B488E"/>
    <w:rsid w:val="002B6FE8"/>
    <w:rsid w:val="002B7CB9"/>
    <w:rsid w:val="002C2DFF"/>
    <w:rsid w:val="002C43CB"/>
    <w:rsid w:val="002C497E"/>
    <w:rsid w:val="002C4D27"/>
    <w:rsid w:val="002D5D71"/>
    <w:rsid w:val="002D6EE3"/>
    <w:rsid w:val="002E6A68"/>
    <w:rsid w:val="002E76E0"/>
    <w:rsid w:val="002F2864"/>
    <w:rsid w:val="002F3427"/>
    <w:rsid w:val="002F35BD"/>
    <w:rsid w:val="002F53A0"/>
    <w:rsid w:val="002F5E2F"/>
    <w:rsid w:val="002F6C8C"/>
    <w:rsid w:val="0030050F"/>
    <w:rsid w:val="00300EC1"/>
    <w:rsid w:val="00301515"/>
    <w:rsid w:val="003015FD"/>
    <w:rsid w:val="00301D76"/>
    <w:rsid w:val="003031E6"/>
    <w:rsid w:val="003100BD"/>
    <w:rsid w:val="00310131"/>
    <w:rsid w:val="00310815"/>
    <w:rsid w:val="00310B8B"/>
    <w:rsid w:val="00310EC2"/>
    <w:rsid w:val="003118BB"/>
    <w:rsid w:val="003133AA"/>
    <w:rsid w:val="00313579"/>
    <w:rsid w:val="003165F0"/>
    <w:rsid w:val="00317F2D"/>
    <w:rsid w:val="003211FB"/>
    <w:rsid w:val="00321F3A"/>
    <w:rsid w:val="0032223E"/>
    <w:rsid w:val="003228A4"/>
    <w:rsid w:val="00323771"/>
    <w:rsid w:val="00323BBF"/>
    <w:rsid w:val="0032402A"/>
    <w:rsid w:val="0032412E"/>
    <w:rsid w:val="00324E4C"/>
    <w:rsid w:val="003254F1"/>
    <w:rsid w:val="00326076"/>
    <w:rsid w:val="00333D8F"/>
    <w:rsid w:val="003340A9"/>
    <w:rsid w:val="00334222"/>
    <w:rsid w:val="003346C0"/>
    <w:rsid w:val="003350D9"/>
    <w:rsid w:val="00335E35"/>
    <w:rsid w:val="00336DB4"/>
    <w:rsid w:val="00340A87"/>
    <w:rsid w:val="00340CDD"/>
    <w:rsid w:val="003410D0"/>
    <w:rsid w:val="0034121A"/>
    <w:rsid w:val="00341A81"/>
    <w:rsid w:val="00343EB9"/>
    <w:rsid w:val="0034534E"/>
    <w:rsid w:val="003456EA"/>
    <w:rsid w:val="00346F57"/>
    <w:rsid w:val="003509D9"/>
    <w:rsid w:val="00351575"/>
    <w:rsid w:val="0035243B"/>
    <w:rsid w:val="0035258D"/>
    <w:rsid w:val="003531B8"/>
    <w:rsid w:val="00353BFE"/>
    <w:rsid w:val="00354393"/>
    <w:rsid w:val="00356265"/>
    <w:rsid w:val="003574DB"/>
    <w:rsid w:val="003606CA"/>
    <w:rsid w:val="0036148E"/>
    <w:rsid w:val="00361911"/>
    <w:rsid w:val="00362E51"/>
    <w:rsid w:val="0036498C"/>
    <w:rsid w:val="00366A53"/>
    <w:rsid w:val="00367FE1"/>
    <w:rsid w:val="00370382"/>
    <w:rsid w:val="003730EB"/>
    <w:rsid w:val="003737E1"/>
    <w:rsid w:val="00374EB0"/>
    <w:rsid w:val="00375988"/>
    <w:rsid w:val="00375ECC"/>
    <w:rsid w:val="00377F7A"/>
    <w:rsid w:val="00381691"/>
    <w:rsid w:val="0038181A"/>
    <w:rsid w:val="00384297"/>
    <w:rsid w:val="003868DA"/>
    <w:rsid w:val="00387E61"/>
    <w:rsid w:val="00390588"/>
    <w:rsid w:val="00391609"/>
    <w:rsid w:val="003920E3"/>
    <w:rsid w:val="00392D74"/>
    <w:rsid w:val="00392FC5"/>
    <w:rsid w:val="00393A32"/>
    <w:rsid w:val="00394139"/>
    <w:rsid w:val="003950BC"/>
    <w:rsid w:val="003952E7"/>
    <w:rsid w:val="003960E4"/>
    <w:rsid w:val="00396898"/>
    <w:rsid w:val="00396F7B"/>
    <w:rsid w:val="003976B3"/>
    <w:rsid w:val="003A068E"/>
    <w:rsid w:val="003A2623"/>
    <w:rsid w:val="003A273A"/>
    <w:rsid w:val="003A3F4F"/>
    <w:rsid w:val="003A452D"/>
    <w:rsid w:val="003A7FC3"/>
    <w:rsid w:val="003B0DDC"/>
    <w:rsid w:val="003B28D0"/>
    <w:rsid w:val="003B2BEE"/>
    <w:rsid w:val="003B428A"/>
    <w:rsid w:val="003B56F4"/>
    <w:rsid w:val="003B637B"/>
    <w:rsid w:val="003B63B4"/>
    <w:rsid w:val="003B67AD"/>
    <w:rsid w:val="003B7049"/>
    <w:rsid w:val="003C0ADE"/>
    <w:rsid w:val="003C0B4B"/>
    <w:rsid w:val="003C1C24"/>
    <w:rsid w:val="003C2DCD"/>
    <w:rsid w:val="003C3F41"/>
    <w:rsid w:val="003C410B"/>
    <w:rsid w:val="003C6D52"/>
    <w:rsid w:val="003D08AC"/>
    <w:rsid w:val="003D153D"/>
    <w:rsid w:val="003D225C"/>
    <w:rsid w:val="003D299B"/>
    <w:rsid w:val="003D2B56"/>
    <w:rsid w:val="003D305B"/>
    <w:rsid w:val="003D33A2"/>
    <w:rsid w:val="003D49E2"/>
    <w:rsid w:val="003D5F0C"/>
    <w:rsid w:val="003D6B5E"/>
    <w:rsid w:val="003E07DC"/>
    <w:rsid w:val="003E2136"/>
    <w:rsid w:val="003E33DC"/>
    <w:rsid w:val="003E375D"/>
    <w:rsid w:val="003E7497"/>
    <w:rsid w:val="003E7BF2"/>
    <w:rsid w:val="003F0686"/>
    <w:rsid w:val="003F0B9B"/>
    <w:rsid w:val="003F10DB"/>
    <w:rsid w:val="003F212D"/>
    <w:rsid w:val="003F28FE"/>
    <w:rsid w:val="003F304C"/>
    <w:rsid w:val="003F34C5"/>
    <w:rsid w:val="003F52DB"/>
    <w:rsid w:val="003F5B0F"/>
    <w:rsid w:val="00401A76"/>
    <w:rsid w:val="00401C33"/>
    <w:rsid w:val="00402E7E"/>
    <w:rsid w:val="00402F2A"/>
    <w:rsid w:val="004060F8"/>
    <w:rsid w:val="00406914"/>
    <w:rsid w:val="00407210"/>
    <w:rsid w:val="004109B8"/>
    <w:rsid w:val="00410BD4"/>
    <w:rsid w:val="004134F1"/>
    <w:rsid w:val="00413D20"/>
    <w:rsid w:val="00414BDE"/>
    <w:rsid w:val="00415066"/>
    <w:rsid w:val="00415EFB"/>
    <w:rsid w:val="00416294"/>
    <w:rsid w:val="00417BEE"/>
    <w:rsid w:val="00422978"/>
    <w:rsid w:val="00426392"/>
    <w:rsid w:val="0042661F"/>
    <w:rsid w:val="00432F93"/>
    <w:rsid w:val="004330B3"/>
    <w:rsid w:val="00433E2B"/>
    <w:rsid w:val="00434ACE"/>
    <w:rsid w:val="00434D7D"/>
    <w:rsid w:val="00435BE1"/>
    <w:rsid w:val="00437774"/>
    <w:rsid w:val="00437B30"/>
    <w:rsid w:val="004426A4"/>
    <w:rsid w:val="00443B70"/>
    <w:rsid w:val="00444266"/>
    <w:rsid w:val="00445180"/>
    <w:rsid w:val="004523AC"/>
    <w:rsid w:val="004524BA"/>
    <w:rsid w:val="00452A9D"/>
    <w:rsid w:val="00452C6F"/>
    <w:rsid w:val="004536D8"/>
    <w:rsid w:val="004547E3"/>
    <w:rsid w:val="00454F8F"/>
    <w:rsid w:val="00455C41"/>
    <w:rsid w:val="00455D53"/>
    <w:rsid w:val="00456356"/>
    <w:rsid w:val="00457247"/>
    <w:rsid w:val="00457F5B"/>
    <w:rsid w:val="004606CB"/>
    <w:rsid w:val="00464EBB"/>
    <w:rsid w:val="0046602E"/>
    <w:rsid w:val="004660FA"/>
    <w:rsid w:val="00466D2A"/>
    <w:rsid w:val="0047087F"/>
    <w:rsid w:val="00471362"/>
    <w:rsid w:val="00473F21"/>
    <w:rsid w:val="004752AE"/>
    <w:rsid w:val="00475689"/>
    <w:rsid w:val="00475A9F"/>
    <w:rsid w:val="00476EA3"/>
    <w:rsid w:val="00477C05"/>
    <w:rsid w:val="0048003F"/>
    <w:rsid w:val="004816E3"/>
    <w:rsid w:val="00481738"/>
    <w:rsid w:val="004819B0"/>
    <w:rsid w:val="0048394B"/>
    <w:rsid w:val="00485721"/>
    <w:rsid w:val="00485756"/>
    <w:rsid w:val="00486277"/>
    <w:rsid w:val="004862C5"/>
    <w:rsid w:val="00486A30"/>
    <w:rsid w:val="00487077"/>
    <w:rsid w:val="004878B9"/>
    <w:rsid w:val="00490DAF"/>
    <w:rsid w:val="00493A88"/>
    <w:rsid w:val="004958BB"/>
    <w:rsid w:val="004A2EE9"/>
    <w:rsid w:val="004A3371"/>
    <w:rsid w:val="004A37CA"/>
    <w:rsid w:val="004A4825"/>
    <w:rsid w:val="004A5C0C"/>
    <w:rsid w:val="004A5EF4"/>
    <w:rsid w:val="004A60C5"/>
    <w:rsid w:val="004A7267"/>
    <w:rsid w:val="004A741A"/>
    <w:rsid w:val="004B4A81"/>
    <w:rsid w:val="004B5BA8"/>
    <w:rsid w:val="004B705F"/>
    <w:rsid w:val="004B76EC"/>
    <w:rsid w:val="004C202A"/>
    <w:rsid w:val="004C2D7F"/>
    <w:rsid w:val="004C3492"/>
    <w:rsid w:val="004C39A3"/>
    <w:rsid w:val="004C3D19"/>
    <w:rsid w:val="004C48E5"/>
    <w:rsid w:val="004C4E07"/>
    <w:rsid w:val="004C7276"/>
    <w:rsid w:val="004D0FC3"/>
    <w:rsid w:val="004D30BA"/>
    <w:rsid w:val="004D3CB9"/>
    <w:rsid w:val="004D6047"/>
    <w:rsid w:val="004D721C"/>
    <w:rsid w:val="004E15BC"/>
    <w:rsid w:val="004E4E0F"/>
    <w:rsid w:val="004E684B"/>
    <w:rsid w:val="004E68E7"/>
    <w:rsid w:val="004F1119"/>
    <w:rsid w:val="004F3906"/>
    <w:rsid w:val="004F3F42"/>
    <w:rsid w:val="004F4B64"/>
    <w:rsid w:val="004F5C2D"/>
    <w:rsid w:val="00500A8A"/>
    <w:rsid w:val="005011A0"/>
    <w:rsid w:val="005012B2"/>
    <w:rsid w:val="005020B2"/>
    <w:rsid w:val="00504119"/>
    <w:rsid w:val="00507925"/>
    <w:rsid w:val="005118C3"/>
    <w:rsid w:val="00513431"/>
    <w:rsid w:val="00514CDB"/>
    <w:rsid w:val="00514E26"/>
    <w:rsid w:val="00517725"/>
    <w:rsid w:val="00517B67"/>
    <w:rsid w:val="005214D1"/>
    <w:rsid w:val="005226BE"/>
    <w:rsid w:val="005252EA"/>
    <w:rsid w:val="005254CE"/>
    <w:rsid w:val="00525816"/>
    <w:rsid w:val="00526178"/>
    <w:rsid w:val="0052729D"/>
    <w:rsid w:val="00527F6B"/>
    <w:rsid w:val="00530E9F"/>
    <w:rsid w:val="005314C6"/>
    <w:rsid w:val="005328B3"/>
    <w:rsid w:val="00536C23"/>
    <w:rsid w:val="00536FCA"/>
    <w:rsid w:val="00540F1A"/>
    <w:rsid w:val="005410B8"/>
    <w:rsid w:val="00542553"/>
    <w:rsid w:val="005425B8"/>
    <w:rsid w:val="005441B4"/>
    <w:rsid w:val="0054454E"/>
    <w:rsid w:val="0054607E"/>
    <w:rsid w:val="00547B7C"/>
    <w:rsid w:val="00550A87"/>
    <w:rsid w:val="00550B23"/>
    <w:rsid w:val="00553065"/>
    <w:rsid w:val="00553B44"/>
    <w:rsid w:val="0055541A"/>
    <w:rsid w:val="00557B96"/>
    <w:rsid w:val="00560811"/>
    <w:rsid w:val="00561238"/>
    <w:rsid w:val="005635DE"/>
    <w:rsid w:val="005636F8"/>
    <w:rsid w:val="005639EA"/>
    <w:rsid w:val="00563A00"/>
    <w:rsid w:val="00563A58"/>
    <w:rsid w:val="00563F6C"/>
    <w:rsid w:val="00564014"/>
    <w:rsid w:val="005646A7"/>
    <w:rsid w:val="00564F18"/>
    <w:rsid w:val="00565188"/>
    <w:rsid w:val="00566AC5"/>
    <w:rsid w:val="00566B1E"/>
    <w:rsid w:val="00566E34"/>
    <w:rsid w:val="005676E3"/>
    <w:rsid w:val="005679C6"/>
    <w:rsid w:val="00570245"/>
    <w:rsid w:val="0057041F"/>
    <w:rsid w:val="005705A8"/>
    <w:rsid w:val="0057064E"/>
    <w:rsid w:val="0057162E"/>
    <w:rsid w:val="00575027"/>
    <w:rsid w:val="0057517B"/>
    <w:rsid w:val="00581F50"/>
    <w:rsid w:val="00582265"/>
    <w:rsid w:val="00582AA8"/>
    <w:rsid w:val="005836E7"/>
    <w:rsid w:val="00583F8A"/>
    <w:rsid w:val="00584DB2"/>
    <w:rsid w:val="00585AD0"/>
    <w:rsid w:val="005870E0"/>
    <w:rsid w:val="00587996"/>
    <w:rsid w:val="00591BFC"/>
    <w:rsid w:val="00592C0C"/>
    <w:rsid w:val="00592C6A"/>
    <w:rsid w:val="00593CD3"/>
    <w:rsid w:val="005976DA"/>
    <w:rsid w:val="005A04B7"/>
    <w:rsid w:val="005A2600"/>
    <w:rsid w:val="005A2727"/>
    <w:rsid w:val="005A446C"/>
    <w:rsid w:val="005A5A74"/>
    <w:rsid w:val="005A60DD"/>
    <w:rsid w:val="005A63C3"/>
    <w:rsid w:val="005B058C"/>
    <w:rsid w:val="005B0736"/>
    <w:rsid w:val="005B572A"/>
    <w:rsid w:val="005B5A16"/>
    <w:rsid w:val="005B6A04"/>
    <w:rsid w:val="005B74F5"/>
    <w:rsid w:val="005C0AF7"/>
    <w:rsid w:val="005C2DB1"/>
    <w:rsid w:val="005C3F40"/>
    <w:rsid w:val="005C49EE"/>
    <w:rsid w:val="005C5597"/>
    <w:rsid w:val="005C629E"/>
    <w:rsid w:val="005D063F"/>
    <w:rsid w:val="005D3541"/>
    <w:rsid w:val="005D3E9E"/>
    <w:rsid w:val="005D614D"/>
    <w:rsid w:val="005D7DA8"/>
    <w:rsid w:val="005E0B60"/>
    <w:rsid w:val="005E1CF9"/>
    <w:rsid w:val="005E3F69"/>
    <w:rsid w:val="005E6FEB"/>
    <w:rsid w:val="005E7354"/>
    <w:rsid w:val="005E7BEE"/>
    <w:rsid w:val="005E7E52"/>
    <w:rsid w:val="005F1182"/>
    <w:rsid w:val="005F2CD3"/>
    <w:rsid w:val="005F4134"/>
    <w:rsid w:val="005F4AA0"/>
    <w:rsid w:val="005F68A9"/>
    <w:rsid w:val="005F6B7A"/>
    <w:rsid w:val="005F7930"/>
    <w:rsid w:val="005F7BD1"/>
    <w:rsid w:val="00600004"/>
    <w:rsid w:val="00600C61"/>
    <w:rsid w:val="00602EE4"/>
    <w:rsid w:val="006054DA"/>
    <w:rsid w:val="0060710A"/>
    <w:rsid w:val="00610128"/>
    <w:rsid w:val="006109AD"/>
    <w:rsid w:val="006132B8"/>
    <w:rsid w:val="006134A1"/>
    <w:rsid w:val="0061436A"/>
    <w:rsid w:val="00615182"/>
    <w:rsid w:val="00616247"/>
    <w:rsid w:val="00617A94"/>
    <w:rsid w:val="00620848"/>
    <w:rsid w:val="00620A6C"/>
    <w:rsid w:val="0062136E"/>
    <w:rsid w:val="00623A1A"/>
    <w:rsid w:val="006244CE"/>
    <w:rsid w:val="006276D7"/>
    <w:rsid w:val="006303BB"/>
    <w:rsid w:val="0063174A"/>
    <w:rsid w:val="00631A6E"/>
    <w:rsid w:val="00632213"/>
    <w:rsid w:val="006322EA"/>
    <w:rsid w:val="006328AE"/>
    <w:rsid w:val="00632CE8"/>
    <w:rsid w:val="006351BB"/>
    <w:rsid w:val="006361C6"/>
    <w:rsid w:val="00640E29"/>
    <w:rsid w:val="00641F33"/>
    <w:rsid w:val="00641F5E"/>
    <w:rsid w:val="00641FF1"/>
    <w:rsid w:val="0064379F"/>
    <w:rsid w:val="00643B69"/>
    <w:rsid w:val="00645857"/>
    <w:rsid w:val="006508D9"/>
    <w:rsid w:val="006511D5"/>
    <w:rsid w:val="006522BB"/>
    <w:rsid w:val="0065327B"/>
    <w:rsid w:val="006535FE"/>
    <w:rsid w:val="0065363A"/>
    <w:rsid w:val="006548A4"/>
    <w:rsid w:val="006559A0"/>
    <w:rsid w:val="006616A4"/>
    <w:rsid w:val="00662FA0"/>
    <w:rsid w:val="0066392B"/>
    <w:rsid w:val="0066573D"/>
    <w:rsid w:val="0066625C"/>
    <w:rsid w:val="00666BFB"/>
    <w:rsid w:val="00666CDC"/>
    <w:rsid w:val="006675FF"/>
    <w:rsid w:val="00670134"/>
    <w:rsid w:val="006722C0"/>
    <w:rsid w:val="00673E1F"/>
    <w:rsid w:val="00674FCD"/>
    <w:rsid w:val="0067518D"/>
    <w:rsid w:val="006760BD"/>
    <w:rsid w:val="00677443"/>
    <w:rsid w:val="00681BED"/>
    <w:rsid w:val="00683CF7"/>
    <w:rsid w:val="00685C1E"/>
    <w:rsid w:val="00686262"/>
    <w:rsid w:val="00686C7E"/>
    <w:rsid w:val="00687A23"/>
    <w:rsid w:val="0069066D"/>
    <w:rsid w:val="00690B2A"/>
    <w:rsid w:val="00690D3F"/>
    <w:rsid w:val="006914B0"/>
    <w:rsid w:val="00692AE0"/>
    <w:rsid w:val="00693A6A"/>
    <w:rsid w:val="00694404"/>
    <w:rsid w:val="006951BA"/>
    <w:rsid w:val="00695835"/>
    <w:rsid w:val="00696C28"/>
    <w:rsid w:val="006A2861"/>
    <w:rsid w:val="006A6B17"/>
    <w:rsid w:val="006A6EEF"/>
    <w:rsid w:val="006B0171"/>
    <w:rsid w:val="006B18AC"/>
    <w:rsid w:val="006B4EEE"/>
    <w:rsid w:val="006B4F6A"/>
    <w:rsid w:val="006B54C5"/>
    <w:rsid w:val="006B5711"/>
    <w:rsid w:val="006B6100"/>
    <w:rsid w:val="006B647C"/>
    <w:rsid w:val="006B6A8E"/>
    <w:rsid w:val="006B7E7D"/>
    <w:rsid w:val="006C04E4"/>
    <w:rsid w:val="006C2617"/>
    <w:rsid w:val="006C5265"/>
    <w:rsid w:val="006C5707"/>
    <w:rsid w:val="006C5B64"/>
    <w:rsid w:val="006C6CDE"/>
    <w:rsid w:val="006D26D8"/>
    <w:rsid w:val="006D2EB5"/>
    <w:rsid w:val="006D5E35"/>
    <w:rsid w:val="006E2528"/>
    <w:rsid w:val="006E4008"/>
    <w:rsid w:val="006E421F"/>
    <w:rsid w:val="006E5108"/>
    <w:rsid w:val="006E689D"/>
    <w:rsid w:val="006E7325"/>
    <w:rsid w:val="006E7A34"/>
    <w:rsid w:val="006F06AB"/>
    <w:rsid w:val="006F1128"/>
    <w:rsid w:val="006F21E7"/>
    <w:rsid w:val="006F4643"/>
    <w:rsid w:val="006F5EBE"/>
    <w:rsid w:val="006F6F04"/>
    <w:rsid w:val="006F7EE7"/>
    <w:rsid w:val="00701343"/>
    <w:rsid w:val="00701EC3"/>
    <w:rsid w:val="00702181"/>
    <w:rsid w:val="0070277E"/>
    <w:rsid w:val="00704314"/>
    <w:rsid w:val="00704BD5"/>
    <w:rsid w:val="00704E83"/>
    <w:rsid w:val="00706885"/>
    <w:rsid w:val="007113AE"/>
    <w:rsid w:val="00711690"/>
    <w:rsid w:val="00711C17"/>
    <w:rsid w:val="00713455"/>
    <w:rsid w:val="00713506"/>
    <w:rsid w:val="00713977"/>
    <w:rsid w:val="007145B6"/>
    <w:rsid w:val="007206F8"/>
    <w:rsid w:val="00724A98"/>
    <w:rsid w:val="00724F6B"/>
    <w:rsid w:val="007256AA"/>
    <w:rsid w:val="00727143"/>
    <w:rsid w:val="00732448"/>
    <w:rsid w:val="0073541B"/>
    <w:rsid w:val="00735B41"/>
    <w:rsid w:val="00735BA6"/>
    <w:rsid w:val="007362F3"/>
    <w:rsid w:val="007365F8"/>
    <w:rsid w:val="00736816"/>
    <w:rsid w:val="007410A8"/>
    <w:rsid w:val="00742FF9"/>
    <w:rsid w:val="007433EF"/>
    <w:rsid w:val="00744030"/>
    <w:rsid w:val="007474A9"/>
    <w:rsid w:val="00750F61"/>
    <w:rsid w:val="0075130E"/>
    <w:rsid w:val="00751886"/>
    <w:rsid w:val="0075194E"/>
    <w:rsid w:val="007524DF"/>
    <w:rsid w:val="007558D5"/>
    <w:rsid w:val="00756678"/>
    <w:rsid w:val="00757710"/>
    <w:rsid w:val="00757DBB"/>
    <w:rsid w:val="00762A82"/>
    <w:rsid w:val="00762F63"/>
    <w:rsid w:val="00766F45"/>
    <w:rsid w:val="00767735"/>
    <w:rsid w:val="0077711B"/>
    <w:rsid w:val="007819C7"/>
    <w:rsid w:val="0078284C"/>
    <w:rsid w:val="007828F6"/>
    <w:rsid w:val="0078296B"/>
    <w:rsid w:val="0078341D"/>
    <w:rsid w:val="007841A2"/>
    <w:rsid w:val="00785AB3"/>
    <w:rsid w:val="007860EA"/>
    <w:rsid w:val="00787CAD"/>
    <w:rsid w:val="0079093A"/>
    <w:rsid w:val="00791D57"/>
    <w:rsid w:val="007921B4"/>
    <w:rsid w:val="00793A2B"/>
    <w:rsid w:val="00796B82"/>
    <w:rsid w:val="00796ECE"/>
    <w:rsid w:val="00797FB7"/>
    <w:rsid w:val="007A0B8D"/>
    <w:rsid w:val="007A2426"/>
    <w:rsid w:val="007A4CC2"/>
    <w:rsid w:val="007A7782"/>
    <w:rsid w:val="007A7F73"/>
    <w:rsid w:val="007B1B6F"/>
    <w:rsid w:val="007B44E7"/>
    <w:rsid w:val="007B5703"/>
    <w:rsid w:val="007B7EA0"/>
    <w:rsid w:val="007C05BE"/>
    <w:rsid w:val="007C0F33"/>
    <w:rsid w:val="007C11BC"/>
    <w:rsid w:val="007C1A44"/>
    <w:rsid w:val="007C20F8"/>
    <w:rsid w:val="007C24E6"/>
    <w:rsid w:val="007C3781"/>
    <w:rsid w:val="007C421C"/>
    <w:rsid w:val="007C5C8E"/>
    <w:rsid w:val="007C7033"/>
    <w:rsid w:val="007C7814"/>
    <w:rsid w:val="007C7FC5"/>
    <w:rsid w:val="007D03D5"/>
    <w:rsid w:val="007E1DC0"/>
    <w:rsid w:val="007E6BF3"/>
    <w:rsid w:val="007E7F35"/>
    <w:rsid w:val="007F0A38"/>
    <w:rsid w:val="007F0D63"/>
    <w:rsid w:val="007F2874"/>
    <w:rsid w:val="007F4437"/>
    <w:rsid w:val="007F467C"/>
    <w:rsid w:val="007F5813"/>
    <w:rsid w:val="007F5C5D"/>
    <w:rsid w:val="007F5C80"/>
    <w:rsid w:val="007F7564"/>
    <w:rsid w:val="007F7769"/>
    <w:rsid w:val="00801470"/>
    <w:rsid w:val="008025C5"/>
    <w:rsid w:val="00805FD7"/>
    <w:rsid w:val="008061C9"/>
    <w:rsid w:val="008064FE"/>
    <w:rsid w:val="00806E67"/>
    <w:rsid w:val="008101A0"/>
    <w:rsid w:val="00810793"/>
    <w:rsid w:val="00810957"/>
    <w:rsid w:val="008114B5"/>
    <w:rsid w:val="00813600"/>
    <w:rsid w:val="008153EA"/>
    <w:rsid w:val="00816488"/>
    <w:rsid w:val="00822CF6"/>
    <w:rsid w:val="008233CE"/>
    <w:rsid w:val="008236F5"/>
    <w:rsid w:val="00826EE1"/>
    <w:rsid w:val="00827B62"/>
    <w:rsid w:val="00827B93"/>
    <w:rsid w:val="00830147"/>
    <w:rsid w:val="0083023D"/>
    <w:rsid w:val="008331A3"/>
    <w:rsid w:val="0083484F"/>
    <w:rsid w:val="008359B0"/>
    <w:rsid w:val="008377CD"/>
    <w:rsid w:val="008411AE"/>
    <w:rsid w:val="00845F60"/>
    <w:rsid w:val="008462AB"/>
    <w:rsid w:val="00847998"/>
    <w:rsid w:val="00851238"/>
    <w:rsid w:val="0085396D"/>
    <w:rsid w:val="008544A5"/>
    <w:rsid w:val="0085647E"/>
    <w:rsid w:val="00856859"/>
    <w:rsid w:val="008600A5"/>
    <w:rsid w:val="00860524"/>
    <w:rsid w:val="00862769"/>
    <w:rsid w:val="00862A92"/>
    <w:rsid w:val="00862B3D"/>
    <w:rsid w:val="008630C0"/>
    <w:rsid w:val="0086385F"/>
    <w:rsid w:val="00864A36"/>
    <w:rsid w:val="00864CCA"/>
    <w:rsid w:val="00866E56"/>
    <w:rsid w:val="00867193"/>
    <w:rsid w:val="00870D6A"/>
    <w:rsid w:val="0087336D"/>
    <w:rsid w:val="0087395B"/>
    <w:rsid w:val="008740C5"/>
    <w:rsid w:val="00875308"/>
    <w:rsid w:val="008758BA"/>
    <w:rsid w:val="00875F29"/>
    <w:rsid w:val="00876675"/>
    <w:rsid w:val="0088013F"/>
    <w:rsid w:val="008847E7"/>
    <w:rsid w:val="00887220"/>
    <w:rsid w:val="00891DD2"/>
    <w:rsid w:val="00892FE8"/>
    <w:rsid w:val="008931EA"/>
    <w:rsid w:val="00895659"/>
    <w:rsid w:val="008966FC"/>
    <w:rsid w:val="00896D71"/>
    <w:rsid w:val="00897DB9"/>
    <w:rsid w:val="008A11C0"/>
    <w:rsid w:val="008A19E4"/>
    <w:rsid w:val="008A20FB"/>
    <w:rsid w:val="008A3584"/>
    <w:rsid w:val="008A3C82"/>
    <w:rsid w:val="008A3E33"/>
    <w:rsid w:val="008A3E94"/>
    <w:rsid w:val="008A63F5"/>
    <w:rsid w:val="008A655C"/>
    <w:rsid w:val="008A6629"/>
    <w:rsid w:val="008A67FB"/>
    <w:rsid w:val="008A68A3"/>
    <w:rsid w:val="008B011E"/>
    <w:rsid w:val="008B0371"/>
    <w:rsid w:val="008B0C1F"/>
    <w:rsid w:val="008B2BD2"/>
    <w:rsid w:val="008B3D48"/>
    <w:rsid w:val="008B460C"/>
    <w:rsid w:val="008B4D96"/>
    <w:rsid w:val="008B667F"/>
    <w:rsid w:val="008B75E8"/>
    <w:rsid w:val="008B7E14"/>
    <w:rsid w:val="008C0561"/>
    <w:rsid w:val="008C2105"/>
    <w:rsid w:val="008C2545"/>
    <w:rsid w:val="008C2C1C"/>
    <w:rsid w:val="008C339E"/>
    <w:rsid w:val="008C3F2F"/>
    <w:rsid w:val="008C4F5A"/>
    <w:rsid w:val="008D0C75"/>
    <w:rsid w:val="008D0F20"/>
    <w:rsid w:val="008D1AD6"/>
    <w:rsid w:val="008D21D7"/>
    <w:rsid w:val="008D2DD6"/>
    <w:rsid w:val="008D4BCE"/>
    <w:rsid w:val="008D6DF0"/>
    <w:rsid w:val="008D73F1"/>
    <w:rsid w:val="008E03A2"/>
    <w:rsid w:val="008E0945"/>
    <w:rsid w:val="008E138E"/>
    <w:rsid w:val="008E2E2F"/>
    <w:rsid w:val="008E67C3"/>
    <w:rsid w:val="008E787D"/>
    <w:rsid w:val="008F0E01"/>
    <w:rsid w:val="008F4464"/>
    <w:rsid w:val="008F4AC6"/>
    <w:rsid w:val="009017A6"/>
    <w:rsid w:val="00902D12"/>
    <w:rsid w:val="00902D27"/>
    <w:rsid w:val="00903203"/>
    <w:rsid w:val="009037AE"/>
    <w:rsid w:val="00903A82"/>
    <w:rsid w:val="00904146"/>
    <w:rsid w:val="00904C4A"/>
    <w:rsid w:val="00904C67"/>
    <w:rsid w:val="0090512D"/>
    <w:rsid w:val="00905670"/>
    <w:rsid w:val="009076EA"/>
    <w:rsid w:val="00907911"/>
    <w:rsid w:val="00911225"/>
    <w:rsid w:val="00911B09"/>
    <w:rsid w:val="00911BB8"/>
    <w:rsid w:val="00914231"/>
    <w:rsid w:val="009168DD"/>
    <w:rsid w:val="009207E3"/>
    <w:rsid w:val="00920801"/>
    <w:rsid w:val="00921768"/>
    <w:rsid w:val="00924325"/>
    <w:rsid w:val="00924A82"/>
    <w:rsid w:val="00924ECA"/>
    <w:rsid w:val="009260FA"/>
    <w:rsid w:val="00926729"/>
    <w:rsid w:val="00926B2E"/>
    <w:rsid w:val="0092786E"/>
    <w:rsid w:val="009311E5"/>
    <w:rsid w:val="00934162"/>
    <w:rsid w:val="00934E66"/>
    <w:rsid w:val="00934EAF"/>
    <w:rsid w:val="00935045"/>
    <w:rsid w:val="00936E79"/>
    <w:rsid w:val="00941B02"/>
    <w:rsid w:val="0094269E"/>
    <w:rsid w:val="00944A71"/>
    <w:rsid w:val="00944D75"/>
    <w:rsid w:val="00944E72"/>
    <w:rsid w:val="00945C79"/>
    <w:rsid w:val="00946897"/>
    <w:rsid w:val="00946E58"/>
    <w:rsid w:val="00947A97"/>
    <w:rsid w:val="00947B58"/>
    <w:rsid w:val="00947CEE"/>
    <w:rsid w:val="00951AC2"/>
    <w:rsid w:val="0095332A"/>
    <w:rsid w:val="0095387F"/>
    <w:rsid w:val="00954CB0"/>
    <w:rsid w:val="009574A1"/>
    <w:rsid w:val="0096184E"/>
    <w:rsid w:val="00962D22"/>
    <w:rsid w:val="00963916"/>
    <w:rsid w:val="00964DAE"/>
    <w:rsid w:val="00965B13"/>
    <w:rsid w:val="00967435"/>
    <w:rsid w:val="00970820"/>
    <w:rsid w:val="00970B03"/>
    <w:rsid w:val="0097171E"/>
    <w:rsid w:val="009717C0"/>
    <w:rsid w:val="00972502"/>
    <w:rsid w:val="009741DB"/>
    <w:rsid w:val="00975895"/>
    <w:rsid w:val="009764E0"/>
    <w:rsid w:val="009767D3"/>
    <w:rsid w:val="00977584"/>
    <w:rsid w:val="0097773A"/>
    <w:rsid w:val="00980420"/>
    <w:rsid w:val="009829B9"/>
    <w:rsid w:val="00984FBF"/>
    <w:rsid w:val="00986AA3"/>
    <w:rsid w:val="00991670"/>
    <w:rsid w:val="00992444"/>
    <w:rsid w:val="00993FC3"/>
    <w:rsid w:val="009961A8"/>
    <w:rsid w:val="00997014"/>
    <w:rsid w:val="009A06BB"/>
    <w:rsid w:val="009A2DF4"/>
    <w:rsid w:val="009A44C7"/>
    <w:rsid w:val="009A5C92"/>
    <w:rsid w:val="009A61D6"/>
    <w:rsid w:val="009A6CE3"/>
    <w:rsid w:val="009A6D08"/>
    <w:rsid w:val="009B06E1"/>
    <w:rsid w:val="009B09A1"/>
    <w:rsid w:val="009B1374"/>
    <w:rsid w:val="009B45FF"/>
    <w:rsid w:val="009B48F9"/>
    <w:rsid w:val="009B5EDF"/>
    <w:rsid w:val="009B6AB9"/>
    <w:rsid w:val="009C04FB"/>
    <w:rsid w:val="009C13D2"/>
    <w:rsid w:val="009C29C8"/>
    <w:rsid w:val="009C2D9E"/>
    <w:rsid w:val="009C3CE4"/>
    <w:rsid w:val="009C3E2C"/>
    <w:rsid w:val="009C576B"/>
    <w:rsid w:val="009C5B25"/>
    <w:rsid w:val="009D0A86"/>
    <w:rsid w:val="009D1A67"/>
    <w:rsid w:val="009D4E64"/>
    <w:rsid w:val="009D614A"/>
    <w:rsid w:val="009E110E"/>
    <w:rsid w:val="009E20C7"/>
    <w:rsid w:val="009E2B1C"/>
    <w:rsid w:val="009E3624"/>
    <w:rsid w:val="009E630B"/>
    <w:rsid w:val="009F1A85"/>
    <w:rsid w:val="009F396E"/>
    <w:rsid w:val="009F40C4"/>
    <w:rsid w:val="009F4DA4"/>
    <w:rsid w:val="009F53CE"/>
    <w:rsid w:val="009F5594"/>
    <w:rsid w:val="009F627D"/>
    <w:rsid w:val="009F670F"/>
    <w:rsid w:val="009F6A74"/>
    <w:rsid w:val="009F6BB7"/>
    <w:rsid w:val="009F6DFE"/>
    <w:rsid w:val="009F7A4E"/>
    <w:rsid w:val="00A015A3"/>
    <w:rsid w:val="00A01681"/>
    <w:rsid w:val="00A022DB"/>
    <w:rsid w:val="00A02CED"/>
    <w:rsid w:val="00A057C3"/>
    <w:rsid w:val="00A121F3"/>
    <w:rsid w:val="00A1278C"/>
    <w:rsid w:val="00A12D45"/>
    <w:rsid w:val="00A1360B"/>
    <w:rsid w:val="00A14069"/>
    <w:rsid w:val="00A172D6"/>
    <w:rsid w:val="00A2102E"/>
    <w:rsid w:val="00A21C21"/>
    <w:rsid w:val="00A23159"/>
    <w:rsid w:val="00A235ED"/>
    <w:rsid w:val="00A23F9D"/>
    <w:rsid w:val="00A25426"/>
    <w:rsid w:val="00A305A5"/>
    <w:rsid w:val="00A31669"/>
    <w:rsid w:val="00A31830"/>
    <w:rsid w:val="00A43163"/>
    <w:rsid w:val="00A437F7"/>
    <w:rsid w:val="00A46A2E"/>
    <w:rsid w:val="00A47F2E"/>
    <w:rsid w:val="00A50D33"/>
    <w:rsid w:val="00A50DD0"/>
    <w:rsid w:val="00A51F25"/>
    <w:rsid w:val="00A5278D"/>
    <w:rsid w:val="00A557EC"/>
    <w:rsid w:val="00A57891"/>
    <w:rsid w:val="00A57B44"/>
    <w:rsid w:val="00A601D1"/>
    <w:rsid w:val="00A60263"/>
    <w:rsid w:val="00A60377"/>
    <w:rsid w:val="00A60950"/>
    <w:rsid w:val="00A61420"/>
    <w:rsid w:val="00A61E9F"/>
    <w:rsid w:val="00A62580"/>
    <w:rsid w:val="00A63335"/>
    <w:rsid w:val="00A65B12"/>
    <w:rsid w:val="00A6775B"/>
    <w:rsid w:val="00A70B32"/>
    <w:rsid w:val="00A71AA5"/>
    <w:rsid w:val="00A7299C"/>
    <w:rsid w:val="00A729B1"/>
    <w:rsid w:val="00A72FE7"/>
    <w:rsid w:val="00A74B68"/>
    <w:rsid w:val="00A76371"/>
    <w:rsid w:val="00A76472"/>
    <w:rsid w:val="00A769BA"/>
    <w:rsid w:val="00A80037"/>
    <w:rsid w:val="00A8117F"/>
    <w:rsid w:val="00A82296"/>
    <w:rsid w:val="00A82375"/>
    <w:rsid w:val="00A82F50"/>
    <w:rsid w:val="00A83970"/>
    <w:rsid w:val="00A84614"/>
    <w:rsid w:val="00A853EF"/>
    <w:rsid w:val="00A85EEE"/>
    <w:rsid w:val="00A8699F"/>
    <w:rsid w:val="00A9008F"/>
    <w:rsid w:val="00A90560"/>
    <w:rsid w:val="00A915C5"/>
    <w:rsid w:val="00A9387C"/>
    <w:rsid w:val="00A94A2C"/>
    <w:rsid w:val="00A96204"/>
    <w:rsid w:val="00A964A5"/>
    <w:rsid w:val="00A9655D"/>
    <w:rsid w:val="00A979A3"/>
    <w:rsid w:val="00A97D9E"/>
    <w:rsid w:val="00AA0092"/>
    <w:rsid w:val="00AA0E61"/>
    <w:rsid w:val="00AA330F"/>
    <w:rsid w:val="00AA4589"/>
    <w:rsid w:val="00AA5041"/>
    <w:rsid w:val="00AA620F"/>
    <w:rsid w:val="00AA6CDE"/>
    <w:rsid w:val="00AA75DA"/>
    <w:rsid w:val="00AB2AE4"/>
    <w:rsid w:val="00AB4625"/>
    <w:rsid w:val="00AB5508"/>
    <w:rsid w:val="00AC1271"/>
    <w:rsid w:val="00AC1E9B"/>
    <w:rsid w:val="00AC47D3"/>
    <w:rsid w:val="00AC7CF3"/>
    <w:rsid w:val="00AD057B"/>
    <w:rsid w:val="00AD4FBB"/>
    <w:rsid w:val="00AD61AF"/>
    <w:rsid w:val="00AD77CF"/>
    <w:rsid w:val="00AD78FD"/>
    <w:rsid w:val="00AD7ADE"/>
    <w:rsid w:val="00AD7C38"/>
    <w:rsid w:val="00AE0185"/>
    <w:rsid w:val="00AE0277"/>
    <w:rsid w:val="00AE198D"/>
    <w:rsid w:val="00AE2F96"/>
    <w:rsid w:val="00AE375D"/>
    <w:rsid w:val="00AE3BFD"/>
    <w:rsid w:val="00AE4455"/>
    <w:rsid w:val="00AE48E6"/>
    <w:rsid w:val="00AE5A53"/>
    <w:rsid w:val="00AE7E5E"/>
    <w:rsid w:val="00AF0F96"/>
    <w:rsid w:val="00AF0FA4"/>
    <w:rsid w:val="00AF1F47"/>
    <w:rsid w:val="00AF381E"/>
    <w:rsid w:val="00AF44F2"/>
    <w:rsid w:val="00AF5752"/>
    <w:rsid w:val="00AF5B3C"/>
    <w:rsid w:val="00AF62D4"/>
    <w:rsid w:val="00AF6512"/>
    <w:rsid w:val="00AF6D3E"/>
    <w:rsid w:val="00B006E0"/>
    <w:rsid w:val="00B026DA"/>
    <w:rsid w:val="00B03595"/>
    <w:rsid w:val="00B05F15"/>
    <w:rsid w:val="00B06295"/>
    <w:rsid w:val="00B07CCA"/>
    <w:rsid w:val="00B110AD"/>
    <w:rsid w:val="00B1169C"/>
    <w:rsid w:val="00B11DB6"/>
    <w:rsid w:val="00B13196"/>
    <w:rsid w:val="00B1447A"/>
    <w:rsid w:val="00B1519A"/>
    <w:rsid w:val="00B15551"/>
    <w:rsid w:val="00B16642"/>
    <w:rsid w:val="00B17271"/>
    <w:rsid w:val="00B214CA"/>
    <w:rsid w:val="00B225AF"/>
    <w:rsid w:val="00B22C41"/>
    <w:rsid w:val="00B243DC"/>
    <w:rsid w:val="00B24BEB"/>
    <w:rsid w:val="00B25BB4"/>
    <w:rsid w:val="00B27DBE"/>
    <w:rsid w:val="00B3037E"/>
    <w:rsid w:val="00B309D1"/>
    <w:rsid w:val="00B30A1A"/>
    <w:rsid w:val="00B31C35"/>
    <w:rsid w:val="00B33033"/>
    <w:rsid w:val="00B3476C"/>
    <w:rsid w:val="00B35EBD"/>
    <w:rsid w:val="00B36FC7"/>
    <w:rsid w:val="00B40946"/>
    <w:rsid w:val="00B416CB"/>
    <w:rsid w:val="00B42824"/>
    <w:rsid w:val="00B4287F"/>
    <w:rsid w:val="00B42B34"/>
    <w:rsid w:val="00B4415B"/>
    <w:rsid w:val="00B44284"/>
    <w:rsid w:val="00B44D11"/>
    <w:rsid w:val="00B452E2"/>
    <w:rsid w:val="00B4618F"/>
    <w:rsid w:val="00B4789B"/>
    <w:rsid w:val="00B50D4E"/>
    <w:rsid w:val="00B565F0"/>
    <w:rsid w:val="00B56943"/>
    <w:rsid w:val="00B57313"/>
    <w:rsid w:val="00B610DD"/>
    <w:rsid w:val="00B6334A"/>
    <w:rsid w:val="00B640EE"/>
    <w:rsid w:val="00B64CF7"/>
    <w:rsid w:val="00B657F2"/>
    <w:rsid w:val="00B65950"/>
    <w:rsid w:val="00B700C7"/>
    <w:rsid w:val="00B729E8"/>
    <w:rsid w:val="00B7411E"/>
    <w:rsid w:val="00B76BA6"/>
    <w:rsid w:val="00B82AC0"/>
    <w:rsid w:val="00B8309F"/>
    <w:rsid w:val="00B84B3B"/>
    <w:rsid w:val="00B84E59"/>
    <w:rsid w:val="00B85E05"/>
    <w:rsid w:val="00B87876"/>
    <w:rsid w:val="00B87981"/>
    <w:rsid w:val="00B91A29"/>
    <w:rsid w:val="00B91DEB"/>
    <w:rsid w:val="00B92618"/>
    <w:rsid w:val="00B92B02"/>
    <w:rsid w:val="00B93279"/>
    <w:rsid w:val="00B94926"/>
    <w:rsid w:val="00B956F5"/>
    <w:rsid w:val="00B97459"/>
    <w:rsid w:val="00BA104A"/>
    <w:rsid w:val="00BA3541"/>
    <w:rsid w:val="00BA5314"/>
    <w:rsid w:val="00BA68AB"/>
    <w:rsid w:val="00BA6963"/>
    <w:rsid w:val="00BB12C9"/>
    <w:rsid w:val="00BB1F36"/>
    <w:rsid w:val="00BB2905"/>
    <w:rsid w:val="00BB378A"/>
    <w:rsid w:val="00BB63F5"/>
    <w:rsid w:val="00BC0EBA"/>
    <w:rsid w:val="00BC1110"/>
    <w:rsid w:val="00BC1B34"/>
    <w:rsid w:val="00BC5B3E"/>
    <w:rsid w:val="00BC79B1"/>
    <w:rsid w:val="00BD0FF1"/>
    <w:rsid w:val="00BD167B"/>
    <w:rsid w:val="00BD37EF"/>
    <w:rsid w:val="00BD3BD7"/>
    <w:rsid w:val="00BD3C61"/>
    <w:rsid w:val="00BD64C8"/>
    <w:rsid w:val="00BE040A"/>
    <w:rsid w:val="00BE1F98"/>
    <w:rsid w:val="00BE3D39"/>
    <w:rsid w:val="00BE68D5"/>
    <w:rsid w:val="00BE7A91"/>
    <w:rsid w:val="00BF114E"/>
    <w:rsid w:val="00BF1920"/>
    <w:rsid w:val="00BF19DD"/>
    <w:rsid w:val="00BF1DEF"/>
    <w:rsid w:val="00BF2020"/>
    <w:rsid w:val="00BF29A4"/>
    <w:rsid w:val="00BF4BFD"/>
    <w:rsid w:val="00BF5F20"/>
    <w:rsid w:val="00BF6D38"/>
    <w:rsid w:val="00BF7E95"/>
    <w:rsid w:val="00C02D30"/>
    <w:rsid w:val="00C02D82"/>
    <w:rsid w:val="00C02F21"/>
    <w:rsid w:val="00C034C7"/>
    <w:rsid w:val="00C04227"/>
    <w:rsid w:val="00C05D67"/>
    <w:rsid w:val="00C05DA6"/>
    <w:rsid w:val="00C07031"/>
    <w:rsid w:val="00C0785E"/>
    <w:rsid w:val="00C07BA9"/>
    <w:rsid w:val="00C07DA4"/>
    <w:rsid w:val="00C10878"/>
    <w:rsid w:val="00C10933"/>
    <w:rsid w:val="00C11448"/>
    <w:rsid w:val="00C13DAB"/>
    <w:rsid w:val="00C14488"/>
    <w:rsid w:val="00C14EF1"/>
    <w:rsid w:val="00C14F51"/>
    <w:rsid w:val="00C1539F"/>
    <w:rsid w:val="00C153FF"/>
    <w:rsid w:val="00C15E69"/>
    <w:rsid w:val="00C21B12"/>
    <w:rsid w:val="00C225FF"/>
    <w:rsid w:val="00C24275"/>
    <w:rsid w:val="00C25933"/>
    <w:rsid w:val="00C26A05"/>
    <w:rsid w:val="00C26C1E"/>
    <w:rsid w:val="00C3049B"/>
    <w:rsid w:val="00C308A3"/>
    <w:rsid w:val="00C30D61"/>
    <w:rsid w:val="00C31475"/>
    <w:rsid w:val="00C31798"/>
    <w:rsid w:val="00C317FB"/>
    <w:rsid w:val="00C319C8"/>
    <w:rsid w:val="00C32A0A"/>
    <w:rsid w:val="00C32BD3"/>
    <w:rsid w:val="00C345E3"/>
    <w:rsid w:val="00C36279"/>
    <w:rsid w:val="00C374E2"/>
    <w:rsid w:val="00C37E43"/>
    <w:rsid w:val="00C40077"/>
    <w:rsid w:val="00C41409"/>
    <w:rsid w:val="00C41C02"/>
    <w:rsid w:val="00C424EB"/>
    <w:rsid w:val="00C429C3"/>
    <w:rsid w:val="00C4535C"/>
    <w:rsid w:val="00C45C88"/>
    <w:rsid w:val="00C4625C"/>
    <w:rsid w:val="00C46C03"/>
    <w:rsid w:val="00C47FF6"/>
    <w:rsid w:val="00C503C1"/>
    <w:rsid w:val="00C5163C"/>
    <w:rsid w:val="00C51C17"/>
    <w:rsid w:val="00C52FB6"/>
    <w:rsid w:val="00C56DC7"/>
    <w:rsid w:val="00C57208"/>
    <w:rsid w:val="00C57B63"/>
    <w:rsid w:val="00C606A7"/>
    <w:rsid w:val="00C60BE9"/>
    <w:rsid w:val="00C61D48"/>
    <w:rsid w:val="00C62247"/>
    <w:rsid w:val="00C6254F"/>
    <w:rsid w:val="00C640C6"/>
    <w:rsid w:val="00C644CD"/>
    <w:rsid w:val="00C6769C"/>
    <w:rsid w:val="00C7021D"/>
    <w:rsid w:val="00C7129E"/>
    <w:rsid w:val="00C723D6"/>
    <w:rsid w:val="00C727EF"/>
    <w:rsid w:val="00C72BCD"/>
    <w:rsid w:val="00C75389"/>
    <w:rsid w:val="00C75B11"/>
    <w:rsid w:val="00C76588"/>
    <w:rsid w:val="00C82D15"/>
    <w:rsid w:val="00C846A1"/>
    <w:rsid w:val="00C8496E"/>
    <w:rsid w:val="00C855B8"/>
    <w:rsid w:val="00C85F58"/>
    <w:rsid w:val="00C86540"/>
    <w:rsid w:val="00C873BC"/>
    <w:rsid w:val="00C913DF"/>
    <w:rsid w:val="00C93271"/>
    <w:rsid w:val="00C93617"/>
    <w:rsid w:val="00C9414D"/>
    <w:rsid w:val="00C948E5"/>
    <w:rsid w:val="00C950FB"/>
    <w:rsid w:val="00C9545E"/>
    <w:rsid w:val="00C97AA1"/>
    <w:rsid w:val="00CA0688"/>
    <w:rsid w:val="00CA0969"/>
    <w:rsid w:val="00CA0C8D"/>
    <w:rsid w:val="00CA27D5"/>
    <w:rsid w:val="00CA2EAA"/>
    <w:rsid w:val="00CA539A"/>
    <w:rsid w:val="00CA597B"/>
    <w:rsid w:val="00CA65C4"/>
    <w:rsid w:val="00CA7743"/>
    <w:rsid w:val="00CA77F3"/>
    <w:rsid w:val="00CA7879"/>
    <w:rsid w:val="00CA7951"/>
    <w:rsid w:val="00CB0CF1"/>
    <w:rsid w:val="00CB3419"/>
    <w:rsid w:val="00CB3F2F"/>
    <w:rsid w:val="00CB4AC1"/>
    <w:rsid w:val="00CB577E"/>
    <w:rsid w:val="00CB5920"/>
    <w:rsid w:val="00CB63AC"/>
    <w:rsid w:val="00CB6CC2"/>
    <w:rsid w:val="00CB7AEB"/>
    <w:rsid w:val="00CC0651"/>
    <w:rsid w:val="00CC0E67"/>
    <w:rsid w:val="00CC339A"/>
    <w:rsid w:val="00CC5000"/>
    <w:rsid w:val="00CC559C"/>
    <w:rsid w:val="00CC6102"/>
    <w:rsid w:val="00CC6C4D"/>
    <w:rsid w:val="00CC6CBC"/>
    <w:rsid w:val="00CD2C78"/>
    <w:rsid w:val="00CD300F"/>
    <w:rsid w:val="00CD49D8"/>
    <w:rsid w:val="00CD538F"/>
    <w:rsid w:val="00CD6AE3"/>
    <w:rsid w:val="00CD72DD"/>
    <w:rsid w:val="00CE16C3"/>
    <w:rsid w:val="00CE2A40"/>
    <w:rsid w:val="00CE341A"/>
    <w:rsid w:val="00CE49B6"/>
    <w:rsid w:val="00CE58C5"/>
    <w:rsid w:val="00CE72D0"/>
    <w:rsid w:val="00CE7BA4"/>
    <w:rsid w:val="00CE7E60"/>
    <w:rsid w:val="00CF07FC"/>
    <w:rsid w:val="00CF0C5B"/>
    <w:rsid w:val="00CF1134"/>
    <w:rsid w:val="00CF1A90"/>
    <w:rsid w:val="00CF5C0D"/>
    <w:rsid w:val="00CF666C"/>
    <w:rsid w:val="00CF7117"/>
    <w:rsid w:val="00CF778C"/>
    <w:rsid w:val="00CF7AFE"/>
    <w:rsid w:val="00D06413"/>
    <w:rsid w:val="00D064E2"/>
    <w:rsid w:val="00D073FE"/>
    <w:rsid w:val="00D0785A"/>
    <w:rsid w:val="00D07CDF"/>
    <w:rsid w:val="00D07D0C"/>
    <w:rsid w:val="00D10722"/>
    <w:rsid w:val="00D11D23"/>
    <w:rsid w:val="00D12542"/>
    <w:rsid w:val="00D12EAC"/>
    <w:rsid w:val="00D134B6"/>
    <w:rsid w:val="00D171F9"/>
    <w:rsid w:val="00D1762A"/>
    <w:rsid w:val="00D2004E"/>
    <w:rsid w:val="00D203C4"/>
    <w:rsid w:val="00D220D1"/>
    <w:rsid w:val="00D23881"/>
    <w:rsid w:val="00D24F62"/>
    <w:rsid w:val="00D250FD"/>
    <w:rsid w:val="00D26DA9"/>
    <w:rsid w:val="00D270D7"/>
    <w:rsid w:val="00D27A0E"/>
    <w:rsid w:val="00D327B4"/>
    <w:rsid w:val="00D32F3C"/>
    <w:rsid w:val="00D33161"/>
    <w:rsid w:val="00D33BDF"/>
    <w:rsid w:val="00D34DB4"/>
    <w:rsid w:val="00D37299"/>
    <w:rsid w:val="00D37869"/>
    <w:rsid w:val="00D37C5D"/>
    <w:rsid w:val="00D42369"/>
    <w:rsid w:val="00D4245A"/>
    <w:rsid w:val="00D4258B"/>
    <w:rsid w:val="00D43CC2"/>
    <w:rsid w:val="00D47CA2"/>
    <w:rsid w:val="00D51D6D"/>
    <w:rsid w:val="00D5242A"/>
    <w:rsid w:val="00D53370"/>
    <w:rsid w:val="00D554FE"/>
    <w:rsid w:val="00D55A62"/>
    <w:rsid w:val="00D62079"/>
    <w:rsid w:val="00D645B7"/>
    <w:rsid w:val="00D65BFD"/>
    <w:rsid w:val="00D67F2F"/>
    <w:rsid w:val="00D70F14"/>
    <w:rsid w:val="00D71943"/>
    <w:rsid w:val="00D728A0"/>
    <w:rsid w:val="00D74689"/>
    <w:rsid w:val="00D77FA0"/>
    <w:rsid w:val="00D80035"/>
    <w:rsid w:val="00D819BE"/>
    <w:rsid w:val="00D8218F"/>
    <w:rsid w:val="00D82562"/>
    <w:rsid w:val="00D82FA2"/>
    <w:rsid w:val="00D866BB"/>
    <w:rsid w:val="00D86FA3"/>
    <w:rsid w:val="00D9037A"/>
    <w:rsid w:val="00D90DB7"/>
    <w:rsid w:val="00D91A41"/>
    <w:rsid w:val="00D91C37"/>
    <w:rsid w:val="00D92C1F"/>
    <w:rsid w:val="00D95F5F"/>
    <w:rsid w:val="00D9787C"/>
    <w:rsid w:val="00DA15F6"/>
    <w:rsid w:val="00DA1AFB"/>
    <w:rsid w:val="00DA3091"/>
    <w:rsid w:val="00DA3F9E"/>
    <w:rsid w:val="00DA41AA"/>
    <w:rsid w:val="00DA523F"/>
    <w:rsid w:val="00DA6856"/>
    <w:rsid w:val="00DA6D45"/>
    <w:rsid w:val="00DA6FD5"/>
    <w:rsid w:val="00DA70FD"/>
    <w:rsid w:val="00DB0AC5"/>
    <w:rsid w:val="00DB1454"/>
    <w:rsid w:val="00DB1705"/>
    <w:rsid w:val="00DB21C3"/>
    <w:rsid w:val="00DB4F74"/>
    <w:rsid w:val="00DB51EB"/>
    <w:rsid w:val="00DB6680"/>
    <w:rsid w:val="00DB6F5D"/>
    <w:rsid w:val="00DB7696"/>
    <w:rsid w:val="00DC2BEE"/>
    <w:rsid w:val="00DC3145"/>
    <w:rsid w:val="00DC3A38"/>
    <w:rsid w:val="00DC5DAF"/>
    <w:rsid w:val="00DC66C8"/>
    <w:rsid w:val="00DC66F8"/>
    <w:rsid w:val="00DC7B2B"/>
    <w:rsid w:val="00DD0378"/>
    <w:rsid w:val="00DD204E"/>
    <w:rsid w:val="00DD2179"/>
    <w:rsid w:val="00DD35E1"/>
    <w:rsid w:val="00DD3FCD"/>
    <w:rsid w:val="00DD6F33"/>
    <w:rsid w:val="00DD76FD"/>
    <w:rsid w:val="00DD7C72"/>
    <w:rsid w:val="00DE10D8"/>
    <w:rsid w:val="00DE1791"/>
    <w:rsid w:val="00DE3C0C"/>
    <w:rsid w:val="00DE3C21"/>
    <w:rsid w:val="00DE5365"/>
    <w:rsid w:val="00DE65AC"/>
    <w:rsid w:val="00DE6C3B"/>
    <w:rsid w:val="00DE7000"/>
    <w:rsid w:val="00DE7545"/>
    <w:rsid w:val="00DF1D2B"/>
    <w:rsid w:val="00DF290C"/>
    <w:rsid w:val="00DF425B"/>
    <w:rsid w:val="00DF465E"/>
    <w:rsid w:val="00DF5163"/>
    <w:rsid w:val="00DF584E"/>
    <w:rsid w:val="00DF640B"/>
    <w:rsid w:val="00E02545"/>
    <w:rsid w:val="00E028A6"/>
    <w:rsid w:val="00E02D4B"/>
    <w:rsid w:val="00E03B0F"/>
    <w:rsid w:val="00E03FEA"/>
    <w:rsid w:val="00E06508"/>
    <w:rsid w:val="00E067F8"/>
    <w:rsid w:val="00E12507"/>
    <w:rsid w:val="00E12845"/>
    <w:rsid w:val="00E16F16"/>
    <w:rsid w:val="00E16FE3"/>
    <w:rsid w:val="00E17021"/>
    <w:rsid w:val="00E2365B"/>
    <w:rsid w:val="00E23C2C"/>
    <w:rsid w:val="00E257E3"/>
    <w:rsid w:val="00E2606C"/>
    <w:rsid w:val="00E2731E"/>
    <w:rsid w:val="00E27680"/>
    <w:rsid w:val="00E317EA"/>
    <w:rsid w:val="00E321B8"/>
    <w:rsid w:val="00E34EB0"/>
    <w:rsid w:val="00E35A1E"/>
    <w:rsid w:val="00E36C8F"/>
    <w:rsid w:val="00E408C4"/>
    <w:rsid w:val="00E41201"/>
    <w:rsid w:val="00E4174C"/>
    <w:rsid w:val="00E41F26"/>
    <w:rsid w:val="00E43322"/>
    <w:rsid w:val="00E43444"/>
    <w:rsid w:val="00E43E10"/>
    <w:rsid w:val="00E45A61"/>
    <w:rsid w:val="00E46045"/>
    <w:rsid w:val="00E46A82"/>
    <w:rsid w:val="00E5056D"/>
    <w:rsid w:val="00E50ADC"/>
    <w:rsid w:val="00E539B0"/>
    <w:rsid w:val="00E5440D"/>
    <w:rsid w:val="00E54C23"/>
    <w:rsid w:val="00E54DDF"/>
    <w:rsid w:val="00E55363"/>
    <w:rsid w:val="00E57245"/>
    <w:rsid w:val="00E57763"/>
    <w:rsid w:val="00E60A23"/>
    <w:rsid w:val="00E6502C"/>
    <w:rsid w:val="00E665E2"/>
    <w:rsid w:val="00E66664"/>
    <w:rsid w:val="00E703BB"/>
    <w:rsid w:val="00E71408"/>
    <w:rsid w:val="00E71ADC"/>
    <w:rsid w:val="00E734C2"/>
    <w:rsid w:val="00E75798"/>
    <w:rsid w:val="00E757CB"/>
    <w:rsid w:val="00E759F8"/>
    <w:rsid w:val="00E774C7"/>
    <w:rsid w:val="00E82CAA"/>
    <w:rsid w:val="00E83487"/>
    <w:rsid w:val="00E84AA7"/>
    <w:rsid w:val="00E84B75"/>
    <w:rsid w:val="00E85CF8"/>
    <w:rsid w:val="00E85FE1"/>
    <w:rsid w:val="00E865AC"/>
    <w:rsid w:val="00E900AB"/>
    <w:rsid w:val="00E90152"/>
    <w:rsid w:val="00E96193"/>
    <w:rsid w:val="00E96215"/>
    <w:rsid w:val="00EA157C"/>
    <w:rsid w:val="00EA1F30"/>
    <w:rsid w:val="00EA2648"/>
    <w:rsid w:val="00EA4D03"/>
    <w:rsid w:val="00EA5309"/>
    <w:rsid w:val="00EA6B7A"/>
    <w:rsid w:val="00EB10E7"/>
    <w:rsid w:val="00EB47A6"/>
    <w:rsid w:val="00EB47E6"/>
    <w:rsid w:val="00EB5BA6"/>
    <w:rsid w:val="00EB5E45"/>
    <w:rsid w:val="00EB678E"/>
    <w:rsid w:val="00EB6A5C"/>
    <w:rsid w:val="00EB7079"/>
    <w:rsid w:val="00EB7221"/>
    <w:rsid w:val="00EC1674"/>
    <w:rsid w:val="00EC1C88"/>
    <w:rsid w:val="00EC43C9"/>
    <w:rsid w:val="00EC67E7"/>
    <w:rsid w:val="00EC7BB0"/>
    <w:rsid w:val="00ED07B4"/>
    <w:rsid w:val="00ED3E54"/>
    <w:rsid w:val="00ED5327"/>
    <w:rsid w:val="00ED5AD9"/>
    <w:rsid w:val="00ED5F82"/>
    <w:rsid w:val="00EE07FB"/>
    <w:rsid w:val="00EE22A2"/>
    <w:rsid w:val="00EE2D09"/>
    <w:rsid w:val="00EE6171"/>
    <w:rsid w:val="00EE6E77"/>
    <w:rsid w:val="00EE7A25"/>
    <w:rsid w:val="00EF12C8"/>
    <w:rsid w:val="00EF26D7"/>
    <w:rsid w:val="00EF28CE"/>
    <w:rsid w:val="00EF2AEC"/>
    <w:rsid w:val="00EF3752"/>
    <w:rsid w:val="00EF7961"/>
    <w:rsid w:val="00F02A31"/>
    <w:rsid w:val="00F02D91"/>
    <w:rsid w:val="00F03C9A"/>
    <w:rsid w:val="00F04929"/>
    <w:rsid w:val="00F063CA"/>
    <w:rsid w:val="00F06CC4"/>
    <w:rsid w:val="00F07E27"/>
    <w:rsid w:val="00F07FBB"/>
    <w:rsid w:val="00F101F2"/>
    <w:rsid w:val="00F11A9C"/>
    <w:rsid w:val="00F145A8"/>
    <w:rsid w:val="00F156CF"/>
    <w:rsid w:val="00F15CA3"/>
    <w:rsid w:val="00F1774B"/>
    <w:rsid w:val="00F20640"/>
    <w:rsid w:val="00F21536"/>
    <w:rsid w:val="00F22BB7"/>
    <w:rsid w:val="00F2459E"/>
    <w:rsid w:val="00F2602B"/>
    <w:rsid w:val="00F26CED"/>
    <w:rsid w:val="00F27678"/>
    <w:rsid w:val="00F30B6A"/>
    <w:rsid w:val="00F3204A"/>
    <w:rsid w:val="00F33EBA"/>
    <w:rsid w:val="00F344BA"/>
    <w:rsid w:val="00F347F0"/>
    <w:rsid w:val="00F35173"/>
    <w:rsid w:val="00F3582C"/>
    <w:rsid w:val="00F35E83"/>
    <w:rsid w:val="00F4280F"/>
    <w:rsid w:val="00F42C13"/>
    <w:rsid w:val="00F43C28"/>
    <w:rsid w:val="00F44471"/>
    <w:rsid w:val="00F467CF"/>
    <w:rsid w:val="00F50C83"/>
    <w:rsid w:val="00F51436"/>
    <w:rsid w:val="00F53107"/>
    <w:rsid w:val="00F554B3"/>
    <w:rsid w:val="00F57983"/>
    <w:rsid w:val="00F609DD"/>
    <w:rsid w:val="00F6298E"/>
    <w:rsid w:val="00F647F7"/>
    <w:rsid w:val="00F65FB2"/>
    <w:rsid w:val="00F67F38"/>
    <w:rsid w:val="00F70177"/>
    <w:rsid w:val="00F7181D"/>
    <w:rsid w:val="00F732A2"/>
    <w:rsid w:val="00F75806"/>
    <w:rsid w:val="00F75DC9"/>
    <w:rsid w:val="00F75DCE"/>
    <w:rsid w:val="00F772F2"/>
    <w:rsid w:val="00F83574"/>
    <w:rsid w:val="00F848EF"/>
    <w:rsid w:val="00F87B84"/>
    <w:rsid w:val="00F9031D"/>
    <w:rsid w:val="00F918D2"/>
    <w:rsid w:val="00F92B64"/>
    <w:rsid w:val="00F935B8"/>
    <w:rsid w:val="00F95820"/>
    <w:rsid w:val="00F964D6"/>
    <w:rsid w:val="00F9795B"/>
    <w:rsid w:val="00FA0056"/>
    <w:rsid w:val="00FA1CF9"/>
    <w:rsid w:val="00FA2889"/>
    <w:rsid w:val="00FA7440"/>
    <w:rsid w:val="00FA757F"/>
    <w:rsid w:val="00FA7A4E"/>
    <w:rsid w:val="00FB0AFE"/>
    <w:rsid w:val="00FB0D25"/>
    <w:rsid w:val="00FB191F"/>
    <w:rsid w:val="00FB3235"/>
    <w:rsid w:val="00FB4E9E"/>
    <w:rsid w:val="00FB51D1"/>
    <w:rsid w:val="00FB60C7"/>
    <w:rsid w:val="00FC0467"/>
    <w:rsid w:val="00FC1D6C"/>
    <w:rsid w:val="00FC24DE"/>
    <w:rsid w:val="00FC2A3D"/>
    <w:rsid w:val="00FC4611"/>
    <w:rsid w:val="00FC48E4"/>
    <w:rsid w:val="00FC6E5C"/>
    <w:rsid w:val="00FC728C"/>
    <w:rsid w:val="00FC7CBC"/>
    <w:rsid w:val="00FD0943"/>
    <w:rsid w:val="00FD2C84"/>
    <w:rsid w:val="00FD6818"/>
    <w:rsid w:val="00FD7962"/>
    <w:rsid w:val="00FE009C"/>
    <w:rsid w:val="00FE1F41"/>
    <w:rsid w:val="00FE2684"/>
    <w:rsid w:val="00FE2F92"/>
    <w:rsid w:val="00FE5A4C"/>
    <w:rsid w:val="00FE5AAE"/>
    <w:rsid w:val="00FE6567"/>
    <w:rsid w:val="00FF2032"/>
    <w:rsid w:val="00FF3D3C"/>
    <w:rsid w:val="00FF3F97"/>
    <w:rsid w:val="00FF790E"/>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D977B"/>
  <w15:docId w15:val="{9B1103FA-1D89-4B99-B271-1F382D52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lsdException w:name="heading 6" w:locked="0" w:semiHidden="1" w:uiPriority="9"/>
    <w:lsdException w:name="heading 7" w:locked="0" w:semiHidden="1" w:uiPriority="9"/>
    <w:lsdException w:name="heading 8" w:locked="0" w:semiHidden="1" w:uiPriority="9"/>
    <w:lsdException w:name="heading 9" w:locked="0" w:semiHidden="1" w:uiPriority="9"/>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uiPriority="0"/>
    <w:lsdException w:name="annotation text" w:locked="0" w:semiHidden="1"/>
    <w:lsdException w:name="header" w:locked="0" w:uiPriority="0" w:unhideWhenUsed="1"/>
    <w:lsdException w:name="footer" w:locked="0" w:uiPriority="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qFormat="1"/>
    <w:lsdException w:name="annotation reference" w:locked="0" w:semiHidden="1"/>
    <w:lsdException w:name="line number" w:locked="0" w:semiHidden="1" w:uiPriority="0"/>
    <w:lsdException w:name="page number" w:locked="0" w:uiPriority="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lsdException w:name="List Number" w:locked="0" w:semiHidden="1" w:uiPriority="0" w:unhideWhenUsed="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lsdException w:name="List Bullet 3" w:locked="0" w:semiHidden="1" w:uiPriority="4" w:unhideWhenUsed="1"/>
    <w:lsdException w:name="List Bullet 4" w:locked="0" w:semiHidden="1" w:uiPriority="0"/>
    <w:lsdException w:name="List Bullet 5" w:locked="0" w:semiHidden="1" w:uiPriority="0"/>
    <w:lsdException w:name="List Number 2" w:locked="0" w:semiHidden="1" w:uiPriority="0" w:unhideWhenUsed="1"/>
    <w:lsdException w:name="List Number 3" w:locked="0" w:semiHidden="1" w:uiPriority="0" w:unhideWhenUsed="1"/>
    <w:lsdException w:name="List Number 4" w:locked="0" w:semiHidden="1"/>
    <w:lsdException w:name="List Number 5" w:locked="0" w:semiHidden="1"/>
    <w:lsdException w:name="Title" w:locked="0" w:uiPriority="10" w:qFormat="1"/>
    <w:lsdException w:name="Closing" w:locked="0" w:semiHidden="1"/>
    <w:lsdException w:name="Signature" w:locked="0" w:semiHidden="1"/>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uiPriority="0"/>
    <w:lsdException w:name="Body Text First Indent 2" w:locked="0" w:semiHidden="1"/>
    <w:lsdException w:name="Note Heading" w:locked="0" w:semiHidden="1"/>
    <w:lsdException w:name="Body Text 2" w:locked="0" w:semiHidden="1" w:uiPriority="0"/>
    <w:lsdException w:name="Body Text 3" w:locked="0" w:semiHidden="1" w:uiPriority="0"/>
    <w:lsdException w:name="Body Text Indent 2" w:locked="0" w:semiHidden="1" w:uiPriority="0"/>
    <w:lsdException w:name="Body Text Indent 3" w:locked="0" w:semiHidden="1"/>
    <w:lsdException w:name="Block Text" w:locked="0" w:semiHidden="1" w:uiPriority="0"/>
    <w:lsdException w:name="Hyperlink" w:locked="0" w:semiHidden="1" w:unhideWhenUsed="1"/>
    <w:lsdException w:name="FollowedHyperlink" w:locked="0" w:semiHidden="1" w:uiPriority="0"/>
    <w:lsdException w:name="Strong" w:locked="0" w:semiHidden="1" w:uiPriority="22"/>
    <w:lsdException w:name="Emphasis" w:locked="0" w:semiHidden="1" w:uiPriority="20"/>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uiPriority="0"/>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0"/>
    <w:lsdException w:name="Medium Shading 2 Accent 1" w:uiPriority="64"/>
    <w:lsdException w:name="Medium List 1 Accent 1" w:uiPriority="65"/>
    <w:lsdException w:name="Revision" w:locked="0" w:semiHidden="1"/>
    <w:lsdException w:name="List Paragraph" w:locked="0" w:uiPriority="34"/>
    <w:lsdException w:name="Quote" w:locked="0" w:uiPriority="18"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uiPriority="0"/>
    <w:lsdException w:name="Bibliography" w:locked="0" w:semiHidden="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atentStyles>
  <w:style w:type="paragraph" w:default="1" w:styleId="Normal">
    <w:name w:val="Normal"/>
    <w:qFormat/>
    <w:rsid w:val="006B0171"/>
    <w:pPr>
      <w:spacing w:before="120" w:after="120" w:line="260" w:lineRule="atLeast"/>
    </w:pPr>
    <w:rPr>
      <w:rFonts w:ascii="Arial" w:hAnsi="Arial"/>
      <w:sz w:val="24"/>
      <w:lang w:val="en-AU"/>
    </w:rPr>
  </w:style>
  <w:style w:type="paragraph" w:styleId="Heading1">
    <w:name w:val="heading 1"/>
    <w:basedOn w:val="BodyText"/>
    <w:next w:val="BodyText"/>
    <w:link w:val="Heading1Char"/>
    <w:uiPriority w:val="9"/>
    <w:qFormat/>
    <w:rsid w:val="00CF778C"/>
    <w:pPr>
      <w:keepNext/>
      <w:pageBreakBefore/>
      <w:spacing w:before="0" w:line="360" w:lineRule="atLeast"/>
      <w:ind w:left="1021" w:hanging="1021"/>
      <w:contextualSpacing/>
      <w:outlineLvl w:val="0"/>
    </w:pPr>
    <w:rPr>
      <w:rFonts w:eastAsia="Times New Roman" w:cs="Arial"/>
      <w:bCs/>
      <w:sz w:val="48"/>
      <w:szCs w:val="32"/>
      <w:lang w:eastAsia="en-AU"/>
    </w:rPr>
  </w:style>
  <w:style w:type="paragraph" w:styleId="Heading2">
    <w:name w:val="heading 2"/>
    <w:basedOn w:val="Heading1"/>
    <w:next w:val="BodyText"/>
    <w:link w:val="Heading2Char"/>
    <w:uiPriority w:val="9"/>
    <w:qFormat/>
    <w:rsid w:val="00D82FA2"/>
    <w:pPr>
      <w:pageBreakBefore w:val="0"/>
      <w:spacing w:before="300"/>
      <w:outlineLvl w:val="1"/>
    </w:pPr>
    <w:rPr>
      <w:b/>
      <w:bCs w:val="0"/>
      <w:iCs/>
      <w:sz w:val="36"/>
      <w:szCs w:val="28"/>
    </w:rPr>
  </w:style>
  <w:style w:type="paragraph" w:styleId="Heading3">
    <w:name w:val="heading 3"/>
    <w:basedOn w:val="Heading1"/>
    <w:next w:val="BodyText"/>
    <w:link w:val="Heading3Char"/>
    <w:uiPriority w:val="9"/>
    <w:qFormat/>
    <w:rsid w:val="00D82FA2"/>
    <w:pPr>
      <w:pageBreakBefore w:val="0"/>
      <w:spacing w:before="240" w:line="280" w:lineRule="atLeast"/>
      <w:outlineLvl w:val="2"/>
    </w:pPr>
    <w:rPr>
      <w:bCs w:val="0"/>
      <w:sz w:val="28"/>
      <w:szCs w:val="26"/>
    </w:rPr>
  </w:style>
  <w:style w:type="paragraph" w:styleId="Heading4">
    <w:name w:val="heading 4"/>
    <w:basedOn w:val="Heading1"/>
    <w:next w:val="BodyText"/>
    <w:link w:val="Heading4Char"/>
    <w:uiPriority w:val="9"/>
    <w:qFormat/>
    <w:rsid w:val="00DF640B"/>
    <w:pPr>
      <w:pageBreakBefore w:val="0"/>
      <w:spacing w:before="180" w:line="240" w:lineRule="atLeast"/>
      <w:ind w:left="0" w:firstLine="0"/>
      <w:outlineLvl w:val="3"/>
    </w:pPr>
    <w:rPr>
      <w:b/>
      <w:bCs w:val="0"/>
      <w:sz w:val="24"/>
      <w:szCs w:val="21"/>
    </w:rPr>
  </w:style>
  <w:style w:type="paragraph" w:styleId="Heading5">
    <w:name w:val="heading 5"/>
    <w:basedOn w:val="Normal"/>
    <w:next w:val="Normal"/>
    <w:link w:val="Heading5Char"/>
    <w:uiPriority w:val="9"/>
    <w:rsid w:val="00DE6C3B"/>
    <w:pPr>
      <w:numPr>
        <w:ilvl w:val="4"/>
        <w:numId w:val="2"/>
      </w:numPr>
      <w:tabs>
        <w:tab w:val="left" w:pos="1021"/>
      </w:tabs>
      <w:spacing w:before="240"/>
      <w:outlineLvl w:val="4"/>
    </w:pPr>
    <w:rPr>
      <w:rFonts w:eastAsia="Times New Roman" w:cs="Times New Roman"/>
      <w:bCs/>
      <w:i/>
      <w:iCs/>
      <w:lang w:eastAsia="en-AU"/>
    </w:rPr>
  </w:style>
  <w:style w:type="paragraph" w:styleId="Heading6">
    <w:name w:val="heading 6"/>
    <w:basedOn w:val="Normal"/>
    <w:next w:val="Normal"/>
    <w:link w:val="Heading6Char"/>
    <w:uiPriority w:val="9"/>
    <w:rsid w:val="003F304C"/>
    <w:pPr>
      <w:tabs>
        <w:tab w:val="left" w:pos="0"/>
      </w:tabs>
      <w:spacing w:before="3000" w:after="0"/>
      <w:outlineLvl w:val="5"/>
    </w:pPr>
    <w:rPr>
      <w:rFonts w:cs="Times New Roman"/>
      <w:b/>
      <w:color w:val="172983"/>
      <w:sz w:val="40"/>
      <w:szCs w:val="40"/>
      <w:lang w:eastAsia="en-AU"/>
    </w:rPr>
  </w:style>
  <w:style w:type="paragraph" w:styleId="Heading7">
    <w:name w:val="heading 7"/>
    <w:basedOn w:val="ListParagraph"/>
    <w:next w:val="Normal"/>
    <w:link w:val="Heading7Char"/>
    <w:uiPriority w:val="9"/>
    <w:rsid w:val="003F304C"/>
    <w:pPr>
      <w:spacing w:after="240"/>
      <w:ind w:left="0"/>
      <w:outlineLvl w:val="6"/>
    </w:pPr>
    <w:rPr>
      <w:rFonts w:cs="Times New Roman"/>
      <w:b/>
      <w:color w:val="172983"/>
      <w:sz w:val="36"/>
      <w:szCs w:val="36"/>
      <w:lang w:eastAsia="en-AU"/>
    </w:rPr>
  </w:style>
  <w:style w:type="paragraph" w:styleId="Heading8">
    <w:name w:val="heading 8"/>
    <w:basedOn w:val="ListParagraph"/>
    <w:next w:val="Normal"/>
    <w:link w:val="Heading8Char"/>
    <w:uiPriority w:val="9"/>
    <w:rsid w:val="003F304C"/>
    <w:pPr>
      <w:spacing w:before="480" w:after="240"/>
      <w:ind w:left="0"/>
      <w:outlineLvl w:val="7"/>
    </w:pPr>
    <w:rPr>
      <w:rFonts w:cs="Times New Roman"/>
      <w:b/>
      <w:color w:val="172983"/>
      <w:sz w:val="28"/>
      <w:szCs w:val="28"/>
      <w:lang w:eastAsia="en-AU"/>
    </w:rPr>
  </w:style>
  <w:style w:type="paragraph" w:styleId="Heading9">
    <w:name w:val="heading 9"/>
    <w:basedOn w:val="Normal"/>
    <w:next w:val="Normal"/>
    <w:link w:val="Heading9Char"/>
    <w:uiPriority w:val="9"/>
    <w:rsid w:val="003F304C"/>
    <w:pPr>
      <w:spacing w:before="360" w:after="240"/>
      <w:outlineLvl w:val="8"/>
    </w:pPr>
    <w:rPr>
      <w:rFonts w:cs="Times New Roman"/>
      <w:i/>
      <w:color w:val="172983"/>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rsid w:val="00B3476C"/>
    <w:pPr>
      <w:numPr>
        <w:numId w:val="12"/>
      </w:numPr>
      <w:spacing w:after="60" w:line="240" w:lineRule="atLeast"/>
    </w:pPr>
    <w:rPr>
      <w:rFonts w:eastAsia="Times New Roman" w:cs="Times New Roman"/>
      <w:szCs w:val="24"/>
      <w:lang w:eastAsia="en-GB"/>
    </w:rPr>
  </w:style>
  <w:style w:type="numbering" w:customStyle="1" w:styleId="ListBulletmaster">
    <w:name w:val="List Bullet (master)"/>
    <w:rsid w:val="00B3476C"/>
    <w:pPr>
      <w:numPr>
        <w:numId w:val="4"/>
      </w:numPr>
    </w:pPr>
  </w:style>
  <w:style w:type="paragraph" w:styleId="ListBullet2">
    <w:name w:val="List Bullet 2"/>
    <w:basedOn w:val="Normal"/>
    <w:uiPriority w:val="4"/>
    <w:rsid w:val="00B3476C"/>
    <w:pPr>
      <w:numPr>
        <w:ilvl w:val="1"/>
        <w:numId w:val="12"/>
      </w:numPr>
      <w:spacing w:after="60" w:line="240" w:lineRule="atLeast"/>
    </w:pPr>
    <w:rPr>
      <w:rFonts w:eastAsia="Times New Roman" w:cs="Times New Roman"/>
      <w:szCs w:val="24"/>
      <w:lang w:eastAsia="en-GB"/>
    </w:rPr>
  </w:style>
  <w:style w:type="paragraph" w:styleId="ListBullet3">
    <w:name w:val="List Bullet 3"/>
    <w:basedOn w:val="Normal"/>
    <w:uiPriority w:val="4"/>
    <w:rsid w:val="00B3476C"/>
    <w:pPr>
      <w:numPr>
        <w:ilvl w:val="2"/>
        <w:numId w:val="12"/>
      </w:numPr>
      <w:spacing w:after="60" w:line="240" w:lineRule="atLeast"/>
    </w:pPr>
    <w:rPr>
      <w:rFonts w:eastAsia="Times New Roman" w:cs="Times New Roman"/>
      <w:szCs w:val="24"/>
      <w:lang w:eastAsia="en-GB"/>
    </w:rPr>
  </w:style>
  <w:style w:type="numbering" w:customStyle="1" w:styleId="ListNumbermaster">
    <w:name w:val="List Number (master)"/>
    <w:rsid w:val="00EA157C"/>
    <w:pPr>
      <w:numPr>
        <w:numId w:val="5"/>
      </w:numPr>
    </w:pPr>
  </w:style>
  <w:style w:type="paragraph" w:styleId="ListNumber2">
    <w:name w:val="List Number 2"/>
    <w:basedOn w:val="Normal"/>
    <w:rsid w:val="00EA157C"/>
    <w:pPr>
      <w:numPr>
        <w:ilvl w:val="1"/>
        <w:numId w:val="13"/>
      </w:numPr>
      <w:spacing w:after="60" w:line="240" w:lineRule="atLeast"/>
    </w:pPr>
    <w:rPr>
      <w:rFonts w:eastAsia="Times New Roman" w:cs="Times New Roman"/>
      <w:szCs w:val="24"/>
      <w:lang w:eastAsia="en-GB"/>
    </w:rPr>
  </w:style>
  <w:style w:type="paragraph" w:styleId="ListNumber3">
    <w:name w:val="List Number 3"/>
    <w:basedOn w:val="Normal"/>
    <w:rsid w:val="00EA157C"/>
    <w:pPr>
      <w:numPr>
        <w:ilvl w:val="2"/>
        <w:numId w:val="13"/>
      </w:numPr>
      <w:spacing w:after="60" w:line="240" w:lineRule="atLeast"/>
      <w:ind w:left="1077" w:hanging="357"/>
    </w:pPr>
    <w:rPr>
      <w:rFonts w:eastAsia="Times New Roman" w:cs="Times New Roman"/>
      <w:szCs w:val="24"/>
      <w:lang w:eastAsia="en-GB"/>
    </w:rPr>
  </w:style>
  <w:style w:type="paragraph" w:styleId="ListNumber">
    <w:name w:val="List Number"/>
    <w:basedOn w:val="Normal"/>
    <w:rsid w:val="00EA157C"/>
    <w:pPr>
      <w:numPr>
        <w:numId w:val="13"/>
      </w:numPr>
      <w:spacing w:after="60" w:line="240" w:lineRule="atLeast"/>
    </w:pPr>
    <w:rPr>
      <w:rFonts w:eastAsia="Times New Roman" w:cs="Times New Roman"/>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rsid w:val="00860524"/>
    <w:rPr>
      <w:rFonts w:eastAsia="Times New Roman" w:cs="Times New Roman"/>
      <w:b/>
      <w:bCs/>
      <w:sz w:val="21"/>
      <w:szCs w:val="24"/>
      <w:lang w:eastAsia="en-GB"/>
    </w:rPr>
  </w:style>
  <w:style w:type="paragraph" w:customStyle="1" w:styleId="TableListBullet">
    <w:name w:val="Table List Bullet"/>
    <w:basedOn w:val="Normal"/>
    <w:uiPriority w:val="14"/>
    <w:qFormat/>
    <w:rsid w:val="005E7354"/>
    <w:pPr>
      <w:numPr>
        <w:numId w:val="14"/>
      </w:numPr>
    </w:pPr>
    <w:rPr>
      <w:rFonts w:eastAsia="Times New Roman" w:cs="Times New Roman"/>
      <w:bCs/>
      <w:sz w:val="20"/>
      <w:szCs w:val="24"/>
      <w:lang w:eastAsia="en-GB"/>
    </w:rPr>
  </w:style>
  <w:style w:type="numbering" w:customStyle="1" w:styleId="TableListBulletmaster">
    <w:name w:val="Table List Bullet (master)"/>
    <w:rsid w:val="005E7354"/>
    <w:pPr>
      <w:numPr>
        <w:numId w:val="6"/>
      </w:numPr>
    </w:pPr>
  </w:style>
  <w:style w:type="paragraph" w:customStyle="1" w:styleId="TableListBullet2">
    <w:name w:val="Table List Bullet 2"/>
    <w:basedOn w:val="TableListBullet"/>
    <w:uiPriority w:val="14"/>
    <w:qFormat/>
    <w:rsid w:val="00FF3F97"/>
    <w:pPr>
      <w:numPr>
        <w:ilvl w:val="1"/>
        <w:numId w:val="0"/>
      </w:numPr>
    </w:pPr>
  </w:style>
  <w:style w:type="paragraph" w:customStyle="1" w:styleId="TableListNumber">
    <w:name w:val="Table List Number"/>
    <w:basedOn w:val="Normal"/>
    <w:uiPriority w:val="14"/>
    <w:rsid w:val="009168DD"/>
    <w:pPr>
      <w:numPr>
        <w:numId w:val="45"/>
      </w:numPr>
    </w:pPr>
    <w:rPr>
      <w:rFonts w:eastAsia="Times New Roman" w:cs="Times New Roman"/>
      <w:bCs/>
      <w:sz w:val="20"/>
      <w:szCs w:val="24"/>
      <w:lang w:eastAsia="en-GB"/>
    </w:rPr>
  </w:style>
  <w:style w:type="numbering" w:customStyle="1" w:styleId="TableListNumbermaster">
    <w:name w:val="Table List Number (master)"/>
    <w:rsid w:val="000419F4"/>
    <w:pPr>
      <w:numPr>
        <w:numId w:val="7"/>
      </w:numPr>
    </w:pPr>
  </w:style>
  <w:style w:type="paragraph" w:customStyle="1" w:styleId="TableListNumber2">
    <w:name w:val="Table List Number 2"/>
    <w:basedOn w:val="TableListNumber"/>
    <w:uiPriority w:val="14"/>
    <w:rsid w:val="00FF3F97"/>
    <w:pPr>
      <w:numPr>
        <w:ilvl w:val="1"/>
        <w:numId w:val="0"/>
      </w:numPr>
    </w:pPr>
  </w:style>
  <w:style w:type="paragraph" w:customStyle="1" w:styleId="TableBodyText">
    <w:name w:val="Table Body Text"/>
    <w:basedOn w:val="Normal"/>
    <w:uiPriority w:val="14"/>
    <w:rsid w:val="00DE6C3B"/>
    <w:rPr>
      <w:rFonts w:eastAsia="Times New Roman" w:cs="Times New Roman"/>
      <w:bCs/>
      <w:sz w:val="21"/>
      <w:szCs w:val="24"/>
      <w:lang w:eastAsia="en-GB"/>
    </w:rPr>
  </w:style>
  <w:style w:type="paragraph" w:customStyle="1" w:styleId="TableBodyTextsmall">
    <w:name w:val="Table Body Text (small)"/>
    <w:basedOn w:val="TableBodyText"/>
    <w:uiPriority w:val="15"/>
    <w:rsid w:val="002375BC"/>
    <w:pPr>
      <w:spacing w:before="40" w:after="40" w:line="100" w:lineRule="atLeast"/>
    </w:pPr>
    <w:rPr>
      <w:sz w:val="18"/>
    </w:rPr>
  </w:style>
  <w:style w:type="character" w:customStyle="1" w:styleId="Characterbold">
    <w:name w:val="Character (bold)"/>
    <w:basedOn w:val="DefaultParagraphFont"/>
    <w:uiPriority w:val="2"/>
    <w:rsid w:val="005012B2"/>
    <w:rPr>
      <w:b/>
      <w:lang w:val="en-AU"/>
    </w:rPr>
  </w:style>
  <w:style w:type="character" w:customStyle="1" w:styleId="Characteritalic">
    <w:name w:val="Character (italic)"/>
    <w:basedOn w:val="DefaultParagraphFont"/>
    <w:uiPriority w:val="2"/>
    <w:rsid w:val="005012B2"/>
    <w:rPr>
      <w:i/>
      <w:lang w:val="en-AU"/>
    </w:rPr>
  </w:style>
  <w:style w:type="character" w:customStyle="1" w:styleId="Charactersubscript">
    <w:name w:val="Character (subscript)"/>
    <w:basedOn w:val="DefaultParagraphFont"/>
    <w:uiPriority w:val="3"/>
    <w:rsid w:val="005012B2"/>
    <w:rPr>
      <w:vertAlign w:val="subscript"/>
      <w:lang w:val="en-AU"/>
    </w:rPr>
  </w:style>
  <w:style w:type="character" w:customStyle="1" w:styleId="Charactersuperscript">
    <w:name w:val="Character (superscript)"/>
    <w:basedOn w:val="DefaultParagraphFont"/>
    <w:uiPriority w:val="3"/>
    <w:rsid w:val="005012B2"/>
    <w:rPr>
      <w:vertAlign w:val="superscript"/>
      <w:lang w:val="en-AU"/>
    </w:rPr>
  </w:style>
  <w:style w:type="character" w:customStyle="1" w:styleId="Characterunderline">
    <w:name w:val="Character (underline)"/>
    <w:basedOn w:val="DefaultParagraphFont"/>
    <w:uiPriority w:val="2"/>
    <w:rsid w:val="005012B2"/>
    <w:rPr>
      <w:u w:val="single"/>
      <w:lang w:val="en-AU"/>
    </w:rPr>
  </w:style>
  <w:style w:type="paragraph" w:styleId="ListParagraph">
    <w:name w:val="List Paragraph"/>
    <w:basedOn w:val="Normal"/>
    <w:uiPriority w:val="34"/>
    <w:rsid w:val="0023754A"/>
    <w:pPr>
      <w:ind w:left="720"/>
      <w:contextualSpacing/>
    </w:pPr>
  </w:style>
  <w:style w:type="character" w:customStyle="1" w:styleId="Heading1Char">
    <w:name w:val="Heading 1 Char"/>
    <w:basedOn w:val="DefaultParagraphFont"/>
    <w:link w:val="Heading1"/>
    <w:uiPriority w:val="9"/>
    <w:rsid w:val="00CF778C"/>
    <w:rPr>
      <w:rFonts w:ascii="Arial" w:eastAsia="Times New Roman" w:hAnsi="Arial" w:cs="Arial"/>
      <w:bCs/>
      <w:sz w:val="48"/>
      <w:szCs w:val="32"/>
      <w:lang w:val="en-AU" w:eastAsia="en-AU"/>
    </w:rPr>
  </w:style>
  <w:style w:type="character" w:customStyle="1" w:styleId="Heading2Char">
    <w:name w:val="Heading 2 Char"/>
    <w:basedOn w:val="DefaultParagraphFont"/>
    <w:link w:val="Heading2"/>
    <w:uiPriority w:val="9"/>
    <w:rsid w:val="00D82FA2"/>
    <w:rPr>
      <w:rFonts w:ascii="Arial" w:eastAsia="Times New Roman" w:hAnsi="Arial" w:cs="Arial"/>
      <w:b/>
      <w:iCs/>
      <w:sz w:val="36"/>
      <w:szCs w:val="28"/>
      <w:lang w:val="en-AU" w:eastAsia="en-AU"/>
    </w:rPr>
  </w:style>
  <w:style w:type="character" w:customStyle="1" w:styleId="Heading3Char">
    <w:name w:val="Heading 3 Char"/>
    <w:basedOn w:val="DefaultParagraphFont"/>
    <w:link w:val="Heading3"/>
    <w:uiPriority w:val="9"/>
    <w:rsid w:val="00D82FA2"/>
    <w:rPr>
      <w:rFonts w:ascii="Arial" w:eastAsia="Times New Roman" w:hAnsi="Arial" w:cs="Arial"/>
      <w:sz w:val="28"/>
      <w:szCs w:val="26"/>
      <w:lang w:val="en-AU" w:eastAsia="en-AU"/>
    </w:rPr>
  </w:style>
  <w:style w:type="character" w:customStyle="1" w:styleId="Heading4Char">
    <w:name w:val="Heading 4 Char"/>
    <w:basedOn w:val="DefaultParagraphFont"/>
    <w:link w:val="Heading4"/>
    <w:uiPriority w:val="9"/>
    <w:rsid w:val="00DF640B"/>
    <w:rPr>
      <w:rFonts w:ascii="Arial" w:eastAsia="Times New Roman" w:hAnsi="Arial" w:cs="Arial"/>
      <w:b/>
      <w:sz w:val="24"/>
      <w:szCs w:val="21"/>
      <w:lang w:val="en-AU" w:eastAsia="en-AU"/>
    </w:rPr>
  </w:style>
  <w:style w:type="character" w:customStyle="1" w:styleId="Heading5Char">
    <w:name w:val="Heading 5 Char"/>
    <w:basedOn w:val="DefaultParagraphFont"/>
    <w:link w:val="Heading5"/>
    <w:uiPriority w:val="9"/>
    <w:rsid w:val="00DE6C3B"/>
    <w:rPr>
      <w:rFonts w:ascii="Arial" w:eastAsia="Times New Roman" w:hAnsi="Arial" w:cs="Times New Roman"/>
      <w:bCs/>
      <w:i/>
      <w:iCs/>
      <w:sz w:val="24"/>
      <w:lang w:val="en-AU" w:eastAsia="en-AU"/>
    </w:rPr>
  </w:style>
  <w:style w:type="paragraph" w:customStyle="1" w:styleId="AppendixHeading1">
    <w:name w:val="Appendix Heading 1"/>
    <w:basedOn w:val="Heading1"/>
    <w:next w:val="BodyText"/>
    <w:uiPriority w:val="11"/>
    <w:rsid w:val="005A2727"/>
    <w:pPr>
      <w:keepNext w:val="0"/>
      <w:numPr>
        <w:numId w:val="11"/>
      </w:numPr>
      <w:tabs>
        <w:tab w:val="left" w:pos="2268"/>
      </w:tabs>
      <w:suppressAutoHyphens/>
    </w:pPr>
    <w:rPr>
      <w:szCs w:val="30"/>
    </w:rPr>
  </w:style>
  <w:style w:type="numbering" w:customStyle="1" w:styleId="AppendixHeadingmaster">
    <w:name w:val="Appendix Heading (master)"/>
    <w:uiPriority w:val="99"/>
    <w:rsid w:val="005A2727"/>
    <w:pPr>
      <w:numPr>
        <w:numId w:val="1"/>
      </w:numPr>
    </w:pPr>
  </w:style>
  <w:style w:type="paragraph" w:styleId="BodyText">
    <w:name w:val="Body Text"/>
    <w:basedOn w:val="Normal"/>
    <w:link w:val="BodyTextChar"/>
    <w:qFormat/>
    <w:rsid w:val="005B74F5"/>
  </w:style>
  <w:style w:type="character" w:customStyle="1" w:styleId="BodyTextChar">
    <w:name w:val="Body Text Char"/>
    <w:basedOn w:val="DefaultParagraphFont"/>
    <w:link w:val="BodyText"/>
    <w:rsid w:val="005B74F5"/>
    <w:rPr>
      <w:rFonts w:ascii="Arial" w:hAnsi="Arial"/>
      <w:sz w:val="24"/>
      <w:lang w:val="en-AU"/>
    </w:rPr>
  </w:style>
  <w:style w:type="paragraph" w:customStyle="1" w:styleId="AppendixHeading2">
    <w:name w:val="Appendix Heading 2"/>
    <w:basedOn w:val="AppendixHeading1"/>
    <w:next w:val="BodyText"/>
    <w:uiPriority w:val="11"/>
    <w:rsid w:val="00744030"/>
    <w:pPr>
      <w:keepNext/>
      <w:numPr>
        <w:ilvl w:val="1"/>
      </w:numPr>
      <w:spacing w:before="300"/>
    </w:pPr>
    <w:rPr>
      <w:b/>
      <w:sz w:val="36"/>
    </w:rPr>
  </w:style>
  <w:style w:type="paragraph" w:customStyle="1" w:styleId="AppendixHeading3">
    <w:name w:val="Appendix Heading 3"/>
    <w:basedOn w:val="Heading1"/>
    <w:next w:val="BodyText"/>
    <w:uiPriority w:val="11"/>
    <w:semiHidden/>
    <w:rsid w:val="000419F4"/>
    <w:pPr>
      <w:suppressAutoHyphens/>
      <w:spacing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F43C28"/>
  </w:style>
  <w:style w:type="numbering" w:customStyle="1" w:styleId="Headingsmaster">
    <w:name w:val="Headings (master)"/>
    <w:uiPriority w:val="99"/>
    <w:rsid w:val="00F344BA"/>
    <w:pPr>
      <w:numPr>
        <w:numId w:val="3"/>
      </w:numPr>
    </w:pPr>
  </w:style>
  <w:style w:type="paragraph" w:customStyle="1" w:styleId="Image">
    <w:name w:val="Image"/>
    <w:basedOn w:val="Normal"/>
    <w:next w:val="BodyTex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5"/>
    <w:rsid w:val="006C6CDE"/>
    <w:pPr>
      <w:spacing w:before="80" w:after="80" w:line="200" w:lineRule="atLeast"/>
    </w:pPr>
  </w:style>
  <w:style w:type="paragraph" w:customStyle="1" w:styleId="TableBodyTextrightalign">
    <w:name w:val="Table Body Text (right align)"/>
    <w:basedOn w:val="TableBodyText"/>
    <w:uiPriority w:val="15"/>
    <w:rsid w:val="00E12845"/>
    <w:pPr>
      <w:jc w:val="right"/>
    </w:pPr>
  </w:style>
  <w:style w:type="table" w:styleId="TableGrid">
    <w:name w:val="Table Grid"/>
    <w:basedOn w:val="TableNormal"/>
    <w:rsid w:val="00D32F3C"/>
    <w:pPr>
      <w:spacing w:after="0" w:line="240" w:lineRule="auto"/>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5976DA"/>
    <w:pPr>
      <w:ind w:left="714" w:right="1133"/>
    </w:pPr>
    <w:rPr>
      <w:iCs/>
    </w:rPr>
  </w:style>
  <w:style w:type="character" w:customStyle="1" w:styleId="QuoteChar">
    <w:name w:val="Quote Char"/>
    <w:basedOn w:val="DefaultParagraphFont"/>
    <w:link w:val="Quote"/>
    <w:uiPriority w:val="18"/>
    <w:rsid w:val="005976DA"/>
    <w:rPr>
      <w:rFonts w:ascii="Calibri" w:eastAsia="Calibri" w:hAnsi="Calibri" w:cs="Calibri"/>
      <w:iCs/>
      <w:sz w:val="22"/>
      <w:szCs w:val="22"/>
      <w:lang w:val="en-GB"/>
    </w:rPr>
  </w:style>
  <w:style w:type="paragraph" w:styleId="Header">
    <w:name w:val="header"/>
    <w:basedOn w:val="Normal"/>
    <w:link w:val="HeaderChar"/>
    <w:rsid w:val="00E84AA7"/>
    <w:pPr>
      <w:tabs>
        <w:tab w:val="right" w:pos="0"/>
        <w:tab w:val="center" w:pos="4680"/>
        <w:tab w:val="right" w:pos="9360"/>
      </w:tabs>
      <w:spacing w:after="0"/>
    </w:pPr>
    <w:rPr>
      <w:sz w:val="18"/>
    </w:rPr>
  </w:style>
  <w:style w:type="character" w:customStyle="1" w:styleId="HeaderChar">
    <w:name w:val="Header Char"/>
    <w:basedOn w:val="DefaultParagraphFont"/>
    <w:link w:val="Header"/>
    <w:rsid w:val="002E76E0"/>
    <w:rPr>
      <w:rFonts w:ascii="Arial" w:hAnsi="Arial"/>
      <w:sz w:val="18"/>
      <w:lang w:val="en-AU"/>
    </w:rPr>
  </w:style>
  <w:style w:type="paragraph" w:styleId="Footer">
    <w:name w:val="footer"/>
    <w:basedOn w:val="Normal"/>
    <w:link w:val="FooterChar"/>
    <w:rsid w:val="00E84AA7"/>
    <w:pPr>
      <w:tabs>
        <w:tab w:val="right" w:pos="14629"/>
      </w:tabs>
      <w:spacing w:after="0"/>
    </w:pPr>
    <w:rPr>
      <w:sz w:val="18"/>
    </w:rPr>
  </w:style>
  <w:style w:type="character" w:customStyle="1" w:styleId="FooterChar">
    <w:name w:val="Footer Char"/>
    <w:basedOn w:val="DefaultParagraphFont"/>
    <w:link w:val="Footer"/>
    <w:rsid w:val="002E76E0"/>
    <w:rPr>
      <w:rFonts w:ascii="Arial" w:hAnsi="Arial"/>
      <w:sz w:val="18"/>
      <w:lang w:val="en-AU"/>
    </w:rPr>
  </w:style>
  <w:style w:type="character" w:styleId="PageNumber">
    <w:name w:val="page number"/>
    <w:basedOn w:val="DefaultParagraphFont"/>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BodyText"/>
    <w:link w:val="TitleChar"/>
    <w:uiPriority w:val="10"/>
    <w:qFormat/>
    <w:rsid w:val="00130B54"/>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130B54"/>
    <w:rPr>
      <w:rFonts w:ascii="Calibri Light" w:eastAsia="Times New Roman" w:hAnsi="Calibri Light" w:cs="Times New Roman"/>
      <w:spacing w:val="-10"/>
      <w:kern w:val="28"/>
      <w:sz w:val="56"/>
      <w:szCs w:val="56"/>
      <w:lang w:val="en-GB"/>
    </w:rPr>
  </w:style>
  <w:style w:type="paragraph" w:styleId="Subtitle">
    <w:name w:val="Subtitle"/>
    <w:basedOn w:val="Normal"/>
    <w:next w:val="BodyText"/>
    <w:link w:val="SubtitleChar"/>
    <w:uiPriority w:val="24"/>
    <w:rsid w:val="00F65FB2"/>
    <w:pPr>
      <w:numPr>
        <w:ilvl w:val="1"/>
      </w:numPr>
      <w:spacing w:after="200"/>
    </w:pPr>
    <w:rPr>
      <w:rFonts w:eastAsiaTheme="majorEastAsia" w:cstheme="majorBidi"/>
      <w:iCs/>
      <w:color w:val="FFFFFF" w:themeColor="background1"/>
      <w:sz w:val="56"/>
      <w:szCs w:val="24"/>
    </w:rPr>
  </w:style>
  <w:style w:type="character" w:customStyle="1" w:styleId="SubtitleChar">
    <w:name w:val="Subtitle Char"/>
    <w:basedOn w:val="DefaultParagraphFont"/>
    <w:link w:val="Subtitle"/>
    <w:uiPriority w:val="24"/>
    <w:rsid w:val="00F65FB2"/>
    <w:rPr>
      <w:rFonts w:ascii="Arial" w:eastAsiaTheme="majorEastAsia" w:hAnsi="Arial" w:cstheme="majorBidi"/>
      <w:iCs/>
      <w:color w:val="FFFFFF" w:themeColor="background1"/>
      <w:sz w:val="56"/>
      <w:szCs w:val="24"/>
      <w:lang w:val="en-AU"/>
    </w:rPr>
  </w:style>
  <w:style w:type="numbering" w:customStyle="1" w:styleId="ListAlphanumericmaster">
    <w:name w:val="List Alphanumeric (master)"/>
    <w:uiPriority w:val="99"/>
    <w:rsid w:val="003D2B56"/>
    <w:pPr>
      <w:numPr>
        <w:numId w:val="8"/>
      </w:numPr>
    </w:pPr>
  </w:style>
  <w:style w:type="paragraph" w:styleId="TOCHeading">
    <w:name w:val="TOC Heading"/>
    <w:basedOn w:val="Heading1"/>
    <w:next w:val="Normal"/>
    <w:uiPriority w:val="39"/>
    <w:rsid w:val="00AE0185"/>
    <w:pPr>
      <w:outlineLvl w:val="9"/>
    </w:pPr>
    <w:rPr>
      <w:rFonts w:eastAsiaTheme="majorEastAsia" w:cstheme="majorBidi"/>
      <w:szCs w:val="28"/>
    </w:rPr>
  </w:style>
  <w:style w:type="paragraph" w:styleId="TOC1">
    <w:name w:val="toc 1"/>
    <w:basedOn w:val="Normal"/>
    <w:next w:val="Normal"/>
    <w:autoRedefine/>
    <w:uiPriority w:val="39"/>
    <w:rsid w:val="00F344BA"/>
    <w:pPr>
      <w:tabs>
        <w:tab w:val="left" w:pos="680"/>
        <w:tab w:val="right" w:leader="dot" w:pos="9017"/>
      </w:tabs>
      <w:spacing w:before="240" w:after="0"/>
      <w:ind w:left="1247" w:right="851" w:hanging="1247"/>
    </w:pPr>
    <w:rPr>
      <w:b/>
    </w:rPr>
  </w:style>
  <w:style w:type="paragraph" w:styleId="TOC2">
    <w:name w:val="toc 2"/>
    <w:basedOn w:val="Normal"/>
    <w:next w:val="Normal"/>
    <w:autoRedefine/>
    <w:uiPriority w:val="39"/>
    <w:rsid w:val="00040AE7"/>
    <w:pPr>
      <w:tabs>
        <w:tab w:val="left" w:pos="680"/>
        <w:tab w:val="right" w:leader="dot" w:pos="9017"/>
      </w:tabs>
      <w:spacing w:after="0"/>
      <w:ind w:right="851"/>
    </w:pPr>
  </w:style>
  <w:style w:type="character" w:styleId="Hyperlink">
    <w:name w:val="Hyperlink"/>
    <w:basedOn w:val="DefaultParagraphFont"/>
    <w:uiPriority w:val="99"/>
    <w:rsid w:val="00452A9D"/>
    <w:rPr>
      <w:color w:val="0000FF" w:themeColor="hyperlink"/>
      <w:u w:val="single"/>
    </w:rPr>
  </w:style>
  <w:style w:type="paragraph" w:styleId="TOC3">
    <w:name w:val="toc 3"/>
    <w:basedOn w:val="Normal"/>
    <w:next w:val="Normal"/>
    <w:autoRedefine/>
    <w:uiPriority w:val="39"/>
    <w:rsid w:val="009C2D9E"/>
    <w:pPr>
      <w:tabs>
        <w:tab w:val="left" w:pos="680"/>
        <w:tab w:val="right" w:leader="dot" w:pos="9017"/>
      </w:tabs>
      <w:spacing w:after="100"/>
      <w:ind w:left="340" w:right="851"/>
    </w:pPr>
    <w:rPr>
      <w:i/>
      <w:sz w:val="20"/>
    </w:rPr>
  </w:style>
  <w:style w:type="paragraph" w:styleId="Caption">
    <w:name w:val="caption"/>
    <w:aliases w:val="Table Caption"/>
    <w:basedOn w:val="Normal"/>
    <w:next w:val="BodyText"/>
    <w:link w:val="CaptionChar"/>
    <w:uiPriority w:val="22"/>
    <w:rsid w:val="00A96204"/>
    <w:pPr>
      <w:spacing w:before="140" w:after="40" w:line="240" w:lineRule="atLeast"/>
    </w:pPr>
    <w:rPr>
      <w:b/>
      <w:bCs/>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10"/>
      </w:numPr>
    </w:pPr>
  </w:style>
  <w:style w:type="numbering" w:customStyle="1" w:styleId="ListLegalmaster">
    <w:name w:val="List Legal (master)"/>
    <w:uiPriority w:val="99"/>
    <w:rsid w:val="00291313"/>
    <w:pPr>
      <w:numPr>
        <w:numId w:val="9"/>
      </w:numPr>
    </w:pPr>
  </w:style>
  <w:style w:type="paragraph" w:customStyle="1" w:styleId="ListLegal2">
    <w:name w:val="List Legal 2"/>
    <w:basedOn w:val="ListNumber2"/>
    <w:uiPriority w:val="8"/>
    <w:semiHidden/>
    <w:qFormat/>
    <w:rsid w:val="00291313"/>
    <w:pPr>
      <w:numPr>
        <w:numId w:val="1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012B2"/>
    <w:pPr>
      <w:jc w:val="center"/>
    </w:pPr>
  </w:style>
  <w:style w:type="paragraph" w:customStyle="1" w:styleId="SingleSpace">
    <w:name w:val="Single Space"/>
    <w:basedOn w:val="BodyText"/>
    <w:uiPriority w:val="21"/>
    <w:semiHidden/>
    <w:rsid w:val="0069066D"/>
    <w:pPr>
      <w:spacing w:after="0"/>
    </w:pPr>
    <w:rPr>
      <w:sz w:val="2"/>
    </w:rPr>
  </w:style>
  <w:style w:type="character" w:customStyle="1" w:styleId="Characteryellowhighlight">
    <w:name w:val="Character (yellow highlight)"/>
    <w:basedOn w:val="DefaultParagraphFont"/>
    <w:uiPriority w:val="2"/>
    <w:rsid w:val="005012B2"/>
    <w:rPr>
      <w:bdr w:val="none" w:sz="0" w:space="0" w:color="auto"/>
      <w:shd w:val="clear" w:color="auto" w:fill="FFFF00"/>
      <w:lang w:val="en-AU"/>
    </w:rPr>
  </w:style>
  <w:style w:type="paragraph" w:styleId="TableofFigures">
    <w:name w:val="table of figures"/>
    <w:basedOn w:val="Normal"/>
    <w:next w:val="Normal"/>
    <w:uiPriority w:val="99"/>
    <w:rsid w:val="00F344BA"/>
    <w:pPr>
      <w:spacing w:after="0"/>
      <w:ind w:right="851"/>
    </w:pPr>
  </w:style>
  <w:style w:type="paragraph" w:customStyle="1" w:styleId="BodyTextindent">
    <w:name w:val="Body Text (indent)"/>
    <w:basedOn w:val="BodyText"/>
    <w:rsid w:val="001C4183"/>
    <w:pPr>
      <w:ind w:left="357"/>
    </w:pPr>
  </w:style>
  <w:style w:type="paragraph" w:customStyle="1" w:styleId="BodyTextindent2">
    <w:name w:val="Body Text (indent 2)"/>
    <w:basedOn w:val="BodyText"/>
    <w:uiPriority w:val="1"/>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rPr>
  </w:style>
  <w:style w:type="character" w:customStyle="1" w:styleId="EndNoteBibliographyChar">
    <w:name w:val="EndNote Bibliography Char"/>
    <w:basedOn w:val="BodyTextChar"/>
    <w:link w:val="EndNoteBibliography"/>
    <w:uiPriority w:val="23"/>
    <w:semiHidden/>
    <w:rsid w:val="000C0F81"/>
    <w:rPr>
      <w:rFonts w:ascii="Arial" w:eastAsia="Calibri" w:hAnsi="Arial" w:cs="Calibri"/>
      <w:noProof/>
      <w:sz w:val="24"/>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3E33DC"/>
    <w:pPr>
      <w:spacing w:before="120"/>
    </w:pPr>
    <w:rPr>
      <w:rFonts w:cs="Calibri"/>
      <w:i/>
      <w:noProof/>
      <w:sz w:val="24"/>
    </w:rPr>
  </w:style>
  <w:style w:type="character" w:customStyle="1" w:styleId="EndNoteBibliographyTitleChar4">
    <w:name w:val="EndNote Bibliography Title Char4"/>
    <w:basedOn w:val="BodyTextChar"/>
    <w:link w:val="EndNoteBibliographyTitle"/>
    <w:uiPriority w:val="23"/>
    <w:semiHidden/>
    <w:rsid w:val="000C0F81"/>
    <w:rPr>
      <w:rFonts w:ascii="Arial" w:eastAsia="Times New Roman" w:hAnsi="Arial" w:cs="Calibri"/>
      <w:bCs/>
      <w:i/>
      <w:noProof/>
      <w:sz w:val="24"/>
      <w:szCs w:val="32"/>
      <w:lang w:val="en-AU" w:eastAsia="en-AU"/>
    </w:rPr>
  </w:style>
  <w:style w:type="character" w:styleId="PlaceholderText">
    <w:name w:val="Placeholder Text"/>
    <w:basedOn w:val="DefaultParagraphFont"/>
    <w:uiPriority w:val="99"/>
    <w:semiHidden/>
    <w:rsid w:val="00902D12"/>
    <w:rPr>
      <w:color w:val="FF0000"/>
    </w:rPr>
  </w:style>
  <w:style w:type="paragraph" w:styleId="TOC4">
    <w:name w:val="toc 4"/>
    <w:basedOn w:val="TOC1"/>
    <w:next w:val="Normal"/>
    <w:autoRedefine/>
    <w:uiPriority w:val="39"/>
    <w:rsid w:val="00F344BA"/>
    <w:pPr>
      <w:tabs>
        <w:tab w:val="left" w:pos="1418"/>
      </w:tabs>
      <w:ind w:left="1418" w:hanging="1418"/>
    </w:pPr>
    <w:rPr>
      <w:b w:val="0"/>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
    <w:basedOn w:val="Normal"/>
    <w:link w:val="FootnoteTextChar"/>
    <w:rsid w:val="00E23C2C"/>
    <w:pPr>
      <w:spacing w:after="80"/>
      <w:ind w:left="113" w:hanging="113"/>
    </w:pPr>
    <w:rPr>
      <w:sz w:val="18"/>
    </w:rPr>
  </w:style>
  <w:style w:type="character" w:customStyle="1" w:styleId="FootnoteTextChar">
    <w:name w:val="Footnote Text Char"/>
    <w:aliases w:val="Footnote Text Char Char Char Char Char Char Char,Footnote Text Char Char Char Char Char Char Char Char Char Char Char Char Char Char Char Char Char Char,C Char"/>
    <w:basedOn w:val="DefaultParagraphFont"/>
    <w:link w:val="FootnoteText"/>
    <w:rsid w:val="00E23C2C"/>
    <w:rPr>
      <w:rFonts w:ascii="Arial" w:hAnsi="Arial"/>
      <w:sz w:val="18"/>
      <w:lang w:val="en-AU"/>
    </w:rPr>
  </w:style>
  <w:style w:type="character" w:styleId="FootnoteReference">
    <w:name w:val="footnote reference"/>
    <w:aliases w:val="Footnote,Footnotes refss,4_G,Footnote number,Stinking Styles,Footnotes refss Char Char1,4_G Char Char Char1 Char Char Char Char Char Char,Footnote Reference1 Char Char Char1 Char Char Char Char Char Char"/>
    <w:basedOn w:val="DefaultParagraphFont"/>
    <w:link w:val="FootnotesrefssChar"/>
    <w:uiPriority w:val="99"/>
    <w:qFormat/>
    <w:rsid w:val="00600004"/>
    <w:rPr>
      <w:vertAlign w:val="superscript"/>
    </w:rPr>
  </w:style>
  <w:style w:type="table" w:customStyle="1" w:styleId="CustomTabledetailed">
    <w:name w:val="Custom Table (detailed)"/>
    <w:basedOn w:val="TableNormal"/>
    <w:uiPriority w:val="99"/>
    <w:rsid w:val="007C1A44"/>
    <w:pPr>
      <w:spacing w:after="0" w:line="240" w:lineRule="auto"/>
    </w:pPr>
    <w:rPr>
      <w:rFonts w:ascii="Arial" w:hAnsi="Arial"/>
      <w:sz w:val="18"/>
    </w:rPr>
    <w:tblPr>
      <w:tblStyleRowBandSize w:val="1"/>
      <w:tblStyleColBandSize w:val="1"/>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rPr>
      <w:cantSplit/>
    </w:trPr>
    <w:tblStylePr w:type="firstRow">
      <w:rPr>
        <w:b w:val="0"/>
        <w:color w:val="FFFFFF" w:themeColor="background1"/>
      </w:rPr>
      <w:tblPr/>
      <w:trPr>
        <w:cantSplit w:val="0"/>
        <w:tblHeader/>
      </w:trPr>
      <w:tcPr>
        <w:shd w:val="clear" w:color="auto" w:fill="808080" w:themeFill="background1" w:themeFillShade="80"/>
      </w:tcPr>
    </w:tblStylePr>
    <w:tblStylePr w:type="lastRow">
      <w:tblPr/>
      <w:tcPr>
        <w:shd w:val="clear" w:color="auto" w:fill="D9D9D9" w:themeFill="background1" w:themeFillShade="D9"/>
      </w:tcPr>
    </w:tblStylePr>
    <w:tblStylePr w:type="firstCol">
      <w:rPr>
        <w:b w:val="0"/>
        <w:color w:val="FFFFFF" w:themeColor="background1"/>
      </w:rPr>
      <w:tblPr/>
      <w:tcPr>
        <w:shd w:val="clear" w:color="auto" w:fill="808080" w:themeFill="background1" w:themeFillShade="80"/>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basic">
    <w:name w:val="Custom Table (basic)"/>
    <w:basedOn w:val="TableNormal"/>
    <w:uiPriority w:val="99"/>
    <w:rsid w:val="007362F3"/>
    <w:pPr>
      <w:spacing w:after="0" w:line="240" w:lineRule="auto"/>
    </w:pPr>
    <w:rPr>
      <w:rFonts w:ascii="Arial" w:hAnsi="Arial"/>
      <w:sz w:val="18"/>
    </w:rPr>
    <w:tblPr>
      <w:tblStyleRowBandSize w:val="1"/>
      <w:tblStyleColBandSize w:val="1"/>
      <w:tblInd w:w="0" w:type="dxa"/>
      <w:tblBorders>
        <w:top w:val="single" w:sz="4" w:space="0" w:color="B4C6E7"/>
        <w:bottom w:val="single" w:sz="4" w:space="0" w:color="B4C6E7"/>
        <w:insideH w:val="single" w:sz="4" w:space="0" w:color="B4C6E7"/>
        <w:insideV w:val="single" w:sz="4" w:space="0" w:color="B4C6E7"/>
      </w:tblBorders>
      <w:tblCellMar>
        <w:top w:w="0" w:type="dxa"/>
        <w:left w:w="108" w:type="dxa"/>
        <w:bottom w:w="0" w:type="dxa"/>
        <w:right w:w="108" w:type="dxa"/>
      </w:tblCellMar>
    </w:tblPr>
    <w:trPr>
      <w:cantSplit/>
    </w:trPr>
    <w:tblStylePr w:type="firstRow">
      <w:rPr>
        <w:b w:val="0"/>
        <w:color w:val="auto"/>
      </w:rPr>
    </w:tblStylePr>
    <w:tblStylePr w:type="firstCol">
      <w:rPr>
        <w:b w:val="0"/>
        <w:color w:val="auto"/>
      </w:rPr>
    </w:tblStylePr>
  </w:style>
  <w:style w:type="table" w:customStyle="1" w:styleId="CustomTablestandard">
    <w:name w:val="Custom Table (standard)"/>
    <w:basedOn w:val="TableNormal"/>
    <w:uiPriority w:val="99"/>
    <w:rsid w:val="003E33DC"/>
    <w:pPr>
      <w:spacing w:after="0" w:line="240" w:lineRule="auto"/>
    </w:pPr>
    <w:rPr>
      <w:rFonts w:ascii="Arial" w:hAnsi="Arial"/>
      <w:sz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rPr>
      <w:cantSplit/>
    </w:trPr>
    <w:tblStylePr w:type="firstRow">
      <w:rPr>
        <w:rFonts w:ascii="Arial" w:hAnsi="Arial"/>
        <w:b w:val="0"/>
        <w:color w:val="FFFFFF" w:themeColor="background1"/>
      </w:rPr>
      <w:tblPr/>
      <w:trPr>
        <w:cantSplit w:val="0"/>
        <w:tblHeader/>
      </w:trPr>
      <w:tcPr>
        <w:shd w:val="clear" w:color="auto" w:fill="808080" w:themeFill="background1" w:themeFillShade="80"/>
      </w:tcPr>
    </w:tblStylePr>
  </w:style>
  <w:style w:type="table" w:customStyle="1" w:styleId="CustomTableplaceholder">
    <w:name w:val="Custom Table (placeholder)"/>
    <w:basedOn w:val="TableNormal"/>
    <w:uiPriority w:val="99"/>
    <w:rsid w:val="007C1A44"/>
    <w:pPr>
      <w:spacing w:after="0" w:line="240" w:lineRule="auto"/>
    </w:pPr>
    <w:rPr>
      <w:rFonts w:ascii="Arial" w:hAnsi="Arial"/>
    </w:rPr>
    <w:tblPr>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902D12"/>
    <w:rPr>
      <w:color w:val="605E5C"/>
      <w:shd w:val="clear" w:color="auto" w:fill="E1DFDD"/>
    </w:rPr>
  </w:style>
  <w:style w:type="table" w:customStyle="1" w:styleId="CustomTablerecommendationsbox">
    <w:name w:val="Custom Table (recommendations box)"/>
    <w:basedOn w:val="TableNormal"/>
    <w:uiPriority w:val="99"/>
    <w:rsid w:val="003B63B4"/>
    <w:pPr>
      <w:spacing w:after="0" w:line="240" w:lineRule="auto"/>
    </w:pPr>
    <w:tblPr>
      <w:tblInd w:w="0" w:type="dxa"/>
      <w:tblCellMar>
        <w:top w:w="0" w:type="dxa"/>
        <w:left w:w="108" w:type="dxa"/>
        <w:bottom w:w="0" w:type="dxa"/>
        <w:right w:w="108" w:type="dxa"/>
      </w:tblCellMar>
    </w:tblPr>
    <w:tcPr>
      <w:shd w:val="clear" w:color="auto" w:fill="BDD6EE"/>
    </w:tcPr>
  </w:style>
  <w:style w:type="table" w:customStyle="1" w:styleId="CustomTablebreakoutbox">
    <w:name w:val="Custom Table (breakout box)"/>
    <w:basedOn w:val="TableNormal"/>
    <w:uiPriority w:val="99"/>
    <w:rsid w:val="003E33DC"/>
    <w:pPr>
      <w:spacing w:after="0" w:line="240" w:lineRule="auto"/>
    </w:pPr>
    <w:tblPr>
      <w:tblInd w:w="0" w:type="dxa"/>
      <w:tblCellMar>
        <w:top w:w="0" w:type="dxa"/>
        <w:left w:w="108" w:type="dxa"/>
        <w:bottom w:w="0" w:type="dxa"/>
        <w:right w:w="108" w:type="dxa"/>
      </w:tblCellMar>
    </w:tblPr>
    <w:tcPr>
      <w:shd w:val="clear" w:color="auto" w:fill="C5E0B3"/>
    </w:tcPr>
  </w:style>
  <w:style w:type="paragraph" w:styleId="EndnoteText">
    <w:name w:val="endnote text"/>
    <w:basedOn w:val="Normal"/>
    <w:link w:val="EndnoteTextChar"/>
    <w:uiPriority w:val="99"/>
    <w:semiHidden/>
    <w:rsid w:val="000F6C59"/>
    <w:pPr>
      <w:spacing w:after="0"/>
    </w:pPr>
    <w:rPr>
      <w:sz w:val="20"/>
    </w:rPr>
  </w:style>
  <w:style w:type="character" w:customStyle="1" w:styleId="EndnoteTextChar">
    <w:name w:val="Endnote Text Char"/>
    <w:basedOn w:val="DefaultParagraphFont"/>
    <w:link w:val="EndnoteText"/>
    <w:uiPriority w:val="99"/>
    <w:semiHidden/>
    <w:rsid w:val="000F6C59"/>
    <w:rPr>
      <w:rFonts w:ascii="Arial" w:hAnsi="Arial"/>
      <w:lang w:val="en-AU"/>
    </w:rPr>
  </w:style>
  <w:style w:type="character" w:styleId="EndnoteReference">
    <w:name w:val="endnote reference"/>
    <w:basedOn w:val="DefaultParagraphFont"/>
    <w:uiPriority w:val="99"/>
    <w:semiHidden/>
    <w:rsid w:val="000F6C59"/>
    <w:rPr>
      <w:vertAlign w:val="superscript"/>
    </w:rPr>
  </w:style>
  <w:style w:type="paragraph" w:customStyle="1" w:styleId="RecommendationsHeading">
    <w:name w:val="Recommendations Heading"/>
    <w:basedOn w:val="BodyText"/>
    <w:next w:val="BodyText"/>
    <w:uiPriority w:val="16"/>
    <w:qFormat/>
    <w:rsid w:val="00736816"/>
    <w:rPr>
      <w:b/>
      <w:sz w:val="36"/>
    </w:rPr>
  </w:style>
  <w:style w:type="paragraph" w:customStyle="1" w:styleId="RecommendationList">
    <w:name w:val="Recommendation List"/>
    <w:basedOn w:val="Normal"/>
    <w:next w:val="BodyText"/>
    <w:uiPriority w:val="17"/>
    <w:qFormat/>
    <w:rsid w:val="003C1C24"/>
    <w:rPr>
      <w:sz w:val="28"/>
    </w:rPr>
  </w:style>
  <w:style w:type="numbering" w:customStyle="1" w:styleId="RecommendationListmaster">
    <w:name w:val="Recommendation List (master)"/>
    <w:uiPriority w:val="99"/>
    <w:rsid w:val="003C1C24"/>
    <w:pPr>
      <w:numPr>
        <w:numId w:val="15"/>
      </w:numPr>
    </w:pPr>
  </w:style>
  <w:style w:type="table" w:customStyle="1" w:styleId="CustomTableblue">
    <w:name w:val="Custom Table (blue)"/>
    <w:basedOn w:val="TableNormal"/>
    <w:uiPriority w:val="99"/>
    <w:rsid w:val="00EF28CE"/>
    <w:pPr>
      <w:spacing w:after="0" w:line="240" w:lineRule="auto"/>
    </w:pPr>
    <w:rPr>
      <w:sz w:val="21"/>
    </w:rPr>
    <w:tblPr>
      <w:tblStyleRow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FFF" w:themeFill="background1"/>
    </w:tcPr>
    <w:tblStylePr w:type="firstRow">
      <w:rPr>
        <w:b/>
        <w:color w:val="FFFFFF" w:themeColor="background1"/>
        <w:sz w:val="21"/>
      </w:rPr>
      <w:tblPr/>
      <w:tcPr>
        <w:shd w:val="clear" w:color="auto" w:fill="0070C0"/>
      </w:tcPr>
    </w:tblStylePr>
    <w:tblStylePr w:type="firstCol">
      <w:rPr>
        <w:b/>
        <w:color w:val="FFFFFF" w:themeColor="background1"/>
      </w:rPr>
      <w:tblPr/>
      <w:tcPr>
        <w:shd w:val="clear" w:color="auto" w:fill="0070C0"/>
      </w:tcPr>
    </w:tblStylePr>
    <w:tblStylePr w:type="band1Horz">
      <w:tblPr/>
      <w:tcPr>
        <w:shd w:val="clear" w:color="auto" w:fill="B4C6E7"/>
      </w:tcPr>
    </w:tblStylePr>
    <w:tblStylePr w:type="band2Horz">
      <w:tblPr/>
      <w:tcPr>
        <w:shd w:val="clear" w:color="auto" w:fill="D9E2F3"/>
      </w:tcPr>
    </w:tblStylePr>
  </w:style>
  <w:style w:type="paragraph" w:customStyle="1" w:styleId="TableBodyTextcentred">
    <w:name w:val="Table Body Text (centred)"/>
    <w:basedOn w:val="TableBodyText"/>
    <w:uiPriority w:val="15"/>
    <w:rsid w:val="00196F9B"/>
    <w:pPr>
      <w:jc w:val="center"/>
    </w:pPr>
  </w:style>
  <w:style w:type="character" w:customStyle="1" w:styleId="Characterclear">
    <w:name w:val="Character (clear)"/>
    <w:uiPriority w:val="1"/>
    <w:rsid w:val="003950BC"/>
    <w:rPr>
      <w:rFonts w:ascii="Arial" w:hAnsi="Arial"/>
      <w:sz w:val="24"/>
      <w:lang w:eastAsia="en-AU"/>
    </w:rPr>
  </w:style>
  <w:style w:type="paragraph" w:customStyle="1" w:styleId="VEOHRCBodytext">
    <w:name w:val="VEOHRC Body text"/>
    <w:link w:val="VEOHRCBodytextChar"/>
    <w:qFormat/>
    <w:rsid w:val="005C5597"/>
    <w:pPr>
      <w:spacing w:before="60" w:after="60" w:line="240" w:lineRule="auto"/>
    </w:pPr>
    <w:rPr>
      <w:rFonts w:ascii="Arial" w:eastAsia="Arial Unicode MS" w:hAnsi="Arial" w:cs="Arial"/>
      <w:sz w:val="24"/>
      <w:szCs w:val="22"/>
      <w:lang w:val="en-AU" w:eastAsia="en-AU"/>
    </w:rPr>
  </w:style>
  <w:style w:type="character" w:customStyle="1" w:styleId="VEOHRCBodytextChar">
    <w:name w:val="VEOHRC Body text Char"/>
    <w:link w:val="VEOHRCBodytext"/>
    <w:rsid w:val="005C5597"/>
    <w:rPr>
      <w:rFonts w:ascii="Arial" w:eastAsia="Arial Unicode MS" w:hAnsi="Arial" w:cs="Arial"/>
      <w:sz w:val="24"/>
      <w:szCs w:val="22"/>
      <w:lang w:val="en-AU" w:eastAsia="en-AU"/>
    </w:rPr>
  </w:style>
  <w:style w:type="paragraph" w:customStyle="1" w:styleId="VEOHRCHeading1">
    <w:name w:val="VEOHRC Heading 1"/>
    <w:basedOn w:val="Heading1"/>
    <w:link w:val="VEOHRCHeading1Char"/>
    <w:rsid w:val="002A0916"/>
    <w:pPr>
      <w:spacing w:before="300"/>
    </w:pPr>
    <w:rPr>
      <w:b/>
      <w:kern w:val="32"/>
      <w:sz w:val="36"/>
    </w:rPr>
  </w:style>
  <w:style w:type="paragraph" w:customStyle="1" w:styleId="VEOHRCHeading3">
    <w:name w:val="VEOHRC Heading 3"/>
    <w:next w:val="VEOHRCBodytext"/>
    <w:link w:val="VEOHRCHeading3Char"/>
    <w:qFormat/>
    <w:rsid w:val="002A0916"/>
    <w:pPr>
      <w:keepNext/>
      <w:spacing w:before="180" w:after="0" w:line="240" w:lineRule="atLeast"/>
    </w:pPr>
    <w:rPr>
      <w:rFonts w:ascii="Arial" w:eastAsia="Times New Roman" w:hAnsi="Arial" w:cs="Arial"/>
      <w:b/>
      <w:bCs/>
      <w:sz w:val="24"/>
      <w:szCs w:val="26"/>
      <w:lang w:val="en-GB" w:eastAsia="en-AU"/>
    </w:rPr>
  </w:style>
  <w:style w:type="character" w:customStyle="1" w:styleId="VEOHRCItalics">
    <w:name w:val="VEOHRC Italics"/>
    <w:uiPriority w:val="99"/>
    <w:rsid w:val="002A0916"/>
    <w:rPr>
      <w:i/>
      <w:iCs/>
    </w:rPr>
  </w:style>
  <w:style w:type="character" w:customStyle="1" w:styleId="VEOHRCHeading3Char">
    <w:name w:val="VEOHRC Heading 3 Char"/>
    <w:link w:val="VEOHRCHeading3"/>
    <w:rsid w:val="002A0916"/>
    <w:rPr>
      <w:rFonts w:ascii="Arial" w:eastAsia="Times New Roman" w:hAnsi="Arial" w:cs="Arial"/>
      <w:b/>
      <w:bCs/>
      <w:sz w:val="24"/>
      <w:szCs w:val="26"/>
      <w:lang w:val="en-GB" w:eastAsia="en-AU"/>
    </w:rPr>
  </w:style>
  <w:style w:type="character" w:customStyle="1" w:styleId="VEOHRCHeading1Char">
    <w:name w:val="VEOHRC Heading 1 Char"/>
    <w:link w:val="VEOHRCHeading1"/>
    <w:rsid w:val="002A0916"/>
    <w:rPr>
      <w:rFonts w:ascii="Arial" w:eastAsia="Times New Roman" w:hAnsi="Arial" w:cs="Times New Roman"/>
      <w:b/>
      <w:bCs/>
      <w:kern w:val="32"/>
      <w:sz w:val="36"/>
      <w:szCs w:val="32"/>
      <w:lang w:val="en-GB" w:eastAsia="en-AU"/>
    </w:rPr>
  </w:style>
  <w:style w:type="character" w:styleId="LineNumber">
    <w:name w:val="line number"/>
    <w:basedOn w:val="DefaultParagraphFont"/>
    <w:semiHidden/>
    <w:rsid w:val="00416294"/>
  </w:style>
  <w:style w:type="character" w:customStyle="1" w:styleId="VEOHRCBold">
    <w:name w:val="VEOHRC Bold"/>
    <w:uiPriority w:val="99"/>
    <w:rsid w:val="00455C41"/>
    <w:rPr>
      <w:rFonts w:ascii="ArialMT-Medium" w:hAnsi="ArialMT-Medium" w:cs="ArialMT-Medium"/>
    </w:rPr>
  </w:style>
  <w:style w:type="paragraph" w:styleId="BodyTextIndent20">
    <w:name w:val="Body Text Indent 2"/>
    <w:basedOn w:val="Normal"/>
    <w:link w:val="BodyTextIndent2Char"/>
    <w:semiHidden/>
    <w:rsid w:val="00455C41"/>
    <w:pPr>
      <w:spacing w:line="480" w:lineRule="auto"/>
      <w:ind w:left="283"/>
    </w:pPr>
    <w:rPr>
      <w:rFonts w:ascii="Frutiger 45 Light" w:eastAsia="Times New Roman" w:hAnsi="Frutiger 45 Light" w:cs="Times New Roman"/>
      <w:szCs w:val="24"/>
      <w:lang w:eastAsia="en-AU"/>
    </w:rPr>
  </w:style>
  <w:style w:type="character" w:customStyle="1" w:styleId="BodyTextIndent2Char">
    <w:name w:val="Body Text Indent 2 Char"/>
    <w:basedOn w:val="DefaultParagraphFont"/>
    <w:link w:val="BodyTextIndent20"/>
    <w:semiHidden/>
    <w:rsid w:val="00455C41"/>
    <w:rPr>
      <w:rFonts w:ascii="Frutiger 45 Light" w:eastAsia="Times New Roman" w:hAnsi="Frutiger 45 Light" w:cs="Times New Roman"/>
      <w:sz w:val="24"/>
      <w:szCs w:val="24"/>
      <w:lang w:val="en-GB" w:eastAsia="en-AU"/>
    </w:rPr>
  </w:style>
  <w:style w:type="paragraph" w:customStyle="1" w:styleId="VEOHRCListBullet">
    <w:name w:val="VEOHRC List Bullet"/>
    <w:link w:val="VEOHRCListBulletChar"/>
    <w:qFormat/>
    <w:rsid w:val="00455C41"/>
    <w:pPr>
      <w:keepNext/>
      <w:numPr>
        <w:numId w:val="16"/>
      </w:numPr>
      <w:spacing w:after="60" w:line="240" w:lineRule="atLeast"/>
    </w:pPr>
    <w:rPr>
      <w:rFonts w:ascii="Arial" w:eastAsia="Arial Unicode MS" w:hAnsi="Arial" w:cs="Times New Roman"/>
      <w:sz w:val="24"/>
      <w:szCs w:val="24"/>
      <w:lang w:val="en-GB" w:eastAsia="en-AU"/>
    </w:rPr>
  </w:style>
  <w:style w:type="character" w:customStyle="1" w:styleId="VEOHRCFootnotechar">
    <w:name w:val="VEOHRC Footnote char"/>
    <w:uiPriority w:val="99"/>
    <w:rsid w:val="00455C41"/>
    <w:rPr>
      <w:sz w:val="20"/>
      <w:szCs w:val="20"/>
      <w:vertAlign w:val="superscript"/>
      <w:lang w:val="en-US"/>
    </w:rPr>
  </w:style>
  <w:style w:type="character" w:customStyle="1" w:styleId="VEOHRCListBulletChar">
    <w:name w:val="VEOHRC List Bullet Char"/>
    <w:link w:val="VEOHRCListBullet"/>
    <w:rsid w:val="00455C41"/>
    <w:rPr>
      <w:rFonts w:ascii="Arial" w:eastAsia="Arial Unicode MS" w:hAnsi="Arial" w:cs="Times New Roman"/>
      <w:sz w:val="24"/>
      <w:szCs w:val="24"/>
      <w:lang w:val="en-GB" w:eastAsia="en-AU"/>
    </w:rPr>
  </w:style>
  <w:style w:type="character" w:customStyle="1" w:styleId="VEOHRCwww">
    <w:name w:val="VEOHRC www"/>
    <w:uiPriority w:val="99"/>
    <w:rsid w:val="000A5ED7"/>
    <w:rPr>
      <w:color w:val="00ADEF"/>
    </w:rPr>
  </w:style>
  <w:style w:type="paragraph" w:customStyle="1" w:styleId="VEOHRCNumberedlist">
    <w:name w:val="VEOHRC Numbered list"/>
    <w:basedOn w:val="VEOHRCListBullet"/>
    <w:link w:val="VEOHRCNumberedlistChar"/>
    <w:rsid w:val="00CC0651"/>
    <w:pPr>
      <w:keepNext w:val="0"/>
      <w:numPr>
        <w:numId w:val="17"/>
      </w:numPr>
    </w:pPr>
    <w:rPr>
      <w:rFonts w:eastAsia="Times New Roman"/>
    </w:rPr>
  </w:style>
  <w:style w:type="paragraph" w:customStyle="1" w:styleId="FootnotesrefssChar">
    <w:name w:val="Footnotes refss Char"/>
    <w:aliases w:val="4_G Char Char Char1 Char Char Char Char Char,Footnote Reference1 Char Char Char1 Char Char Char Char Char,Footnotes refss Char Char Char1 Char Char Char Char Char,ftref Char Char Char1 Char Char Char Char Char"/>
    <w:basedOn w:val="Normal"/>
    <w:link w:val="FootnoteReference"/>
    <w:uiPriority w:val="99"/>
    <w:rsid w:val="00CC0651"/>
    <w:pPr>
      <w:spacing w:line="240" w:lineRule="exact"/>
      <w:jc w:val="both"/>
    </w:pPr>
    <w:rPr>
      <w:rFonts w:asciiTheme="minorHAnsi" w:hAnsiTheme="minorHAnsi"/>
      <w:sz w:val="20"/>
      <w:vertAlign w:val="superscript"/>
      <w:lang w:val="en-US"/>
    </w:rPr>
  </w:style>
  <w:style w:type="character" w:customStyle="1" w:styleId="VEOHRCNumberedlistChar">
    <w:name w:val="VEOHRC Numbered list Char"/>
    <w:link w:val="VEOHRCNumberedlist"/>
    <w:rsid w:val="00CC0651"/>
    <w:rPr>
      <w:rFonts w:ascii="Arial" w:eastAsia="Times New Roman" w:hAnsi="Arial" w:cs="Times New Roman"/>
      <w:sz w:val="24"/>
      <w:szCs w:val="24"/>
      <w:lang w:val="en-GB" w:eastAsia="en-AU"/>
    </w:rPr>
  </w:style>
  <w:style w:type="paragraph" w:customStyle="1" w:styleId="VEOHRCHeading2">
    <w:name w:val="VEOHRC Heading 2"/>
    <w:basedOn w:val="Heading2"/>
    <w:rsid w:val="000B6D8E"/>
    <w:pPr>
      <w:spacing w:before="240" w:line="280" w:lineRule="atLeast"/>
    </w:pPr>
    <w:rPr>
      <w:bCs/>
      <w:sz w:val="28"/>
    </w:rPr>
  </w:style>
  <w:style w:type="paragraph" w:customStyle="1" w:styleId="TableTextNormal">
    <w:name w:val="Table Text Normal"/>
    <w:basedOn w:val="Normal"/>
    <w:rsid w:val="005020B2"/>
    <w:pPr>
      <w:kinsoku w:val="0"/>
      <w:overflowPunct w:val="0"/>
      <w:autoSpaceDE w:val="0"/>
      <w:autoSpaceDN w:val="0"/>
      <w:adjustRightInd w:val="0"/>
      <w:snapToGrid w:val="0"/>
      <w:spacing w:after="80"/>
    </w:pPr>
    <w:rPr>
      <w:rFonts w:ascii="Georgia" w:eastAsia="Times New Roman" w:hAnsi="Georgia" w:cs="Arial"/>
      <w:snapToGrid w:val="0"/>
      <w:sz w:val="20"/>
    </w:rPr>
  </w:style>
  <w:style w:type="paragraph" w:customStyle="1" w:styleId="Indent8">
    <w:name w:val="Indent 8"/>
    <w:basedOn w:val="Normal"/>
    <w:rsid w:val="005020B2"/>
    <w:pPr>
      <w:numPr>
        <w:ilvl w:val="8"/>
      </w:numPr>
      <w:kinsoku w:val="0"/>
      <w:overflowPunct w:val="0"/>
      <w:autoSpaceDE w:val="0"/>
      <w:autoSpaceDN w:val="0"/>
      <w:adjustRightInd w:val="0"/>
      <w:snapToGrid w:val="0"/>
      <w:spacing w:before="100" w:after="100"/>
    </w:pPr>
    <w:rPr>
      <w:rFonts w:ascii="Georgia" w:eastAsia="Times New Roman" w:hAnsi="Georgia" w:cs="Times New Roman"/>
      <w:snapToGrid w:val="0"/>
      <w:sz w:val="20"/>
    </w:rPr>
  </w:style>
  <w:style w:type="table" w:styleId="TableGrid6">
    <w:name w:val="Table Grid 6"/>
    <w:basedOn w:val="TableNormal"/>
    <w:semiHidden/>
    <w:locked/>
    <w:rsid w:val="005020B2"/>
    <w:pPr>
      <w:kinsoku w:val="0"/>
      <w:overflowPunct w:val="0"/>
      <w:autoSpaceDE w:val="0"/>
      <w:autoSpaceDN w:val="0"/>
      <w:adjustRightInd w:val="0"/>
      <w:snapToGrid w:val="0"/>
      <w:spacing w:after="0" w:line="240" w:lineRule="auto"/>
    </w:pPr>
    <w:rPr>
      <w:rFonts w:ascii="Georgia" w:eastAsia="Times New Roman" w:hAnsi="Georgia" w:cs="Times New Roman"/>
      <w:lang w:val="en-AU"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PwCNormal">
    <w:name w:val="PwC Normal"/>
    <w:aliases w:val="n,majNormal,note(text),cv teC Normal,note(text) + +Headings (Georgia),9 pt,Before:  3 pt,After:  3...,rmal"/>
    <w:basedOn w:val="Normal"/>
    <w:link w:val="PwCNormalChar"/>
    <w:rsid w:val="00666BFB"/>
    <w:pPr>
      <w:kinsoku w:val="0"/>
      <w:overflowPunct w:val="0"/>
      <w:autoSpaceDE w:val="0"/>
      <w:autoSpaceDN w:val="0"/>
      <w:adjustRightInd w:val="0"/>
      <w:snapToGrid w:val="0"/>
      <w:spacing w:after="240"/>
    </w:pPr>
    <w:rPr>
      <w:rFonts w:ascii="Georgia" w:eastAsia="Times New Roman" w:hAnsi="Georgia" w:cs="Arial"/>
      <w:snapToGrid w:val="0"/>
      <w:sz w:val="20"/>
    </w:rPr>
  </w:style>
  <w:style w:type="character" w:customStyle="1" w:styleId="PwCNormalChar">
    <w:name w:val="PwC Normal Char"/>
    <w:aliases w:val="n Char Char,n Char,majNormal Char,note(text) Char,cv teC Normal Char,note(text) + +Headings (Georgia) Char,9 pt Char,Before:  3 pt Char,After:  3... Char,rmal Char"/>
    <w:basedOn w:val="DefaultParagraphFont"/>
    <w:link w:val="PwCNormal"/>
    <w:rsid w:val="00666BFB"/>
    <w:rPr>
      <w:rFonts w:ascii="Georgia" w:eastAsia="Times New Roman" w:hAnsi="Georgia" w:cs="Arial"/>
      <w:snapToGrid w:val="0"/>
      <w:lang w:val="en-AU"/>
    </w:rPr>
  </w:style>
  <w:style w:type="numbering" w:customStyle="1" w:styleId="BulletList">
    <w:name w:val="Bullet List"/>
    <w:rsid w:val="00827B93"/>
    <w:pPr>
      <w:numPr>
        <w:numId w:val="18"/>
      </w:numPr>
    </w:pPr>
  </w:style>
  <w:style w:type="paragraph" w:customStyle="1" w:styleId="TableBullet1Normal">
    <w:name w:val="Table Bullet 1 Normal"/>
    <w:basedOn w:val="TableTextNormal"/>
    <w:rsid w:val="00827B93"/>
    <w:pPr>
      <w:numPr>
        <w:numId w:val="19"/>
      </w:numPr>
      <w:spacing w:before="40" w:after="40"/>
    </w:pPr>
  </w:style>
  <w:style w:type="paragraph" w:customStyle="1" w:styleId="TableBullet3Normal">
    <w:name w:val="Table Bullet 3 Normal"/>
    <w:basedOn w:val="TableBullet2Normal"/>
    <w:rsid w:val="00827B93"/>
    <w:pPr>
      <w:numPr>
        <w:ilvl w:val="2"/>
      </w:numPr>
    </w:pPr>
  </w:style>
  <w:style w:type="numbering" w:customStyle="1" w:styleId="PwCListNumbers1">
    <w:name w:val="PwC List Numbers 1"/>
    <w:uiPriority w:val="99"/>
    <w:rsid w:val="00827B93"/>
    <w:pPr>
      <w:numPr>
        <w:numId w:val="20"/>
      </w:numPr>
    </w:pPr>
  </w:style>
  <w:style w:type="paragraph" w:customStyle="1" w:styleId="TableBullet2Normal">
    <w:name w:val="Table Bullet 2 Normal"/>
    <w:basedOn w:val="TableBullet1Normal"/>
    <w:rsid w:val="00827B93"/>
    <w:pPr>
      <w:numPr>
        <w:ilvl w:val="1"/>
      </w:numPr>
    </w:pPr>
  </w:style>
  <w:style w:type="paragraph" w:customStyle="1" w:styleId="TableColumnHeadingNormal">
    <w:name w:val="Table Column Heading Normal"/>
    <w:basedOn w:val="TableTextNormal"/>
    <w:rsid w:val="00827B93"/>
    <w:pPr>
      <w:keepNext/>
      <w:keepLines/>
    </w:pPr>
    <w:rPr>
      <w:b/>
      <w:color w:val="1F497D" w:themeColor="text2"/>
    </w:rPr>
  </w:style>
  <w:style w:type="table" w:customStyle="1" w:styleId="Tables-APBase">
    <w:name w:val="Tables - AP Base"/>
    <w:basedOn w:val="TableNormal"/>
    <w:rsid w:val="00827B93"/>
    <w:pPr>
      <w:spacing w:after="0" w:line="240" w:lineRule="auto"/>
    </w:pPr>
    <w:rPr>
      <w:rFonts w:ascii="Georgia" w:eastAsia="Times New Roman" w:hAnsi="Georgia" w:cs="Times New Roman"/>
      <w:lang w:val="en-AU" w:eastAsia="en-AU"/>
    </w:rPr>
    <w:tblPr>
      <w:tblStyleRowBandSize w:val="1"/>
      <w:tblStyleColBandSize w:val="1"/>
      <w:tblInd w:w="0" w:type="dxa"/>
      <w:tblBorders>
        <w:top w:val="single" w:sz="4" w:space="0" w:color="FFFFFF"/>
        <w:left w:val="single" w:sz="4" w:space="0" w:color="FFFFFF"/>
        <w:bottom w:val="single" w:sz="6" w:space="0" w:color="1F497D" w:themeColor="text2"/>
        <w:right w:val="single" w:sz="4" w:space="0" w:color="FFFFFF"/>
        <w:insideH w:val="dotted" w:sz="8" w:space="0" w:color="1F497D" w:themeColor="text2"/>
        <w:insideV w:val="single" w:sz="4" w:space="0" w:color="FFFFFF"/>
      </w:tblBorders>
      <w:tblCellMar>
        <w:top w:w="0" w:type="dxa"/>
        <w:left w:w="108" w:type="dxa"/>
        <w:bottom w:w="0" w:type="dxa"/>
        <w:right w:w="108" w:type="dxa"/>
      </w:tblCellMar>
    </w:tblPr>
    <w:tcPr>
      <w:shd w:val="clear" w:color="auto" w:fill="auto"/>
      <w:tcMar>
        <w:top w:w="0" w:type="dxa"/>
        <w:left w:w="108" w:type="dxa"/>
        <w:bottom w:w="0" w:type="dxa"/>
        <w:right w:w="108" w:type="dxa"/>
      </w:tcMar>
    </w:tcPr>
    <w:tblStylePr w:type="firstRow">
      <w:pPr>
        <w:jc w:val="center"/>
      </w:pPr>
      <w:rPr>
        <w:rFonts w:ascii="+mn-ea" w:hAnsi="+mn-ea"/>
        <w:b w:val="0"/>
        <w:color w:val="auto"/>
      </w:rPr>
      <w:tblPr/>
      <w:trPr>
        <w:tblHeader/>
      </w:trPr>
      <w:tcPr>
        <w:tcBorders>
          <w:top w:val="single" w:sz="4" w:space="0" w:color="1F497D" w:themeColor="text2"/>
          <w:bottom w:val="single" w:sz="4" w:space="0" w:color="1F497D" w:themeColor="text2"/>
        </w:tcBorders>
      </w:tcPr>
    </w:tblStylePr>
    <w:tblStylePr w:type="lastRow">
      <w:rPr>
        <w:color w:val="auto"/>
      </w:rPr>
      <w:tblPr/>
      <w:tcPr>
        <w:tcBorders>
          <w:top w:val="single" w:sz="4" w:space="0" w:color="1F497D" w:themeColor="text2"/>
        </w:tcBorders>
        <w:shd w:val="clear" w:color="auto" w:fill="auto"/>
      </w:tcPr>
    </w:tblStylePr>
    <w:tblStylePr w:type="nwCell">
      <w:pPr>
        <w:jc w:val="left"/>
      </w:pPr>
      <w:tblPr/>
      <w:tcPr>
        <w:vAlign w:val="bottom"/>
      </w:tcPr>
    </w:tblStylePr>
  </w:style>
  <w:style w:type="paragraph" w:customStyle="1" w:styleId="Bullet1">
    <w:name w:val="Bullet 1"/>
    <w:basedOn w:val="PwCNormal"/>
    <w:link w:val="Bullet1Char"/>
    <w:rsid w:val="00827B93"/>
    <w:pPr>
      <w:numPr>
        <w:numId w:val="22"/>
      </w:numPr>
      <w:spacing w:after="80"/>
    </w:pPr>
  </w:style>
  <w:style w:type="paragraph" w:customStyle="1" w:styleId="Bullet2">
    <w:name w:val="Bullet 2"/>
    <w:basedOn w:val="Bullet1"/>
    <w:link w:val="Bullet2Char"/>
    <w:rsid w:val="00827B93"/>
    <w:pPr>
      <w:numPr>
        <w:ilvl w:val="1"/>
      </w:numPr>
    </w:pPr>
  </w:style>
  <w:style w:type="paragraph" w:customStyle="1" w:styleId="Bullet3">
    <w:name w:val="Bullet 3"/>
    <w:basedOn w:val="Bullet2"/>
    <w:rsid w:val="00827B93"/>
    <w:pPr>
      <w:numPr>
        <w:ilvl w:val="2"/>
      </w:numPr>
    </w:pPr>
  </w:style>
  <w:style w:type="paragraph" w:customStyle="1" w:styleId="Bullet4">
    <w:name w:val="Bullet 4"/>
    <w:basedOn w:val="Bullet3"/>
    <w:rsid w:val="00827B93"/>
    <w:pPr>
      <w:numPr>
        <w:ilvl w:val="3"/>
      </w:numPr>
    </w:pPr>
  </w:style>
  <w:style w:type="numbering" w:customStyle="1" w:styleId="Bullets">
    <w:name w:val="Bullets"/>
    <w:uiPriority w:val="99"/>
    <w:rsid w:val="00827B93"/>
    <w:pPr>
      <w:numPr>
        <w:numId w:val="21"/>
      </w:numPr>
    </w:pPr>
  </w:style>
  <w:style w:type="paragraph" w:customStyle="1" w:styleId="BlueSub-headings">
    <w:name w:val="Blue Sub-headings"/>
    <w:basedOn w:val="Normal"/>
    <w:next w:val="Normal"/>
    <w:link w:val="BlueSub-headingsChar"/>
    <w:uiPriority w:val="11"/>
    <w:rsid w:val="00043EF1"/>
    <w:pPr>
      <w:spacing w:before="200" w:after="200"/>
    </w:pPr>
    <w:rPr>
      <w:rFonts w:eastAsia="MS Gothic" w:cs="Times New Roman"/>
      <w:b/>
      <w:bCs/>
      <w:color w:val="00A5E4"/>
      <w:spacing w:val="-6"/>
      <w:sz w:val="40"/>
      <w:szCs w:val="28"/>
      <w:lang w:val="x-none"/>
    </w:rPr>
  </w:style>
  <w:style w:type="character" w:customStyle="1" w:styleId="BlueSub-headingsChar">
    <w:name w:val="Blue Sub-headings Char"/>
    <w:link w:val="BlueSub-headings"/>
    <w:uiPriority w:val="11"/>
    <w:rsid w:val="00043EF1"/>
    <w:rPr>
      <w:rFonts w:ascii="Arial" w:eastAsia="MS Gothic" w:hAnsi="Arial" w:cs="Times New Roman"/>
      <w:b/>
      <w:bCs/>
      <w:color w:val="00A5E4"/>
      <w:spacing w:val="-6"/>
      <w:sz w:val="40"/>
      <w:szCs w:val="28"/>
      <w:lang w:val="x-none"/>
    </w:rPr>
  </w:style>
  <w:style w:type="paragraph" w:customStyle="1" w:styleId="TableNumberedList1">
    <w:name w:val="Table Numbered List 1"/>
    <w:basedOn w:val="TableTextNormal"/>
    <w:rsid w:val="00043EF1"/>
    <w:pPr>
      <w:numPr>
        <w:numId w:val="23"/>
      </w:numPr>
    </w:pPr>
  </w:style>
  <w:style w:type="paragraph" w:customStyle="1" w:styleId="TableNumberedList2">
    <w:name w:val="Table Numbered List 2"/>
    <w:basedOn w:val="TableNumberedList1"/>
    <w:rsid w:val="00043EF1"/>
    <w:pPr>
      <w:numPr>
        <w:ilvl w:val="1"/>
      </w:numPr>
      <w:spacing w:before="40" w:after="40"/>
    </w:pPr>
  </w:style>
  <w:style w:type="paragraph" w:customStyle="1" w:styleId="TableNumberedList3">
    <w:name w:val="Table Numbered List 3"/>
    <w:basedOn w:val="TableNumberedList2"/>
    <w:rsid w:val="00043EF1"/>
    <w:pPr>
      <w:numPr>
        <w:ilvl w:val="2"/>
      </w:numPr>
    </w:pPr>
  </w:style>
  <w:style w:type="character" w:customStyle="1" w:styleId="Heading6Char">
    <w:name w:val="Heading 6 Char"/>
    <w:basedOn w:val="DefaultParagraphFont"/>
    <w:link w:val="Heading6"/>
    <w:uiPriority w:val="9"/>
    <w:rsid w:val="003F304C"/>
    <w:rPr>
      <w:rFonts w:ascii="Calibri" w:hAnsi="Calibri" w:cs="Times New Roman"/>
      <w:b/>
      <w:color w:val="172983"/>
      <w:sz w:val="40"/>
      <w:szCs w:val="40"/>
      <w:lang w:val="en-AU" w:eastAsia="en-AU"/>
    </w:rPr>
  </w:style>
  <w:style w:type="character" w:customStyle="1" w:styleId="Heading7Char">
    <w:name w:val="Heading 7 Char"/>
    <w:basedOn w:val="DefaultParagraphFont"/>
    <w:link w:val="Heading7"/>
    <w:uiPriority w:val="9"/>
    <w:rsid w:val="003F304C"/>
    <w:rPr>
      <w:rFonts w:ascii="Calibri" w:hAnsi="Calibri" w:cs="Times New Roman"/>
      <w:b/>
      <w:color w:val="172983"/>
      <w:sz w:val="36"/>
      <w:szCs w:val="36"/>
      <w:lang w:val="en-AU" w:eastAsia="en-AU"/>
    </w:rPr>
  </w:style>
  <w:style w:type="character" w:customStyle="1" w:styleId="Heading8Char">
    <w:name w:val="Heading 8 Char"/>
    <w:basedOn w:val="DefaultParagraphFont"/>
    <w:link w:val="Heading8"/>
    <w:uiPriority w:val="9"/>
    <w:rsid w:val="003F304C"/>
    <w:rPr>
      <w:rFonts w:ascii="Calibri" w:hAnsi="Calibri" w:cs="Times New Roman"/>
      <w:b/>
      <w:color w:val="172983"/>
      <w:sz w:val="28"/>
      <w:szCs w:val="28"/>
      <w:lang w:val="en-AU" w:eastAsia="en-AU"/>
    </w:rPr>
  </w:style>
  <w:style w:type="character" w:customStyle="1" w:styleId="Heading9Char">
    <w:name w:val="Heading 9 Char"/>
    <w:basedOn w:val="DefaultParagraphFont"/>
    <w:link w:val="Heading9"/>
    <w:rsid w:val="003F304C"/>
    <w:rPr>
      <w:rFonts w:ascii="Calibri" w:hAnsi="Calibri" w:cs="Times New Roman"/>
      <w:i/>
      <w:color w:val="172983"/>
      <w:sz w:val="26"/>
      <w:szCs w:val="26"/>
      <w:lang w:val="en-AU" w:eastAsia="en-AU"/>
    </w:rPr>
  </w:style>
  <w:style w:type="paragraph" w:styleId="NormalWeb">
    <w:name w:val="Normal (Web)"/>
    <w:basedOn w:val="Normal"/>
    <w:uiPriority w:val="99"/>
    <w:unhideWhenUsed/>
    <w:rsid w:val="003F304C"/>
    <w:pPr>
      <w:spacing w:before="240" w:after="0"/>
    </w:pPr>
    <w:rPr>
      <w:rFonts w:ascii="Times New Roman" w:hAnsi="Times New Roman" w:cs="Times New Roman"/>
      <w:szCs w:val="24"/>
      <w:lang w:eastAsia="en-AU"/>
    </w:rPr>
  </w:style>
  <w:style w:type="paragraph" w:styleId="ListBullet4">
    <w:name w:val="List Bullet 4"/>
    <w:basedOn w:val="Normal"/>
    <w:rsid w:val="003F304C"/>
    <w:pPr>
      <w:numPr>
        <w:numId w:val="25"/>
      </w:numPr>
      <w:spacing w:before="240" w:after="0"/>
      <w:contextualSpacing/>
    </w:pPr>
    <w:rPr>
      <w:rFonts w:cs="Times New Roman"/>
      <w:lang w:eastAsia="en-AU"/>
    </w:rPr>
  </w:style>
  <w:style w:type="paragraph" w:styleId="ListBullet5">
    <w:name w:val="List Bullet 5"/>
    <w:basedOn w:val="Normal"/>
    <w:rsid w:val="003F304C"/>
    <w:pPr>
      <w:numPr>
        <w:numId w:val="24"/>
      </w:numPr>
      <w:spacing w:before="240" w:after="0"/>
      <w:contextualSpacing/>
    </w:pPr>
    <w:rPr>
      <w:rFonts w:cs="Times New Roman"/>
      <w:lang w:eastAsia="en-AU"/>
    </w:rPr>
  </w:style>
  <w:style w:type="paragraph" w:styleId="BodyText2">
    <w:name w:val="Body Text 2"/>
    <w:basedOn w:val="Normal"/>
    <w:link w:val="BodyText2Char"/>
    <w:rsid w:val="003F304C"/>
    <w:pPr>
      <w:spacing w:before="240" w:line="480" w:lineRule="auto"/>
    </w:pPr>
    <w:rPr>
      <w:rFonts w:cs="Times New Roman"/>
      <w:lang w:eastAsia="en-AU"/>
    </w:rPr>
  </w:style>
  <w:style w:type="character" w:customStyle="1" w:styleId="BodyText2Char">
    <w:name w:val="Body Text 2 Char"/>
    <w:basedOn w:val="DefaultParagraphFont"/>
    <w:link w:val="BodyText2"/>
    <w:rsid w:val="003F304C"/>
    <w:rPr>
      <w:rFonts w:ascii="Calibri" w:hAnsi="Calibri" w:cs="Times New Roman"/>
      <w:sz w:val="22"/>
      <w:szCs w:val="22"/>
      <w:lang w:val="en-AU" w:eastAsia="en-AU"/>
    </w:rPr>
  </w:style>
  <w:style w:type="paragraph" w:styleId="BodyTextFirstIndent">
    <w:name w:val="Body Text First Indent"/>
    <w:basedOn w:val="BodyText"/>
    <w:link w:val="BodyTextFirstIndentChar"/>
    <w:rsid w:val="003F304C"/>
    <w:pPr>
      <w:spacing w:before="240" w:after="0"/>
      <w:ind w:firstLine="360"/>
    </w:pPr>
    <w:rPr>
      <w:lang w:eastAsia="en-AU"/>
    </w:rPr>
  </w:style>
  <w:style w:type="character" w:customStyle="1" w:styleId="BodyTextFirstIndentChar">
    <w:name w:val="Body Text First Indent Char"/>
    <w:basedOn w:val="BodyTextChar"/>
    <w:link w:val="BodyTextFirstIndent"/>
    <w:rsid w:val="003F304C"/>
    <w:rPr>
      <w:rFonts w:ascii="Calibri" w:eastAsia="Calibri" w:hAnsi="Calibri" w:cs="Times New Roman"/>
      <w:sz w:val="22"/>
      <w:szCs w:val="22"/>
      <w:lang w:val="en-AU" w:eastAsia="en-AU"/>
    </w:rPr>
  </w:style>
  <w:style w:type="paragraph" w:styleId="BodyText3">
    <w:name w:val="Body Text 3"/>
    <w:basedOn w:val="Normal"/>
    <w:link w:val="BodyText3Char"/>
    <w:rsid w:val="003F304C"/>
    <w:pPr>
      <w:spacing w:before="240"/>
    </w:pPr>
    <w:rPr>
      <w:rFonts w:cs="Times New Roman"/>
      <w:sz w:val="16"/>
      <w:szCs w:val="16"/>
      <w:lang w:eastAsia="en-AU"/>
    </w:rPr>
  </w:style>
  <w:style w:type="character" w:customStyle="1" w:styleId="BodyText3Char">
    <w:name w:val="Body Text 3 Char"/>
    <w:basedOn w:val="DefaultParagraphFont"/>
    <w:link w:val="BodyText3"/>
    <w:rsid w:val="003F304C"/>
    <w:rPr>
      <w:rFonts w:ascii="Calibri" w:hAnsi="Calibri" w:cs="Times New Roman"/>
      <w:sz w:val="16"/>
      <w:szCs w:val="16"/>
      <w:lang w:val="en-AU" w:eastAsia="en-AU"/>
    </w:rPr>
  </w:style>
  <w:style w:type="paragraph" w:styleId="BlockText">
    <w:name w:val="Block Text"/>
    <w:basedOn w:val="Normal"/>
    <w:rsid w:val="003F304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before="240" w:after="0"/>
      <w:ind w:left="1152" w:right="1152"/>
    </w:pPr>
    <w:rPr>
      <w:rFonts w:asciiTheme="minorHAnsi" w:eastAsiaTheme="minorEastAsia" w:hAnsiTheme="minorHAnsi"/>
      <w:i/>
      <w:iCs/>
      <w:color w:val="4F81BD" w:themeColor="accent1"/>
      <w:lang w:eastAsia="en-AU"/>
    </w:rPr>
  </w:style>
  <w:style w:type="character" w:styleId="Emphasis">
    <w:name w:val="Emphasis"/>
    <w:basedOn w:val="DefaultParagraphFont"/>
    <w:uiPriority w:val="20"/>
    <w:rsid w:val="003F304C"/>
    <w:rPr>
      <w:i/>
      <w:iCs/>
    </w:rPr>
  </w:style>
  <w:style w:type="paragraph" w:customStyle="1" w:styleId="Cover-ClientName">
    <w:name w:val="Cover - Client Name"/>
    <w:basedOn w:val="Normal"/>
    <w:rsid w:val="003F304C"/>
    <w:pPr>
      <w:spacing w:before="3000" w:after="0"/>
    </w:pPr>
    <w:rPr>
      <w:rFonts w:cs="Times New Roman"/>
      <w:b/>
      <w:color w:val="172983"/>
      <w:spacing w:val="10"/>
      <w:sz w:val="44"/>
      <w:szCs w:val="44"/>
      <w:lang w:eastAsia="en-AU"/>
    </w:rPr>
  </w:style>
  <w:style w:type="paragraph" w:customStyle="1" w:styleId="Cover-ProjectName">
    <w:name w:val="Cover - Project Name"/>
    <w:basedOn w:val="Normal"/>
    <w:rsid w:val="003F304C"/>
    <w:pPr>
      <w:spacing w:before="1320" w:after="0"/>
    </w:pPr>
    <w:rPr>
      <w:rFonts w:cs="Times New Roman"/>
      <w:b/>
      <w:color w:val="172983"/>
      <w:sz w:val="44"/>
      <w:szCs w:val="44"/>
      <w:lang w:eastAsia="en-AU"/>
    </w:rPr>
  </w:style>
  <w:style w:type="paragraph" w:customStyle="1" w:styleId="Footnotebullet">
    <w:name w:val="Footnote bullet"/>
    <w:basedOn w:val="Normal"/>
    <w:rsid w:val="003F304C"/>
    <w:pPr>
      <w:numPr>
        <w:numId w:val="26"/>
      </w:numPr>
      <w:tabs>
        <w:tab w:val="left" w:pos="851"/>
      </w:tabs>
      <w:spacing w:after="0"/>
      <w:ind w:left="851" w:hanging="425"/>
    </w:pPr>
    <w:rPr>
      <w:rFonts w:cs="Times New Roman"/>
      <w:sz w:val="20"/>
      <w:lang w:eastAsia="en-AU"/>
    </w:rPr>
  </w:style>
  <w:style w:type="character" w:styleId="Strong">
    <w:name w:val="Strong"/>
    <w:basedOn w:val="DefaultParagraphFont"/>
    <w:uiPriority w:val="22"/>
    <w:rsid w:val="003F304C"/>
    <w:rPr>
      <w:b/>
      <w:bCs/>
    </w:rPr>
  </w:style>
  <w:style w:type="character" w:styleId="BookTitle">
    <w:name w:val="Book Title"/>
    <w:basedOn w:val="DefaultParagraphFont"/>
    <w:rsid w:val="003F304C"/>
    <w:rPr>
      <w:bCs/>
      <w:caps w:val="0"/>
      <w:smallCaps/>
      <w:spacing w:val="10"/>
    </w:rPr>
  </w:style>
  <w:style w:type="paragraph" w:customStyle="1" w:styleId="FigureHeading">
    <w:name w:val="Figure Heading"/>
    <w:basedOn w:val="Normal"/>
    <w:rsid w:val="003F304C"/>
    <w:pPr>
      <w:keepNext/>
      <w:spacing w:before="360" w:after="0"/>
      <w:jc w:val="center"/>
    </w:pPr>
    <w:rPr>
      <w:rFonts w:cs="Times New Roman"/>
      <w:b/>
      <w:lang w:eastAsia="en-AU"/>
    </w:rPr>
  </w:style>
  <w:style w:type="paragraph" w:customStyle="1" w:styleId="FigureHeading2">
    <w:name w:val="Figure Heading 2"/>
    <w:basedOn w:val="Normal"/>
    <w:rsid w:val="003F304C"/>
    <w:pPr>
      <w:keepNext/>
      <w:spacing w:before="60" w:after="0"/>
      <w:jc w:val="center"/>
    </w:pPr>
    <w:rPr>
      <w:rFonts w:cs="Times New Roman"/>
      <w:sz w:val="20"/>
      <w:lang w:eastAsia="en-AU"/>
    </w:rPr>
  </w:style>
  <w:style w:type="paragraph" w:customStyle="1" w:styleId="Note">
    <w:name w:val="Note"/>
    <w:basedOn w:val="Normal"/>
    <w:next w:val="Normal"/>
    <w:rsid w:val="003F304C"/>
    <w:pPr>
      <w:spacing w:after="480"/>
    </w:pPr>
    <w:rPr>
      <w:rFonts w:cs="Times New Roman"/>
      <w:sz w:val="20"/>
      <w:lang w:eastAsia="en-AU"/>
    </w:rPr>
  </w:style>
  <w:style w:type="paragraph" w:customStyle="1" w:styleId="BoxHeading">
    <w:name w:val="Box Heading"/>
    <w:basedOn w:val="Normal"/>
    <w:next w:val="BoxText"/>
    <w:rsid w:val="003F304C"/>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0"/>
    </w:pPr>
    <w:rPr>
      <w:rFonts w:cs="Times New Roman"/>
      <w:b/>
      <w:lang w:eastAsia="en-AU"/>
    </w:rPr>
  </w:style>
  <w:style w:type="paragraph" w:customStyle="1" w:styleId="BoxText">
    <w:name w:val="Box Text"/>
    <w:basedOn w:val="Normal"/>
    <w:rsid w:val="003F304C"/>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0"/>
    </w:pPr>
    <w:rPr>
      <w:rFonts w:cs="Times New Roman"/>
      <w:lang w:eastAsia="en-AU"/>
    </w:rPr>
  </w:style>
  <w:style w:type="paragraph" w:customStyle="1" w:styleId="BoxBullet">
    <w:name w:val="Box Bullet"/>
    <w:basedOn w:val="Normal"/>
    <w:rsid w:val="003F304C"/>
    <w:pPr>
      <w:numPr>
        <w:numId w:val="30"/>
      </w:num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357" w:hanging="357"/>
    </w:pPr>
    <w:rPr>
      <w:rFonts w:cs="Times New Roman"/>
      <w:lang w:eastAsia="en-AU"/>
    </w:rPr>
  </w:style>
  <w:style w:type="paragraph" w:customStyle="1" w:styleId="ColumnHeading">
    <w:name w:val="Column Heading"/>
    <w:basedOn w:val="Normal"/>
    <w:rsid w:val="003F304C"/>
    <w:pPr>
      <w:spacing w:after="0"/>
      <w:jc w:val="center"/>
    </w:pPr>
    <w:rPr>
      <w:rFonts w:cs="Times New Roman"/>
      <w:b/>
      <w:lang w:eastAsia="en-AU"/>
    </w:rPr>
  </w:style>
  <w:style w:type="table" w:styleId="TableColumns1">
    <w:name w:val="Table Columns 1"/>
    <w:basedOn w:val="TableNormal"/>
    <w:locked/>
    <w:rsid w:val="003F304C"/>
    <w:pPr>
      <w:spacing w:before="240" w:after="0" w:line="240" w:lineRule="auto"/>
    </w:pPr>
    <w:rPr>
      <w:rFonts w:ascii="Calibri" w:hAnsi="Calibri" w:cs="Times New Roman"/>
      <w:b/>
      <w:bCs/>
      <w:sz w:val="22"/>
      <w:szCs w:val="22"/>
      <w:lang w:val="en-AU"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rsid w:val="003F304C"/>
    <w:pPr>
      <w:spacing w:after="0"/>
    </w:pPr>
    <w:rPr>
      <w:rFonts w:cs="Times New Roman"/>
      <w:lang w:eastAsia="en-AU"/>
    </w:rPr>
  </w:style>
  <w:style w:type="paragraph" w:customStyle="1" w:styleId="RowHeading">
    <w:name w:val="Row Heading"/>
    <w:basedOn w:val="Normal"/>
    <w:rsid w:val="003F304C"/>
    <w:pPr>
      <w:spacing w:after="0"/>
    </w:pPr>
    <w:rPr>
      <w:rFonts w:cs="Times New Roman"/>
      <w:b/>
      <w:lang w:eastAsia="en-AU"/>
    </w:rPr>
  </w:style>
  <w:style w:type="paragraph" w:customStyle="1" w:styleId="TableHeading">
    <w:name w:val="Table Heading"/>
    <w:basedOn w:val="Normal"/>
    <w:next w:val="Normal"/>
    <w:rsid w:val="003F304C"/>
    <w:pPr>
      <w:spacing w:before="240"/>
      <w:jc w:val="center"/>
    </w:pPr>
    <w:rPr>
      <w:rFonts w:cs="Times New Roman"/>
      <w:b/>
      <w:lang w:eastAsia="en-AU"/>
    </w:rPr>
  </w:style>
  <w:style w:type="paragraph" w:customStyle="1" w:styleId="CoverDate">
    <w:name w:val="Cover Date"/>
    <w:basedOn w:val="Cover-ProjectName"/>
    <w:rsid w:val="003F304C"/>
    <w:rPr>
      <w:i/>
      <w:color w:val="FF0000"/>
    </w:rPr>
  </w:style>
  <w:style w:type="paragraph" w:customStyle="1" w:styleId="Cover-OtherDescription">
    <w:name w:val="Cover - Other Description"/>
    <w:basedOn w:val="Cover-ProjectName"/>
    <w:rsid w:val="003F304C"/>
    <w:pPr>
      <w:spacing w:before="3840"/>
    </w:pPr>
  </w:style>
  <w:style w:type="numbering" w:customStyle="1" w:styleId="AppendixHeadings">
    <w:name w:val="Appendix Headings"/>
    <w:uiPriority w:val="99"/>
    <w:rsid w:val="003F304C"/>
    <w:pPr>
      <w:numPr>
        <w:numId w:val="27"/>
      </w:numPr>
    </w:pPr>
  </w:style>
  <w:style w:type="numbering" w:customStyle="1" w:styleId="ReportHeadings">
    <w:name w:val="Report Headings"/>
    <w:uiPriority w:val="99"/>
    <w:rsid w:val="003F304C"/>
    <w:pPr>
      <w:numPr>
        <w:numId w:val="28"/>
      </w:numPr>
    </w:pPr>
  </w:style>
  <w:style w:type="paragraph" w:customStyle="1" w:styleId="TableofContentHeading">
    <w:name w:val="TableofContentHeading"/>
    <w:basedOn w:val="Normal"/>
    <w:rsid w:val="003F304C"/>
    <w:pPr>
      <w:spacing w:before="360" w:after="240"/>
      <w:jc w:val="center"/>
    </w:pPr>
    <w:rPr>
      <w:rFonts w:cstheme="minorHAnsi"/>
      <w:b/>
      <w:color w:val="172983"/>
      <w:sz w:val="32"/>
      <w:szCs w:val="32"/>
      <w:lang w:eastAsia="en-AU"/>
    </w:rPr>
  </w:style>
  <w:style w:type="character" w:styleId="CommentReference">
    <w:name w:val="annotation reference"/>
    <w:basedOn w:val="DefaultParagraphFont"/>
    <w:uiPriority w:val="99"/>
    <w:rsid w:val="003F304C"/>
    <w:rPr>
      <w:sz w:val="16"/>
      <w:szCs w:val="16"/>
    </w:rPr>
  </w:style>
  <w:style w:type="paragraph" w:styleId="CommentText">
    <w:name w:val="annotation text"/>
    <w:basedOn w:val="Normal"/>
    <w:link w:val="CommentTextChar"/>
    <w:uiPriority w:val="99"/>
    <w:rsid w:val="003F304C"/>
    <w:pPr>
      <w:spacing w:before="240" w:after="0"/>
    </w:pPr>
    <w:rPr>
      <w:rFonts w:cs="Times New Roman"/>
      <w:sz w:val="20"/>
      <w:lang w:eastAsia="en-AU"/>
    </w:rPr>
  </w:style>
  <w:style w:type="character" w:customStyle="1" w:styleId="CommentTextChar">
    <w:name w:val="Comment Text Char"/>
    <w:basedOn w:val="DefaultParagraphFont"/>
    <w:link w:val="CommentText"/>
    <w:uiPriority w:val="99"/>
    <w:rsid w:val="003F304C"/>
    <w:rPr>
      <w:rFonts w:ascii="Calibri" w:hAnsi="Calibri" w:cs="Times New Roman"/>
      <w:lang w:val="en-AU" w:eastAsia="en-AU"/>
    </w:rPr>
  </w:style>
  <w:style w:type="paragraph" w:styleId="CommentSubject">
    <w:name w:val="annotation subject"/>
    <w:basedOn w:val="CommentText"/>
    <w:next w:val="CommentText"/>
    <w:link w:val="CommentSubjectChar"/>
    <w:semiHidden/>
    <w:unhideWhenUsed/>
    <w:rsid w:val="003F304C"/>
    <w:rPr>
      <w:b/>
      <w:bCs/>
    </w:rPr>
  </w:style>
  <w:style w:type="character" w:customStyle="1" w:styleId="CommentSubjectChar">
    <w:name w:val="Comment Subject Char"/>
    <w:basedOn w:val="CommentTextChar"/>
    <w:link w:val="CommentSubject"/>
    <w:semiHidden/>
    <w:rsid w:val="003F304C"/>
    <w:rPr>
      <w:rFonts w:ascii="Calibri" w:hAnsi="Calibri" w:cs="Times New Roman"/>
      <w:b/>
      <w:bCs/>
      <w:lang w:val="en-AU" w:eastAsia="en-AU"/>
    </w:rPr>
  </w:style>
  <w:style w:type="paragraph" w:customStyle="1" w:styleId="BoxBullet2">
    <w:name w:val="Box Bullet 2"/>
    <w:basedOn w:val="BoxBullet"/>
    <w:rsid w:val="003F304C"/>
    <w:pPr>
      <w:numPr>
        <w:ilvl w:val="1"/>
      </w:numPr>
      <w:tabs>
        <w:tab w:val="left" w:pos="709"/>
      </w:tabs>
      <w:ind w:left="0" w:firstLine="357"/>
    </w:pPr>
  </w:style>
  <w:style w:type="paragraph" w:customStyle="1" w:styleId="BoxBullet22">
    <w:name w:val="Box Bullet 2 (2+)"/>
    <w:basedOn w:val="BoxBullet2"/>
    <w:rsid w:val="003F304C"/>
    <w:pPr>
      <w:numPr>
        <w:ilvl w:val="0"/>
        <w:numId w:val="0"/>
      </w:numPr>
      <w:spacing w:before="0"/>
      <w:ind w:firstLine="709"/>
    </w:pPr>
  </w:style>
  <w:style w:type="paragraph" w:customStyle="1" w:styleId="TableNumber">
    <w:name w:val="Table Number"/>
    <w:basedOn w:val="Normal"/>
    <w:rsid w:val="003F304C"/>
    <w:pPr>
      <w:spacing w:after="0"/>
    </w:pPr>
    <w:rPr>
      <w:rFonts w:cs="Times New Roman"/>
      <w:lang w:eastAsia="en-AU"/>
    </w:rPr>
  </w:style>
  <w:style w:type="paragraph" w:customStyle="1" w:styleId="IntroductionHeading1">
    <w:name w:val="Introduction Heading 1"/>
    <w:basedOn w:val="Normal"/>
    <w:next w:val="IntroductionText"/>
    <w:rsid w:val="003F304C"/>
    <w:pPr>
      <w:keepNext/>
      <w:tabs>
        <w:tab w:val="left" w:pos="0"/>
      </w:tabs>
      <w:spacing w:after="240"/>
    </w:pPr>
    <w:rPr>
      <w:rFonts w:cs="Times New Roman"/>
      <w:b/>
      <w:color w:val="172983"/>
      <w:sz w:val="40"/>
      <w:szCs w:val="40"/>
      <w:lang w:eastAsia="en-AU"/>
    </w:rPr>
  </w:style>
  <w:style w:type="paragraph" w:customStyle="1" w:styleId="InstructiontextGoTo">
    <w:name w:val="Instruction text (GoTo)"/>
    <w:basedOn w:val="Normal"/>
    <w:rsid w:val="003F304C"/>
    <w:pPr>
      <w:spacing w:before="240" w:after="0"/>
      <w:ind w:left="714" w:hanging="357"/>
    </w:pPr>
    <w:rPr>
      <w:rFonts w:cs="Times New Roman"/>
      <w:i/>
      <w:color w:val="172983"/>
      <w:lang w:eastAsia="en-AU"/>
    </w:rPr>
  </w:style>
  <w:style w:type="paragraph" w:customStyle="1" w:styleId="ValueLabel">
    <w:name w:val="Value Label"/>
    <w:basedOn w:val="ListParagraph"/>
    <w:rsid w:val="003F304C"/>
    <w:pPr>
      <w:numPr>
        <w:ilvl w:val="1"/>
        <w:numId w:val="29"/>
      </w:numPr>
    </w:pPr>
  </w:style>
  <w:style w:type="paragraph" w:customStyle="1" w:styleId="IntroductionHeading2">
    <w:name w:val="Introduction Heading 2"/>
    <w:basedOn w:val="Heading2"/>
    <w:next w:val="IntroductionText"/>
    <w:rsid w:val="003F304C"/>
    <w:pPr>
      <w:spacing w:before="240" w:after="240" w:line="240" w:lineRule="auto"/>
      <w:ind w:left="562" w:hanging="562"/>
    </w:pPr>
    <w:rPr>
      <w:rFonts w:ascii="Calibri" w:eastAsia="Calibri" w:hAnsi="Calibri" w:cstheme="majorBidi"/>
      <w:iCs w:val="0"/>
      <w:color w:val="172983"/>
      <w:sz w:val="32"/>
      <w:szCs w:val="32"/>
    </w:rPr>
  </w:style>
  <w:style w:type="paragraph" w:customStyle="1" w:styleId="IntroductionHeading3">
    <w:name w:val="Introduction Heading 3"/>
    <w:basedOn w:val="Heading3"/>
    <w:next w:val="IntroductionText"/>
    <w:rsid w:val="003F304C"/>
    <w:pPr>
      <w:overflowPunct w:val="0"/>
      <w:adjustRightInd w:val="0"/>
      <w:spacing w:before="480" w:after="240" w:line="240" w:lineRule="auto"/>
      <w:textAlignment w:val="baseline"/>
    </w:pPr>
    <w:rPr>
      <w:rFonts w:ascii="Calibri" w:eastAsiaTheme="minorHAnsi" w:hAnsi="Calibri"/>
      <w:color w:val="172983"/>
      <w:szCs w:val="28"/>
    </w:rPr>
  </w:style>
  <w:style w:type="paragraph" w:customStyle="1" w:styleId="IntroductionText">
    <w:name w:val="Introduction Text"/>
    <w:basedOn w:val="Normal"/>
    <w:rsid w:val="003F304C"/>
    <w:pPr>
      <w:spacing w:before="240" w:after="0"/>
    </w:pPr>
    <w:rPr>
      <w:rFonts w:cs="Times New Roman"/>
      <w:lang w:eastAsia="en-AU"/>
    </w:rPr>
  </w:style>
  <w:style w:type="paragraph" w:customStyle="1" w:styleId="InstructionsText">
    <w:name w:val="Instructions Text"/>
    <w:basedOn w:val="IntroductionText"/>
    <w:rsid w:val="003F304C"/>
  </w:style>
  <w:style w:type="paragraph" w:customStyle="1" w:styleId="InstructionsHeading1">
    <w:name w:val="Instructions Heading 1"/>
    <w:basedOn w:val="Normal"/>
    <w:next w:val="InstructionsText"/>
    <w:rsid w:val="003F304C"/>
    <w:pPr>
      <w:keepNext/>
      <w:spacing w:before="840" w:after="240"/>
    </w:pPr>
    <w:rPr>
      <w:rFonts w:cs="Times New Roman"/>
      <w:b/>
      <w:color w:val="172983"/>
      <w:sz w:val="40"/>
      <w:szCs w:val="40"/>
      <w:lang w:eastAsia="en-AU"/>
    </w:rPr>
  </w:style>
  <w:style w:type="paragraph" w:customStyle="1" w:styleId="InstructionsHeading2">
    <w:name w:val="Instructions Heading 2"/>
    <w:basedOn w:val="Heading2"/>
    <w:rsid w:val="003F304C"/>
    <w:pPr>
      <w:spacing w:before="600" w:after="240" w:line="240" w:lineRule="auto"/>
      <w:ind w:left="567" w:hanging="567"/>
    </w:pPr>
    <w:rPr>
      <w:rFonts w:ascii="Calibri" w:eastAsia="Calibri" w:hAnsi="Calibri" w:cstheme="majorBidi"/>
      <w:iCs w:val="0"/>
      <w:color w:val="172983"/>
      <w:sz w:val="32"/>
      <w:szCs w:val="32"/>
    </w:rPr>
  </w:style>
  <w:style w:type="paragraph" w:customStyle="1" w:styleId="InstructionsHeading3">
    <w:name w:val="Instructions Heading 3"/>
    <w:basedOn w:val="Heading3"/>
    <w:rsid w:val="003F304C"/>
    <w:pPr>
      <w:overflowPunct w:val="0"/>
      <w:adjustRightInd w:val="0"/>
      <w:spacing w:before="480" w:after="240" w:line="240" w:lineRule="auto"/>
      <w:textAlignment w:val="baseline"/>
    </w:pPr>
    <w:rPr>
      <w:rFonts w:ascii="Calibri" w:eastAsiaTheme="minorHAnsi" w:hAnsi="Calibri"/>
      <w:color w:val="172983"/>
      <w:szCs w:val="28"/>
    </w:rPr>
  </w:style>
  <w:style w:type="paragraph" w:customStyle="1" w:styleId="SectionIntroductionText">
    <w:name w:val="Section Introduction Text"/>
    <w:basedOn w:val="Note"/>
    <w:autoRedefine/>
    <w:rsid w:val="003F304C"/>
    <w:pPr>
      <w:spacing w:before="0" w:after="0"/>
    </w:pPr>
    <w:rPr>
      <w:i/>
      <w:sz w:val="22"/>
    </w:rPr>
  </w:style>
  <w:style w:type="paragraph" w:customStyle="1" w:styleId="SingleOptionQuestionText">
    <w:name w:val="Single Option Question Text"/>
    <w:basedOn w:val="ListParagraph"/>
    <w:next w:val="ValueLabel"/>
    <w:rsid w:val="003F304C"/>
    <w:pPr>
      <w:numPr>
        <w:numId w:val="29"/>
      </w:numPr>
    </w:pPr>
  </w:style>
  <w:style w:type="paragraph" w:customStyle="1" w:styleId="InstructionText">
    <w:name w:val="Instruction Text"/>
    <w:basedOn w:val="InstructionsText"/>
    <w:rsid w:val="003F304C"/>
  </w:style>
  <w:style w:type="paragraph" w:customStyle="1" w:styleId="MRQuestionText">
    <w:name w:val="MR Question Text"/>
    <w:basedOn w:val="SingleOptionQuestionText"/>
    <w:next w:val="ValueLabel"/>
    <w:rsid w:val="003F304C"/>
    <w:pPr>
      <w:keepNext/>
      <w:numPr>
        <w:numId w:val="8"/>
      </w:numPr>
      <w:spacing w:before="480" w:after="0"/>
      <w:contextualSpacing w:val="0"/>
    </w:pPr>
    <w:rPr>
      <w:rFonts w:cs="Times New Roman"/>
      <w:lang w:eastAsia="en-AU"/>
    </w:rPr>
  </w:style>
  <w:style w:type="paragraph" w:customStyle="1" w:styleId="InstructionTextGoTo0">
    <w:name w:val="[Instruction Text (GoTo)]"/>
    <w:basedOn w:val="Normal"/>
    <w:rsid w:val="003F304C"/>
    <w:pPr>
      <w:spacing w:before="240" w:after="0"/>
    </w:pPr>
    <w:rPr>
      <w:rFonts w:cs="Times New Roman"/>
      <w:i/>
      <w:color w:val="172983"/>
      <w:lang w:eastAsia="en-AU"/>
    </w:rPr>
  </w:style>
  <w:style w:type="paragraph" w:customStyle="1" w:styleId="OEQuestionText">
    <w:name w:val="OE Question Text"/>
    <w:basedOn w:val="SingleOptionQuestionText"/>
    <w:next w:val="OpenEndedText"/>
    <w:rsid w:val="003F304C"/>
    <w:pPr>
      <w:keepNext/>
      <w:numPr>
        <w:numId w:val="0"/>
      </w:numPr>
      <w:spacing w:before="480" w:after="0"/>
      <w:ind w:left="357" w:hanging="357"/>
      <w:contextualSpacing w:val="0"/>
    </w:pPr>
    <w:rPr>
      <w:rFonts w:cs="Times New Roman"/>
      <w:lang w:eastAsia="en-AU"/>
    </w:rPr>
  </w:style>
  <w:style w:type="paragraph" w:customStyle="1" w:styleId="OpenEndedText">
    <w:name w:val="Open Ended Text"/>
    <w:basedOn w:val="Normal"/>
    <w:rsid w:val="003F304C"/>
    <w:pPr>
      <w:tabs>
        <w:tab w:val="right" w:leader="underscore" w:pos="9072"/>
      </w:tabs>
      <w:spacing w:before="240" w:after="0"/>
      <w:ind w:left="426"/>
    </w:pPr>
    <w:rPr>
      <w:rFonts w:cs="Times New Roman"/>
      <w:sz w:val="20"/>
      <w:lang w:eastAsia="en-AU"/>
    </w:rPr>
  </w:style>
  <w:style w:type="paragraph" w:customStyle="1" w:styleId="GridQuestionText">
    <w:name w:val="Grid Question Text"/>
    <w:basedOn w:val="SingleOptionQuestionText"/>
    <w:next w:val="Normal"/>
    <w:rsid w:val="003F304C"/>
    <w:pPr>
      <w:keepNext/>
      <w:numPr>
        <w:numId w:val="0"/>
      </w:numPr>
      <w:spacing w:before="480"/>
      <w:ind w:left="357" w:hanging="357"/>
      <w:contextualSpacing w:val="0"/>
    </w:pPr>
    <w:rPr>
      <w:rFonts w:cs="Times New Roman"/>
      <w:lang w:eastAsia="en-AU"/>
    </w:rPr>
  </w:style>
  <w:style w:type="paragraph" w:customStyle="1" w:styleId="GridSub-Heading">
    <w:name w:val="Grid Sub-Heading"/>
    <w:basedOn w:val="ColumnHeading"/>
    <w:rsid w:val="003F304C"/>
    <w:pPr>
      <w:spacing w:before="40" w:after="40"/>
    </w:pPr>
    <w:rPr>
      <w:rFonts w:asciiTheme="minorHAnsi" w:hAnsiTheme="minorHAnsi"/>
      <w:bCs/>
      <w:color w:val="FFFFFF" w:themeColor="background1"/>
      <w:sz w:val="18"/>
      <w:szCs w:val="18"/>
    </w:rPr>
  </w:style>
  <w:style w:type="paragraph" w:customStyle="1" w:styleId="GridLabel">
    <w:name w:val="Grid Label"/>
    <w:basedOn w:val="SingleOptionQuestionText"/>
    <w:rsid w:val="003F304C"/>
    <w:pPr>
      <w:numPr>
        <w:ilvl w:val="2"/>
      </w:numPr>
      <w:spacing w:after="0"/>
      <w:contextualSpacing w:val="0"/>
    </w:pPr>
    <w:rPr>
      <w:rFonts w:asciiTheme="minorHAnsi" w:hAnsiTheme="minorHAnsi" w:cs="Times New Roman"/>
      <w:lang w:eastAsia="en-AU"/>
    </w:rPr>
  </w:style>
  <w:style w:type="paragraph" w:customStyle="1" w:styleId="GridScale">
    <w:name w:val="Grid Scale"/>
    <w:basedOn w:val="ColumnHeading"/>
    <w:rsid w:val="003F304C"/>
    <w:pPr>
      <w:spacing w:before="40" w:after="40"/>
    </w:pPr>
    <w:rPr>
      <w:rFonts w:asciiTheme="minorHAnsi" w:hAnsiTheme="minorHAnsi"/>
      <w:bCs/>
      <w:color w:val="FFFFFF" w:themeColor="background1"/>
      <w:sz w:val="16"/>
      <w:szCs w:val="16"/>
    </w:rPr>
  </w:style>
  <w:style w:type="paragraph" w:customStyle="1" w:styleId="GridOption">
    <w:name w:val="Grid Option"/>
    <w:basedOn w:val="Normal"/>
    <w:rsid w:val="003F304C"/>
    <w:pPr>
      <w:spacing w:before="40" w:after="40"/>
      <w:jc w:val="center"/>
    </w:pPr>
    <w:rPr>
      <w:rFonts w:asciiTheme="minorHAnsi" w:hAnsiTheme="minorHAnsi" w:cs="Times New Roman"/>
      <w:color w:val="0000FF"/>
      <w:sz w:val="18"/>
      <w:szCs w:val="18"/>
      <w:lang w:eastAsia="en-AU"/>
    </w:rPr>
  </w:style>
  <w:style w:type="paragraph" w:customStyle="1" w:styleId="PleaseSpecifyText">
    <w:name w:val="Please Specify Text"/>
    <w:basedOn w:val="ValueLabel"/>
    <w:rsid w:val="003F304C"/>
    <w:pPr>
      <w:tabs>
        <w:tab w:val="right" w:leader="underscore" w:pos="8931"/>
        <w:tab w:val="left" w:pos="9072"/>
      </w:tabs>
      <w:spacing w:after="0"/>
      <w:ind w:left="709" w:firstLine="16"/>
      <w:contextualSpacing w:val="0"/>
    </w:pPr>
    <w:rPr>
      <w:rFonts w:cs="Times New Roman"/>
      <w:color w:val="0000FF"/>
      <w:u w:val="single"/>
      <w:lang w:eastAsia="en-AU"/>
    </w:rPr>
  </w:style>
  <w:style w:type="character" w:customStyle="1" w:styleId="Pleasespecify">
    <w:name w:val="Please specify"/>
    <w:basedOn w:val="Pleasegoto"/>
    <w:uiPriority w:val="1"/>
    <w:rsid w:val="003F304C"/>
    <w:rPr>
      <w:i/>
      <w:color w:val="708B39"/>
    </w:rPr>
  </w:style>
  <w:style w:type="character" w:customStyle="1" w:styleId="Pleasegoto">
    <w:name w:val="Please go to..."/>
    <w:basedOn w:val="DefaultParagraphFont"/>
    <w:uiPriority w:val="1"/>
    <w:rsid w:val="003F304C"/>
    <w:rPr>
      <w:i/>
      <w:color w:val="708B39"/>
    </w:rPr>
  </w:style>
  <w:style w:type="character" w:customStyle="1" w:styleId="Pleaseselectallthatapply">
    <w:name w:val="Please select all that apply"/>
    <w:basedOn w:val="DefaultParagraphFont"/>
    <w:uiPriority w:val="1"/>
    <w:rsid w:val="003F304C"/>
    <w:rPr>
      <w:color w:val="708B39"/>
    </w:rPr>
  </w:style>
  <w:style w:type="paragraph" w:customStyle="1" w:styleId="SectionListBullet">
    <w:name w:val="Section List Bullet"/>
    <w:basedOn w:val="ListBullet"/>
    <w:rsid w:val="003F304C"/>
    <w:pPr>
      <w:tabs>
        <w:tab w:val="clear" w:pos="360"/>
      </w:tabs>
      <w:spacing w:after="0" w:line="240" w:lineRule="auto"/>
    </w:pPr>
    <w:rPr>
      <w:rFonts w:eastAsiaTheme="minorHAnsi"/>
      <w:i/>
      <w:szCs w:val="22"/>
      <w:lang w:eastAsia="en-AU"/>
    </w:rPr>
  </w:style>
  <w:style w:type="paragraph" w:customStyle="1" w:styleId="SectionListBullet2">
    <w:name w:val="Section List Bullet 2"/>
    <w:basedOn w:val="ListBullet2"/>
    <w:rsid w:val="003F304C"/>
    <w:pPr>
      <w:spacing w:after="0" w:line="240" w:lineRule="auto"/>
      <w:ind w:left="851" w:hanging="425"/>
      <w:jc w:val="both"/>
    </w:pPr>
    <w:rPr>
      <w:rFonts w:eastAsiaTheme="minorHAnsi"/>
      <w:i/>
      <w:szCs w:val="22"/>
      <w:lang w:eastAsia="en-AU"/>
    </w:rPr>
  </w:style>
  <w:style w:type="paragraph" w:customStyle="1" w:styleId="SectionListBullet3">
    <w:name w:val="Section List Bullet 3"/>
    <w:basedOn w:val="ListBullet3"/>
    <w:rsid w:val="003F304C"/>
    <w:pPr>
      <w:spacing w:after="0" w:line="240" w:lineRule="auto"/>
      <w:ind w:left="1276" w:hanging="425"/>
      <w:jc w:val="both"/>
    </w:pPr>
    <w:rPr>
      <w:rFonts w:eastAsiaTheme="minorHAnsi"/>
      <w:i/>
      <w:szCs w:val="22"/>
      <w:lang w:eastAsia="en-AU"/>
    </w:rPr>
  </w:style>
  <w:style w:type="paragraph" w:customStyle="1" w:styleId="BoxBullet3">
    <w:name w:val="Box Bullet 3"/>
    <w:basedOn w:val="BoxBullet2"/>
    <w:rsid w:val="003F304C"/>
    <w:pPr>
      <w:numPr>
        <w:ilvl w:val="2"/>
      </w:numPr>
      <w:tabs>
        <w:tab w:val="clear" w:pos="709"/>
        <w:tab w:val="left" w:pos="1134"/>
      </w:tabs>
      <w:ind w:left="0" w:firstLine="709"/>
    </w:pPr>
  </w:style>
  <w:style w:type="paragraph" w:customStyle="1" w:styleId="BoxBullet32">
    <w:name w:val="Box Bullet 3 (2+)"/>
    <w:basedOn w:val="BoxBullet3"/>
    <w:rsid w:val="003F304C"/>
    <w:pPr>
      <w:numPr>
        <w:ilvl w:val="0"/>
        <w:numId w:val="0"/>
      </w:numPr>
      <w:spacing w:before="0"/>
      <w:ind w:firstLine="1134"/>
    </w:pPr>
  </w:style>
  <w:style w:type="paragraph" w:customStyle="1" w:styleId="SectionIntroduction-Box">
    <w:name w:val="Section Introduction - Box"/>
    <w:basedOn w:val="BoxText"/>
    <w:rsid w:val="003F304C"/>
  </w:style>
  <w:style w:type="paragraph" w:customStyle="1" w:styleId="SectionIntroduction-BoxBullet">
    <w:name w:val="Section Introduction - Box Bullet"/>
    <w:basedOn w:val="BoxBullet"/>
    <w:rsid w:val="003F304C"/>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shd w:val="clear" w:color="auto" w:fill="DBE5F1"/>
    </w:pPr>
  </w:style>
  <w:style w:type="paragraph" w:customStyle="1" w:styleId="SectionIntroduction-BoxBullet2">
    <w:name w:val="Section Introduction - Box Bullet 2"/>
    <w:basedOn w:val="BoxBullet2"/>
    <w:rsid w:val="003F304C"/>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pPr>
  </w:style>
  <w:style w:type="paragraph" w:customStyle="1" w:styleId="SectionIntroduction-BoxBullet22">
    <w:name w:val="Section Introduction - Box Bullet 2 (2+)"/>
    <w:basedOn w:val="BoxBullet22"/>
    <w:rsid w:val="003F304C"/>
  </w:style>
  <w:style w:type="paragraph" w:customStyle="1" w:styleId="SectionIntroduction-BoxBullet3">
    <w:name w:val="Section Introduction - Box Bullet 3"/>
    <w:basedOn w:val="BoxBullet3"/>
    <w:rsid w:val="003F304C"/>
  </w:style>
  <w:style w:type="paragraph" w:customStyle="1" w:styleId="SectionIntroduction-BoxBullet32">
    <w:name w:val="Section Introduction - Box Bullet 3 (2+)"/>
    <w:basedOn w:val="BoxBullet32"/>
    <w:rsid w:val="003F304C"/>
  </w:style>
  <w:style w:type="paragraph" w:customStyle="1" w:styleId="DefinitionText">
    <w:name w:val="Definition Text"/>
    <w:basedOn w:val="Normal"/>
    <w:rsid w:val="003F304C"/>
    <w:pPr>
      <w:tabs>
        <w:tab w:val="left" w:pos="426"/>
      </w:tabs>
      <w:spacing w:after="0"/>
      <w:ind w:left="360"/>
    </w:pPr>
    <w:rPr>
      <w:rFonts w:cs="Times New Roman"/>
      <w:i/>
      <w:color w:val="808080" w:themeColor="background1" w:themeShade="80"/>
      <w:lang w:eastAsia="en-AU"/>
    </w:rPr>
  </w:style>
  <w:style w:type="paragraph" w:customStyle="1" w:styleId="GridDefinitionText">
    <w:name w:val="Grid Definition Text"/>
    <w:rsid w:val="003F304C"/>
    <w:pPr>
      <w:tabs>
        <w:tab w:val="left" w:pos="426"/>
      </w:tabs>
      <w:spacing w:before="120" w:after="0"/>
      <w:ind w:left="425" w:hanging="425"/>
    </w:pPr>
    <w:rPr>
      <w:rFonts w:ascii="Calibri" w:hAnsi="Calibri" w:cs="Times New Roman"/>
      <w:sz w:val="18"/>
      <w:lang w:eastAsia="en-AU"/>
    </w:rPr>
  </w:style>
  <w:style w:type="character" w:customStyle="1" w:styleId="FootnoteReferenceText">
    <w:name w:val="Footnote Reference Text"/>
    <w:basedOn w:val="FootnoteReference"/>
    <w:uiPriority w:val="1"/>
    <w:rsid w:val="003F304C"/>
    <w:rPr>
      <w:vertAlign w:val="superscript"/>
    </w:rPr>
  </w:style>
  <w:style w:type="paragraph" w:customStyle="1" w:styleId="Textboxquestiontext">
    <w:name w:val="Textbox question text"/>
    <w:basedOn w:val="OEQuestionText"/>
    <w:rsid w:val="003F304C"/>
  </w:style>
  <w:style w:type="paragraph" w:customStyle="1" w:styleId="Textboxtext">
    <w:name w:val="Textbox text"/>
    <w:basedOn w:val="PleaseSpecifyText"/>
    <w:rsid w:val="003F304C"/>
    <w:pPr>
      <w:tabs>
        <w:tab w:val="clear" w:pos="8931"/>
        <w:tab w:val="right" w:leader="underscore" w:pos="4111"/>
      </w:tabs>
      <w:ind w:left="426" w:firstLine="0"/>
    </w:pPr>
    <w:rPr>
      <w:u w:val="none"/>
    </w:rPr>
  </w:style>
  <w:style w:type="table" w:styleId="MediumShading1-Accent1">
    <w:name w:val="Medium Shading 1 Accent 1"/>
    <w:basedOn w:val="TableNormal"/>
    <w:locked/>
    <w:rsid w:val="003F304C"/>
    <w:pPr>
      <w:spacing w:after="0" w:line="240" w:lineRule="auto"/>
    </w:pPr>
    <w:rPr>
      <w:rFonts w:ascii="Calibri" w:hAnsi="Calibri" w:cs="Times New Roman"/>
      <w:sz w:val="22"/>
      <w:szCs w:val="22"/>
      <w:lang w:val="en-AU" w:eastAsia="en-AU"/>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IMAgridquestion">
    <w:name w:val="ORIMA_grid_question"/>
    <w:basedOn w:val="TableNormal"/>
    <w:uiPriority w:val="99"/>
    <w:rsid w:val="003F304C"/>
    <w:pPr>
      <w:spacing w:after="0" w:line="240" w:lineRule="auto"/>
    </w:pPr>
    <w:rPr>
      <w:rFonts w:ascii="Calibri" w:hAnsi="Calibri" w:cs="Times New Roman"/>
      <w:sz w:val="22"/>
      <w:szCs w:val="22"/>
      <w:lang w:val="en-AU" w:eastAsia="en-AU"/>
    </w:rPr>
    <w:tblPr>
      <w:tblStyleRowBandSize w:val="1"/>
      <w:tblInd w:w="0" w:type="dxa"/>
      <w:tblCellMar>
        <w:top w:w="0" w:type="dxa"/>
        <w:left w:w="108" w:type="dxa"/>
        <w:bottom w:w="0" w:type="dxa"/>
        <w:right w:w="108" w:type="dxa"/>
      </w:tblCellMar>
    </w:tblPr>
    <w:tblStylePr w:type="firstRow">
      <w:rPr>
        <w:rFonts w:asciiTheme="minorHAnsi" w:hAnsiTheme="minorHAnsi"/>
      </w:rPr>
      <w:tblPr/>
      <w:tcPr>
        <w:shd w:val="clear" w:color="auto" w:fill="172983"/>
      </w:tcPr>
    </w:tblStylePr>
    <w:tblStylePr w:type="firstCol">
      <w:rPr>
        <w:rFonts w:asciiTheme="minorHAnsi" w:hAnsiTheme="minorHAnsi"/>
      </w:rPr>
      <w:tblPr/>
      <w:tcPr>
        <w:tcBorders>
          <w:right w:val="single" w:sz="2" w:space="0" w:color="808080" w:themeColor="background1" w:themeShade="80"/>
        </w:tcBorders>
      </w:tcPr>
    </w:tblStylePr>
    <w:tblStylePr w:type="band1Horz">
      <w:rPr>
        <w:rFonts w:asciiTheme="minorHAnsi" w:hAnsiTheme="minorHAnsi"/>
      </w:rPr>
      <w:tblPr/>
      <w:tcPr>
        <w:tcBorders>
          <w:bottom w:val="single" w:sz="2" w:space="0" w:color="808080" w:themeColor="background1" w:themeShade="80"/>
        </w:tcBorders>
        <w:shd w:val="clear" w:color="auto" w:fill="FFFFFF" w:themeFill="background1"/>
      </w:tcPr>
    </w:tblStylePr>
    <w:tblStylePr w:type="band2Horz">
      <w:rPr>
        <w:rFonts w:asciiTheme="minorHAnsi" w:hAnsiTheme="minorHAnsi"/>
      </w:rPr>
      <w:tblPr/>
      <w:tcPr>
        <w:tcBorders>
          <w:bottom w:val="single" w:sz="2" w:space="0" w:color="808080" w:themeColor="background1" w:themeShade="80"/>
        </w:tcBorders>
        <w:shd w:val="clear" w:color="auto" w:fill="F2F2F2" w:themeFill="background1" w:themeFillShade="F2"/>
      </w:tcPr>
    </w:tblStylePr>
  </w:style>
  <w:style w:type="character" w:customStyle="1" w:styleId="ProgrammingNote">
    <w:name w:val="Programming Note"/>
    <w:basedOn w:val="DefaultParagraphFont"/>
    <w:uiPriority w:val="1"/>
    <w:rsid w:val="003F304C"/>
    <w:rPr>
      <w:rFonts w:asciiTheme="minorHAnsi" w:hAnsiTheme="minorHAnsi"/>
      <w:color w:val="4F6228" w:themeColor="accent3" w:themeShade="80"/>
    </w:rPr>
  </w:style>
  <w:style w:type="paragraph" w:customStyle="1" w:styleId="GridLabel2">
    <w:name w:val="Grid Label 2"/>
    <w:basedOn w:val="SingleOptionQuestionText"/>
    <w:rsid w:val="003F304C"/>
    <w:pPr>
      <w:numPr>
        <w:numId w:val="0"/>
      </w:numPr>
      <w:spacing w:after="0"/>
      <w:ind w:left="284" w:hanging="284"/>
      <w:contextualSpacing w:val="0"/>
    </w:pPr>
    <w:rPr>
      <w:rFonts w:asciiTheme="minorHAnsi" w:hAnsiTheme="minorHAnsi" w:cs="Times New Roman"/>
      <w:lang w:eastAsia="en-AU"/>
    </w:rPr>
  </w:style>
  <w:style w:type="paragraph" w:customStyle="1" w:styleId="GridQuestionText2">
    <w:name w:val="Grid Question Text 2"/>
    <w:basedOn w:val="Normal"/>
    <w:rsid w:val="003F304C"/>
    <w:pPr>
      <w:spacing w:before="240"/>
    </w:pPr>
    <w:rPr>
      <w:rFonts w:cs="Times New Roman"/>
      <w:lang w:eastAsia="en-AU"/>
    </w:rPr>
  </w:style>
  <w:style w:type="paragraph" w:customStyle="1" w:styleId="Answer1">
    <w:name w:val="Answer 1"/>
    <w:basedOn w:val="Normal"/>
    <w:rsid w:val="003F304C"/>
    <w:pPr>
      <w:widowControl w:val="0"/>
      <w:tabs>
        <w:tab w:val="right" w:leader="dot" w:pos="6480"/>
        <w:tab w:val="center" w:pos="7200"/>
      </w:tabs>
      <w:adjustRightInd w:val="0"/>
      <w:spacing w:after="0" w:line="360" w:lineRule="atLeast"/>
      <w:ind w:left="720"/>
      <w:jc w:val="both"/>
      <w:textAlignment w:val="baseline"/>
    </w:pPr>
    <w:rPr>
      <w:rFonts w:ascii="Times New Roman" w:eastAsia="Times New Roman" w:hAnsi="Times New Roman" w:cs="Times New Roman"/>
      <w:szCs w:val="24"/>
    </w:rPr>
  </w:style>
  <w:style w:type="paragraph" w:customStyle="1" w:styleId="SinglePara">
    <w:name w:val="Single Para"/>
    <w:basedOn w:val="Normal"/>
    <w:uiPriority w:val="99"/>
    <w:rsid w:val="003F304C"/>
    <w:pPr>
      <w:spacing w:after="0"/>
    </w:pPr>
    <w:rPr>
      <w:rFonts w:ascii="Times New Roman" w:eastAsia="Times New Roman" w:hAnsi="Times New Roman" w:cs="Times New Roman"/>
    </w:rPr>
  </w:style>
  <w:style w:type="paragraph" w:customStyle="1" w:styleId="Answer">
    <w:name w:val="Answer"/>
    <w:basedOn w:val="Normal"/>
    <w:rsid w:val="003F304C"/>
    <w:pPr>
      <w:tabs>
        <w:tab w:val="left" w:pos="851"/>
      </w:tabs>
      <w:spacing w:after="0"/>
      <w:ind w:left="851" w:hanging="284"/>
    </w:pPr>
    <w:rPr>
      <w:rFonts w:eastAsia="Times New Roman" w:cs="Times New Roman"/>
      <w:sz w:val="20"/>
      <w:szCs w:val="24"/>
    </w:rPr>
  </w:style>
  <w:style w:type="character" w:styleId="FollowedHyperlink">
    <w:name w:val="FollowedHyperlink"/>
    <w:basedOn w:val="DefaultParagraphFont"/>
    <w:semiHidden/>
    <w:unhideWhenUsed/>
    <w:rsid w:val="003F304C"/>
    <w:rPr>
      <w:color w:val="800080" w:themeColor="followedHyperlink"/>
      <w:u w:val="single"/>
    </w:rPr>
  </w:style>
  <w:style w:type="paragraph" w:styleId="Revision">
    <w:name w:val="Revision"/>
    <w:hidden/>
    <w:uiPriority w:val="99"/>
    <w:semiHidden/>
    <w:rsid w:val="003F304C"/>
    <w:pPr>
      <w:spacing w:after="0" w:line="240" w:lineRule="auto"/>
    </w:pPr>
    <w:rPr>
      <w:rFonts w:ascii="Calibri" w:hAnsi="Calibri" w:cs="Times New Roman"/>
      <w:sz w:val="22"/>
      <w:szCs w:val="22"/>
      <w:lang w:val="en-AU" w:eastAsia="en-AU"/>
    </w:rPr>
  </w:style>
  <w:style w:type="paragraph" w:customStyle="1" w:styleId="H2VPSC">
    <w:name w:val="H2 VPSC"/>
    <w:next w:val="BodyVPSC"/>
    <w:rsid w:val="00F42C13"/>
    <w:pPr>
      <w:widowControl w:val="0"/>
      <w:spacing w:before="200" w:after="100" w:line="240" w:lineRule="auto"/>
    </w:pPr>
    <w:rPr>
      <w:rFonts w:ascii="Arial" w:eastAsia="Times New Roman" w:hAnsi="Arial" w:cs="Tahoma"/>
      <w:b/>
      <w:color w:val="4F81BD" w:themeColor="accent1"/>
      <w:sz w:val="24"/>
      <w:lang w:val="en-AU" w:eastAsia="en-AU"/>
    </w:rPr>
  </w:style>
  <w:style w:type="paragraph" w:customStyle="1" w:styleId="BodyVPSC">
    <w:name w:val="Body VPSC"/>
    <w:link w:val="BodyVPSCChar"/>
    <w:rsid w:val="00F42C13"/>
    <w:pPr>
      <w:spacing w:after="100"/>
    </w:pPr>
    <w:rPr>
      <w:rFonts w:ascii="Arial" w:eastAsia="Times New Roman" w:hAnsi="Arial" w:cs="Tahoma"/>
      <w:color w:val="000000" w:themeColor="text1"/>
      <w:lang w:val="en-AU" w:eastAsia="en-AU"/>
    </w:rPr>
  </w:style>
  <w:style w:type="character" w:customStyle="1" w:styleId="BodyVPSCChar">
    <w:name w:val="Body VPSC Char"/>
    <w:basedOn w:val="DefaultParagraphFont"/>
    <w:link w:val="BodyVPSC"/>
    <w:rsid w:val="00F42C13"/>
    <w:rPr>
      <w:rFonts w:ascii="Arial" w:eastAsia="Times New Roman" w:hAnsi="Arial" w:cs="Tahoma"/>
      <w:color w:val="000000" w:themeColor="text1"/>
      <w:lang w:val="en-AU" w:eastAsia="en-AU"/>
    </w:rPr>
  </w:style>
  <w:style w:type="table" w:styleId="TableGridLight">
    <w:name w:val="Grid Table Light"/>
    <w:basedOn w:val="TableNormal"/>
    <w:uiPriority w:val="40"/>
    <w:locked/>
    <w:rsid w:val="00F42C13"/>
    <w:pPr>
      <w:spacing w:after="0" w:line="240" w:lineRule="auto"/>
    </w:pPr>
    <w:rPr>
      <w:rFonts w:eastAsiaTheme="minorEastAsia"/>
      <w:sz w:val="24"/>
      <w:szCs w:val="24"/>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ghtShading-Accent3">
    <w:name w:val="Light Shading Accent 3"/>
    <w:uiPriority w:val="60"/>
    <w:semiHidden/>
    <w:unhideWhenUsed/>
    <w:locked/>
    <w:rsid w:val="00EB678E"/>
    <w:pPr>
      <w:spacing w:after="0" w:line="240" w:lineRule="auto"/>
    </w:pPr>
    <w:rPr>
      <w:rFonts w:ascii="Arial" w:eastAsia="Calibri" w:hAnsi="Arial" w:cs="Times New Roman"/>
      <w:color w:val="7B7B7B"/>
      <w:sz w:val="22"/>
      <w:szCs w:val="22"/>
      <w:lang w:val="en-AU" w:eastAsia="en-AU"/>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paragraph" w:customStyle="1" w:styleId="Normalshade">
    <w:name w:val="Normal shade"/>
    <w:basedOn w:val="Normal"/>
    <w:rsid w:val="00EB678E"/>
    <w:pPr>
      <w:shd w:val="clear" w:color="auto" w:fill="D9D9D9"/>
      <w:spacing w:before="100" w:after="100"/>
      <w:ind w:left="794"/>
    </w:pPr>
    <w:rPr>
      <w:rFonts w:eastAsia="Times New Roman"/>
    </w:rPr>
  </w:style>
  <w:style w:type="paragraph" w:customStyle="1" w:styleId="bullets0">
    <w:name w:val="bullets"/>
    <w:basedOn w:val="BodyTextFirstIndent"/>
    <w:semiHidden/>
    <w:rsid w:val="00F57983"/>
    <w:pPr>
      <w:numPr>
        <w:ilvl w:val="1"/>
        <w:numId w:val="32"/>
      </w:numPr>
    </w:pPr>
    <w:rPr>
      <w:rFonts w:ascii="Times New Roman" w:eastAsia="Times New Roman" w:hAnsi="Times New Roman"/>
      <w:noProof/>
      <w:lang w:eastAsia="en-US"/>
    </w:rPr>
  </w:style>
  <w:style w:type="paragraph" w:customStyle="1" w:styleId="MediumGrid21">
    <w:name w:val="Medium Grid 21"/>
    <w:link w:val="MediumGrid2Char"/>
    <w:uiPriority w:val="99"/>
    <w:rsid w:val="006B0171"/>
    <w:pPr>
      <w:spacing w:after="0" w:line="240" w:lineRule="auto"/>
    </w:pPr>
    <w:rPr>
      <w:rFonts w:ascii="Calibri" w:eastAsia="Calibri" w:hAnsi="Calibri" w:cs="Times New Roman"/>
      <w:sz w:val="24"/>
      <w:lang w:val="en-AU" w:eastAsia="en-AU"/>
    </w:rPr>
  </w:style>
  <w:style w:type="character" w:customStyle="1" w:styleId="MediumGrid2Char">
    <w:name w:val="Medium Grid 2 Char"/>
    <w:link w:val="MediumGrid21"/>
    <w:uiPriority w:val="99"/>
    <w:rsid w:val="00F02D91"/>
    <w:rPr>
      <w:rFonts w:ascii="Calibri" w:eastAsia="Calibri" w:hAnsi="Calibri" w:cs="Times New Roman"/>
      <w:sz w:val="24"/>
      <w:lang w:val="en-AU" w:eastAsia="en-AU"/>
    </w:rPr>
  </w:style>
  <w:style w:type="character" w:customStyle="1" w:styleId="Bullet1Char">
    <w:name w:val="Bullet 1 Char"/>
    <w:link w:val="Bullet1"/>
    <w:rsid w:val="00F02D91"/>
    <w:rPr>
      <w:rFonts w:ascii="Georgia" w:eastAsia="Times New Roman" w:hAnsi="Georgia" w:cs="Arial"/>
      <w:snapToGrid w:val="0"/>
      <w:lang w:val="en-AU"/>
    </w:rPr>
  </w:style>
  <w:style w:type="character" w:customStyle="1" w:styleId="CaptionChar">
    <w:name w:val="Caption Char"/>
    <w:aliases w:val="Table Caption Char"/>
    <w:link w:val="Caption"/>
    <w:uiPriority w:val="22"/>
    <w:rsid w:val="00A96204"/>
    <w:rPr>
      <w:rFonts w:ascii="Arial" w:hAnsi="Arial"/>
      <w:b/>
      <w:bCs/>
      <w:sz w:val="24"/>
      <w:szCs w:val="18"/>
      <w:lang w:val="en-AU"/>
    </w:rPr>
  </w:style>
  <w:style w:type="paragraph" w:customStyle="1" w:styleId="Style1">
    <w:name w:val="Style1"/>
    <w:basedOn w:val="BodyText"/>
    <w:link w:val="Style1Char"/>
    <w:autoRedefine/>
    <w:rsid w:val="005254CE"/>
    <w:pPr>
      <w:spacing w:after="0"/>
    </w:pPr>
    <w:rPr>
      <w:rFonts w:eastAsia="Times New Roman"/>
      <w:szCs w:val="24"/>
      <w:lang w:val="en-US" w:eastAsia="x-none"/>
    </w:rPr>
  </w:style>
  <w:style w:type="character" w:customStyle="1" w:styleId="Style1Char">
    <w:name w:val="Style1 Char"/>
    <w:link w:val="Style1"/>
    <w:rsid w:val="005254CE"/>
    <w:rPr>
      <w:rFonts w:ascii="Calibri" w:eastAsia="Times New Roman" w:hAnsi="Calibri" w:cs="Times New Roman"/>
      <w:sz w:val="24"/>
      <w:szCs w:val="24"/>
      <w:lang w:eastAsia="x-none"/>
    </w:rPr>
  </w:style>
  <w:style w:type="character" w:customStyle="1" w:styleId="Bullet2Char">
    <w:name w:val="Bullet 2 Char"/>
    <w:link w:val="Bullet2"/>
    <w:rsid w:val="005254CE"/>
    <w:rPr>
      <w:rFonts w:ascii="Georgia" w:eastAsia="Times New Roman" w:hAnsi="Georgia" w:cs="Arial"/>
      <w:snapToGrid w:val="0"/>
      <w:lang w:val="en-AU"/>
    </w:rPr>
  </w:style>
  <w:style w:type="paragraph" w:customStyle="1" w:styleId="NoParagraphStyle">
    <w:name w:val="[No Paragraph Style]"/>
    <w:rsid w:val="006B0171"/>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en-GB"/>
    </w:rPr>
  </w:style>
  <w:style w:type="paragraph" w:customStyle="1" w:styleId="HRVHeading1">
    <w:name w:val="HRV Heading 1"/>
    <w:basedOn w:val="NoParagraphStyle"/>
    <w:uiPriority w:val="99"/>
    <w:rsid w:val="006B0171"/>
    <w:pPr>
      <w:suppressAutoHyphens/>
      <w:spacing w:after="454" w:line="760" w:lineRule="atLeast"/>
    </w:pPr>
    <w:rPr>
      <w:rFonts w:ascii="Graphik-Bold" w:hAnsi="Graphik-Bold" w:cs="Graphik-Bold"/>
      <w:b/>
      <w:bCs/>
      <w:sz w:val="68"/>
      <w:szCs w:val="68"/>
      <w:lang w:val="en-GB"/>
    </w:rPr>
  </w:style>
  <w:style w:type="paragraph" w:customStyle="1" w:styleId="HRVBodyText">
    <w:name w:val="HRV Body Text"/>
    <w:basedOn w:val="NoParagraphStyle"/>
    <w:uiPriority w:val="99"/>
    <w:rsid w:val="006B0171"/>
    <w:pPr>
      <w:suppressAutoHyphens/>
      <w:spacing w:after="170" w:line="280" w:lineRule="atLeast"/>
    </w:pPr>
    <w:rPr>
      <w:rFonts w:ascii="Graphik-Regular" w:hAnsi="Graphik-Regular" w:cs="Graphik-Regular"/>
      <w:sz w:val="22"/>
      <w:szCs w:val="22"/>
      <w:lang w:val="en-GB"/>
    </w:rPr>
  </w:style>
  <w:style w:type="paragraph" w:customStyle="1" w:styleId="HRVHeading4">
    <w:name w:val="HRV Heading 4"/>
    <w:basedOn w:val="NoParagraphStyle"/>
    <w:uiPriority w:val="99"/>
    <w:rsid w:val="006B0171"/>
    <w:pPr>
      <w:suppressAutoHyphens/>
      <w:spacing w:before="198" w:after="113" w:line="330" w:lineRule="atLeast"/>
    </w:pPr>
    <w:rPr>
      <w:rFonts w:ascii="Graphik-Medium" w:hAnsi="Graphik-Medium" w:cs="Graphik-Medium"/>
      <w:sz w:val="26"/>
      <w:szCs w:val="26"/>
      <w:lang w:val="en-GB"/>
    </w:rPr>
  </w:style>
  <w:style w:type="paragraph" w:customStyle="1" w:styleId="HRVBodyTextBeforeTable">
    <w:name w:val="HRV Body Text (Before Table)"/>
    <w:basedOn w:val="HRVBodyText"/>
    <w:uiPriority w:val="99"/>
    <w:rsid w:val="006B0171"/>
    <w:pPr>
      <w:spacing w:after="0"/>
    </w:pPr>
  </w:style>
  <w:style w:type="paragraph" w:customStyle="1" w:styleId="HRVBullet">
    <w:name w:val="HRV Bullet"/>
    <w:basedOn w:val="NoParagraphStyle"/>
    <w:uiPriority w:val="99"/>
    <w:rsid w:val="006B0171"/>
    <w:pPr>
      <w:suppressAutoHyphens/>
      <w:spacing w:before="113" w:line="280" w:lineRule="atLeast"/>
      <w:ind w:left="170" w:right="1020" w:hanging="170"/>
    </w:pPr>
    <w:rPr>
      <w:rFonts w:ascii="Graphik-Regular" w:hAnsi="Graphik-Regular" w:cs="Graphik-Regular"/>
      <w:sz w:val="22"/>
      <w:szCs w:val="22"/>
      <w:lang w:val="en-GB"/>
    </w:rPr>
  </w:style>
  <w:style w:type="paragraph" w:customStyle="1" w:styleId="HRVBulletLast">
    <w:name w:val="HRV Bullet Last"/>
    <w:basedOn w:val="HRVBullet"/>
    <w:uiPriority w:val="99"/>
    <w:rsid w:val="006B0171"/>
    <w:pPr>
      <w:spacing w:before="28" w:after="227"/>
    </w:pPr>
  </w:style>
  <w:style w:type="paragraph" w:customStyle="1" w:styleId="HRVHeading5">
    <w:name w:val="HRV Heading 5"/>
    <w:basedOn w:val="NoParagraphStyle"/>
    <w:uiPriority w:val="99"/>
    <w:rsid w:val="006B0171"/>
    <w:pPr>
      <w:suppressAutoHyphens/>
      <w:spacing w:before="28" w:after="170" w:line="300" w:lineRule="atLeast"/>
    </w:pPr>
    <w:rPr>
      <w:rFonts w:ascii="Graphik-Semibold" w:hAnsi="Graphik-Semibold" w:cs="Graphik-Semibold"/>
      <w:sz w:val="22"/>
      <w:szCs w:val="22"/>
      <w:lang w:val="en-GB"/>
    </w:rPr>
  </w:style>
  <w:style w:type="paragraph" w:customStyle="1" w:styleId="HRVListBullet2ndlevel">
    <w:name w:val="HRV List Bullet 2nd level"/>
    <w:basedOn w:val="NoParagraphStyle"/>
    <w:uiPriority w:val="99"/>
    <w:rsid w:val="006B0171"/>
    <w:pPr>
      <w:suppressAutoHyphens/>
      <w:spacing w:line="280" w:lineRule="atLeast"/>
      <w:ind w:left="510" w:right="1020" w:hanging="340"/>
    </w:pPr>
    <w:rPr>
      <w:rFonts w:ascii="Graphik-Regular" w:hAnsi="Graphik-Regular" w:cs="Graphik-Regular"/>
      <w:sz w:val="22"/>
      <w:szCs w:val="22"/>
    </w:rPr>
  </w:style>
  <w:style w:type="paragraph" w:customStyle="1" w:styleId="HRVListBullet2ndlevellast">
    <w:name w:val="HRV List Bullet 2nd level (last)"/>
    <w:basedOn w:val="NoParagraphStyle"/>
    <w:uiPriority w:val="99"/>
    <w:rsid w:val="006B0171"/>
    <w:pPr>
      <w:suppressAutoHyphens/>
      <w:spacing w:before="57" w:after="198" w:line="280" w:lineRule="atLeast"/>
      <w:ind w:left="510" w:right="1020" w:hanging="340"/>
    </w:pPr>
    <w:rPr>
      <w:rFonts w:ascii="Graphik-Regular" w:hAnsi="Graphik-Regular" w:cs="Graphik-Regular"/>
      <w:sz w:val="22"/>
      <w:szCs w:val="22"/>
    </w:rPr>
  </w:style>
  <w:style w:type="paragraph" w:customStyle="1" w:styleId="HRVHeading2">
    <w:name w:val="HRV Heading 2"/>
    <w:basedOn w:val="NoParagraphStyle"/>
    <w:uiPriority w:val="99"/>
    <w:rsid w:val="006B0171"/>
    <w:pPr>
      <w:suppressAutoHyphens/>
      <w:spacing w:before="227" w:after="198" w:line="470" w:lineRule="atLeast"/>
    </w:pPr>
    <w:rPr>
      <w:rFonts w:ascii="Graphik-Medium" w:hAnsi="Graphik-Medium" w:cs="Graphik-Medium"/>
      <w:sz w:val="48"/>
      <w:szCs w:val="48"/>
      <w:lang w:val="en-GB"/>
    </w:rPr>
  </w:style>
  <w:style w:type="paragraph" w:customStyle="1" w:styleId="HRVNumeralsBlack">
    <w:name w:val="HRV Numerals (Black)"/>
    <w:basedOn w:val="NoParagraphStyle"/>
    <w:uiPriority w:val="99"/>
    <w:rsid w:val="006B0171"/>
    <w:pPr>
      <w:suppressAutoHyphens/>
      <w:spacing w:after="85" w:line="280" w:lineRule="atLeast"/>
      <w:ind w:left="340" w:right="1020" w:hanging="340"/>
    </w:pPr>
    <w:rPr>
      <w:rFonts w:ascii="Graphik-Regular" w:hAnsi="Graphik-Regular" w:cs="Graphik-Regular"/>
      <w:sz w:val="22"/>
      <w:szCs w:val="22"/>
    </w:rPr>
  </w:style>
  <w:style w:type="paragraph" w:customStyle="1" w:styleId="HRVQuoteFeature">
    <w:name w:val="HRV Quote Feature"/>
    <w:basedOn w:val="NoParagraphStyle"/>
    <w:uiPriority w:val="99"/>
    <w:rsid w:val="006B0171"/>
    <w:pPr>
      <w:suppressAutoHyphens/>
      <w:spacing w:before="43" w:after="340" w:line="440" w:lineRule="atLeast"/>
      <w:ind w:left="170" w:hanging="170"/>
    </w:pPr>
    <w:rPr>
      <w:rFonts w:ascii="Graphik-Medium" w:hAnsi="Graphik-Medium" w:cs="Graphik-Medium"/>
      <w:spacing w:val="10"/>
      <w:sz w:val="34"/>
      <w:szCs w:val="34"/>
    </w:rPr>
  </w:style>
  <w:style w:type="paragraph" w:customStyle="1" w:styleId="HRVQuoteFeature2">
    <w:name w:val="HRV Quote Feature 2"/>
    <w:basedOn w:val="HRVQuoteFeature"/>
    <w:uiPriority w:val="99"/>
    <w:rsid w:val="006B0171"/>
    <w:pPr>
      <w:ind w:left="460" w:hanging="460"/>
    </w:pPr>
  </w:style>
  <w:style w:type="paragraph" w:customStyle="1" w:styleId="HRVHeading3">
    <w:name w:val="HRV Heading 3"/>
    <w:basedOn w:val="NoParagraphStyle"/>
    <w:uiPriority w:val="99"/>
    <w:rsid w:val="006B0171"/>
    <w:pPr>
      <w:suppressAutoHyphens/>
      <w:spacing w:before="57" w:after="170" w:line="440" w:lineRule="atLeast"/>
    </w:pPr>
    <w:rPr>
      <w:rFonts w:ascii="Graphik-Bold" w:hAnsi="Graphik-Bold" w:cs="Graphik-Bold"/>
      <w:b/>
      <w:bCs/>
      <w:sz w:val="38"/>
      <w:szCs w:val="38"/>
      <w:lang w:val="en-GB"/>
    </w:rPr>
  </w:style>
  <w:style w:type="paragraph" w:customStyle="1" w:styleId="HRVBreakoutBoxBlackHeader">
    <w:name w:val="HRV Breakout Box (Black) Header"/>
    <w:basedOn w:val="NoParagraphStyle"/>
    <w:uiPriority w:val="99"/>
    <w:rsid w:val="006B0171"/>
    <w:pPr>
      <w:shd w:val="clear" w:color="auto" w:fill="000000"/>
      <w:suppressAutoHyphens/>
      <w:spacing w:before="283" w:after="283" w:line="280" w:lineRule="atLeast"/>
      <w:ind w:left="340" w:right="340"/>
    </w:pPr>
    <w:rPr>
      <w:rFonts w:ascii="Graphik-Bold" w:hAnsi="Graphik-Bold" w:cs="Graphik-Bold"/>
      <w:b/>
      <w:bCs/>
      <w:color w:val="FFFFFF"/>
      <w:sz w:val="22"/>
      <w:szCs w:val="22"/>
      <w:lang w:val="en-GB"/>
    </w:rPr>
  </w:style>
  <w:style w:type="paragraph" w:customStyle="1" w:styleId="HRVBreakoutBoxHeader2Navy">
    <w:name w:val="HRV Breakout Box Header 2 (Navy)"/>
    <w:basedOn w:val="HRVBreakoutBoxBlackHeader"/>
    <w:uiPriority w:val="99"/>
    <w:rsid w:val="006B0171"/>
    <w:pPr>
      <w:shd w:val="clear" w:color="auto" w:fill="000049"/>
      <w:spacing w:before="170" w:after="57"/>
    </w:pPr>
    <w:rPr>
      <w:rFonts w:ascii="Graphik-Semibold" w:hAnsi="Graphik-Semibold" w:cs="Graphik-Semibold"/>
    </w:rPr>
  </w:style>
  <w:style w:type="paragraph" w:customStyle="1" w:styleId="HRVBreakoutBoxHeader2Green">
    <w:name w:val="HRV Breakout Box Header 2 (Green)"/>
    <w:basedOn w:val="HRVBreakoutBoxHeader2Navy"/>
    <w:uiPriority w:val="99"/>
    <w:rsid w:val="006B0171"/>
    <w:pPr>
      <w:shd w:val="clear" w:color="auto" w:fill="77FFA0"/>
    </w:pPr>
    <w:rPr>
      <w:color w:val="000000"/>
    </w:rPr>
  </w:style>
  <w:style w:type="paragraph" w:customStyle="1" w:styleId="HRVBreakoutBoxBullets1Black">
    <w:name w:val="HRV Breakout Box Bullets 1 (Black)"/>
    <w:basedOn w:val="NoParagraphStyle"/>
    <w:uiPriority w:val="99"/>
    <w:rsid w:val="006B0171"/>
    <w:pPr>
      <w:shd w:val="clear" w:color="auto" w:fill="000000"/>
      <w:suppressAutoHyphens/>
      <w:spacing w:after="85" w:line="280" w:lineRule="atLeast"/>
      <w:ind w:left="510" w:right="340" w:hanging="170"/>
    </w:pPr>
    <w:rPr>
      <w:rFonts w:ascii="Graphik-Medium" w:hAnsi="Graphik-Medium" w:cs="Graphik-Medium"/>
      <w:color w:val="FFFFFF"/>
      <w:sz w:val="22"/>
      <w:szCs w:val="22"/>
      <w:lang w:val="en-GB"/>
    </w:rPr>
  </w:style>
  <w:style w:type="paragraph" w:customStyle="1" w:styleId="HRVBreakoutBoxBulletsNavy">
    <w:name w:val="HRV Breakout Box Bullets (Navy)"/>
    <w:basedOn w:val="HRVBreakoutBoxBullets1Black"/>
    <w:uiPriority w:val="99"/>
    <w:rsid w:val="006B0171"/>
    <w:pPr>
      <w:shd w:val="clear" w:color="auto" w:fill="000049"/>
      <w:spacing w:after="57"/>
    </w:pPr>
    <w:rPr>
      <w:rFonts w:ascii="Graphik-Regular" w:hAnsi="Graphik-Regular" w:cs="Graphik-Regular"/>
    </w:rPr>
  </w:style>
  <w:style w:type="paragraph" w:customStyle="1" w:styleId="HRVBreakoutBoxBulletsGreen">
    <w:name w:val="HRV Breakout Box Bullets (Green)"/>
    <w:basedOn w:val="HRVBreakoutBoxBulletsNavy"/>
    <w:uiPriority w:val="99"/>
    <w:rsid w:val="006B0171"/>
    <w:pPr>
      <w:shd w:val="clear" w:color="auto" w:fill="77FFA0"/>
    </w:pPr>
    <w:rPr>
      <w:color w:val="000000"/>
    </w:rPr>
  </w:style>
  <w:style w:type="paragraph" w:customStyle="1" w:styleId="HRVBreakoutBoxBulletsLastGreen">
    <w:name w:val="HRV Breakout Box Bullets Last (Green)"/>
    <w:basedOn w:val="HRVBreakoutBoxBulletsNavy"/>
    <w:uiPriority w:val="99"/>
    <w:rsid w:val="006B0171"/>
    <w:pPr>
      <w:shd w:val="clear" w:color="auto" w:fill="77FFA0"/>
      <w:spacing w:after="454"/>
    </w:pPr>
    <w:rPr>
      <w:color w:val="000000"/>
    </w:rPr>
  </w:style>
  <w:style w:type="paragraph" w:customStyle="1" w:styleId="HRVBreakoutBoxHeader2Yellow">
    <w:name w:val="HRV Breakout Box Header 2 (Yellow)"/>
    <w:basedOn w:val="HRVBreakoutBoxHeader2Green"/>
    <w:uiPriority w:val="99"/>
    <w:rsid w:val="006B0171"/>
    <w:pPr>
      <w:shd w:val="clear" w:color="auto" w:fill="F2BA2D"/>
    </w:pPr>
  </w:style>
  <w:style w:type="paragraph" w:customStyle="1" w:styleId="HRVBreakoutBoxWhite">
    <w:name w:val="HRV Breakout Box (White)"/>
    <w:basedOn w:val="NoParagraphStyle"/>
    <w:uiPriority w:val="99"/>
    <w:rsid w:val="006B0171"/>
    <w:pPr>
      <w:shd w:val="clear" w:color="auto" w:fill="000000"/>
      <w:suppressAutoHyphens/>
      <w:spacing w:after="170" w:line="280" w:lineRule="atLeast"/>
      <w:ind w:left="340" w:right="340"/>
    </w:pPr>
    <w:rPr>
      <w:rFonts w:ascii="Graphik-Regular" w:hAnsi="Graphik-Regular" w:cs="Graphik-Regular"/>
      <w:color w:val="FFFFFF"/>
      <w:sz w:val="22"/>
      <w:szCs w:val="22"/>
      <w:lang w:val="en-GB"/>
    </w:rPr>
  </w:style>
  <w:style w:type="paragraph" w:customStyle="1" w:styleId="HRVBreakoutBoxNavy">
    <w:name w:val="HRV Breakout Box (Navy)"/>
    <w:basedOn w:val="HRVBreakoutBoxWhite"/>
    <w:uiPriority w:val="99"/>
    <w:rsid w:val="006B0171"/>
    <w:pPr>
      <w:shd w:val="clear" w:color="auto" w:fill="000049"/>
      <w:spacing w:after="113"/>
    </w:pPr>
  </w:style>
  <w:style w:type="paragraph" w:customStyle="1" w:styleId="HRVBreakoutBoxYellow">
    <w:name w:val="HRV Breakout Box (Yellow)"/>
    <w:basedOn w:val="HRVBreakoutBoxNavy"/>
    <w:uiPriority w:val="99"/>
    <w:rsid w:val="006B0171"/>
    <w:pPr>
      <w:shd w:val="clear" w:color="auto" w:fill="F2BA2D"/>
    </w:pPr>
    <w:rPr>
      <w:color w:val="000000"/>
    </w:rPr>
  </w:style>
  <w:style w:type="paragraph" w:customStyle="1" w:styleId="HRVBreakoutBoxBulletsYellow">
    <w:name w:val="HRV Breakout Box Bullets (Yellow)"/>
    <w:basedOn w:val="HRVBreakoutBoxBullets1Black"/>
    <w:uiPriority w:val="99"/>
    <w:rsid w:val="006B0171"/>
    <w:pPr>
      <w:shd w:val="clear" w:color="auto" w:fill="F2BA2D"/>
      <w:spacing w:after="57"/>
    </w:pPr>
    <w:rPr>
      <w:rFonts w:ascii="Graphik-Regular" w:hAnsi="Graphik-Regular" w:cs="Graphik-Regular"/>
      <w:color w:val="000000"/>
    </w:rPr>
  </w:style>
  <w:style w:type="paragraph" w:customStyle="1" w:styleId="HRVBreakoutBoxLastYellow">
    <w:name w:val="HRV Breakout Box Last (Yellow)"/>
    <w:basedOn w:val="HRVBreakoutBoxNavy"/>
    <w:uiPriority w:val="99"/>
    <w:rsid w:val="006B0171"/>
    <w:pPr>
      <w:shd w:val="clear" w:color="auto" w:fill="F2BA2D"/>
      <w:spacing w:after="397"/>
    </w:pPr>
    <w:rPr>
      <w:color w:val="000000"/>
    </w:rPr>
  </w:style>
  <w:style w:type="paragraph" w:customStyle="1" w:styleId="HRVBreakoutBoxGreen">
    <w:name w:val="HRV Breakout Box (Green)"/>
    <w:basedOn w:val="HRVBreakoutBoxNavy"/>
    <w:uiPriority w:val="99"/>
    <w:rsid w:val="006B0171"/>
    <w:pPr>
      <w:shd w:val="clear" w:color="auto" w:fill="77FFA0"/>
    </w:pPr>
    <w:rPr>
      <w:color w:val="000000"/>
    </w:rPr>
  </w:style>
  <w:style w:type="paragraph" w:customStyle="1" w:styleId="HRVBreakoutBoxLastNavy">
    <w:name w:val="HRV Breakout Box Last (Navy)"/>
    <w:basedOn w:val="HRVBreakoutBoxGreen"/>
    <w:uiPriority w:val="99"/>
    <w:rsid w:val="006B0171"/>
    <w:pPr>
      <w:shd w:val="clear" w:color="auto" w:fill="000049"/>
      <w:spacing w:after="340"/>
    </w:pPr>
    <w:rPr>
      <w:color w:val="FFFFFF"/>
    </w:rPr>
  </w:style>
  <w:style w:type="paragraph" w:customStyle="1" w:styleId="HRVBreakoutBoxRed">
    <w:name w:val="HRV Breakout Box (Red)"/>
    <w:basedOn w:val="HRVBreakoutBoxLastNavy"/>
    <w:uiPriority w:val="99"/>
    <w:rsid w:val="006B0171"/>
    <w:pPr>
      <w:shd w:val="clear" w:color="auto" w:fill="A50000"/>
    </w:pPr>
  </w:style>
  <w:style w:type="paragraph" w:customStyle="1" w:styleId="HRVBreakoutBoxHeader2Red">
    <w:name w:val="HRV Breakout Box Header 2 (Red)"/>
    <w:basedOn w:val="HRVBreakoutBoxRed"/>
    <w:uiPriority w:val="99"/>
    <w:rsid w:val="006B0171"/>
    <w:pPr>
      <w:shd w:val="clear" w:color="auto" w:fill="022128"/>
      <w:spacing w:before="57" w:after="170"/>
    </w:pPr>
    <w:rPr>
      <w:rFonts w:ascii="Graphik-Semibold" w:hAnsi="Graphik-Semibold" w:cs="Graphik-Semibold"/>
    </w:rPr>
  </w:style>
  <w:style w:type="paragraph" w:customStyle="1" w:styleId="HRVTipRed">
    <w:name w:val="HRV Tip (Red)"/>
    <w:basedOn w:val="HRVBreakoutBoxHeader2Red"/>
    <w:uiPriority w:val="99"/>
    <w:rsid w:val="006B0171"/>
    <w:pPr>
      <w:shd w:val="clear" w:color="auto" w:fill="A50000"/>
      <w:spacing w:before="340" w:after="113"/>
    </w:pPr>
  </w:style>
  <w:style w:type="paragraph" w:customStyle="1" w:styleId="HRVBreakoutBoxBulletsRedTip">
    <w:name w:val="HRV Breakout Box Bullets (Red) Tip"/>
    <w:basedOn w:val="HRVBreakoutBoxBulletsNavy"/>
    <w:uiPriority w:val="99"/>
    <w:rsid w:val="006B0171"/>
    <w:pPr>
      <w:shd w:val="clear" w:color="auto" w:fill="A50000"/>
    </w:pPr>
  </w:style>
  <w:style w:type="paragraph" w:customStyle="1" w:styleId="HRVBreakoutBoxBulletsLastNavy">
    <w:name w:val="HRV Breakout Box Bullets Last (Navy)"/>
    <w:basedOn w:val="HRVBreakoutBoxBullets1Black"/>
    <w:uiPriority w:val="99"/>
    <w:rsid w:val="006B0171"/>
    <w:pPr>
      <w:shd w:val="clear" w:color="auto" w:fill="000049"/>
      <w:spacing w:after="454"/>
    </w:pPr>
    <w:rPr>
      <w:rFonts w:ascii="Graphik-Regular" w:hAnsi="Graphik-Regular" w:cs="Graphik-Regular"/>
    </w:rPr>
  </w:style>
  <w:style w:type="paragraph" w:customStyle="1" w:styleId="HRVBreakoutBoxBulletsRedTipLast">
    <w:name w:val="HRV Breakout Box Bullets (Red) Tip Last"/>
    <w:basedOn w:val="HRVBreakoutBoxBulletsLastNavy"/>
    <w:uiPriority w:val="99"/>
    <w:rsid w:val="006B0171"/>
    <w:pPr>
      <w:shd w:val="clear" w:color="auto" w:fill="A50000"/>
    </w:pPr>
  </w:style>
  <w:style w:type="paragraph" w:customStyle="1" w:styleId="HRVBodyTextAfterTable">
    <w:name w:val="HRV Body Text (After Table)"/>
    <w:basedOn w:val="HRVBodyText"/>
    <w:uiPriority w:val="99"/>
    <w:rsid w:val="006B0171"/>
    <w:pPr>
      <w:spacing w:before="113"/>
    </w:pPr>
  </w:style>
  <w:style w:type="paragraph" w:customStyle="1" w:styleId="HRVBreakoutBoxBulletsLastYellow">
    <w:name w:val="HRV Breakout Box Bullets Last (Yellow)"/>
    <w:basedOn w:val="HRVBreakoutBoxBulletsYellow"/>
    <w:uiPriority w:val="99"/>
    <w:rsid w:val="006B0171"/>
    <w:pPr>
      <w:spacing w:after="454"/>
    </w:pPr>
  </w:style>
  <w:style w:type="paragraph" w:customStyle="1" w:styleId="HRVQuote">
    <w:name w:val="HRV Quote"/>
    <w:basedOn w:val="HRVBodyText"/>
    <w:uiPriority w:val="99"/>
    <w:rsid w:val="006B0171"/>
    <w:pPr>
      <w:ind w:left="340" w:right="340"/>
    </w:pPr>
  </w:style>
  <w:style w:type="paragraph" w:customStyle="1" w:styleId="HRVTableHeading">
    <w:name w:val="HRV Table Heading"/>
    <w:basedOn w:val="NoParagraphStyle"/>
    <w:uiPriority w:val="99"/>
    <w:rsid w:val="006B0171"/>
    <w:pPr>
      <w:suppressAutoHyphens/>
      <w:spacing w:after="170" w:line="250" w:lineRule="atLeast"/>
    </w:pPr>
    <w:rPr>
      <w:rFonts w:ascii="Graphik-Medium" w:hAnsi="Graphik-Medium" w:cs="Graphik-Medium"/>
      <w:sz w:val="21"/>
      <w:szCs w:val="21"/>
      <w:lang w:val="en-GB"/>
    </w:rPr>
  </w:style>
  <w:style w:type="paragraph" w:customStyle="1" w:styleId="HRVBreakoutBoxHeader1Yellow">
    <w:name w:val="HRV Breakout Box Header 1 (Yellow)"/>
    <w:basedOn w:val="HRVBreakoutBoxHeader2Yellow"/>
    <w:uiPriority w:val="99"/>
    <w:rsid w:val="006B0171"/>
    <w:pPr>
      <w:spacing w:before="397" w:after="227" w:line="440" w:lineRule="atLeast"/>
    </w:pPr>
    <w:rPr>
      <w:sz w:val="38"/>
      <w:szCs w:val="38"/>
    </w:rPr>
  </w:style>
  <w:style w:type="paragraph" w:customStyle="1" w:styleId="HRVBreakoutBoxHeader1Grey">
    <w:name w:val="HRV Breakout Box Header 1 (Grey)"/>
    <w:basedOn w:val="HRVBreakoutBoxHeader1Yellow"/>
    <w:uiPriority w:val="99"/>
    <w:rsid w:val="006B0171"/>
    <w:pPr>
      <w:shd w:val="clear" w:color="auto" w:fill="B2B2B2"/>
    </w:pPr>
  </w:style>
  <w:style w:type="paragraph" w:customStyle="1" w:styleId="HRVBreakoutBoxGrey">
    <w:name w:val="HRV Breakout Box (Grey)"/>
    <w:basedOn w:val="HRVBreakoutBoxYellow"/>
    <w:uiPriority w:val="99"/>
    <w:rsid w:val="006B0171"/>
    <w:pPr>
      <w:shd w:val="clear" w:color="auto" w:fill="B2B2B2"/>
    </w:pPr>
  </w:style>
  <w:style w:type="paragraph" w:customStyle="1" w:styleId="HRVBreakoutBoxHeader2Grey">
    <w:name w:val="HRV Breakout Box Header 2 (Grey)"/>
    <w:basedOn w:val="HRVBreakoutBoxHeader2Yellow"/>
    <w:uiPriority w:val="99"/>
    <w:rsid w:val="006B0171"/>
    <w:pPr>
      <w:shd w:val="clear" w:color="auto" w:fill="B2B2B2"/>
    </w:pPr>
  </w:style>
  <w:style w:type="paragraph" w:customStyle="1" w:styleId="HRVBreakoutBoxLastGrey">
    <w:name w:val="HRV Breakout Box Last (Grey)"/>
    <w:basedOn w:val="HRVBreakoutBoxLastYellow"/>
    <w:uiPriority w:val="99"/>
    <w:rsid w:val="006B0171"/>
    <w:pPr>
      <w:shd w:val="clear" w:color="auto" w:fill="B2B2B2"/>
    </w:pPr>
  </w:style>
  <w:style w:type="paragraph" w:customStyle="1" w:styleId="HRVNumeralsa">
    <w:name w:val="HRV Numerals (a"/>
    <w:aliases w:val="b,c)"/>
    <w:basedOn w:val="HRVNumeralsBlack"/>
    <w:uiPriority w:val="99"/>
    <w:rsid w:val="006B0171"/>
  </w:style>
  <w:style w:type="paragraph" w:customStyle="1" w:styleId="HRVBreakoutBoxNumeralsGrey">
    <w:name w:val="HRV Breakout Box Numerals (Grey)"/>
    <w:basedOn w:val="HRVNumeralsa"/>
    <w:uiPriority w:val="99"/>
    <w:rsid w:val="006B0171"/>
    <w:pPr>
      <w:shd w:val="clear" w:color="auto" w:fill="B2B2B2"/>
      <w:ind w:left="680"/>
    </w:pPr>
  </w:style>
  <w:style w:type="paragraph" w:customStyle="1" w:styleId="HRVTipBlue">
    <w:name w:val="HRV Tip (Blue)"/>
    <w:basedOn w:val="HRVBreakoutBoxHeader2Navy"/>
    <w:uiPriority w:val="99"/>
    <w:rsid w:val="006B0171"/>
    <w:pPr>
      <w:spacing w:before="340" w:after="454"/>
    </w:pPr>
  </w:style>
  <w:style w:type="paragraph" w:customStyle="1" w:styleId="HRVInProgressBlue">
    <w:name w:val="HRV In Progress (Blue)"/>
    <w:basedOn w:val="HRVTipBlue"/>
    <w:next w:val="NoParagraphStyle"/>
    <w:uiPriority w:val="99"/>
    <w:rsid w:val="006B0171"/>
    <w:pPr>
      <w:spacing w:before="283" w:after="170"/>
    </w:pPr>
  </w:style>
  <w:style w:type="paragraph" w:customStyle="1" w:styleId="HRVBreakoutBoxBulletsGrey">
    <w:name w:val="HRV Breakout Box Bullets (Grey)"/>
    <w:basedOn w:val="HRVBreakoutBoxBulletsYellow"/>
    <w:uiPriority w:val="99"/>
    <w:rsid w:val="006B0171"/>
    <w:pPr>
      <w:shd w:val="clear" w:color="auto" w:fill="B2B2B2"/>
    </w:pPr>
  </w:style>
  <w:style w:type="paragraph" w:customStyle="1" w:styleId="HRVTipGreen">
    <w:name w:val="HRV Tip (Green)"/>
    <w:basedOn w:val="HRVBreakoutBoxHeader2Green"/>
    <w:uiPriority w:val="99"/>
    <w:rsid w:val="006B0171"/>
    <w:pPr>
      <w:spacing w:before="340" w:after="454"/>
    </w:pPr>
  </w:style>
  <w:style w:type="paragraph" w:customStyle="1" w:styleId="HRVCompleteGreen">
    <w:name w:val="HRV Complete (Green)"/>
    <w:basedOn w:val="HRVTipGreen"/>
    <w:uiPriority w:val="99"/>
    <w:rsid w:val="006B0171"/>
    <w:pPr>
      <w:spacing w:before="283" w:after="170"/>
    </w:pPr>
  </w:style>
  <w:style w:type="paragraph" w:customStyle="1" w:styleId="HRVPendingYellow">
    <w:name w:val="HRV Pending (Yellow)"/>
    <w:basedOn w:val="HRVCompleteGreen"/>
    <w:uiPriority w:val="99"/>
    <w:rsid w:val="006B0171"/>
    <w:pPr>
      <w:shd w:val="clear" w:color="auto" w:fill="F2BA2D"/>
    </w:pPr>
  </w:style>
  <w:style w:type="paragraph" w:customStyle="1" w:styleId="HRVBreakoutBoxNumeralsLastGrey">
    <w:name w:val="HRV Breakout Box Numerals Last (Grey)"/>
    <w:basedOn w:val="HRVBreakoutBoxNumeralsGrey"/>
    <w:uiPriority w:val="99"/>
    <w:rsid w:val="006B0171"/>
    <w:pPr>
      <w:spacing w:after="454"/>
    </w:pPr>
  </w:style>
  <w:style w:type="paragraph" w:customStyle="1" w:styleId="HRVTableBody">
    <w:name w:val="HRV Table Body"/>
    <w:basedOn w:val="NoParagraphStyle"/>
    <w:uiPriority w:val="99"/>
    <w:rsid w:val="006B0171"/>
    <w:pPr>
      <w:suppressAutoHyphens/>
      <w:spacing w:after="340" w:line="250" w:lineRule="atLeast"/>
    </w:pPr>
    <w:rPr>
      <w:rFonts w:ascii="Graphik-Regular" w:hAnsi="Graphik-Regular" w:cs="Graphik-Regular"/>
      <w:spacing w:val="-3"/>
      <w:sz w:val="21"/>
      <w:szCs w:val="21"/>
      <w:lang w:val="en-GB"/>
    </w:rPr>
  </w:style>
  <w:style w:type="paragraph" w:customStyle="1" w:styleId="HRVTableBodySmall">
    <w:name w:val="HRV Table Body (Small)"/>
    <w:basedOn w:val="HRVTableBody"/>
    <w:uiPriority w:val="99"/>
    <w:rsid w:val="006B0171"/>
    <w:pPr>
      <w:spacing w:line="220" w:lineRule="atLeast"/>
    </w:pPr>
    <w:rPr>
      <w:sz w:val="20"/>
      <w:szCs w:val="20"/>
    </w:rPr>
  </w:style>
  <w:style w:type="paragraph" w:customStyle="1" w:styleId="HRVTableBodyBullet">
    <w:name w:val="HRV Table Body Bullet"/>
    <w:basedOn w:val="HRVTableBodySmall"/>
    <w:uiPriority w:val="99"/>
    <w:rsid w:val="006B0171"/>
    <w:pPr>
      <w:spacing w:after="99" w:line="250" w:lineRule="atLeast"/>
      <w:ind w:left="198" w:hanging="180"/>
    </w:pPr>
    <w:rPr>
      <w:sz w:val="21"/>
      <w:szCs w:val="21"/>
    </w:rPr>
  </w:style>
  <w:style w:type="character" w:customStyle="1" w:styleId="HRVItalics">
    <w:name w:val="HRV Italics"/>
    <w:uiPriority w:val="99"/>
    <w:rsid w:val="006B0171"/>
    <w:rPr>
      <w:rFonts w:ascii="Graphik-RegularItalic" w:hAnsi="Graphik-RegularItalic" w:cs="Graphik-RegularItalic"/>
      <w:i/>
      <w:iCs/>
      <w:color w:val="000000"/>
    </w:rPr>
  </w:style>
  <w:style w:type="character" w:customStyle="1" w:styleId="HRVWhite">
    <w:name w:val="HRV White"/>
    <w:uiPriority w:val="99"/>
    <w:rsid w:val="006B0171"/>
    <w:rPr>
      <w:outline/>
      <w:color w:val="000000"/>
      <w14:textOutline w14:w="9525" w14:cap="flat" w14:cmpd="sng" w14:algn="ctr">
        <w14:solidFill>
          <w14:srgbClr w14:val="000000"/>
        </w14:solidFill>
        <w14:prstDash w14:val="solid"/>
        <w14:round/>
      </w14:textOutline>
      <w14:textFill>
        <w14:noFill/>
      </w14:textFill>
    </w:rPr>
  </w:style>
  <w:style w:type="character" w:customStyle="1" w:styleId="HRVBlack">
    <w:name w:val="HRV Black"/>
    <w:basedOn w:val="HRVWhite"/>
    <w:uiPriority w:val="99"/>
    <w:rsid w:val="006B0171"/>
    <w:rPr>
      <w:outline/>
      <w:color w:val="000000"/>
      <w14:textOutline w14:w="0" w14:cap="rnd" w14:cmpd="sng" w14:algn="ctr">
        <w14:noFill/>
        <w14:prstDash w14:val="solid"/>
        <w14:bevel/>
      </w14:textOutline>
    </w:rPr>
  </w:style>
  <w:style w:type="character" w:customStyle="1" w:styleId="HRVBold">
    <w:name w:val="HRV Bold"/>
    <w:basedOn w:val="HRVBlack"/>
    <w:uiPriority w:val="99"/>
    <w:rsid w:val="006B0171"/>
    <w:rPr>
      <w:rFonts w:ascii="Graphik-Semibold" w:hAnsi="Graphik-Semibold" w:cs="Graphik-Semibold"/>
      <w:outline/>
      <w:color w:val="000000"/>
      <w14:textOutline w14:w="0" w14:cap="rnd" w14:cmpd="sng" w14:algn="ctr">
        <w14:noFill/>
        <w14:prstDash w14:val="solid"/>
        <w14:bevel/>
      </w14:textOutline>
    </w:rPr>
  </w:style>
  <w:style w:type="character" w:customStyle="1" w:styleId="WordImportedListStyle1StylesforWordRTFImportedLists">
    <w:name w:val="Word Imported List Style1 (Styles for Word/RTF Imported Lists)"/>
    <w:uiPriority w:val="99"/>
    <w:rsid w:val="006B0171"/>
    <w:rPr>
      <w:rFonts w:ascii="Calibri" w:hAnsi="Calibri" w:cs="Calibri"/>
      <w:w w:val="100"/>
      <w:lang w:val="en-US"/>
    </w:rPr>
  </w:style>
  <w:style w:type="character" w:customStyle="1" w:styleId="HRVGreen">
    <w:name w:val="HRV Green"/>
    <w:uiPriority w:val="99"/>
    <w:rsid w:val="006B0171"/>
    <w:rPr>
      <w:color w:val="77FF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7466">
      <w:bodyDiv w:val="1"/>
      <w:marLeft w:val="0"/>
      <w:marRight w:val="0"/>
      <w:marTop w:val="0"/>
      <w:marBottom w:val="0"/>
      <w:divBdr>
        <w:top w:val="none" w:sz="0" w:space="0" w:color="auto"/>
        <w:left w:val="none" w:sz="0" w:space="0" w:color="auto"/>
        <w:bottom w:val="none" w:sz="0" w:space="0" w:color="auto"/>
        <w:right w:val="none" w:sz="0" w:space="0" w:color="auto"/>
      </w:divBdr>
    </w:div>
    <w:div w:id="95760023">
      <w:bodyDiv w:val="1"/>
      <w:marLeft w:val="0"/>
      <w:marRight w:val="0"/>
      <w:marTop w:val="0"/>
      <w:marBottom w:val="0"/>
      <w:divBdr>
        <w:top w:val="none" w:sz="0" w:space="0" w:color="auto"/>
        <w:left w:val="none" w:sz="0" w:space="0" w:color="auto"/>
        <w:bottom w:val="none" w:sz="0" w:space="0" w:color="auto"/>
        <w:right w:val="none" w:sz="0" w:space="0" w:color="auto"/>
      </w:divBdr>
    </w:div>
    <w:div w:id="219556872">
      <w:bodyDiv w:val="1"/>
      <w:marLeft w:val="0"/>
      <w:marRight w:val="0"/>
      <w:marTop w:val="0"/>
      <w:marBottom w:val="0"/>
      <w:divBdr>
        <w:top w:val="none" w:sz="0" w:space="0" w:color="auto"/>
        <w:left w:val="none" w:sz="0" w:space="0" w:color="auto"/>
        <w:bottom w:val="none" w:sz="0" w:space="0" w:color="auto"/>
        <w:right w:val="none" w:sz="0" w:space="0" w:color="auto"/>
      </w:divBdr>
    </w:div>
    <w:div w:id="235939403">
      <w:bodyDiv w:val="1"/>
      <w:marLeft w:val="0"/>
      <w:marRight w:val="0"/>
      <w:marTop w:val="0"/>
      <w:marBottom w:val="0"/>
      <w:divBdr>
        <w:top w:val="none" w:sz="0" w:space="0" w:color="auto"/>
        <w:left w:val="none" w:sz="0" w:space="0" w:color="auto"/>
        <w:bottom w:val="none" w:sz="0" w:space="0" w:color="auto"/>
        <w:right w:val="none" w:sz="0" w:space="0" w:color="auto"/>
      </w:divBdr>
    </w:div>
    <w:div w:id="411590946">
      <w:bodyDiv w:val="1"/>
      <w:marLeft w:val="0"/>
      <w:marRight w:val="0"/>
      <w:marTop w:val="0"/>
      <w:marBottom w:val="0"/>
      <w:divBdr>
        <w:top w:val="none" w:sz="0" w:space="0" w:color="auto"/>
        <w:left w:val="none" w:sz="0" w:space="0" w:color="auto"/>
        <w:bottom w:val="none" w:sz="0" w:space="0" w:color="auto"/>
        <w:right w:val="none" w:sz="0" w:space="0" w:color="auto"/>
      </w:divBdr>
    </w:div>
    <w:div w:id="538279008">
      <w:bodyDiv w:val="1"/>
      <w:marLeft w:val="0"/>
      <w:marRight w:val="0"/>
      <w:marTop w:val="0"/>
      <w:marBottom w:val="0"/>
      <w:divBdr>
        <w:top w:val="none" w:sz="0" w:space="0" w:color="auto"/>
        <w:left w:val="none" w:sz="0" w:space="0" w:color="auto"/>
        <w:bottom w:val="none" w:sz="0" w:space="0" w:color="auto"/>
        <w:right w:val="none" w:sz="0" w:space="0" w:color="auto"/>
      </w:divBdr>
    </w:div>
    <w:div w:id="712462504">
      <w:bodyDiv w:val="1"/>
      <w:marLeft w:val="0"/>
      <w:marRight w:val="0"/>
      <w:marTop w:val="0"/>
      <w:marBottom w:val="0"/>
      <w:divBdr>
        <w:top w:val="none" w:sz="0" w:space="0" w:color="auto"/>
        <w:left w:val="none" w:sz="0" w:space="0" w:color="auto"/>
        <w:bottom w:val="none" w:sz="0" w:space="0" w:color="auto"/>
        <w:right w:val="none" w:sz="0" w:space="0" w:color="auto"/>
      </w:divBdr>
    </w:div>
    <w:div w:id="750811870">
      <w:bodyDiv w:val="1"/>
      <w:marLeft w:val="0"/>
      <w:marRight w:val="0"/>
      <w:marTop w:val="0"/>
      <w:marBottom w:val="0"/>
      <w:divBdr>
        <w:top w:val="none" w:sz="0" w:space="0" w:color="auto"/>
        <w:left w:val="none" w:sz="0" w:space="0" w:color="auto"/>
        <w:bottom w:val="none" w:sz="0" w:space="0" w:color="auto"/>
        <w:right w:val="none" w:sz="0" w:space="0" w:color="auto"/>
      </w:divBdr>
      <w:divsChild>
        <w:div w:id="969020649">
          <w:marLeft w:val="720"/>
          <w:marRight w:val="0"/>
          <w:marTop w:val="163"/>
          <w:marBottom w:val="0"/>
          <w:divBdr>
            <w:top w:val="none" w:sz="0" w:space="0" w:color="auto"/>
            <w:left w:val="none" w:sz="0" w:space="0" w:color="auto"/>
            <w:bottom w:val="none" w:sz="0" w:space="0" w:color="auto"/>
            <w:right w:val="none" w:sz="0" w:space="0" w:color="auto"/>
          </w:divBdr>
        </w:div>
        <w:div w:id="875511572">
          <w:marLeft w:val="720"/>
          <w:marRight w:val="0"/>
          <w:marTop w:val="163"/>
          <w:marBottom w:val="0"/>
          <w:divBdr>
            <w:top w:val="none" w:sz="0" w:space="0" w:color="auto"/>
            <w:left w:val="none" w:sz="0" w:space="0" w:color="auto"/>
            <w:bottom w:val="none" w:sz="0" w:space="0" w:color="auto"/>
            <w:right w:val="none" w:sz="0" w:space="0" w:color="auto"/>
          </w:divBdr>
        </w:div>
        <w:div w:id="351105086">
          <w:marLeft w:val="720"/>
          <w:marRight w:val="0"/>
          <w:marTop w:val="163"/>
          <w:marBottom w:val="0"/>
          <w:divBdr>
            <w:top w:val="none" w:sz="0" w:space="0" w:color="auto"/>
            <w:left w:val="none" w:sz="0" w:space="0" w:color="auto"/>
            <w:bottom w:val="none" w:sz="0" w:space="0" w:color="auto"/>
            <w:right w:val="none" w:sz="0" w:space="0" w:color="auto"/>
          </w:divBdr>
        </w:div>
      </w:divsChild>
    </w:div>
    <w:div w:id="977683775">
      <w:bodyDiv w:val="1"/>
      <w:marLeft w:val="0"/>
      <w:marRight w:val="0"/>
      <w:marTop w:val="0"/>
      <w:marBottom w:val="0"/>
      <w:divBdr>
        <w:top w:val="none" w:sz="0" w:space="0" w:color="auto"/>
        <w:left w:val="none" w:sz="0" w:space="0" w:color="auto"/>
        <w:bottom w:val="none" w:sz="0" w:space="0" w:color="auto"/>
        <w:right w:val="none" w:sz="0" w:space="0" w:color="auto"/>
      </w:divBdr>
    </w:div>
    <w:div w:id="1238439365">
      <w:bodyDiv w:val="1"/>
      <w:marLeft w:val="0"/>
      <w:marRight w:val="0"/>
      <w:marTop w:val="0"/>
      <w:marBottom w:val="0"/>
      <w:divBdr>
        <w:top w:val="none" w:sz="0" w:space="0" w:color="auto"/>
        <w:left w:val="none" w:sz="0" w:space="0" w:color="auto"/>
        <w:bottom w:val="none" w:sz="0" w:space="0" w:color="auto"/>
        <w:right w:val="none" w:sz="0" w:space="0" w:color="auto"/>
      </w:divBdr>
      <w:divsChild>
        <w:div w:id="153424582">
          <w:marLeft w:val="720"/>
          <w:marRight w:val="0"/>
          <w:marTop w:val="163"/>
          <w:marBottom w:val="0"/>
          <w:divBdr>
            <w:top w:val="none" w:sz="0" w:space="0" w:color="auto"/>
            <w:left w:val="none" w:sz="0" w:space="0" w:color="auto"/>
            <w:bottom w:val="none" w:sz="0" w:space="0" w:color="auto"/>
            <w:right w:val="none" w:sz="0" w:space="0" w:color="auto"/>
          </w:divBdr>
        </w:div>
        <w:div w:id="569342700">
          <w:marLeft w:val="720"/>
          <w:marRight w:val="0"/>
          <w:marTop w:val="163"/>
          <w:marBottom w:val="0"/>
          <w:divBdr>
            <w:top w:val="none" w:sz="0" w:space="0" w:color="auto"/>
            <w:left w:val="none" w:sz="0" w:space="0" w:color="auto"/>
            <w:bottom w:val="none" w:sz="0" w:space="0" w:color="auto"/>
            <w:right w:val="none" w:sz="0" w:space="0" w:color="auto"/>
          </w:divBdr>
        </w:div>
      </w:divsChild>
    </w:div>
    <w:div w:id="1379284522">
      <w:bodyDiv w:val="1"/>
      <w:marLeft w:val="0"/>
      <w:marRight w:val="0"/>
      <w:marTop w:val="0"/>
      <w:marBottom w:val="0"/>
      <w:divBdr>
        <w:top w:val="none" w:sz="0" w:space="0" w:color="auto"/>
        <w:left w:val="none" w:sz="0" w:space="0" w:color="auto"/>
        <w:bottom w:val="none" w:sz="0" w:space="0" w:color="auto"/>
        <w:right w:val="none" w:sz="0" w:space="0" w:color="auto"/>
      </w:divBdr>
    </w:div>
    <w:div w:id="1571305721">
      <w:bodyDiv w:val="1"/>
      <w:marLeft w:val="0"/>
      <w:marRight w:val="0"/>
      <w:marTop w:val="0"/>
      <w:marBottom w:val="0"/>
      <w:divBdr>
        <w:top w:val="none" w:sz="0" w:space="0" w:color="auto"/>
        <w:left w:val="none" w:sz="0" w:space="0" w:color="auto"/>
        <w:bottom w:val="none" w:sz="0" w:space="0" w:color="auto"/>
        <w:right w:val="none" w:sz="0" w:space="0" w:color="auto"/>
      </w:divBdr>
    </w:div>
    <w:div w:id="1805464314">
      <w:bodyDiv w:val="1"/>
      <w:marLeft w:val="0"/>
      <w:marRight w:val="0"/>
      <w:marTop w:val="0"/>
      <w:marBottom w:val="0"/>
      <w:divBdr>
        <w:top w:val="none" w:sz="0" w:space="0" w:color="auto"/>
        <w:left w:val="none" w:sz="0" w:space="0" w:color="auto"/>
        <w:bottom w:val="none" w:sz="0" w:space="0" w:color="auto"/>
        <w:right w:val="none" w:sz="0" w:space="0" w:color="auto"/>
      </w:divBdr>
    </w:div>
    <w:div w:id="1853255089">
      <w:bodyDiv w:val="1"/>
      <w:marLeft w:val="0"/>
      <w:marRight w:val="0"/>
      <w:marTop w:val="0"/>
      <w:marBottom w:val="0"/>
      <w:divBdr>
        <w:top w:val="none" w:sz="0" w:space="0" w:color="auto"/>
        <w:left w:val="none" w:sz="0" w:space="0" w:color="auto"/>
        <w:bottom w:val="none" w:sz="0" w:space="0" w:color="auto"/>
        <w:right w:val="none" w:sz="0" w:space="0" w:color="auto"/>
      </w:divBdr>
    </w:div>
    <w:div w:id="1947882767">
      <w:bodyDiv w:val="1"/>
      <w:marLeft w:val="0"/>
      <w:marRight w:val="0"/>
      <w:marTop w:val="0"/>
      <w:marBottom w:val="0"/>
      <w:divBdr>
        <w:top w:val="none" w:sz="0" w:space="0" w:color="auto"/>
        <w:left w:val="none" w:sz="0" w:space="0" w:color="auto"/>
        <w:bottom w:val="none" w:sz="0" w:space="0" w:color="auto"/>
        <w:right w:val="none" w:sz="0" w:space="0" w:color="auto"/>
      </w:divBdr>
    </w:div>
    <w:div w:id="1948269933">
      <w:bodyDiv w:val="1"/>
      <w:marLeft w:val="0"/>
      <w:marRight w:val="0"/>
      <w:marTop w:val="0"/>
      <w:marBottom w:val="0"/>
      <w:divBdr>
        <w:top w:val="none" w:sz="0" w:space="0" w:color="auto"/>
        <w:left w:val="none" w:sz="0" w:space="0" w:color="auto"/>
        <w:bottom w:val="none" w:sz="0" w:space="0" w:color="auto"/>
        <w:right w:val="none" w:sz="0" w:space="0" w:color="auto"/>
      </w:divBdr>
    </w:div>
    <w:div w:id="1990477924">
      <w:bodyDiv w:val="1"/>
      <w:marLeft w:val="0"/>
      <w:marRight w:val="0"/>
      <w:marTop w:val="0"/>
      <w:marBottom w:val="0"/>
      <w:divBdr>
        <w:top w:val="none" w:sz="0" w:space="0" w:color="auto"/>
        <w:left w:val="none" w:sz="0" w:space="0" w:color="auto"/>
        <w:bottom w:val="none" w:sz="0" w:space="0" w:color="auto"/>
        <w:right w:val="none" w:sz="0" w:space="0" w:color="auto"/>
      </w:divBdr>
    </w:div>
    <w:div w:id="2031223698">
      <w:bodyDiv w:val="1"/>
      <w:marLeft w:val="0"/>
      <w:marRight w:val="0"/>
      <w:marTop w:val="0"/>
      <w:marBottom w:val="0"/>
      <w:divBdr>
        <w:top w:val="none" w:sz="0" w:space="0" w:color="auto"/>
        <w:left w:val="none" w:sz="0" w:space="0" w:color="auto"/>
        <w:bottom w:val="none" w:sz="0" w:space="0" w:color="auto"/>
        <w:right w:val="none" w:sz="0" w:space="0" w:color="auto"/>
      </w:divBdr>
    </w:div>
    <w:div w:id="21337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enquiries@veohrc.vic.gov.au" TargetMode="External"/><Relationship Id="rId14" Type="http://schemas.openxmlformats.org/officeDocument/2006/relationships/hyperlink" Target="file:///\\vmware-host\Shared%20Folders\Projects%20(Clients)\VEOHRC\1338.%20MS%20Word%20Report%20Template\Modified%20Documents\humanrightscommission.vic.gov.au" TargetMode="External"/><Relationship Id="rId15" Type="http://schemas.openxmlformats.org/officeDocument/2006/relationships/image" Target="media/image3.png"/><Relationship Id="rId16" Type="http://schemas.openxmlformats.org/officeDocument/2006/relationships/hyperlink" Target="file:///\\vmware-host\Shared%20Folders\Projects%20(Clients)\VEOHRC\1338.%20MS%20Word%20Report%20Template\Modified%20Documents\humanrightscommission.vic.gov.au\resources" TargetMode="External"/><Relationship Id="rId17" Type="http://schemas.openxmlformats.org/officeDocument/2006/relationships/image" Target="media/image4.jpeg"/><Relationship Id="rId18" Type="http://schemas.openxmlformats.org/officeDocument/2006/relationships/footer" Target="footer3.xml"/><Relationship Id="rId19" Type="http://schemas.openxmlformats.org/officeDocument/2006/relationships/image" Target="media/image5.png"/><Relationship Id="rId63" Type="http://schemas.openxmlformats.org/officeDocument/2006/relationships/footer" Target="footer6.xml"/><Relationship Id="rId64" Type="http://schemas.openxmlformats.org/officeDocument/2006/relationships/header" Target="header5.xml"/><Relationship Id="rId65" Type="http://schemas.openxmlformats.org/officeDocument/2006/relationships/footer" Target="footer7.xml"/><Relationship Id="rId66" Type="http://schemas.openxmlformats.org/officeDocument/2006/relationships/fontTable" Target="fontTable.xml"/><Relationship Id="rId67" Type="http://schemas.openxmlformats.org/officeDocument/2006/relationships/theme" Target="theme/theme1.xml"/><Relationship Id="rId68" Type="http://schemas.microsoft.com/office/2016/09/relationships/commentsIds" Target="commentsIds.xml"/><Relationship Id="rId50" Type="http://schemas.openxmlformats.org/officeDocument/2006/relationships/header" Target="header3.xml"/><Relationship Id="rId51" Type="http://schemas.openxmlformats.org/officeDocument/2006/relationships/footer" Target="footer5.xml"/><Relationship Id="rId52" Type="http://schemas.openxmlformats.org/officeDocument/2006/relationships/hyperlink" Target="https://www.austlii.edu.au/cgi-bin/viewdoc/au/cases/vic/VSCA/2018/259.html" TargetMode="External"/><Relationship Id="rId53" Type="http://schemas.openxmlformats.org/officeDocument/2006/relationships/hyperlink" Target="https://www.austlii.edu.au/cgi-bin/viewdoc/au/cases/vic/VSC/2018/746.html" TargetMode="External"/><Relationship Id="rId54" Type="http://schemas.openxmlformats.org/officeDocument/2006/relationships/hyperlink" Target="https://www.austlii.edu.au/cgi-bin/viewdoc/au/cases/vic/VSC/2018/387.html" TargetMode="External"/><Relationship Id="rId55" Type="http://schemas.openxmlformats.org/officeDocument/2006/relationships/hyperlink" Target="http://www.austlii.edu.au/cgi-bin/viewdoc/au/cases/vic/VCAT/2018/53.html?context=1;query=victorian%20charter%20of%20human%20rights;mask_path=au/cases/vic/VSC+au/cases/vic/VSCA+au/cases/vic/VicCorC+au/cases/vic/VCC+au/cases/vic/VMC+au/cases/vic/VicRp+au/cases/vic/VicLawRp+au/cases/vic/VicLawTLegO+au/cases/vic/VicWABWRp+au/cases/vic/VicWWABRp+au/cases/vic/VicWWRp+au/cases/vic/VicSC+au/cases/vic/VicAATRp+au/cases/vic/VBAB+au/cases/vic/VDPB+au/cases/vic/VHerCl+au/cases/vic/VMPB+au/cases/vic/VMPBPSP+au/cases/vic/VPrivCmr+au/cases/vic/VPYRB+au/cases/vic/VicPABRp+au/cases/vic/PPV+au/cases/vic/VPSRB+au/cases/vic/VCAT+au/cases/vic/aat+au/cases/vic/VADT+au/cases/vic/VCGLR+au/cases/vic/VDBT+au/cases/vic/VLSC+au/cases/vic/VLPT+au/cases/vic/VMHRB+au/cases/vic/VMHT+au/cases/vic/VRAT" TargetMode="External"/><Relationship Id="rId56" Type="http://schemas.openxmlformats.org/officeDocument/2006/relationships/hyperlink" Target="http://www.austlii.edu.au/cgi-bin/viewdoc/au/cases/vic/VCAT/2018/866.html?context=1;query=victorian%20charter%20of%20human%20rights;mask_path=au/cases/vic/VSC+au/cases/vic/VSCA+au/cases/vic/VicCorC+au/cases/vic/VCC+au/cases/vic/VMC+au/cases/vic/VicRp+au/cases/vic/VicLawRp+au/cases/vic/VicLawTLegO+au/cases/vic/VicWABWRp+au/cases/vic/VicWWABRp+au/cases/vic/VicWWRp+au/cases/vic/VicSC+au/cases/vic/VicAATRp+au/cases/vic/VBAB+au/cases/vic/VDPB+au/cases/vic/VHerCl+au/cases/vic/VMPB+au/cases/vic/VMPBPSP+au/cases/vic/VPrivCmr+au/cases/vic/VPYRB+au/cases/vic/VicPABRp+au/cases/vic/PPV+au/cases/vic/VPSRB+au/cases/vic/VCAT+au/cases/vic/aat+au/cases/vic/VADT+au/cases/vic/VCGLR+au/cases/vic/VDBT+au/cases/vic/VLSC+au/cases/vic/VLPT+au/cases/vic/VMHRB+au/cases/vic/VMHT+au/cases/vic/VRAT" TargetMode="External"/><Relationship Id="rId57" Type="http://schemas.openxmlformats.org/officeDocument/2006/relationships/hyperlink" Target="http://www.austlii.edu.au/cgi-bin/viewdoc/au/cases/vic/VCAT/2018/1320.html?context=1;query=victorian%20charter%20of%20human%20rights;mask_path=au/cases/vic/VSC+au/cases/vic/VSCA+au/cases/vic/VicCorC+au/cases/vic/VCC+au/cases/vic/VMC+au/cases/vic/VicRp+au/cases/vic/VicLawRp+au/cases/vic/VicLawTLegO+au/cases/vic/VicWABWRp+au/cases/vic/VicWWABRp+au/cases/vic/VicWWRp+au/cases/vic/VicSC+au/cases/vic/VicAATRp+au/cases/vic/VBAB+au/cases/vic/VDPB+au/cases/vic/VHerCl+au/cases/vic/VMPB+au/cases/vic/VMPBPSP+au/cases/vic/VPrivCmr+au/cases/vic/VPYRB+au/cases/vic/VicPABRp+au/cases/vic/PPV+au/cases/vic/VPSRB+au/cases/vic/VCAT+au/cases/vic/aat+au/cases/vic/VADT+au/cases/vic/VCGLR+au/cases/vic/VDBT+au/cases/vic/VLSC+au/cases/vic/VLPT+au/cases/vic/VMHRB+au/cases/vic/VMHT+au/cases/vic/VRAT" TargetMode="External"/><Relationship Id="rId58" Type="http://schemas.openxmlformats.org/officeDocument/2006/relationships/hyperlink" Target="mailto:enquiries@veohrc.vic.gov.au" TargetMode="External"/><Relationship Id="rId59" Type="http://schemas.openxmlformats.org/officeDocument/2006/relationships/hyperlink" Target="file:///\\vmware-host\Shared%20Folders\Projects%20(Clients)\VEOHRC\1338.%20MS%20Word%20Report%20Template\Modified%20Documents\humanrightscommission.vic.gov.au" TargetMode="External"/><Relationship Id="rId40" Type="http://schemas.openxmlformats.org/officeDocument/2006/relationships/image" Target="media/image26.emf"/><Relationship Id="rId41" Type="http://schemas.openxmlformats.org/officeDocument/2006/relationships/image" Target="media/image27.emf"/><Relationship Id="rId42" Type="http://schemas.openxmlformats.org/officeDocument/2006/relationships/image" Target="media/image28.emf"/><Relationship Id="rId43" Type="http://schemas.openxmlformats.org/officeDocument/2006/relationships/image" Target="media/image29.emf"/><Relationship Id="rId44" Type="http://schemas.openxmlformats.org/officeDocument/2006/relationships/image" Target="media/image30.emf"/><Relationship Id="rId45" Type="http://schemas.openxmlformats.org/officeDocument/2006/relationships/hyperlink" Target="https://www.austlii.edu.au/cgi-bin/viewdoc/au/legis/vic/consol_act/cpa2009188/s24.html" TargetMode="External"/><Relationship Id="rId46" Type="http://schemas.openxmlformats.org/officeDocument/2006/relationships/hyperlink" Target="https://www.austlii.edu.au/cgi-bin/viewdoc/au/legis/vic/consol_act/mha2014128/" TargetMode="External"/><Relationship Id="rId47" Type="http://schemas.openxmlformats.org/officeDocument/2006/relationships/hyperlink" Target="https://www.austlii.edu.au/cgi-bin/viewdoc/au/legis/vic/consol_act/mha2014128/" TargetMode="External"/><Relationship Id="rId48" Type="http://schemas.openxmlformats.org/officeDocument/2006/relationships/header" Target="header2.xml"/><Relationship Id="rId4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30" Type="http://schemas.openxmlformats.org/officeDocument/2006/relationships/image" Target="media/image16.emf"/><Relationship Id="rId31" Type="http://schemas.openxmlformats.org/officeDocument/2006/relationships/image" Target="media/image17.emf"/><Relationship Id="rId32" Type="http://schemas.openxmlformats.org/officeDocument/2006/relationships/image" Target="media/image18.emf"/><Relationship Id="rId33" Type="http://schemas.openxmlformats.org/officeDocument/2006/relationships/image" Target="media/image19.emf"/><Relationship Id="rId34" Type="http://schemas.openxmlformats.org/officeDocument/2006/relationships/image" Target="media/image20.emf"/><Relationship Id="rId35" Type="http://schemas.openxmlformats.org/officeDocument/2006/relationships/image" Target="media/image21.emf"/><Relationship Id="rId36" Type="http://schemas.openxmlformats.org/officeDocument/2006/relationships/image" Target="media/image22.emf"/><Relationship Id="rId37" Type="http://schemas.openxmlformats.org/officeDocument/2006/relationships/image" Target="media/image23.emf"/><Relationship Id="rId38" Type="http://schemas.openxmlformats.org/officeDocument/2006/relationships/image" Target="media/image24.emf"/><Relationship Id="rId39" Type="http://schemas.openxmlformats.org/officeDocument/2006/relationships/image" Target="media/image25.emf"/><Relationship Id="rId20" Type="http://schemas.openxmlformats.org/officeDocument/2006/relationships/image" Target="media/image6.emf"/><Relationship Id="rId21" Type="http://schemas.openxmlformats.org/officeDocument/2006/relationships/image" Target="media/image7.emf"/><Relationship Id="rId22" Type="http://schemas.openxmlformats.org/officeDocument/2006/relationships/image" Target="media/image8.emf"/><Relationship Id="rId23" Type="http://schemas.openxmlformats.org/officeDocument/2006/relationships/image" Target="media/image9.emf"/><Relationship Id="rId24" Type="http://schemas.openxmlformats.org/officeDocument/2006/relationships/image" Target="media/image10.emf"/><Relationship Id="rId25" Type="http://schemas.openxmlformats.org/officeDocument/2006/relationships/image" Target="media/image11.emf"/><Relationship Id="rId26" Type="http://schemas.openxmlformats.org/officeDocument/2006/relationships/image" Target="media/image12.emf"/><Relationship Id="rId27" Type="http://schemas.openxmlformats.org/officeDocument/2006/relationships/image" Target="media/image13.emf"/><Relationship Id="rId28" Type="http://schemas.openxmlformats.org/officeDocument/2006/relationships/image" Target="media/image14.emf"/><Relationship Id="rId29" Type="http://schemas.openxmlformats.org/officeDocument/2006/relationships/image" Target="media/image15.emf"/><Relationship Id="rId60" Type="http://schemas.openxmlformats.org/officeDocument/2006/relationships/hyperlink" Target="http://www.twitter.com/veohrc" TargetMode="External"/><Relationship Id="rId61" Type="http://schemas.openxmlformats.org/officeDocument/2006/relationships/hyperlink" Target="http://www.facebook.com/veohrc" TargetMode="External"/><Relationship Id="rId62" Type="http://schemas.openxmlformats.org/officeDocument/2006/relationships/header" Target="header4.xm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32.png"/></Relationships>
</file>

<file path=word/_rels/footer7.xml.rels><?xml version="1.0" encoding="UTF-8" standalone="yes"?>
<Relationships xmlns="http://schemas.openxmlformats.org/package/2006/relationships"><Relationship Id="rId1" Type="http://schemas.openxmlformats.org/officeDocument/2006/relationships/image" Target="media/image32.png"/></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vic.gov.au" TargetMode="External"/><Relationship Id="rId4" Type="http://schemas.openxmlformats.org/officeDocument/2006/relationships/hyperlink" Target="http://www.legislation.vic.gov.au" TargetMode="External"/><Relationship Id="rId5" Type="http://schemas.openxmlformats.org/officeDocument/2006/relationships/hyperlink" Target="http://www.hcourt.gov.au/cases/case_m2-2017" TargetMode="External"/><Relationship Id="rId6" Type="http://schemas.openxmlformats.org/officeDocument/2006/relationships/hyperlink" Target="http://www.hcourt.gov.au/cases/case_m2-2017" TargetMode="External"/><Relationship Id="rId7" Type="http://schemas.openxmlformats.org/officeDocument/2006/relationships/hyperlink" Target="http://www.hcourt.gov.au/cases/case_m2-2017" TargetMode="External"/><Relationship Id="rId8" Type="http://schemas.openxmlformats.org/officeDocument/2006/relationships/hyperlink" Target="https://www.parliament.vic.gov.au/sarc/publications" TargetMode="External"/><Relationship Id="rId9" Type="http://schemas.openxmlformats.org/officeDocument/2006/relationships/hyperlink" Target="https://www.parliament.vic.gov.au/sarc/article/916" TargetMode="External"/><Relationship Id="rId10" Type="http://schemas.openxmlformats.org/officeDocument/2006/relationships/hyperlink" Target="https://www.parliament.vic.gov.au/sarc/article/916" TargetMode="External"/><Relationship Id="rId11" Type="http://schemas.openxmlformats.org/officeDocument/2006/relationships/hyperlink" Target="https://www.parliament.vic.gov.au/sarc/article/916" TargetMode="External"/><Relationship Id="rId1" Type="http://schemas.openxmlformats.org/officeDocument/2006/relationships/hyperlink" Target="http://www.legislation.vic.gov.au" TargetMode="External"/><Relationship Id="rId2" Type="http://schemas.openxmlformats.org/officeDocument/2006/relationships/hyperlink" Target="http://www.legislation.v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1.png"/></Relationships>
</file>

<file path=word/_rels/header5.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9181-D16E-AB46-A0F6-359FB71D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108</Pages>
  <Words>32723</Words>
  <Characters>186524</Characters>
  <Application>Microsoft Macintosh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 Y Shmerling (DJR)</dc:creator>
  <dc:description>Template by Red Pony_x000d_
www.redpony.com.au</dc:description>
  <cp:lastModifiedBy>Patrick O'Brien</cp:lastModifiedBy>
  <cp:revision>6</cp:revision>
  <cp:lastPrinted>2019-10-14T03:47:00Z</cp:lastPrinted>
  <dcterms:created xsi:type="dcterms:W3CDTF">2019-10-22T04:35:00Z</dcterms:created>
  <dcterms:modified xsi:type="dcterms:W3CDTF">2019-11-12T03:30:00Z</dcterms:modified>
</cp:coreProperties>
</file>