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57AAA" w14:textId="2E22A574" w:rsidR="009076EA" w:rsidRDefault="0049703E" w:rsidP="00C948E5">
      <w:pPr>
        <w:pStyle w:val="Title"/>
      </w:pPr>
      <w:bookmarkStart w:id="0" w:name="_Hlk31368383"/>
      <w:r>
        <w:t>S</w:t>
      </w:r>
      <w:r w:rsidR="00F65FB2" w:rsidRPr="00F65FB2">
        <w:rPr>
          <w:noProof/>
        </w:rPr>
        <w:drawing>
          <wp:anchor distT="0" distB="0" distL="114300" distR="114300" simplePos="0" relativeHeight="251658240" behindDoc="0" locked="0" layoutInCell="1" allowOverlap="1" wp14:anchorId="15309CF9" wp14:editId="2CF29551">
            <wp:simplePos x="0" y="0"/>
            <wp:positionH relativeFrom="column">
              <wp:posOffset>-20380</wp:posOffset>
            </wp:positionH>
            <wp:positionV relativeFrom="paragraph">
              <wp:posOffset>-565361</wp:posOffset>
            </wp:positionV>
            <wp:extent cx="3178175" cy="896620"/>
            <wp:effectExtent l="0" t="0" r="3175" b="0"/>
            <wp:wrapNone/>
            <wp:docPr id="3" name="Picture 3"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8175" cy="896620"/>
                    </a:xfrm>
                    <a:prstGeom prst="rect">
                      <a:avLst/>
                    </a:prstGeom>
                    <a:noFill/>
                    <a:ln>
                      <a:noFill/>
                    </a:ln>
                  </pic:spPr>
                </pic:pic>
              </a:graphicData>
            </a:graphic>
            <wp14:sizeRelH relativeFrom="page">
              <wp14:pctWidth>0</wp14:pctWidth>
            </wp14:sizeRelH>
            <wp14:sizeRelV relativeFrom="page">
              <wp14:pctHeight>0</wp14:pctHeight>
            </wp14:sizeRelV>
          </wp:anchor>
        </w:drawing>
      </w:r>
      <w:r>
        <w:t>ubmission to the Parliamentary Inquiry into Anti-Vilification Protections</w:t>
      </w:r>
    </w:p>
    <w:p w14:paraId="3C5FC478" w14:textId="2A84DA3D" w:rsidR="00FC4611" w:rsidRPr="00BC1B34" w:rsidRDefault="0049703E" w:rsidP="00902D12">
      <w:pPr>
        <w:pStyle w:val="Subtitle"/>
        <w:sectPr w:rsidR="00FC4611" w:rsidRPr="00BC1B34" w:rsidSect="00F65FB2">
          <w:footerReference w:type="default" r:id="rId12"/>
          <w:headerReference w:type="first" r:id="rId13"/>
          <w:footerReference w:type="first" r:id="rId14"/>
          <w:endnotePr>
            <w:numFmt w:val="decimal"/>
          </w:endnotePr>
          <w:pgSz w:w="11907" w:h="16839" w:code="9"/>
          <w:pgMar w:top="1440" w:right="873" w:bottom="1440" w:left="873" w:header="720" w:footer="720" w:gutter="0"/>
          <w:pgNumType w:start="0"/>
          <w:cols w:space="720"/>
          <w:titlePg/>
          <w:docGrid w:linePitch="360"/>
        </w:sectPr>
      </w:pPr>
      <w:r>
        <w:t>31 January 2020</w:t>
      </w:r>
      <w:r w:rsidR="00902D12">
        <w:t xml:space="preserve"> </w:t>
      </w:r>
    </w:p>
    <w:p w14:paraId="4100FAF9" w14:textId="77777777" w:rsidR="00902D12" w:rsidRDefault="00902D12" w:rsidP="006B647C">
      <w:pPr>
        <w:pStyle w:val="BodyText"/>
      </w:pPr>
      <w:r>
        <w:rPr>
          <w:noProof/>
          <w:lang w:eastAsia="en-GB"/>
        </w:rPr>
        <w:lastRenderedPageBreak/>
        <w:drawing>
          <wp:inline distT="0" distB="0" distL="0" distR="0" wp14:anchorId="235F29F6" wp14:editId="37B3E2F5">
            <wp:extent cx="2156460" cy="586740"/>
            <wp:effectExtent l="0" t="0" r="0" b="3810"/>
            <wp:docPr id="12" name="Picture 1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14:paraId="5DA8F1F4" w14:textId="77777777" w:rsidR="00530E9F" w:rsidRDefault="00530E9F" w:rsidP="00902D12"/>
    <w:p w14:paraId="35571321" w14:textId="3232E5CC" w:rsidR="00902D12" w:rsidRDefault="006B647C" w:rsidP="00DD2179">
      <w:pPr>
        <w:pStyle w:val="BodyText"/>
      </w:pPr>
      <w:r>
        <w:t xml:space="preserve">Published by the Victorian Equal Opportunity and Human Rights Commission, Level 3, 204 Lygon Street, Carlton, Victoria 3053. </w:t>
      </w:r>
      <w:r w:rsidR="0078087E">
        <w:t xml:space="preserve">January 2020. </w:t>
      </w:r>
    </w:p>
    <w:p w14:paraId="6885ABA2" w14:textId="77777777" w:rsidR="00902D12" w:rsidRDefault="006B647C" w:rsidP="006B647C">
      <w:pPr>
        <w:pStyle w:val="BodyText"/>
      </w:pPr>
      <w:r w:rsidRPr="00902D12">
        <w:rPr>
          <w:rStyle w:val="Characterbold"/>
        </w:rPr>
        <w:t>Contact us</w:t>
      </w:r>
    </w:p>
    <w:p w14:paraId="6B164D1A" w14:textId="77777777" w:rsidR="00AF44F2" w:rsidRDefault="006B647C" w:rsidP="006B647C">
      <w:pPr>
        <w:pStyle w:val="BodyText"/>
        <w:spacing w:before="120" w:line="260" w:lineRule="atLeast"/>
      </w:pPr>
      <w:r>
        <w:t xml:space="preserve">Enquiry Line </w:t>
      </w:r>
      <w:r>
        <w:tab/>
      </w:r>
      <w:r w:rsidR="00902D12">
        <w:tab/>
      </w:r>
      <w:r w:rsidR="00902D12">
        <w:tab/>
      </w:r>
      <w:r>
        <w:t>1300 292 153 or (03) 9032 3583</w:t>
      </w:r>
      <w:r w:rsidR="00902D12">
        <w:br/>
      </w:r>
      <w:r>
        <w:t>Fax</w:t>
      </w:r>
      <w:r>
        <w:tab/>
      </w:r>
      <w:r w:rsidR="00902D12">
        <w:tab/>
      </w:r>
      <w:r w:rsidR="00902D12">
        <w:tab/>
      </w:r>
      <w:r w:rsidR="00902D12">
        <w:tab/>
      </w:r>
      <w:r>
        <w:t>1300 891 858</w:t>
      </w:r>
      <w:r w:rsidR="00902D12">
        <w:br/>
      </w:r>
      <w:r>
        <w:t>Hearing impaired (TTY)</w:t>
      </w:r>
      <w:r w:rsidR="00902D12">
        <w:tab/>
      </w:r>
      <w:r>
        <w:t>1300 289 621</w:t>
      </w:r>
      <w:r w:rsidR="00902D12">
        <w:br/>
      </w:r>
      <w:r>
        <w:t>Interpreters</w:t>
      </w:r>
      <w:r>
        <w:tab/>
      </w:r>
      <w:r w:rsidR="00902D12">
        <w:tab/>
      </w:r>
      <w:r w:rsidR="00902D12">
        <w:tab/>
      </w:r>
      <w:r>
        <w:t>1300 152 494</w:t>
      </w:r>
      <w:r w:rsidR="00902D12">
        <w:br/>
      </w:r>
      <w:r>
        <w:t>Email</w:t>
      </w:r>
      <w:r>
        <w:tab/>
      </w:r>
      <w:r w:rsidR="00902D12">
        <w:tab/>
      </w:r>
      <w:r w:rsidR="00902D12">
        <w:tab/>
      </w:r>
      <w:r w:rsidR="00902D12">
        <w:tab/>
      </w:r>
      <w:hyperlink r:id="rId16" w:history="1">
        <w:r w:rsidR="00902D12" w:rsidRPr="000B6AEF">
          <w:rPr>
            <w:rStyle w:val="Hyperlink"/>
          </w:rPr>
          <w:t>enquiries@veohrc.vic.gov.au</w:t>
        </w:r>
      </w:hyperlink>
      <w:r w:rsidR="00902D12">
        <w:br/>
      </w:r>
      <w:r>
        <w:t>Website</w:t>
      </w:r>
      <w:r>
        <w:tab/>
      </w:r>
      <w:r w:rsidR="00AF44F2">
        <w:tab/>
      </w:r>
      <w:r w:rsidR="00AF44F2">
        <w:tab/>
      </w:r>
      <w:hyperlink r:id="rId17" w:history="1">
        <w:r w:rsidRPr="00AF44F2">
          <w:rPr>
            <w:rStyle w:val="Hyperlink"/>
          </w:rPr>
          <w:t>humanrightscommission.vic.gov.au</w:t>
        </w:r>
      </w:hyperlink>
    </w:p>
    <w:p w14:paraId="5198C3D3" w14:textId="151E176F" w:rsidR="00902D12" w:rsidRDefault="004A365D" w:rsidP="006B647C">
      <w:pPr>
        <w:pStyle w:val="BodyText"/>
      </w:pPr>
      <w:r>
        <w:t>Submission to the Parliamentary Inquiry into Anti-Vilification Protections</w:t>
      </w:r>
    </w:p>
    <w:p w14:paraId="751EE507" w14:textId="77777777" w:rsidR="007A48E1" w:rsidRPr="007A48E1" w:rsidRDefault="007A48E1" w:rsidP="007A48E1">
      <w:pPr>
        <w:pStyle w:val="BodyText"/>
      </w:pPr>
      <w:r>
        <w:t>The Victorian Equal Opportunity and Human Rights Commission acknowledges and celebrates the Traditional Ow</w:t>
      </w:r>
      <w:r w:rsidRPr="007A48E1">
        <w:t>ners of the lands throughout Victoria and we pay our respects to their Elders, past and present.</w:t>
      </w:r>
    </w:p>
    <w:p w14:paraId="3D453FB2" w14:textId="3AB6866E" w:rsidR="007A48E1" w:rsidRPr="007A48E1" w:rsidRDefault="007A48E1" w:rsidP="00AE0B3D">
      <w:pPr>
        <w:pStyle w:val="BodyText"/>
      </w:pPr>
      <w:r>
        <w:t>This work</w:t>
      </w:r>
      <w:r w:rsidRPr="007A48E1">
        <w:t xml:space="preserve">, </w:t>
      </w:r>
      <w:r w:rsidR="00AE0B3D" w:rsidRPr="00AE0B3D">
        <w:t>Submission to the Parliamentary Inquiry into Anti-Vilification Protections</w:t>
      </w:r>
      <w:r w:rsidRPr="007A48E1">
        <w:t xml:space="preserve">, is licenced under a Creative Common Attribution 4.0 licence. You are free to re-use the work under that licence, on the condition you credit the Victorian Equal Opportunity and Human Rights Commission as author, indicate if changes were made and comply with the other licence terms. The licence does not apply to any branding, including the Victorian Equal Opportunity and Human Rights Commission logo. </w:t>
      </w:r>
    </w:p>
    <w:p w14:paraId="24A956C6" w14:textId="77777777" w:rsidR="007A48E1" w:rsidRPr="007A48E1" w:rsidRDefault="007A48E1" w:rsidP="007A48E1">
      <w:pPr>
        <w:pStyle w:val="BodyText"/>
      </w:pPr>
      <w:r w:rsidRPr="007A48E1">
        <w:rPr>
          <w:noProof/>
        </w:rPr>
        <w:drawing>
          <wp:inline distT="0" distB="0" distL="0" distR="0" wp14:anchorId="3D38377E" wp14:editId="30B5C06E">
            <wp:extent cx="894080" cy="32131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4080" cy="321310"/>
                    </a:xfrm>
                    <a:prstGeom prst="rect">
                      <a:avLst/>
                    </a:prstGeom>
                    <a:noFill/>
                    <a:ln>
                      <a:noFill/>
                    </a:ln>
                  </pic:spPr>
                </pic:pic>
              </a:graphicData>
            </a:graphic>
          </wp:inline>
        </w:drawing>
      </w:r>
    </w:p>
    <w:p w14:paraId="0F72ABDF" w14:textId="77777777" w:rsidR="007A48E1" w:rsidRPr="007A48E1" w:rsidRDefault="007A48E1" w:rsidP="007A48E1">
      <w:pPr>
        <w:pStyle w:val="BodyText"/>
      </w:pPr>
      <w:r>
        <w:t>Please give attribution to: © State of Victoria (Victorian Equal Opportunity and Human Rights Commission) 2020</w:t>
      </w:r>
    </w:p>
    <w:p w14:paraId="6DD743B2" w14:textId="70ECE74B" w:rsidR="006B647C" w:rsidRDefault="006B647C" w:rsidP="006B647C">
      <w:pPr>
        <w:pStyle w:val="BodyText"/>
        <w:spacing w:before="120" w:line="260" w:lineRule="atLeast"/>
      </w:pPr>
      <w:r w:rsidRPr="00AF44F2">
        <w:rPr>
          <w:rStyle w:val="Characterbold"/>
        </w:rPr>
        <w:t>Accessible formats</w:t>
      </w:r>
      <w:r>
        <w:t xml:space="preserve"> </w:t>
      </w:r>
    </w:p>
    <w:p w14:paraId="764CF1CE" w14:textId="77777777" w:rsidR="006B647C" w:rsidRDefault="006B647C" w:rsidP="006B647C">
      <w:pPr>
        <w:pStyle w:val="BodyText"/>
        <w:spacing w:before="120" w:line="260" w:lineRule="atLeast"/>
      </w:pPr>
      <w:r>
        <w:t xml:space="preserve">This document is available for downloading from our website at </w:t>
      </w:r>
      <w:hyperlink r:id="rId19" w:history="1">
        <w:r w:rsidRPr="00AF44F2">
          <w:rPr>
            <w:rStyle w:val="Hyperlink"/>
          </w:rPr>
          <w:t>humanrightscommission.vic.gov.au/resources</w:t>
        </w:r>
      </w:hyperlink>
      <w:r>
        <w:t xml:space="preserve"> in PDF and RTF. Please contact the Commission if you require other accessible formats.</w:t>
      </w:r>
    </w:p>
    <w:p w14:paraId="2A65F1B9" w14:textId="77777777" w:rsidR="006B647C" w:rsidRPr="005639EA" w:rsidRDefault="006B647C" w:rsidP="006B647C">
      <w:pPr>
        <w:pStyle w:val="BodyText"/>
        <w:spacing w:before="120" w:line="260" w:lineRule="atLeast"/>
        <w:rPr>
          <w:rStyle w:val="Characterbold"/>
        </w:rPr>
      </w:pPr>
      <w:r w:rsidRPr="005639EA">
        <w:rPr>
          <w:rStyle w:val="Characterbold"/>
        </w:rPr>
        <w:t xml:space="preserve">Privacy </w:t>
      </w:r>
    </w:p>
    <w:p w14:paraId="23F71ED9" w14:textId="77777777" w:rsidR="006B647C" w:rsidRDefault="006B647C" w:rsidP="006B647C">
      <w:pPr>
        <w:pStyle w:val="BodyText"/>
        <w:spacing w:before="120" w:line="260" w:lineRule="atLeast"/>
      </w:pPr>
      <w:r>
        <w:t>The Commission complies with Victorian privacy laws and the confidentiality provisions of the Equal Opportunity Act. Our privacy policy is available online at humanrightscommission.vic.gov.au/privacy or by contacting us.</w:t>
      </w:r>
    </w:p>
    <w:p w14:paraId="5F7F5ED7" w14:textId="77777777" w:rsidR="00DF38C8" w:rsidRDefault="006B647C" w:rsidP="006B647C">
      <w:pPr>
        <w:pStyle w:val="BodyText"/>
        <w:spacing w:before="120" w:line="260" w:lineRule="atLeast"/>
      </w:pPr>
      <w:r w:rsidRPr="005639EA">
        <w:rPr>
          <w:rStyle w:val="Characterbold"/>
        </w:rPr>
        <w:t>Disclaimer</w:t>
      </w:r>
      <w:r>
        <w:t xml:space="preserve"> </w:t>
      </w:r>
    </w:p>
    <w:p w14:paraId="4612F40C" w14:textId="5E56F942" w:rsidR="006B647C" w:rsidRDefault="006B647C" w:rsidP="006B647C">
      <w:pPr>
        <w:pStyle w:val="BodyText"/>
        <w:spacing w:before="120" w:line="260" w:lineRule="atLeast"/>
      </w:pPr>
      <w:r>
        <w:t xml:space="preserve">This </w:t>
      </w:r>
      <w:r w:rsidR="00DF38C8">
        <w:t>submission</w:t>
      </w:r>
      <w:r>
        <w:t xml:space="preserve"> is intended as</w:t>
      </w:r>
      <w:r w:rsidR="00DF38C8">
        <w:t xml:space="preserve"> information </w:t>
      </w:r>
      <w:r>
        <w:t>only. It is not a substitute for legal advice.</w:t>
      </w:r>
    </w:p>
    <w:p w14:paraId="286CD698" w14:textId="6699BE42" w:rsidR="000A5507" w:rsidRDefault="000A5507" w:rsidP="000A5507">
      <w:pPr>
        <w:pStyle w:val="BodyText"/>
      </w:pPr>
      <w:r>
        <w:br w:type="page"/>
      </w:r>
    </w:p>
    <w:p w14:paraId="1C7D5A1C" w14:textId="77777777" w:rsidR="00452A9D" w:rsidRDefault="00452A9D" w:rsidP="00104750">
      <w:pPr>
        <w:pStyle w:val="TOCHeading"/>
      </w:pPr>
      <w:r>
        <w:lastRenderedPageBreak/>
        <w:t>Contents</w:t>
      </w:r>
    </w:p>
    <w:p w14:paraId="26C90B69" w14:textId="45768C95" w:rsidR="0053323C" w:rsidRDefault="002F6C8C">
      <w:pPr>
        <w:pStyle w:val="TOC1"/>
        <w:rPr>
          <w:rFonts w:asciiTheme="minorHAnsi" w:eastAsiaTheme="minorEastAsia" w:hAnsiTheme="minorHAnsi"/>
          <w:b w:val="0"/>
          <w:noProof/>
          <w:sz w:val="22"/>
          <w:szCs w:val="22"/>
          <w:lang w:eastAsia="en-AU"/>
        </w:rPr>
      </w:pPr>
      <w:r>
        <w:fldChar w:fldCharType="begin"/>
      </w:r>
      <w:r>
        <w:instrText xml:space="preserve"> TOC \o "2-2" \h \z \t "Heading 1,1,Appendix Heading 1,4" </w:instrText>
      </w:r>
      <w:r>
        <w:fldChar w:fldCharType="separate"/>
      </w:r>
      <w:hyperlink w:anchor="_Toc31392324" w:history="1">
        <w:r w:rsidR="0053323C" w:rsidRPr="004E71EC">
          <w:rPr>
            <w:rStyle w:val="Hyperlink"/>
            <w:noProof/>
          </w:rPr>
          <w:t>1.</w:t>
        </w:r>
        <w:r w:rsidR="0053323C">
          <w:rPr>
            <w:rFonts w:asciiTheme="minorHAnsi" w:eastAsiaTheme="minorEastAsia" w:hAnsiTheme="minorHAnsi"/>
            <w:b w:val="0"/>
            <w:noProof/>
            <w:sz w:val="22"/>
            <w:szCs w:val="22"/>
            <w:lang w:eastAsia="en-AU"/>
          </w:rPr>
          <w:tab/>
        </w:r>
        <w:r w:rsidR="0053323C" w:rsidRPr="004E71EC">
          <w:rPr>
            <w:rStyle w:val="Hyperlink"/>
            <w:noProof/>
          </w:rPr>
          <w:t>Executive summary</w:t>
        </w:r>
        <w:r w:rsidR="0053323C">
          <w:rPr>
            <w:noProof/>
            <w:webHidden/>
          </w:rPr>
          <w:tab/>
        </w:r>
        <w:r w:rsidR="0053323C">
          <w:rPr>
            <w:noProof/>
            <w:webHidden/>
          </w:rPr>
          <w:fldChar w:fldCharType="begin"/>
        </w:r>
        <w:r w:rsidR="0053323C">
          <w:rPr>
            <w:noProof/>
            <w:webHidden/>
          </w:rPr>
          <w:instrText xml:space="preserve"> PAGEREF _Toc31392324 \h </w:instrText>
        </w:r>
        <w:r w:rsidR="0053323C">
          <w:rPr>
            <w:noProof/>
            <w:webHidden/>
          </w:rPr>
        </w:r>
        <w:r w:rsidR="0053323C">
          <w:rPr>
            <w:noProof/>
            <w:webHidden/>
          </w:rPr>
          <w:fldChar w:fldCharType="separate"/>
        </w:r>
        <w:r w:rsidR="0053323C">
          <w:rPr>
            <w:noProof/>
            <w:webHidden/>
          </w:rPr>
          <w:t>4</w:t>
        </w:r>
        <w:r w:rsidR="0053323C">
          <w:rPr>
            <w:noProof/>
            <w:webHidden/>
          </w:rPr>
          <w:fldChar w:fldCharType="end"/>
        </w:r>
      </w:hyperlink>
    </w:p>
    <w:p w14:paraId="09C78FE4" w14:textId="282172E9" w:rsidR="0053323C" w:rsidRDefault="00B7364D">
      <w:pPr>
        <w:pStyle w:val="TOC1"/>
        <w:rPr>
          <w:rFonts w:asciiTheme="minorHAnsi" w:eastAsiaTheme="minorEastAsia" w:hAnsiTheme="minorHAnsi"/>
          <w:b w:val="0"/>
          <w:noProof/>
          <w:sz w:val="22"/>
          <w:szCs w:val="22"/>
          <w:lang w:eastAsia="en-AU"/>
        </w:rPr>
      </w:pPr>
      <w:hyperlink w:anchor="_Toc31392325" w:history="1">
        <w:r w:rsidR="0053323C" w:rsidRPr="004E71EC">
          <w:rPr>
            <w:rStyle w:val="Hyperlink"/>
            <w:noProof/>
          </w:rPr>
          <w:t>2.</w:t>
        </w:r>
        <w:r w:rsidR="0053323C">
          <w:rPr>
            <w:rFonts w:asciiTheme="minorHAnsi" w:eastAsiaTheme="minorEastAsia" w:hAnsiTheme="minorHAnsi"/>
            <w:b w:val="0"/>
            <w:noProof/>
            <w:sz w:val="22"/>
            <w:szCs w:val="22"/>
            <w:lang w:eastAsia="en-AU"/>
          </w:rPr>
          <w:tab/>
        </w:r>
        <w:r w:rsidR="0053323C" w:rsidRPr="004E71EC">
          <w:rPr>
            <w:rStyle w:val="Hyperlink"/>
            <w:noProof/>
          </w:rPr>
          <w:t>Background</w:t>
        </w:r>
        <w:r w:rsidR="0053323C">
          <w:rPr>
            <w:noProof/>
            <w:webHidden/>
          </w:rPr>
          <w:tab/>
        </w:r>
        <w:r w:rsidR="0053323C">
          <w:rPr>
            <w:noProof/>
            <w:webHidden/>
          </w:rPr>
          <w:fldChar w:fldCharType="begin"/>
        </w:r>
        <w:r w:rsidR="0053323C">
          <w:rPr>
            <w:noProof/>
            <w:webHidden/>
          </w:rPr>
          <w:instrText xml:space="preserve"> PAGEREF _Toc31392325 \h </w:instrText>
        </w:r>
        <w:r w:rsidR="0053323C">
          <w:rPr>
            <w:noProof/>
            <w:webHidden/>
          </w:rPr>
        </w:r>
        <w:r w:rsidR="0053323C">
          <w:rPr>
            <w:noProof/>
            <w:webHidden/>
          </w:rPr>
          <w:fldChar w:fldCharType="separate"/>
        </w:r>
        <w:r w:rsidR="0053323C">
          <w:rPr>
            <w:noProof/>
            <w:webHidden/>
          </w:rPr>
          <w:t>13</w:t>
        </w:r>
        <w:r w:rsidR="0053323C">
          <w:rPr>
            <w:noProof/>
            <w:webHidden/>
          </w:rPr>
          <w:fldChar w:fldCharType="end"/>
        </w:r>
      </w:hyperlink>
    </w:p>
    <w:p w14:paraId="47E7E203" w14:textId="4E82008D" w:rsidR="0053323C" w:rsidRDefault="00B7364D">
      <w:pPr>
        <w:pStyle w:val="TOC2"/>
        <w:rPr>
          <w:rFonts w:asciiTheme="minorHAnsi" w:eastAsiaTheme="minorEastAsia" w:hAnsiTheme="minorHAnsi"/>
          <w:noProof/>
          <w:sz w:val="22"/>
          <w:szCs w:val="22"/>
          <w:lang w:eastAsia="en-AU"/>
        </w:rPr>
      </w:pPr>
      <w:hyperlink w:anchor="_Toc31392326" w:history="1">
        <w:r w:rsidR="0053323C" w:rsidRPr="004E71EC">
          <w:rPr>
            <w:rStyle w:val="Hyperlink"/>
            <w:noProof/>
          </w:rPr>
          <w:t>2.1</w:t>
        </w:r>
        <w:r w:rsidR="0053323C">
          <w:rPr>
            <w:rFonts w:asciiTheme="minorHAnsi" w:eastAsiaTheme="minorEastAsia" w:hAnsiTheme="minorHAnsi"/>
            <w:noProof/>
            <w:sz w:val="22"/>
            <w:szCs w:val="22"/>
            <w:lang w:eastAsia="en-AU"/>
          </w:rPr>
          <w:tab/>
        </w:r>
        <w:r w:rsidR="0053323C" w:rsidRPr="004E71EC">
          <w:rPr>
            <w:rStyle w:val="Hyperlink"/>
            <w:noProof/>
          </w:rPr>
          <w:t>About the Commission</w:t>
        </w:r>
        <w:r w:rsidR="0053323C">
          <w:rPr>
            <w:noProof/>
            <w:webHidden/>
          </w:rPr>
          <w:tab/>
        </w:r>
        <w:r w:rsidR="0053323C">
          <w:rPr>
            <w:noProof/>
            <w:webHidden/>
          </w:rPr>
          <w:fldChar w:fldCharType="begin"/>
        </w:r>
        <w:r w:rsidR="0053323C">
          <w:rPr>
            <w:noProof/>
            <w:webHidden/>
          </w:rPr>
          <w:instrText xml:space="preserve"> PAGEREF _Toc31392326 \h </w:instrText>
        </w:r>
        <w:r w:rsidR="0053323C">
          <w:rPr>
            <w:noProof/>
            <w:webHidden/>
          </w:rPr>
        </w:r>
        <w:r w:rsidR="0053323C">
          <w:rPr>
            <w:noProof/>
            <w:webHidden/>
          </w:rPr>
          <w:fldChar w:fldCharType="separate"/>
        </w:r>
        <w:r w:rsidR="0053323C">
          <w:rPr>
            <w:noProof/>
            <w:webHidden/>
          </w:rPr>
          <w:t>13</w:t>
        </w:r>
        <w:r w:rsidR="0053323C">
          <w:rPr>
            <w:noProof/>
            <w:webHidden/>
          </w:rPr>
          <w:fldChar w:fldCharType="end"/>
        </w:r>
      </w:hyperlink>
    </w:p>
    <w:p w14:paraId="25D6722C" w14:textId="7E2F2497" w:rsidR="0053323C" w:rsidRDefault="00B7364D">
      <w:pPr>
        <w:pStyle w:val="TOC2"/>
        <w:rPr>
          <w:rFonts w:asciiTheme="minorHAnsi" w:eastAsiaTheme="minorEastAsia" w:hAnsiTheme="minorHAnsi"/>
          <w:noProof/>
          <w:sz w:val="22"/>
          <w:szCs w:val="22"/>
          <w:lang w:eastAsia="en-AU"/>
        </w:rPr>
      </w:pPr>
      <w:hyperlink w:anchor="_Toc31392327" w:history="1">
        <w:r w:rsidR="0053323C" w:rsidRPr="004E71EC">
          <w:rPr>
            <w:rStyle w:val="Hyperlink"/>
            <w:noProof/>
          </w:rPr>
          <w:t>2.2</w:t>
        </w:r>
        <w:r w:rsidR="0053323C">
          <w:rPr>
            <w:rFonts w:asciiTheme="minorHAnsi" w:eastAsiaTheme="minorEastAsia" w:hAnsiTheme="minorHAnsi"/>
            <w:noProof/>
            <w:sz w:val="22"/>
            <w:szCs w:val="22"/>
            <w:lang w:eastAsia="en-AU"/>
          </w:rPr>
          <w:tab/>
        </w:r>
        <w:r w:rsidR="0053323C" w:rsidRPr="004E71EC">
          <w:rPr>
            <w:rStyle w:val="Hyperlink"/>
            <w:noProof/>
          </w:rPr>
          <w:t>About this submission</w:t>
        </w:r>
        <w:r w:rsidR="0053323C">
          <w:rPr>
            <w:noProof/>
            <w:webHidden/>
          </w:rPr>
          <w:tab/>
        </w:r>
        <w:r w:rsidR="0053323C">
          <w:rPr>
            <w:noProof/>
            <w:webHidden/>
          </w:rPr>
          <w:fldChar w:fldCharType="begin"/>
        </w:r>
        <w:r w:rsidR="0053323C">
          <w:rPr>
            <w:noProof/>
            <w:webHidden/>
          </w:rPr>
          <w:instrText xml:space="preserve"> PAGEREF _Toc31392327 \h </w:instrText>
        </w:r>
        <w:r w:rsidR="0053323C">
          <w:rPr>
            <w:noProof/>
            <w:webHidden/>
          </w:rPr>
        </w:r>
        <w:r w:rsidR="0053323C">
          <w:rPr>
            <w:noProof/>
            <w:webHidden/>
          </w:rPr>
          <w:fldChar w:fldCharType="separate"/>
        </w:r>
        <w:r w:rsidR="0053323C">
          <w:rPr>
            <w:noProof/>
            <w:webHidden/>
          </w:rPr>
          <w:t>15</w:t>
        </w:r>
        <w:r w:rsidR="0053323C">
          <w:rPr>
            <w:noProof/>
            <w:webHidden/>
          </w:rPr>
          <w:fldChar w:fldCharType="end"/>
        </w:r>
      </w:hyperlink>
    </w:p>
    <w:p w14:paraId="2EE6B6BC" w14:textId="7B34935B" w:rsidR="0053323C" w:rsidRDefault="00B7364D">
      <w:pPr>
        <w:pStyle w:val="TOC2"/>
        <w:rPr>
          <w:rFonts w:asciiTheme="minorHAnsi" w:eastAsiaTheme="minorEastAsia" w:hAnsiTheme="minorHAnsi"/>
          <w:noProof/>
          <w:sz w:val="22"/>
          <w:szCs w:val="22"/>
          <w:lang w:eastAsia="en-AU"/>
        </w:rPr>
      </w:pPr>
      <w:hyperlink w:anchor="_Toc31392328" w:history="1">
        <w:r w:rsidR="0053323C" w:rsidRPr="004E71EC">
          <w:rPr>
            <w:rStyle w:val="Hyperlink"/>
            <w:noProof/>
          </w:rPr>
          <w:t>2.3</w:t>
        </w:r>
        <w:r w:rsidR="0053323C">
          <w:rPr>
            <w:rFonts w:asciiTheme="minorHAnsi" w:eastAsiaTheme="minorEastAsia" w:hAnsiTheme="minorHAnsi"/>
            <w:noProof/>
            <w:sz w:val="22"/>
            <w:szCs w:val="22"/>
            <w:lang w:eastAsia="en-AU"/>
          </w:rPr>
          <w:tab/>
        </w:r>
        <w:r w:rsidR="0053323C" w:rsidRPr="004E71EC">
          <w:rPr>
            <w:rStyle w:val="Hyperlink"/>
            <w:noProof/>
          </w:rPr>
          <w:t>About the RRTA</w:t>
        </w:r>
        <w:r w:rsidR="0053323C">
          <w:rPr>
            <w:noProof/>
            <w:webHidden/>
          </w:rPr>
          <w:tab/>
        </w:r>
        <w:r w:rsidR="0053323C">
          <w:rPr>
            <w:noProof/>
            <w:webHidden/>
          </w:rPr>
          <w:fldChar w:fldCharType="begin"/>
        </w:r>
        <w:r w:rsidR="0053323C">
          <w:rPr>
            <w:noProof/>
            <w:webHidden/>
          </w:rPr>
          <w:instrText xml:space="preserve"> PAGEREF _Toc31392328 \h </w:instrText>
        </w:r>
        <w:r w:rsidR="0053323C">
          <w:rPr>
            <w:noProof/>
            <w:webHidden/>
          </w:rPr>
        </w:r>
        <w:r w:rsidR="0053323C">
          <w:rPr>
            <w:noProof/>
            <w:webHidden/>
          </w:rPr>
          <w:fldChar w:fldCharType="separate"/>
        </w:r>
        <w:r w:rsidR="0053323C">
          <w:rPr>
            <w:noProof/>
            <w:webHidden/>
          </w:rPr>
          <w:t>16</w:t>
        </w:r>
        <w:r w:rsidR="0053323C">
          <w:rPr>
            <w:noProof/>
            <w:webHidden/>
          </w:rPr>
          <w:fldChar w:fldCharType="end"/>
        </w:r>
      </w:hyperlink>
    </w:p>
    <w:p w14:paraId="63FD1F57" w14:textId="7CC0EFDE" w:rsidR="0053323C" w:rsidRDefault="00B7364D">
      <w:pPr>
        <w:pStyle w:val="TOC2"/>
        <w:rPr>
          <w:rFonts w:asciiTheme="minorHAnsi" w:eastAsiaTheme="minorEastAsia" w:hAnsiTheme="minorHAnsi"/>
          <w:noProof/>
          <w:sz w:val="22"/>
          <w:szCs w:val="22"/>
          <w:lang w:eastAsia="en-AU"/>
        </w:rPr>
      </w:pPr>
      <w:hyperlink w:anchor="_Toc31392329" w:history="1">
        <w:r w:rsidR="0053323C" w:rsidRPr="004E71EC">
          <w:rPr>
            <w:rStyle w:val="Hyperlink"/>
            <w:noProof/>
          </w:rPr>
          <w:t>2.4</w:t>
        </w:r>
        <w:r w:rsidR="0053323C">
          <w:rPr>
            <w:rFonts w:asciiTheme="minorHAnsi" w:eastAsiaTheme="minorEastAsia" w:hAnsiTheme="minorHAnsi"/>
            <w:noProof/>
            <w:sz w:val="22"/>
            <w:szCs w:val="22"/>
            <w:lang w:eastAsia="en-AU"/>
          </w:rPr>
          <w:tab/>
        </w:r>
        <w:r w:rsidR="0053323C" w:rsidRPr="004E71EC">
          <w:rPr>
            <w:rStyle w:val="Hyperlink"/>
            <w:noProof/>
          </w:rPr>
          <w:t>Enforcement of the RRTA</w:t>
        </w:r>
        <w:r w:rsidR="0053323C">
          <w:rPr>
            <w:noProof/>
            <w:webHidden/>
          </w:rPr>
          <w:tab/>
        </w:r>
        <w:r w:rsidR="0053323C">
          <w:rPr>
            <w:noProof/>
            <w:webHidden/>
          </w:rPr>
          <w:fldChar w:fldCharType="begin"/>
        </w:r>
        <w:r w:rsidR="0053323C">
          <w:rPr>
            <w:noProof/>
            <w:webHidden/>
          </w:rPr>
          <w:instrText xml:space="preserve"> PAGEREF _Toc31392329 \h </w:instrText>
        </w:r>
        <w:r w:rsidR="0053323C">
          <w:rPr>
            <w:noProof/>
            <w:webHidden/>
          </w:rPr>
        </w:r>
        <w:r w:rsidR="0053323C">
          <w:rPr>
            <w:noProof/>
            <w:webHidden/>
          </w:rPr>
          <w:fldChar w:fldCharType="separate"/>
        </w:r>
        <w:r w:rsidR="0053323C">
          <w:rPr>
            <w:noProof/>
            <w:webHidden/>
          </w:rPr>
          <w:t>25</w:t>
        </w:r>
        <w:r w:rsidR="0053323C">
          <w:rPr>
            <w:noProof/>
            <w:webHidden/>
          </w:rPr>
          <w:fldChar w:fldCharType="end"/>
        </w:r>
      </w:hyperlink>
    </w:p>
    <w:p w14:paraId="00A82CAB" w14:textId="1FFD8C93" w:rsidR="0053323C" w:rsidRDefault="00B7364D">
      <w:pPr>
        <w:pStyle w:val="TOC2"/>
        <w:rPr>
          <w:rFonts w:asciiTheme="minorHAnsi" w:eastAsiaTheme="minorEastAsia" w:hAnsiTheme="minorHAnsi"/>
          <w:noProof/>
          <w:sz w:val="22"/>
          <w:szCs w:val="22"/>
          <w:lang w:eastAsia="en-AU"/>
        </w:rPr>
      </w:pPr>
      <w:hyperlink w:anchor="_Toc31392330" w:history="1">
        <w:r w:rsidR="0053323C" w:rsidRPr="004E71EC">
          <w:rPr>
            <w:rStyle w:val="Hyperlink"/>
            <w:noProof/>
          </w:rPr>
          <w:t>2.5</w:t>
        </w:r>
        <w:r w:rsidR="0053323C">
          <w:rPr>
            <w:rFonts w:asciiTheme="minorHAnsi" w:eastAsiaTheme="minorEastAsia" w:hAnsiTheme="minorHAnsi"/>
            <w:noProof/>
            <w:sz w:val="22"/>
            <w:szCs w:val="22"/>
            <w:lang w:eastAsia="en-AU"/>
          </w:rPr>
          <w:tab/>
        </w:r>
        <w:r w:rsidR="0053323C" w:rsidRPr="004E71EC">
          <w:rPr>
            <w:rStyle w:val="Hyperlink"/>
            <w:noProof/>
          </w:rPr>
          <w:t>The regulation of online hate</w:t>
        </w:r>
        <w:r w:rsidR="0053323C">
          <w:rPr>
            <w:noProof/>
            <w:webHidden/>
          </w:rPr>
          <w:tab/>
        </w:r>
        <w:r w:rsidR="0053323C">
          <w:rPr>
            <w:noProof/>
            <w:webHidden/>
          </w:rPr>
          <w:fldChar w:fldCharType="begin"/>
        </w:r>
        <w:r w:rsidR="0053323C">
          <w:rPr>
            <w:noProof/>
            <w:webHidden/>
          </w:rPr>
          <w:instrText xml:space="preserve"> PAGEREF _Toc31392330 \h </w:instrText>
        </w:r>
        <w:r w:rsidR="0053323C">
          <w:rPr>
            <w:noProof/>
            <w:webHidden/>
          </w:rPr>
        </w:r>
        <w:r w:rsidR="0053323C">
          <w:rPr>
            <w:noProof/>
            <w:webHidden/>
          </w:rPr>
          <w:fldChar w:fldCharType="separate"/>
        </w:r>
        <w:r w:rsidR="0053323C">
          <w:rPr>
            <w:noProof/>
            <w:webHidden/>
          </w:rPr>
          <w:t>27</w:t>
        </w:r>
        <w:r w:rsidR="0053323C">
          <w:rPr>
            <w:noProof/>
            <w:webHidden/>
          </w:rPr>
          <w:fldChar w:fldCharType="end"/>
        </w:r>
      </w:hyperlink>
    </w:p>
    <w:p w14:paraId="4EC64A5A" w14:textId="004834BE" w:rsidR="0053323C" w:rsidRDefault="00B7364D">
      <w:pPr>
        <w:pStyle w:val="TOC1"/>
        <w:rPr>
          <w:rFonts w:asciiTheme="minorHAnsi" w:eastAsiaTheme="minorEastAsia" w:hAnsiTheme="minorHAnsi"/>
          <w:b w:val="0"/>
          <w:noProof/>
          <w:sz w:val="22"/>
          <w:szCs w:val="22"/>
          <w:lang w:eastAsia="en-AU"/>
        </w:rPr>
      </w:pPr>
      <w:hyperlink w:anchor="_Toc31392331" w:history="1">
        <w:r w:rsidR="0053323C" w:rsidRPr="004E71EC">
          <w:rPr>
            <w:rStyle w:val="Hyperlink"/>
            <w:noProof/>
          </w:rPr>
          <w:t>3.</w:t>
        </w:r>
        <w:r w:rsidR="0053323C">
          <w:rPr>
            <w:rFonts w:asciiTheme="minorHAnsi" w:eastAsiaTheme="minorEastAsia" w:hAnsiTheme="minorHAnsi"/>
            <w:b w:val="0"/>
            <w:noProof/>
            <w:sz w:val="22"/>
            <w:szCs w:val="22"/>
            <w:lang w:eastAsia="en-AU"/>
          </w:rPr>
          <w:tab/>
        </w:r>
        <w:r w:rsidR="0053323C" w:rsidRPr="004E71EC">
          <w:rPr>
            <w:rStyle w:val="Hyperlink"/>
            <w:noProof/>
          </w:rPr>
          <w:t>Hate in the Victorian community</w:t>
        </w:r>
        <w:r w:rsidR="0053323C">
          <w:rPr>
            <w:noProof/>
            <w:webHidden/>
          </w:rPr>
          <w:tab/>
        </w:r>
        <w:r w:rsidR="0053323C">
          <w:rPr>
            <w:noProof/>
            <w:webHidden/>
          </w:rPr>
          <w:fldChar w:fldCharType="begin"/>
        </w:r>
        <w:r w:rsidR="0053323C">
          <w:rPr>
            <w:noProof/>
            <w:webHidden/>
          </w:rPr>
          <w:instrText xml:space="preserve"> PAGEREF _Toc31392331 \h </w:instrText>
        </w:r>
        <w:r w:rsidR="0053323C">
          <w:rPr>
            <w:noProof/>
            <w:webHidden/>
          </w:rPr>
        </w:r>
        <w:r w:rsidR="0053323C">
          <w:rPr>
            <w:noProof/>
            <w:webHidden/>
          </w:rPr>
          <w:fldChar w:fldCharType="separate"/>
        </w:r>
        <w:r w:rsidR="0053323C">
          <w:rPr>
            <w:noProof/>
            <w:webHidden/>
          </w:rPr>
          <w:t>30</w:t>
        </w:r>
        <w:r w:rsidR="0053323C">
          <w:rPr>
            <w:noProof/>
            <w:webHidden/>
          </w:rPr>
          <w:fldChar w:fldCharType="end"/>
        </w:r>
      </w:hyperlink>
    </w:p>
    <w:p w14:paraId="281F3B4F" w14:textId="67363CE5" w:rsidR="0053323C" w:rsidRDefault="00B7364D">
      <w:pPr>
        <w:pStyle w:val="TOC2"/>
        <w:rPr>
          <w:rFonts w:asciiTheme="minorHAnsi" w:eastAsiaTheme="minorEastAsia" w:hAnsiTheme="minorHAnsi"/>
          <w:noProof/>
          <w:sz w:val="22"/>
          <w:szCs w:val="22"/>
          <w:lang w:eastAsia="en-AU"/>
        </w:rPr>
      </w:pPr>
      <w:hyperlink w:anchor="_Toc31392332" w:history="1">
        <w:r w:rsidR="0053323C" w:rsidRPr="004E71EC">
          <w:rPr>
            <w:rStyle w:val="Hyperlink"/>
            <w:noProof/>
          </w:rPr>
          <w:t>3.1</w:t>
        </w:r>
        <w:r w:rsidR="0053323C">
          <w:rPr>
            <w:rFonts w:asciiTheme="minorHAnsi" w:eastAsiaTheme="minorEastAsia" w:hAnsiTheme="minorHAnsi"/>
            <w:noProof/>
            <w:sz w:val="22"/>
            <w:szCs w:val="22"/>
            <w:lang w:eastAsia="en-AU"/>
          </w:rPr>
          <w:tab/>
        </w:r>
        <w:r w:rsidR="0053323C" w:rsidRPr="004E71EC">
          <w:rPr>
            <w:rStyle w:val="Hyperlink"/>
            <w:noProof/>
          </w:rPr>
          <w:t>Hate takes many different forms in our community</w:t>
        </w:r>
        <w:r w:rsidR="0053323C">
          <w:rPr>
            <w:noProof/>
            <w:webHidden/>
          </w:rPr>
          <w:tab/>
        </w:r>
        <w:r w:rsidR="0053323C">
          <w:rPr>
            <w:noProof/>
            <w:webHidden/>
          </w:rPr>
          <w:fldChar w:fldCharType="begin"/>
        </w:r>
        <w:r w:rsidR="0053323C">
          <w:rPr>
            <w:noProof/>
            <w:webHidden/>
          </w:rPr>
          <w:instrText xml:space="preserve"> PAGEREF _Toc31392332 \h </w:instrText>
        </w:r>
        <w:r w:rsidR="0053323C">
          <w:rPr>
            <w:noProof/>
            <w:webHidden/>
          </w:rPr>
        </w:r>
        <w:r w:rsidR="0053323C">
          <w:rPr>
            <w:noProof/>
            <w:webHidden/>
          </w:rPr>
          <w:fldChar w:fldCharType="separate"/>
        </w:r>
        <w:r w:rsidR="0053323C">
          <w:rPr>
            <w:noProof/>
            <w:webHidden/>
          </w:rPr>
          <w:t>30</w:t>
        </w:r>
        <w:r w:rsidR="0053323C">
          <w:rPr>
            <w:noProof/>
            <w:webHidden/>
          </w:rPr>
          <w:fldChar w:fldCharType="end"/>
        </w:r>
      </w:hyperlink>
    </w:p>
    <w:p w14:paraId="5133181F" w14:textId="1121AC1C" w:rsidR="0053323C" w:rsidRDefault="00B7364D">
      <w:pPr>
        <w:pStyle w:val="TOC2"/>
        <w:rPr>
          <w:rFonts w:asciiTheme="minorHAnsi" w:eastAsiaTheme="minorEastAsia" w:hAnsiTheme="minorHAnsi"/>
          <w:noProof/>
          <w:sz w:val="22"/>
          <w:szCs w:val="22"/>
          <w:lang w:eastAsia="en-AU"/>
        </w:rPr>
      </w:pPr>
      <w:hyperlink w:anchor="_Toc31392333" w:history="1">
        <w:r w:rsidR="0053323C" w:rsidRPr="004E71EC">
          <w:rPr>
            <w:rStyle w:val="Hyperlink"/>
            <w:noProof/>
          </w:rPr>
          <w:t>3.2</w:t>
        </w:r>
        <w:r w:rsidR="0053323C">
          <w:rPr>
            <w:rFonts w:asciiTheme="minorHAnsi" w:eastAsiaTheme="minorEastAsia" w:hAnsiTheme="minorHAnsi"/>
            <w:noProof/>
            <w:sz w:val="22"/>
            <w:szCs w:val="22"/>
            <w:lang w:eastAsia="en-AU"/>
          </w:rPr>
          <w:tab/>
        </w:r>
        <w:r w:rsidR="0053323C" w:rsidRPr="004E71EC">
          <w:rPr>
            <w:rStyle w:val="Hyperlink"/>
            <w:noProof/>
          </w:rPr>
          <w:t>Hate is often systemic and pervasive</w:t>
        </w:r>
        <w:r w:rsidR="0053323C">
          <w:rPr>
            <w:noProof/>
            <w:webHidden/>
          </w:rPr>
          <w:tab/>
        </w:r>
        <w:r w:rsidR="0053323C">
          <w:rPr>
            <w:noProof/>
            <w:webHidden/>
          </w:rPr>
          <w:fldChar w:fldCharType="begin"/>
        </w:r>
        <w:r w:rsidR="0053323C">
          <w:rPr>
            <w:noProof/>
            <w:webHidden/>
          </w:rPr>
          <w:instrText xml:space="preserve"> PAGEREF _Toc31392333 \h </w:instrText>
        </w:r>
        <w:r w:rsidR="0053323C">
          <w:rPr>
            <w:noProof/>
            <w:webHidden/>
          </w:rPr>
        </w:r>
        <w:r w:rsidR="0053323C">
          <w:rPr>
            <w:noProof/>
            <w:webHidden/>
          </w:rPr>
          <w:fldChar w:fldCharType="separate"/>
        </w:r>
        <w:r w:rsidR="0053323C">
          <w:rPr>
            <w:noProof/>
            <w:webHidden/>
          </w:rPr>
          <w:t>31</w:t>
        </w:r>
        <w:r w:rsidR="0053323C">
          <w:rPr>
            <w:noProof/>
            <w:webHidden/>
          </w:rPr>
          <w:fldChar w:fldCharType="end"/>
        </w:r>
      </w:hyperlink>
    </w:p>
    <w:p w14:paraId="30312F9C" w14:textId="23B50ADF" w:rsidR="0053323C" w:rsidRDefault="00B7364D">
      <w:pPr>
        <w:pStyle w:val="TOC2"/>
        <w:rPr>
          <w:rFonts w:asciiTheme="minorHAnsi" w:eastAsiaTheme="minorEastAsia" w:hAnsiTheme="minorHAnsi"/>
          <w:noProof/>
          <w:sz w:val="22"/>
          <w:szCs w:val="22"/>
          <w:lang w:eastAsia="en-AU"/>
        </w:rPr>
      </w:pPr>
      <w:hyperlink w:anchor="_Toc31392334" w:history="1">
        <w:r w:rsidR="0053323C" w:rsidRPr="004E71EC">
          <w:rPr>
            <w:rStyle w:val="Hyperlink"/>
            <w:noProof/>
          </w:rPr>
          <w:t>3.3</w:t>
        </w:r>
        <w:r w:rsidR="0053323C">
          <w:rPr>
            <w:rFonts w:asciiTheme="minorHAnsi" w:eastAsiaTheme="minorEastAsia" w:hAnsiTheme="minorHAnsi"/>
            <w:noProof/>
            <w:sz w:val="22"/>
            <w:szCs w:val="22"/>
            <w:lang w:eastAsia="en-AU"/>
          </w:rPr>
          <w:tab/>
        </w:r>
        <w:r w:rsidR="0053323C" w:rsidRPr="004E71EC">
          <w:rPr>
            <w:rStyle w:val="Hyperlink"/>
            <w:noProof/>
          </w:rPr>
          <w:t>The nature of hate is evolving in the digital age</w:t>
        </w:r>
        <w:r w:rsidR="0053323C">
          <w:rPr>
            <w:noProof/>
            <w:webHidden/>
          </w:rPr>
          <w:tab/>
        </w:r>
        <w:r w:rsidR="0053323C">
          <w:rPr>
            <w:noProof/>
            <w:webHidden/>
          </w:rPr>
          <w:fldChar w:fldCharType="begin"/>
        </w:r>
        <w:r w:rsidR="0053323C">
          <w:rPr>
            <w:noProof/>
            <w:webHidden/>
          </w:rPr>
          <w:instrText xml:space="preserve"> PAGEREF _Toc31392334 \h </w:instrText>
        </w:r>
        <w:r w:rsidR="0053323C">
          <w:rPr>
            <w:noProof/>
            <w:webHidden/>
          </w:rPr>
        </w:r>
        <w:r w:rsidR="0053323C">
          <w:rPr>
            <w:noProof/>
            <w:webHidden/>
          </w:rPr>
          <w:fldChar w:fldCharType="separate"/>
        </w:r>
        <w:r w:rsidR="0053323C">
          <w:rPr>
            <w:noProof/>
            <w:webHidden/>
          </w:rPr>
          <w:t>31</w:t>
        </w:r>
        <w:r w:rsidR="0053323C">
          <w:rPr>
            <w:noProof/>
            <w:webHidden/>
          </w:rPr>
          <w:fldChar w:fldCharType="end"/>
        </w:r>
      </w:hyperlink>
    </w:p>
    <w:p w14:paraId="69FC3F0C" w14:textId="555EE698" w:rsidR="0053323C" w:rsidRDefault="00B7364D">
      <w:pPr>
        <w:pStyle w:val="TOC2"/>
        <w:rPr>
          <w:rFonts w:asciiTheme="minorHAnsi" w:eastAsiaTheme="minorEastAsia" w:hAnsiTheme="minorHAnsi"/>
          <w:noProof/>
          <w:sz w:val="22"/>
          <w:szCs w:val="22"/>
          <w:lang w:eastAsia="en-AU"/>
        </w:rPr>
      </w:pPr>
      <w:hyperlink w:anchor="_Toc31392335" w:history="1">
        <w:r w:rsidR="0053323C" w:rsidRPr="004E71EC">
          <w:rPr>
            <w:rStyle w:val="Hyperlink"/>
            <w:noProof/>
          </w:rPr>
          <w:t>3.4</w:t>
        </w:r>
        <w:r w:rsidR="0053323C">
          <w:rPr>
            <w:rFonts w:asciiTheme="minorHAnsi" w:eastAsiaTheme="minorEastAsia" w:hAnsiTheme="minorHAnsi"/>
            <w:noProof/>
            <w:sz w:val="22"/>
            <w:szCs w:val="22"/>
            <w:lang w:eastAsia="en-AU"/>
          </w:rPr>
          <w:tab/>
        </w:r>
        <w:r w:rsidR="0053323C" w:rsidRPr="004E71EC">
          <w:rPr>
            <w:rStyle w:val="Hyperlink"/>
            <w:noProof/>
          </w:rPr>
          <w:t>Hate continues to be prevalent for multicultural and multifaith people</w:t>
        </w:r>
        <w:r w:rsidR="0053323C">
          <w:rPr>
            <w:noProof/>
            <w:webHidden/>
          </w:rPr>
          <w:tab/>
        </w:r>
        <w:r w:rsidR="0053323C">
          <w:rPr>
            <w:noProof/>
            <w:webHidden/>
          </w:rPr>
          <w:fldChar w:fldCharType="begin"/>
        </w:r>
        <w:r w:rsidR="0053323C">
          <w:rPr>
            <w:noProof/>
            <w:webHidden/>
          </w:rPr>
          <w:instrText xml:space="preserve"> PAGEREF _Toc31392335 \h </w:instrText>
        </w:r>
        <w:r w:rsidR="0053323C">
          <w:rPr>
            <w:noProof/>
            <w:webHidden/>
          </w:rPr>
        </w:r>
        <w:r w:rsidR="0053323C">
          <w:rPr>
            <w:noProof/>
            <w:webHidden/>
          </w:rPr>
          <w:fldChar w:fldCharType="separate"/>
        </w:r>
        <w:r w:rsidR="0053323C">
          <w:rPr>
            <w:noProof/>
            <w:webHidden/>
          </w:rPr>
          <w:t>33</w:t>
        </w:r>
        <w:r w:rsidR="0053323C">
          <w:rPr>
            <w:noProof/>
            <w:webHidden/>
          </w:rPr>
          <w:fldChar w:fldCharType="end"/>
        </w:r>
      </w:hyperlink>
    </w:p>
    <w:p w14:paraId="0D0BA53A" w14:textId="0708FF01" w:rsidR="0053323C" w:rsidRDefault="00B7364D">
      <w:pPr>
        <w:pStyle w:val="TOC2"/>
        <w:rPr>
          <w:rFonts w:asciiTheme="minorHAnsi" w:eastAsiaTheme="minorEastAsia" w:hAnsiTheme="minorHAnsi"/>
          <w:noProof/>
          <w:sz w:val="22"/>
          <w:szCs w:val="22"/>
          <w:lang w:eastAsia="en-AU"/>
        </w:rPr>
      </w:pPr>
      <w:hyperlink w:anchor="_Toc31392336" w:history="1">
        <w:r w:rsidR="0053323C" w:rsidRPr="004E71EC">
          <w:rPr>
            <w:rStyle w:val="Hyperlink"/>
            <w:noProof/>
          </w:rPr>
          <w:t>3.5</w:t>
        </w:r>
        <w:r w:rsidR="0053323C">
          <w:rPr>
            <w:rFonts w:asciiTheme="minorHAnsi" w:eastAsiaTheme="minorEastAsia" w:hAnsiTheme="minorHAnsi"/>
            <w:noProof/>
            <w:sz w:val="22"/>
            <w:szCs w:val="22"/>
            <w:lang w:eastAsia="en-AU"/>
          </w:rPr>
          <w:tab/>
        </w:r>
        <w:r w:rsidR="0053323C" w:rsidRPr="004E71EC">
          <w:rPr>
            <w:rStyle w:val="Hyperlink"/>
            <w:noProof/>
          </w:rPr>
          <w:t>Hate is also prevalent for people who are not protected by the RRTA</w:t>
        </w:r>
        <w:r w:rsidR="0053323C">
          <w:rPr>
            <w:noProof/>
            <w:webHidden/>
          </w:rPr>
          <w:tab/>
        </w:r>
        <w:r w:rsidR="0053323C">
          <w:rPr>
            <w:noProof/>
            <w:webHidden/>
          </w:rPr>
          <w:fldChar w:fldCharType="begin"/>
        </w:r>
        <w:r w:rsidR="0053323C">
          <w:rPr>
            <w:noProof/>
            <w:webHidden/>
          </w:rPr>
          <w:instrText xml:space="preserve"> PAGEREF _Toc31392336 \h </w:instrText>
        </w:r>
        <w:r w:rsidR="0053323C">
          <w:rPr>
            <w:noProof/>
            <w:webHidden/>
          </w:rPr>
        </w:r>
        <w:r w:rsidR="0053323C">
          <w:rPr>
            <w:noProof/>
            <w:webHidden/>
          </w:rPr>
          <w:fldChar w:fldCharType="separate"/>
        </w:r>
        <w:r w:rsidR="0053323C">
          <w:rPr>
            <w:noProof/>
            <w:webHidden/>
          </w:rPr>
          <w:t>38</w:t>
        </w:r>
        <w:r w:rsidR="0053323C">
          <w:rPr>
            <w:noProof/>
            <w:webHidden/>
          </w:rPr>
          <w:fldChar w:fldCharType="end"/>
        </w:r>
      </w:hyperlink>
    </w:p>
    <w:p w14:paraId="12CE4AD6" w14:textId="177FEC7C" w:rsidR="0053323C" w:rsidRDefault="00B7364D">
      <w:pPr>
        <w:pStyle w:val="TOC2"/>
        <w:rPr>
          <w:rFonts w:asciiTheme="minorHAnsi" w:eastAsiaTheme="minorEastAsia" w:hAnsiTheme="minorHAnsi"/>
          <w:noProof/>
          <w:sz w:val="22"/>
          <w:szCs w:val="22"/>
          <w:lang w:eastAsia="en-AU"/>
        </w:rPr>
      </w:pPr>
      <w:hyperlink w:anchor="_Toc31392337" w:history="1">
        <w:r w:rsidR="0053323C" w:rsidRPr="004E71EC">
          <w:rPr>
            <w:rStyle w:val="Hyperlink"/>
            <w:noProof/>
          </w:rPr>
          <w:t>3.6</w:t>
        </w:r>
        <w:r w:rsidR="0053323C">
          <w:rPr>
            <w:rFonts w:asciiTheme="minorHAnsi" w:eastAsiaTheme="minorEastAsia" w:hAnsiTheme="minorHAnsi"/>
            <w:noProof/>
            <w:sz w:val="22"/>
            <w:szCs w:val="22"/>
            <w:lang w:eastAsia="en-AU"/>
          </w:rPr>
          <w:tab/>
        </w:r>
        <w:r w:rsidR="0053323C" w:rsidRPr="004E71EC">
          <w:rPr>
            <w:rStyle w:val="Hyperlink"/>
            <w:noProof/>
          </w:rPr>
          <w:t>Hate has profound negative impacts</w:t>
        </w:r>
        <w:r w:rsidR="0053323C">
          <w:rPr>
            <w:noProof/>
            <w:webHidden/>
          </w:rPr>
          <w:tab/>
        </w:r>
        <w:r w:rsidR="0053323C">
          <w:rPr>
            <w:noProof/>
            <w:webHidden/>
          </w:rPr>
          <w:fldChar w:fldCharType="begin"/>
        </w:r>
        <w:r w:rsidR="0053323C">
          <w:rPr>
            <w:noProof/>
            <w:webHidden/>
          </w:rPr>
          <w:instrText xml:space="preserve"> PAGEREF _Toc31392337 \h </w:instrText>
        </w:r>
        <w:r w:rsidR="0053323C">
          <w:rPr>
            <w:noProof/>
            <w:webHidden/>
          </w:rPr>
        </w:r>
        <w:r w:rsidR="0053323C">
          <w:rPr>
            <w:noProof/>
            <w:webHidden/>
          </w:rPr>
          <w:fldChar w:fldCharType="separate"/>
        </w:r>
        <w:r w:rsidR="0053323C">
          <w:rPr>
            <w:noProof/>
            <w:webHidden/>
          </w:rPr>
          <w:t>43</w:t>
        </w:r>
        <w:r w:rsidR="0053323C">
          <w:rPr>
            <w:noProof/>
            <w:webHidden/>
          </w:rPr>
          <w:fldChar w:fldCharType="end"/>
        </w:r>
      </w:hyperlink>
    </w:p>
    <w:p w14:paraId="0F19A007" w14:textId="1B857D68" w:rsidR="0053323C" w:rsidRDefault="00B7364D">
      <w:pPr>
        <w:pStyle w:val="TOC1"/>
        <w:rPr>
          <w:rFonts w:asciiTheme="minorHAnsi" w:eastAsiaTheme="minorEastAsia" w:hAnsiTheme="minorHAnsi"/>
          <w:b w:val="0"/>
          <w:noProof/>
          <w:sz w:val="22"/>
          <w:szCs w:val="22"/>
          <w:lang w:eastAsia="en-AU"/>
        </w:rPr>
      </w:pPr>
      <w:hyperlink w:anchor="_Toc31392338" w:history="1">
        <w:r w:rsidR="0053323C" w:rsidRPr="004E71EC">
          <w:rPr>
            <w:rStyle w:val="Hyperlink"/>
            <w:noProof/>
          </w:rPr>
          <w:t>4.</w:t>
        </w:r>
        <w:r w:rsidR="0053323C">
          <w:rPr>
            <w:rFonts w:asciiTheme="minorHAnsi" w:eastAsiaTheme="minorEastAsia" w:hAnsiTheme="minorHAnsi"/>
            <w:b w:val="0"/>
            <w:noProof/>
            <w:sz w:val="22"/>
            <w:szCs w:val="22"/>
            <w:lang w:eastAsia="en-AU"/>
          </w:rPr>
          <w:tab/>
        </w:r>
        <w:r w:rsidR="0053323C" w:rsidRPr="004E71EC">
          <w:rPr>
            <w:rStyle w:val="Hyperlink"/>
            <w:noProof/>
          </w:rPr>
          <w:t>The limitations of law and enforcement</w:t>
        </w:r>
        <w:r w:rsidR="0053323C">
          <w:rPr>
            <w:noProof/>
            <w:webHidden/>
          </w:rPr>
          <w:tab/>
        </w:r>
        <w:r w:rsidR="0053323C">
          <w:rPr>
            <w:noProof/>
            <w:webHidden/>
          </w:rPr>
          <w:fldChar w:fldCharType="begin"/>
        </w:r>
        <w:r w:rsidR="0053323C">
          <w:rPr>
            <w:noProof/>
            <w:webHidden/>
          </w:rPr>
          <w:instrText xml:space="preserve"> PAGEREF _Toc31392338 \h </w:instrText>
        </w:r>
        <w:r w:rsidR="0053323C">
          <w:rPr>
            <w:noProof/>
            <w:webHidden/>
          </w:rPr>
        </w:r>
        <w:r w:rsidR="0053323C">
          <w:rPr>
            <w:noProof/>
            <w:webHidden/>
          </w:rPr>
          <w:fldChar w:fldCharType="separate"/>
        </w:r>
        <w:r w:rsidR="0053323C">
          <w:rPr>
            <w:noProof/>
            <w:webHidden/>
          </w:rPr>
          <w:t>46</w:t>
        </w:r>
        <w:r w:rsidR="0053323C">
          <w:rPr>
            <w:noProof/>
            <w:webHidden/>
          </w:rPr>
          <w:fldChar w:fldCharType="end"/>
        </w:r>
      </w:hyperlink>
    </w:p>
    <w:p w14:paraId="651CED6E" w14:textId="73D665F7" w:rsidR="0053323C" w:rsidRDefault="00B7364D">
      <w:pPr>
        <w:pStyle w:val="TOC2"/>
        <w:rPr>
          <w:rFonts w:asciiTheme="minorHAnsi" w:eastAsiaTheme="minorEastAsia" w:hAnsiTheme="minorHAnsi"/>
          <w:noProof/>
          <w:sz w:val="22"/>
          <w:szCs w:val="22"/>
          <w:lang w:eastAsia="en-AU"/>
        </w:rPr>
      </w:pPr>
      <w:hyperlink w:anchor="_Toc31392339" w:history="1">
        <w:r w:rsidR="0053323C" w:rsidRPr="004E71EC">
          <w:rPr>
            <w:rStyle w:val="Hyperlink"/>
            <w:noProof/>
          </w:rPr>
          <w:t>4.1</w:t>
        </w:r>
        <w:r w:rsidR="0053323C">
          <w:rPr>
            <w:rFonts w:asciiTheme="minorHAnsi" w:eastAsiaTheme="minorEastAsia" w:hAnsiTheme="minorHAnsi"/>
            <w:noProof/>
            <w:sz w:val="22"/>
            <w:szCs w:val="22"/>
            <w:lang w:eastAsia="en-AU"/>
          </w:rPr>
          <w:tab/>
        </w:r>
        <w:r w:rsidR="0053323C" w:rsidRPr="004E71EC">
          <w:rPr>
            <w:rStyle w:val="Hyperlink"/>
            <w:noProof/>
          </w:rPr>
          <w:t>The limited operation of the RRTA</w:t>
        </w:r>
        <w:r w:rsidR="0053323C">
          <w:rPr>
            <w:noProof/>
            <w:webHidden/>
          </w:rPr>
          <w:tab/>
        </w:r>
        <w:r w:rsidR="0053323C">
          <w:rPr>
            <w:noProof/>
            <w:webHidden/>
          </w:rPr>
          <w:fldChar w:fldCharType="begin"/>
        </w:r>
        <w:r w:rsidR="0053323C">
          <w:rPr>
            <w:noProof/>
            <w:webHidden/>
          </w:rPr>
          <w:instrText xml:space="preserve"> PAGEREF _Toc31392339 \h </w:instrText>
        </w:r>
        <w:r w:rsidR="0053323C">
          <w:rPr>
            <w:noProof/>
            <w:webHidden/>
          </w:rPr>
        </w:r>
        <w:r w:rsidR="0053323C">
          <w:rPr>
            <w:noProof/>
            <w:webHidden/>
          </w:rPr>
          <w:fldChar w:fldCharType="separate"/>
        </w:r>
        <w:r w:rsidR="0053323C">
          <w:rPr>
            <w:noProof/>
            <w:webHidden/>
          </w:rPr>
          <w:t>46</w:t>
        </w:r>
        <w:r w:rsidR="0053323C">
          <w:rPr>
            <w:noProof/>
            <w:webHidden/>
          </w:rPr>
          <w:fldChar w:fldCharType="end"/>
        </w:r>
      </w:hyperlink>
    </w:p>
    <w:p w14:paraId="21CD7A57" w14:textId="4FF08F49" w:rsidR="0053323C" w:rsidRDefault="00B7364D">
      <w:pPr>
        <w:pStyle w:val="TOC2"/>
        <w:rPr>
          <w:rFonts w:asciiTheme="minorHAnsi" w:eastAsiaTheme="minorEastAsia" w:hAnsiTheme="minorHAnsi"/>
          <w:noProof/>
          <w:sz w:val="22"/>
          <w:szCs w:val="22"/>
          <w:lang w:eastAsia="en-AU"/>
        </w:rPr>
      </w:pPr>
      <w:hyperlink w:anchor="_Toc31392340" w:history="1">
        <w:r w:rsidR="0053323C" w:rsidRPr="004E71EC">
          <w:rPr>
            <w:rStyle w:val="Hyperlink"/>
            <w:noProof/>
          </w:rPr>
          <w:t>4.2</w:t>
        </w:r>
        <w:r w:rsidR="0053323C">
          <w:rPr>
            <w:rFonts w:asciiTheme="minorHAnsi" w:eastAsiaTheme="minorEastAsia" w:hAnsiTheme="minorHAnsi"/>
            <w:noProof/>
            <w:sz w:val="22"/>
            <w:szCs w:val="22"/>
            <w:lang w:eastAsia="en-AU"/>
          </w:rPr>
          <w:tab/>
        </w:r>
        <w:r w:rsidR="0053323C" w:rsidRPr="004E71EC">
          <w:rPr>
            <w:rStyle w:val="Hyperlink"/>
            <w:noProof/>
          </w:rPr>
          <w:t>Barriers to enforcement of the RRTA</w:t>
        </w:r>
        <w:r w:rsidR="0053323C">
          <w:rPr>
            <w:noProof/>
            <w:webHidden/>
          </w:rPr>
          <w:tab/>
        </w:r>
        <w:r w:rsidR="0053323C">
          <w:rPr>
            <w:noProof/>
            <w:webHidden/>
          </w:rPr>
          <w:fldChar w:fldCharType="begin"/>
        </w:r>
        <w:r w:rsidR="0053323C">
          <w:rPr>
            <w:noProof/>
            <w:webHidden/>
          </w:rPr>
          <w:instrText xml:space="preserve"> PAGEREF _Toc31392340 \h </w:instrText>
        </w:r>
        <w:r w:rsidR="0053323C">
          <w:rPr>
            <w:noProof/>
            <w:webHidden/>
          </w:rPr>
        </w:r>
        <w:r w:rsidR="0053323C">
          <w:rPr>
            <w:noProof/>
            <w:webHidden/>
          </w:rPr>
          <w:fldChar w:fldCharType="separate"/>
        </w:r>
        <w:r w:rsidR="0053323C">
          <w:rPr>
            <w:noProof/>
            <w:webHidden/>
          </w:rPr>
          <w:t>55</w:t>
        </w:r>
        <w:r w:rsidR="0053323C">
          <w:rPr>
            <w:noProof/>
            <w:webHidden/>
          </w:rPr>
          <w:fldChar w:fldCharType="end"/>
        </w:r>
      </w:hyperlink>
    </w:p>
    <w:p w14:paraId="62DB2C3A" w14:textId="5807FFD0" w:rsidR="0053323C" w:rsidRDefault="00B7364D">
      <w:pPr>
        <w:pStyle w:val="TOC2"/>
        <w:rPr>
          <w:rFonts w:asciiTheme="minorHAnsi" w:eastAsiaTheme="minorEastAsia" w:hAnsiTheme="minorHAnsi"/>
          <w:noProof/>
          <w:sz w:val="22"/>
          <w:szCs w:val="22"/>
          <w:lang w:eastAsia="en-AU"/>
        </w:rPr>
      </w:pPr>
      <w:hyperlink w:anchor="_Toc31392341" w:history="1">
        <w:r w:rsidR="0053323C" w:rsidRPr="004E71EC">
          <w:rPr>
            <w:rStyle w:val="Hyperlink"/>
            <w:noProof/>
          </w:rPr>
          <w:t>4.3</w:t>
        </w:r>
        <w:r w:rsidR="0053323C">
          <w:rPr>
            <w:rFonts w:asciiTheme="minorHAnsi" w:eastAsiaTheme="minorEastAsia" w:hAnsiTheme="minorHAnsi"/>
            <w:noProof/>
            <w:sz w:val="22"/>
            <w:szCs w:val="22"/>
            <w:lang w:eastAsia="en-AU"/>
          </w:rPr>
          <w:tab/>
        </w:r>
        <w:r w:rsidR="0053323C" w:rsidRPr="004E71EC">
          <w:rPr>
            <w:rStyle w:val="Hyperlink"/>
            <w:noProof/>
          </w:rPr>
          <w:t>The inadequate sanctions for hate crime</w:t>
        </w:r>
        <w:r w:rsidR="0053323C">
          <w:rPr>
            <w:noProof/>
            <w:webHidden/>
          </w:rPr>
          <w:tab/>
        </w:r>
        <w:r w:rsidR="0053323C">
          <w:rPr>
            <w:noProof/>
            <w:webHidden/>
          </w:rPr>
          <w:fldChar w:fldCharType="begin"/>
        </w:r>
        <w:r w:rsidR="0053323C">
          <w:rPr>
            <w:noProof/>
            <w:webHidden/>
          </w:rPr>
          <w:instrText xml:space="preserve"> PAGEREF _Toc31392341 \h </w:instrText>
        </w:r>
        <w:r w:rsidR="0053323C">
          <w:rPr>
            <w:noProof/>
            <w:webHidden/>
          </w:rPr>
        </w:r>
        <w:r w:rsidR="0053323C">
          <w:rPr>
            <w:noProof/>
            <w:webHidden/>
          </w:rPr>
          <w:fldChar w:fldCharType="separate"/>
        </w:r>
        <w:r w:rsidR="0053323C">
          <w:rPr>
            <w:noProof/>
            <w:webHidden/>
          </w:rPr>
          <w:t>57</w:t>
        </w:r>
        <w:r w:rsidR="0053323C">
          <w:rPr>
            <w:noProof/>
            <w:webHidden/>
          </w:rPr>
          <w:fldChar w:fldCharType="end"/>
        </w:r>
      </w:hyperlink>
    </w:p>
    <w:p w14:paraId="0D3C97FF" w14:textId="44AD3B13" w:rsidR="0053323C" w:rsidRDefault="00B7364D">
      <w:pPr>
        <w:pStyle w:val="TOC1"/>
        <w:rPr>
          <w:rFonts w:asciiTheme="minorHAnsi" w:eastAsiaTheme="minorEastAsia" w:hAnsiTheme="minorHAnsi"/>
          <w:b w:val="0"/>
          <w:noProof/>
          <w:sz w:val="22"/>
          <w:szCs w:val="22"/>
          <w:lang w:eastAsia="en-AU"/>
        </w:rPr>
      </w:pPr>
      <w:hyperlink w:anchor="_Toc31392342" w:history="1">
        <w:r w:rsidR="0053323C" w:rsidRPr="004E71EC">
          <w:rPr>
            <w:rStyle w:val="Hyperlink"/>
            <w:noProof/>
          </w:rPr>
          <w:t>5.</w:t>
        </w:r>
        <w:r w:rsidR="0053323C">
          <w:rPr>
            <w:rFonts w:asciiTheme="minorHAnsi" w:eastAsiaTheme="minorEastAsia" w:hAnsiTheme="minorHAnsi"/>
            <w:b w:val="0"/>
            <w:noProof/>
            <w:sz w:val="22"/>
            <w:szCs w:val="22"/>
            <w:lang w:eastAsia="en-AU"/>
          </w:rPr>
          <w:tab/>
        </w:r>
        <w:r w:rsidR="0053323C" w:rsidRPr="004E71EC">
          <w:rPr>
            <w:rStyle w:val="Hyperlink"/>
            <w:noProof/>
          </w:rPr>
          <w:t>Strengthening law and enforcement</w:t>
        </w:r>
        <w:r w:rsidR="0053323C">
          <w:rPr>
            <w:noProof/>
            <w:webHidden/>
          </w:rPr>
          <w:tab/>
        </w:r>
        <w:r w:rsidR="0053323C">
          <w:rPr>
            <w:noProof/>
            <w:webHidden/>
          </w:rPr>
          <w:fldChar w:fldCharType="begin"/>
        </w:r>
        <w:r w:rsidR="0053323C">
          <w:rPr>
            <w:noProof/>
            <w:webHidden/>
          </w:rPr>
          <w:instrText xml:space="preserve"> PAGEREF _Toc31392342 \h </w:instrText>
        </w:r>
        <w:r w:rsidR="0053323C">
          <w:rPr>
            <w:noProof/>
            <w:webHidden/>
          </w:rPr>
        </w:r>
        <w:r w:rsidR="0053323C">
          <w:rPr>
            <w:noProof/>
            <w:webHidden/>
          </w:rPr>
          <w:fldChar w:fldCharType="separate"/>
        </w:r>
        <w:r w:rsidR="0053323C">
          <w:rPr>
            <w:noProof/>
            <w:webHidden/>
          </w:rPr>
          <w:t>62</w:t>
        </w:r>
        <w:r w:rsidR="0053323C">
          <w:rPr>
            <w:noProof/>
            <w:webHidden/>
          </w:rPr>
          <w:fldChar w:fldCharType="end"/>
        </w:r>
      </w:hyperlink>
    </w:p>
    <w:p w14:paraId="689FCCD4" w14:textId="1DB9246F" w:rsidR="0053323C" w:rsidRDefault="00B7364D">
      <w:pPr>
        <w:pStyle w:val="TOC2"/>
        <w:rPr>
          <w:rFonts w:asciiTheme="minorHAnsi" w:eastAsiaTheme="minorEastAsia" w:hAnsiTheme="minorHAnsi"/>
          <w:noProof/>
          <w:sz w:val="22"/>
          <w:szCs w:val="22"/>
          <w:lang w:eastAsia="en-AU"/>
        </w:rPr>
      </w:pPr>
      <w:hyperlink w:anchor="_Toc31392343" w:history="1">
        <w:r w:rsidR="0053323C" w:rsidRPr="004E71EC">
          <w:rPr>
            <w:rStyle w:val="Hyperlink"/>
            <w:noProof/>
          </w:rPr>
          <w:t>5.1</w:t>
        </w:r>
        <w:r w:rsidR="0053323C">
          <w:rPr>
            <w:rFonts w:asciiTheme="minorHAnsi" w:eastAsiaTheme="minorEastAsia" w:hAnsiTheme="minorHAnsi"/>
            <w:noProof/>
            <w:sz w:val="22"/>
            <w:szCs w:val="22"/>
            <w:lang w:eastAsia="en-AU"/>
          </w:rPr>
          <w:tab/>
        </w:r>
        <w:r w:rsidR="0053323C" w:rsidRPr="004E71EC">
          <w:rPr>
            <w:rStyle w:val="Hyperlink"/>
            <w:noProof/>
          </w:rPr>
          <w:t>Strengthening access to the law</w:t>
        </w:r>
        <w:r w:rsidR="0053323C">
          <w:rPr>
            <w:noProof/>
            <w:webHidden/>
          </w:rPr>
          <w:tab/>
        </w:r>
        <w:r w:rsidR="0053323C">
          <w:rPr>
            <w:noProof/>
            <w:webHidden/>
          </w:rPr>
          <w:fldChar w:fldCharType="begin"/>
        </w:r>
        <w:r w:rsidR="0053323C">
          <w:rPr>
            <w:noProof/>
            <w:webHidden/>
          </w:rPr>
          <w:instrText xml:space="preserve"> PAGEREF _Toc31392343 \h </w:instrText>
        </w:r>
        <w:r w:rsidR="0053323C">
          <w:rPr>
            <w:noProof/>
            <w:webHidden/>
          </w:rPr>
        </w:r>
        <w:r w:rsidR="0053323C">
          <w:rPr>
            <w:noProof/>
            <w:webHidden/>
          </w:rPr>
          <w:fldChar w:fldCharType="separate"/>
        </w:r>
        <w:r w:rsidR="0053323C">
          <w:rPr>
            <w:noProof/>
            <w:webHidden/>
          </w:rPr>
          <w:t>62</w:t>
        </w:r>
        <w:r w:rsidR="0053323C">
          <w:rPr>
            <w:noProof/>
            <w:webHidden/>
          </w:rPr>
          <w:fldChar w:fldCharType="end"/>
        </w:r>
      </w:hyperlink>
    </w:p>
    <w:p w14:paraId="5581CDE3" w14:textId="5A94BCE0" w:rsidR="0053323C" w:rsidRDefault="00B7364D">
      <w:pPr>
        <w:pStyle w:val="TOC2"/>
        <w:rPr>
          <w:rFonts w:asciiTheme="minorHAnsi" w:eastAsiaTheme="minorEastAsia" w:hAnsiTheme="minorHAnsi"/>
          <w:noProof/>
          <w:sz w:val="22"/>
          <w:szCs w:val="22"/>
          <w:lang w:eastAsia="en-AU"/>
        </w:rPr>
      </w:pPr>
      <w:hyperlink w:anchor="_Toc31392344" w:history="1">
        <w:r w:rsidR="0053323C" w:rsidRPr="004E71EC">
          <w:rPr>
            <w:rStyle w:val="Hyperlink"/>
            <w:noProof/>
          </w:rPr>
          <w:t>5.2</w:t>
        </w:r>
        <w:r w:rsidR="0053323C">
          <w:rPr>
            <w:rFonts w:asciiTheme="minorHAnsi" w:eastAsiaTheme="minorEastAsia" w:hAnsiTheme="minorHAnsi"/>
            <w:noProof/>
            <w:sz w:val="22"/>
            <w:szCs w:val="22"/>
            <w:lang w:eastAsia="en-AU"/>
          </w:rPr>
          <w:tab/>
        </w:r>
        <w:r w:rsidR="0053323C" w:rsidRPr="004E71EC">
          <w:rPr>
            <w:rStyle w:val="Hyperlink"/>
            <w:noProof/>
          </w:rPr>
          <w:t>Strengthening protections</w:t>
        </w:r>
        <w:r w:rsidR="0053323C">
          <w:rPr>
            <w:noProof/>
            <w:webHidden/>
          </w:rPr>
          <w:tab/>
        </w:r>
        <w:r w:rsidR="0053323C">
          <w:rPr>
            <w:noProof/>
            <w:webHidden/>
          </w:rPr>
          <w:fldChar w:fldCharType="begin"/>
        </w:r>
        <w:r w:rsidR="0053323C">
          <w:rPr>
            <w:noProof/>
            <w:webHidden/>
          </w:rPr>
          <w:instrText xml:space="preserve"> PAGEREF _Toc31392344 \h </w:instrText>
        </w:r>
        <w:r w:rsidR="0053323C">
          <w:rPr>
            <w:noProof/>
            <w:webHidden/>
          </w:rPr>
        </w:r>
        <w:r w:rsidR="0053323C">
          <w:rPr>
            <w:noProof/>
            <w:webHidden/>
          </w:rPr>
          <w:fldChar w:fldCharType="separate"/>
        </w:r>
        <w:r w:rsidR="0053323C">
          <w:rPr>
            <w:noProof/>
            <w:webHidden/>
          </w:rPr>
          <w:t>63</w:t>
        </w:r>
        <w:r w:rsidR="0053323C">
          <w:rPr>
            <w:noProof/>
            <w:webHidden/>
          </w:rPr>
          <w:fldChar w:fldCharType="end"/>
        </w:r>
      </w:hyperlink>
    </w:p>
    <w:p w14:paraId="6FC45461" w14:textId="3BF689F4" w:rsidR="0053323C" w:rsidRDefault="00B7364D">
      <w:pPr>
        <w:pStyle w:val="TOC2"/>
        <w:rPr>
          <w:rFonts w:asciiTheme="minorHAnsi" w:eastAsiaTheme="minorEastAsia" w:hAnsiTheme="minorHAnsi"/>
          <w:noProof/>
          <w:sz w:val="22"/>
          <w:szCs w:val="22"/>
          <w:lang w:eastAsia="en-AU"/>
        </w:rPr>
      </w:pPr>
      <w:hyperlink w:anchor="_Toc31392345" w:history="1">
        <w:r w:rsidR="0053323C" w:rsidRPr="004E71EC">
          <w:rPr>
            <w:rStyle w:val="Hyperlink"/>
            <w:noProof/>
          </w:rPr>
          <w:t>5.3</w:t>
        </w:r>
        <w:r w:rsidR="0053323C">
          <w:rPr>
            <w:rFonts w:asciiTheme="minorHAnsi" w:eastAsiaTheme="minorEastAsia" w:hAnsiTheme="minorHAnsi"/>
            <w:noProof/>
            <w:sz w:val="22"/>
            <w:szCs w:val="22"/>
            <w:lang w:eastAsia="en-AU"/>
          </w:rPr>
          <w:tab/>
        </w:r>
        <w:r w:rsidR="0053323C" w:rsidRPr="004E71EC">
          <w:rPr>
            <w:rStyle w:val="Hyperlink"/>
            <w:noProof/>
          </w:rPr>
          <w:t>Strengthening the law</w:t>
        </w:r>
        <w:r w:rsidR="0053323C">
          <w:rPr>
            <w:noProof/>
            <w:webHidden/>
          </w:rPr>
          <w:tab/>
        </w:r>
        <w:r w:rsidR="0053323C">
          <w:rPr>
            <w:noProof/>
            <w:webHidden/>
          </w:rPr>
          <w:fldChar w:fldCharType="begin"/>
        </w:r>
        <w:r w:rsidR="0053323C">
          <w:rPr>
            <w:noProof/>
            <w:webHidden/>
          </w:rPr>
          <w:instrText xml:space="preserve"> PAGEREF _Toc31392345 \h </w:instrText>
        </w:r>
        <w:r w:rsidR="0053323C">
          <w:rPr>
            <w:noProof/>
            <w:webHidden/>
          </w:rPr>
        </w:r>
        <w:r w:rsidR="0053323C">
          <w:rPr>
            <w:noProof/>
            <w:webHidden/>
          </w:rPr>
          <w:fldChar w:fldCharType="separate"/>
        </w:r>
        <w:r w:rsidR="0053323C">
          <w:rPr>
            <w:noProof/>
            <w:webHidden/>
          </w:rPr>
          <w:t>65</w:t>
        </w:r>
        <w:r w:rsidR="0053323C">
          <w:rPr>
            <w:noProof/>
            <w:webHidden/>
          </w:rPr>
          <w:fldChar w:fldCharType="end"/>
        </w:r>
      </w:hyperlink>
    </w:p>
    <w:p w14:paraId="59E6020D" w14:textId="697493F2" w:rsidR="0053323C" w:rsidRDefault="00B7364D">
      <w:pPr>
        <w:pStyle w:val="TOC2"/>
        <w:rPr>
          <w:rFonts w:asciiTheme="minorHAnsi" w:eastAsiaTheme="minorEastAsia" w:hAnsiTheme="minorHAnsi"/>
          <w:noProof/>
          <w:sz w:val="22"/>
          <w:szCs w:val="22"/>
          <w:lang w:eastAsia="en-AU"/>
        </w:rPr>
      </w:pPr>
      <w:hyperlink w:anchor="_Toc31392346" w:history="1">
        <w:r w:rsidR="0053323C" w:rsidRPr="004E71EC">
          <w:rPr>
            <w:rStyle w:val="Hyperlink"/>
            <w:noProof/>
          </w:rPr>
          <w:t>5.4</w:t>
        </w:r>
        <w:r w:rsidR="0053323C">
          <w:rPr>
            <w:rFonts w:asciiTheme="minorHAnsi" w:eastAsiaTheme="minorEastAsia" w:hAnsiTheme="minorHAnsi"/>
            <w:noProof/>
            <w:sz w:val="22"/>
            <w:szCs w:val="22"/>
            <w:lang w:eastAsia="en-AU"/>
          </w:rPr>
          <w:tab/>
        </w:r>
        <w:r w:rsidR="0053323C" w:rsidRPr="004E71EC">
          <w:rPr>
            <w:rStyle w:val="Hyperlink"/>
            <w:noProof/>
          </w:rPr>
          <w:t>Strengthening dispute resolution</w:t>
        </w:r>
        <w:r w:rsidR="0053323C">
          <w:rPr>
            <w:noProof/>
            <w:webHidden/>
          </w:rPr>
          <w:tab/>
        </w:r>
        <w:r w:rsidR="0053323C">
          <w:rPr>
            <w:noProof/>
            <w:webHidden/>
          </w:rPr>
          <w:fldChar w:fldCharType="begin"/>
        </w:r>
        <w:r w:rsidR="0053323C">
          <w:rPr>
            <w:noProof/>
            <w:webHidden/>
          </w:rPr>
          <w:instrText xml:space="preserve"> PAGEREF _Toc31392346 \h </w:instrText>
        </w:r>
        <w:r w:rsidR="0053323C">
          <w:rPr>
            <w:noProof/>
            <w:webHidden/>
          </w:rPr>
        </w:r>
        <w:r w:rsidR="0053323C">
          <w:rPr>
            <w:noProof/>
            <w:webHidden/>
          </w:rPr>
          <w:fldChar w:fldCharType="separate"/>
        </w:r>
        <w:r w:rsidR="0053323C">
          <w:rPr>
            <w:noProof/>
            <w:webHidden/>
          </w:rPr>
          <w:t>77</w:t>
        </w:r>
        <w:r w:rsidR="0053323C">
          <w:rPr>
            <w:noProof/>
            <w:webHidden/>
          </w:rPr>
          <w:fldChar w:fldCharType="end"/>
        </w:r>
      </w:hyperlink>
    </w:p>
    <w:p w14:paraId="67E98D74" w14:textId="054F3897" w:rsidR="0053323C" w:rsidRDefault="00B7364D">
      <w:pPr>
        <w:pStyle w:val="TOC2"/>
        <w:rPr>
          <w:rFonts w:asciiTheme="minorHAnsi" w:eastAsiaTheme="minorEastAsia" w:hAnsiTheme="minorHAnsi"/>
          <w:noProof/>
          <w:sz w:val="22"/>
          <w:szCs w:val="22"/>
          <w:lang w:eastAsia="en-AU"/>
        </w:rPr>
      </w:pPr>
      <w:hyperlink w:anchor="_Toc31392347" w:history="1">
        <w:r w:rsidR="0053323C" w:rsidRPr="004E71EC">
          <w:rPr>
            <w:rStyle w:val="Hyperlink"/>
            <w:noProof/>
          </w:rPr>
          <w:t>5.5</w:t>
        </w:r>
        <w:r w:rsidR="0053323C">
          <w:rPr>
            <w:rFonts w:asciiTheme="minorHAnsi" w:eastAsiaTheme="minorEastAsia" w:hAnsiTheme="minorHAnsi"/>
            <w:noProof/>
            <w:sz w:val="22"/>
            <w:szCs w:val="22"/>
            <w:lang w:eastAsia="en-AU"/>
          </w:rPr>
          <w:tab/>
        </w:r>
        <w:r w:rsidR="0053323C" w:rsidRPr="004E71EC">
          <w:rPr>
            <w:rStyle w:val="Hyperlink"/>
            <w:noProof/>
          </w:rPr>
          <w:t>Strengthening criminal enforcement</w:t>
        </w:r>
        <w:r w:rsidR="0053323C">
          <w:rPr>
            <w:noProof/>
            <w:webHidden/>
          </w:rPr>
          <w:tab/>
        </w:r>
        <w:r w:rsidR="0053323C">
          <w:rPr>
            <w:noProof/>
            <w:webHidden/>
          </w:rPr>
          <w:fldChar w:fldCharType="begin"/>
        </w:r>
        <w:r w:rsidR="0053323C">
          <w:rPr>
            <w:noProof/>
            <w:webHidden/>
          </w:rPr>
          <w:instrText xml:space="preserve"> PAGEREF _Toc31392347 \h </w:instrText>
        </w:r>
        <w:r w:rsidR="0053323C">
          <w:rPr>
            <w:noProof/>
            <w:webHidden/>
          </w:rPr>
        </w:r>
        <w:r w:rsidR="0053323C">
          <w:rPr>
            <w:noProof/>
            <w:webHidden/>
          </w:rPr>
          <w:fldChar w:fldCharType="separate"/>
        </w:r>
        <w:r w:rsidR="0053323C">
          <w:rPr>
            <w:noProof/>
            <w:webHidden/>
          </w:rPr>
          <w:t>78</w:t>
        </w:r>
        <w:r w:rsidR="0053323C">
          <w:rPr>
            <w:noProof/>
            <w:webHidden/>
          </w:rPr>
          <w:fldChar w:fldCharType="end"/>
        </w:r>
      </w:hyperlink>
    </w:p>
    <w:p w14:paraId="05E48817" w14:textId="4A1EC0EE" w:rsidR="0053323C" w:rsidRDefault="00B7364D">
      <w:pPr>
        <w:pStyle w:val="TOC2"/>
        <w:rPr>
          <w:rFonts w:asciiTheme="minorHAnsi" w:eastAsiaTheme="minorEastAsia" w:hAnsiTheme="minorHAnsi"/>
          <w:noProof/>
          <w:sz w:val="22"/>
          <w:szCs w:val="22"/>
          <w:lang w:eastAsia="en-AU"/>
        </w:rPr>
      </w:pPr>
      <w:hyperlink w:anchor="_Toc31392348" w:history="1">
        <w:r w:rsidR="0053323C" w:rsidRPr="004E71EC">
          <w:rPr>
            <w:rStyle w:val="Hyperlink"/>
            <w:noProof/>
          </w:rPr>
          <w:t>5.6</w:t>
        </w:r>
        <w:r w:rsidR="0053323C">
          <w:rPr>
            <w:rFonts w:asciiTheme="minorHAnsi" w:eastAsiaTheme="minorEastAsia" w:hAnsiTheme="minorHAnsi"/>
            <w:noProof/>
            <w:sz w:val="22"/>
            <w:szCs w:val="22"/>
            <w:lang w:eastAsia="en-AU"/>
          </w:rPr>
          <w:tab/>
        </w:r>
        <w:r w:rsidR="0053323C" w:rsidRPr="004E71EC">
          <w:rPr>
            <w:rStyle w:val="Hyperlink"/>
            <w:noProof/>
          </w:rPr>
          <w:t>Shifting the burden of enforcement</w:t>
        </w:r>
        <w:r w:rsidR="0053323C">
          <w:rPr>
            <w:noProof/>
            <w:webHidden/>
          </w:rPr>
          <w:tab/>
        </w:r>
        <w:r w:rsidR="0053323C">
          <w:rPr>
            <w:noProof/>
            <w:webHidden/>
          </w:rPr>
          <w:fldChar w:fldCharType="begin"/>
        </w:r>
        <w:r w:rsidR="0053323C">
          <w:rPr>
            <w:noProof/>
            <w:webHidden/>
          </w:rPr>
          <w:instrText xml:space="preserve"> PAGEREF _Toc31392348 \h </w:instrText>
        </w:r>
        <w:r w:rsidR="0053323C">
          <w:rPr>
            <w:noProof/>
            <w:webHidden/>
          </w:rPr>
        </w:r>
        <w:r w:rsidR="0053323C">
          <w:rPr>
            <w:noProof/>
            <w:webHidden/>
          </w:rPr>
          <w:fldChar w:fldCharType="separate"/>
        </w:r>
        <w:r w:rsidR="0053323C">
          <w:rPr>
            <w:noProof/>
            <w:webHidden/>
          </w:rPr>
          <w:t>79</w:t>
        </w:r>
        <w:r w:rsidR="0053323C">
          <w:rPr>
            <w:noProof/>
            <w:webHidden/>
          </w:rPr>
          <w:fldChar w:fldCharType="end"/>
        </w:r>
      </w:hyperlink>
    </w:p>
    <w:p w14:paraId="2B4591E1" w14:textId="1A59AB98" w:rsidR="0053323C" w:rsidRDefault="00B7364D">
      <w:pPr>
        <w:pStyle w:val="TOC1"/>
        <w:rPr>
          <w:rFonts w:asciiTheme="minorHAnsi" w:eastAsiaTheme="minorEastAsia" w:hAnsiTheme="minorHAnsi"/>
          <w:b w:val="0"/>
          <w:noProof/>
          <w:sz w:val="22"/>
          <w:szCs w:val="22"/>
          <w:lang w:eastAsia="en-AU"/>
        </w:rPr>
      </w:pPr>
      <w:hyperlink w:anchor="_Toc31392349" w:history="1">
        <w:r w:rsidR="0053323C" w:rsidRPr="004E71EC">
          <w:rPr>
            <w:rStyle w:val="Hyperlink"/>
            <w:noProof/>
          </w:rPr>
          <w:t>6.</w:t>
        </w:r>
        <w:r w:rsidR="0053323C">
          <w:rPr>
            <w:rFonts w:asciiTheme="minorHAnsi" w:eastAsiaTheme="minorEastAsia" w:hAnsiTheme="minorHAnsi"/>
            <w:b w:val="0"/>
            <w:noProof/>
            <w:sz w:val="22"/>
            <w:szCs w:val="22"/>
            <w:lang w:eastAsia="en-AU"/>
          </w:rPr>
          <w:tab/>
        </w:r>
        <w:r w:rsidR="0053323C" w:rsidRPr="004E71EC">
          <w:rPr>
            <w:rStyle w:val="Hyperlink"/>
            <w:noProof/>
          </w:rPr>
          <w:t>Strengthening the policy response</w:t>
        </w:r>
        <w:r w:rsidR="0053323C">
          <w:rPr>
            <w:noProof/>
            <w:webHidden/>
          </w:rPr>
          <w:tab/>
        </w:r>
        <w:r w:rsidR="0053323C">
          <w:rPr>
            <w:noProof/>
            <w:webHidden/>
          </w:rPr>
          <w:fldChar w:fldCharType="begin"/>
        </w:r>
        <w:r w:rsidR="0053323C">
          <w:rPr>
            <w:noProof/>
            <w:webHidden/>
          </w:rPr>
          <w:instrText xml:space="preserve"> PAGEREF _Toc31392349 \h </w:instrText>
        </w:r>
        <w:r w:rsidR="0053323C">
          <w:rPr>
            <w:noProof/>
            <w:webHidden/>
          </w:rPr>
        </w:r>
        <w:r w:rsidR="0053323C">
          <w:rPr>
            <w:noProof/>
            <w:webHidden/>
          </w:rPr>
          <w:fldChar w:fldCharType="separate"/>
        </w:r>
        <w:r w:rsidR="0053323C">
          <w:rPr>
            <w:noProof/>
            <w:webHidden/>
          </w:rPr>
          <w:t>83</w:t>
        </w:r>
        <w:r w:rsidR="0053323C">
          <w:rPr>
            <w:noProof/>
            <w:webHidden/>
          </w:rPr>
          <w:fldChar w:fldCharType="end"/>
        </w:r>
      </w:hyperlink>
    </w:p>
    <w:p w14:paraId="26FA2F12" w14:textId="04E4D917" w:rsidR="0053323C" w:rsidRDefault="00B7364D">
      <w:pPr>
        <w:pStyle w:val="TOC2"/>
        <w:rPr>
          <w:rFonts w:asciiTheme="minorHAnsi" w:eastAsiaTheme="minorEastAsia" w:hAnsiTheme="minorHAnsi"/>
          <w:noProof/>
          <w:sz w:val="22"/>
          <w:szCs w:val="22"/>
          <w:lang w:eastAsia="en-AU"/>
        </w:rPr>
      </w:pPr>
      <w:hyperlink w:anchor="_Toc31392350" w:history="1">
        <w:r w:rsidR="0053323C" w:rsidRPr="004E71EC">
          <w:rPr>
            <w:rStyle w:val="Hyperlink"/>
            <w:noProof/>
          </w:rPr>
          <w:t>6.1</w:t>
        </w:r>
        <w:r w:rsidR="0053323C">
          <w:rPr>
            <w:rFonts w:asciiTheme="minorHAnsi" w:eastAsiaTheme="minorEastAsia" w:hAnsiTheme="minorHAnsi"/>
            <w:noProof/>
            <w:sz w:val="22"/>
            <w:szCs w:val="22"/>
            <w:lang w:eastAsia="en-AU"/>
          </w:rPr>
          <w:tab/>
        </w:r>
        <w:r w:rsidR="0053323C" w:rsidRPr="004E71EC">
          <w:rPr>
            <w:rStyle w:val="Hyperlink"/>
            <w:noProof/>
          </w:rPr>
          <w:t>Empowering target communities</w:t>
        </w:r>
        <w:r w:rsidR="0053323C">
          <w:rPr>
            <w:noProof/>
            <w:webHidden/>
          </w:rPr>
          <w:tab/>
        </w:r>
        <w:r w:rsidR="0053323C">
          <w:rPr>
            <w:noProof/>
            <w:webHidden/>
          </w:rPr>
          <w:fldChar w:fldCharType="begin"/>
        </w:r>
        <w:r w:rsidR="0053323C">
          <w:rPr>
            <w:noProof/>
            <w:webHidden/>
          </w:rPr>
          <w:instrText xml:space="preserve"> PAGEREF _Toc31392350 \h </w:instrText>
        </w:r>
        <w:r w:rsidR="0053323C">
          <w:rPr>
            <w:noProof/>
            <w:webHidden/>
          </w:rPr>
        </w:r>
        <w:r w:rsidR="0053323C">
          <w:rPr>
            <w:noProof/>
            <w:webHidden/>
          </w:rPr>
          <w:fldChar w:fldCharType="separate"/>
        </w:r>
        <w:r w:rsidR="0053323C">
          <w:rPr>
            <w:noProof/>
            <w:webHidden/>
          </w:rPr>
          <w:t>83</w:t>
        </w:r>
        <w:r w:rsidR="0053323C">
          <w:rPr>
            <w:noProof/>
            <w:webHidden/>
          </w:rPr>
          <w:fldChar w:fldCharType="end"/>
        </w:r>
      </w:hyperlink>
    </w:p>
    <w:p w14:paraId="66EC8035" w14:textId="3D72139E" w:rsidR="0053323C" w:rsidRDefault="00B7364D">
      <w:pPr>
        <w:pStyle w:val="TOC2"/>
        <w:rPr>
          <w:rFonts w:asciiTheme="minorHAnsi" w:eastAsiaTheme="minorEastAsia" w:hAnsiTheme="minorHAnsi"/>
          <w:noProof/>
          <w:sz w:val="22"/>
          <w:szCs w:val="22"/>
          <w:lang w:eastAsia="en-AU"/>
        </w:rPr>
      </w:pPr>
      <w:hyperlink w:anchor="_Toc31392351" w:history="1">
        <w:r w:rsidR="0053323C" w:rsidRPr="004E71EC">
          <w:rPr>
            <w:rStyle w:val="Hyperlink"/>
            <w:noProof/>
          </w:rPr>
          <w:t>6.2</w:t>
        </w:r>
        <w:r w:rsidR="0053323C">
          <w:rPr>
            <w:rFonts w:asciiTheme="minorHAnsi" w:eastAsiaTheme="minorEastAsia" w:hAnsiTheme="minorHAnsi"/>
            <w:noProof/>
            <w:sz w:val="22"/>
            <w:szCs w:val="22"/>
            <w:lang w:eastAsia="en-AU"/>
          </w:rPr>
          <w:tab/>
        </w:r>
        <w:r w:rsidR="0053323C" w:rsidRPr="004E71EC">
          <w:rPr>
            <w:rStyle w:val="Hyperlink"/>
            <w:noProof/>
          </w:rPr>
          <w:t>Addressing the barriers to reporting</w:t>
        </w:r>
        <w:r w:rsidR="0053323C">
          <w:rPr>
            <w:noProof/>
            <w:webHidden/>
          </w:rPr>
          <w:tab/>
        </w:r>
        <w:r w:rsidR="0053323C">
          <w:rPr>
            <w:noProof/>
            <w:webHidden/>
          </w:rPr>
          <w:fldChar w:fldCharType="begin"/>
        </w:r>
        <w:r w:rsidR="0053323C">
          <w:rPr>
            <w:noProof/>
            <w:webHidden/>
          </w:rPr>
          <w:instrText xml:space="preserve"> PAGEREF _Toc31392351 \h </w:instrText>
        </w:r>
        <w:r w:rsidR="0053323C">
          <w:rPr>
            <w:noProof/>
            <w:webHidden/>
          </w:rPr>
        </w:r>
        <w:r w:rsidR="0053323C">
          <w:rPr>
            <w:noProof/>
            <w:webHidden/>
          </w:rPr>
          <w:fldChar w:fldCharType="separate"/>
        </w:r>
        <w:r w:rsidR="0053323C">
          <w:rPr>
            <w:noProof/>
            <w:webHidden/>
          </w:rPr>
          <w:t>84</w:t>
        </w:r>
        <w:r w:rsidR="0053323C">
          <w:rPr>
            <w:noProof/>
            <w:webHidden/>
          </w:rPr>
          <w:fldChar w:fldCharType="end"/>
        </w:r>
      </w:hyperlink>
    </w:p>
    <w:p w14:paraId="19FF53B6" w14:textId="0064FDA7" w:rsidR="0053323C" w:rsidRDefault="00B7364D">
      <w:pPr>
        <w:pStyle w:val="TOC2"/>
        <w:rPr>
          <w:rFonts w:asciiTheme="minorHAnsi" w:eastAsiaTheme="minorEastAsia" w:hAnsiTheme="minorHAnsi"/>
          <w:noProof/>
          <w:sz w:val="22"/>
          <w:szCs w:val="22"/>
          <w:lang w:eastAsia="en-AU"/>
        </w:rPr>
      </w:pPr>
      <w:hyperlink w:anchor="_Toc31392352" w:history="1">
        <w:r w:rsidR="0053323C" w:rsidRPr="004E71EC">
          <w:rPr>
            <w:rStyle w:val="Hyperlink"/>
            <w:noProof/>
          </w:rPr>
          <w:t>6.3</w:t>
        </w:r>
        <w:r w:rsidR="0053323C">
          <w:rPr>
            <w:rFonts w:asciiTheme="minorHAnsi" w:eastAsiaTheme="minorEastAsia" w:hAnsiTheme="minorHAnsi"/>
            <w:noProof/>
            <w:sz w:val="22"/>
            <w:szCs w:val="22"/>
            <w:lang w:eastAsia="en-AU"/>
          </w:rPr>
          <w:tab/>
        </w:r>
        <w:r w:rsidR="0053323C" w:rsidRPr="004E71EC">
          <w:rPr>
            <w:rStyle w:val="Hyperlink"/>
            <w:noProof/>
          </w:rPr>
          <w:t>Promoting the celebration of diversity</w:t>
        </w:r>
        <w:r w:rsidR="0053323C">
          <w:rPr>
            <w:noProof/>
            <w:webHidden/>
          </w:rPr>
          <w:tab/>
        </w:r>
        <w:r w:rsidR="0053323C">
          <w:rPr>
            <w:noProof/>
            <w:webHidden/>
          </w:rPr>
          <w:fldChar w:fldCharType="begin"/>
        </w:r>
        <w:r w:rsidR="0053323C">
          <w:rPr>
            <w:noProof/>
            <w:webHidden/>
          </w:rPr>
          <w:instrText xml:space="preserve"> PAGEREF _Toc31392352 \h </w:instrText>
        </w:r>
        <w:r w:rsidR="0053323C">
          <w:rPr>
            <w:noProof/>
            <w:webHidden/>
          </w:rPr>
        </w:r>
        <w:r w:rsidR="0053323C">
          <w:rPr>
            <w:noProof/>
            <w:webHidden/>
          </w:rPr>
          <w:fldChar w:fldCharType="separate"/>
        </w:r>
        <w:r w:rsidR="0053323C">
          <w:rPr>
            <w:noProof/>
            <w:webHidden/>
          </w:rPr>
          <w:t>85</w:t>
        </w:r>
        <w:r w:rsidR="0053323C">
          <w:rPr>
            <w:noProof/>
            <w:webHidden/>
          </w:rPr>
          <w:fldChar w:fldCharType="end"/>
        </w:r>
      </w:hyperlink>
    </w:p>
    <w:p w14:paraId="733B3A84" w14:textId="49878820" w:rsidR="0053323C" w:rsidRDefault="00B7364D">
      <w:pPr>
        <w:pStyle w:val="TOC2"/>
        <w:rPr>
          <w:rFonts w:asciiTheme="minorHAnsi" w:eastAsiaTheme="minorEastAsia" w:hAnsiTheme="minorHAnsi"/>
          <w:noProof/>
          <w:sz w:val="22"/>
          <w:szCs w:val="22"/>
          <w:lang w:eastAsia="en-AU"/>
        </w:rPr>
      </w:pPr>
      <w:hyperlink w:anchor="_Toc31392353" w:history="1">
        <w:r w:rsidR="0053323C" w:rsidRPr="004E71EC">
          <w:rPr>
            <w:rStyle w:val="Hyperlink"/>
            <w:noProof/>
          </w:rPr>
          <w:t>6.4</w:t>
        </w:r>
        <w:r w:rsidR="0053323C">
          <w:rPr>
            <w:rFonts w:asciiTheme="minorHAnsi" w:eastAsiaTheme="minorEastAsia" w:hAnsiTheme="minorHAnsi"/>
            <w:noProof/>
            <w:sz w:val="22"/>
            <w:szCs w:val="22"/>
            <w:lang w:eastAsia="en-AU"/>
          </w:rPr>
          <w:tab/>
        </w:r>
        <w:r w:rsidR="0053323C" w:rsidRPr="004E71EC">
          <w:rPr>
            <w:rStyle w:val="Hyperlink"/>
            <w:noProof/>
          </w:rPr>
          <w:t>Improving the response to hate</w:t>
        </w:r>
        <w:r w:rsidR="0053323C">
          <w:rPr>
            <w:noProof/>
            <w:webHidden/>
          </w:rPr>
          <w:tab/>
        </w:r>
        <w:r w:rsidR="0053323C">
          <w:rPr>
            <w:noProof/>
            <w:webHidden/>
          </w:rPr>
          <w:fldChar w:fldCharType="begin"/>
        </w:r>
        <w:r w:rsidR="0053323C">
          <w:rPr>
            <w:noProof/>
            <w:webHidden/>
          </w:rPr>
          <w:instrText xml:space="preserve"> PAGEREF _Toc31392353 \h </w:instrText>
        </w:r>
        <w:r w:rsidR="0053323C">
          <w:rPr>
            <w:noProof/>
            <w:webHidden/>
          </w:rPr>
        </w:r>
        <w:r w:rsidR="0053323C">
          <w:rPr>
            <w:noProof/>
            <w:webHidden/>
          </w:rPr>
          <w:fldChar w:fldCharType="separate"/>
        </w:r>
        <w:r w:rsidR="0053323C">
          <w:rPr>
            <w:noProof/>
            <w:webHidden/>
          </w:rPr>
          <w:t>85</w:t>
        </w:r>
        <w:r w:rsidR="0053323C">
          <w:rPr>
            <w:noProof/>
            <w:webHidden/>
          </w:rPr>
          <w:fldChar w:fldCharType="end"/>
        </w:r>
      </w:hyperlink>
    </w:p>
    <w:p w14:paraId="4240CC25" w14:textId="5D5414ED" w:rsidR="0053323C" w:rsidRDefault="00B7364D">
      <w:pPr>
        <w:pStyle w:val="TOC2"/>
        <w:rPr>
          <w:rFonts w:asciiTheme="minorHAnsi" w:eastAsiaTheme="minorEastAsia" w:hAnsiTheme="minorHAnsi"/>
          <w:noProof/>
          <w:sz w:val="22"/>
          <w:szCs w:val="22"/>
          <w:lang w:eastAsia="en-AU"/>
        </w:rPr>
      </w:pPr>
      <w:hyperlink w:anchor="_Toc31392354" w:history="1">
        <w:r w:rsidR="0053323C" w:rsidRPr="004E71EC">
          <w:rPr>
            <w:rStyle w:val="Hyperlink"/>
            <w:noProof/>
          </w:rPr>
          <w:t>6.5</w:t>
        </w:r>
        <w:r w:rsidR="0053323C">
          <w:rPr>
            <w:rFonts w:asciiTheme="minorHAnsi" w:eastAsiaTheme="minorEastAsia" w:hAnsiTheme="minorHAnsi"/>
            <w:noProof/>
            <w:sz w:val="22"/>
            <w:szCs w:val="22"/>
            <w:lang w:eastAsia="en-AU"/>
          </w:rPr>
          <w:tab/>
        </w:r>
        <w:r w:rsidR="0053323C" w:rsidRPr="004E71EC">
          <w:rPr>
            <w:rStyle w:val="Hyperlink"/>
            <w:noProof/>
          </w:rPr>
          <w:t>Strengthening research, data and reporting</w:t>
        </w:r>
        <w:r w:rsidR="0053323C">
          <w:rPr>
            <w:noProof/>
            <w:webHidden/>
          </w:rPr>
          <w:tab/>
        </w:r>
        <w:r w:rsidR="0053323C">
          <w:rPr>
            <w:noProof/>
            <w:webHidden/>
          </w:rPr>
          <w:fldChar w:fldCharType="begin"/>
        </w:r>
        <w:r w:rsidR="0053323C">
          <w:rPr>
            <w:noProof/>
            <w:webHidden/>
          </w:rPr>
          <w:instrText xml:space="preserve"> PAGEREF _Toc31392354 \h </w:instrText>
        </w:r>
        <w:r w:rsidR="0053323C">
          <w:rPr>
            <w:noProof/>
            <w:webHidden/>
          </w:rPr>
        </w:r>
        <w:r w:rsidR="0053323C">
          <w:rPr>
            <w:noProof/>
            <w:webHidden/>
          </w:rPr>
          <w:fldChar w:fldCharType="separate"/>
        </w:r>
        <w:r w:rsidR="0053323C">
          <w:rPr>
            <w:noProof/>
            <w:webHidden/>
          </w:rPr>
          <w:t>87</w:t>
        </w:r>
        <w:r w:rsidR="0053323C">
          <w:rPr>
            <w:noProof/>
            <w:webHidden/>
          </w:rPr>
          <w:fldChar w:fldCharType="end"/>
        </w:r>
      </w:hyperlink>
    </w:p>
    <w:p w14:paraId="4AE47A63" w14:textId="3CD39FF0" w:rsidR="0053323C" w:rsidRDefault="00B7364D">
      <w:pPr>
        <w:pStyle w:val="TOC4"/>
        <w:rPr>
          <w:rFonts w:asciiTheme="minorHAnsi" w:eastAsiaTheme="minorEastAsia" w:hAnsiTheme="minorHAnsi"/>
          <w:sz w:val="22"/>
          <w:szCs w:val="22"/>
          <w:lang w:eastAsia="en-AU"/>
        </w:rPr>
      </w:pPr>
      <w:hyperlink w:anchor="_Toc31392355" w:history="1">
        <w:r w:rsidR="0053323C" w:rsidRPr="004E71EC">
          <w:rPr>
            <w:rStyle w:val="Hyperlink"/>
          </w:rPr>
          <w:t>Appendix A: Acknowledgment of stakeholders</w:t>
        </w:r>
        <w:r w:rsidR="0053323C">
          <w:rPr>
            <w:webHidden/>
          </w:rPr>
          <w:tab/>
        </w:r>
        <w:r w:rsidR="0053323C">
          <w:rPr>
            <w:webHidden/>
          </w:rPr>
          <w:fldChar w:fldCharType="begin"/>
        </w:r>
        <w:r w:rsidR="0053323C">
          <w:rPr>
            <w:webHidden/>
          </w:rPr>
          <w:instrText xml:space="preserve"> PAGEREF _Toc31392355 \h </w:instrText>
        </w:r>
        <w:r w:rsidR="0053323C">
          <w:rPr>
            <w:webHidden/>
          </w:rPr>
        </w:r>
        <w:r w:rsidR="0053323C">
          <w:rPr>
            <w:webHidden/>
          </w:rPr>
          <w:fldChar w:fldCharType="separate"/>
        </w:r>
        <w:r w:rsidR="0053323C">
          <w:rPr>
            <w:webHidden/>
          </w:rPr>
          <w:t>89</w:t>
        </w:r>
        <w:r w:rsidR="0053323C">
          <w:rPr>
            <w:webHidden/>
          </w:rPr>
          <w:fldChar w:fldCharType="end"/>
        </w:r>
      </w:hyperlink>
    </w:p>
    <w:p w14:paraId="09041AA5" w14:textId="3AF01100" w:rsidR="00452A9D" w:rsidRDefault="002F6C8C" w:rsidP="00452A9D">
      <w:r>
        <w:rPr>
          <w:b/>
        </w:rPr>
        <w:fldChar w:fldCharType="end"/>
      </w:r>
    </w:p>
    <w:p w14:paraId="1971EC8D" w14:textId="4C1B6E6F" w:rsidR="00AE0185" w:rsidRPr="00935AF2" w:rsidRDefault="00AE0185" w:rsidP="00935AF2">
      <w:pPr>
        <w:spacing w:after="200" w:line="276" w:lineRule="auto"/>
        <w:rPr>
          <w:rFonts w:eastAsiaTheme="majorEastAsia" w:cstheme="majorBidi"/>
          <w:bCs/>
          <w:sz w:val="48"/>
          <w:szCs w:val="28"/>
        </w:rPr>
        <w:sectPr w:rsidR="00AE0185" w:rsidRPr="00935AF2" w:rsidSect="003606CA">
          <w:headerReference w:type="first" r:id="rId20"/>
          <w:footerReference w:type="first" r:id="rId21"/>
          <w:endnotePr>
            <w:numFmt w:val="decimal"/>
          </w:endnotePr>
          <w:pgSz w:w="11907" w:h="16839" w:code="9"/>
          <w:pgMar w:top="1134" w:right="1418" w:bottom="1134" w:left="1418" w:header="720" w:footer="720" w:gutter="0"/>
          <w:pgNumType w:start="2"/>
          <w:cols w:space="720"/>
          <w:docGrid w:linePitch="360"/>
        </w:sectPr>
      </w:pPr>
    </w:p>
    <w:p w14:paraId="428CACDF" w14:textId="3F30918E" w:rsidR="00732448" w:rsidRDefault="0049703E" w:rsidP="006B18AC">
      <w:pPr>
        <w:pStyle w:val="Heading1"/>
      </w:pPr>
      <w:bookmarkStart w:id="1" w:name="_Toc31392324"/>
      <w:r>
        <w:lastRenderedPageBreak/>
        <w:t>Executive summary</w:t>
      </w:r>
      <w:bookmarkEnd w:id="1"/>
    </w:p>
    <w:p w14:paraId="19E54357" w14:textId="1A6C8FFE" w:rsidR="005154F6" w:rsidRDefault="00B33940" w:rsidP="00B33940">
      <w:pPr>
        <w:pStyle w:val="BodyText"/>
      </w:pPr>
      <w:r>
        <w:t xml:space="preserve">The Victorian Equal Opportunity and Human Rights Commission (the Commission) welcomes </w:t>
      </w:r>
      <w:r w:rsidR="009A31D7">
        <w:t xml:space="preserve">the </w:t>
      </w:r>
      <w:r w:rsidR="003068CE">
        <w:t xml:space="preserve">opportunity to contribute to </w:t>
      </w:r>
      <w:r>
        <w:t xml:space="preserve">the </w:t>
      </w:r>
      <w:r w:rsidR="0050072F">
        <w:t xml:space="preserve">Legal and Social Issues </w:t>
      </w:r>
      <w:r w:rsidR="00AA5F60">
        <w:t>Committee’s Inquiry into Anti-Vilification Protections in Victoria (the Inquiry)</w:t>
      </w:r>
      <w:r w:rsidR="003068CE">
        <w:t xml:space="preserve">. </w:t>
      </w:r>
      <w:r w:rsidR="00D146D5">
        <w:t xml:space="preserve">The Commission has overseen the </w:t>
      </w:r>
      <w:r w:rsidR="003068CE" w:rsidRPr="003068CE">
        <w:rPr>
          <w:rStyle w:val="Characteritalic"/>
        </w:rPr>
        <w:t>Racial and Religious Tolerance Act 2001</w:t>
      </w:r>
      <w:r w:rsidR="003068CE" w:rsidRPr="003068CE">
        <w:rPr>
          <w:rStyle w:val="Characterclear"/>
        </w:rPr>
        <w:t xml:space="preserve"> (Vic)</w:t>
      </w:r>
      <w:r w:rsidR="003068CE" w:rsidRPr="003068CE">
        <w:t xml:space="preserve"> (the RRTA)</w:t>
      </w:r>
      <w:r w:rsidR="00683404">
        <w:t xml:space="preserve"> </w:t>
      </w:r>
      <w:r w:rsidR="00D146D5">
        <w:t>for the</w:t>
      </w:r>
      <w:r w:rsidR="00683404">
        <w:t xml:space="preserve"> nearly two decades</w:t>
      </w:r>
      <w:r w:rsidR="005154F6">
        <w:t xml:space="preserve"> the Act</w:t>
      </w:r>
      <w:r w:rsidR="00683404">
        <w:t xml:space="preserve"> has been</w:t>
      </w:r>
      <w:r w:rsidR="00D146D5">
        <w:t xml:space="preserve"> in operatio</w:t>
      </w:r>
      <w:r w:rsidR="005154F6">
        <w:t>n</w:t>
      </w:r>
      <w:r w:rsidR="008F55C1">
        <w:t>. We</w:t>
      </w:r>
      <w:r w:rsidR="00D146D5">
        <w:t xml:space="preserve"> consider thi</w:t>
      </w:r>
      <w:r w:rsidR="00683404">
        <w:t xml:space="preserve">s </w:t>
      </w:r>
      <w:r w:rsidR="00D146D5">
        <w:t xml:space="preserve">Inquiry </w:t>
      </w:r>
      <w:r w:rsidR="005154F6">
        <w:t xml:space="preserve">timely as we </w:t>
      </w:r>
      <w:r w:rsidR="00FE1047" w:rsidRPr="00FE1047">
        <w:t>confront the fact that the RRTA has not been as effective as was envisaged in 2001</w:t>
      </w:r>
      <w:r w:rsidR="00122AB5">
        <w:t xml:space="preserve">. </w:t>
      </w:r>
    </w:p>
    <w:p w14:paraId="41AC55F0" w14:textId="0CE4245C" w:rsidR="00EB669C" w:rsidRDefault="008D4C35" w:rsidP="00B33940">
      <w:pPr>
        <w:pStyle w:val="BodyText"/>
      </w:pPr>
      <w:r>
        <w:t xml:space="preserve">For the most part, Victorians respect and celebrate </w:t>
      </w:r>
      <w:r w:rsidR="005154F6">
        <w:t xml:space="preserve">our </w:t>
      </w:r>
      <w:r>
        <w:t>diver</w:t>
      </w:r>
      <w:r w:rsidR="005154F6">
        <w:t>se and vibrant society</w:t>
      </w:r>
      <w:r>
        <w:t xml:space="preserve">. </w:t>
      </w:r>
      <w:r w:rsidR="00EB669C">
        <w:t xml:space="preserve">However, in recent years, racist media coverage, reports of rising </w:t>
      </w:r>
      <w:r w:rsidR="00111810">
        <w:t>anti-Semitism</w:t>
      </w:r>
      <w:r w:rsidR="00EB669C">
        <w:t>, and the spread of right-wing extremism online have refocused our attention on the prevalence, nature and impact on hate within the Victorian community.</w:t>
      </w:r>
    </w:p>
    <w:p w14:paraId="1F030365" w14:textId="10136A13" w:rsidR="001565B4" w:rsidRDefault="00C94534" w:rsidP="00B33940">
      <w:pPr>
        <w:pStyle w:val="BodyText"/>
      </w:pPr>
      <w:r>
        <w:t>T</w:t>
      </w:r>
      <w:r w:rsidR="001565B4">
        <w:t>here have been only two successful cases</w:t>
      </w:r>
      <w:r>
        <w:t xml:space="preserve"> of vilification</w:t>
      </w:r>
      <w:r w:rsidR="001565B4">
        <w:t xml:space="preserve"> in the Victorian Civil and Administrative Tribunal (VCAT) and one successful prosecution of serious vilification, calling into question the effectiveness of Victoria’s anti-vilification protections. </w:t>
      </w:r>
    </w:p>
    <w:p w14:paraId="28AFBACE" w14:textId="17ED5548" w:rsidR="00A41980" w:rsidRDefault="00122AB5" w:rsidP="00B33940">
      <w:pPr>
        <w:pStyle w:val="BodyText"/>
      </w:pPr>
      <w:r>
        <w:t>We know s</w:t>
      </w:r>
      <w:r w:rsidR="004261AE">
        <w:t xml:space="preserve">trong </w:t>
      </w:r>
      <w:r w:rsidR="00A41980">
        <w:t>laws</w:t>
      </w:r>
      <w:r w:rsidR="00FE1047">
        <w:t>,</w:t>
      </w:r>
      <w:r w:rsidR="00A41980">
        <w:t xml:space="preserve"> </w:t>
      </w:r>
      <w:r>
        <w:t xml:space="preserve">when accessible and effective, </w:t>
      </w:r>
      <w:r w:rsidR="005866A7">
        <w:t>are a</w:t>
      </w:r>
      <w:r w:rsidR="005C7C8E">
        <w:t xml:space="preserve">n important </w:t>
      </w:r>
      <w:r w:rsidR="005866A7">
        <w:t xml:space="preserve">way </w:t>
      </w:r>
      <w:r w:rsidR="005C7C8E">
        <w:t xml:space="preserve">of promoting diversity and </w:t>
      </w:r>
      <w:r w:rsidR="008A5779">
        <w:t xml:space="preserve">social cohesion. </w:t>
      </w:r>
      <w:r w:rsidR="00DD5882">
        <w:t xml:space="preserve">As explained by the Victorian County Court: </w:t>
      </w:r>
      <w:r w:rsidR="005866A7">
        <w:t xml:space="preserve"> </w:t>
      </w:r>
    </w:p>
    <w:p w14:paraId="7C818779" w14:textId="7D775D26" w:rsidR="00122AB5" w:rsidRDefault="00DD5882" w:rsidP="00122AB5">
      <w:pPr>
        <w:pStyle w:val="Quote"/>
      </w:pPr>
      <w:r>
        <w:t>[R]acial</w:t>
      </w:r>
      <w:r w:rsidR="00A41980" w:rsidRPr="00A41980">
        <w:t xml:space="preserve"> and religious vilification speech - especially of an extreme kind ‘is antithetical to the fundamental principles of equality, democratic pluralism and respect for individual dignity which lie at the heart of the protection of human rights’. Such legislation positively promotes people of different religions to participate in public life and discourse, free from vilification.</w:t>
      </w:r>
      <w:r w:rsidR="00A41980" w:rsidRPr="00A41980">
        <w:rPr>
          <w:rStyle w:val="EndnoteReference"/>
        </w:rPr>
        <w:endnoteReference w:id="2"/>
      </w:r>
    </w:p>
    <w:p w14:paraId="0019AE7F" w14:textId="201B78C0" w:rsidR="00086E94" w:rsidRDefault="00086E94" w:rsidP="00086E94">
      <w:pPr>
        <w:pStyle w:val="BodyText"/>
      </w:pPr>
      <w:r>
        <w:t xml:space="preserve">The Victorian Parliament’s </w:t>
      </w:r>
      <w:r w:rsidR="00BD3CA5">
        <w:t>I</w:t>
      </w:r>
      <w:r>
        <w:t>nquiry into Victoria’s anti-vilification protections is a valuable opportunity to create a more robust and expansive framework for protecting Victorians from hate</w:t>
      </w:r>
      <w:r w:rsidR="002471CE">
        <w:t xml:space="preserve"> and address</w:t>
      </w:r>
      <w:r w:rsidR="00C94534">
        <w:t>ing</w:t>
      </w:r>
      <w:r w:rsidR="002471CE">
        <w:t xml:space="preserve"> modern challenges, such as the nature and magnitude of online hate</w:t>
      </w:r>
      <w:r>
        <w:t xml:space="preserve">. </w:t>
      </w:r>
    </w:p>
    <w:p w14:paraId="5E593909" w14:textId="4332B873" w:rsidR="0049703E" w:rsidRDefault="004F1FE3" w:rsidP="004F1FE3">
      <w:pPr>
        <w:pStyle w:val="Heading4"/>
      </w:pPr>
      <w:r>
        <w:t xml:space="preserve">Hate in the Victorian community </w:t>
      </w:r>
      <w:r w:rsidR="0010236A">
        <w:t>(</w:t>
      </w:r>
      <w:r w:rsidR="00FE1047">
        <w:t>P</w:t>
      </w:r>
      <w:r w:rsidR="0010236A">
        <w:t xml:space="preserve">art 3) </w:t>
      </w:r>
    </w:p>
    <w:p w14:paraId="4EDA3E6D" w14:textId="16D6C6AC" w:rsidR="001D4AE1" w:rsidRDefault="001D4AE1" w:rsidP="005E7AEC">
      <w:pPr>
        <w:pStyle w:val="BodyText"/>
      </w:pPr>
      <w:r w:rsidRPr="001D4AE1">
        <w:t xml:space="preserve">All Victorians should be able to live free from hate in our community. However, hate conduct </w:t>
      </w:r>
      <w:r w:rsidR="00A018A3">
        <w:t>is real</w:t>
      </w:r>
      <w:r w:rsidR="003A74C1">
        <w:t xml:space="preserve">, persistent </w:t>
      </w:r>
      <w:r w:rsidRPr="001D4AE1">
        <w:t xml:space="preserve">and is taking new forms in the digital age. Hate impacts people’s dignity, sense of self-worth and belonging to a community. It also diminishes </w:t>
      </w:r>
      <w:r w:rsidR="00A018A3">
        <w:t xml:space="preserve">an </w:t>
      </w:r>
      <w:r w:rsidRPr="001D4AE1">
        <w:t>individual’s ability to fully participate and contribute to society.</w:t>
      </w:r>
      <w:r w:rsidR="00C94534">
        <w:t xml:space="preserve"> When left unchecked, it can also lead to violence</w:t>
      </w:r>
      <w:r w:rsidR="00BD3CA5">
        <w:t>,</w:t>
      </w:r>
      <w:r w:rsidR="00C94534">
        <w:t xml:space="preserve"> such as the horrific mass murder of 51 Muslim worshipers in New Zealand in March 2019. </w:t>
      </w:r>
    </w:p>
    <w:p w14:paraId="68A090E5" w14:textId="647D4824" w:rsidR="00E4419B" w:rsidRDefault="00E4419B" w:rsidP="00E4419B">
      <w:pPr>
        <w:pStyle w:val="BodyText"/>
      </w:pPr>
      <w:r>
        <w:t xml:space="preserve">Despite protections under the RRTA, hate aimed at multicultural and multifaith communities as well as Aboriginal people, appears to be on the rise in Victoria (and across </w:t>
      </w:r>
      <w:r w:rsidR="00F57404" w:rsidRPr="00F57404">
        <w:t>Australia</w:t>
      </w:r>
      <w:r>
        <w:t>).</w:t>
      </w:r>
      <w:r w:rsidR="001C099C">
        <w:t xml:space="preserve"> Numerous reports</w:t>
      </w:r>
      <w:r w:rsidR="001C099C">
        <w:rPr>
          <w:rStyle w:val="EndnoteReference"/>
        </w:rPr>
        <w:endnoteReference w:id="3"/>
      </w:r>
      <w:r w:rsidR="001C099C">
        <w:t xml:space="preserve"> and r</w:t>
      </w:r>
      <w:r>
        <w:t>ecent events such as the Hammered Music Festival advertised by a white supremacist hate group,</w:t>
      </w:r>
      <w:r>
        <w:rPr>
          <w:rStyle w:val="EndnoteReference"/>
        </w:rPr>
        <w:endnoteReference w:id="4"/>
      </w:r>
      <w:r>
        <w:t xml:space="preserve"> serious incidents of anti-Semitic and Islamophobic abuse of school children,</w:t>
      </w:r>
      <w:r>
        <w:rPr>
          <w:rStyle w:val="EndnoteReference"/>
        </w:rPr>
        <w:endnoteReference w:id="5"/>
      </w:r>
      <w:r>
        <w:t xml:space="preserve"> the </w:t>
      </w:r>
      <w:r w:rsidR="00EB669C">
        <w:t xml:space="preserve">flying </w:t>
      </w:r>
      <w:r>
        <w:t xml:space="preserve">of a Nazi flag </w:t>
      </w:r>
      <w:r w:rsidR="00EB669C">
        <w:t>over</w:t>
      </w:r>
      <w:r>
        <w:t xml:space="preserve"> a ho</w:t>
      </w:r>
      <w:r w:rsidR="00EB669C">
        <w:t>use</w:t>
      </w:r>
      <w:r>
        <w:t xml:space="preserve"> in </w:t>
      </w:r>
      <w:r w:rsidR="00EB669C">
        <w:t>regional Victoria</w:t>
      </w:r>
      <w:r>
        <w:rPr>
          <w:rStyle w:val="EndnoteReference"/>
        </w:rPr>
        <w:endnoteReference w:id="6"/>
      </w:r>
      <w:r>
        <w:t xml:space="preserve"> and the ongoing racial abuse of African Victorians,</w:t>
      </w:r>
      <w:r>
        <w:rPr>
          <w:rStyle w:val="EndnoteReference"/>
        </w:rPr>
        <w:endnoteReference w:id="7"/>
      </w:r>
      <w:r>
        <w:t xml:space="preserve"> suggest the law is not working as it should. </w:t>
      </w:r>
    </w:p>
    <w:p w14:paraId="3E95296A" w14:textId="7625528B" w:rsidR="00C94534" w:rsidRDefault="00810FC1" w:rsidP="005E7AEC">
      <w:pPr>
        <w:pStyle w:val="BodyText"/>
      </w:pPr>
      <w:r>
        <w:t xml:space="preserve">We know that there are many other groups who are victims of hate – </w:t>
      </w:r>
      <w:r w:rsidR="0017099D">
        <w:t xml:space="preserve">in particular </w:t>
      </w:r>
      <w:r>
        <w:t xml:space="preserve">LGBTIQ people, women and people with disability. </w:t>
      </w:r>
      <w:r w:rsidR="00A018A3">
        <w:t>These groups are not currently protected under vilification laws in Victoria</w:t>
      </w:r>
      <w:r w:rsidR="006832E5">
        <w:t>,</w:t>
      </w:r>
      <w:r w:rsidR="002B5CFB">
        <w:t xml:space="preserve"> </w:t>
      </w:r>
      <w:r w:rsidR="00B950E5">
        <w:t xml:space="preserve">despite </w:t>
      </w:r>
      <w:r w:rsidR="000A7E4D">
        <w:t>extensive</w:t>
      </w:r>
      <w:r w:rsidR="00B950E5">
        <w:t xml:space="preserve"> evidence of harm. </w:t>
      </w:r>
    </w:p>
    <w:p w14:paraId="1E4F6630" w14:textId="1367790B" w:rsidR="004F1FE3" w:rsidRDefault="004F1FE3" w:rsidP="004F1FE3">
      <w:pPr>
        <w:pStyle w:val="Heading4"/>
      </w:pPr>
      <w:r>
        <w:lastRenderedPageBreak/>
        <w:t xml:space="preserve">The limitations of law and enforcement </w:t>
      </w:r>
      <w:r w:rsidR="0010236A">
        <w:t>(</w:t>
      </w:r>
      <w:r w:rsidR="00FE1047">
        <w:t>P</w:t>
      </w:r>
      <w:r w:rsidR="0010236A">
        <w:t xml:space="preserve">art 4) </w:t>
      </w:r>
    </w:p>
    <w:p w14:paraId="103DAA96" w14:textId="51AF76E2" w:rsidR="0091339C" w:rsidRDefault="00EB669C" w:rsidP="004F1FE3">
      <w:pPr>
        <w:pStyle w:val="BodyText"/>
      </w:pPr>
      <w:r>
        <w:t>T</w:t>
      </w:r>
      <w:r w:rsidR="00A018A3">
        <w:t xml:space="preserve">he RRTA </w:t>
      </w:r>
      <w:r>
        <w:t>is</w:t>
      </w:r>
      <w:r w:rsidR="00A018A3">
        <w:t xml:space="preserve"> an </w:t>
      </w:r>
      <w:r w:rsidR="00AC0322" w:rsidRPr="00AC0322">
        <w:t>important tool in countering hate and setting standards for acceptable behaviour</w:t>
      </w:r>
      <w:r w:rsidR="00AC0322">
        <w:t xml:space="preserve">. </w:t>
      </w:r>
      <w:r w:rsidR="007D0AD6">
        <w:t xml:space="preserve">However, the </w:t>
      </w:r>
      <w:r w:rsidR="00A018A3">
        <w:t xml:space="preserve">current </w:t>
      </w:r>
      <w:r w:rsidR="007D0AD6">
        <w:t xml:space="preserve">law </w:t>
      </w:r>
      <w:r w:rsidR="00463BB2">
        <w:t>has been under-utilised</w:t>
      </w:r>
      <w:r w:rsidR="00091BAC">
        <w:t xml:space="preserve"> and un</w:t>
      </w:r>
      <w:r w:rsidR="00A018A3">
        <w:t>der-</w:t>
      </w:r>
      <w:r w:rsidR="00091BAC">
        <w:t>enforced</w:t>
      </w:r>
      <w:r w:rsidR="00A166C7">
        <w:t xml:space="preserve"> in </w:t>
      </w:r>
      <w:r w:rsidR="00223E93">
        <w:t>Victoria</w:t>
      </w:r>
      <w:r w:rsidR="00E300C5">
        <w:t xml:space="preserve">. </w:t>
      </w:r>
    </w:p>
    <w:p w14:paraId="044D09CE" w14:textId="351EF2CB" w:rsidR="00E300C5" w:rsidRDefault="0091339C" w:rsidP="004F1FE3">
      <w:pPr>
        <w:pStyle w:val="BodyText"/>
      </w:pPr>
      <w:r>
        <w:t xml:space="preserve">There are significant </w:t>
      </w:r>
      <w:r w:rsidR="002D7325">
        <w:t>barriers to using the RRTA</w:t>
      </w:r>
      <w:r w:rsidR="00662971">
        <w:t xml:space="preserve">, including that the </w:t>
      </w:r>
      <w:r w:rsidR="003B2018">
        <w:t xml:space="preserve">law is not accessible to the communities </w:t>
      </w:r>
      <w:r w:rsidR="003C5C4C">
        <w:t>it is designed to protect</w:t>
      </w:r>
      <w:r w:rsidR="003B2018">
        <w:t xml:space="preserve">. The </w:t>
      </w:r>
      <w:r w:rsidR="00662971">
        <w:t xml:space="preserve">legal tests for </w:t>
      </w:r>
      <w:r w:rsidR="00F300B3">
        <w:t xml:space="preserve">vilification </w:t>
      </w:r>
      <w:r w:rsidR="00662971">
        <w:t xml:space="preserve">are too high and too complex. The tests require proof that </w:t>
      </w:r>
      <w:r w:rsidR="002B5CFB">
        <w:t xml:space="preserve">hate </w:t>
      </w:r>
      <w:r w:rsidR="00662971">
        <w:t xml:space="preserve">conduct incited extreme negative emotions in an </w:t>
      </w:r>
      <w:r w:rsidR="00093717">
        <w:t>often-unidentifiable</w:t>
      </w:r>
      <w:r w:rsidR="00662971">
        <w:t xml:space="preserve"> audience</w:t>
      </w:r>
      <w:r w:rsidR="000C7485">
        <w:t xml:space="preserve"> and fail to consider the harm caused</w:t>
      </w:r>
      <w:r w:rsidR="00F300B3">
        <w:t xml:space="preserve"> to individuals, target communities and </w:t>
      </w:r>
      <w:r w:rsidR="00957313">
        <w:t xml:space="preserve">broader society. </w:t>
      </w:r>
    </w:p>
    <w:p w14:paraId="534457B3" w14:textId="7EDB3ABC" w:rsidR="00C94534" w:rsidRDefault="00C94534" w:rsidP="004F1FE3">
      <w:pPr>
        <w:pStyle w:val="BodyText"/>
      </w:pPr>
      <w:r>
        <w:t>Despite individuals subject to hate having very real fears of victimisation, the RRTA does not allow representative complaints without identifying individual complainants.</w:t>
      </w:r>
    </w:p>
    <w:p w14:paraId="3A37ED69" w14:textId="4AFE14FA" w:rsidR="00EB37EA" w:rsidRDefault="00F57404" w:rsidP="004F1FE3">
      <w:pPr>
        <w:pStyle w:val="BodyText"/>
      </w:pPr>
      <w:r>
        <w:t xml:space="preserve">The current Act is also difficult for the regulator, the Commission, to enforce. </w:t>
      </w:r>
      <w:r w:rsidR="00C94534">
        <w:t>T</w:t>
      </w:r>
      <w:r w:rsidR="00EB37EA">
        <w:t>he Commission is not empowered to identify unknown respondents</w:t>
      </w:r>
      <w:r w:rsidR="00DF478B">
        <w:t>, undermining our ability to combat online hate</w:t>
      </w:r>
      <w:r w:rsidR="00F972F8">
        <w:t xml:space="preserve"> and hold perpetrators to account</w:t>
      </w:r>
      <w:r w:rsidR="00DF478B">
        <w:t xml:space="preserve">. </w:t>
      </w:r>
    </w:p>
    <w:p w14:paraId="3CDC48B7" w14:textId="500AAFCB" w:rsidR="00B37D9C" w:rsidRDefault="00810FC1" w:rsidP="004F1FE3">
      <w:pPr>
        <w:pStyle w:val="BodyText"/>
      </w:pPr>
      <w:r>
        <w:t xml:space="preserve">When it comes to policing vilification, one of the challenges is its complexity and visibility as a crime (not currently located in the </w:t>
      </w:r>
      <w:r w:rsidRPr="006832E5">
        <w:rPr>
          <w:i/>
        </w:rPr>
        <w:t>Crimes Ac</w:t>
      </w:r>
      <w:r>
        <w:rPr>
          <w:i/>
        </w:rPr>
        <w:t xml:space="preserve">t 1958 </w:t>
      </w:r>
      <w:r>
        <w:t>(Vic)</w:t>
      </w:r>
      <w:r w:rsidR="006B70F7">
        <w:t xml:space="preserve"> (the Crimes Act</w:t>
      </w:r>
      <w:r>
        <w:t>)</w:t>
      </w:r>
      <w:r w:rsidR="00870543">
        <w:t>)</w:t>
      </w:r>
      <w:r>
        <w:t xml:space="preserve">, and the weight of the available penalties. </w:t>
      </w:r>
      <w:r w:rsidR="006B70F7">
        <w:t>Police are more likely to rely on</w:t>
      </w:r>
      <w:r w:rsidR="003C6A05">
        <w:t xml:space="preserve"> </w:t>
      </w:r>
      <w:r w:rsidR="00AA138E">
        <w:t xml:space="preserve">alternative </w:t>
      </w:r>
      <w:r w:rsidR="006B70F7">
        <w:t xml:space="preserve">‘tried and tested’ </w:t>
      </w:r>
      <w:r w:rsidR="00AA138E">
        <w:t>offences</w:t>
      </w:r>
      <w:r w:rsidR="006B70F7">
        <w:t>, but these</w:t>
      </w:r>
      <w:r w:rsidR="00A82851">
        <w:t xml:space="preserve"> do not recognise the specific context and impact of hate-motivated crime</w:t>
      </w:r>
      <w:r w:rsidR="002B5CFB">
        <w:t xml:space="preserve">. </w:t>
      </w:r>
    </w:p>
    <w:p w14:paraId="40EBCA1E" w14:textId="19892A10" w:rsidR="002871C3" w:rsidRDefault="001055B8" w:rsidP="004F1FE3">
      <w:pPr>
        <w:pStyle w:val="BodyText"/>
      </w:pPr>
      <w:r>
        <w:t>T</w:t>
      </w:r>
      <w:r w:rsidR="00781A46">
        <w:t xml:space="preserve">he Commission is </w:t>
      </w:r>
      <w:r w:rsidR="006C63E5">
        <w:t>also</w:t>
      </w:r>
      <w:r w:rsidR="00C22D86">
        <w:t xml:space="preserve"> </w:t>
      </w:r>
      <w:r w:rsidR="00781A46">
        <w:t xml:space="preserve">concerned that </w:t>
      </w:r>
      <w:r w:rsidR="002871C3">
        <w:t>the</w:t>
      </w:r>
      <w:r w:rsidR="00810FC1">
        <w:t xml:space="preserve"> current provisions under the RRTA place a significant burden on individual complainants who have experienced vilification. The Commission does not currently have power to address underlying causes and drive system change. </w:t>
      </w:r>
      <w:r w:rsidR="002F386D">
        <w:t>Instead,</w:t>
      </w:r>
      <w:r w:rsidR="00810FC1">
        <w:t xml:space="preserve"> we must rely on individuals to make complaints. </w:t>
      </w:r>
      <w:r w:rsidR="002B5CFB">
        <w:t xml:space="preserve">This individualises the harm of hate conduct, rather than recognising and addressing the harm to the broader community. </w:t>
      </w:r>
    </w:p>
    <w:p w14:paraId="4EAB5258" w14:textId="664F4556" w:rsidR="004F1FE3" w:rsidRDefault="004F1FE3" w:rsidP="004F1FE3">
      <w:pPr>
        <w:pStyle w:val="Heading4"/>
      </w:pPr>
      <w:r>
        <w:t xml:space="preserve">Strengthening law and enforcement </w:t>
      </w:r>
      <w:r w:rsidR="0010236A">
        <w:t>(</w:t>
      </w:r>
      <w:r w:rsidR="00FE1047">
        <w:t>P</w:t>
      </w:r>
      <w:r w:rsidR="0010236A">
        <w:t>art 5)</w:t>
      </w:r>
    </w:p>
    <w:p w14:paraId="5C2D7560" w14:textId="4C072AF1" w:rsidR="000C4112" w:rsidRDefault="000C4112" w:rsidP="002B5CFB">
      <w:pPr>
        <w:pStyle w:val="BodyText"/>
      </w:pPr>
      <w:r>
        <w:t>To more effectively combat hate in the Victorian community</w:t>
      </w:r>
      <w:r w:rsidR="003766EE">
        <w:t xml:space="preserve">, </w:t>
      </w:r>
      <w:r>
        <w:t xml:space="preserve">the Commission </w:t>
      </w:r>
      <w:r w:rsidR="00113A92">
        <w:t>recommends reform to</w:t>
      </w:r>
      <w:r w:rsidR="001574A6">
        <w:t xml:space="preserve"> </w:t>
      </w:r>
      <w:r w:rsidR="00093C36">
        <w:t xml:space="preserve">increase the accessibility </w:t>
      </w:r>
      <w:r w:rsidR="009D35FF">
        <w:t xml:space="preserve">and effectiveness </w:t>
      </w:r>
      <w:r w:rsidR="00093C36">
        <w:t>of the law</w:t>
      </w:r>
      <w:r w:rsidR="00141D61">
        <w:t xml:space="preserve">, </w:t>
      </w:r>
      <w:r w:rsidR="00093C36">
        <w:t>protect a broader group of people</w:t>
      </w:r>
      <w:r w:rsidR="009D35FF">
        <w:t xml:space="preserve"> from hate conduct</w:t>
      </w:r>
      <w:r w:rsidR="003766EE">
        <w:t>,</w:t>
      </w:r>
      <w:r w:rsidR="009D35FF">
        <w:t xml:space="preserve"> and</w:t>
      </w:r>
      <w:r w:rsidR="007A5B21">
        <w:t xml:space="preserve"> </w:t>
      </w:r>
      <w:r w:rsidR="00804F70">
        <w:t>strengthen enforcement</w:t>
      </w:r>
      <w:r w:rsidR="00542BC2">
        <w:t xml:space="preserve">, </w:t>
      </w:r>
      <w:r w:rsidR="000D77BC">
        <w:t xml:space="preserve">including by </w:t>
      </w:r>
      <w:r w:rsidR="00440986">
        <w:t>reducing the</w:t>
      </w:r>
      <w:r w:rsidR="00DA0E4B">
        <w:t xml:space="preserve"> burden of</w:t>
      </w:r>
      <w:r w:rsidR="000D77BC">
        <w:t xml:space="preserve"> enforcement</w:t>
      </w:r>
      <w:r w:rsidR="00DA0E4B">
        <w:t xml:space="preserve"> </w:t>
      </w:r>
      <w:r w:rsidR="00440986">
        <w:t>on</w:t>
      </w:r>
      <w:r w:rsidR="00DA0E4B">
        <w:t xml:space="preserve"> individua</w:t>
      </w:r>
      <w:r w:rsidR="00440986">
        <w:t xml:space="preserve">ls by equipping the Commission with power to </w:t>
      </w:r>
      <w:r w:rsidR="00EF5138">
        <w:t>address systemic issues of hate</w:t>
      </w:r>
      <w:r w:rsidR="004B158C">
        <w:t xml:space="preserve">. </w:t>
      </w:r>
    </w:p>
    <w:p w14:paraId="19C9EAE8" w14:textId="4BFB829E" w:rsidR="002F386D" w:rsidRDefault="000E40CD">
      <w:pPr>
        <w:pStyle w:val="BodyText"/>
      </w:pPr>
      <w:r>
        <w:t xml:space="preserve">We </w:t>
      </w:r>
      <w:r w:rsidR="006B70F7">
        <w:t xml:space="preserve">also </w:t>
      </w:r>
      <w:r>
        <w:t xml:space="preserve">recommend that </w:t>
      </w:r>
      <w:r w:rsidR="00AA4AF3">
        <w:t xml:space="preserve">Victoria’s vilification laws be incorporated in the </w:t>
      </w:r>
      <w:r w:rsidR="00AA4AF3" w:rsidRPr="00AA4AF3">
        <w:rPr>
          <w:rStyle w:val="Characteritalic"/>
        </w:rPr>
        <w:t>Equal Opportunity Act 2010</w:t>
      </w:r>
      <w:r w:rsidR="00AA4AF3">
        <w:t xml:space="preserve"> (Vic) </w:t>
      </w:r>
      <w:r w:rsidR="002F386D">
        <w:t xml:space="preserve">(the EOA) </w:t>
      </w:r>
      <w:r w:rsidR="00AA4AF3">
        <w:t xml:space="preserve">as part of a </w:t>
      </w:r>
      <w:r w:rsidR="00D70A64">
        <w:t xml:space="preserve">holistic </w:t>
      </w:r>
      <w:r w:rsidR="00AA4AF3">
        <w:t>suite of laws to promote equality in Victoria</w:t>
      </w:r>
      <w:r w:rsidR="002F386D">
        <w:t xml:space="preserve">. Further, as Victorians already have a good understanding of the EOA, expanding it to include hate laws would also make these protections more accessible to a broader audience. </w:t>
      </w:r>
    </w:p>
    <w:p w14:paraId="6FCCD849" w14:textId="4BE74911" w:rsidR="0069057E" w:rsidRDefault="0069057E" w:rsidP="0069057E">
      <w:pPr>
        <w:pStyle w:val="BodyText"/>
      </w:pPr>
      <w:r>
        <w:t>Expanding the scope of our anti-vilification protections to include other attributes including sexual orientation, gender identity, sex characteristics, gender, disability and personal association would ensure consistency with best-practice jurisdictions, acknowledge the profound harm resulting from hate and provide more effective redress for people who experience high rates of compounding intersectional forms of hate, such as Muslim and African women.</w:t>
      </w:r>
    </w:p>
    <w:p w14:paraId="0ED0274E" w14:textId="2924B742" w:rsidR="009C25E1" w:rsidRPr="00A15A04" w:rsidRDefault="009C25E1" w:rsidP="00A15A04">
      <w:pPr>
        <w:pStyle w:val="BodyText"/>
        <w:rPr>
          <w:rStyle w:val="Characteritalic"/>
        </w:rPr>
      </w:pPr>
      <w:r w:rsidRPr="00A15A04">
        <w:rPr>
          <w:rStyle w:val="Characteritalic"/>
        </w:rPr>
        <w:t xml:space="preserve">The law should be strengthened </w:t>
      </w:r>
    </w:p>
    <w:p w14:paraId="7EC222E6" w14:textId="066BF4AC" w:rsidR="009B6C28" w:rsidRDefault="0069057E" w:rsidP="009B6C28">
      <w:pPr>
        <w:pStyle w:val="BodyText"/>
      </w:pPr>
      <w:r>
        <w:t>One of the factors that has limited the number of successful cases under the RRTA is the high threshold it sets to show that vilification has occurred and t</w:t>
      </w:r>
      <w:r w:rsidR="00094E1E">
        <w:t>he lack of</w:t>
      </w:r>
      <w:r w:rsidR="009B6C28">
        <w:t xml:space="preserve"> </w:t>
      </w:r>
      <w:r w:rsidR="006178C8">
        <w:t>recogni</w:t>
      </w:r>
      <w:r w:rsidR="001F19C3">
        <w:t>tion of</w:t>
      </w:r>
      <w:r w:rsidR="006178C8">
        <w:t xml:space="preserve"> </w:t>
      </w:r>
      <w:r w:rsidR="008F029D">
        <w:t xml:space="preserve">the </w:t>
      </w:r>
      <w:r w:rsidR="0053023A">
        <w:t xml:space="preserve">different forms </w:t>
      </w:r>
      <w:r w:rsidR="006B70F7">
        <w:t xml:space="preserve">of </w:t>
      </w:r>
      <w:r w:rsidR="005C5258">
        <w:t xml:space="preserve">public </w:t>
      </w:r>
      <w:r w:rsidR="0053023A">
        <w:t>hate</w:t>
      </w:r>
      <w:r w:rsidR="003A0794">
        <w:t xml:space="preserve">. </w:t>
      </w:r>
      <w:r w:rsidR="00094E1E">
        <w:t xml:space="preserve">Victorians should be protected </w:t>
      </w:r>
      <w:r w:rsidR="001D3124">
        <w:t xml:space="preserve">from </w:t>
      </w:r>
      <w:r w:rsidR="006B70F7">
        <w:t xml:space="preserve">a spectrum of </w:t>
      </w:r>
      <w:r w:rsidR="005C5258">
        <w:t>hate</w:t>
      </w:r>
      <w:r w:rsidR="006B70F7">
        <w:t xml:space="preserve"> </w:t>
      </w:r>
      <w:r w:rsidR="006B70F7" w:rsidRPr="00290660">
        <w:rPr>
          <w:rStyle w:val="Characterclear"/>
        </w:rPr>
        <w:t xml:space="preserve">– </w:t>
      </w:r>
      <w:r w:rsidR="006B70F7">
        <w:t>including hate</w:t>
      </w:r>
      <w:r w:rsidR="005C5258">
        <w:t xml:space="preserve"> </w:t>
      </w:r>
      <w:r w:rsidR="00D7397B">
        <w:t xml:space="preserve">that </w:t>
      </w:r>
      <w:r w:rsidR="008A1147">
        <w:t>caus</w:t>
      </w:r>
      <w:r w:rsidR="00D7397B">
        <w:t>es</w:t>
      </w:r>
      <w:r w:rsidR="008A1147">
        <w:t xml:space="preserve"> serious harm to </w:t>
      </w:r>
      <w:r w:rsidR="00056901">
        <w:t xml:space="preserve">individuals and </w:t>
      </w:r>
      <w:r w:rsidR="00056901">
        <w:lastRenderedPageBreak/>
        <w:t>communities</w:t>
      </w:r>
      <w:r w:rsidR="005D2301">
        <w:t>,</w:t>
      </w:r>
      <w:r w:rsidR="003A0794">
        <w:t xml:space="preserve"> incit</w:t>
      </w:r>
      <w:r w:rsidR="00D7397B">
        <w:t xml:space="preserve">es </w:t>
      </w:r>
      <w:r w:rsidR="00364A2C">
        <w:t xml:space="preserve">or is capable of inciting </w:t>
      </w:r>
      <w:r w:rsidR="00D7397B">
        <w:t>others</w:t>
      </w:r>
      <w:r w:rsidR="00090A50">
        <w:t xml:space="preserve"> or </w:t>
      </w:r>
      <w:r w:rsidR="00364A2C">
        <w:t xml:space="preserve">which society deems </w:t>
      </w:r>
      <w:r w:rsidR="00375031">
        <w:t xml:space="preserve">objectively </w:t>
      </w:r>
      <w:r w:rsidR="00FD5A0C">
        <w:t xml:space="preserve">harmful such as the display of Nazi symbols. </w:t>
      </w:r>
    </w:p>
    <w:p w14:paraId="251F7E88" w14:textId="493EE922" w:rsidR="00094E1E" w:rsidRDefault="00094E1E" w:rsidP="00A15A04">
      <w:pPr>
        <w:pStyle w:val="BodyText"/>
      </w:pPr>
      <w:r>
        <w:t xml:space="preserve">Amending the threshold from conduct that incites to conduct that expresses or is reasonably </w:t>
      </w:r>
      <w:r w:rsidRPr="00403621">
        <w:t>likely to</w:t>
      </w:r>
      <w:r>
        <w:t xml:space="preserve"> incite would simplify the test and ensure the protections are</w:t>
      </w:r>
      <w:r w:rsidRPr="002779BC">
        <w:t xml:space="preserve"> accessible and </w:t>
      </w:r>
      <w:r>
        <w:t>capable of providing</w:t>
      </w:r>
      <w:r w:rsidRPr="002779BC">
        <w:t xml:space="preserve"> effective redress for</w:t>
      </w:r>
      <w:r w:rsidR="0053323C">
        <w:t xml:space="preserve"> individual and </w:t>
      </w:r>
      <w:r w:rsidR="00870543">
        <w:t>community-level</w:t>
      </w:r>
      <w:r w:rsidR="0053323C">
        <w:t xml:space="preserve"> harms.</w:t>
      </w:r>
      <w:r>
        <w:t xml:space="preserve"> </w:t>
      </w:r>
    </w:p>
    <w:p w14:paraId="7B931926" w14:textId="6E6840DC" w:rsidR="00A249D2" w:rsidRDefault="00442447" w:rsidP="00A52AA0">
      <w:pPr>
        <w:pStyle w:val="BodyText"/>
      </w:pPr>
      <w:r>
        <w:t xml:space="preserve">A new complementary </w:t>
      </w:r>
      <w:r w:rsidR="00AA4AF3">
        <w:t>harm-based civil provision should be introduced</w:t>
      </w:r>
      <w:r w:rsidR="00AE526C">
        <w:t xml:space="preserve"> to enable more objective assessment of harm experienced from the perspective of the target group. The test should </w:t>
      </w:r>
      <w:r w:rsidR="00111810">
        <w:t>focus</w:t>
      </w:r>
      <w:r w:rsidR="00AA4AF3">
        <w:t xml:space="preserve"> on the harm caused by hate conduct rather than incitement of a third party. </w:t>
      </w:r>
    </w:p>
    <w:p w14:paraId="442CD8C0" w14:textId="567A0BBD" w:rsidR="006B70F7" w:rsidRDefault="00461A58" w:rsidP="00A15A04">
      <w:pPr>
        <w:pStyle w:val="BodyText"/>
      </w:pPr>
      <w:r>
        <w:t>The criminal law should also be simplified and strengthe</w:t>
      </w:r>
      <w:r w:rsidR="008D030D">
        <w:t>ned</w:t>
      </w:r>
      <w:r w:rsidR="006B70F7">
        <w:t xml:space="preserve"> to increase prosecutions of the most serious kind of hate</w:t>
      </w:r>
      <w:r w:rsidR="008D030D">
        <w:t xml:space="preserve">. </w:t>
      </w:r>
      <w:r w:rsidR="00C02572">
        <w:t>We recommend a single</w:t>
      </w:r>
      <w:r w:rsidR="009045F2">
        <w:t xml:space="preserve"> more accessible</w:t>
      </w:r>
      <w:r w:rsidR="00C02572">
        <w:t xml:space="preserve"> serious vilification test</w:t>
      </w:r>
      <w:r w:rsidR="00CD777D">
        <w:t xml:space="preserve"> be </w:t>
      </w:r>
      <w:r w:rsidR="00BC645C">
        <w:t>located in the Crimes Act</w:t>
      </w:r>
      <w:r w:rsidR="00111810">
        <w:t xml:space="preserve">. </w:t>
      </w:r>
      <w:r w:rsidR="00870543">
        <w:t>T</w:t>
      </w:r>
      <w:r w:rsidR="00111810">
        <w:t>here should be</w:t>
      </w:r>
      <w:r w:rsidR="00B83FF6">
        <w:t xml:space="preserve"> commensurate penalties in line with </w:t>
      </w:r>
      <w:r w:rsidR="00BC645C">
        <w:t xml:space="preserve">comparable offences in Victoria and other Australian jurisdictions. </w:t>
      </w:r>
      <w:r w:rsidR="006B70F7">
        <w:t>The criminal offences should prohibit people from</w:t>
      </w:r>
      <w:r w:rsidR="006B70F7" w:rsidRPr="001A6782">
        <w:t xml:space="preserve"> ‘intentionally or </w:t>
      </w:r>
      <w:r w:rsidR="006B70F7" w:rsidRPr="00403621">
        <w:t>recklessly’</w:t>
      </w:r>
      <w:r w:rsidR="006B70F7">
        <w:t xml:space="preserve"> engaging in hate conduct and should prohibit threats </w:t>
      </w:r>
      <w:r w:rsidR="006B70F7" w:rsidRPr="00403621">
        <w:t>or</w:t>
      </w:r>
      <w:r w:rsidR="006B70F7">
        <w:t xml:space="preserve"> incitement, rather than requiring both. </w:t>
      </w:r>
    </w:p>
    <w:p w14:paraId="4F15B64D" w14:textId="18BB1452" w:rsidR="006B70F7" w:rsidRDefault="006B70F7" w:rsidP="00A52AA0">
      <w:pPr>
        <w:pStyle w:val="BodyText"/>
      </w:pPr>
      <w:r>
        <w:t>An emerging theme in the hate conduct we’ve observed is the public display or distribution of extremely offensive symbols, images and materials. Incorporating this conduct as complementary offences would allow Victoria’s anti-vilification protections to provide redress for those impacted by the d</w:t>
      </w:r>
      <w:r w:rsidRPr="000C7AA0">
        <w:t>isplay</w:t>
      </w:r>
      <w:r>
        <w:t xml:space="preserve"> of offensive material</w:t>
      </w:r>
      <w:r w:rsidR="00870543">
        <w:t>.</w:t>
      </w:r>
    </w:p>
    <w:p w14:paraId="1E1ED0CE" w14:textId="509941F1" w:rsidR="009C25E1" w:rsidRDefault="009C25E1" w:rsidP="009C25E1">
      <w:pPr>
        <w:pStyle w:val="Heading5"/>
      </w:pPr>
      <w:r>
        <w:t xml:space="preserve">Dispute resolution should be strengthened </w:t>
      </w:r>
    </w:p>
    <w:p w14:paraId="69B15679" w14:textId="1973E357" w:rsidR="00AA4AF3" w:rsidRDefault="009E1B6D" w:rsidP="00A15A04">
      <w:pPr>
        <w:pStyle w:val="BodyText"/>
      </w:pPr>
      <w:r>
        <w:t>D</w:t>
      </w:r>
      <w:r w:rsidR="003A28D2">
        <w:t>ispute resolution</w:t>
      </w:r>
      <w:r>
        <w:t xml:space="preserve">, </w:t>
      </w:r>
      <w:r w:rsidR="003A28D2">
        <w:t>administered by the Commission</w:t>
      </w:r>
      <w:r>
        <w:t xml:space="preserve">, </w:t>
      </w:r>
      <w:r w:rsidR="000E10A8">
        <w:t>provides an opportunity for complainants to tell their stories, hav</w:t>
      </w:r>
      <w:r w:rsidR="006B08C4">
        <w:t>e</w:t>
      </w:r>
      <w:r w:rsidR="000E10A8">
        <w:t xml:space="preserve"> harm acknowledged and access remedies. </w:t>
      </w:r>
      <w:r w:rsidR="00D2665F">
        <w:t>Strengthening our powers would allow us to more effectively regulate Victoria’s anti-vilification protections and provide a more robust and effective complaints service. The</w:t>
      </w:r>
      <w:r w:rsidR="000E10A8">
        <w:t xml:space="preserve"> law should</w:t>
      </w:r>
      <w:r w:rsidR="00FA406B">
        <w:t xml:space="preserve"> </w:t>
      </w:r>
      <w:r w:rsidR="00AA4AF3">
        <w:t xml:space="preserve">allow representative complaints on behalf of an anonymous complainant to encourage reporting and reduce the fear of victimisation. The Commission should </w:t>
      </w:r>
      <w:r w:rsidR="00D2665F">
        <w:t xml:space="preserve">also </w:t>
      </w:r>
      <w:r w:rsidR="00AA4AF3">
        <w:t>be empowered to identify unknown respondents</w:t>
      </w:r>
      <w:r w:rsidR="00AE4046">
        <w:t>,</w:t>
      </w:r>
      <w:r w:rsidR="00A02D57">
        <w:t xml:space="preserve"> whether they be </w:t>
      </w:r>
      <w:r w:rsidR="00A76E10">
        <w:t>administrators</w:t>
      </w:r>
      <w:r w:rsidR="00620700">
        <w:t xml:space="preserve"> of a </w:t>
      </w:r>
      <w:r w:rsidR="00EE3EA1">
        <w:t>white suprem</w:t>
      </w:r>
      <w:r w:rsidR="002A01CC">
        <w:t>acist</w:t>
      </w:r>
      <w:r w:rsidR="00EE3EA1">
        <w:t xml:space="preserve"> </w:t>
      </w:r>
      <w:r w:rsidR="00620700">
        <w:t>social media page</w:t>
      </w:r>
      <w:r w:rsidR="005672DF">
        <w:t>,</w:t>
      </w:r>
      <w:r w:rsidR="00620700">
        <w:t xml:space="preserve"> or </w:t>
      </w:r>
      <w:r w:rsidR="00A76E10">
        <w:t>commuters on public transport</w:t>
      </w:r>
      <w:r w:rsidR="009A1C3F">
        <w:t xml:space="preserve"> who</w:t>
      </w:r>
      <w:r w:rsidR="004F6B00">
        <w:t xml:space="preserve"> taunted a Jewish </w:t>
      </w:r>
      <w:r w:rsidR="008B28E4">
        <w:t>child</w:t>
      </w:r>
      <w:r w:rsidR="00AC281C">
        <w:t xml:space="preserve"> on the way to school</w:t>
      </w:r>
      <w:r w:rsidR="00A76E10">
        <w:t xml:space="preserve">. </w:t>
      </w:r>
    </w:p>
    <w:p w14:paraId="1DB07573" w14:textId="7C425890" w:rsidR="009E1B6D" w:rsidRDefault="009E1B6D" w:rsidP="009E1B6D">
      <w:pPr>
        <w:pStyle w:val="Heading5"/>
      </w:pPr>
      <w:r>
        <w:t xml:space="preserve">The burden of enforcement should be shifted </w:t>
      </w:r>
    </w:p>
    <w:p w14:paraId="116C6C84" w14:textId="4861798F" w:rsidR="009E1B6D" w:rsidRDefault="00D2665F" w:rsidP="00037B72">
      <w:pPr>
        <w:pStyle w:val="BodyText"/>
      </w:pPr>
      <w:r>
        <w:t xml:space="preserve">In </w:t>
      </w:r>
      <w:r w:rsidR="00870543">
        <w:t>reviewing</w:t>
      </w:r>
      <w:r>
        <w:t xml:space="preserve"> our anti-vilification protections, there is a valuable opportunity to shift the burden from individuals and extend the Commission’s powers to address underlying causes and drive system change. </w:t>
      </w:r>
      <w:r w:rsidR="00E2255B">
        <w:t xml:space="preserve">The Commission </w:t>
      </w:r>
      <w:r w:rsidR="00EB7F56">
        <w:t xml:space="preserve">should </w:t>
      </w:r>
      <w:r w:rsidR="00E2255B">
        <w:t xml:space="preserve">be empowered to </w:t>
      </w:r>
      <w:r w:rsidR="006C1DE2">
        <w:t>investigate systemic hate and have</w:t>
      </w:r>
      <w:r w:rsidR="00E2255B">
        <w:t xml:space="preserve"> the necessary </w:t>
      </w:r>
      <w:r w:rsidR="00CD72AF">
        <w:t xml:space="preserve">powers to effectively regulate the law. </w:t>
      </w:r>
      <w:r w:rsidR="00C007ED">
        <w:t xml:space="preserve">Consideration should also be given to </w:t>
      </w:r>
      <w:r w:rsidR="007F08E5">
        <w:t>introducing a</w:t>
      </w:r>
      <w:r w:rsidR="00C007ED">
        <w:t xml:space="preserve"> positive duty </w:t>
      </w:r>
      <w:r w:rsidR="007F08E5">
        <w:t xml:space="preserve">for </w:t>
      </w:r>
      <w:r w:rsidR="00C007ED">
        <w:t xml:space="preserve">organisations </w:t>
      </w:r>
      <w:r w:rsidR="007F08E5">
        <w:t>to take reasonable and proportional steps to prevent vilification</w:t>
      </w:r>
      <w:r>
        <w:t>, making employers and other duty holders accountable for hate conduct at work and elsewhere.</w:t>
      </w:r>
    </w:p>
    <w:p w14:paraId="16924031" w14:textId="347CDE9E" w:rsidR="004F1FE3" w:rsidRDefault="004F1FE3" w:rsidP="004F1FE3">
      <w:pPr>
        <w:pStyle w:val="Heading4"/>
      </w:pPr>
      <w:r>
        <w:t>Strengthening the polic</w:t>
      </w:r>
      <w:r w:rsidR="000C4112">
        <w:t>y</w:t>
      </w:r>
      <w:r>
        <w:t xml:space="preserve"> response to hate </w:t>
      </w:r>
      <w:r w:rsidR="0010236A">
        <w:t xml:space="preserve">(part 6) </w:t>
      </w:r>
    </w:p>
    <w:p w14:paraId="2E00CC11" w14:textId="03BF3217" w:rsidR="005B73B4" w:rsidRDefault="007B5CA0" w:rsidP="00CD1D6F">
      <w:pPr>
        <w:pStyle w:val="BodyText"/>
      </w:pPr>
      <w:r>
        <w:t>The law alone is not enough to drive social change. A</w:t>
      </w:r>
      <w:r w:rsidR="008E2AD3">
        <w:t xml:space="preserve"> strong </w:t>
      </w:r>
      <w:r>
        <w:t xml:space="preserve">policy response to hate </w:t>
      </w:r>
      <w:r w:rsidR="00F86EEE">
        <w:t xml:space="preserve">in the Victorian community </w:t>
      </w:r>
      <w:r w:rsidR="002566F0">
        <w:t>must</w:t>
      </w:r>
      <w:r>
        <w:t xml:space="preserve"> complement law reform</w:t>
      </w:r>
      <w:r w:rsidR="00F86EEE">
        <w:t xml:space="preserve">, by </w:t>
      </w:r>
      <w:r w:rsidR="001650E6">
        <w:t>empowering communities</w:t>
      </w:r>
      <w:r w:rsidR="004469BD">
        <w:t xml:space="preserve"> with knowledge about their rights</w:t>
      </w:r>
      <w:r w:rsidR="001650E6">
        <w:t xml:space="preserve">, addressing </w:t>
      </w:r>
      <w:r w:rsidR="0046409A">
        <w:t>under-</w:t>
      </w:r>
      <w:r w:rsidR="001650E6">
        <w:t>reporting, promoting the celebration of diversity</w:t>
      </w:r>
      <w:r w:rsidR="001532F9">
        <w:t xml:space="preserve"> and countering prejudice</w:t>
      </w:r>
      <w:r w:rsidR="001650E6">
        <w:t>, improving the response to hate</w:t>
      </w:r>
      <w:r w:rsidR="00762BAC">
        <w:t xml:space="preserve"> by </w:t>
      </w:r>
      <w:r w:rsidR="002B0496">
        <w:t xml:space="preserve">the </w:t>
      </w:r>
      <w:r w:rsidR="002E1F44">
        <w:t>law enforcers</w:t>
      </w:r>
      <w:r w:rsidR="001650E6">
        <w:t xml:space="preserve">, and strengthening research, data, monitoring </w:t>
      </w:r>
      <w:r w:rsidR="001650E6">
        <w:lastRenderedPageBreak/>
        <w:t xml:space="preserve">and reporting. </w:t>
      </w:r>
      <w:bookmarkStart w:id="2" w:name="_Toc475361614"/>
      <w:r w:rsidR="00101E25">
        <w:t xml:space="preserve">We must look to best practice </w:t>
      </w:r>
      <w:r w:rsidR="00E451C6">
        <w:t xml:space="preserve">in Australia and </w:t>
      </w:r>
      <w:r w:rsidR="00101E25">
        <w:t>overseas</w:t>
      </w:r>
      <w:r w:rsidR="00E451C6">
        <w:t>,</w:t>
      </w:r>
      <w:r w:rsidR="00101E25">
        <w:t xml:space="preserve"> and work in partnership with community organisations. </w:t>
      </w:r>
    </w:p>
    <w:p w14:paraId="58F14112" w14:textId="77777777" w:rsidR="00111810" w:rsidRDefault="00111810" w:rsidP="00CD1D6F">
      <w:pPr>
        <w:pStyle w:val="BodyText"/>
      </w:pPr>
    </w:p>
    <w:tbl>
      <w:tblPr>
        <w:tblStyle w:val="CustomTablebreakoutbox"/>
        <w:tblW w:w="0" w:type="auto"/>
        <w:tblLook w:val="04A0" w:firstRow="1" w:lastRow="0" w:firstColumn="1" w:lastColumn="0" w:noHBand="0" w:noVBand="1"/>
      </w:tblPr>
      <w:tblGrid>
        <w:gridCol w:w="9061"/>
      </w:tblGrid>
      <w:tr w:rsidR="005672DF" w14:paraId="4F15542A" w14:textId="77777777" w:rsidTr="005672DF">
        <w:tc>
          <w:tcPr>
            <w:tcW w:w="9061" w:type="dxa"/>
          </w:tcPr>
          <w:p w14:paraId="2CA4F344" w14:textId="467AFC64" w:rsidR="005672DF" w:rsidRDefault="005672DF" w:rsidP="0053323C">
            <w:pPr>
              <w:pStyle w:val="BodyText"/>
            </w:pPr>
            <w:r w:rsidRPr="00C77E54">
              <w:t xml:space="preserve">This submission has been drafted on the land of the traditional owners of the Kulin Nation. The Commission acknowledges the particular impact that hate conduct has had on Aboriginal Victorians throughout the history of colonisation and continuing through to today. The Commission pays respect to the ongoing resilience and strong culture and identity of Victorian Aboriginal communities.  </w:t>
            </w:r>
          </w:p>
        </w:tc>
      </w:tr>
    </w:tbl>
    <w:p w14:paraId="1DFD4DF1" w14:textId="77777777" w:rsidR="005672DF" w:rsidRDefault="005672DF" w:rsidP="00CD1D6F">
      <w:pPr>
        <w:pStyle w:val="BodyText"/>
      </w:pPr>
    </w:p>
    <w:p w14:paraId="47087630" w14:textId="77777777" w:rsidR="005B73B4" w:rsidRDefault="005B73B4" w:rsidP="00CD1D6F">
      <w:pPr>
        <w:pStyle w:val="BodyText"/>
      </w:pPr>
    </w:p>
    <w:p w14:paraId="0730BB14" w14:textId="77777777" w:rsidR="00111810" w:rsidRDefault="00111810">
      <w:r>
        <w:rPr>
          <w:b/>
        </w:rPr>
        <w:br w:type="page"/>
      </w:r>
    </w:p>
    <w:tbl>
      <w:tblPr>
        <w:tblStyle w:val="CustomTablerecommendationsbox"/>
        <w:tblW w:w="0" w:type="auto"/>
        <w:tblLook w:val="04A0" w:firstRow="1" w:lastRow="0" w:firstColumn="1" w:lastColumn="0" w:noHBand="0" w:noVBand="1"/>
      </w:tblPr>
      <w:tblGrid>
        <w:gridCol w:w="9061"/>
      </w:tblGrid>
      <w:tr w:rsidR="00321FA3" w14:paraId="741C25A1" w14:textId="77777777" w:rsidTr="00321FA3">
        <w:tc>
          <w:tcPr>
            <w:tcW w:w="9061" w:type="dxa"/>
          </w:tcPr>
          <w:p w14:paraId="6DF9B759" w14:textId="5351E0FA" w:rsidR="00321FA3" w:rsidRDefault="00321FA3" w:rsidP="00321FA3">
            <w:pPr>
              <w:pStyle w:val="RecommendationsHeading"/>
              <w:numPr>
                <w:ilvl w:val="0"/>
                <w:numId w:val="0"/>
              </w:numPr>
            </w:pPr>
            <w:r>
              <w:lastRenderedPageBreak/>
              <w:t xml:space="preserve">Summary of recommendations </w:t>
            </w:r>
          </w:p>
          <w:p w14:paraId="046FF716" w14:textId="6116350B" w:rsidR="00B81A7D" w:rsidRPr="00B81A7D" w:rsidRDefault="00B81A7D" w:rsidP="00B81A7D">
            <w:pPr>
              <w:pStyle w:val="Heading4"/>
              <w:outlineLvl w:val="3"/>
            </w:pPr>
            <w:r>
              <w:t xml:space="preserve">Strengthening access to the law </w:t>
            </w:r>
          </w:p>
          <w:p w14:paraId="34880178" w14:textId="4153B37E" w:rsidR="00882FC8" w:rsidRDefault="00882FC8" w:rsidP="00882FC8">
            <w:pPr>
              <w:pStyle w:val="RecommendationList"/>
            </w:pPr>
          </w:p>
          <w:p w14:paraId="09950B43" w14:textId="27F67234" w:rsidR="00882FC8" w:rsidRPr="00882FC8" w:rsidRDefault="00882FC8" w:rsidP="00882FC8">
            <w:pPr>
              <w:pStyle w:val="BodyText"/>
              <w:rPr>
                <w:rStyle w:val="Characterclear"/>
              </w:rPr>
            </w:pPr>
            <w:r>
              <w:t>The Victorian Government should incorporate Victoria’s</w:t>
            </w:r>
            <w:r w:rsidRPr="00882FC8">
              <w:t xml:space="preserve"> vilification laws in the </w:t>
            </w:r>
            <w:r w:rsidRPr="00882FC8">
              <w:rPr>
                <w:rStyle w:val="Characteritalic"/>
              </w:rPr>
              <w:t xml:space="preserve">Equal Opportunity Act 2010 </w:t>
            </w:r>
            <w:r w:rsidRPr="00882FC8">
              <w:rPr>
                <w:rStyle w:val="Characterclear"/>
              </w:rPr>
              <w:t xml:space="preserve">(Vic). </w:t>
            </w:r>
          </w:p>
          <w:p w14:paraId="46B506E8" w14:textId="7C7D1471" w:rsidR="00321FA3" w:rsidRDefault="00882FC8" w:rsidP="00882FC8">
            <w:pPr>
              <w:pStyle w:val="BodyText"/>
            </w:pPr>
            <w:r w:rsidRPr="0050268F">
              <w:t xml:space="preserve">If vilification continues to be regulated in a standalone Act, the </w:t>
            </w:r>
            <w:r w:rsidRPr="00882FC8">
              <w:t xml:space="preserve">Victorian Government should replace the title of the </w:t>
            </w:r>
            <w:r w:rsidRPr="00882FC8">
              <w:rPr>
                <w:rStyle w:val="Characteritalic"/>
              </w:rPr>
              <w:t>Racial and Religious Tolerance Act 2001</w:t>
            </w:r>
            <w:r w:rsidRPr="00882FC8">
              <w:t xml:space="preserve"> (Vic) with a title that is inclusive of any additional protected attributes and which removes the word ‘tolerance’ to promote respect for diversity.</w:t>
            </w:r>
          </w:p>
          <w:p w14:paraId="6586326D" w14:textId="5B111132" w:rsidR="00B81A7D" w:rsidRDefault="00B81A7D" w:rsidP="00B81A7D">
            <w:pPr>
              <w:pStyle w:val="Heading4"/>
              <w:outlineLvl w:val="3"/>
            </w:pPr>
            <w:r>
              <w:t>Strengthening protections</w:t>
            </w:r>
          </w:p>
          <w:p w14:paraId="2A04E16E" w14:textId="77777777" w:rsidR="00882FC8" w:rsidRDefault="00882FC8" w:rsidP="00882FC8">
            <w:pPr>
              <w:pStyle w:val="RecommendationList"/>
            </w:pPr>
          </w:p>
          <w:p w14:paraId="74DB689A" w14:textId="77777777" w:rsidR="00882FC8" w:rsidRPr="00882FC8" w:rsidRDefault="00882FC8" w:rsidP="00882FC8">
            <w:pPr>
              <w:pStyle w:val="BodyText"/>
            </w:pPr>
            <w:r>
              <w:t xml:space="preserve">The </w:t>
            </w:r>
            <w:r w:rsidRPr="00882FC8">
              <w:t xml:space="preserve">Victorian Government should extend the protections under Victoria’s reformed vilification laws to the following attributes: </w:t>
            </w:r>
          </w:p>
          <w:p w14:paraId="2048E092" w14:textId="6F00471D" w:rsidR="00882FC8" w:rsidRDefault="00882FC8" w:rsidP="00882FC8">
            <w:pPr>
              <w:pStyle w:val="ListBullet"/>
              <w:numPr>
                <w:ilvl w:val="0"/>
                <w:numId w:val="3"/>
              </w:numPr>
            </w:pPr>
            <w:r>
              <w:t>race</w:t>
            </w:r>
          </w:p>
          <w:p w14:paraId="26DC07FF" w14:textId="3C36B3BF" w:rsidR="00882FC8" w:rsidRDefault="00882FC8" w:rsidP="00882FC8">
            <w:pPr>
              <w:pStyle w:val="ListBullet"/>
              <w:numPr>
                <w:ilvl w:val="0"/>
                <w:numId w:val="3"/>
              </w:numPr>
            </w:pPr>
            <w:r>
              <w:t>religious belief or activity</w:t>
            </w:r>
          </w:p>
          <w:p w14:paraId="622B9C00" w14:textId="58B4518A" w:rsidR="00882FC8" w:rsidRDefault="00882FC8" w:rsidP="00882FC8">
            <w:pPr>
              <w:pStyle w:val="ListBullet"/>
              <w:numPr>
                <w:ilvl w:val="0"/>
                <w:numId w:val="3"/>
              </w:numPr>
            </w:pPr>
            <w:r>
              <w:t>sexual orientation</w:t>
            </w:r>
          </w:p>
          <w:p w14:paraId="3E0C8816" w14:textId="28D2B7B4" w:rsidR="00882FC8" w:rsidRDefault="00882FC8" w:rsidP="00882FC8">
            <w:pPr>
              <w:pStyle w:val="ListBullet"/>
              <w:numPr>
                <w:ilvl w:val="0"/>
                <w:numId w:val="3"/>
              </w:numPr>
            </w:pPr>
            <w:r>
              <w:t>gender identity</w:t>
            </w:r>
          </w:p>
          <w:p w14:paraId="01CD96E7" w14:textId="061C0543" w:rsidR="00882FC8" w:rsidRDefault="00882FC8" w:rsidP="00882FC8">
            <w:pPr>
              <w:pStyle w:val="ListBullet"/>
              <w:numPr>
                <w:ilvl w:val="0"/>
                <w:numId w:val="3"/>
              </w:numPr>
            </w:pPr>
            <w:r>
              <w:t>sex characteristics</w:t>
            </w:r>
          </w:p>
          <w:p w14:paraId="4722C667" w14:textId="07536EF1" w:rsidR="00882FC8" w:rsidRDefault="00882FC8" w:rsidP="00882FC8">
            <w:pPr>
              <w:pStyle w:val="ListBullet"/>
              <w:numPr>
                <w:ilvl w:val="0"/>
                <w:numId w:val="3"/>
              </w:numPr>
            </w:pPr>
            <w:r>
              <w:t>gender</w:t>
            </w:r>
          </w:p>
          <w:p w14:paraId="1C2236E3" w14:textId="23E37C19" w:rsidR="00882FC8" w:rsidRDefault="00882FC8" w:rsidP="00882FC8">
            <w:pPr>
              <w:pStyle w:val="ListBullet"/>
              <w:numPr>
                <w:ilvl w:val="0"/>
                <w:numId w:val="3"/>
              </w:numPr>
            </w:pPr>
            <w:r>
              <w:t>disability</w:t>
            </w:r>
          </w:p>
          <w:p w14:paraId="67A0684C" w14:textId="77777777" w:rsidR="00882FC8" w:rsidRDefault="00882FC8" w:rsidP="00882FC8">
            <w:pPr>
              <w:pStyle w:val="ListBullet"/>
              <w:numPr>
                <w:ilvl w:val="0"/>
                <w:numId w:val="3"/>
              </w:numPr>
            </w:pPr>
            <w:r>
              <w:t xml:space="preserve">personal association. </w:t>
            </w:r>
          </w:p>
          <w:p w14:paraId="7D7663FD" w14:textId="682E6930" w:rsidR="00E53333" w:rsidRDefault="00E53333" w:rsidP="00882FC8">
            <w:pPr>
              <w:pStyle w:val="BodyText"/>
            </w:pPr>
            <w:r>
              <w:t>T</w:t>
            </w:r>
            <w:r w:rsidRPr="00E53333">
              <w:t xml:space="preserve">he law should also acknowledge the intersectional nature of vilification and the cumulative impact of vilification when it occurs because of multiple intersecting attributes. </w:t>
            </w:r>
          </w:p>
          <w:p w14:paraId="0FCE108B" w14:textId="26346217" w:rsidR="00882FC8" w:rsidRPr="00882FC8" w:rsidRDefault="00882FC8" w:rsidP="00882FC8">
            <w:pPr>
              <w:pStyle w:val="BodyText"/>
            </w:pPr>
            <w:r w:rsidRPr="00BB574C">
              <w:t>All of the</w:t>
            </w:r>
            <w:r w:rsidR="00E74A96">
              <w:t>se</w:t>
            </w:r>
            <w:r w:rsidRPr="00BB574C">
              <w:t xml:space="preserve"> attributes should be protected </w:t>
            </w:r>
            <w:r w:rsidR="00E74A96">
              <w:t>under</w:t>
            </w:r>
            <w:r w:rsidRPr="00882FC8">
              <w:t xml:space="preserve"> the reformed civil incitement</w:t>
            </w:r>
            <w:r w:rsidR="00772219">
              <w:t xml:space="preserve"> provision</w:t>
            </w:r>
            <w:r w:rsidRPr="00882FC8">
              <w:t xml:space="preserve"> (recommendation</w:t>
            </w:r>
            <w:r w:rsidR="00DC5090">
              <w:t>s 5 and 6</w:t>
            </w:r>
            <w:r w:rsidRPr="00882FC8">
              <w:t>), the proposed complementary</w:t>
            </w:r>
            <w:r w:rsidR="002B156B">
              <w:t xml:space="preserve"> civil</w:t>
            </w:r>
            <w:r w:rsidRPr="00882FC8">
              <w:t xml:space="preserve"> harm-based</w:t>
            </w:r>
            <w:r w:rsidR="00772219">
              <w:t xml:space="preserve"> provision</w:t>
            </w:r>
            <w:r w:rsidRPr="00882FC8">
              <w:t xml:space="preserve"> (recommendation </w:t>
            </w:r>
            <w:r w:rsidR="00DC5090">
              <w:t>7</w:t>
            </w:r>
            <w:r w:rsidRPr="00882FC8">
              <w:t xml:space="preserve">) and the reformed </w:t>
            </w:r>
            <w:r w:rsidR="002B156B">
              <w:t xml:space="preserve">criminal </w:t>
            </w:r>
            <w:r w:rsidRPr="00882FC8">
              <w:t>offences (recommendation</w:t>
            </w:r>
            <w:r w:rsidR="00E74A96">
              <w:t>s 9 and 10</w:t>
            </w:r>
            <w:r w:rsidRPr="00882FC8">
              <w:t>).</w:t>
            </w:r>
          </w:p>
          <w:p w14:paraId="6F5D4B4E" w14:textId="77777777" w:rsidR="00882FC8" w:rsidRDefault="00882FC8" w:rsidP="00C67716">
            <w:pPr>
              <w:pStyle w:val="RecommendationList"/>
              <w:numPr>
                <w:ilvl w:val="1"/>
                <w:numId w:val="31"/>
              </w:numPr>
            </w:pPr>
          </w:p>
          <w:p w14:paraId="4E7F0F63" w14:textId="4DF018EE" w:rsidR="00F43E17" w:rsidRPr="00882FC8" w:rsidRDefault="00882FC8" w:rsidP="00882FC8">
            <w:pPr>
              <w:pStyle w:val="BodyText"/>
            </w:pPr>
            <w:r>
              <w:t>For consistency</w:t>
            </w:r>
            <w:r w:rsidR="00F5598B">
              <w:t xml:space="preserve"> with the reforms in recommendation 2</w:t>
            </w:r>
            <w:r>
              <w:t xml:space="preserve">, the </w:t>
            </w:r>
            <w:r w:rsidRPr="00882FC8">
              <w:t xml:space="preserve">Victorian Government should reform the </w:t>
            </w:r>
            <w:r w:rsidR="00393241">
              <w:t xml:space="preserve">attributes of ‘sexual orientation’ and ‘gender identity’ </w:t>
            </w:r>
            <w:r w:rsidR="00EA0E26">
              <w:t xml:space="preserve">and introduce a new attribute of ‘sex characteristics’ </w:t>
            </w:r>
            <w:r w:rsidR="00393241">
              <w:t>u</w:t>
            </w:r>
            <w:r w:rsidRPr="00882FC8">
              <w:t xml:space="preserve">nder the </w:t>
            </w:r>
            <w:r w:rsidRPr="00882FC8">
              <w:rPr>
                <w:rStyle w:val="Characteritalic"/>
              </w:rPr>
              <w:t>Equal Opportunity Act 2010</w:t>
            </w:r>
            <w:r w:rsidRPr="00882FC8">
              <w:t xml:space="preserve"> (Vic) for the purposes of discrimination law</w:t>
            </w:r>
            <w:r w:rsidR="00D37F80">
              <w:t>.</w:t>
            </w:r>
            <w:r w:rsidRPr="00882FC8">
              <w:t xml:space="preserve"> </w:t>
            </w:r>
          </w:p>
          <w:p w14:paraId="635C8CEE" w14:textId="77777777" w:rsidR="00882FC8" w:rsidRDefault="00882FC8" w:rsidP="00C67716">
            <w:pPr>
              <w:pStyle w:val="RecommendationList"/>
              <w:numPr>
                <w:ilvl w:val="1"/>
                <w:numId w:val="31"/>
              </w:numPr>
            </w:pPr>
          </w:p>
          <w:p w14:paraId="1BE830FA" w14:textId="15C84A91" w:rsidR="00882FC8" w:rsidRDefault="00882FC8" w:rsidP="00882FC8">
            <w:pPr>
              <w:pStyle w:val="BodyText"/>
            </w:pPr>
            <w:r>
              <w:t xml:space="preserve">The </w:t>
            </w:r>
            <w:r w:rsidRPr="00882FC8">
              <w:t xml:space="preserve">Victorian Government should finalise the names and definitions of the attributes </w:t>
            </w:r>
            <w:r w:rsidR="00CB270B">
              <w:t>relating to</w:t>
            </w:r>
            <w:r w:rsidRPr="00882FC8">
              <w:t xml:space="preserve"> ‘sexual orientation’, ‘gender identity’</w:t>
            </w:r>
            <w:r w:rsidR="003037A1">
              <w:t>,</w:t>
            </w:r>
            <w:r w:rsidRPr="00882FC8">
              <w:t xml:space="preserve"> ‘sex characteristics’</w:t>
            </w:r>
            <w:r w:rsidR="003037A1">
              <w:t xml:space="preserve"> a</w:t>
            </w:r>
            <w:r w:rsidR="00683EE0">
              <w:t>n</w:t>
            </w:r>
            <w:r w:rsidR="003037A1">
              <w:t>d ‘gender’</w:t>
            </w:r>
            <w:r w:rsidRPr="00882FC8">
              <w:t xml:space="preserve"> in consultation with </w:t>
            </w:r>
            <w:r w:rsidR="003037A1">
              <w:t>affected</w:t>
            </w:r>
            <w:r w:rsidRPr="00882FC8">
              <w:t xml:space="preserve"> </w:t>
            </w:r>
            <w:r w:rsidR="003037A1">
              <w:t xml:space="preserve">community </w:t>
            </w:r>
            <w:r w:rsidRPr="00882FC8">
              <w:t>stakeholders</w:t>
            </w:r>
            <w:r w:rsidR="003037A1">
              <w:t>, particularly</w:t>
            </w:r>
            <w:r w:rsidRPr="00882FC8">
              <w:t xml:space="preserve"> from the LGBTIQ community, including intersex organisations.</w:t>
            </w:r>
          </w:p>
          <w:p w14:paraId="1644CD65" w14:textId="4B136F23" w:rsidR="00B81A7D" w:rsidRDefault="00B81A7D" w:rsidP="00B81A7D">
            <w:pPr>
              <w:pStyle w:val="Heading4"/>
              <w:outlineLvl w:val="3"/>
            </w:pPr>
            <w:r>
              <w:t xml:space="preserve">Strengthening the law </w:t>
            </w:r>
          </w:p>
          <w:p w14:paraId="3733ABED" w14:textId="77777777" w:rsidR="00882FC8" w:rsidRDefault="00882FC8" w:rsidP="00882FC8">
            <w:pPr>
              <w:pStyle w:val="RecommendationList"/>
            </w:pPr>
          </w:p>
          <w:p w14:paraId="5539282A" w14:textId="2BA113BB" w:rsidR="00882FC8" w:rsidRPr="00882FC8" w:rsidRDefault="00882FC8" w:rsidP="00882FC8">
            <w:pPr>
              <w:pStyle w:val="BodyText"/>
            </w:pPr>
            <w:r>
              <w:lastRenderedPageBreak/>
              <w:t>The Victorian Governmen</w:t>
            </w:r>
            <w:r w:rsidRPr="00882FC8">
              <w:t>t should simplify the</w:t>
            </w:r>
            <w:r w:rsidR="00F82C6F">
              <w:t xml:space="preserve"> </w:t>
            </w:r>
            <w:r w:rsidRPr="00882FC8">
              <w:t xml:space="preserve">vilification provisions </w:t>
            </w:r>
            <w:r w:rsidR="00A83056">
              <w:t xml:space="preserve">under sections 7 and 8 of the </w:t>
            </w:r>
            <w:r w:rsidR="00A83056" w:rsidRPr="00CD1D6F">
              <w:rPr>
                <w:rStyle w:val="Characteritalic"/>
              </w:rPr>
              <w:t>Racial and Religious Tolerance Act 2001</w:t>
            </w:r>
            <w:r w:rsidR="00A83056">
              <w:t xml:space="preserve"> (Vic) </w:t>
            </w:r>
            <w:r w:rsidRPr="00882FC8">
              <w:t>by introducing a single incitement provision that prohibits vilification o</w:t>
            </w:r>
            <w:r w:rsidR="00772219">
              <w:t>n</w:t>
            </w:r>
            <w:r w:rsidRPr="00882FC8">
              <w:t xml:space="preserve"> the ground of the proposed attributes set out in recommendation</w:t>
            </w:r>
            <w:r w:rsidR="005507AC">
              <w:t xml:space="preserve"> 2. </w:t>
            </w:r>
          </w:p>
          <w:p w14:paraId="0CC6BEEF" w14:textId="77777777" w:rsidR="00882FC8" w:rsidRDefault="00882FC8" w:rsidP="00C67716">
            <w:pPr>
              <w:pStyle w:val="RecommendationList"/>
              <w:numPr>
                <w:ilvl w:val="1"/>
                <w:numId w:val="31"/>
              </w:numPr>
            </w:pPr>
          </w:p>
          <w:p w14:paraId="75E4C727" w14:textId="3A634CEC" w:rsidR="00882FC8" w:rsidRDefault="00A159DF" w:rsidP="00CD1D6F">
            <w:pPr>
              <w:pStyle w:val="BodyText"/>
            </w:pPr>
            <w:r>
              <w:t>The Victorian Government should reform the vilification provision by replacing the word ‘incites’ with the words ‘expresses or is reasonably likely in the circumstances to incite’. I</w:t>
            </w:r>
            <w:r w:rsidR="00F66724">
              <w:t>n</w:t>
            </w:r>
            <w:r>
              <w:t xml:space="preserve"> the event that this does not occur, the word ‘incites’ should be replaced with the words ‘is likely to incite’. </w:t>
            </w:r>
          </w:p>
          <w:p w14:paraId="57C67C8D" w14:textId="77777777" w:rsidR="002A4A1B" w:rsidRDefault="002A4A1B" w:rsidP="00CD1D6F">
            <w:pPr>
              <w:pStyle w:val="RecommendationList"/>
            </w:pPr>
          </w:p>
          <w:p w14:paraId="5C6C4503" w14:textId="79A710B2" w:rsidR="00882FC8" w:rsidRPr="00882FC8" w:rsidRDefault="00882FC8" w:rsidP="00882FC8">
            <w:pPr>
              <w:pStyle w:val="BodyText"/>
            </w:pPr>
            <w:r>
              <w:t>The Victorian Government should intr</w:t>
            </w:r>
            <w:r w:rsidRPr="00882FC8">
              <w:t xml:space="preserve">oduce a complementary civil harm-based </w:t>
            </w:r>
            <w:r w:rsidR="00CB270B">
              <w:t>provision</w:t>
            </w:r>
            <w:r w:rsidRPr="00882FC8">
              <w:t xml:space="preserve"> that: </w:t>
            </w:r>
          </w:p>
          <w:p w14:paraId="647F56C7" w14:textId="77777777" w:rsidR="00882FC8" w:rsidRPr="0024039D" w:rsidRDefault="00882FC8" w:rsidP="00C67716">
            <w:pPr>
              <w:pStyle w:val="ListNumber"/>
              <w:numPr>
                <w:ilvl w:val="0"/>
                <w:numId w:val="26"/>
              </w:numPr>
            </w:pPr>
            <w:r w:rsidRPr="0024039D">
              <w:t>assess</w:t>
            </w:r>
            <w:r>
              <w:t>es</w:t>
            </w:r>
            <w:r w:rsidRPr="0024039D">
              <w:t xml:space="preserve"> harm objectively from the perspective of the target group</w:t>
            </w:r>
          </w:p>
          <w:p w14:paraId="0430EC9C" w14:textId="77777777" w:rsidR="00882FC8" w:rsidRPr="0024039D" w:rsidRDefault="00882FC8" w:rsidP="00C67716">
            <w:pPr>
              <w:pStyle w:val="ListNumber"/>
              <w:numPr>
                <w:ilvl w:val="0"/>
                <w:numId w:val="26"/>
              </w:numPr>
            </w:pPr>
            <w:r w:rsidRPr="0024039D">
              <w:t>protect</w:t>
            </w:r>
            <w:r>
              <w:t>s</w:t>
            </w:r>
            <w:r w:rsidRPr="0024039D">
              <w:t xml:space="preserve"> the same attributes </w:t>
            </w:r>
            <w:r>
              <w:t>proposed for</w:t>
            </w:r>
            <w:r w:rsidRPr="0024039D">
              <w:t xml:space="preserve"> the incitement test</w:t>
            </w:r>
          </w:p>
          <w:p w14:paraId="63F1C7C1" w14:textId="77777777" w:rsidR="00882FC8" w:rsidRDefault="00882FC8" w:rsidP="00C67716">
            <w:pPr>
              <w:pStyle w:val="ListNumber"/>
              <w:numPr>
                <w:ilvl w:val="0"/>
                <w:numId w:val="26"/>
              </w:numPr>
            </w:pPr>
            <w:r w:rsidRPr="00FE5EDC">
              <w:t>exempts private conduct</w:t>
            </w:r>
            <w:r>
              <w:t xml:space="preserve"> </w:t>
            </w:r>
          </w:p>
          <w:p w14:paraId="1D2332B2" w14:textId="050AB079" w:rsidR="005E77E9" w:rsidRPr="005E77E9" w:rsidRDefault="005E77E9" w:rsidP="00C67716">
            <w:pPr>
              <w:pStyle w:val="ListNumber"/>
              <w:numPr>
                <w:ilvl w:val="0"/>
                <w:numId w:val="26"/>
              </w:numPr>
            </w:pPr>
            <w:r w:rsidRPr="005E77E9">
              <w:t xml:space="preserve">includes the same public conduct exception as the civil incitement </w:t>
            </w:r>
            <w:r w:rsidR="00CB270B">
              <w:t>provision</w:t>
            </w:r>
            <w:r w:rsidRPr="005E77E9">
              <w:t xml:space="preserve"> to balance freedom of expression. </w:t>
            </w:r>
          </w:p>
          <w:p w14:paraId="791DB541" w14:textId="77777777" w:rsidR="00882FC8" w:rsidRDefault="00882FC8" w:rsidP="00882FC8">
            <w:pPr>
              <w:pStyle w:val="BodyText"/>
              <w:rPr>
                <w:rStyle w:val="Characterclear"/>
              </w:rPr>
            </w:pPr>
            <w:r>
              <w:t>Importantly, the Victorian Government should safeguard against</w:t>
            </w:r>
            <w:r w:rsidRPr="00882FC8">
              <w:t xml:space="preserve"> any </w:t>
            </w:r>
            <w:r w:rsidRPr="00882FC8">
              <w:rPr>
                <w:rStyle w:val="Characterclear"/>
              </w:rPr>
              <w:t>actual or perceived ‘watering down’ of existing harm-based laws in a Victorian context.</w:t>
            </w:r>
          </w:p>
          <w:p w14:paraId="46C3D39E" w14:textId="490B0ABC" w:rsidR="00882FC8" w:rsidRDefault="00882FC8" w:rsidP="00882FC8">
            <w:pPr>
              <w:pStyle w:val="RecommendationList"/>
            </w:pPr>
          </w:p>
          <w:p w14:paraId="6761D842" w14:textId="77777777" w:rsidR="001950A9" w:rsidRPr="001950A9" w:rsidRDefault="001950A9" w:rsidP="001950A9">
            <w:pPr>
              <w:pStyle w:val="BodyText"/>
            </w:pPr>
            <w:r w:rsidRPr="001950A9">
              <w:t xml:space="preserve">The Victorian Government should narrow the public conduct exception under section 11 of the </w:t>
            </w:r>
            <w:r w:rsidRPr="001F3AF5">
              <w:rPr>
                <w:rStyle w:val="Characteritalic"/>
              </w:rPr>
              <w:t>Racial and Religious Tolerance Act 2001</w:t>
            </w:r>
            <w:r w:rsidRPr="001950A9">
              <w:t xml:space="preserve"> (Vic) by: </w:t>
            </w:r>
          </w:p>
          <w:p w14:paraId="2FB2428E" w14:textId="77777777" w:rsidR="001950A9" w:rsidRPr="001950A9" w:rsidRDefault="001950A9" w:rsidP="001950A9">
            <w:pPr>
              <w:pStyle w:val="BodyText"/>
              <w:numPr>
                <w:ilvl w:val="0"/>
                <w:numId w:val="3"/>
              </w:numPr>
            </w:pPr>
            <w:r w:rsidRPr="001950A9">
              <w:t>replacing the definition of ‘religious purpose’ with a definition that reflects the limited ability for a person to manifest a religious belief under human rights law in ‘worship, observance, practice and teaching’</w:t>
            </w:r>
          </w:p>
          <w:p w14:paraId="64B00E9C" w14:textId="77777777" w:rsidR="001950A9" w:rsidRPr="001950A9" w:rsidRDefault="001950A9" w:rsidP="001950A9">
            <w:pPr>
              <w:pStyle w:val="BodyText"/>
              <w:numPr>
                <w:ilvl w:val="0"/>
                <w:numId w:val="3"/>
              </w:numPr>
            </w:pPr>
            <w:r w:rsidRPr="001950A9">
              <w:t xml:space="preserve">including the word ‘genuine’ before the word ‘purpose’ in section 11(1)(b)(ii). </w:t>
            </w:r>
          </w:p>
          <w:p w14:paraId="47A7B326" w14:textId="512D6C62" w:rsidR="001950A9" w:rsidRPr="001950A9" w:rsidRDefault="001950A9" w:rsidP="00CD1D6F">
            <w:pPr>
              <w:pStyle w:val="BodyText"/>
            </w:pPr>
            <w:r w:rsidRPr="001950A9">
              <w:t>The reformed public conduct exception should apply to the reformed civil incitement test (recommendations 5 and 6) and the proposed complementary harm-based test (recommendation 7).</w:t>
            </w:r>
          </w:p>
          <w:p w14:paraId="0BBEC3C5" w14:textId="77777777" w:rsidR="00882FC8" w:rsidRDefault="00882FC8" w:rsidP="00882FC8">
            <w:pPr>
              <w:pStyle w:val="RecommendationList"/>
            </w:pPr>
          </w:p>
          <w:p w14:paraId="16537162" w14:textId="2F429EF2" w:rsidR="00882FC8" w:rsidRPr="00882FC8" w:rsidRDefault="00882FC8" w:rsidP="00882FC8">
            <w:pPr>
              <w:pStyle w:val="BodyText"/>
              <w:rPr>
                <w:rStyle w:val="Characterclear"/>
              </w:rPr>
            </w:pPr>
            <w:r>
              <w:t xml:space="preserve">The Victorian Government should introduce a </w:t>
            </w:r>
            <w:r w:rsidRPr="00882FC8">
              <w:t xml:space="preserve">single </w:t>
            </w:r>
            <w:r w:rsidR="00772219">
              <w:t xml:space="preserve">criminal </w:t>
            </w:r>
            <w:r w:rsidRPr="00882FC8">
              <w:t xml:space="preserve">offence for serious vilification that is modelled on the offences for serious vilification under section 24 and 25 of the </w:t>
            </w:r>
            <w:r w:rsidRPr="00882FC8">
              <w:rPr>
                <w:rStyle w:val="Characteritalic"/>
              </w:rPr>
              <w:t>Racial and Religious Tolerance Act 2001</w:t>
            </w:r>
            <w:r w:rsidRPr="00882FC8">
              <w:rPr>
                <w:rStyle w:val="Characterclear"/>
              </w:rPr>
              <w:t xml:space="preserve"> </w:t>
            </w:r>
            <w:r w:rsidR="007C591C">
              <w:rPr>
                <w:rStyle w:val="Characterclear"/>
              </w:rPr>
              <w:t xml:space="preserve">(Vic) </w:t>
            </w:r>
            <w:r w:rsidRPr="00882FC8">
              <w:rPr>
                <w:rStyle w:val="Characterclear"/>
              </w:rPr>
              <w:t xml:space="preserve">with the following modifications: </w:t>
            </w:r>
          </w:p>
          <w:p w14:paraId="1A318835" w14:textId="77777777" w:rsidR="00882FC8" w:rsidRDefault="00882FC8" w:rsidP="00882FC8">
            <w:pPr>
              <w:pStyle w:val="ListBullet"/>
              <w:numPr>
                <w:ilvl w:val="0"/>
                <w:numId w:val="3"/>
              </w:numPr>
            </w:pPr>
            <w:r w:rsidRPr="00CE55F7">
              <w:t xml:space="preserve">the fault element should be amended to ‘intentionally </w:t>
            </w:r>
            <w:r w:rsidRPr="00C36F77">
              <w:rPr>
                <w:rStyle w:val="Characteritalic"/>
              </w:rPr>
              <w:t>or recklessly’</w:t>
            </w:r>
          </w:p>
          <w:p w14:paraId="7943174B" w14:textId="77777777" w:rsidR="00882FC8" w:rsidRDefault="00882FC8" w:rsidP="00882FC8">
            <w:pPr>
              <w:pStyle w:val="ListBullet"/>
              <w:numPr>
                <w:ilvl w:val="0"/>
                <w:numId w:val="3"/>
              </w:numPr>
            </w:pPr>
            <w:r w:rsidRPr="00CE55F7">
              <w:t>the subjective test of conduct that ‘the offender knows is likely to incite’ should be replaced with an objective test of conduct that ‘is likely to incite’</w:t>
            </w:r>
          </w:p>
          <w:p w14:paraId="1DE1815F" w14:textId="77777777" w:rsidR="00882FC8" w:rsidRDefault="00882FC8" w:rsidP="00882FC8">
            <w:pPr>
              <w:pStyle w:val="ListBullet"/>
              <w:numPr>
                <w:ilvl w:val="0"/>
                <w:numId w:val="3"/>
              </w:numPr>
            </w:pPr>
            <w:r w:rsidRPr="00CE55F7">
              <w:t xml:space="preserve">the offence should prohibit threats </w:t>
            </w:r>
            <w:r w:rsidRPr="00C36F77">
              <w:rPr>
                <w:rStyle w:val="Characteritalic"/>
              </w:rPr>
              <w:t>or</w:t>
            </w:r>
            <w:r w:rsidRPr="00CE55F7">
              <w:t xml:space="preserve"> incitement (rather than threats </w:t>
            </w:r>
            <w:r w:rsidRPr="00C36F77">
              <w:rPr>
                <w:rStyle w:val="Characteritalic"/>
              </w:rPr>
              <w:t xml:space="preserve">and </w:t>
            </w:r>
            <w:r w:rsidRPr="00CE55F7">
              <w:t>incitement</w:t>
            </w:r>
            <w:r>
              <w:t xml:space="preserve"> in the existing criminal offences</w:t>
            </w:r>
            <w:r w:rsidRPr="00CE55F7">
              <w:t>)</w:t>
            </w:r>
            <w:r>
              <w:t xml:space="preserve">. </w:t>
            </w:r>
          </w:p>
          <w:p w14:paraId="6F2CED5B" w14:textId="1D6D8517" w:rsidR="00882FC8" w:rsidRPr="00882FC8" w:rsidRDefault="00882FC8" w:rsidP="00882FC8">
            <w:pPr>
              <w:pStyle w:val="BodyText"/>
              <w:rPr>
                <w:rStyle w:val="Characterclear"/>
              </w:rPr>
            </w:pPr>
            <w:r>
              <w:rPr>
                <w:rStyle w:val="Characterclear"/>
              </w:rPr>
              <w:t>Th</w:t>
            </w:r>
            <w:r w:rsidRPr="00882FC8">
              <w:rPr>
                <w:rStyle w:val="Characterclear"/>
              </w:rPr>
              <w:t>e offence should protect the same attributes set out in recommendatio</w:t>
            </w:r>
            <w:r w:rsidR="00E95AEC">
              <w:rPr>
                <w:rStyle w:val="Characterclear"/>
              </w:rPr>
              <w:t>n 2.</w:t>
            </w:r>
          </w:p>
          <w:p w14:paraId="299A9FB7" w14:textId="77777777" w:rsidR="00882FC8" w:rsidRPr="00882FC8" w:rsidRDefault="00882FC8" w:rsidP="00882FC8">
            <w:pPr>
              <w:pStyle w:val="BodyText"/>
              <w:rPr>
                <w:rStyle w:val="Characterclear"/>
              </w:rPr>
            </w:pPr>
            <w:r>
              <w:rPr>
                <w:rStyle w:val="Characterclear"/>
              </w:rPr>
              <w:t>The offence should include an exception for ‘private conduct’ modelled on sec</w:t>
            </w:r>
            <w:r w:rsidRPr="00882FC8">
              <w:rPr>
                <w:rStyle w:val="Characterclear"/>
              </w:rPr>
              <w:t xml:space="preserve">tion 12 of the </w:t>
            </w:r>
            <w:r w:rsidRPr="00882FC8">
              <w:rPr>
                <w:rStyle w:val="Characteritalic"/>
              </w:rPr>
              <w:t xml:space="preserve">Racial and Religious Tolerance Act 2001 </w:t>
            </w:r>
            <w:r w:rsidRPr="00882FC8">
              <w:rPr>
                <w:rStyle w:val="Characterclear"/>
              </w:rPr>
              <w:t>(Vic).</w:t>
            </w:r>
          </w:p>
          <w:p w14:paraId="2BEDF970" w14:textId="77777777" w:rsidR="00882FC8" w:rsidRDefault="00882FC8" w:rsidP="00C67716">
            <w:pPr>
              <w:pStyle w:val="RecommendationList"/>
              <w:numPr>
                <w:ilvl w:val="1"/>
                <w:numId w:val="31"/>
              </w:numPr>
              <w:rPr>
                <w:rStyle w:val="Characteryellowhighlight"/>
              </w:rPr>
            </w:pPr>
          </w:p>
          <w:p w14:paraId="6386FBE0" w14:textId="77777777" w:rsidR="00882FC8" w:rsidRPr="00882FC8" w:rsidRDefault="00882FC8" w:rsidP="00882FC8">
            <w:pPr>
              <w:pStyle w:val="BodyText"/>
              <w:rPr>
                <w:rStyle w:val="Characterclear"/>
              </w:rPr>
            </w:pPr>
            <w:r w:rsidRPr="00E42558">
              <w:rPr>
                <w:rStyle w:val="Characterclear"/>
              </w:rPr>
              <w:lastRenderedPageBreak/>
              <w:t xml:space="preserve">The Victorian Government should </w:t>
            </w:r>
            <w:r w:rsidRPr="00882FC8">
              <w:rPr>
                <w:rStyle w:val="Characterclear"/>
              </w:rPr>
              <w:t xml:space="preserve">consider introducing complementary offences to criminalise: </w:t>
            </w:r>
          </w:p>
          <w:p w14:paraId="4C79B770" w14:textId="77777777" w:rsidR="00882FC8" w:rsidRPr="00E42558" w:rsidRDefault="00882FC8" w:rsidP="00882FC8">
            <w:pPr>
              <w:pStyle w:val="ListBullet"/>
              <w:numPr>
                <w:ilvl w:val="0"/>
                <w:numId w:val="3"/>
              </w:numPr>
              <w:rPr>
                <w:rStyle w:val="Characterclear"/>
              </w:rPr>
            </w:pPr>
            <w:r w:rsidRPr="00E42558">
              <w:rPr>
                <w:rStyle w:val="Characterclear"/>
              </w:rPr>
              <w:t xml:space="preserve">the possession, distribution or display of </w:t>
            </w:r>
            <w:r>
              <w:rPr>
                <w:rStyle w:val="Characterclear"/>
              </w:rPr>
              <w:t xml:space="preserve">hateful </w:t>
            </w:r>
            <w:r w:rsidRPr="00E42558">
              <w:rPr>
                <w:rStyle w:val="Characterclear"/>
              </w:rPr>
              <w:t xml:space="preserve">material; and </w:t>
            </w:r>
          </w:p>
          <w:p w14:paraId="5B6A0696" w14:textId="77777777" w:rsidR="00882FC8" w:rsidRDefault="00882FC8" w:rsidP="007105B7">
            <w:pPr>
              <w:pStyle w:val="TableListBullet"/>
              <w:rPr>
                <w:rStyle w:val="Characterclear"/>
              </w:rPr>
            </w:pPr>
            <w:r>
              <w:rPr>
                <w:rStyle w:val="Characterclear"/>
              </w:rPr>
              <w:t xml:space="preserve">hate </w:t>
            </w:r>
            <w:r w:rsidRPr="00882FC8">
              <w:rPr>
                <w:rStyle w:val="Characterclear"/>
              </w:rPr>
              <w:t>conduct that is intended or is reasonably likely to cause a person to have a reasonable fear for their safety or security of property.</w:t>
            </w:r>
          </w:p>
          <w:p w14:paraId="43400A78" w14:textId="77777777" w:rsidR="00882FC8" w:rsidRDefault="00882FC8" w:rsidP="00882FC8">
            <w:pPr>
              <w:pStyle w:val="RecommendationList"/>
            </w:pPr>
          </w:p>
          <w:p w14:paraId="768CC2FA" w14:textId="3C40F9C8" w:rsidR="00882FC8" w:rsidRDefault="00882FC8" w:rsidP="00882FC8">
            <w:pPr>
              <w:pStyle w:val="BodyText"/>
            </w:pPr>
            <w:r>
              <w:t>The</w:t>
            </w:r>
            <w:r w:rsidRPr="00882FC8">
              <w:t xml:space="preserve"> Victorian Government should adopt the definition of ‘public act’ under section 93Z(5) of the </w:t>
            </w:r>
            <w:r w:rsidRPr="00882FC8">
              <w:rPr>
                <w:rStyle w:val="Characteritalic"/>
              </w:rPr>
              <w:t>Crimes Act 1900</w:t>
            </w:r>
            <w:r w:rsidRPr="00882FC8">
              <w:t xml:space="preserve"> (NSW) for the purposes of </w:t>
            </w:r>
            <w:r w:rsidR="00DF657F">
              <w:t xml:space="preserve">all of </w:t>
            </w:r>
            <w:r w:rsidRPr="00882FC8">
              <w:t>the civil provisions and criminal offences in Victoria’s reformed vilification laws</w:t>
            </w:r>
            <w:r w:rsidR="002B0015">
              <w:t xml:space="preserve"> to clarify the broad scope of conduct covered by the Act.</w:t>
            </w:r>
          </w:p>
          <w:p w14:paraId="1B3746F8" w14:textId="7F68B2F1" w:rsidR="00B81A7D" w:rsidRDefault="00B81A7D" w:rsidP="00B81A7D">
            <w:pPr>
              <w:pStyle w:val="Heading4"/>
              <w:outlineLvl w:val="3"/>
            </w:pPr>
            <w:r>
              <w:t xml:space="preserve">Strengthening dispute resolution </w:t>
            </w:r>
          </w:p>
          <w:p w14:paraId="50549A7C" w14:textId="457E5F82" w:rsidR="00882FC8" w:rsidRDefault="00882FC8" w:rsidP="00882FC8">
            <w:pPr>
              <w:pStyle w:val="RecommendationList"/>
            </w:pPr>
          </w:p>
          <w:p w14:paraId="616ED909" w14:textId="77777777" w:rsidR="00535A99" w:rsidRPr="00535A99" w:rsidRDefault="00535A99" w:rsidP="00535A99">
            <w:pPr>
              <w:pStyle w:val="BodyText"/>
            </w:pPr>
            <w:r w:rsidRPr="00535A99">
              <w:t xml:space="preserve">The Victorian Government should empower the Victorian Equal Opportunity and Human Rights Commission to: </w:t>
            </w:r>
          </w:p>
          <w:p w14:paraId="748917FE" w14:textId="77777777" w:rsidR="00535A99" w:rsidRPr="00535A99" w:rsidRDefault="00535A99" w:rsidP="00535A99">
            <w:pPr>
              <w:pStyle w:val="ListBullet"/>
              <w:numPr>
                <w:ilvl w:val="0"/>
                <w:numId w:val="3"/>
              </w:numPr>
            </w:pPr>
            <w:r w:rsidRPr="00535A99">
              <w:t xml:space="preserve">direct a person (including natural and non-natural persons) to provide information or produce a document that is relevant to a complaint </w:t>
            </w:r>
          </w:p>
          <w:p w14:paraId="1C22DD63" w14:textId="4601B18A" w:rsidR="00535A99" w:rsidRPr="00535A99" w:rsidRDefault="00535A99" w:rsidP="00535A99">
            <w:pPr>
              <w:pStyle w:val="ListBullet"/>
              <w:numPr>
                <w:ilvl w:val="0"/>
                <w:numId w:val="3"/>
              </w:numPr>
            </w:pPr>
            <w:r w:rsidRPr="00535A99">
              <w:t>enforce a direction by filing it with the Victorian Civil and Administrative Tribunal (which would then be enforceable as if it were an order of the Tribunal).</w:t>
            </w:r>
          </w:p>
          <w:p w14:paraId="0D067164" w14:textId="77777777" w:rsidR="00882FC8" w:rsidRDefault="00882FC8" w:rsidP="00882FC8">
            <w:pPr>
              <w:pStyle w:val="RecommendationList"/>
            </w:pPr>
          </w:p>
          <w:p w14:paraId="01253FBA" w14:textId="6C1E93ED" w:rsidR="00535A99" w:rsidRDefault="00535A99" w:rsidP="00882FC8">
            <w:pPr>
              <w:pStyle w:val="BodyText"/>
            </w:pPr>
            <w:r w:rsidRPr="00535A99">
              <w:t>The Victorian Government should amend s</w:t>
            </w:r>
            <w:r w:rsidR="002B0015">
              <w:t>ection</w:t>
            </w:r>
            <w:r w:rsidRPr="00535A99">
              <w:t xml:space="preserve"> 20 of the </w:t>
            </w:r>
            <w:r w:rsidRPr="00535A99">
              <w:rPr>
                <w:rStyle w:val="Characteritalic"/>
              </w:rPr>
              <w:t>Racial and Religious Tolerance Act 2001</w:t>
            </w:r>
            <w:r w:rsidRPr="00535A99">
              <w:t xml:space="preserve"> (Vic) to enable a representative complaint to be made without the need to name an individual complainant</w:t>
            </w:r>
            <w:r w:rsidR="00357362">
              <w:t xml:space="preserve"> or for individual consent</w:t>
            </w:r>
            <w:r w:rsidRPr="00535A99">
              <w:t>.</w:t>
            </w:r>
            <w:r w:rsidR="0071767D">
              <w:t xml:space="preserve"> </w:t>
            </w:r>
          </w:p>
          <w:p w14:paraId="27664CFC" w14:textId="6621639A" w:rsidR="0068145C" w:rsidRPr="001F3AF5" w:rsidRDefault="00722FE3">
            <w:pPr>
              <w:pStyle w:val="BodyText"/>
              <w:rPr>
                <w:lang w:eastAsia="en-AU"/>
              </w:rPr>
            </w:pPr>
            <w:r>
              <w:t>For consistency,</w:t>
            </w:r>
            <w:r w:rsidR="0071767D">
              <w:t xml:space="preserve"> amendment</w:t>
            </w:r>
            <w:r>
              <w:t xml:space="preserve">s to section 114 of </w:t>
            </w:r>
            <w:r w:rsidR="00C818FA" w:rsidRPr="00C818FA">
              <w:t xml:space="preserve">the </w:t>
            </w:r>
            <w:r w:rsidR="00C818FA" w:rsidRPr="00C818FA">
              <w:rPr>
                <w:rStyle w:val="Characteritalic"/>
              </w:rPr>
              <w:t>Equal Opportunity Act 2010</w:t>
            </w:r>
            <w:r w:rsidR="00C818FA" w:rsidRPr="00C818FA">
              <w:t xml:space="preserve"> (Vic)</w:t>
            </w:r>
            <w:r>
              <w:t xml:space="preserve"> should be made to enable a representative complaint to be made without the need to name an individual complainant</w:t>
            </w:r>
            <w:r w:rsidR="00C818FA" w:rsidRPr="00C818FA">
              <w:t xml:space="preserve"> </w:t>
            </w:r>
            <w:r w:rsidR="00812411">
              <w:t xml:space="preserve">or for individual consent </w:t>
            </w:r>
            <w:r w:rsidR="00C818FA" w:rsidRPr="00C818FA">
              <w:t>for the purposes of discrimination law</w:t>
            </w:r>
            <w:r w:rsidR="00357362">
              <w:t>.</w:t>
            </w:r>
            <w:r w:rsidR="00C818FA">
              <w:t xml:space="preserve"> </w:t>
            </w:r>
          </w:p>
          <w:p w14:paraId="61454005" w14:textId="596D7901" w:rsidR="00B81A7D" w:rsidRDefault="00B81A7D" w:rsidP="00B81A7D">
            <w:pPr>
              <w:pStyle w:val="Heading4"/>
              <w:outlineLvl w:val="3"/>
            </w:pPr>
            <w:r>
              <w:t xml:space="preserve">Strengthening criminal enforcement </w:t>
            </w:r>
          </w:p>
          <w:p w14:paraId="3DD7897C" w14:textId="77777777" w:rsidR="00882FC8" w:rsidRDefault="00882FC8" w:rsidP="00882FC8">
            <w:pPr>
              <w:pStyle w:val="RecommendationList"/>
            </w:pPr>
          </w:p>
          <w:p w14:paraId="6BB62ACB" w14:textId="77777777" w:rsidR="00882FC8" w:rsidRPr="00882FC8" w:rsidRDefault="00882FC8" w:rsidP="00882FC8">
            <w:pPr>
              <w:pStyle w:val="BodyText"/>
            </w:pPr>
            <w:r>
              <w:t>The Victorian Government shoul</w:t>
            </w:r>
            <w:r w:rsidRPr="00882FC8">
              <w:t xml:space="preserve">d move the serious vilification offences from the </w:t>
            </w:r>
            <w:r w:rsidRPr="00882FC8">
              <w:rPr>
                <w:rStyle w:val="Characteritalic"/>
              </w:rPr>
              <w:t>Racial and Religious Tolerance Act 2001</w:t>
            </w:r>
            <w:r w:rsidRPr="00882FC8">
              <w:t xml:space="preserve"> (Vic) to the </w:t>
            </w:r>
            <w:r w:rsidRPr="00882FC8">
              <w:rPr>
                <w:rStyle w:val="Characteritalic"/>
              </w:rPr>
              <w:t>Crimes Act 1958</w:t>
            </w:r>
            <w:r w:rsidRPr="00882FC8">
              <w:t xml:space="preserve"> (Vic). </w:t>
            </w:r>
          </w:p>
          <w:p w14:paraId="4694A242" w14:textId="77777777" w:rsidR="00882FC8" w:rsidRPr="00882FC8" w:rsidRDefault="00882FC8" w:rsidP="00882FC8">
            <w:pPr>
              <w:pStyle w:val="BodyText"/>
            </w:pPr>
            <w:r>
              <w:t>The</w:t>
            </w:r>
            <w:r w:rsidRPr="00882FC8">
              <w:t xml:space="preserve"> </w:t>
            </w:r>
            <w:r w:rsidRPr="00882FC8">
              <w:rPr>
                <w:rStyle w:val="Characteritalic"/>
              </w:rPr>
              <w:t>Equal Opportunity Act 2010</w:t>
            </w:r>
            <w:r w:rsidRPr="00882FC8">
              <w:t xml:space="preserve"> (Vic) should include a reference to: </w:t>
            </w:r>
          </w:p>
          <w:p w14:paraId="4F21A933" w14:textId="77777777" w:rsidR="00882FC8" w:rsidRDefault="00882FC8" w:rsidP="00882FC8">
            <w:pPr>
              <w:pStyle w:val="ListBullet"/>
              <w:numPr>
                <w:ilvl w:val="0"/>
                <w:numId w:val="3"/>
              </w:numPr>
            </w:pPr>
            <w:r>
              <w:t xml:space="preserve">the offences in the </w:t>
            </w:r>
            <w:r w:rsidRPr="00EF27B8">
              <w:rPr>
                <w:rStyle w:val="Characteritalic"/>
              </w:rPr>
              <w:t>Crimes Act 1958</w:t>
            </w:r>
            <w:r>
              <w:t xml:space="preserve"> (Vic)</w:t>
            </w:r>
          </w:p>
          <w:p w14:paraId="5964E098" w14:textId="77777777" w:rsidR="00882FC8" w:rsidRDefault="00882FC8" w:rsidP="00882FC8">
            <w:pPr>
              <w:pStyle w:val="ListBullet"/>
              <w:numPr>
                <w:ilvl w:val="0"/>
                <w:numId w:val="3"/>
              </w:numPr>
            </w:pPr>
            <w:r>
              <w:t>the ability for the Commission and Victoria Police to cross-refer matters.</w:t>
            </w:r>
          </w:p>
          <w:p w14:paraId="689E43AE" w14:textId="77777777" w:rsidR="00882FC8" w:rsidRDefault="00882FC8" w:rsidP="00882FC8">
            <w:pPr>
              <w:pStyle w:val="BodyText"/>
            </w:pPr>
            <w:r>
              <w:t xml:space="preserve">Alternatively, if Victoria’s vilification laws remain in a standalone Act, the </w:t>
            </w:r>
            <w:r w:rsidRPr="00882FC8">
              <w:t>relevant Act should refer to the same matters listed above.</w:t>
            </w:r>
          </w:p>
          <w:p w14:paraId="63DCB03B" w14:textId="77777777" w:rsidR="00882FC8" w:rsidRDefault="00882FC8" w:rsidP="00882FC8">
            <w:pPr>
              <w:pStyle w:val="RecommendationList"/>
            </w:pPr>
          </w:p>
          <w:p w14:paraId="331C4321" w14:textId="058CF95F" w:rsidR="00882FC8" w:rsidRDefault="00882FC8" w:rsidP="00882FC8">
            <w:pPr>
              <w:pStyle w:val="BodyText"/>
            </w:pPr>
            <w:r>
              <w:t>The Victorian Government should increase the pena</w:t>
            </w:r>
            <w:r w:rsidRPr="00882FC8">
              <w:t xml:space="preserve">lties for serious vilification in line with comparable offences in Victoria and other Australian jurisdictions.  </w:t>
            </w:r>
          </w:p>
          <w:p w14:paraId="0C475EB2" w14:textId="46494EA8" w:rsidR="00B81A7D" w:rsidRDefault="00B81A7D" w:rsidP="00B81A7D">
            <w:pPr>
              <w:pStyle w:val="Heading4"/>
              <w:outlineLvl w:val="3"/>
            </w:pPr>
            <w:r>
              <w:t xml:space="preserve">Shifting the burden of enforcement </w:t>
            </w:r>
          </w:p>
          <w:p w14:paraId="12D44F69" w14:textId="77777777" w:rsidR="00882FC8" w:rsidRDefault="00882FC8" w:rsidP="00882FC8">
            <w:pPr>
              <w:pStyle w:val="RecommendationList"/>
            </w:pPr>
          </w:p>
          <w:p w14:paraId="6D830F91" w14:textId="77777777" w:rsidR="00882FC8" w:rsidRPr="00882FC8" w:rsidRDefault="00882FC8" w:rsidP="00882FC8">
            <w:pPr>
              <w:pStyle w:val="BodyText"/>
            </w:pPr>
            <w:r>
              <w:lastRenderedPageBreak/>
              <w:t xml:space="preserve">The </w:t>
            </w:r>
            <w:r w:rsidRPr="00882FC8">
              <w:t xml:space="preserve">Victorian Government should amend the </w:t>
            </w:r>
            <w:r w:rsidRPr="00CD1D6F">
              <w:rPr>
                <w:rStyle w:val="Characteritalic"/>
              </w:rPr>
              <w:t>Equal Opportunity Act 2010</w:t>
            </w:r>
            <w:r w:rsidRPr="00882FC8">
              <w:t xml:space="preserve"> (Vic) to extend the full range of the Victorian Equal Opportunity and Human Rights Commission’s functions and powers to the regulation of vilification, including to issue practice guidelines, undertake research, conduct legal interventions, undertake compliance reviews, prepare action plans and conduct investigations. </w:t>
            </w:r>
          </w:p>
          <w:p w14:paraId="57F9184C" w14:textId="77777777" w:rsidR="00882FC8" w:rsidRDefault="00882FC8" w:rsidP="00C67716">
            <w:pPr>
              <w:pStyle w:val="RecommendationList"/>
              <w:numPr>
                <w:ilvl w:val="1"/>
                <w:numId w:val="31"/>
              </w:numPr>
            </w:pPr>
          </w:p>
          <w:p w14:paraId="0A2607BC" w14:textId="77777777" w:rsidR="00882FC8" w:rsidRPr="00882FC8" w:rsidRDefault="00882FC8" w:rsidP="00882FC8">
            <w:pPr>
              <w:pStyle w:val="BodyText"/>
            </w:pPr>
            <w:r>
              <w:t xml:space="preserve">The Victorian Government should amend the </w:t>
            </w:r>
            <w:r w:rsidRPr="00882FC8">
              <w:rPr>
                <w:rStyle w:val="Characteritalic"/>
              </w:rPr>
              <w:t>Equal Opportunity Act 2010</w:t>
            </w:r>
            <w:r w:rsidRPr="00882FC8">
              <w:t xml:space="preserve"> (Vic) to reinstate and strengthen the Victorian Equal Opportunity and Human Rights Commission’s functions and powers, including to: </w:t>
            </w:r>
          </w:p>
          <w:p w14:paraId="70036EE4" w14:textId="77777777" w:rsidR="00882FC8" w:rsidRDefault="00882FC8" w:rsidP="00C67716">
            <w:pPr>
              <w:pStyle w:val="ListNumber"/>
              <w:numPr>
                <w:ilvl w:val="0"/>
                <w:numId w:val="35"/>
              </w:numPr>
            </w:pPr>
            <w:r>
              <w:t xml:space="preserve">undertake own-motion public inquiries </w:t>
            </w:r>
          </w:p>
          <w:p w14:paraId="4EC2187D" w14:textId="77777777" w:rsidR="00882FC8" w:rsidRDefault="00882FC8" w:rsidP="00C67716">
            <w:pPr>
              <w:pStyle w:val="ListNumber"/>
              <w:numPr>
                <w:ilvl w:val="0"/>
                <w:numId w:val="26"/>
              </w:numPr>
            </w:pPr>
            <w:r>
              <w:t xml:space="preserve">investigate any serious matter that indicates a possible contravention of the Act: </w:t>
            </w:r>
          </w:p>
          <w:p w14:paraId="07325066" w14:textId="41B40660" w:rsidR="00882FC8" w:rsidRDefault="00882FC8" w:rsidP="00C67716">
            <w:pPr>
              <w:pStyle w:val="ListNumber2"/>
              <w:numPr>
                <w:ilvl w:val="1"/>
                <w:numId w:val="26"/>
              </w:numPr>
            </w:pPr>
            <w:r>
              <w:t xml:space="preserve">without the need for a reasonable expectation that the matter cannot be resolved by dispute resolution or the </w:t>
            </w:r>
            <w:r w:rsidR="005672DF">
              <w:t>VCAT</w:t>
            </w:r>
          </w:p>
          <w:p w14:paraId="30431C7E" w14:textId="77777777" w:rsidR="00882FC8" w:rsidRDefault="00882FC8" w:rsidP="00C67716">
            <w:pPr>
              <w:pStyle w:val="ListNumber2"/>
              <w:numPr>
                <w:ilvl w:val="1"/>
                <w:numId w:val="26"/>
              </w:numPr>
            </w:pPr>
            <w:r>
              <w:t>with the introduction of a ‘reasonable expectation’ that the matter relates to a class or group of persons</w:t>
            </w:r>
          </w:p>
          <w:p w14:paraId="19A8D389" w14:textId="77777777" w:rsidR="00882FC8" w:rsidRDefault="00882FC8" w:rsidP="00C67716">
            <w:pPr>
              <w:pStyle w:val="ListNumber"/>
              <w:numPr>
                <w:ilvl w:val="0"/>
                <w:numId w:val="26"/>
              </w:numPr>
            </w:pPr>
            <w:r>
              <w:t>compel attendance, information and documents for any purposes of an investigation or public inquiry without the need for an order from VCAT</w:t>
            </w:r>
          </w:p>
          <w:p w14:paraId="7CC7E65D" w14:textId="77777777" w:rsidR="00882FC8" w:rsidRDefault="00882FC8" w:rsidP="00C67716">
            <w:pPr>
              <w:pStyle w:val="ListNumber"/>
              <w:numPr>
                <w:ilvl w:val="0"/>
                <w:numId w:val="26"/>
              </w:numPr>
            </w:pPr>
            <w:r>
              <w:t xml:space="preserve">seek enforceable undertakings and issue compliance notices as potential outcomes of an investigation or a public inquiry. </w:t>
            </w:r>
          </w:p>
          <w:p w14:paraId="15A29FE1" w14:textId="0C98116B" w:rsidR="00882FC8" w:rsidRDefault="00882FC8" w:rsidP="00882FC8">
            <w:pPr>
              <w:pStyle w:val="BodyText"/>
            </w:pPr>
            <w:r>
              <w:t xml:space="preserve">These reinstated </w:t>
            </w:r>
            <w:r w:rsidRPr="00882FC8">
              <w:t xml:space="preserve">functions and powers should also apply to the regulation of vilification under the </w:t>
            </w:r>
            <w:r w:rsidRPr="00882FC8">
              <w:rPr>
                <w:rStyle w:val="Characteritalic"/>
              </w:rPr>
              <w:t>Equal Opportunity Act 2010</w:t>
            </w:r>
            <w:r w:rsidRPr="00882FC8">
              <w:t xml:space="preserve"> (Vic) (see recommendatio</w:t>
            </w:r>
            <w:r w:rsidR="00DF657F">
              <w:t xml:space="preserve">n 1). </w:t>
            </w:r>
          </w:p>
          <w:p w14:paraId="77E216D8" w14:textId="77777777" w:rsidR="00882FC8" w:rsidRDefault="00882FC8" w:rsidP="00882FC8">
            <w:pPr>
              <w:pStyle w:val="RecommendationList"/>
            </w:pPr>
          </w:p>
          <w:p w14:paraId="49D111C1" w14:textId="1EFB05DE" w:rsidR="00882FC8" w:rsidRDefault="00882FC8" w:rsidP="00882FC8">
            <w:pPr>
              <w:pStyle w:val="BodyText"/>
            </w:pPr>
            <w:r>
              <w:t xml:space="preserve">The Victorian Government should </w:t>
            </w:r>
            <w:r w:rsidR="005F1FB0">
              <w:t xml:space="preserve">consider </w:t>
            </w:r>
            <w:r>
              <w:t>extend</w:t>
            </w:r>
            <w:r w:rsidR="005F1FB0">
              <w:t>ing</w:t>
            </w:r>
            <w:r>
              <w:t xml:space="preserve"> the positive duty under section 15 of the </w:t>
            </w:r>
            <w:r w:rsidRPr="00882FC8">
              <w:rPr>
                <w:rStyle w:val="Characteritalic"/>
              </w:rPr>
              <w:t>Equal Opportunity Act 2010</w:t>
            </w:r>
            <w:r w:rsidRPr="00882FC8">
              <w:t xml:space="preserve"> (Vic) to vilification, accompanied by strengthened functions and powers for the Victorian Equal Opportunity and Human Rights Commission to effectively regulate vilification (see recommendatio</w:t>
            </w:r>
            <w:r w:rsidR="00DF657F">
              <w:t xml:space="preserve">n 17). </w:t>
            </w:r>
          </w:p>
          <w:p w14:paraId="6D4B36C1" w14:textId="50107EF3" w:rsidR="00B81A7D" w:rsidRDefault="00B81A7D" w:rsidP="00B81A7D">
            <w:pPr>
              <w:pStyle w:val="Heading4"/>
              <w:outlineLvl w:val="3"/>
            </w:pPr>
            <w:r>
              <w:t xml:space="preserve">Strengthening the policy response to hate </w:t>
            </w:r>
          </w:p>
          <w:p w14:paraId="5BF559C1" w14:textId="77777777" w:rsidR="00882FC8" w:rsidRDefault="00882FC8" w:rsidP="00882FC8">
            <w:pPr>
              <w:pStyle w:val="RecommendationList"/>
            </w:pPr>
          </w:p>
          <w:p w14:paraId="78AEAFFE" w14:textId="7C4A4CB4" w:rsidR="00747F92" w:rsidRPr="00747F92" w:rsidRDefault="00747F92" w:rsidP="00747F92">
            <w:pPr>
              <w:pStyle w:val="BodyText"/>
            </w:pPr>
            <w:r w:rsidRPr="00747F92">
              <w:t>The Victorian Government should fund the Victorian Equal Opportunity and Human Rights Commission</w:t>
            </w:r>
            <w:r w:rsidR="009A2C64">
              <w:t xml:space="preserve"> and other relevant organisations</w:t>
            </w:r>
            <w:r w:rsidRPr="00747F92">
              <w:t xml:space="preserve"> to: </w:t>
            </w:r>
          </w:p>
          <w:p w14:paraId="1EC98A47" w14:textId="77777777" w:rsidR="00CA62A4" w:rsidRDefault="00747F92" w:rsidP="00CA62A4">
            <w:pPr>
              <w:pStyle w:val="ListBullet"/>
              <w:numPr>
                <w:ilvl w:val="0"/>
                <w:numId w:val="3"/>
              </w:numPr>
            </w:pPr>
            <w:r w:rsidRPr="00747F92">
              <w:t>provide education and support to relevant community organisations to equip them to better support their communities to understand and exercise their rights</w:t>
            </w:r>
          </w:p>
          <w:p w14:paraId="66321DB4" w14:textId="08CC4040" w:rsidR="00747F92" w:rsidRPr="00CA62A4" w:rsidRDefault="00747F92" w:rsidP="00CA62A4">
            <w:pPr>
              <w:pStyle w:val="ListBullet"/>
              <w:numPr>
                <w:ilvl w:val="0"/>
                <w:numId w:val="3"/>
              </w:numPr>
              <w:rPr>
                <w:rStyle w:val="Characteryellowhighlight"/>
                <w:shd w:val="clear" w:color="auto" w:fill="auto"/>
              </w:rPr>
            </w:pPr>
            <w:r w:rsidRPr="00747F92">
              <w:t>develop targeted educational resources (in partnership with relevant community organisations) on what the law says, who it applies to and options for redress for communities who will be protected by Victoria’s reformed vilification laws.</w:t>
            </w:r>
          </w:p>
          <w:p w14:paraId="5BF7AAAD" w14:textId="77777777" w:rsidR="00D638A1" w:rsidRDefault="00D638A1" w:rsidP="00D638A1">
            <w:pPr>
              <w:pStyle w:val="RecommendationList"/>
            </w:pPr>
          </w:p>
          <w:p w14:paraId="7D2046FF" w14:textId="1BEDBB06" w:rsidR="006F69BD" w:rsidRDefault="006F69BD" w:rsidP="006F69BD">
            <w:pPr>
              <w:pStyle w:val="BodyText"/>
            </w:pPr>
            <w:r w:rsidRPr="006F69BD">
              <w:t>The Victorian Government should fund a public awareness campaign to promote diversity and social cohesion in Victoria, and to increase understanding and respect for communities who are disproportionately targeted by hate conduct and crime in the community.</w:t>
            </w:r>
          </w:p>
          <w:p w14:paraId="1327078D" w14:textId="77777777" w:rsidR="006F69BD" w:rsidRDefault="006F69BD" w:rsidP="006F69BD">
            <w:pPr>
              <w:pStyle w:val="RecommendationList"/>
            </w:pPr>
          </w:p>
          <w:p w14:paraId="7665CDBB" w14:textId="77777777" w:rsidR="002A516C" w:rsidRPr="002A516C" w:rsidRDefault="002A516C" w:rsidP="002A516C">
            <w:pPr>
              <w:pStyle w:val="BodyText"/>
            </w:pPr>
            <w:r w:rsidRPr="002A516C">
              <w:t xml:space="preserve">The Victorian Government should fund tailored education and training for: </w:t>
            </w:r>
          </w:p>
          <w:p w14:paraId="3A927279" w14:textId="77777777" w:rsidR="002A516C" w:rsidRPr="002A516C" w:rsidRDefault="002A516C" w:rsidP="001F3AF5">
            <w:pPr>
              <w:pStyle w:val="ListBullet"/>
            </w:pPr>
            <w:r w:rsidRPr="002A516C">
              <w:t xml:space="preserve">police and prosecutors on: </w:t>
            </w:r>
          </w:p>
          <w:p w14:paraId="1F3E6965" w14:textId="77777777" w:rsidR="002A516C" w:rsidRPr="002A516C" w:rsidRDefault="002A516C" w:rsidP="001F3AF5">
            <w:pPr>
              <w:pStyle w:val="ListBullet3"/>
            </w:pPr>
            <w:r w:rsidRPr="002A516C">
              <w:lastRenderedPageBreak/>
              <w:t xml:space="preserve">Victoria’s reformed vilification laws </w:t>
            </w:r>
          </w:p>
          <w:p w14:paraId="385E0E93" w14:textId="77777777" w:rsidR="002A516C" w:rsidRPr="002A516C" w:rsidRDefault="002A516C" w:rsidP="001F3AF5">
            <w:pPr>
              <w:pStyle w:val="ListBullet3"/>
            </w:pPr>
            <w:r w:rsidRPr="002A516C">
              <w:t xml:space="preserve">section 5(2)(daaa) of the </w:t>
            </w:r>
            <w:r w:rsidRPr="002A516C">
              <w:rPr>
                <w:rStyle w:val="Characteritalic"/>
              </w:rPr>
              <w:t>Sentencing Act 1991</w:t>
            </w:r>
            <w:r w:rsidRPr="002A516C">
              <w:t xml:space="preserve"> (Vic) </w:t>
            </w:r>
          </w:p>
          <w:p w14:paraId="0B61F0CD" w14:textId="77777777" w:rsidR="002A516C" w:rsidRPr="002A516C" w:rsidRDefault="002A516C" w:rsidP="001F3AF5">
            <w:pPr>
              <w:pStyle w:val="ListBullet3"/>
            </w:pPr>
            <w:r w:rsidRPr="002A516C">
              <w:t xml:space="preserve">identifying, recording and responding to hate crime </w:t>
            </w:r>
          </w:p>
          <w:p w14:paraId="475FA251" w14:textId="77777777" w:rsidR="002A516C" w:rsidRPr="002A516C" w:rsidRDefault="002A516C" w:rsidP="001F3AF5">
            <w:pPr>
              <w:pStyle w:val="ListBullet3"/>
            </w:pPr>
            <w:r w:rsidRPr="002A516C">
              <w:t xml:space="preserve">the nature and impact of hate crime </w:t>
            </w:r>
          </w:p>
          <w:p w14:paraId="566B89D6" w14:textId="77777777" w:rsidR="002A516C" w:rsidRDefault="002A516C" w:rsidP="00442A20">
            <w:pPr>
              <w:pStyle w:val="ListBullet"/>
            </w:pPr>
            <w:r w:rsidRPr="002A516C">
              <w:t xml:space="preserve">judicial officers on Victoria’s reformed vilification laws, section 5(2)(daaa) of the </w:t>
            </w:r>
            <w:r w:rsidRPr="002A516C">
              <w:rPr>
                <w:rStyle w:val="Characteritalic"/>
              </w:rPr>
              <w:t>Sentencing Act 1991</w:t>
            </w:r>
            <w:r w:rsidRPr="002A516C">
              <w:t xml:space="preserve"> (Vic) and the nature and impact of hate crime.</w:t>
            </w:r>
          </w:p>
          <w:p w14:paraId="11184C93" w14:textId="77777777" w:rsidR="002A516C" w:rsidRDefault="002A516C" w:rsidP="002A516C">
            <w:pPr>
              <w:pStyle w:val="RecommendationList"/>
            </w:pPr>
          </w:p>
          <w:p w14:paraId="5CE19A5F" w14:textId="77777777" w:rsidR="003A560C" w:rsidRPr="003A560C" w:rsidRDefault="003A560C" w:rsidP="003A560C">
            <w:pPr>
              <w:pStyle w:val="BodyText"/>
            </w:pPr>
            <w:r w:rsidRPr="003A560C">
              <w:t xml:space="preserve">The Victorian Government should fund ongoing research on hate conduct and crime in Victoria, including emerging issues such as online hate. </w:t>
            </w:r>
          </w:p>
          <w:p w14:paraId="55EC16BC" w14:textId="77777777" w:rsidR="003A560C" w:rsidRPr="003A560C" w:rsidRDefault="003A560C" w:rsidP="00C67716">
            <w:pPr>
              <w:pStyle w:val="RecommendationList"/>
              <w:numPr>
                <w:ilvl w:val="1"/>
                <w:numId w:val="31"/>
              </w:numPr>
            </w:pPr>
          </w:p>
          <w:p w14:paraId="7BDD4E92" w14:textId="337ABAC7" w:rsidR="003A560C" w:rsidRPr="003A560C" w:rsidRDefault="003A560C" w:rsidP="003A560C">
            <w:pPr>
              <w:pStyle w:val="BodyText"/>
            </w:pPr>
            <w:r w:rsidRPr="003A560C">
              <w:t>The Victorian Government should work in partnership with relevant government agencies in Victoria – including the Victorian Equal Opportunity and Human Rights Commission, Victoria Police, the Crimes Statistic</w:t>
            </w:r>
            <w:r w:rsidR="00EC0C32">
              <w:t>s</w:t>
            </w:r>
            <w:r w:rsidRPr="003A560C">
              <w:t xml:space="preserve"> Agency and the Victorian Civil and Administrative Tribunal </w:t>
            </w:r>
            <w:r w:rsidR="00FA0830" w:rsidRPr="00FA0830">
              <w:t xml:space="preserve">– </w:t>
            </w:r>
            <w:r w:rsidRPr="003A560C">
              <w:t>to develop a comprehensive strategy for collecting, monitoring and reporting government data on hate conduct and crime in Victoria.</w:t>
            </w:r>
          </w:p>
        </w:tc>
      </w:tr>
      <w:tr w:rsidR="000A25AA" w14:paraId="7092F5B0" w14:textId="77777777" w:rsidTr="00321FA3">
        <w:tc>
          <w:tcPr>
            <w:tcW w:w="9061" w:type="dxa"/>
          </w:tcPr>
          <w:p w14:paraId="199E7FA1" w14:textId="77777777" w:rsidR="000A25AA" w:rsidRDefault="000A25AA" w:rsidP="00321FA3">
            <w:pPr>
              <w:pStyle w:val="RecommendationsHeading"/>
              <w:numPr>
                <w:ilvl w:val="0"/>
                <w:numId w:val="0"/>
              </w:numPr>
            </w:pPr>
          </w:p>
        </w:tc>
      </w:tr>
    </w:tbl>
    <w:p w14:paraId="0865C3DC" w14:textId="77777777" w:rsidR="00321FA3" w:rsidRDefault="00321FA3" w:rsidP="00321FA3">
      <w:pPr>
        <w:pStyle w:val="BodyText"/>
      </w:pPr>
    </w:p>
    <w:p w14:paraId="5189DB76" w14:textId="77777777" w:rsidR="00533D03" w:rsidRPr="00533D03" w:rsidRDefault="00533D03" w:rsidP="00533D03">
      <w:pPr>
        <w:pStyle w:val="BodyText"/>
        <w:rPr>
          <w:lang w:val="en-GB"/>
        </w:rPr>
      </w:pPr>
    </w:p>
    <w:p w14:paraId="2396A6C4" w14:textId="2B0310E9" w:rsidR="0049703E" w:rsidRDefault="0049703E" w:rsidP="0049703E">
      <w:pPr>
        <w:pStyle w:val="Heading1"/>
      </w:pPr>
      <w:bookmarkStart w:id="3" w:name="_Toc25578829"/>
      <w:bookmarkStart w:id="4" w:name="_Toc31392325"/>
      <w:r w:rsidRPr="0049703E">
        <w:lastRenderedPageBreak/>
        <w:t>Background</w:t>
      </w:r>
      <w:bookmarkEnd w:id="3"/>
      <w:bookmarkEnd w:id="4"/>
      <w:r w:rsidRPr="0049703E">
        <w:t xml:space="preserve"> </w:t>
      </w:r>
    </w:p>
    <w:tbl>
      <w:tblPr>
        <w:tblStyle w:val="CustomTablebreakoutbox"/>
        <w:tblW w:w="0" w:type="auto"/>
        <w:tblLook w:val="04A0" w:firstRow="1" w:lastRow="0" w:firstColumn="1" w:lastColumn="0" w:noHBand="0" w:noVBand="1"/>
      </w:tblPr>
      <w:tblGrid>
        <w:gridCol w:w="9061"/>
      </w:tblGrid>
      <w:tr w:rsidR="003A3A77" w14:paraId="70D9030E" w14:textId="77777777" w:rsidTr="003A3A77">
        <w:tc>
          <w:tcPr>
            <w:tcW w:w="9061" w:type="dxa"/>
          </w:tcPr>
          <w:p w14:paraId="65FE30D9" w14:textId="77777777" w:rsidR="003A3A77" w:rsidRDefault="003A3A77" w:rsidP="003A3A77">
            <w:pPr>
              <w:pStyle w:val="BodyText"/>
              <w:rPr>
                <w:rStyle w:val="Characterbold"/>
              </w:rPr>
            </w:pPr>
            <w:r>
              <w:rPr>
                <w:rStyle w:val="Characterbold"/>
              </w:rPr>
              <w:t xml:space="preserve">Summary </w:t>
            </w:r>
          </w:p>
          <w:p w14:paraId="48696349" w14:textId="77777777" w:rsidR="003A3A77" w:rsidRDefault="003A3A77" w:rsidP="003A3A77">
            <w:pPr>
              <w:pStyle w:val="BodyText"/>
              <w:rPr>
                <w:rStyle w:val="Characterclear"/>
              </w:rPr>
            </w:pPr>
            <w:r w:rsidRPr="003A3A77">
              <w:rPr>
                <w:rStyle w:val="Characterclear"/>
              </w:rPr>
              <w:t xml:space="preserve">Part </w:t>
            </w:r>
            <w:r>
              <w:rPr>
                <w:rStyle w:val="Characterclear"/>
              </w:rPr>
              <w:t xml:space="preserve">2 of our submission provides background information about: </w:t>
            </w:r>
          </w:p>
          <w:p w14:paraId="271122FE" w14:textId="5D5A041E" w:rsidR="003A3A77" w:rsidRDefault="003A3A77" w:rsidP="003A3A77">
            <w:pPr>
              <w:pStyle w:val="ListBullet"/>
              <w:rPr>
                <w:rStyle w:val="Characterclear"/>
              </w:rPr>
            </w:pPr>
            <w:r>
              <w:rPr>
                <w:rStyle w:val="Characterclear"/>
              </w:rPr>
              <w:t xml:space="preserve">the Commission (part </w:t>
            </w:r>
            <w:r w:rsidR="006D27EA">
              <w:rPr>
                <w:rStyle w:val="Characterclear"/>
              </w:rPr>
              <w:t>2.1</w:t>
            </w:r>
            <w:r>
              <w:rPr>
                <w:rStyle w:val="Characterclear"/>
              </w:rPr>
              <w:t>)</w:t>
            </w:r>
          </w:p>
          <w:p w14:paraId="4A6DB184" w14:textId="4DA8AB43" w:rsidR="003A3A77" w:rsidRDefault="003A3A77" w:rsidP="003A3A77">
            <w:pPr>
              <w:pStyle w:val="ListBullet"/>
              <w:rPr>
                <w:rStyle w:val="Characterclear"/>
              </w:rPr>
            </w:pPr>
            <w:r>
              <w:rPr>
                <w:rStyle w:val="Characterclear"/>
              </w:rPr>
              <w:t xml:space="preserve">this submission (part </w:t>
            </w:r>
            <w:r w:rsidR="006D27EA">
              <w:rPr>
                <w:rStyle w:val="Characterclear"/>
              </w:rPr>
              <w:t>2.2</w:t>
            </w:r>
            <w:r>
              <w:rPr>
                <w:rStyle w:val="Characterclear"/>
              </w:rPr>
              <w:t>)</w:t>
            </w:r>
          </w:p>
          <w:p w14:paraId="2A459691" w14:textId="2CB19D01" w:rsidR="003A3A77" w:rsidRDefault="003A3A77" w:rsidP="003A3A77">
            <w:pPr>
              <w:pStyle w:val="ListBullet"/>
              <w:rPr>
                <w:rStyle w:val="Characterclear"/>
              </w:rPr>
            </w:pPr>
            <w:r>
              <w:rPr>
                <w:rStyle w:val="Characterclear"/>
              </w:rPr>
              <w:t xml:space="preserve">the RRTA (part </w:t>
            </w:r>
            <w:r w:rsidR="006D27EA">
              <w:rPr>
                <w:rStyle w:val="Characterclear"/>
              </w:rPr>
              <w:t>2.3</w:t>
            </w:r>
            <w:r>
              <w:rPr>
                <w:rStyle w:val="Characterclear"/>
              </w:rPr>
              <w:t>)</w:t>
            </w:r>
          </w:p>
          <w:p w14:paraId="06305707" w14:textId="500423F5" w:rsidR="003A3A77" w:rsidRDefault="003A3A77" w:rsidP="003A3A77">
            <w:pPr>
              <w:pStyle w:val="ListBullet"/>
              <w:rPr>
                <w:rStyle w:val="Characterclear"/>
              </w:rPr>
            </w:pPr>
            <w:r>
              <w:rPr>
                <w:rStyle w:val="Characterclear"/>
              </w:rPr>
              <w:t xml:space="preserve">enforcement of the RRTA (part </w:t>
            </w:r>
            <w:r w:rsidR="006D27EA">
              <w:rPr>
                <w:rStyle w:val="Characterclear"/>
              </w:rPr>
              <w:t>2.4</w:t>
            </w:r>
            <w:r>
              <w:rPr>
                <w:rStyle w:val="Characterclear"/>
              </w:rPr>
              <w:t>)</w:t>
            </w:r>
          </w:p>
          <w:p w14:paraId="4F46F95B" w14:textId="5EE1D26A" w:rsidR="003A3A77" w:rsidRPr="003A3A77" w:rsidRDefault="003A3A77" w:rsidP="003A3A77">
            <w:pPr>
              <w:pStyle w:val="ListBullet"/>
              <w:rPr>
                <w:rStyle w:val="Characterclear"/>
              </w:rPr>
            </w:pPr>
            <w:r>
              <w:rPr>
                <w:rStyle w:val="Characterclear"/>
              </w:rPr>
              <w:t xml:space="preserve">the regulation of online hate (part </w:t>
            </w:r>
            <w:r w:rsidR="006D27EA">
              <w:rPr>
                <w:rStyle w:val="Characterclear"/>
              </w:rPr>
              <w:t>2.5</w:t>
            </w:r>
            <w:r>
              <w:rPr>
                <w:rStyle w:val="Characterclear"/>
              </w:rPr>
              <w:t xml:space="preserve">). </w:t>
            </w:r>
          </w:p>
        </w:tc>
      </w:tr>
    </w:tbl>
    <w:p w14:paraId="65886CF7" w14:textId="77777777" w:rsidR="0049703E" w:rsidRPr="0049703E" w:rsidRDefault="0049703E" w:rsidP="003A3A77">
      <w:pPr>
        <w:pStyle w:val="Heading2"/>
      </w:pPr>
      <w:bookmarkStart w:id="5" w:name="_Toc25578830"/>
      <w:bookmarkStart w:id="6" w:name="_Toc31392326"/>
      <w:r w:rsidRPr="0049703E">
        <w:t>About the Commission</w:t>
      </w:r>
      <w:bookmarkEnd w:id="5"/>
      <w:bookmarkEnd w:id="6"/>
      <w:r w:rsidRPr="0049703E">
        <w:t xml:space="preserve"> </w:t>
      </w:r>
    </w:p>
    <w:p w14:paraId="3DC92FAC" w14:textId="77777777" w:rsidR="0049703E" w:rsidRPr="0049703E" w:rsidRDefault="0049703E" w:rsidP="0049703E">
      <w:pPr>
        <w:pStyle w:val="Heading3"/>
      </w:pPr>
      <w:r w:rsidRPr="0049703E">
        <w:t xml:space="preserve">Our roles and functions </w:t>
      </w:r>
    </w:p>
    <w:p w14:paraId="6A36C18F" w14:textId="77777777" w:rsidR="0049703E" w:rsidRPr="0049703E" w:rsidRDefault="0049703E" w:rsidP="0049703E">
      <w:pPr>
        <w:pStyle w:val="BodyText"/>
      </w:pPr>
      <w:r w:rsidRPr="0049703E">
        <w:t xml:space="preserve">The Victorian Equal Opportunity and Human Rights Commission (the Commission) is an independent statutory body with responsibilities under three Victorian laws: </w:t>
      </w:r>
    </w:p>
    <w:p w14:paraId="51AC7040" w14:textId="7513CC4F" w:rsidR="0049703E" w:rsidRPr="002157F3" w:rsidRDefault="0049703E" w:rsidP="0049703E">
      <w:pPr>
        <w:pStyle w:val="ListBullet"/>
        <w:rPr>
          <w:rStyle w:val="Characteritalic"/>
        </w:rPr>
      </w:pPr>
      <w:r w:rsidRPr="0049703E">
        <w:t xml:space="preserve">the </w:t>
      </w:r>
      <w:r w:rsidRPr="002157F3">
        <w:rPr>
          <w:rStyle w:val="Characteritalic"/>
        </w:rPr>
        <w:t>Equal Opportunity Act 2010</w:t>
      </w:r>
      <w:r w:rsidR="002157F3">
        <w:rPr>
          <w:rStyle w:val="Characteritalic"/>
        </w:rPr>
        <w:t xml:space="preserve"> </w:t>
      </w:r>
      <w:r w:rsidR="002157F3">
        <w:rPr>
          <w:rStyle w:val="Characterclear"/>
        </w:rPr>
        <w:t>(the EOA)</w:t>
      </w:r>
    </w:p>
    <w:p w14:paraId="5F5B3744" w14:textId="2F0EA5C7" w:rsidR="0049703E" w:rsidRPr="0049703E" w:rsidRDefault="0049703E" w:rsidP="0049703E">
      <w:pPr>
        <w:pStyle w:val="ListBullet"/>
      </w:pPr>
      <w:r w:rsidRPr="0049703E">
        <w:t xml:space="preserve">the </w:t>
      </w:r>
      <w:r w:rsidRPr="002157F3">
        <w:rPr>
          <w:rStyle w:val="Characteritalic"/>
        </w:rPr>
        <w:t>Charter of Human Rights and Responsibilities Act 2006</w:t>
      </w:r>
      <w:r w:rsidRPr="0049703E">
        <w:t xml:space="preserve"> </w:t>
      </w:r>
      <w:r w:rsidR="002157F3">
        <w:rPr>
          <w:rStyle w:val="Characterclear"/>
        </w:rPr>
        <w:t>(the Charter)</w:t>
      </w:r>
    </w:p>
    <w:p w14:paraId="49641ABF" w14:textId="34DFF7B9" w:rsidR="0049703E" w:rsidRPr="0049703E" w:rsidRDefault="0049703E" w:rsidP="0049703E">
      <w:pPr>
        <w:pStyle w:val="ListBullet"/>
      </w:pPr>
      <w:r w:rsidRPr="0049703E">
        <w:t xml:space="preserve">the </w:t>
      </w:r>
      <w:r w:rsidRPr="002157F3">
        <w:rPr>
          <w:rStyle w:val="Characteritalic"/>
        </w:rPr>
        <w:t>Racial and Religious Tolerance Act 2001</w:t>
      </w:r>
      <w:r w:rsidR="002157F3">
        <w:rPr>
          <w:rStyle w:val="Characteritalic"/>
        </w:rPr>
        <w:t xml:space="preserve"> </w:t>
      </w:r>
      <w:r w:rsidR="002157F3">
        <w:rPr>
          <w:rStyle w:val="Characterclear"/>
        </w:rPr>
        <w:t>(the RRTA)</w:t>
      </w:r>
      <w:r w:rsidRPr="0049703E">
        <w:t xml:space="preserve">. </w:t>
      </w:r>
    </w:p>
    <w:p w14:paraId="2062F292" w14:textId="3DA110BF" w:rsidR="0049703E" w:rsidRPr="0049703E" w:rsidRDefault="0049703E" w:rsidP="0049703E">
      <w:pPr>
        <w:pStyle w:val="BodyText"/>
      </w:pPr>
      <w:r w:rsidRPr="0049703E">
        <w:t xml:space="preserve">Our functions include to: </w:t>
      </w:r>
    </w:p>
    <w:tbl>
      <w:tblPr>
        <w:tblStyle w:val="CustomTablebasic"/>
        <w:tblW w:w="0" w:type="auto"/>
        <w:tblLook w:val="04A0" w:firstRow="1" w:lastRow="0" w:firstColumn="1" w:lastColumn="0" w:noHBand="0" w:noVBand="1"/>
      </w:tblPr>
      <w:tblGrid>
        <w:gridCol w:w="1483"/>
        <w:gridCol w:w="7588"/>
      </w:tblGrid>
      <w:tr w:rsidR="0049703E" w:rsidRPr="0049703E" w14:paraId="1BE5D79B" w14:textId="77777777" w:rsidTr="00497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F009512" w14:textId="77777777" w:rsidR="0049703E" w:rsidRPr="0049703E" w:rsidRDefault="0049703E" w:rsidP="0049703E">
            <w:pPr>
              <w:pStyle w:val="BodyText"/>
              <w:rPr>
                <w:rStyle w:val="Characterbold"/>
              </w:rPr>
            </w:pPr>
            <w:r w:rsidRPr="0049703E">
              <w:rPr>
                <w:rStyle w:val="Characterbold"/>
              </w:rPr>
              <w:t>Resolve complaints</w:t>
            </w:r>
          </w:p>
        </w:tc>
        <w:tc>
          <w:tcPr>
            <w:tcW w:w="7785" w:type="dxa"/>
          </w:tcPr>
          <w:p w14:paraId="246398B3" w14:textId="77777777" w:rsidR="0049703E" w:rsidRPr="0049703E" w:rsidRDefault="0049703E" w:rsidP="0049703E">
            <w:pPr>
              <w:pStyle w:val="BodyText"/>
              <w:cnfStyle w:val="100000000000" w:firstRow="1" w:lastRow="0" w:firstColumn="0" w:lastColumn="0" w:oddVBand="0" w:evenVBand="0" w:oddHBand="0" w:evenHBand="0" w:firstRowFirstColumn="0" w:firstRowLastColumn="0" w:lastRowFirstColumn="0" w:lastRowLastColumn="0"/>
            </w:pPr>
            <w:r w:rsidRPr="0049703E">
              <w:t xml:space="preserve">We resolve complaints of discrimination, sexual harassment, racial and religious vilification and victimisation by providing a free confidential dispute resolution service. </w:t>
            </w:r>
          </w:p>
        </w:tc>
      </w:tr>
      <w:tr w:rsidR="0049703E" w:rsidRPr="0049703E" w14:paraId="3FAEB00C" w14:textId="77777777" w:rsidTr="0049703E">
        <w:tc>
          <w:tcPr>
            <w:cnfStyle w:val="001000000000" w:firstRow="0" w:lastRow="0" w:firstColumn="1" w:lastColumn="0" w:oddVBand="0" w:evenVBand="0" w:oddHBand="0" w:evenHBand="0" w:firstRowFirstColumn="0" w:firstRowLastColumn="0" w:lastRowFirstColumn="0" w:lastRowLastColumn="0"/>
            <w:tcW w:w="1276" w:type="dxa"/>
          </w:tcPr>
          <w:p w14:paraId="5B8D2136" w14:textId="77777777" w:rsidR="0049703E" w:rsidRPr="0049703E" w:rsidRDefault="0049703E" w:rsidP="0049703E">
            <w:pPr>
              <w:pStyle w:val="BodyText"/>
              <w:rPr>
                <w:rStyle w:val="Characterbold"/>
              </w:rPr>
            </w:pPr>
            <w:r w:rsidRPr="0049703E">
              <w:rPr>
                <w:rStyle w:val="Characterbold"/>
              </w:rPr>
              <w:t xml:space="preserve">Research </w:t>
            </w:r>
          </w:p>
        </w:tc>
        <w:tc>
          <w:tcPr>
            <w:tcW w:w="7785" w:type="dxa"/>
          </w:tcPr>
          <w:p w14:paraId="503FEE88" w14:textId="77777777"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We undertake research to understand and find solutions to systemic causes of discrimination and human rights breaches. </w:t>
            </w:r>
          </w:p>
        </w:tc>
      </w:tr>
      <w:tr w:rsidR="0049703E" w:rsidRPr="0049703E" w14:paraId="6537E696" w14:textId="77777777" w:rsidTr="0049703E">
        <w:tc>
          <w:tcPr>
            <w:cnfStyle w:val="001000000000" w:firstRow="0" w:lastRow="0" w:firstColumn="1" w:lastColumn="0" w:oddVBand="0" w:evenVBand="0" w:oddHBand="0" w:evenHBand="0" w:firstRowFirstColumn="0" w:firstRowLastColumn="0" w:lastRowFirstColumn="0" w:lastRowLastColumn="0"/>
            <w:tcW w:w="1276" w:type="dxa"/>
          </w:tcPr>
          <w:p w14:paraId="2BA491A1" w14:textId="77777777" w:rsidR="0049703E" w:rsidRPr="0049703E" w:rsidRDefault="0049703E" w:rsidP="0049703E">
            <w:pPr>
              <w:pStyle w:val="BodyText"/>
              <w:rPr>
                <w:rStyle w:val="Characterbold"/>
              </w:rPr>
            </w:pPr>
            <w:r w:rsidRPr="0049703E">
              <w:rPr>
                <w:rStyle w:val="Characterbold"/>
              </w:rPr>
              <w:t>Educate</w:t>
            </w:r>
          </w:p>
        </w:tc>
        <w:tc>
          <w:tcPr>
            <w:tcW w:w="7785" w:type="dxa"/>
          </w:tcPr>
          <w:p w14:paraId="63739C16" w14:textId="77777777"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We provide information to help people understand and assert their rights, conduct voluntary reviews of programs and practices to help organisations comply with their human rights obligations and provide education and consultancy services to drive leading practice in equality, diversity and human rights, including a collaborative approach to developing equal opportunity action plans. </w:t>
            </w:r>
          </w:p>
        </w:tc>
      </w:tr>
      <w:tr w:rsidR="0049703E" w:rsidRPr="0049703E" w14:paraId="6C5484ED" w14:textId="77777777" w:rsidTr="0049703E">
        <w:tc>
          <w:tcPr>
            <w:cnfStyle w:val="001000000000" w:firstRow="0" w:lastRow="0" w:firstColumn="1" w:lastColumn="0" w:oddVBand="0" w:evenVBand="0" w:oddHBand="0" w:evenHBand="0" w:firstRowFirstColumn="0" w:firstRowLastColumn="0" w:lastRowFirstColumn="0" w:lastRowLastColumn="0"/>
            <w:tcW w:w="1276" w:type="dxa"/>
          </w:tcPr>
          <w:p w14:paraId="2C95E63B" w14:textId="77777777" w:rsidR="0049703E" w:rsidRPr="0049703E" w:rsidRDefault="0049703E" w:rsidP="0049703E">
            <w:pPr>
              <w:pStyle w:val="BodyText"/>
              <w:rPr>
                <w:rStyle w:val="Characterbold"/>
              </w:rPr>
            </w:pPr>
            <w:r w:rsidRPr="0049703E">
              <w:rPr>
                <w:rStyle w:val="Characterbold"/>
              </w:rPr>
              <w:t xml:space="preserve">Advocate </w:t>
            </w:r>
          </w:p>
        </w:tc>
        <w:tc>
          <w:tcPr>
            <w:tcW w:w="7785" w:type="dxa"/>
          </w:tcPr>
          <w:p w14:paraId="0DAE21D4" w14:textId="77777777"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We raise awareness across the community about the importance of equality and human rights, encouraging meaningful debate, leading public discussion and challenging discriminatory views/behaviours. </w:t>
            </w:r>
          </w:p>
        </w:tc>
      </w:tr>
      <w:tr w:rsidR="0049703E" w:rsidRPr="0049703E" w14:paraId="55E080D5" w14:textId="77777777" w:rsidTr="0049703E">
        <w:tc>
          <w:tcPr>
            <w:cnfStyle w:val="001000000000" w:firstRow="0" w:lastRow="0" w:firstColumn="1" w:lastColumn="0" w:oddVBand="0" w:evenVBand="0" w:oddHBand="0" w:evenHBand="0" w:firstRowFirstColumn="0" w:firstRowLastColumn="0" w:lastRowFirstColumn="0" w:lastRowLastColumn="0"/>
            <w:tcW w:w="1276" w:type="dxa"/>
          </w:tcPr>
          <w:p w14:paraId="017C59CF" w14:textId="77777777" w:rsidR="0049703E" w:rsidRPr="0049703E" w:rsidRDefault="0049703E" w:rsidP="0049703E">
            <w:pPr>
              <w:pStyle w:val="BodyText"/>
              <w:rPr>
                <w:rStyle w:val="Characterbold"/>
              </w:rPr>
            </w:pPr>
            <w:r w:rsidRPr="0049703E">
              <w:rPr>
                <w:rStyle w:val="Characterbold"/>
              </w:rPr>
              <w:t xml:space="preserve">Monitor </w:t>
            </w:r>
          </w:p>
        </w:tc>
        <w:tc>
          <w:tcPr>
            <w:tcW w:w="7785" w:type="dxa"/>
          </w:tcPr>
          <w:p w14:paraId="1A8E0848" w14:textId="77777777"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We monitor the operation of the Charter to track Victoria’s progress in protecting fundamental rights. </w:t>
            </w:r>
          </w:p>
        </w:tc>
      </w:tr>
      <w:tr w:rsidR="0049703E" w:rsidRPr="0049703E" w14:paraId="7BEB6F84" w14:textId="77777777" w:rsidTr="0049703E">
        <w:tc>
          <w:tcPr>
            <w:cnfStyle w:val="001000000000" w:firstRow="0" w:lastRow="0" w:firstColumn="1" w:lastColumn="0" w:oddVBand="0" w:evenVBand="0" w:oddHBand="0" w:evenHBand="0" w:firstRowFirstColumn="0" w:firstRowLastColumn="0" w:lastRowFirstColumn="0" w:lastRowLastColumn="0"/>
            <w:tcW w:w="1276" w:type="dxa"/>
          </w:tcPr>
          <w:p w14:paraId="20BB4615" w14:textId="77777777" w:rsidR="0049703E" w:rsidRPr="0049703E" w:rsidRDefault="0049703E" w:rsidP="0049703E">
            <w:pPr>
              <w:pStyle w:val="BodyText"/>
              <w:rPr>
                <w:rStyle w:val="Characterbold"/>
              </w:rPr>
            </w:pPr>
            <w:r w:rsidRPr="0049703E">
              <w:rPr>
                <w:rStyle w:val="Characterbold"/>
              </w:rPr>
              <w:t xml:space="preserve">Enforce </w:t>
            </w:r>
          </w:p>
        </w:tc>
        <w:tc>
          <w:tcPr>
            <w:tcW w:w="7785" w:type="dxa"/>
          </w:tcPr>
          <w:p w14:paraId="4B7C5591" w14:textId="77777777"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We intervene in court proceedings to bring an expert independent perspective to cases raising equal opportunity, discrimination and human rights issues. We also conduct investigations to identify and eliminate systemic discrimination. </w:t>
            </w:r>
          </w:p>
        </w:tc>
      </w:tr>
    </w:tbl>
    <w:p w14:paraId="122224F9" w14:textId="177020E5" w:rsidR="0049703E" w:rsidRDefault="0049703E" w:rsidP="0049703E">
      <w:pPr>
        <w:pStyle w:val="Heading3"/>
      </w:pPr>
      <w:r w:rsidRPr="0049703E">
        <w:lastRenderedPageBreak/>
        <w:t xml:space="preserve">Our work to combat hate  </w:t>
      </w:r>
    </w:p>
    <w:p w14:paraId="6B6CD831" w14:textId="2B3E7C28" w:rsidR="00CE2520" w:rsidRPr="0049703E" w:rsidRDefault="00CE2520" w:rsidP="00CE2520">
      <w:pPr>
        <w:pStyle w:val="BodyText"/>
      </w:pPr>
      <w:r>
        <w:t>The Commission</w:t>
      </w:r>
      <w:r w:rsidR="00CA249B">
        <w:t>’s</w:t>
      </w:r>
      <w:r w:rsidR="0021443C">
        <w:t xml:space="preserve"> work to combat hate in the </w:t>
      </w:r>
      <w:r w:rsidR="0034129B">
        <w:t xml:space="preserve">Victorian </w:t>
      </w:r>
      <w:r w:rsidR="0021443C">
        <w:t>community</w:t>
      </w:r>
      <w:r w:rsidR="0034129B">
        <w:t xml:space="preserve"> -</w:t>
      </w:r>
      <w:r w:rsidR="00CA249B">
        <w:t xml:space="preserve"> including education, dispute resolution and engagement</w:t>
      </w:r>
      <w:r w:rsidR="0034129B">
        <w:t xml:space="preserve"> -</w:t>
      </w:r>
      <w:r w:rsidR="0021443C">
        <w:t xml:space="preserve"> </w:t>
      </w:r>
      <w:r w:rsidRPr="0049703E">
        <w:t xml:space="preserve">supports our strategic priorities to: </w:t>
      </w:r>
    </w:p>
    <w:p w14:paraId="49AEB242" w14:textId="608EB5FF" w:rsidR="00CE2520" w:rsidRPr="0049703E" w:rsidRDefault="00CA249B" w:rsidP="005672DF">
      <w:pPr>
        <w:pStyle w:val="ListBullet"/>
      </w:pPr>
      <w:r>
        <w:t>e</w:t>
      </w:r>
      <w:r w:rsidR="00CE2520" w:rsidRPr="0049703E">
        <w:t xml:space="preserve">mbed a human rights culture in Victoria </w:t>
      </w:r>
    </w:p>
    <w:p w14:paraId="4DF95B87" w14:textId="156C0346" w:rsidR="00CE2520" w:rsidRPr="0049703E" w:rsidRDefault="00CA249B" w:rsidP="005672DF">
      <w:pPr>
        <w:pStyle w:val="ListBullet"/>
      </w:pPr>
      <w:r>
        <w:t>r</w:t>
      </w:r>
      <w:r w:rsidR="00CE2520" w:rsidRPr="0049703E">
        <w:t xml:space="preserve">educe racism.  </w:t>
      </w:r>
    </w:p>
    <w:p w14:paraId="43AAA677" w14:textId="66120AB1" w:rsidR="00CE2520" w:rsidRPr="00CE2520" w:rsidRDefault="00CE2520" w:rsidP="00CE2520">
      <w:pPr>
        <w:pStyle w:val="BodyText"/>
      </w:pPr>
      <w:r w:rsidRPr="0049703E">
        <w:t xml:space="preserve">Our work also supports the implementation of our </w:t>
      </w:r>
      <w:r w:rsidRPr="001C099C">
        <w:rPr>
          <w:rStyle w:val="Characteritalic"/>
        </w:rPr>
        <w:t>Multicultural and Multifaith Engagement Action Plan 2018-22</w:t>
      </w:r>
      <w:r w:rsidR="00CA249B">
        <w:t xml:space="preserve"> (MMEAP). </w:t>
      </w:r>
    </w:p>
    <w:p w14:paraId="2D8E3794" w14:textId="4980783C" w:rsidR="001132E5" w:rsidRDefault="001A4DA0" w:rsidP="001A4DA0">
      <w:pPr>
        <w:pStyle w:val="Heading4"/>
      </w:pPr>
      <w:r>
        <w:t xml:space="preserve">Reducing Racism </w:t>
      </w:r>
    </w:p>
    <w:p w14:paraId="26E4A98A" w14:textId="0986B9A7" w:rsidR="006B5E03" w:rsidRPr="006B5E03" w:rsidRDefault="001A4DA0" w:rsidP="006B5E03">
      <w:pPr>
        <w:pStyle w:val="BodyText"/>
      </w:pPr>
      <w:r w:rsidRPr="006B5E03">
        <w:t xml:space="preserve">As part of the </w:t>
      </w:r>
      <w:r w:rsidR="00CA249B">
        <w:t>MMEAP,</w:t>
      </w:r>
      <w:r w:rsidRPr="006B5E03">
        <w:t xml:space="preserve"> the </w:t>
      </w:r>
      <w:r w:rsidR="00FA4300">
        <w:t>C</w:t>
      </w:r>
      <w:r w:rsidR="00CA7C63">
        <w:t xml:space="preserve">ommission developed and implemented </w:t>
      </w:r>
      <w:r w:rsidRPr="003B2937">
        <w:rPr>
          <w:rStyle w:val="Characteritalic"/>
        </w:rPr>
        <w:t>Reducing Racism</w:t>
      </w:r>
      <w:r w:rsidR="00FA4300" w:rsidRPr="003B2937">
        <w:rPr>
          <w:rStyle w:val="Characteritalic"/>
        </w:rPr>
        <w:t xml:space="preserve">, </w:t>
      </w:r>
      <w:r w:rsidR="00FA4300">
        <w:t>a</w:t>
      </w:r>
      <w:r w:rsidRPr="006B5E03">
        <w:t xml:space="preserve"> </w:t>
      </w:r>
      <w:r w:rsidR="006D27EA">
        <w:t>project</w:t>
      </w:r>
      <w:r w:rsidRPr="006B5E03">
        <w:t xml:space="preserve"> </w:t>
      </w:r>
      <w:r w:rsidR="006B5E03" w:rsidRPr="006B5E03">
        <w:t>designed to tackle hate experienced by African and Muslim communit</w:t>
      </w:r>
      <w:r w:rsidR="005E58CD">
        <w:t>ies</w:t>
      </w:r>
      <w:r w:rsidR="006B5E03">
        <w:t>.</w:t>
      </w:r>
      <w:r w:rsidR="00356058">
        <w:t xml:space="preserve"> </w:t>
      </w:r>
      <w:r w:rsidR="006B5E03" w:rsidRPr="006B5E03">
        <w:t xml:space="preserve">The Commission worked closely with these communities to support them to exercise their rights by: </w:t>
      </w:r>
    </w:p>
    <w:p w14:paraId="2D48D1B3" w14:textId="77777777" w:rsidR="006B5E03" w:rsidRPr="006B5E03" w:rsidRDefault="006B5E03" w:rsidP="00356058">
      <w:pPr>
        <w:pStyle w:val="ListBullet"/>
        <w:rPr>
          <w:lang w:val="en-GB"/>
        </w:rPr>
      </w:pPr>
      <w:r w:rsidRPr="006B5E03">
        <w:rPr>
          <w:lang w:val="en-GB"/>
        </w:rPr>
        <w:t>delivering co-designed education programs and resources to ensure that people could both understand and exercise their rights</w:t>
      </w:r>
    </w:p>
    <w:p w14:paraId="5DA18D34" w14:textId="77777777" w:rsidR="006B5E03" w:rsidRPr="006B5E03" w:rsidRDefault="006B5E03" w:rsidP="00356058">
      <w:pPr>
        <w:pStyle w:val="ListBullet"/>
        <w:rPr>
          <w:lang w:val="en-GB"/>
        </w:rPr>
      </w:pPr>
      <w:r w:rsidRPr="006B5E03">
        <w:rPr>
          <w:lang w:val="en-GB"/>
        </w:rPr>
        <w:t>establishing an African Ambassadors program</w:t>
      </w:r>
    </w:p>
    <w:p w14:paraId="19B2E12E" w14:textId="1E04BA1B" w:rsidR="006B5E03" w:rsidRPr="006B5E03" w:rsidRDefault="006B5E03" w:rsidP="00356058">
      <w:pPr>
        <w:pStyle w:val="ListBullet"/>
        <w:rPr>
          <w:lang w:val="en-GB"/>
        </w:rPr>
      </w:pPr>
      <w:r w:rsidRPr="006B5E03">
        <w:rPr>
          <w:lang w:val="en-GB"/>
        </w:rPr>
        <w:t>creating an information campaign based on storytelling</w:t>
      </w:r>
    </w:p>
    <w:p w14:paraId="7E755AA7" w14:textId="31400F9D" w:rsidR="006B5E03" w:rsidRPr="006B5E03" w:rsidRDefault="006B5E03" w:rsidP="00356058">
      <w:pPr>
        <w:pStyle w:val="ListBullet"/>
        <w:rPr>
          <w:lang w:val="en-GB"/>
        </w:rPr>
      </w:pPr>
      <w:r w:rsidRPr="006B5E03">
        <w:rPr>
          <w:lang w:val="en-GB"/>
        </w:rPr>
        <w:t>developing a digital Community Reporting Tool to provide new entry points for people to report discrimination or vilification incidents to the Commission.</w:t>
      </w:r>
    </w:p>
    <w:tbl>
      <w:tblPr>
        <w:tblStyle w:val="CustomTablebreakoutbox"/>
        <w:tblW w:w="0" w:type="auto"/>
        <w:tblLook w:val="04A0" w:firstRow="1" w:lastRow="0" w:firstColumn="1" w:lastColumn="0" w:noHBand="0" w:noVBand="1"/>
      </w:tblPr>
      <w:tblGrid>
        <w:gridCol w:w="9061"/>
      </w:tblGrid>
      <w:tr w:rsidR="00835B02" w14:paraId="33367751" w14:textId="77777777" w:rsidTr="00835B02">
        <w:tc>
          <w:tcPr>
            <w:tcW w:w="9061" w:type="dxa"/>
          </w:tcPr>
          <w:p w14:paraId="02143150" w14:textId="43CBB563" w:rsidR="00835B02" w:rsidRDefault="00835B02" w:rsidP="00835B02">
            <w:pPr>
              <w:pStyle w:val="BodyText"/>
              <w:rPr>
                <w:rStyle w:val="Characterbold"/>
              </w:rPr>
            </w:pPr>
            <w:r>
              <w:rPr>
                <w:rStyle w:val="Characterbold"/>
              </w:rPr>
              <w:t xml:space="preserve">Community Reporting Tool </w:t>
            </w:r>
          </w:p>
          <w:p w14:paraId="601C27F9" w14:textId="20C91665" w:rsidR="00835B02" w:rsidRPr="00835B02" w:rsidRDefault="00835B02" w:rsidP="00835B02">
            <w:pPr>
              <w:pStyle w:val="BodyText"/>
              <w:rPr>
                <w:rStyle w:val="Characterclear"/>
              </w:rPr>
            </w:pPr>
            <w:r>
              <w:rPr>
                <w:rStyle w:val="Characterclear"/>
              </w:rPr>
              <w:t>The C</w:t>
            </w:r>
            <w:r w:rsidR="007A68A7">
              <w:rPr>
                <w:rStyle w:val="Characterclear"/>
              </w:rPr>
              <w:t>ommission developed a C</w:t>
            </w:r>
            <w:r>
              <w:rPr>
                <w:rStyle w:val="Characterclear"/>
              </w:rPr>
              <w:t>ommunity Reporting Tool using Human Centred Design Principles, enabling community members to confidentially report experiences of discrimination and vilification to the Commission. The tool ai</w:t>
            </w:r>
            <w:r w:rsidR="007A68A7">
              <w:rPr>
                <w:rStyle w:val="Characterclear"/>
              </w:rPr>
              <w:t>ms</w:t>
            </w:r>
            <w:r>
              <w:rPr>
                <w:rStyle w:val="Characterclear"/>
              </w:rPr>
              <w:t xml:space="preserve"> to increase accessibility to the Commission, particularly for African and Muslim communities. To date, 37 reports have been submitted through the </w:t>
            </w:r>
            <w:r w:rsidR="002C101F">
              <w:rPr>
                <w:rStyle w:val="Characterclear"/>
              </w:rPr>
              <w:t>Community Reporting Tool via the Commission’s website and 15 local council websites.</w:t>
            </w:r>
          </w:p>
        </w:tc>
      </w:tr>
    </w:tbl>
    <w:p w14:paraId="2F559276" w14:textId="5511DDAF" w:rsidR="00C549FC" w:rsidRDefault="00C549FC" w:rsidP="00C549FC">
      <w:pPr>
        <w:pStyle w:val="Heading4"/>
      </w:pPr>
      <w:r>
        <w:t xml:space="preserve">Our education </w:t>
      </w:r>
      <w:r w:rsidR="006D27EA">
        <w:t xml:space="preserve">services </w:t>
      </w:r>
      <w:r>
        <w:t xml:space="preserve"> </w:t>
      </w:r>
    </w:p>
    <w:p w14:paraId="368E8F9B" w14:textId="77777777" w:rsidR="00401BD9" w:rsidRDefault="00401BD9" w:rsidP="00C549FC">
      <w:pPr>
        <w:pStyle w:val="BodyText"/>
        <w:rPr>
          <w:lang w:val="en-GB" w:eastAsia="en-AU"/>
        </w:rPr>
      </w:pPr>
      <w:r>
        <w:t>In the six years between</w:t>
      </w:r>
      <w:r w:rsidR="00A171A3" w:rsidRPr="00A171A3">
        <w:rPr>
          <w:lang w:val="en-GB" w:eastAsia="en-AU"/>
        </w:rPr>
        <w:t xml:space="preserve"> 1 January 2013 and 31 December 2019, the Commission provided 61 education and information sessions, attended by 1872 participants in total, on racial and religious vilification under the RRTA. </w:t>
      </w:r>
    </w:p>
    <w:p w14:paraId="56FD4A39" w14:textId="31FF9F49" w:rsidR="00C549FC" w:rsidRPr="00A171A3" w:rsidRDefault="00A171A3" w:rsidP="00C549FC">
      <w:pPr>
        <w:pStyle w:val="BodyText"/>
        <w:rPr>
          <w:lang w:val="en-GB" w:eastAsia="en-AU"/>
        </w:rPr>
      </w:pPr>
      <w:r w:rsidRPr="00A171A3">
        <w:rPr>
          <w:lang w:val="en-GB" w:eastAsia="en-AU"/>
        </w:rPr>
        <w:t xml:space="preserve">A key objective of the </w:t>
      </w:r>
      <w:r>
        <w:t xml:space="preserve">MMEAP </w:t>
      </w:r>
      <w:r w:rsidRPr="00A171A3">
        <w:rPr>
          <w:lang w:val="en-GB" w:eastAsia="en-AU"/>
        </w:rPr>
        <w:t>is to continue to empower multicultural and multifaith individuals, who have experienced racism or who belong to vulnerable communities, to understand and exercise their rights through events and education sessions.</w:t>
      </w:r>
    </w:p>
    <w:p w14:paraId="4EAE8122" w14:textId="1C7AD54C" w:rsidR="001A4DA0" w:rsidRDefault="00A47DEA" w:rsidP="00A47DEA">
      <w:pPr>
        <w:pStyle w:val="Heading4"/>
      </w:pPr>
      <w:r>
        <w:t xml:space="preserve">Our dispute resolution service </w:t>
      </w:r>
    </w:p>
    <w:p w14:paraId="335C171D" w14:textId="77777777" w:rsidR="006203AF" w:rsidRDefault="00A47DEA" w:rsidP="00A47DEA">
      <w:pPr>
        <w:pStyle w:val="BodyText"/>
      </w:pPr>
      <w:r>
        <w:t>As part of the Commission’s</w:t>
      </w:r>
      <w:r w:rsidR="00474D05">
        <w:t xml:space="preserve"> dispute resolution</w:t>
      </w:r>
      <w:r w:rsidR="005F4434">
        <w:t xml:space="preserve"> service</w:t>
      </w:r>
      <w:r w:rsidR="00474D05">
        <w:t>, we help people resolve complaints of vilification under the RRTA</w:t>
      </w:r>
      <w:r w:rsidR="00D63E4A">
        <w:t xml:space="preserve"> (</w:t>
      </w:r>
      <w:r w:rsidR="006203AF">
        <w:t>part 2.4.1</w:t>
      </w:r>
      <w:r w:rsidR="00D63E4A">
        <w:t xml:space="preserve">). </w:t>
      </w:r>
    </w:p>
    <w:p w14:paraId="7B87C862" w14:textId="20929B4A" w:rsidR="00A47DEA" w:rsidRDefault="00D63E4A" w:rsidP="00A47DEA">
      <w:pPr>
        <w:pStyle w:val="BodyText"/>
      </w:pPr>
      <w:r>
        <w:t xml:space="preserve">One </w:t>
      </w:r>
      <w:r w:rsidR="005F4434">
        <w:t>of our</w:t>
      </w:r>
      <w:r>
        <w:t xml:space="preserve"> goals under </w:t>
      </w:r>
      <w:r w:rsidR="005E58CD">
        <w:t xml:space="preserve">the MMEAP is to encourage reporting of racism and vilification, by </w:t>
      </w:r>
      <w:r w:rsidR="005F4434">
        <w:t>increasing</w:t>
      </w:r>
      <w:r w:rsidR="005E58CD">
        <w:t xml:space="preserve"> awareness of and access to our dispute resolution service</w:t>
      </w:r>
      <w:r w:rsidR="005F4434">
        <w:t xml:space="preserve"> through co-created digital strategies and campaign</w:t>
      </w:r>
      <w:r w:rsidR="00C549FC">
        <w:t xml:space="preserve">s. </w:t>
      </w:r>
    </w:p>
    <w:p w14:paraId="18392C56" w14:textId="4C766C3C" w:rsidR="003134D7" w:rsidRDefault="003134D7" w:rsidP="003134D7">
      <w:pPr>
        <w:pStyle w:val="Heading4"/>
      </w:pPr>
      <w:r>
        <w:t xml:space="preserve">Our community work and leadership </w:t>
      </w:r>
    </w:p>
    <w:p w14:paraId="72265AE7" w14:textId="2BA00389" w:rsidR="00CE2520" w:rsidRPr="00CE2520" w:rsidRDefault="00DB6AAC" w:rsidP="00CE2520">
      <w:pPr>
        <w:pStyle w:val="BodyText"/>
        <w:rPr>
          <w:lang w:val="en-GB" w:eastAsia="en-AU"/>
        </w:rPr>
      </w:pPr>
      <w:r>
        <w:t xml:space="preserve">The </w:t>
      </w:r>
      <w:r w:rsidR="00CE2520" w:rsidRPr="00CE2520">
        <w:rPr>
          <w:lang w:val="en-GB" w:eastAsia="en-AU"/>
        </w:rPr>
        <w:t xml:space="preserve">Commission participates in a range of consultative committees </w:t>
      </w:r>
      <w:r>
        <w:t xml:space="preserve">aimed </w:t>
      </w:r>
      <w:r w:rsidR="00CE2520" w:rsidRPr="00CE2520">
        <w:rPr>
          <w:lang w:val="en-GB" w:eastAsia="en-AU"/>
        </w:rPr>
        <w:t xml:space="preserve">to </w:t>
      </w:r>
      <w:r>
        <w:t xml:space="preserve">promote human rights and </w:t>
      </w:r>
      <w:r w:rsidR="00CE2520" w:rsidRPr="00CE2520">
        <w:rPr>
          <w:lang w:val="en-GB" w:eastAsia="en-AU"/>
        </w:rPr>
        <w:t>reduce hate</w:t>
      </w:r>
      <w:r>
        <w:t xml:space="preserve"> in the community</w:t>
      </w:r>
      <w:r w:rsidR="00CE2520" w:rsidRPr="00CE2520">
        <w:rPr>
          <w:lang w:val="en-GB" w:eastAsia="en-AU"/>
        </w:rPr>
        <w:t xml:space="preserve">. </w:t>
      </w:r>
      <w:r>
        <w:t>This includes</w:t>
      </w:r>
      <w:r w:rsidR="00CE2520" w:rsidRPr="00CE2520">
        <w:rPr>
          <w:lang w:val="en-GB" w:eastAsia="en-AU"/>
        </w:rPr>
        <w:t xml:space="preserve"> the Anti-Racism Action Plan Working Group</w:t>
      </w:r>
      <w:r>
        <w:t xml:space="preserve"> (Department</w:t>
      </w:r>
      <w:r w:rsidR="00CE2520" w:rsidRPr="00CE2520">
        <w:rPr>
          <w:lang w:val="en-GB" w:eastAsia="en-AU"/>
        </w:rPr>
        <w:t xml:space="preserve"> of Premier and </w:t>
      </w:r>
      <w:r w:rsidR="001C099C" w:rsidRPr="00CE2520">
        <w:rPr>
          <w:lang w:val="en-GB" w:eastAsia="en-AU"/>
        </w:rPr>
        <w:t>Cabinet</w:t>
      </w:r>
      <w:r>
        <w:t>) and</w:t>
      </w:r>
      <w:r w:rsidR="00CE2520" w:rsidRPr="00CE2520">
        <w:rPr>
          <w:lang w:val="en-GB" w:eastAsia="en-AU"/>
        </w:rPr>
        <w:t xml:space="preserve"> the LGBTI Justice Working Group </w:t>
      </w:r>
      <w:r>
        <w:t>(</w:t>
      </w:r>
      <w:r w:rsidR="00CE2520" w:rsidRPr="00CE2520">
        <w:rPr>
          <w:lang w:val="en-GB" w:eastAsia="en-AU"/>
        </w:rPr>
        <w:t>Department of Justice and Community Safety</w:t>
      </w:r>
      <w:r>
        <w:t>)</w:t>
      </w:r>
      <w:r w:rsidR="00CE2520" w:rsidRPr="00CE2520">
        <w:rPr>
          <w:lang w:val="en-GB" w:eastAsia="en-AU"/>
        </w:rPr>
        <w:t xml:space="preserve">. </w:t>
      </w:r>
    </w:p>
    <w:p w14:paraId="76231A60" w14:textId="77777777" w:rsidR="003134D7" w:rsidRPr="003134D7" w:rsidRDefault="003134D7" w:rsidP="003134D7">
      <w:pPr>
        <w:pStyle w:val="BodyText"/>
        <w:rPr>
          <w:lang w:eastAsia="en-AU"/>
        </w:rPr>
      </w:pPr>
    </w:p>
    <w:p w14:paraId="3B258B13" w14:textId="77777777" w:rsidR="0049703E" w:rsidRPr="0049703E" w:rsidRDefault="0049703E" w:rsidP="0049703E">
      <w:pPr>
        <w:pStyle w:val="Heading2"/>
      </w:pPr>
      <w:bookmarkStart w:id="7" w:name="_Toc25578831"/>
      <w:bookmarkStart w:id="8" w:name="_Toc31392327"/>
      <w:r w:rsidRPr="0049703E">
        <w:t>About this submission</w:t>
      </w:r>
      <w:bookmarkEnd w:id="7"/>
      <w:bookmarkEnd w:id="8"/>
      <w:r w:rsidRPr="0049703E">
        <w:t xml:space="preserve"> </w:t>
      </w:r>
    </w:p>
    <w:p w14:paraId="2A552694" w14:textId="77777777" w:rsidR="0049703E" w:rsidRPr="0049703E" w:rsidRDefault="0049703E" w:rsidP="0049703E">
      <w:pPr>
        <w:pStyle w:val="Heading3"/>
      </w:pPr>
      <w:r w:rsidRPr="0049703E">
        <w:t xml:space="preserve">Scope </w:t>
      </w:r>
    </w:p>
    <w:p w14:paraId="1FB5CAF8" w14:textId="77777777" w:rsidR="0049703E" w:rsidRPr="0049703E" w:rsidRDefault="0049703E" w:rsidP="0049703E">
      <w:pPr>
        <w:pStyle w:val="BodyText"/>
      </w:pPr>
      <w:r w:rsidRPr="0049703E">
        <w:t>The Commission’s submission responds to the following terms of reference (TOR):</w:t>
      </w:r>
    </w:p>
    <w:tbl>
      <w:tblPr>
        <w:tblStyle w:val="CustomTablebasic"/>
        <w:tblW w:w="0" w:type="auto"/>
        <w:tblLook w:val="04A0" w:firstRow="1" w:lastRow="0" w:firstColumn="1" w:lastColumn="0" w:noHBand="0" w:noVBand="1"/>
      </w:tblPr>
      <w:tblGrid>
        <w:gridCol w:w="7797"/>
        <w:gridCol w:w="1264"/>
      </w:tblGrid>
      <w:tr w:rsidR="0049703E" w:rsidRPr="0049703E" w14:paraId="020802D7" w14:textId="77777777" w:rsidTr="00063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C383F59" w14:textId="77777777" w:rsidR="0049703E" w:rsidRPr="0049703E" w:rsidRDefault="0049703E" w:rsidP="0049703E">
            <w:pPr>
              <w:pStyle w:val="BodyText"/>
              <w:rPr>
                <w:rStyle w:val="Characterbold"/>
              </w:rPr>
            </w:pPr>
            <w:r w:rsidRPr="0049703E">
              <w:rPr>
                <w:rStyle w:val="Characterbold"/>
              </w:rPr>
              <w:t xml:space="preserve">Terms of reference </w:t>
            </w:r>
          </w:p>
        </w:tc>
        <w:tc>
          <w:tcPr>
            <w:tcW w:w="1264" w:type="dxa"/>
          </w:tcPr>
          <w:p w14:paraId="34E2F61A" w14:textId="195D2A57" w:rsidR="0049703E" w:rsidRPr="0049703E" w:rsidRDefault="0049703E" w:rsidP="0049703E">
            <w:pPr>
              <w:pStyle w:val="BodyText"/>
              <w:cnfStyle w:val="100000000000" w:firstRow="1" w:lastRow="0" w:firstColumn="0" w:lastColumn="0" w:oddVBand="0" w:evenVBand="0" w:oddHBand="0" w:evenHBand="0" w:firstRowFirstColumn="0" w:firstRowLastColumn="0" w:lastRowFirstColumn="0" w:lastRowLastColumn="0"/>
              <w:rPr>
                <w:rStyle w:val="Characterbold"/>
              </w:rPr>
            </w:pPr>
            <w:r w:rsidRPr="0049703E">
              <w:rPr>
                <w:rStyle w:val="Characterbold"/>
              </w:rPr>
              <w:t>Pa</w:t>
            </w:r>
            <w:r w:rsidR="007E70F4">
              <w:rPr>
                <w:rStyle w:val="Characterbold"/>
              </w:rPr>
              <w:t>rt</w:t>
            </w:r>
          </w:p>
        </w:tc>
      </w:tr>
      <w:tr w:rsidR="0049703E" w:rsidRPr="0049703E" w14:paraId="3A275572"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086198D9" w14:textId="77777777" w:rsidR="0049703E" w:rsidRPr="0049703E" w:rsidRDefault="0049703E" w:rsidP="0049703E">
            <w:pPr>
              <w:pStyle w:val="BodyText"/>
            </w:pPr>
            <w:r w:rsidRPr="0049703E">
              <w:t>TOR 1: The effectiveness of the operation of the Racial and Religious Tolerance Act 2001 (the Act) in delivering upon its purposes</w:t>
            </w:r>
          </w:p>
        </w:tc>
        <w:tc>
          <w:tcPr>
            <w:tcW w:w="1264" w:type="dxa"/>
          </w:tcPr>
          <w:p w14:paraId="23316CCA" w14:textId="6390A894" w:rsidR="0049703E" w:rsidRPr="0049703E" w:rsidRDefault="007E70F4" w:rsidP="0049703E">
            <w:pPr>
              <w:pStyle w:val="BodyText"/>
              <w:cnfStyle w:val="000000000000" w:firstRow="0" w:lastRow="0" w:firstColumn="0" w:lastColumn="0" w:oddVBand="0" w:evenVBand="0" w:oddHBand="0" w:evenHBand="0" w:firstRowFirstColumn="0" w:firstRowLastColumn="0" w:lastRowFirstColumn="0" w:lastRowLastColumn="0"/>
            </w:pPr>
            <w:r>
              <w:t>4.1</w:t>
            </w:r>
          </w:p>
        </w:tc>
      </w:tr>
      <w:tr w:rsidR="0049703E" w:rsidRPr="0049703E" w14:paraId="539B3F60"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1205B95E" w14:textId="77777777" w:rsidR="0049703E" w:rsidRPr="0049703E" w:rsidRDefault="0049703E" w:rsidP="0049703E">
            <w:pPr>
              <w:pStyle w:val="BodyText"/>
            </w:pPr>
            <w:r w:rsidRPr="0049703E">
              <w:t>TOR 2: The success or otherwise of enforcement of the Act, and the appropriateness of sanctions in delivering upon the Act’s purposes</w:t>
            </w:r>
          </w:p>
        </w:tc>
        <w:tc>
          <w:tcPr>
            <w:tcW w:w="1264" w:type="dxa"/>
          </w:tcPr>
          <w:p w14:paraId="00A4F6C3" w14:textId="71C5473A" w:rsidR="0049703E" w:rsidRPr="0049703E" w:rsidRDefault="00A32024" w:rsidP="0049703E">
            <w:pPr>
              <w:pStyle w:val="BodyText"/>
              <w:cnfStyle w:val="000000000000" w:firstRow="0" w:lastRow="0" w:firstColumn="0" w:lastColumn="0" w:oddVBand="0" w:evenVBand="0" w:oddHBand="0" w:evenHBand="0" w:firstRowFirstColumn="0" w:firstRowLastColumn="0" w:lastRowFirstColumn="0" w:lastRowLastColumn="0"/>
            </w:pPr>
            <w:r>
              <w:t xml:space="preserve">4.2, 4.3 </w:t>
            </w:r>
          </w:p>
        </w:tc>
      </w:tr>
      <w:tr w:rsidR="0049703E" w:rsidRPr="0049703E" w14:paraId="773A05CA"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05DB29FC" w14:textId="77777777" w:rsidR="0049703E" w:rsidRPr="0049703E" w:rsidRDefault="0049703E" w:rsidP="0049703E">
            <w:pPr>
              <w:pStyle w:val="BodyText"/>
            </w:pPr>
            <w:r w:rsidRPr="0049703E">
              <w:t>TOR 3: Interaction between the Act and other state and Commonwealth legislation</w:t>
            </w:r>
          </w:p>
        </w:tc>
        <w:tc>
          <w:tcPr>
            <w:tcW w:w="1264" w:type="dxa"/>
          </w:tcPr>
          <w:p w14:paraId="43E65AE6" w14:textId="414480B8" w:rsidR="0049703E" w:rsidRPr="0049703E" w:rsidRDefault="00B1739E" w:rsidP="0049703E">
            <w:pPr>
              <w:pStyle w:val="BodyText"/>
              <w:cnfStyle w:val="000000000000" w:firstRow="0" w:lastRow="0" w:firstColumn="0" w:lastColumn="0" w:oddVBand="0" w:evenVBand="0" w:oddHBand="0" w:evenHBand="0" w:firstRowFirstColumn="0" w:firstRowLastColumn="0" w:lastRowFirstColumn="0" w:lastRowLastColumn="0"/>
            </w:pPr>
            <w:r>
              <w:t xml:space="preserve">2.3.7 </w:t>
            </w:r>
          </w:p>
        </w:tc>
      </w:tr>
      <w:tr w:rsidR="0049703E" w:rsidRPr="0049703E" w14:paraId="6EC4FACD"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07FD073B" w14:textId="77777777" w:rsidR="0049703E" w:rsidRPr="0049703E" w:rsidRDefault="0049703E" w:rsidP="0049703E">
            <w:pPr>
              <w:pStyle w:val="BodyText"/>
            </w:pPr>
            <w:r w:rsidRPr="0049703E">
              <w:t>TOR 4: Comparisons in the operation of the Victorian Act with legislation in other jurisdictions</w:t>
            </w:r>
          </w:p>
        </w:tc>
        <w:tc>
          <w:tcPr>
            <w:tcW w:w="1264" w:type="dxa"/>
          </w:tcPr>
          <w:p w14:paraId="110B04D4" w14:textId="7929D51A" w:rsidR="0049703E" w:rsidRPr="0049703E" w:rsidRDefault="00B1739E" w:rsidP="0049703E">
            <w:pPr>
              <w:pStyle w:val="BodyText"/>
              <w:cnfStyle w:val="000000000000" w:firstRow="0" w:lastRow="0" w:firstColumn="0" w:lastColumn="0" w:oddVBand="0" w:evenVBand="0" w:oddHBand="0" w:evenHBand="0" w:firstRowFirstColumn="0" w:firstRowLastColumn="0" w:lastRowFirstColumn="0" w:lastRowLastColumn="0"/>
            </w:pPr>
            <w:r>
              <w:t>4</w:t>
            </w:r>
          </w:p>
        </w:tc>
      </w:tr>
      <w:tr w:rsidR="0049703E" w:rsidRPr="0049703E" w14:paraId="229500AA"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15D676BF" w14:textId="77777777" w:rsidR="0049703E" w:rsidRPr="0049703E" w:rsidRDefault="0049703E" w:rsidP="0049703E">
            <w:pPr>
              <w:pStyle w:val="BodyText"/>
            </w:pPr>
            <w:r w:rsidRPr="0049703E">
              <w:t xml:space="preserve">TOR 5: The role of state legislation in addressing online vilification </w:t>
            </w:r>
          </w:p>
        </w:tc>
        <w:tc>
          <w:tcPr>
            <w:tcW w:w="1264" w:type="dxa"/>
          </w:tcPr>
          <w:p w14:paraId="5F9642FE" w14:textId="08CB9DEA" w:rsidR="0049703E" w:rsidRPr="0049703E" w:rsidRDefault="00424E8B" w:rsidP="0049703E">
            <w:pPr>
              <w:pStyle w:val="BodyText"/>
              <w:cnfStyle w:val="000000000000" w:firstRow="0" w:lastRow="0" w:firstColumn="0" w:lastColumn="0" w:oddVBand="0" w:evenVBand="0" w:oddHBand="0" w:evenHBand="0" w:firstRowFirstColumn="0" w:firstRowLastColumn="0" w:lastRowFirstColumn="0" w:lastRowLastColumn="0"/>
            </w:pPr>
            <w:r>
              <w:t>2.5</w:t>
            </w:r>
          </w:p>
        </w:tc>
      </w:tr>
      <w:tr w:rsidR="0049703E" w:rsidRPr="0049703E" w14:paraId="1DC6B56C"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49472CEF" w14:textId="77777777" w:rsidR="0049703E" w:rsidRPr="0049703E" w:rsidRDefault="0049703E" w:rsidP="0049703E">
            <w:pPr>
              <w:pStyle w:val="BodyText"/>
            </w:pPr>
            <w:r w:rsidRPr="0049703E">
              <w:t xml:space="preserve">TOR 6: The effectiveness of current approaches to law enforcement in addressing online offending </w:t>
            </w:r>
          </w:p>
        </w:tc>
        <w:tc>
          <w:tcPr>
            <w:tcW w:w="1264" w:type="dxa"/>
          </w:tcPr>
          <w:p w14:paraId="4A93A8FC" w14:textId="52C51369" w:rsidR="0049703E" w:rsidRPr="0049703E" w:rsidRDefault="00255AD7" w:rsidP="0049703E">
            <w:pPr>
              <w:pStyle w:val="BodyText"/>
              <w:cnfStyle w:val="000000000000" w:firstRow="0" w:lastRow="0" w:firstColumn="0" w:lastColumn="0" w:oddVBand="0" w:evenVBand="0" w:oddHBand="0" w:evenHBand="0" w:firstRowFirstColumn="0" w:firstRowLastColumn="0" w:lastRowFirstColumn="0" w:lastRowLastColumn="0"/>
            </w:pPr>
            <w:r>
              <w:t>3.3</w:t>
            </w:r>
            <w:r w:rsidR="00490EEA">
              <w:t>, 4.2</w:t>
            </w:r>
          </w:p>
        </w:tc>
      </w:tr>
      <w:tr w:rsidR="0049703E" w:rsidRPr="0049703E" w14:paraId="52A7DA00"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6B2ABCF5" w14:textId="77777777" w:rsidR="0049703E" w:rsidRPr="0049703E" w:rsidRDefault="0049703E" w:rsidP="0049703E">
            <w:pPr>
              <w:pStyle w:val="BodyText"/>
            </w:pPr>
            <w:r w:rsidRPr="0049703E">
              <w:t>TOR 7: Any evidence of increasing vilification and hate conduct in Victoria</w:t>
            </w:r>
          </w:p>
        </w:tc>
        <w:tc>
          <w:tcPr>
            <w:tcW w:w="1264" w:type="dxa"/>
          </w:tcPr>
          <w:p w14:paraId="61A00334" w14:textId="4F39FD00" w:rsidR="0049703E" w:rsidRPr="0049703E" w:rsidRDefault="00E04056" w:rsidP="0049703E">
            <w:pPr>
              <w:pStyle w:val="BodyText"/>
              <w:cnfStyle w:val="000000000000" w:firstRow="0" w:lastRow="0" w:firstColumn="0" w:lastColumn="0" w:oddVBand="0" w:evenVBand="0" w:oddHBand="0" w:evenHBand="0" w:firstRowFirstColumn="0" w:firstRowLastColumn="0" w:lastRowFirstColumn="0" w:lastRowLastColumn="0"/>
            </w:pPr>
            <w:r>
              <w:t xml:space="preserve">3.4, 3.5 </w:t>
            </w:r>
          </w:p>
        </w:tc>
      </w:tr>
      <w:tr w:rsidR="0049703E" w:rsidRPr="0049703E" w14:paraId="31AD902C" w14:textId="77777777" w:rsidTr="00063FAF">
        <w:tc>
          <w:tcPr>
            <w:cnfStyle w:val="001000000000" w:firstRow="0" w:lastRow="0" w:firstColumn="1" w:lastColumn="0" w:oddVBand="0" w:evenVBand="0" w:oddHBand="0" w:evenHBand="0" w:firstRowFirstColumn="0" w:firstRowLastColumn="0" w:lastRowFirstColumn="0" w:lastRowLastColumn="0"/>
            <w:tcW w:w="7797" w:type="dxa"/>
          </w:tcPr>
          <w:p w14:paraId="0C63125C" w14:textId="77777777" w:rsidR="0049703E" w:rsidRPr="0049703E" w:rsidRDefault="0049703E" w:rsidP="0049703E">
            <w:pPr>
              <w:pStyle w:val="BodyText"/>
            </w:pPr>
            <w:r w:rsidRPr="0049703E">
              <w:t>TOR 8: Possible extension of protections or expansion of protection to classes of people not currently protected under the existing Act</w:t>
            </w:r>
          </w:p>
        </w:tc>
        <w:tc>
          <w:tcPr>
            <w:tcW w:w="1264" w:type="dxa"/>
          </w:tcPr>
          <w:p w14:paraId="4FC41D86" w14:textId="616C162B" w:rsidR="0049703E" w:rsidRPr="0049703E" w:rsidRDefault="00E04056" w:rsidP="0049703E">
            <w:pPr>
              <w:pStyle w:val="BodyText"/>
              <w:cnfStyle w:val="000000000000" w:firstRow="0" w:lastRow="0" w:firstColumn="0" w:lastColumn="0" w:oddVBand="0" w:evenVBand="0" w:oddHBand="0" w:evenHBand="0" w:firstRowFirstColumn="0" w:firstRowLastColumn="0" w:lastRowFirstColumn="0" w:lastRowLastColumn="0"/>
            </w:pPr>
            <w:r>
              <w:t>3.5</w:t>
            </w:r>
            <w:r w:rsidR="002A1DC2">
              <w:t xml:space="preserve">, 5.2 </w:t>
            </w:r>
          </w:p>
        </w:tc>
      </w:tr>
    </w:tbl>
    <w:p w14:paraId="65FDAB53" w14:textId="77777777" w:rsidR="0049703E" w:rsidRPr="0049703E" w:rsidRDefault="0049703E" w:rsidP="0049703E">
      <w:pPr>
        <w:pStyle w:val="BodyText"/>
      </w:pPr>
      <w:r w:rsidRPr="0049703E">
        <w:t xml:space="preserve">In addition to responding to the terms of reference, the Commission’s submission: </w:t>
      </w:r>
    </w:p>
    <w:p w14:paraId="4FA28BE8" w14:textId="0FA874B1" w:rsidR="0049703E" w:rsidRPr="0049703E" w:rsidRDefault="00F078EC" w:rsidP="0049703E">
      <w:pPr>
        <w:pStyle w:val="ListBullet"/>
      </w:pPr>
      <w:r>
        <w:t>provides an overview of hate in the Victorian community</w:t>
      </w:r>
      <w:r w:rsidR="0049703E" w:rsidRPr="0049703E">
        <w:t xml:space="preserve"> (part 3)</w:t>
      </w:r>
    </w:p>
    <w:p w14:paraId="29DE2DAE" w14:textId="22EDF954" w:rsidR="0049703E" w:rsidRPr="0049703E" w:rsidRDefault="00F078EC" w:rsidP="0049703E">
      <w:pPr>
        <w:pStyle w:val="ListBullet"/>
      </w:pPr>
      <w:r>
        <w:t xml:space="preserve">recommends a complementary policy response to </w:t>
      </w:r>
      <w:r w:rsidR="00D8079E">
        <w:t>combating hate</w:t>
      </w:r>
      <w:r w:rsidR="0049703E" w:rsidRPr="0049703E">
        <w:t xml:space="preserve"> (part 6).  </w:t>
      </w:r>
    </w:p>
    <w:p w14:paraId="38A3B70D" w14:textId="77777777" w:rsidR="0049703E" w:rsidRPr="0049703E" w:rsidRDefault="0049703E" w:rsidP="0049703E">
      <w:pPr>
        <w:pStyle w:val="Heading3"/>
      </w:pPr>
      <w:r w:rsidRPr="0049703E">
        <w:t xml:space="preserve">Methodology </w:t>
      </w:r>
    </w:p>
    <w:p w14:paraId="7BB24203" w14:textId="6A1A7B78" w:rsidR="0049703E" w:rsidRPr="0049703E" w:rsidRDefault="0049703E" w:rsidP="0049703E">
      <w:pPr>
        <w:pStyle w:val="BodyText"/>
      </w:pPr>
      <w:r w:rsidRPr="0049703E">
        <w:t>To inform the development of the Commission’s submission to the Inquiry, the Commission undertook research, analysed a range of data sources and ran a consultation process, including focus groups, interviews and an online survey</w:t>
      </w:r>
      <w:r w:rsidR="005E6FEF">
        <w:t xml:space="preserve"> (see </w:t>
      </w:r>
      <w:r w:rsidR="005E6FEF" w:rsidRPr="003B2937">
        <w:rPr>
          <w:rStyle w:val="Characterbold"/>
        </w:rPr>
        <w:t>Appendix A</w:t>
      </w:r>
      <w:r w:rsidR="005E6FEF">
        <w:t xml:space="preserve"> for a list of </w:t>
      </w:r>
      <w:r w:rsidR="003B2937">
        <w:t xml:space="preserve">organisational </w:t>
      </w:r>
      <w:r w:rsidR="005E6FEF">
        <w:t>stakeholders we consulted with).</w:t>
      </w:r>
    </w:p>
    <w:tbl>
      <w:tblPr>
        <w:tblStyle w:val="CustomTablebasic"/>
        <w:tblW w:w="0" w:type="auto"/>
        <w:tblLook w:val="04A0" w:firstRow="1" w:lastRow="0" w:firstColumn="1" w:lastColumn="0" w:noHBand="0" w:noVBand="1"/>
      </w:tblPr>
      <w:tblGrid>
        <w:gridCol w:w="1701"/>
        <w:gridCol w:w="7360"/>
      </w:tblGrid>
      <w:tr w:rsidR="0049703E" w:rsidRPr="0049703E" w14:paraId="272D756C" w14:textId="77777777" w:rsidTr="00497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09B7A8F" w14:textId="77777777" w:rsidR="0049703E" w:rsidRPr="0049703E" w:rsidRDefault="0049703E" w:rsidP="0049703E">
            <w:pPr>
              <w:pStyle w:val="BodyText"/>
            </w:pPr>
            <w:r w:rsidRPr="0049703E">
              <w:t xml:space="preserve">Data sources </w:t>
            </w:r>
          </w:p>
        </w:tc>
        <w:tc>
          <w:tcPr>
            <w:tcW w:w="7360" w:type="dxa"/>
          </w:tcPr>
          <w:p w14:paraId="47B2F3DD" w14:textId="77777777" w:rsidR="0049703E" w:rsidRDefault="0049703E" w:rsidP="0049703E">
            <w:pPr>
              <w:pStyle w:val="BodyText"/>
              <w:cnfStyle w:val="100000000000" w:firstRow="1" w:lastRow="0" w:firstColumn="0" w:lastColumn="0" w:oddVBand="0" w:evenVBand="0" w:oddHBand="0" w:evenHBand="0" w:firstRowFirstColumn="0" w:firstRowLastColumn="0" w:lastRowFirstColumn="0" w:lastRowLastColumn="0"/>
            </w:pPr>
            <w:r w:rsidRPr="0049703E">
              <w:t>The Commission</w:t>
            </w:r>
            <w:r>
              <w:t xml:space="preserve">: </w:t>
            </w:r>
          </w:p>
          <w:p w14:paraId="67B97106" w14:textId="27FF0450" w:rsidR="0049703E" w:rsidRDefault="0049703E" w:rsidP="0049703E">
            <w:pPr>
              <w:pStyle w:val="ListBullet"/>
              <w:cnfStyle w:val="100000000000" w:firstRow="1" w:lastRow="0" w:firstColumn="0" w:lastColumn="0" w:oddVBand="0" w:evenVBand="0" w:oddHBand="0" w:evenHBand="0" w:firstRowFirstColumn="0" w:firstRowLastColumn="0" w:lastRowFirstColumn="0" w:lastRowLastColumn="0"/>
            </w:pPr>
            <w:r w:rsidRPr="0049703E">
              <w:t xml:space="preserve">analysed its dispute resolution data, including enquiries and complaints about vilification under the </w:t>
            </w:r>
            <w:r w:rsidR="00F92EE6">
              <w:t>RRTA</w:t>
            </w:r>
          </w:p>
          <w:p w14:paraId="7638C722" w14:textId="26BE5F51" w:rsidR="0049703E" w:rsidRDefault="0049703E" w:rsidP="0049703E">
            <w:pPr>
              <w:pStyle w:val="ListBullet"/>
              <w:cnfStyle w:val="100000000000" w:firstRow="1" w:lastRow="0" w:firstColumn="0" w:lastColumn="0" w:oddVBand="0" w:evenVBand="0" w:oddHBand="0" w:evenHBand="0" w:firstRowFirstColumn="0" w:firstRowLastColumn="0" w:lastRowFirstColumn="0" w:lastRowLastColumn="0"/>
            </w:pPr>
            <w:r w:rsidRPr="0049703E">
              <w:t xml:space="preserve">requested data from the Crime Statistics Agency on criminal enforcement of the RRTA </w:t>
            </w:r>
          </w:p>
          <w:p w14:paraId="5031F269" w14:textId="5AFAD0B5" w:rsidR="0049703E" w:rsidRPr="0049703E" w:rsidRDefault="0049703E" w:rsidP="0049703E">
            <w:pPr>
              <w:pStyle w:val="ListBullet"/>
              <w:cnfStyle w:val="100000000000" w:firstRow="1" w:lastRow="0" w:firstColumn="0" w:lastColumn="0" w:oddVBand="0" w:evenVBand="0" w:oddHBand="0" w:evenHBand="0" w:firstRowFirstColumn="0" w:firstRowLastColumn="0" w:lastRowFirstColumn="0" w:lastRowLastColumn="0"/>
            </w:pPr>
            <w:r>
              <w:t>requested data from</w:t>
            </w:r>
            <w:r w:rsidRPr="0049703E">
              <w:t xml:space="preserve"> </w:t>
            </w:r>
            <w:r w:rsidR="00611119">
              <w:t xml:space="preserve">VCAT </w:t>
            </w:r>
            <w:r w:rsidRPr="0049703E">
              <w:t xml:space="preserve">on applications under the RRTA. </w:t>
            </w:r>
          </w:p>
        </w:tc>
      </w:tr>
      <w:tr w:rsidR="0049703E" w:rsidRPr="0049703E" w14:paraId="21B96EEF" w14:textId="77777777" w:rsidTr="0049703E">
        <w:tc>
          <w:tcPr>
            <w:cnfStyle w:val="001000000000" w:firstRow="0" w:lastRow="0" w:firstColumn="1" w:lastColumn="0" w:oddVBand="0" w:evenVBand="0" w:oddHBand="0" w:evenHBand="0" w:firstRowFirstColumn="0" w:firstRowLastColumn="0" w:lastRowFirstColumn="0" w:lastRowLastColumn="0"/>
            <w:tcW w:w="1701" w:type="dxa"/>
          </w:tcPr>
          <w:p w14:paraId="15FE6A75" w14:textId="77777777" w:rsidR="0049703E" w:rsidRPr="0049703E" w:rsidRDefault="0049703E" w:rsidP="0049703E">
            <w:pPr>
              <w:pStyle w:val="BodyText"/>
            </w:pPr>
            <w:r w:rsidRPr="0049703E">
              <w:t xml:space="preserve">Research </w:t>
            </w:r>
          </w:p>
        </w:tc>
        <w:tc>
          <w:tcPr>
            <w:tcW w:w="7360" w:type="dxa"/>
          </w:tcPr>
          <w:p w14:paraId="5C46C326" w14:textId="333559DC"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The Commission considered key academic literature on vilification, hate </w:t>
            </w:r>
            <w:r w:rsidR="00577091">
              <w:t>conduct</w:t>
            </w:r>
            <w:r w:rsidRPr="0049703E">
              <w:t xml:space="preserve"> and crime. </w:t>
            </w:r>
          </w:p>
        </w:tc>
      </w:tr>
      <w:tr w:rsidR="0049703E" w:rsidRPr="0049703E" w14:paraId="2D7C4C94" w14:textId="77777777" w:rsidTr="0049703E">
        <w:tc>
          <w:tcPr>
            <w:cnfStyle w:val="001000000000" w:firstRow="0" w:lastRow="0" w:firstColumn="1" w:lastColumn="0" w:oddVBand="0" w:evenVBand="0" w:oddHBand="0" w:evenHBand="0" w:firstRowFirstColumn="0" w:firstRowLastColumn="0" w:lastRowFirstColumn="0" w:lastRowLastColumn="0"/>
            <w:tcW w:w="1701" w:type="dxa"/>
          </w:tcPr>
          <w:p w14:paraId="61E19067" w14:textId="77777777" w:rsidR="0049703E" w:rsidRPr="0049703E" w:rsidRDefault="0049703E" w:rsidP="0049703E">
            <w:pPr>
              <w:pStyle w:val="BodyText"/>
            </w:pPr>
            <w:r w:rsidRPr="0049703E">
              <w:lastRenderedPageBreak/>
              <w:t xml:space="preserve">Consultation </w:t>
            </w:r>
          </w:p>
        </w:tc>
        <w:tc>
          <w:tcPr>
            <w:tcW w:w="7360" w:type="dxa"/>
          </w:tcPr>
          <w:p w14:paraId="256DA77F" w14:textId="77777777" w:rsidR="0049703E" w:rsidRP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 xml:space="preserve">The Commission facilitated focus groups with: </w:t>
            </w:r>
          </w:p>
          <w:p w14:paraId="7ABF7213" w14:textId="77777777" w:rsidR="0049703E" w:rsidRPr="0049703E" w:rsidRDefault="0049703E" w:rsidP="00F94380">
            <w:pPr>
              <w:pStyle w:val="ListBullet"/>
              <w:cnfStyle w:val="000000000000" w:firstRow="0" w:lastRow="0" w:firstColumn="0" w:lastColumn="0" w:oddVBand="0" w:evenVBand="0" w:oddHBand="0" w:evenHBand="0" w:firstRowFirstColumn="0" w:firstRowLastColumn="0" w:lastRowFirstColumn="0" w:lastRowLastColumn="0"/>
            </w:pPr>
            <w:r w:rsidRPr="0049703E">
              <w:t>multicultural and multifaith stakeholders (26 November 2019)</w:t>
            </w:r>
          </w:p>
          <w:p w14:paraId="1D8832EC" w14:textId="67B8466C" w:rsidR="0049703E" w:rsidRPr="0049703E" w:rsidRDefault="0049703E" w:rsidP="00F94380">
            <w:pPr>
              <w:pStyle w:val="ListBullet"/>
              <w:cnfStyle w:val="000000000000" w:firstRow="0" w:lastRow="0" w:firstColumn="0" w:lastColumn="0" w:oddVBand="0" w:evenVBand="0" w:oddHBand="0" w:evenHBand="0" w:firstRowFirstColumn="0" w:firstRowLastColumn="0" w:lastRowFirstColumn="0" w:lastRowLastColumn="0"/>
            </w:pPr>
            <w:r w:rsidRPr="0049703E">
              <w:t xml:space="preserve">disability </w:t>
            </w:r>
            <w:r w:rsidR="00F94380">
              <w:t xml:space="preserve">sector </w:t>
            </w:r>
            <w:r w:rsidRPr="0049703E">
              <w:t>stakeholders (2 December 2019)</w:t>
            </w:r>
          </w:p>
          <w:p w14:paraId="0D16507E" w14:textId="77777777" w:rsidR="0049703E" w:rsidRPr="0049703E" w:rsidRDefault="0049703E" w:rsidP="00F94380">
            <w:pPr>
              <w:pStyle w:val="ListBullet"/>
              <w:cnfStyle w:val="000000000000" w:firstRow="0" w:lastRow="0" w:firstColumn="0" w:lastColumn="0" w:oddVBand="0" w:evenVBand="0" w:oddHBand="0" w:evenHBand="0" w:firstRowFirstColumn="0" w:firstRowLastColumn="0" w:lastRowFirstColumn="0" w:lastRowLastColumn="0"/>
            </w:pPr>
            <w:r w:rsidRPr="0049703E">
              <w:t>LGBTIQ stakeholders (3 December 2019)</w:t>
            </w:r>
          </w:p>
          <w:p w14:paraId="2C1AB390" w14:textId="77777777" w:rsidR="0049703E" w:rsidRPr="0049703E" w:rsidRDefault="0049703E" w:rsidP="00F94380">
            <w:pPr>
              <w:pStyle w:val="ListBullet"/>
              <w:cnfStyle w:val="000000000000" w:firstRow="0" w:lastRow="0" w:firstColumn="0" w:lastColumn="0" w:oddVBand="0" w:evenVBand="0" w:oddHBand="0" w:evenHBand="0" w:firstRowFirstColumn="0" w:firstRowLastColumn="0" w:lastRowFirstColumn="0" w:lastRowLastColumn="0"/>
            </w:pPr>
            <w:r w:rsidRPr="0049703E">
              <w:t>legal and academic stakeholders (5 December 2019).</w:t>
            </w:r>
            <w:r w:rsidRPr="00C2683C">
              <w:rPr>
                <w:rStyle w:val="FootnoteReference"/>
              </w:rPr>
              <w:endnoteReference w:id="8"/>
            </w:r>
          </w:p>
          <w:p w14:paraId="48783DE8" w14:textId="77777777" w:rsidR="0049703E" w:rsidRDefault="0049703E" w:rsidP="0049703E">
            <w:pPr>
              <w:pStyle w:val="BodyText"/>
              <w:cnfStyle w:val="000000000000" w:firstRow="0" w:lastRow="0" w:firstColumn="0" w:lastColumn="0" w:oddVBand="0" w:evenVBand="0" w:oddHBand="0" w:evenHBand="0" w:firstRowFirstColumn="0" w:firstRowLastColumn="0" w:lastRowFirstColumn="0" w:lastRowLastColumn="0"/>
            </w:pPr>
            <w:r w:rsidRPr="0049703E">
              <w:t>The Commission</w:t>
            </w:r>
            <w:r>
              <w:t xml:space="preserve"> also: </w:t>
            </w:r>
          </w:p>
          <w:p w14:paraId="3351D476" w14:textId="11EBC83E" w:rsidR="0049703E" w:rsidRDefault="0049703E" w:rsidP="0049703E">
            <w:pPr>
              <w:pStyle w:val="ListBullet"/>
              <w:cnfStyle w:val="000000000000" w:firstRow="0" w:lastRow="0" w:firstColumn="0" w:lastColumn="0" w:oddVBand="0" w:evenVBand="0" w:oddHBand="0" w:evenHBand="0" w:firstRowFirstColumn="0" w:firstRowLastColumn="0" w:lastRowFirstColumn="0" w:lastRowLastColumn="0"/>
            </w:pPr>
            <w:r w:rsidRPr="0049703E">
              <w:t>undertook interviews with</w:t>
            </w:r>
            <w:r w:rsidR="002F6FEB">
              <w:t xml:space="preserve"> </w:t>
            </w:r>
            <w:r w:rsidR="00601EEE">
              <w:t xml:space="preserve">targeted </w:t>
            </w:r>
            <w:r w:rsidRPr="0049703E">
              <w:t xml:space="preserve">stakeholders </w:t>
            </w:r>
          </w:p>
          <w:p w14:paraId="74098D3D" w14:textId="4E711DDC" w:rsidR="0049703E" w:rsidRPr="0049703E" w:rsidRDefault="0049703E" w:rsidP="0049703E">
            <w:pPr>
              <w:pStyle w:val="ListBullet"/>
              <w:cnfStyle w:val="000000000000" w:firstRow="0" w:lastRow="0" w:firstColumn="0" w:lastColumn="0" w:oddVBand="0" w:evenVBand="0" w:oddHBand="0" w:evenHBand="0" w:firstRowFirstColumn="0" w:firstRowLastColumn="0" w:lastRowFirstColumn="0" w:lastRowLastColumn="0"/>
            </w:pPr>
            <w:r w:rsidRPr="0049703E">
              <w:t xml:space="preserve">ran an online survey </w:t>
            </w:r>
            <w:r>
              <w:t>inviting</w:t>
            </w:r>
            <w:r w:rsidRPr="0049703E">
              <w:t xml:space="preserve"> Victorian</w:t>
            </w:r>
            <w:r>
              <w:t>s</w:t>
            </w:r>
            <w:r w:rsidRPr="0049703E">
              <w:t xml:space="preserve"> to share their experiences of hate</w:t>
            </w:r>
            <w:r>
              <w:t xml:space="preserve"> (open from 25 November </w:t>
            </w:r>
            <w:r w:rsidR="00257BAE">
              <w:t xml:space="preserve">2019 </w:t>
            </w:r>
            <w:r>
              <w:t xml:space="preserve">to </w:t>
            </w:r>
            <w:r w:rsidR="00257BAE" w:rsidRPr="00601EEE">
              <w:rPr>
                <w:rStyle w:val="Characterclear"/>
              </w:rPr>
              <w:t>10 January 2020</w:t>
            </w:r>
            <w:r w:rsidRPr="00601EEE">
              <w:rPr>
                <w:rStyle w:val="Characterclear"/>
              </w:rPr>
              <w:t>)</w:t>
            </w:r>
            <w:r w:rsidR="00257BAE" w:rsidRPr="00601EEE">
              <w:rPr>
                <w:rStyle w:val="Characterclear"/>
              </w:rPr>
              <w:t xml:space="preserve"> </w:t>
            </w:r>
            <w:r w:rsidR="00257BAE">
              <w:t xml:space="preserve">with a total of </w:t>
            </w:r>
            <w:r w:rsidR="00257BAE" w:rsidRPr="006561EC">
              <w:rPr>
                <w:rStyle w:val="Characterclear"/>
              </w:rPr>
              <w:t xml:space="preserve">90 </w:t>
            </w:r>
            <w:r w:rsidR="00257BAE">
              <w:t xml:space="preserve">survey participants. </w:t>
            </w:r>
          </w:p>
        </w:tc>
      </w:tr>
    </w:tbl>
    <w:p w14:paraId="1492A781" w14:textId="36239958" w:rsidR="0049703E" w:rsidRPr="006561EC" w:rsidRDefault="0049703E" w:rsidP="006561EC">
      <w:pPr>
        <w:pStyle w:val="Heading3"/>
        <w:rPr>
          <w:rStyle w:val="Characterclear"/>
          <w:sz w:val="28"/>
        </w:rPr>
      </w:pPr>
      <w:r w:rsidRPr="006561EC">
        <w:rPr>
          <w:rStyle w:val="Characterclear"/>
          <w:sz w:val="28"/>
        </w:rPr>
        <w:t xml:space="preserve">Terminology </w:t>
      </w:r>
    </w:p>
    <w:p w14:paraId="0EBE9392" w14:textId="29FF4807" w:rsidR="00FE645D" w:rsidRDefault="00683FAA" w:rsidP="00FE645D">
      <w:pPr>
        <w:pStyle w:val="BodyText"/>
      </w:pPr>
      <w:r>
        <w:t xml:space="preserve">There is a range of different terminology, </w:t>
      </w:r>
      <w:r w:rsidR="000E3A6D">
        <w:t xml:space="preserve">including legal and </w:t>
      </w:r>
      <w:r w:rsidR="000B6E63">
        <w:t>non-legal</w:t>
      </w:r>
      <w:r w:rsidR="000E3A6D">
        <w:t xml:space="preserve"> terminology</w:t>
      </w:r>
      <w:r>
        <w:t xml:space="preserve">, to describe hate in the community. </w:t>
      </w:r>
      <w:r w:rsidR="00FE645D">
        <w:t xml:space="preserve">For the purposes of this submission: </w:t>
      </w:r>
    </w:p>
    <w:p w14:paraId="1952BA73" w14:textId="56B983C7" w:rsidR="00FE645D" w:rsidRDefault="00FE645D" w:rsidP="00FE645D">
      <w:pPr>
        <w:pStyle w:val="ListBullet"/>
      </w:pPr>
      <w:r w:rsidRPr="00965C33">
        <w:rPr>
          <w:rStyle w:val="Characterbold"/>
        </w:rPr>
        <w:t>vilification</w:t>
      </w:r>
      <w:r>
        <w:t xml:space="preserve"> means </w:t>
      </w:r>
      <w:r w:rsidR="00965C33">
        <w:t>prohibited conduct under ss 7 and 8 of the RRTA</w:t>
      </w:r>
    </w:p>
    <w:p w14:paraId="5EAA86FD" w14:textId="28CD46EE" w:rsidR="00965C33" w:rsidRDefault="00FE645D" w:rsidP="00FE645D">
      <w:pPr>
        <w:pStyle w:val="ListBullet"/>
      </w:pPr>
      <w:r w:rsidRPr="00965C33">
        <w:rPr>
          <w:rStyle w:val="Characterbold"/>
        </w:rPr>
        <w:t>serious vilification</w:t>
      </w:r>
      <w:r w:rsidR="00965C33">
        <w:t xml:space="preserve"> means criminal </w:t>
      </w:r>
      <w:r w:rsidR="000F1407">
        <w:t>conduct</w:t>
      </w:r>
      <w:r w:rsidR="00965C33">
        <w:t xml:space="preserve"> under ss 24 and 25 of the RRTA </w:t>
      </w:r>
    </w:p>
    <w:p w14:paraId="48E93110" w14:textId="2D31C98E" w:rsidR="009B2B26" w:rsidRPr="009B2B26" w:rsidRDefault="009B2B26" w:rsidP="00533126">
      <w:pPr>
        <w:pStyle w:val="ListBullet"/>
        <w:rPr>
          <w:rStyle w:val="Characterbold"/>
          <w:b w:val="0"/>
        </w:rPr>
      </w:pPr>
      <w:r w:rsidRPr="009B2B26">
        <w:rPr>
          <w:rStyle w:val="Characterbold"/>
        </w:rPr>
        <w:t>hate speech</w:t>
      </w:r>
      <w:r w:rsidRPr="009B2B26">
        <w:t xml:space="preserve"> means any prejudice-motivated speech (which may not necessarily amount to vilification </w:t>
      </w:r>
      <w:r w:rsidR="006561EC">
        <w:t>under the</w:t>
      </w:r>
      <w:r w:rsidRPr="009B2B26">
        <w:t xml:space="preserve"> RRTA)  </w:t>
      </w:r>
    </w:p>
    <w:p w14:paraId="1149F8F2" w14:textId="6469645D" w:rsidR="00EA13FB" w:rsidRDefault="00965C33" w:rsidP="00FE645D">
      <w:pPr>
        <w:pStyle w:val="ListBullet"/>
      </w:pPr>
      <w:r w:rsidRPr="00683FAA">
        <w:rPr>
          <w:rStyle w:val="Characterbold"/>
        </w:rPr>
        <w:t>hate conduct</w:t>
      </w:r>
      <w:r>
        <w:t xml:space="preserve"> means </w:t>
      </w:r>
      <w:r w:rsidR="009C30FE">
        <w:t>any prejudice-motivated conduct</w:t>
      </w:r>
      <w:r w:rsidR="00E02CB1">
        <w:t xml:space="preserve"> </w:t>
      </w:r>
      <w:r w:rsidR="006561EC">
        <w:t xml:space="preserve">(including </w:t>
      </w:r>
      <w:r w:rsidR="00EA13FB">
        <w:t>hate speech, hate conduct and hate crime)</w:t>
      </w:r>
    </w:p>
    <w:p w14:paraId="5A6D7C39" w14:textId="495E4905" w:rsidR="00FE645D" w:rsidRDefault="00965C33" w:rsidP="00FE645D">
      <w:pPr>
        <w:pStyle w:val="ListBullet"/>
      </w:pPr>
      <w:r w:rsidRPr="00683FAA">
        <w:rPr>
          <w:rStyle w:val="Characterbold"/>
        </w:rPr>
        <w:t>hate crime</w:t>
      </w:r>
      <w:r>
        <w:t xml:space="preserve"> means </w:t>
      </w:r>
      <w:r w:rsidR="00E16849">
        <w:t>any prejudice-motivated crime</w:t>
      </w:r>
      <w:r w:rsidR="004211AF">
        <w:t xml:space="preserve"> (including serious vilification under the RRTA and any other crime </w:t>
      </w:r>
      <w:r w:rsidR="00910C6E">
        <w:t>that is motivated by hate or prejudice</w:t>
      </w:r>
      <w:r w:rsidR="004211AF">
        <w:t>).</w:t>
      </w:r>
    </w:p>
    <w:p w14:paraId="3DB2F2E3" w14:textId="33BF564C" w:rsidR="0049703E" w:rsidRPr="0049703E" w:rsidRDefault="00635472" w:rsidP="004A69C5">
      <w:pPr>
        <w:pStyle w:val="Heading2"/>
      </w:pPr>
      <w:bookmarkStart w:id="9" w:name="_Toc25578832"/>
      <w:bookmarkStart w:id="10" w:name="_Toc31392328"/>
      <w:r>
        <w:t>About the</w:t>
      </w:r>
      <w:r w:rsidR="0049703E" w:rsidRPr="0049703E">
        <w:t xml:space="preserve"> </w:t>
      </w:r>
      <w:bookmarkEnd w:id="9"/>
      <w:r w:rsidR="00000739">
        <w:t>RRTA</w:t>
      </w:r>
      <w:bookmarkEnd w:id="10"/>
      <w:r w:rsidR="00000739">
        <w:t xml:space="preserve"> </w:t>
      </w:r>
      <w:r w:rsidR="002900DF">
        <w:t xml:space="preserve"> </w:t>
      </w:r>
      <w:r w:rsidR="0049703E" w:rsidRPr="0049703E">
        <w:t xml:space="preserve"> </w:t>
      </w:r>
    </w:p>
    <w:p w14:paraId="151CD02D" w14:textId="70AACCFA" w:rsidR="0049703E" w:rsidRPr="0049703E" w:rsidRDefault="002900DF" w:rsidP="00044C54">
      <w:pPr>
        <w:pStyle w:val="Heading3"/>
      </w:pPr>
      <w:r>
        <w:t xml:space="preserve">Overview </w:t>
      </w:r>
    </w:p>
    <w:p w14:paraId="0D6AFC6F" w14:textId="37C1CE60" w:rsidR="0049703E" w:rsidRPr="0049703E" w:rsidRDefault="00252F12" w:rsidP="0049703E">
      <w:pPr>
        <w:pStyle w:val="BodyText"/>
      </w:pPr>
      <w:r>
        <w:t>The RRTA</w:t>
      </w:r>
      <w:r w:rsidR="0049703E" w:rsidRPr="0049703E">
        <w:t xml:space="preserve"> commenced on 1 January 2002. </w:t>
      </w:r>
      <w:r w:rsidR="00FE645D">
        <w:t xml:space="preserve">The Act: </w:t>
      </w:r>
    </w:p>
    <w:p w14:paraId="5C62D6A2" w14:textId="77777777" w:rsidR="0049703E" w:rsidRPr="004A69C5" w:rsidRDefault="0049703E" w:rsidP="004A69C5">
      <w:pPr>
        <w:pStyle w:val="ListBullet"/>
      </w:pPr>
      <w:r w:rsidRPr="004A69C5">
        <w:t xml:space="preserve">prohibits racial vilification (s 7) and religious vilification (s 8) </w:t>
      </w:r>
    </w:p>
    <w:p w14:paraId="56D0FA6A" w14:textId="77777777" w:rsidR="0049703E" w:rsidRPr="004A69C5" w:rsidRDefault="0049703E" w:rsidP="004A69C5">
      <w:pPr>
        <w:pStyle w:val="ListBullet"/>
      </w:pPr>
      <w:r w:rsidRPr="004A69C5">
        <w:t xml:space="preserve">includes exceptions for certain public conduct (s 11) and private conduct (s 12) </w:t>
      </w:r>
    </w:p>
    <w:p w14:paraId="2A238E20" w14:textId="77777777" w:rsidR="0049703E" w:rsidRPr="004A69C5" w:rsidRDefault="0049703E" w:rsidP="004A69C5">
      <w:pPr>
        <w:pStyle w:val="ListBullet"/>
      </w:pPr>
      <w:r w:rsidRPr="004A69C5">
        <w:t>prohibits victimisation (s 13)</w:t>
      </w:r>
    </w:p>
    <w:p w14:paraId="31101E65" w14:textId="77777777" w:rsidR="0049703E" w:rsidRPr="004A69C5" w:rsidRDefault="0049703E" w:rsidP="004A69C5">
      <w:pPr>
        <w:pStyle w:val="ListBullet"/>
      </w:pPr>
      <w:r w:rsidRPr="004A69C5">
        <w:t>prohibits authorising or assisting vilification or victimisation (s 15)</w:t>
      </w:r>
    </w:p>
    <w:p w14:paraId="526AC814" w14:textId="291A73AB" w:rsidR="0049703E" w:rsidRPr="004A69C5" w:rsidRDefault="0049703E" w:rsidP="004A69C5">
      <w:pPr>
        <w:pStyle w:val="ListBullet"/>
      </w:pPr>
      <w:r w:rsidRPr="004A69C5">
        <w:t>makes an employer or principal vicariously liable for the conduct of an employee or agent who breaches the RRTA (subject to an exception that the employer or principal took ‘reasonable precautions</w:t>
      </w:r>
      <w:r w:rsidR="00093181">
        <w:t>’</w:t>
      </w:r>
      <w:r w:rsidRPr="004A69C5">
        <w:t xml:space="preserve"> to prevent the breach) (ss 17 and 18)</w:t>
      </w:r>
    </w:p>
    <w:p w14:paraId="658A9ABA" w14:textId="75BC32C5" w:rsidR="0049703E" w:rsidRPr="004A69C5" w:rsidRDefault="0049703E" w:rsidP="004A69C5">
      <w:pPr>
        <w:pStyle w:val="ListBullet"/>
      </w:pPr>
      <w:r w:rsidRPr="004A69C5">
        <w:t>provides for dispute resolution by the Commission (</w:t>
      </w:r>
      <w:r w:rsidR="00093181">
        <w:t>p</w:t>
      </w:r>
      <w:r w:rsidRPr="004A69C5">
        <w:t>art 3)</w:t>
      </w:r>
    </w:p>
    <w:p w14:paraId="115ECE41" w14:textId="77777777" w:rsidR="0049703E" w:rsidRPr="004A69C5" w:rsidRDefault="0049703E" w:rsidP="004A69C5">
      <w:pPr>
        <w:pStyle w:val="ListBullet"/>
      </w:pPr>
      <w:r w:rsidRPr="004A69C5">
        <w:t>provides for civil remedies for a breach of the RRTA (s 23C)</w:t>
      </w:r>
    </w:p>
    <w:p w14:paraId="7D1B50AD" w14:textId="4938D2BF" w:rsidR="0049703E" w:rsidRPr="004A69C5" w:rsidRDefault="0049703E" w:rsidP="004A69C5">
      <w:pPr>
        <w:pStyle w:val="ListBullet"/>
      </w:pPr>
      <w:r w:rsidRPr="004A69C5">
        <w:t xml:space="preserve">criminalises serious racial </w:t>
      </w:r>
      <w:r w:rsidR="0052697A">
        <w:t xml:space="preserve">vilification (s 24) </w:t>
      </w:r>
      <w:r w:rsidRPr="004A69C5">
        <w:t xml:space="preserve">and </w:t>
      </w:r>
      <w:r w:rsidR="0052697A">
        <w:t xml:space="preserve">serious </w:t>
      </w:r>
      <w:r w:rsidRPr="004A69C5">
        <w:t>religious vilification (s</w:t>
      </w:r>
      <w:r w:rsidR="0052697A">
        <w:t xml:space="preserve"> </w:t>
      </w:r>
      <w:r w:rsidRPr="004A69C5">
        <w:t xml:space="preserve">25). </w:t>
      </w:r>
    </w:p>
    <w:p w14:paraId="1BF2FE7A" w14:textId="11A7A109" w:rsidR="0049703E" w:rsidRDefault="0049703E" w:rsidP="0049703E">
      <w:pPr>
        <w:pStyle w:val="BodyText"/>
      </w:pPr>
      <w:r w:rsidRPr="0049703E">
        <w:t>The Commission’s Victorian Discrimination Law Resource (2nd edition, 2019) includes a detailed overview of the RRTA</w:t>
      </w:r>
      <w:r w:rsidR="008172B0">
        <w:t xml:space="preserve"> and relevant case law.</w:t>
      </w:r>
      <w:r w:rsidR="00FE645D">
        <w:rPr>
          <w:rStyle w:val="EndnoteReference"/>
        </w:rPr>
        <w:endnoteReference w:id="9"/>
      </w:r>
    </w:p>
    <w:p w14:paraId="66D98087" w14:textId="2C30BD64" w:rsidR="00AC328C" w:rsidRDefault="00AC328C" w:rsidP="0049703E">
      <w:pPr>
        <w:pStyle w:val="BodyText"/>
      </w:pPr>
    </w:p>
    <w:p w14:paraId="64DE60AB" w14:textId="77777777" w:rsidR="00AC328C" w:rsidRDefault="00AC328C" w:rsidP="0049703E">
      <w:pPr>
        <w:pStyle w:val="BodyText"/>
      </w:pPr>
    </w:p>
    <w:tbl>
      <w:tblPr>
        <w:tblStyle w:val="CustomTablebreakoutbox"/>
        <w:tblW w:w="0" w:type="auto"/>
        <w:tblLook w:val="04A0" w:firstRow="1" w:lastRow="0" w:firstColumn="1" w:lastColumn="0" w:noHBand="0" w:noVBand="1"/>
      </w:tblPr>
      <w:tblGrid>
        <w:gridCol w:w="9061"/>
      </w:tblGrid>
      <w:tr w:rsidR="0049703E" w:rsidRPr="0049703E" w14:paraId="67D46C00" w14:textId="77777777" w:rsidTr="002F6675">
        <w:tc>
          <w:tcPr>
            <w:tcW w:w="9061" w:type="dxa"/>
          </w:tcPr>
          <w:p w14:paraId="54194B16" w14:textId="77777777" w:rsidR="0049703E" w:rsidRPr="0049703E" w:rsidRDefault="0049703E" w:rsidP="0049703E">
            <w:pPr>
              <w:pStyle w:val="BodyText"/>
              <w:rPr>
                <w:rStyle w:val="Characterbold"/>
              </w:rPr>
            </w:pPr>
            <w:r w:rsidRPr="0049703E">
              <w:rPr>
                <w:rStyle w:val="Characterbold"/>
              </w:rPr>
              <w:lastRenderedPageBreak/>
              <w:t>What does vilification include under the RRTA?</w:t>
            </w:r>
          </w:p>
          <w:p w14:paraId="008C1C7E" w14:textId="48B991A0" w:rsidR="0049703E" w:rsidRPr="0049703E" w:rsidRDefault="0049703E" w:rsidP="0049703E">
            <w:pPr>
              <w:pStyle w:val="BodyText"/>
            </w:pPr>
            <w:r w:rsidRPr="0049703E">
              <w:t>Vilification under the RRTA is any public conduct that incites hatred</w:t>
            </w:r>
            <w:r w:rsidR="004A69C5">
              <w:t xml:space="preserve"> of a person or group of people because of their race or religion</w:t>
            </w:r>
            <w:r w:rsidRPr="0049703E">
              <w:t xml:space="preserve">. This could include verbal abuse, online abuse, publications, statements at a public meeting or rally, graffiti, </w:t>
            </w:r>
            <w:r w:rsidR="00D35EC2">
              <w:t xml:space="preserve">flags, </w:t>
            </w:r>
            <w:r w:rsidRPr="0049703E">
              <w:t xml:space="preserve">flyers, posters or stickers, mocking, property damage, threats or violence. </w:t>
            </w:r>
          </w:p>
          <w:p w14:paraId="3E3DFA85" w14:textId="77777777" w:rsidR="0049703E" w:rsidRDefault="0049703E" w:rsidP="0049703E">
            <w:pPr>
              <w:pStyle w:val="BodyText"/>
            </w:pPr>
            <w:r w:rsidRPr="0049703E">
              <w:t xml:space="preserve">Conduct that may amount to vilification </w:t>
            </w:r>
            <w:r w:rsidR="0013783E">
              <w:t xml:space="preserve">under the RRTA </w:t>
            </w:r>
            <w:r w:rsidRPr="0049703E">
              <w:t>can also be known by names such as racism, Islamophobia, anti-Semitism, harassment</w:t>
            </w:r>
            <w:r w:rsidR="0013783E">
              <w:t xml:space="preserve"> and trolling. </w:t>
            </w:r>
            <w:r w:rsidRPr="0049703E">
              <w:t xml:space="preserve"> </w:t>
            </w:r>
          </w:p>
          <w:p w14:paraId="1A2DBDBB" w14:textId="431ED4E2" w:rsidR="00BD30C7" w:rsidRPr="0049703E" w:rsidRDefault="00BD30C7" w:rsidP="0049703E">
            <w:pPr>
              <w:pStyle w:val="BodyText"/>
            </w:pPr>
            <w:r w:rsidRPr="00BD30C7">
              <w:t xml:space="preserve">Unlike discrimination laws, the RRTA is not limited to conduct in specific areas of public life, such as at work, at school, or in the provision of goods and services. </w:t>
            </w:r>
          </w:p>
        </w:tc>
      </w:tr>
    </w:tbl>
    <w:p w14:paraId="5B4022C3" w14:textId="40E6F547" w:rsidR="0049703E" w:rsidRPr="0049703E" w:rsidRDefault="0049703E" w:rsidP="004A69C5">
      <w:pPr>
        <w:pStyle w:val="Heading3"/>
      </w:pPr>
      <w:r w:rsidRPr="0049703E">
        <w:t>The purpose of the RRTA</w:t>
      </w:r>
    </w:p>
    <w:p w14:paraId="57C48F28" w14:textId="0B8FF789" w:rsidR="00B33859" w:rsidRPr="0049703E" w:rsidRDefault="0049703E" w:rsidP="0049703E">
      <w:pPr>
        <w:pStyle w:val="BodyText"/>
      </w:pPr>
      <w:r w:rsidRPr="0049703E">
        <w:t xml:space="preserve">The RRTA promotes the importance of social cohesion and harmony in Victoria by setting the standards of behaviour expected in </w:t>
      </w:r>
      <w:r w:rsidR="00CF471F">
        <w:t>our</w:t>
      </w:r>
      <w:r w:rsidRPr="0049703E">
        <w:t xml:space="preserve"> culturally diverse community. The RRTA recognises that vilification is contrary to democratic values because it diminishes people’s dignity, self-worth and sense of belonging to the community. It also reduces the ability for people to participate fully and equally in the community. </w:t>
      </w:r>
    </w:p>
    <w:tbl>
      <w:tblPr>
        <w:tblStyle w:val="CustomTablebreakoutbox"/>
        <w:tblW w:w="0" w:type="auto"/>
        <w:tblLook w:val="04A0" w:firstRow="1" w:lastRow="0" w:firstColumn="1" w:lastColumn="0" w:noHBand="0" w:noVBand="1"/>
      </w:tblPr>
      <w:tblGrid>
        <w:gridCol w:w="9061"/>
      </w:tblGrid>
      <w:tr w:rsidR="0049703E" w:rsidRPr="0049703E" w14:paraId="09303F28" w14:textId="77777777" w:rsidTr="002F6675">
        <w:tc>
          <w:tcPr>
            <w:tcW w:w="9061" w:type="dxa"/>
          </w:tcPr>
          <w:p w14:paraId="057B76D6" w14:textId="77777777" w:rsidR="0049703E" w:rsidRPr="0049703E" w:rsidRDefault="0049703E" w:rsidP="0049703E">
            <w:pPr>
              <w:pStyle w:val="BodyText"/>
              <w:rPr>
                <w:rStyle w:val="Characterbold"/>
              </w:rPr>
            </w:pPr>
            <w:r w:rsidRPr="0049703E">
              <w:rPr>
                <w:rStyle w:val="Characterbold"/>
              </w:rPr>
              <w:t>The purposes and objectives of the RRTA</w:t>
            </w:r>
          </w:p>
          <w:p w14:paraId="6C8A9B46" w14:textId="77777777" w:rsidR="0049703E" w:rsidRPr="0049703E" w:rsidRDefault="0049703E" w:rsidP="0049703E">
            <w:pPr>
              <w:pStyle w:val="BodyText"/>
            </w:pPr>
            <w:r w:rsidRPr="0049703E">
              <w:t xml:space="preserve">The purposes of the RRTA (s 1) are to: </w:t>
            </w:r>
          </w:p>
          <w:p w14:paraId="1C73BABA" w14:textId="77777777" w:rsidR="0049703E" w:rsidRPr="0049703E" w:rsidRDefault="0049703E" w:rsidP="00563980">
            <w:pPr>
              <w:pStyle w:val="BodyText"/>
              <w:numPr>
                <w:ilvl w:val="0"/>
                <w:numId w:val="5"/>
              </w:numPr>
            </w:pPr>
            <w:r w:rsidRPr="0049703E">
              <w:t xml:space="preserve">promote racial and religious tolerance by prohibiting certain conduct involving the vilification of persons on the ground or race or religious belief or activity </w:t>
            </w:r>
          </w:p>
          <w:p w14:paraId="1ECF336F" w14:textId="77777777" w:rsidR="0049703E" w:rsidRPr="0049703E" w:rsidRDefault="0049703E" w:rsidP="00563980">
            <w:pPr>
              <w:pStyle w:val="BodyText"/>
              <w:numPr>
                <w:ilvl w:val="0"/>
                <w:numId w:val="5"/>
              </w:numPr>
            </w:pPr>
            <w:r w:rsidRPr="0049703E">
              <w:t>provide a means of redress for the victims or racial religious vilification.</w:t>
            </w:r>
          </w:p>
          <w:p w14:paraId="0DF4F634" w14:textId="77777777" w:rsidR="0049703E" w:rsidRPr="0049703E" w:rsidRDefault="0049703E" w:rsidP="0049703E">
            <w:pPr>
              <w:pStyle w:val="BodyText"/>
            </w:pPr>
            <w:r w:rsidRPr="0049703E">
              <w:t xml:space="preserve">The objectives of the RRTA (s 4) are to: </w:t>
            </w:r>
          </w:p>
          <w:p w14:paraId="0995EA4F" w14:textId="77777777" w:rsidR="0049703E" w:rsidRPr="0049703E" w:rsidRDefault="0049703E" w:rsidP="00563980">
            <w:pPr>
              <w:pStyle w:val="BodyText"/>
              <w:numPr>
                <w:ilvl w:val="0"/>
                <w:numId w:val="5"/>
              </w:numPr>
            </w:pPr>
            <w:r w:rsidRPr="0049703E">
              <w:t>promote the full and equal participation of every person in a society that values freedom of expression and is an open and multicultural democracy</w:t>
            </w:r>
          </w:p>
          <w:p w14:paraId="574A7BC4" w14:textId="77777777" w:rsidR="0049703E" w:rsidRPr="0049703E" w:rsidRDefault="0049703E" w:rsidP="00563980">
            <w:pPr>
              <w:pStyle w:val="BodyText"/>
              <w:numPr>
                <w:ilvl w:val="0"/>
                <w:numId w:val="5"/>
              </w:numPr>
            </w:pPr>
            <w:r w:rsidRPr="0049703E">
              <w:t>maintain the right of all Victorians to engage in robust discussion of any matter of public interest or to engage in, or comment on, any form of artistic expression, discussion of religious issues or academic debate where such discussion, expression, debate or comment does not vilify or marginalise any person or class of persons</w:t>
            </w:r>
          </w:p>
          <w:p w14:paraId="5F7AE857" w14:textId="77777777" w:rsidR="0049703E" w:rsidRPr="0049703E" w:rsidRDefault="0049703E" w:rsidP="00563980">
            <w:pPr>
              <w:pStyle w:val="BodyText"/>
              <w:numPr>
                <w:ilvl w:val="0"/>
                <w:numId w:val="5"/>
              </w:numPr>
            </w:pPr>
            <w:r w:rsidRPr="0049703E">
              <w:t>promote dispute resolution and resolve tensions between persons who (as a result of their ignorance of the attributes of others and the effect that their conduct may have on others) vilify others on the ground of race or religious belief or activity and those who are vilified.</w:t>
            </w:r>
          </w:p>
        </w:tc>
      </w:tr>
    </w:tbl>
    <w:p w14:paraId="1AF38413" w14:textId="1A33E212" w:rsidR="0049703E" w:rsidRPr="0049703E" w:rsidRDefault="0049703E" w:rsidP="004A69C5">
      <w:pPr>
        <w:pStyle w:val="Heading3"/>
      </w:pPr>
      <w:r w:rsidRPr="0049703E">
        <w:t xml:space="preserve">Racial and religious vilification </w:t>
      </w:r>
    </w:p>
    <w:p w14:paraId="0B1E9CA1" w14:textId="12F04E89" w:rsidR="0049703E" w:rsidRPr="0049703E" w:rsidRDefault="0049703E" w:rsidP="0049703E">
      <w:pPr>
        <w:pStyle w:val="BodyText"/>
      </w:pPr>
      <w:r w:rsidRPr="0049703E">
        <w:t>The RRTA prohibits conduct that incites hatred, serious contempt for, revulsion or severe ridicule of a person or group of people because of their race or religion.</w:t>
      </w:r>
    </w:p>
    <w:tbl>
      <w:tblPr>
        <w:tblStyle w:val="CustomTablebreakoutbox"/>
        <w:tblW w:w="0" w:type="auto"/>
        <w:tblLook w:val="04A0" w:firstRow="1" w:lastRow="0" w:firstColumn="1" w:lastColumn="0" w:noHBand="0" w:noVBand="1"/>
      </w:tblPr>
      <w:tblGrid>
        <w:gridCol w:w="9061"/>
      </w:tblGrid>
      <w:tr w:rsidR="0049703E" w:rsidRPr="0049703E" w14:paraId="6CD7BB44" w14:textId="77777777" w:rsidTr="002F6675">
        <w:tc>
          <w:tcPr>
            <w:tcW w:w="9061" w:type="dxa"/>
          </w:tcPr>
          <w:p w14:paraId="306B8A28" w14:textId="77777777" w:rsidR="0049703E" w:rsidRPr="0049703E" w:rsidRDefault="0049703E" w:rsidP="0049703E">
            <w:pPr>
              <w:pStyle w:val="BodyText"/>
              <w:rPr>
                <w:rStyle w:val="Characterbold"/>
              </w:rPr>
            </w:pPr>
            <w:r w:rsidRPr="0049703E">
              <w:rPr>
                <w:rStyle w:val="Characterbold"/>
              </w:rPr>
              <w:t>Racial and religious vilification under the RRTA</w:t>
            </w:r>
          </w:p>
          <w:p w14:paraId="289FE6D1" w14:textId="77777777" w:rsidR="0049703E" w:rsidRPr="0049703E" w:rsidRDefault="0049703E" w:rsidP="0049703E">
            <w:pPr>
              <w:pStyle w:val="BodyText"/>
            </w:pPr>
            <w:r w:rsidRPr="0049703E">
              <w:t xml:space="preserve">Section 7 of the RRTA (racial vilification) states that: </w:t>
            </w:r>
          </w:p>
          <w:p w14:paraId="1966A1F1" w14:textId="03263A08" w:rsidR="0049703E" w:rsidRDefault="0049703E" w:rsidP="00563980">
            <w:pPr>
              <w:pStyle w:val="BodyText"/>
              <w:numPr>
                <w:ilvl w:val="0"/>
                <w:numId w:val="6"/>
              </w:numPr>
            </w:pPr>
            <w:r w:rsidRPr="0049703E">
              <w:t xml:space="preserve">A person must not, on the ground of the race or another person or class of persons, engage in conduct that incites hatred against, serious contempt for, or revulsion or severe ridicule of, that other person or class of persons. </w:t>
            </w:r>
          </w:p>
          <w:p w14:paraId="115F4F01" w14:textId="77777777" w:rsidR="0049703E" w:rsidRPr="0049703E" w:rsidRDefault="0049703E" w:rsidP="00563980">
            <w:pPr>
              <w:pStyle w:val="BodyText"/>
              <w:numPr>
                <w:ilvl w:val="0"/>
                <w:numId w:val="6"/>
              </w:numPr>
            </w:pPr>
            <w:r w:rsidRPr="0049703E">
              <w:lastRenderedPageBreak/>
              <w:t xml:space="preserve">For the purposes of subsection (1), conduct: </w:t>
            </w:r>
          </w:p>
          <w:p w14:paraId="10669289" w14:textId="77777777" w:rsidR="0049703E" w:rsidRPr="0049703E" w:rsidRDefault="0049703E" w:rsidP="00FC72B7">
            <w:pPr>
              <w:pStyle w:val="ListBullet"/>
            </w:pPr>
            <w:r w:rsidRPr="0049703E">
              <w:t>may be constituted by a single occasion or by a number of occasions over a period of time</w:t>
            </w:r>
          </w:p>
          <w:p w14:paraId="4A105BF3" w14:textId="77777777" w:rsidR="0049703E" w:rsidRPr="0049703E" w:rsidRDefault="0049703E" w:rsidP="00FC72B7">
            <w:pPr>
              <w:pStyle w:val="ListBullet"/>
            </w:pPr>
            <w:r w:rsidRPr="0049703E">
              <w:t xml:space="preserve">may occur in or outside Victoria. </w:t>
            </w:r>
          </w:p>
          <w:p w14:paraId="70A44C5F" w14:textId="77777777" w:rsidR="0049703E" w:rsidRPr="0049703E" w:rsidRDefault="0049703E" w:rsidP="0049703E">
            <w:pPr>
              <w:pStyle w:val="BodyText"/>
            </w:pPr>
            <w:r w:rsidRPr="0049703E">
              <w:t>Note: ‘Engage in conduct’ includes use of the internet or email to publish or transmit statements or other material.</w:t>
            </w:r>
          </w:p>
          <w:p w14:paraId="6A12C335" w14:textId="47CE420C" w:rsidR="0049703E" w:rsidRPr="0049703E" w:rsidRDefault="0049703E" w:rsidP="0049703E">
            <w:pPr>
              <w:pStyle w:val="BodyText"/>
            </w:pPr>
            <w:r w:rsidRPr="0049703E">
              <w:t xml:space="preserve">Section 8 of the RRTA (religious vilification) is drafted in the same terms as section 7, except that s 8(1) refers to ‘religious belief or activity’ instead of ‘race’. </w:t>
            </w:r>
          </w:p>
        </w:tc>
      </w:tr>
    </w:tbl>
    <w:p w14:paraId="10E4EA92" w14:textId="3D61906B" w:rsidR="001F4D1B" w:rsidRDefault="00A35550" w:rsidP="00B76615">
      <w:pPr>
        <w:pStyle w:val="BodyText"/>
        <w:rPr>
          <w:rStyle w:val="Characterbold"/>
        </w:rPr>
      </w:pPr>
      <w:r>
        <w:rPr>
          <w:rStyle w:val="Characterbold"/>
        </w:rPr>
        <w:lastRenderedPageBreak/>
        <w:t xml:space="preserve">International law </w:t>
      </w:r>
    </w:p>
    <w:p w14:paraId="3AA73381" w14:textId="5FE1878F" w:rsidR="002D7366" w:rsidRDefault="002D7366" w:rsidP="003917E8">
      <w:pPr>
        <w:pStyle w:val="BodyText"/>
        <w:rPr>
          <w:rStyle w:val="Characterclear"/>
        </w:rPr>
      </w:pPr>
      <w:r>
        <w:rPr>
          <w:rStyle w:val="Characterclear"/>
        </w:rPr>
        <w:t>Legal protections against</w:t>
      </w:r>
      <w:r w:rsidR="004C7D04">
        <w:rPr>
          <w:rStyle w:val="Characterclear"/>
        </w:rPr>
        <w:t xml:space="preserve"> racial and religious</w:t>
      </w:r>
      <w:r>
        <w:rPr>
          <w:rStyle w:val="Characterclear"/>
        </w:rPr>
        <w:t xml:space="preserve"> vilification are founded in </w:t>
      </w:r>
      <w:r w:rsidR="00E81BDB">
        <w:rPr>
          <w:rStyle w:val="Characterclear"/>
        </w:rPr>
        <w:t>Australia’s obligations under international law</w:t>
      </w:r>
      <w:r w:rsidR="00742728">
        <w:rPr>
          <w:rStyle w:val="Characterclear"/>
        </w:rPr>
        <w:t xml:space="preserve">, including the </w:t>
      </w:r>
      <w:r w:rsidR="00742728" w:rsidRPr="00742728">
        <w:rPr>
          <w:rStyle w:val="Characterclear"/>
        </w:rPr>
        <w:t>International Covenant on Civil and Political Rights (ICCPR)</w:t>
      </w:r>
      <w:r w:rsidR="00742728">
        <w:rPr>
          <w:rStyle w:val="Characterclear"/>
        </w:rPr>
        <w:t xml:space="preserve"> and the </w:t>
      </w:r>
      <w:r w:rsidR="00742728" w:rsidRPr="00742728">
        <w:rPr>
          <w:rStyle w:val="Characterclear"/>
        </w:rPr>
        <w:t>International Convention on the Elimination of All Forms of Racial Discrimination (ICERD)</w:t>
      </w:r>
      <w:r w:rsidR="00742728">
        <w:rPr>
          <w:rStyle w:val="Characterclear"/>
        </w:rPr>
        <w:t>.</w:t>
      </w:r>
      <w:r w:rsidR="00ED7C30">
        <w:rPr>
          <w:rStyle w:val="Characterclear"/>
        </w:rPr>
        <w:t xml:space="preserve"> In particular: </w:t>
      </w:r>
    </w:p>
    <w:p w14:paraId="1AD6D141" w14:textId="066B2849" w:rsidR="0050426D" w:rsidRPr="004C7D04" w:rsidRDefault="00A83431" w:rsidP="00ED7C30">
      <w:pPr>
        <w:pStyle w:val="ListBullet"/>
      </w:pPr>
      <w:r w:rsidRPr="004C7D04">
        <w:t xml:space="preserve">Article 20(2) of the </w:t>
      </w:r>
      <w:r w:rsidR="00742728" w:rsidRPr="004C7D04">
        <w:t xml:space="preserve">ICCPR </w:t>
      </w:r>
      <w:r w:rsidR="00536BF0" w:rsidRPr="004C7D04">
        <w:t>provides that</w:t>
      </w:r>
      <w:r w:rsidR="003917E8" w:rsidRPr="004C7D04">
        <w:t xml:space="preserve"> ‘a</w:t>
      </w:r>
      <w:r w:rsidR="009B6AA4" w:rsidRPr="004C7D04">
        <w:t>ny advocacy of national, racial or religious hatred that constitutes incitement to discrimination, hostility or violence shall be prohibited by law</w:t>
      </w:r>
      <w:r w:rsidR="003917E8" w:rsidRPr="004C7D04">
        <w:t>’</w:t>
      </w:r>
      <w:r w:rsidR="0050426D" w:rsidRPr="004C7D04">
        <w:t xml:space="preserve">. </w:t>
      </w:r>
    </w:p>
    <w:p w14:paraId="27BBF73B" w14:textId="1EFF3DE9" w:rsidR="00AD2684" w:rsidRPr="00AD2684" w:rsidRDefault="0050426D" w:rsidP="00ED7C30">
      <w:pPr>
        <w:pStyle w:val="ListBullet"/>
      </w:pPr>
      <w:r>
        <w:rPr>
          <w:rStyle w:val="Characterclear"/>
        </w:rPr>
        <w:t xml:space="preserve">Article 4(a) </w:t>
      </w:r>
      <w:r w:rsidR="007E4C51">
        <w:rPr>
          <w:rStyle w:val="Characterclear"/>
        </w:rPr>
        <w:t>o</w:t>
      </w:r>
      <w:r>
        <w:rPr>
          <w:rStyle w:val="Characterclear"/>
        </w:rPr>
        <w:t xml:space="preserve">f the </w:t>
      </w:r>
      <w:r w:rsidR="00742728">
        <w:rPr>
          <w:rStyle w:val="Characterclear"/>
        </w:rPr>
        <w:t xml:space="preserve">ICERD </w:t>
      </w:r>
      <w:r w:rsidR="00AD2684">
        <w:rPr>
          <w:rStyle w:val="Characterclear"/>
        </w:rPr>
        <w:t>requires</w:t>
      </w:r>
      <w:r w:rsidR="00A81497">
        <w:rPr>
          <w:rStyle w:val="Characterclear"/>
        </w:rPr>
        <w:t xml:space="preserve"> S</w:t>
      </w:r>
      <w:r w:rsidR="00ED7C30">
        <w:rPr>
          <w:rStyle w:val="Characterclear"/>
        </w:rPr>
        <w:t xml:space="preserve">tate </w:t>
      </w:r>
      <w:r w:rsidR="00AD2684">
        <w:rPr>
          <w:rStyle w:val="Characterclear"/>
        </w:rPr>
        <w:t>parties to ‘</w:t>
      </w:r>
      <w:r w:rsidR="00AD2684" w:rsidRPr="00AD2684">
        <w:t>declare an offence punishable by law all dissemination of ideas based on racial superiority or hatred, incitement to racial discrimination, as well as all acts of violence or incitement to such acts against any race or group of persons of another colour or ethnic origin</w:t>
      </w:r>
      <w:r w:rsidR="00742728">
        <w:t>’.</w:t>
      </w:r>
    </w:p>
    <w:p w14:paraId="4678A923" w14:textId="160A4BC9" w:rsidR="0050426D" w:rsidRDefault="00283E4A" w:rsidP="00ED7C30">
      <w:pPr>
        <w:pStyle w:val="BodyText"/>
        <w:rPr>
          <w:rStyle w:val="Characterclear"/>
        </w:rPr>
      </w:pPr>
      <w:r>
        <w:rPr>
          <w:rStyle w:val="Characterclear"/>
        </w:rPr>
        <w:t>The UN Committee on the Elimination of Racial Discrimination has</w:t>
      </w:r>
      <w:r w:rsidR="00F2205C">
        <w:rPr>
          <w:rStyle w:val="Characterclear"/>
        </w:rPr>
        <w:t xml:space="preserve"> commented that </w:t>
      </w:r>
      <w:r w:rsidR="007E5A93">
        <w:rPr>
          <w:rStyle w:val="Characterclear"/>
        </w:rPr>
        <w:t>a</w:t>
      </w:r>
      <w:r w:rsidR="00705DFA">
        <w:rPr>
          <w:rStyle w:val="Characterclear"/>
        </w:rPr>
        <w:t xml:space="preserve">rticle 4(a) of the ICERD requires States to take actions to prohibit: </w:t>
      </w:r>
    </w:p>
    <w:p w14:paraId="630E59FE" w14:textId="7A60EED2" w:rsidR="00705DFA" w:rsidRDefault="00705DFA" w:rsidP="00705DFA">
      <w:pPr>
        <w:pStyle w:val="ListBullet"/>
        <w:rPr>
          <w:rStyle w:val="Characterclear"/>
        </w:rPr>
      </w:pPr>
      <w:r>
        <w:rPr>
          <w:rStyle w:val="Characterclear"/>
        </w:rPr>
        <w:t xml:space="preserve">dissemination of ideas based upon racial superiority or hatred </w:t>
      </w:r>
    </w:p>
    <w:p w14:paraId="6CED4143" w14:textId="6D7016EE" w:rsidR="00705DFA" w:rsidRDefault="00F2205C" w:rsidP="00705DFA">
      <w:pPr>
        <w:pStyle w:val="ListBullet"/>
        <w:rPr>
          <w:rStyle w:val="Characterclear"/>
        </w:rPr>
      </w:pPr>
      <w:r>
        <w:rPr>
          <w:rStyle w:val="Characterclear"/>
        </w:rPr>
        <w:t>incitement to hatred, contempt or discrimination against members of a group on grounds of their race, colour, descent or national or ethnic origin</w:t>
      </w:r>
    </w:p>
    <w:p w14:paraId="002C9AE1" w14:textId="2B30435E" w:rsidR="00F2205C" w:rsidRDefault="00F2205C" w:rsidP="00705DFA">
      <w:pPr>
        <w:pStyle w:val="ListBullet"/>
        <w:rPr>
          <w:rStyle w:val="Characterclear"/>
        </w:rPr>
      </w:pPr>
      <w:r>
        <w:rPr>
          <w:rStyle w:val="Characterclear"/>
        </w:rPr>
        <w:t xml:space="preserve">threats or incitement to violence against persons or </w:t>
      </w:r>
      <w:r w:rsidR="00B34B22">
        <w:rPr>
          <w:rStyle w:val="Characterclear"/>
        </w:rPr>
        <w:t>groups</w:t>
      </w:r>
      <w:r>
        <w:rPr>
          <w:rStyle w:val="Characterclear"/>
        </w:rPr>
        <w:t xml:space="preserve"> </w:t>
      </w:r>
    </w:p>
    <w:p w14:paraId="73984493" w14:textId="49DF6D74" w:rsidR="00B34B22" w:rsidRDefault="00B34B22" w:rsidP="00705DFA">
      <w:pPr>
        <w:pStyle w:val="ListBullet"/>
        <w:rPr>
          <w:rStyle w:val="Characterclear"/>
        </w:rPr>
      </w:pPr>
      <w:r>
        <w:rPr>
          <w:rStyle w:val="Characterclear"/>
        </w:rPr>
        <w:t xml:space="preserve">expression of insults, ridicule or slander of persons or groups or justification of hatred, contempt or discrimination, when it clearly amounts to incitement to hatred or discrimination </w:t>
      </w:r>
    </w:p>
    <w:p w14:paraId="1B76D8BB" w14:textId="48B0EFA9" w:rsidR="00B34B22" w:rsidRDefault="00B34B22" w:rsidP="00705DFA">
      <w:pPr>
        <w:pStyle w:val="ListBullet"/>
        <w:rPr>
          <w:rStyle w:val="Characterclear"/>
        </w:rPr>
      </w:pPr>
      <w:r>
        <w:rPr>
          <w:rStyle w:val="Characterclear"/>
        </w:rPr>
        <w:t>participation in organisations and activities which promote and incite racial discrimination.</w:t>
      </w:r>
      <w:r w:rsidR="000C0580">
        <w:rPr>
          <w:rStyle w:val="EndnoteReference"/>
          <w:lang w:eastAsia="en-AU"/>
        </w:rPr>
        <w:endnoteReference w:id="10"/>
      </w:r>
    </w:p>
    <w:p w14:paraId="3DB39569" w14:textId="08718968" w:rsidR="008D726D" w:rsidRDefault="00443847" w:rsidP="007E5A93">
      <w:pPr>
        <w:pStyle w:val="BodyText"/>
        <w:rPr>
          <w:rStyle w:val="Characterclear"/>
        </w:rPr>
      </w:pPr>
      <w:bookmarkStart w:id="11" w:name="_Hlk31362973"/>
      <w:r>
        <w:rPr>
          <w:rStyle w:val="Characterclear"/>
        </w:rPr>
        <w:t xml:space="preserve">Significantly, Australia has </w:t>
      </w:r>
      <w:r w:rsidR="00B77E37">
        <w:rPr>
          <w:rStyle w:val="Characterclear"/>
        </w:rPr>
        <w:t xml:space="preserve">made </w:t>
      </w:r>
      <w:r>
        <w:rPr>
          <w:rStyle w:val="Characterclear"/>
        </w:rPr>
        <w:t xml:space="preserve">a reservation to </w:t>
      </w:r>
      <w:r w:rsidR="00AC328C">
        <w:rPr>
          <w:rStyle w:val="Characterclear"/>
        </w:rPr>
        <w:t>A</w:t>
      </w:r>
      <w:r>
        <w:rPr>
          <w:rStyle w:val="Characterclear"/>
        </w:rPr>
        <w:t xml:space="preserve">rticle 20(2) of the ICCPR and </w:t>
      </w:r>
      <w:r w:rsidR="00AC328C">
        <w:rPr>
          <w:rStyle w:val="Characterclear"/>
        </w:rPr>
        <w:t>A</w:t>
      </w:r>
      <w:r>
        <w:rPr>
          <w:rStyle w:val="Characterclear"/>
        </w:rPr>
        <w:t xml:space="preserve">rticle 4(a) of the ICERD </w:t>
      </w:r>
      <w:r w:rsidR="00E159CE">
        <w:rPr>
          <w:rStyle w:val="Characterclear"/>
        </w:rPr>
        <w:t>to</w:t>
      </w:r>
      <w:r w:rsidR="00B77E37">
        <w:rPr>
          <w:rStyle w:val="Characterclear"/>
        </w:rPr>
        <w:t xml:space="preserve"> the effect </w:t>
      </w:r>
      <w:r w:rsidR="006972C5">
        <w:rPr>
          <w:rStyle w:val="Characterclear"/>
        </w:rPr>
        <w:t xml:space="preserve">that existing state and federal legislation is regarded as </w:t>
      </w:r>
      <w:r w:rsidR="00B0219B">
        <w:rPr>
          <w:rStyle w:val="Characterclear"/>
        </w:rPr>
        <w:t>adequate,</w:t>
      </w:r>
      <w:r w:rsidR="006972C5">
        <w:rPr>
          <w:rStyle w:val="Characterclear"/>
        </w:rPr>
        <w:t xml:space="preserve"> and that Australia reserves the right not to introduce further </w:t>
      </w:r>
      <w:r w:rsidR="00DA44B6">
        <w:rPr>
          <w:rStyle w:val="Characterclear"/>
        </w:rPr>
        <w:t xml:space="preserve">laws </w:t>
      </w:r>
      <w:r w:rsidR="00DA44B6" w:rsidRPr="006C59CA">
        <w:rPr>
          <w:rStyle w:val="Characterclear"/>
        </w:rPr>
        <w:t xml:space="preserve">against </w:t>
      </w:r>
      <w:r w:rsidR="00931216" w:rsidRPr="006C59CA">
        <w:rPr>
          <w:rStyle w:val="Characterclear"/>
        </w:rPr>
        <w:t>hate</w:t>
      </w:r>
      <w:r w:rsidR="00931216">
        <w:rPr>
          <w:rStyle w:val="Characterclear"/>
        </w:rPr>
        <w:t xml:space="preserve"> conduct</w:t>
      </w:r>
      <w:r w:rsidR="00B925AA">
        <w:rPr>
          <w:rStyle w:val="Characterclear"/>
        </w:rPr>
        <w:t xml:space="preserve">. </w:t>
      </w:r>
    </w:p>
    <w:bookmarkEnd w:id="11"/>
    <w:p w14:paraId="47BA4F76" w14:textId="5CE9F0F6" w:rsidR="00FA6BF1" w:rsidRDefault="00FA6BF1" w:rsidP="00FA6BF1">
      <w:pPr>
        <w:pStyle w:val="BodyText"/>
        <w:rPr>
          <w:rStyle w:val="Characterbold"/>
        </w:rPr>
      </w:pPr>
      <w:r>
        <w:rPr>
          <w:rStyle w:val="Characterbold"/>
        </w:rPr>
        <w:t xml:space="preserve">Comparative civil laws </w:t>
      </w:r>
    </w:p>
    <w:p w14:paraId="04D0C84A" w14:textId="27103F4B" w:rsidR="00FA6BF1" w:rsidRPr="00FA6BF1" w:rsidRDefault="00955D35" w:rsidP="00FA6BF1">
      <w:pPr>
        <w:pStyle w:val="BodyText"/>
        <w:rPr>
          <w:rStyle w:val="Characterclear"/>
        </w:rPr>
      </w:pPr>
      <w:r>
        <w:rPr>
          <w:rStyle w:val="Characterclear"/>
        </w:rPr>
        <w:t>Civil l</w:t>
      </w:r>
      <w:r w:rsidR="00FA6BF1" w:rsidRPr="00FA6BF1">
        <w:rPr>
          <w:rStyle w:val="Characterclear"/>
        </w:rPr>
        <w:t>aws t</w:t>
      </w:r>
      <w:r>
        <w:rPr>
          <w:rStyle w:val="Characterclear"/>
        </w:rPr>
        <w:t xml:space="preserve">o </w:t>
      </w:r>
      <w:r w:rsidR="00FA6BF1" w:rsidRPr="00FA6BF1">
        <w:rPr>
          <w:rStyle w:val="Characterclear"/>
        </w:rPr>
        <w:t xml:space="preserve">regulate hate conduct in </w:t>
      </w:r>
      <w:r>
        <w:rPr>
          <w:rStyle w:val="Characterclear"/>
        </w:rPr>
        <w:t>Australia</w:t>
      </w:r>
      <w:r w:rsidR="00FA6BF1" w:rsidRPr="00FA6BF1">
        <w:rPr>
          <w:rStyle w:val="Characterclear"/>
        </w:rPr>
        <w:t xml:space="preserve"> include</w:t>
      </w:r>
      <w:r>
        <w:rPr>
          <w:rStyle w:val="Characterclear"/>
        </w:rPr>
        <w:t xml:space="preserve"> laws that prohibit:</w:t>
      </w:r>
    </w:p>
    <w:p w14:paraId="58A066E5" w14:textId="3F047826" w:rsidR="00FA6BF1" w:rsidRPr="00FA6BF1" w:rsidRDefault="00FA6BF1" w:rsidP="00C67716">
      <w:pPr>
        <w:pStyle w:val="ListNumber"/>
        <w:numPr>
          <w:ilvl w:val="0"/>
          <w:numId w:val="38"/>
        </w:numPr>
        <w:rPr>
          <w:rStyle w:val="Characterclear"/>
        </w:rPr>
      </w:pPr>
      <w:r w:rsidRPr="00FA6BF1">
        <w:rPr>
          <w:rStyle w:val="Characterclear"/>
        </w:rPr>
        <w:t xml:space="preserve">the incitement of </w:t>
      </w:r>
      <w:r w:rsidR="004E05A9">
        <w:rPr>
          <w:rStyle w:val="Characterclear"/>
        </w:rPr>
        <w:t xml:space="preserve">serious </w:t>
      </w:r>
      <w:r w:rsidRPr="00FA6BF1">
        <w:rPr>
          <w:rStyle w:val="Characterclear"/>
        </w:rPr>
        <w:t xml:space="preserve">negative emotions in a third party </w:t>
      </w:r>
      <w:r w:rsidR="00AF687B">
        <w:rPr>
          <w:rStyle w:val="Characterclear"/>
        </w:rPr>
        <w:t>(incitement laws)</w:t>
      </w:r>
    </w:p>
    <w:p w14:paraId="1C9838E2" w14:textId="657D58BA" w:rsidR="00FA6BF1" w:rsidRPr="00FA6BF1" w:rsidRDefault="00FA6BF1" w:rsidP="00563980">
      <w:pPr>
        <w:pStyle w:val="ListNumber"/>
        <w:numPr>
          <w:ilvl w:val="0"/>
          <w:numId w:val="4"/>
        </w:numPr>
        <w:rPr>
          <w:rStyle w:val="Characterclear"/>
        </w:rPr>
      </w:pPr>
      <w:r w:rsidRPr="00FA6BF1">
        <w:rPr>
          <w:rStyle w:val="Characterclear"/>
        </w:rPr>
        <w:t>conduct that offends, insults, humiliates or intimidates</w:t>
      </w:r>
      <w:r w:rsidR="00AF687B">
        <w:rPr>
          <w:rStyle w:val="Characterclear"/>
        </w:rPr>
        <w:t xml:space="preserve"> (harm-based laws)</w:t>
      </w:r>
    </w:p>
    <w:p w14:paraId="16CAF9D7" w14:textId="155B7409" w:rsidR="00FA6BF1" w:rsidRDefault="00FA6BF1" w:rsidP="00563980">
      <w:pPr>
        <w:pStyle w:val="ListNumber"/>
        <w:numPr>
          <w:ilvl w:val="0"/>
          <w:numId w:val="4"/>
        </w:numPr>
        <w:rPr>
          <w:rStyle w:val="Characterclear"/>
        </w:rPr>
      </w:pPr>
      <w:r w:rsidRPr="00FA6BF1">
        <w:rPr>
          <w:rStyle w:val="Characterclear"/>
        </w:rPr>
        <w:t>racial harassment in specified areas of public life</w:t>
      </w:r>
      <w:r w:rsidR="00AF687B">
        <w:rPr>
          <w:rStyle w:val="Characterclear"/>
        </w:rPr>
        <w:t xml:space="preserve"> (</w:t>
      </w:r>
      <w:r w:rsidR="00000D30">
        <w:rPr>
          <w:rStyle w:val="Characterclear"/>
        </w:rPr>
        <w:t>harassment</w:t>
      </w:r>
      <w:r w:rsidR="00AF687B">
        <w:rPr>
          <w:rStyle w:val="Characterclear"/>
        </w:rPr>
        <w:t xml:space="preserve"> laws). </w:t>
      </w:r>
    </w:p>
    <w:p w14:paraId="707F2940" w14:textId="2E48AE66" w:rsidR="007A264C" w:rsidRDefault="007A264C" w:rsidP="007A264C">
      <w:pPr>
        <w:pStyle w:val="ListNumber"/>
        <w:tabs>
          <w:tab w:val="clear" w:pos="360"/>
        </w:tabs>
        <w:rPr>
          <w:rStyle w:val="Characterclear"/>
        </w:rPr>
      </w:pPr>
    </w:p>
    <w:p w14:paraId="35574DE1" w14:textId="7AAFBE2E" w:rsidR="007A264C" w:rsidRDefault="007A264C" w:rsidP="007A264C">
      <w:pPr>
        <w:pStyle w:val="ListNumber"/>
        <w:tabs>
          <w:tab w:val="clear" w:pos="360"/>
        </w:tabs>
        <w:rPr>
          <w:rStyle w:val="Characterclear"/>
        </w:rPr>
      </w:pPr>
    </w:p>
    <w:p w14:paraId="431FE0A6" w14:textId="77777777" w:rsidR="007A264C" w:rsidRPr="00FA6BF1" w:rsidRDefault="007A264C" w:rsidP="007A264C">
      <w:pPr>
        <w:pStyle w:val="ListNumber"/>
        <w:tabs>
          <w:tab w:val="clear" w:pos="360"/>
        </w:tabs>
        <w:rPr>
          <w:rStyle w:val="Characterclear"/>
        </w:rPr>
      </w:pPr>
    </w:p>
    <w:tbl>
      <w:tblPr>
        <w:tblStyle w:val="CustomTablebasic"/>
        <w:tblW w:w="0" w:type="auto"/>
        <w:tblLayout w:type="fixed"/>
        <w:tblLook w:val="04A0" w:firstRow="1" w:lastRow="0" w:firstColumn="1" w:lastColumn="0" w:noHBand="0" w:noVBand="1"/>
      </w:tblPr>
      <w:tblGrid>
        <w:gridCol w:w="2410"/>
        <w:gridCol w:w="992"/>
        <w:gridCol w:w="5669"/>
      </w:tblGrid>
      <w:tr w:rsidR="00FA6BF1" w:rsidRPr="0049703E" w14:paraId="3FEF54A2" w14:textId="77777777" w:rsidTr="00345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300599B8" w14:textId="59215F7D" w:rsidR="00FA6BF1" w:rsidRPr="003458F0" w:rsidRDefault="00866990" w:rsidP="00FA6BF1">
            <w:pPr>
              <w:pStyle w:val="BodyText"/>
              <w:rPr>
                <w:rStyle w:val="Characterclear"/>
              </w:rPr>
            </w:pPr>
            <w:r w:rsidRPr="003458F0">
              <w:rPr>
                <w:rStyle w:val="Characterclear"/>
              </w:rPr>
              <w:lastRenderedPageBreak/>
              <w:t>Incitement</w:t>
            </w:r>
            <w:r w:rsidR="004E05A9" w:rsidRPr="003458F0">
              <w:rPr>
                <w:rStyle w:val="Characterclear"/>
              </w:rPr>
              <w:t xml:space="preserve"> laws </w:t>
            </w:r>
          </w:p>
        </w:tc>
        <w:tc>
          <w:tcPr>
            <w:tcW w:w="992" w:type="dxa"/>
          </w:tcPr>
          <w:p w14:paraId="61E6F937" w14:textId="3E5BB6C0" w:rsidR="00FA6BF1" w:rsidRPr="00FA6BF1" w:rsidRDefault="004C23EE" w:rsidP="00FA6BF1">
            <w:pPr>
              <w:pStyle w:val="BodyText"/>
              <w:cnfStyle w:val="100000000000" w:firstRow="1" w:lastRow="0" w:firstColumn="0" w:lastColumn="0" w:oddVBand="0" w:evenVBand="0" w:oddHBand="0" w:evenHBand="0" w:firstRowFirstColumn="0" w:firstRowLastColumn="0" w:lastRowFirstColumn="0" w:lastRowLastColumn="0"/>
            </w:pPr>
            <w:r>
              <w:t>VIC</w:t>
            </w:r>
          </w:p>
        </w:tc>
        <w:tc>
          <w:tcPr>
            <w:tcW w:w="5669" w:type="dxa"/>
          </w:tcPr>
          <w:p w14:paraId="74F396DB" w14:textId="2FC00A55" w:rsidR="00FA6BF1" w:rsidRPr="00FA6BF1" w:rsidRDefault="004C23EE" w:rsidP="00FA6BF1">
            <w:pPr>
              <w:pStyle w:val="BodyText"/>
              <w:cnfStyle w:val="100000000000" w:firstRow="1" w:lastRow="0" w:firstColumn="0" w:lastColumn="0" w:oddVBand="0" w:evenVBand="0" w:oddHBand="0" w:evenHBand="0" w:firstRowFirstColumn="0" w:firstRowLastColumn="0" w:lastRowFirstColumn="0" w:lastRowLastColumn="0"/>
              <w:rPr>
                <w:rStyle w:val="Characterclear"/>
              </w:rPr>
            </w:pPr>
            <w:r>
              <w:rPr>
                <w:rStyle w:val="Characteritalic"/>
              </w:rPr>
              <w:t xml:space="preserve">Racial and Religious Tolerance Act 2001 </w:t>
            </w:r>
            <w:r>
              <w:rPr>
                <w:rStyle w:val="Characterclear"/>
              </w:rPr>
              <w:t>(Vic), s</w:t>
            </w:r>
            <w:r w:rsidR="00591827">
              <w:rPr>
                <w:rStyle w:val="Characterclear"/>
              </w:rPr>
              <w:t>s 7 and 8</w:t>
            </w:r>
          </w:p>
        </w:tc>
      </w:tr>
      <w:tr w:rsidR="004C23EE" w:rsidRPr="0049703E" w14:paraId="59EB4858"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tcPr>
          <w:p w14:paraId="0E38E30E" w14:textId="77777777" w:rsidR="004C23EE" w:rsidRPr="004C23EE" w:rsidRDefault="004C23EE" w:rsidP="004C23EE">
            <w:pPr>
              <w:pStyle w:val="BodyText"/>
              <w:rPr>
                <w:rStyle w:val="Characterclear"/>
              </w:rPr>
            </w:pPr>
          </w:p>
        </w:tc>
        <w:tc>
          <w:tcPr>
            <w:tcW w:w="992" w:type="dxa"/>
          </w:tcPr>
          <w:p w14:paraId="376B46B6" w14:textId="3599B278" w:rsidR="004C23EE" w:rsidRPr="004C23EE" w:rsidRDefault="004C23EE" w:rsidP="004C23EE">
            <w:pPr>
              <w:pStyle w:val="BodyText"/>
              <w:cnfStyle w:val="000000000000" w:firstRow="0" w:lastRow="0" w:firstColumn="0" w:lastColumn="0" w:oddVBand="0" w:evenVBand="0" w:oddHBand="0" w:evenHBand="0" w:firstRowFirstColumn="0" w:firstRowLastColumn="0" w:lastRowFirstColumn="0" w:lastRowLastColumn="0"/>
            </w:pPr>
            <w:r w:rsidRPr="004C23EE">
              <w:t>NSW</w:t>
            </w:r>
          </w:p>
        </w:tc>
        <w:tc>
          <w:tcPr>
            <w:tcW w:w="5669" w:type="dxa"/>
          </w:tcPr>
          <w:p w14:paraId="2984778E" w14:textId="64607AA3" w:rsidR="004C23EE" w:rsidRPr="004C23EE" w:rsidRDefault="004C23EE" w:rsidP="004C23EE">
            <w:pPr>
              <w:pStyle w:val="BodyText"/>
              <w:cnfStyle w:val="000000000000" w:firstRow="0" w:lastRow="0" w:firstColumn="0" w:lastColumn="0" w:oddVBand="0" w:evenVBand="0" w:oddHBand="0" w:evenHBand="0" w:firstRowFirstColumn="0" w:firstRowLastColumn="0" w:lastRowFirstColumn="0" w:lastRowLastColumn="0"/>
              <w:rPr>
                <w:rStyle w:val="Characteritalic"/>
              </w:rPr>
            </w:pPr>
            <w:r w:rsidRPr="004C23EE">
              <w:rPr>
                <w:rStyle w:val="Characteritalic"/>
              </w:rPr>
              <w:t xml:space="preserve">Anti-Discrimination Act 1977 </w:t>
            </w:r>
            <w:r w:rsidRPr="004C23EE">
              <w:rPr>
                <w:rStyle w:val="Characterclear"/>
              </w:rPr>
              <w:t>(NSW) ss 20C, 38S, 49ZT and 49ZXB</w:t>
            </w:r>
          </w:p>
        </w:tc>
      </w:tr>
      <w:tr w:rsidR="00FA6BF1" w:rsidRPr="0049703E" w14:paraId="6C8290E1"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tcPr>
          <w:p w14:paraId="5B8E951B" w14:textId="77777777" w:rsidR="00FA6BF1" w:rsidRPr="00FA6BF1" w:rsidRDefault="00FA6BF1" w:rsidP="00FA6BF1">
            <w:pPr>
              <w:pStyle w:val="BodyText"/>
            </w:pPr>
          </w:p>
        </w:tc>
        <w:tc>
          <w:tcPr>
            <w:tcW w:w="992" w:type="dxa"/>
          </w:tcPr>
          <w:p w14:paraId="07FB06E0"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QLD</w:t>
            </w:r>
          </w:p>
        </w:tc>
        <w:tc>
          <w:tcPr>
            <w:tcW w:w="5669" w:type="dxa"/>
          </w:tcPr>
          <w:p w14:paraId="44437F97" w14:textId="080C4E56"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FA6BF1">
              <w:rPr>
                <w:rStyle w:val="Characteritalic"/>
              </w:rPr>
              <w:t xml:space="preserve">Anti-Discrimination Act 1991 </w:t>
            </w:r>
            <w:r w:rsidRPr="00FA6BF1">
              <w:rPr>
                <w:rStyle w:val="Characterclear"/>
              </w:rPr>
              <w:t xml:space="preserve">(Qld) s 124A(1) </w:t>
            </w:r>
          </w:p>
        </w:tc>
      </w:tr>
      <w:tr w:rsidR="00FA6BF1" w:rsidRPr="0049703E" w14:paraId="048038F7"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tcPr>
          <w:p w14:paraId="67FCFD73" w14:textId="77777777" w:rsidR="00FA6BF1" w:rsidRPr="00FA6BF1" w:rsidRDefault="00FA6BF1" w:rsidP="00FA6BF1">
            <w:pPr>
              <w:pStyle w:val="BodyText"/>
            </w:pPr>
          </w:p>
        </w:tc>
        <w:tc>
          <w:tcPr>
            <w:tcW w:w="992" w:type="dxa"/>
          </w:tcPr>
          <w:p w14:paraId="6F940C67"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ACT</w:t>
            </w:r>
          </w:p>
        </w:tc>
        <w:tc>
          <w:tcPr>
            <w:tcW w:w="5669" w:type="dxa"/>
          </w:tcPr>
          <w:p w14:paraId="1DACAD47"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FA6BF1">
              <w:rPr>
                <w:rStyle w:val="Characteritalic"/>
              </w:rPr>
              <w:t xml:space="preserve">Discrimination Act 1991 </w:t>
            </w:r>
            <w:r w:rsidRPr="00FA6BF1">
              <w:rPr>
                <w:rStyle w:val="Characterclear"/>
              </w:rPr>
              <w:t>(ACT) s 67A(1)</w:t>
            </w:r>
          </w:p>
        </w:tc>
      </w:tr>
      <w:tr w:rsidR="00FA6BF1" w:rsidRPr="0049703E" w14:paraId="046910D6"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tcPr>
          <w:p w14:paraId="461609BD" w14:textId="77777777" w:rsidR="00FA6BF1" w:rsidRPr="00FA6BF1" w:rsidRDefault="00FA6BF1" w:rsidP="00FA6BF1">
            <w:pPr>
              <w:pStyle w:val="BodyText"/>
            </w:pPr>
          </w:p>
        </w:tc>
        <w:tc>
          <w:tcPr>
            <w:tcW w:w="992" w:type="dxa"/>
          </w:tcPr>
          <w:p w14:paraId="56805F5E"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TAS</w:t>
            </w:r>
          </w:p>
        </w:tc>
        <w:tc>
          <w:tcPr>
            <w:tcW w:w="5669" w:type="dxa"/>
          </w:tcPr>
          <w:p w14:paraId="15D76C79"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FA6BF1">
              <w:rPr>
                <w:rStyle w:val="Characteritalic"/>
              </w:rPr>
              <w:t xml:space="preserve">Anti-Discrimination Act 1998 </w:t>
            </w:r>
            <w:r w:rsidRPr="00FA6BF1">
              <w:rPr>
                <w:rStyle w:val="Characterclear"/>
              </w:rPr>
              <w:t xml:space="preserve">(Tas) s 19 </w:t>
            </w:r>
          </w:p>
        </w:tc>
      </w:tr>
      <w:tr w:rsidR="00FA6BF1" w:rsidRPr="0049703E" w14:paraId="1878785F"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tcPr>
          <w:p w14:paraId="4DB7A208" w14:textId="77777777" w:rsidR="00FA6BF1" w:rsidRPr="00FA6BF1" w:rsidRDefault="00FA6BF1" w:rsidP="00FA6BF1">
            <w:pPr>
              <w:pStyle w:val="BodyText"/>
            </w:pPr>
          </w:p>
        </w:tc>
        <w:tc>
          <w:tcPr>
            <w:tcW w:w="992" w:type="dxa"/>
          </w:tcPr>
          <w:p w14:paraId="18CFE0E7"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 xml:space="preserve">SA </w:t>
            </w:r>
          </w:p>
        </w:tc>
        <w:tc>
          <w:tcPr>
            <w:tcW w:w="5669" w:type="dxa"/>
          </w:tcPr>
          <w:p w14:paraId="79F3C925" w14:textId="109ED22E"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FA6BF1">
              <w:rPr>
                <w:rStyle w:val="Characteritalic"/>
              </w:rPr>
              <w:t xml:space="preserve">Civil liability Act 1936 </w:t>
            </w:r>
            <w:r w:rsidRPr="00FA6BF1">
              <w:rPr>
                <w:rStyle w:val="Characterclear"/>
              </w:rPr>
              <w:t>(SA) s 73</w:t>
            </w:r>
            <w:r w:rsidR="00F132AB">
              <w:rPr>
                <w:rStyle w:val="Characterclear"/>
              </w:rPr>
              <w:t>(2)</w:t>
            </w:r>
            <w:r w:rsidRPr="00FA6BF1">
              <w:rPr>
                <w:rStyle w:val="Characterclear"/>
              </w:rPr>
              <w:t xml:space="preserve"> (civil tort) </w:t>
            </w:r>
          </w:p>
        </w:tc>
      </w:tr>
      <w:tr w:rsidR="00FA6BF1" w:rsidRPr="0049703E" w14:paraId="1BD0850E"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val="restart"/>
          </w:tcPr>
          <w:p w14:paraId="60AE8597" w14:textId="77777777" w:rsidR="00FA6BF1" w:rsidRPr="003458F0" w:rsidRDefault="00FA6BF1" w:rsidP="00FA6BF1">
            <w:pPr>
              <w:pStyle w:val="BodyText"/>
              <w:rPr>
                <w:rStyle w:val="Characterclear"/>
              </w:rPr>
            </w:pPr>
            <w:r w:rsidRPr="003458F0">
              <w:rPr>
                <w:rStyle w:val="Characterclear"/>
              </w:rPr>
              <w:t>Harm-based laws</w:t>
            </w:r>
          </w:p>
        </w:tc>
        <w:tc>
          <w:tcPr>
            <w:tcW w:w="992" w:type="dxa"/>
          </w:tcPr>
          <w:p w14:paraId="2247CAB9"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CTH</w:t>
            </w:r>
          </w:p>
        </w:tc>
        <w:tc>
          <w:tcPr>
            <w:tcW w:w="5669" w:type="dxa"/>
          </w:tcPr>
          <w:p w14:paraId="3738DF05"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rPr>
                <w:rStyle w:val="Characteritalic"/>
              </w:rPr>
              <w:t>Racial Discrimination Act 1975</w:t>
            </w:r>
            <w:r w:rsidRPr="00FA6BF1">
              <w:t xml:space="preserve"> (Cth) s 18C </w:t>
            </w:r>
          </w:p>
        </w:tc>
      </w:tr>
      <w:tr w:rsidR="00FA6BF1" w:rsidRPr="0049703E" w14:paraId="45C2CA9F" w14:textId="77777777" w:rsidTr="003458F0">
        <w:tc>
          <w:tcPr>
            <w:cnfStyle w:val="001000000000" w:firstRow="0" w:lastRow="0" w:firstColumn="1" w:lastColumn="0" w:oddVBand="0" w:evenVBand="0" w:oddHBand="0" w:evenHBand="0" w:firstRowFirstColumn="0" w:firstRowLastColumn="0" w:lastRowFirstColumn="0" w:lastRowLastColumn="0"/>
            <w:tcW w:w="2410" w:type="dxa"/>
            <w:vMerge/>
          </w:tcPr>
          <w:p w14:paraId="298D3371" w14:textId="77777777" w:rsidR="00FA6BF1" w:rsidRPr="00FA6BF1" w:rsidRDefault="00FA6BF1" w:rsidP="00FA6BF1">
            <w:pPr>
              <w:pStyle w:val="BodyText"/>
              <w:rPr>
                <w:rStyle w:val="Characterbold"/>
              </w:rPr>
            </w:pPr>
          </w:p>
        </w:tc>
        <w:tc>
          <w:tcPr>
            <w:tcW w:w="992" w:type="dxa"/>
          </w:tcPr>
          <w:p w14:paraId="28FB4939"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TAS</w:t>
            </w:r>
          </w:p>
        </w:tc>
        <w:tc>
          <w:tcPr>
            <w:tcW w:w="5669" w:type="dxa"/>
          </w:tcPr>
          <w:p w14:paraId="4B34DB02" w14:textId="76A11AF3"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rPr>
                <w:rStyle w:val="Characteritalic"/>
              </w:rPr>
            </w:pPr>
            <w:r w:rsidRPr="00FA6BF1">
              <w:rPr>
                <w:rStyle w:val="Characteritalic"/>
              </w:rPr>
              <w:t xml:space="preserve">Anti-Discrimination Act 1998 </w:t>
            </w:r>
            <w:r w:rsidRPr="00FA6BF1">
              <w:rPr>
                <w:rStyle w:val="Characterclear"/>
              </w:rPr>
              <w:t>(Tas) s 17</w:t>
            </w:r>
            <w:r w:rsidR="00F132AB">
              <w:rPr>
                <w:rStyle w:val="Characterclear"/>
              </w:rPr>
              <w:t>(1)</w:t>
            </w:r>
          </w:p>
        </w:tc>
      </w:tr>
      <w:tr w:rsidR="00FA6BF1" w:rsidRPr="0049703E" w14:paraId="448447C4" w14:textId="77777777" w:rsidTr="003458F0">
        <w:tc>
          <w:tcPr>
            <w:cnfStyle w:val="001000000000" w:firstRow="0" w:lastRow="0" w:firstColumn="1" w:lastColumn="0" w:oddVBand="0" w:evenVBand="0" w:oddHBand="0" w:evenHBand="0" w:firstRowFirstColumn="0" w:firstRowLastColumn="0" w:lastRowFirstColumn="0" w:lastRowLastColumn="0"/>
            <w:tcW w:w="2410" w:type="dxa"/>
          </w:tcPr>
          <w:p w14:paraId="5CE40901" w14:textId="74794825" w:rsidR="00FA6BF1" w:rsidRPr="003458F0" w:rsidRDefault="00000D30" w:rsidP="00FA6BF1">
            <w:pPr>
              <w:pStyle w:val="BodyText"/>
              <w:rPr>
                <w:rStyle w:val="Characterclear"/>
              </w:rPr>
            </w:pPr>
            <w:r>
              <w:rPr>
                <w:rStyle w:val="Characterclear"/>
              </w:rPr>
              <w:t>Harassment</w:t>
            </w:r>
            <w:r w:rsidR="00FA6BF1" w:rsidRPr="003458F0">
              <w:rPr>
                <w:rStyle w:val="Characterclear"/>
              </w:rPr>
              <w:t xml:space="preserve"> laws</w:t>
            </w:r>
          </w:p>
        </w:tc>
        <w:tc>
          <w:tcPr>
            <w:tcW w:w="992" w:type="dxa"/>
          </w:tcPr>
          <w:p w14:paraId="333A6400" w14:textId="77777777"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t>WA</w:t>
            </w:r>
          </w:p>
        </w:tc>
        <w:tc>
          <w:tcPr>
            <w:tcW w:w="5669" w:type="dxa"/>
          </w:tcPr>
          <w:p w14:paraId="621B1868" w14:textId="75593CB0" w:rsidR="00FA6BF1" w:rsidRPr="00FA6BF1" w:rsidRDefault="00FA6BF1" w:rsidP="00FA6BF1">
            <w:pPr>
              <w:pStyle w:val="BodyText"/>
              <w:cnfStyle w:val="000000000000" w:firstRow="0" w:lastRow="0" w:firstColumn="0" w:lastColumn="0" w:oddVBand="0" w:evenVBand="0" w:oddHBand="0" w:evenHBand="0" w:firstRowFirstColumn="0" w:firstRowLastColumn="0" w:lastRowFirstColumn="0" w:lastRowLastColumn="0"/>
            </w:pPr>
            <w:r w:rsidRPr="00FA6BF1">
              <w:rPr>
                <w:rStyle w:val="Characteritalic"/>
              </w:rPr>
              <w:t>Equal Opportunity Act 1984</w:t>
            </w:r>
            <w:r w:rsidRPr="00FA6BF1">
              <w:t xml:space="preserve"> (WA) ss 49A-49</w:t>
            </w:r>
            <w:r w:rsidR="00F132AB">
              <w:t>C</w:t>
            </w:r>
          </w:p>
        </w:tc>
      </w:tr>
    </w:tbl>
    <w:p w14:paraId="6F8E1F18" w14:textId="46EA783C" w:rsidR="0049703E" w:rsidRPr="00B041FF" w:rsidRDefault="0049703E" w:rsidP="00B041FF">
      <w:pPr>
        <w:pStyle w:val="Heading3"/>
      </w:pPr>
      <w:r w:rsidRPr="0049703E">
        <w:t xml:space="preserve">Exceptions </w:t>
      </w:r>
    </w:p>
    <w:p w14:paraId="7FB4707B" w14:textId="1D7EBE6D" w:rsidR="0003568A" w:rsidRPr="0049703E" w:rsidRDefault="0049703E" w:rsidP="0049703E">
      <w:pPr>
        <w:pStyle w:val="BodyText"/>
      </w:pPr>
      <w:r w:rsidRPr="0049703E">
        <w:t xml:space="preserve">As outlined in the Explanatory Memorandum, the RRTA includes </w:t>
      </w:r>
      <w:r w:rsidR="002E4CC1">
        <w:t xml:space="preserve">broad ranging </w:t>
      </w:r>
      <w:r w:rsidRPr="0049703E">
        <w:t xml:space="preserve">exceptions that are designed to strike a balance between freedom of </w:t>
      </w:r>
      <w:r w:rsidR="00156B88">
        <w:t>expression</w:t>
      </w:r>
      <w:r w:rsidRPr="0049703E">
        <w:t xml:space="preserve"> and freedom from racial and religious vilification.</w:t>
      </w:r>
      <w:r w:rsidRPr="00CC056C">
        <w:rPr>
          <w:rStyle w:val="FootnoteReference"/>
        </w:rPr>
        <w:endnoteReference w:id="11"/>
      </w:r>
      <w:r w:rsidRPr="00CC056C">
        <w:rPr>
          <w:rStyle w:val="FootnoteReference"/>
        </w:rPr>
        <w:t xml:space="preserve"> </w:t>
      </w:r>
      <w:r w:rsidRPr="0049703E">
        <w:t xml:space="preserve">The exceptions apply to certain public conduct engaged in 'reasonably and in good faith' and to private conduct. </w:t>
      </w:r>
    </w:p>
    <w:p w14:paraId="0827622E" w14:textId="77777777" w:rsidR="0049703E" w:rsidRPr="0049703E" w:rsidRDefault="0049703E" w:rsidP="0049703E">
      <w:pPr>
        <w:pStyle w:val="BodyText"/>
      </w:pPr>
      <w:r w:rsidRPr="0049703E">
        <w:t xml:space="preserve">The onus is on the person who claims an exception to prove the exception applies.  </w:t>
      </w:r>
    </w:p>
    <w:tbl>
      <w:tblPr>
        <w:tblStyle w:val="CustomTablebreakoutbox"/>
        <w:tblW w:w="0" w:type="auto"/>
        <w:tblLook w:val="04A0" w:firstRow="1" w:lastRow="0" w:firstColumn="1" w:lastColumn="0" w:noHBand="0" w:noVBand="1"/>
      </w:tblPr>
      <w:tblGrid>
        <w:gridCol w:w="9061"/>
      </w:tblGrid>
      <w:tr w:rsidR="0049703E" w:rsidRPr="0049703E" w14:paraId="7ED2E495" w14:textId="77777777" w:rsidTr="002F6675">
        <w:tc>
          <w:tcPr>
            <w:tcW w:w="9061" w:type="dxa"/>
          </w:tcPr>
          <w:p w14:paraId="69EE2B37" w14:textId="77777777" w:rsidR="0049703E" w:rsidRPr="0049703E" w:rsidRDefault="0049703E" w:rsidP="0049703E">
            <w:pPr>
              <w:pStyle w:val="BodyText"/>
              <w:rPr>
                <w:rStyle w:val="Characterbold"/>
              </w:rPr>
            </w:pPr>
            <w:r w:rsidRPr="0049703E">
              <w:rPr>
                <w:rStyle w:val="Characterbold"/>
              </w:rPr>
              <w:t xml:space="preserve">Public conduct exception </w:t>
            </w:r>
          </w:p>
          <w:p w14:paraId="70FCD922" w14:textId="77777777" w:rsidR="0049703E" w:rsidRPr="0049703E" w:rsidRDefault="0049703E" w:rsidP="0049703E">
            <w:pPr>
              <w:pStyle w:val="BodyText"/>
            </w:pPr>
            <w:r w:rsidRPr="0049703E">
              <w:t xml:space="preserve">Section 11 of the RRTA states that: </w:t>
            </w:r>
          </w:p>
          <w:p w14:paraId="2F22ECBB" w14:textId="77777777" w:rsidR="0049703E" w:rsidRPr="0049703E" w:rsidRDefault="0049703E" w:rsidP="00D14135">
            <w:pPr>
              <w:pStyle w:val="ListNumber"/>
              <w:numPr>
                <w:ilvl w:val="0"/>
                <w:numId w:val="15"/>
              </w:numPr>
            </w:pPr>
            <w:r w:rsidRPr="0049703E">
              <w:t xml:space="preserve">A person does not contravene section 7 or 8 if the person establishes that the person's conduct was engaged in reasonably and in good faith: </w:t>
            </w:r>
          </w:p>
          <w:p w14:paraId="71ACA118" w14:textId="57E9A8B4" w:rsidR="00EE1DAB" w:rsidRDefault="0049703E" w:rsidP="006C0E08">
            <w:pPr>
              <w:pStyle w:val="ListNumber2"/>
              <w:numPr>
                <w:ilvl w:val="1"/>
                <w:numId w:val="15"/>
              </w:numPr>
            </w:pPr>
            <w:r w:rsidRPr="0049703E">
              <w:t>in the performance, exhibition or distribution of an artistic work; or </w:t>
            </w:r>
          </w:p>
          <w:p w14:paraId="678E5A91" w14:textId="1966B5A2" w:rsidR="0049703E" w:rsidRPr="0049703E" w:rsidRDefault="0049703E" w:rsidP="006C0E08">
            <w:pPr>
              <w:pStyle w:val="ListNumber2"/>
              <w:numPr>
                <w:ilvl w:val="1"/>
                <w:numId w:val="15"/>
              </w:numPr>
            </w:pPr>
            <w:r w:rsidRPr="0049703E">
              <w:t>in the course of any statement, publication, discussion or debate made or held, or any other conduct engaged in, for:</w:t>
            </w:r>
          </w:p>
          <w:p w14:paraId="5B355D24" w14:textId="77777777" w:rsidR="0049703E" w:rsidRPr="0049703E" w:rsidRDefault="0049703E" w:rsidP="00BF5F9E">
            <w:pPr>
              <w:pStyle w:val="ListNumber3"/>
            </w:pPr>
            <w:r w:rsidRPr="0049703E">
              <w:t>any genuine academic, artistic, religious or scientific purpose; or </w:t>
            </w:r>
          </w:p>
          <w:p w14:paraId="29432092" w14:textId="77777777" w:rsidR="0049703E" w:rsidRPr="0049703E" w:rsidRDefault="0049703E" w:rsidP="00BF5F9E">
            <w:pPr>
              <w:pStyle w:val="ListNumber3"/>
            </w:pPr>
            <w:r w:rsidRPr="0049703E">
              <w:t>any purpose that is in the public interest; or </w:t>
            </w:r>
          </w:p>
          <w:p w14:paraId="0F45497F" w14:textId="55DB7779" w:rsidR="0049703E" w:rsidRPr="0049703E" w:rsidRDefault="0049703E" w:rsidP="00C67716">
            <w:pPr>
              <w:pStyle w:val="ListBullet2"/>
              <w:numPr>
                <w:ilvl w:val="1"/>
                <w:numId w:val="27"/>
              </w:numPr>
            </w:pPr>
            <w:r w:rsidRPr="0049703E">
              <w:t>in making or publishing a fair and accurate report of any event or matter of public interest. </w:t>
            </w:r>
          </w:p>
          <w:p w14:paraId="70215969" w14:textId="77777777" w:rsidR="0049703E" w:rsidRPr="0049703E" w:rsidRDefault="0049703E" w:rsidP="003E31D4">
            <w:pPr>
              <w:pStyle w:val="BodyText"/>
            </w:pPr>
            <w:r w:rsidRPr="0049703E">
              <w:t>For the purpose of subsection (1)(b)(i), a religious purpose includes, but is not limited to, conveying or teaching a religion or proselytising.</w:t>
            </w:r>
          </w:p>
          <w:p w14:paraId="4A700DE6" w14:textId="77777777" w:rsidR="0049703E" w:rsidRPr="0049703E" w:rsidRDefault="0049703E" w:rsidP="0049703E">
            <w:pPr>
              <w:pStyle w:val="BodyText"/>
              <w:rPr>
                <w:rStyle w:val="Characterbold"/>
              </w:rPr>
            </w:pPr>
            <w:r w:rsidRPr="0049703E">
              <w:rPr>
                <w:rStyle w:val="Characterbold"/>
              </w:rPr>
              <w:t xml:space="preserve">Private conduct exception </w:t>
            </w:r>
          </w:p>
          <w:p w14:paraId="47D21B07" w14:textId="77777777" w:rsidR="0049703E" w:rsidRPr="0049703E" w:rsidRDefault="0049703E" w:rsidP="0049703E">
            <w:pPr>
              <w:pStyle w:val="BodyText"/>
            </w:pPr>
            <w:r w:rsidRPr="0049703E">
              <w:t xml:space="preserve">Section 12 of the RRTA states that: </w:t>
            </w:r>
          </w:p>
          <w:p w14:paraId="134FE99B" w14:textId="77777777" w:rsidR="009D7427" w:rsidRDefault="0049703E" w:rsidP="009D7427">
            <w:pPr>
              <w:pStyle w:val="ListNumber"/>
              <w:numPr>
                <w:ilvl w:val="0"/>
                <w:numId w:val="16"/>
              </w:numPr>
            </w:pPr>
            <w:r w:rsidRPr="0049703E">
              <w:t>A person does not contravene section 7 or 8 if the person establishes that the person engaged in the conduct in circumstances that may reasonably be taken to indicate that the parties to the conduct desire it to be heard or seen only by themselves. </w:t>
            </w:r>
          </w:p>
          <w:p w14:paraId="26D61AE7" w14:textId="42856A68" w:rsidR="0049703E" w:rsidRPr="0049703E" w:rsidRDefault="0049703E" w:rsidP="009D7427">
            <w:pPr>
              <w:pStyle w:val="ListNumber"/>
              <w:numPr>
                <w:ilvl w:val="0"/>
                <w:numId w:val="16"/>
              </w:numPr>
            </w:pPr>
            <w:r w:rsidRPr="0049703E">
              <w:t>Subsection (1) does not apply in relation to conduct in any circumstances in which the parties to the conduct ought reasonably to expect that it may be heard or seen by someone else.</w:t>
            </w:r>
          </w:p>
        </w:tc>
      </w:tr>
    </w:tbl>
    <w:p w14:paraId="17776DDF" w14:textId="421948C4" w:rsidR="0057563D" w:rsidRPr="0057563D" w:rsidRDefault="0057563D" w:rsidP="0057563D">
      <w:pPr>
        <w:pStyle w:val="Heading4"/>
        <w:rPr>
          <w:rStyle w:val="Characterbold"/>
          <w:b/>
        </w:rPr>
      </w:pPr>
      <w:r w:rsidRPr="0057563D">
        <w:rPr>
          <w:rStyle w:val="Characterbold"/>
          <w:b/>
        </w:rPr>
        <w:lastRenderedPageBreak/>
        <w:t xml:space="preserve">The right to freedom of expression </w:t>
      </w:r>
    </w:p>
    <w:p w14:paraId="1F64AC4F" w14:textId="09B41E90" w:rsidR="00F92EE6" w:rsidRDefault="00F92EE6" w:rsidP="00F92EE6">
      <w:pPr>
        <w:pStyle w:val="BodyText"/>
        <w:rPr>
          <w:rStyle w:val="Characterclear"/>
        </w:rPr>
      </w:pPr>
      <w:r>
        <w:rPr>
          <w:rStyle w:val="Characterclear"/>
        </w:rPr>
        <w:t xml:space="preserve">The right to freedom of expression is protected by international law and in Victoria, by the </w:t>
      </w:r>
      <w:r w:rsidRPr="00604D84">
        <w:rPr>
          <w:rStyle w:val="Characteritalic"/>
        </w:rPr>
        <w:t>Charter of Human Rights and Responsibilities 2006</w:t>
      </w:r>
      <w:r>
        <w:rPr>
          <w:rStyle w:val="Characterclear"/>
        </w:rPr>
        <w:t xml:space="preserve"> (Vic) (Charter). </w:t>
      </w:r>
    </w:p>
    <w:p w14:paraId="6FEAA06A" w14:textId="6D4C339B" w:rsidR="009046B1" w:rsidRDefault="009046B1" w:rsidP="009046B1">
      <w:pPr>
        <w:pStyle w:val="Heading5"/>
        <w:rPr>
          <w:rStyle w:val="Characterclear"/>
        </w:rPr>
      </w:pPr>
      <w:r>
        <w:rPr>
          <w:rStyle w:val="Characterclear"/>
        </w:rPr>
        <w:t>International law</w:t>
      </w:r>
    </w:p>
    <w:p w14:paraId="16916081" w14:textId="4A85B722" w:rsidR="00604D84" w:rsidRDefault="00604D84" w:rsidP="0057563D">
      <w:pPr>
        <w:pStyle w:val="BodyText"/>
        <w:rPr>
          <w:rStyle w:val="Characterclear"/>
        </w:rPr>
      </w:pPr>
      <w:r>
        <w:rPr>
          <w:rStyle w:val="Characterclear"/>
        </w:rPr>
        <w:t xml:space="preserve">Article 19(2) of the ICCPR </w:t>
      </w:r>
      <w:r w:rsidR="00482753">
        <w:rPr>
          <w:rStyle w:val="Characterclear"/>
        </w:rPr>
        <w:t xml:space="preserve">provides that: </w:t>
      </w:r>
    </w:p>
    <w:p w14:paraId="6DD0AC62" w14:textId="437A7C89" w:rsidR="00482753" w:rsidRPr="00482753" w:rsidRDefault="00AC328C" w:rsidP="00482753">
      <w:pPr>
        <w:pStyle w:val="Quote"/>
        <w:rPr>
          <w:lang w:eastAsia="en-AU"/>
        </w:rPr>
      </w:pPr>
      <w:r>
        <w:t>‘</w:t>
      </w:r>
      <w:r w:rsidR="00482753" w:rsidRPr="00482753">
        <w:rPr>
          <w:lang w:eastAsia="en-AU"/>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r>
        <w:t>’</w:t>
      </w:r>
      <w:r w:rsidR="00482753" w:rsidRPr="00482753">
        <w:rPr>
          <w:lang w:eastAsia="en-AU"/>
        </w:rPr>
        <w:t>.</w:t>
      </w:r>
    </w:p>
    <w:p w14:paraId="06CF7882" w14:textId="02E18CE1" w:rsidR="00482753" w:rsidRDefault="00482753" w:rsidP="00482753">
      <w:pPr>
        <w:pStyle w:val="BodyText"/>
        <w:rPr>
          <w:rStyle w:val="Characterclear"/>
        </w:rPr>
      </w:pPr>
      <w:r>
        <w:rPr>
          <w:rStyle w:val="Characterclear"/>
        </w:rPr>
        <w:t xml:space="preserve">Significantly, </w:t>
      </w:r>
      <w:r w:rsidR="00762097">
        <w:rPr>
          <w:rStyle w:val="Characterclear"/>
        </w:rPr>
        <w:t>article 19(3) confirms that the right to freedom of expression</w:t>
      </w:r>
      <w:r w:rsidR="000B7A58">
        <w:rPr>
          <w:rStyle w:val="Characterclear"/>
        </w:rPr>
        <w:t xml:space="preserve"> </w:t>
      </w:r>
      <w:r w:rsidR="00762097">
        <w:rPr>
          <w:rStyle w:val="Characterclear"/>
        </w:rPr>
        <w:t>carries with it ‘special duties and responsibilities’</w:t>
      </w:r>
      <w:r w:rsidR="00F661DF">
        <w:rPr>
          <w:rStyle w:val="Characterclear"/>
        </w:rPr>
        <w:t xml:space="preserve"> and may be </w:t>
      </w:r>
      <w:r w:rsidR="00103E5B">
        <w:rPr>
          <w:rStyle w:val="Characterclear"/>
        </w:rPr>
        <w:t>subject to restrictions that are provided by law and are necessary to respect the rights or reputation of others or to protect national security</w:t>
      </w:r>
      <w:r w:rsidR="00640086">
        <w:rPr>
          <w:rStyle w:val="Characterclear"/>
        </w:rPr>
        <w:t xml:space="preserve"> or </w:t>
      </w:r>
      <w:r w:rsidR="00103E5B">
        <w:rPr>
          <w:rStyle w:val="Characterclear"/>
        </w:rPr>
        <w:t xml:space="preserve">public order, </w:t>
      </w:r>
      <w:r w:rsidR="00640086">
        <w:rPr>
          <w:rStyle w:val="Characterclear"/>
        </w:rPr>
        <w:t xml:space="preserve">or </w:t>
      </w:r>
      <w:r w:rsidR="00103E5B">
        <w:rPr>
          <w:rStyle w:val="Characterclear"/>
        </w:rPr>
        <w:t xml:space="preserve">public health or morals. </w:t>
      </w:r>
    </w:p>
    <w:p w14:paraId="459C2EAD" w14:textId="77777777" w:rsidR="00BA21E4" w:rsidRDefault="009046B1" w:rsidP="00482753">
      <w:pPr>
        <w:pStyle w:val="BodyText"/>
        <w:rPr>
          <w:rStyle w:val="Characterclear"/>
        </w:rPr>
      </w:pPr>
      <w:r w:rsidRPr="009046B1">
        <w:rPr>
          <w:rStyle w:val="Characterclear"/>
        </w:rPr>
        <w:t>The UN Committee on the Elimination of Racial Discrimination has commented that</w:t>
      </w:r>
      <w:r w:rsidR="00BA21E4">
        <w:rPr>
          <w:rStyle w:val="Characterclear"/>
        </w:rPr>
        <w:t>:</w:t>
      </w:r>
    </w:p>
    <w:p w14:paraId="21E63A1B" w14:textId="004239E6" w:rsidR="009046B1" w:rsidRPr="0057563D" w:rsidRDefault="00AC328C" w:rsidP="00BA21E4">
      <w:pPr>
        <w:pStyle w:val="Quote"/>
        <w:rPr>
          <w:rStyle w:val="Characterclear"/>
        </w:rPr>
      </w:pPr>
      <w:r>
        <w:rPr>
          <w:rStyle w:val="Characterclear"/>
        </w:rPr>
        <w:t>‘</w:t>
      </w:r>
      <w:r w:rsidR="009046B1" w:rsidRPr="009046B1">
        <w:rPr>
          <w:rStyle w:val="Characterclear"/>
        </w:rPr>
        <w:t>the expression of ideas and opinions made in the context of academic debates, political engagement or similar activity, and without incitement to hatred, contempt, violence or discrimination, should be regarded as legitimate exercises of the right to freedom of expression, even where such ideas are controversial</w:t>
      </w:r>
      <w:r>
        <w:rPr>
          <w:rStyle w:val="Characterclear"/>
        </w:rPr>
        <w:t>’</w:t>
      </w:r>
      <w:r w:rsidR="009046B1" w:rsidRPr="009046B1">
        <w:rPr>
          <w:rStyle w:val="Characterclear"/>
        </w:rPr>
        <w:t>.</w:t>
      </w:r>
      <w:r w:rsidR="009046B1" w:rsidRPr="009046B1">
        <w:rPr>
          <w:rStyle w:val="EndnoteReference"/>
        </w:rPr>
        <w:endnoteReference w:id="12"/>
      </w:r>
      <w:r w:rsidR="009046B1" w:rsidRPr="009046B1">
        <w:rPr>
          <w:rStyle w:val="Characterclear"/>
        </w:rPr>
        <w:t xml:space="preserve"> </w:t>
      </w:r>
    </w:p>
    <w:p w14:paraId="288CBA22" w14:textId="009FAEF2" w:rsidR="009046B1" w:rsidRDefault="009046B1" w:rsidP="009046B1">
      <w:pPr>
        <w:pStyle w:val="Heading5"/>
        <w:rPr>
          <w:rStyle w:val="Characterclear"/>
        </w:rPr>
      </w:pPr>
      <w:r>
        <w:rPr>
          <w:rStyle w:val="Characterclear"/>
        </w:rPr>
        <w:t xml:space="preserve">Victorian law </w:t>
      </w:r>
    </w:p>
    <w:p w14:paraId="1FF68CF9" w14:textId="53D5935A" w:rsidR="00BF6475" w:rsidRDefault="00DD00C5" w:rsidP="00021C80">
      <w:pPr>
        <w:pStyle w:val="BodyText"/>
        <w:rPr>
          <w:rStyle w:val="Characterclear"/>
        </w:rPr>
      </w:pPr>
      <w:r w:rsidRPr="00DD00C5">
        <w:rPr>
          <w:rStyle w:val="Characterclear"/>
        </w:rPr>
        <w:t>In Victoria, the right to freedom of expression is protected by s</w:t>
      </w:r>
      <w:r w:rsidR="00CC056C">
        <w:rPr>
          <w:rStyle w:val="Characterclear"/>
        </w:rPr>
        <w:t>ection</w:t>
      </w:r>
      <w:r w:rsidRPr="00DD00C5">
        <w:rPr>
          <w:rStyle w:val="Characterclear"/>
        </w:rPr>
        <w:t xml:space="preserve"> 15(2) of the Charter</w:t>
      </w:r>
      <w:r w:rsidR="002D45BD">
        <w:rPr>
          <w:rStyle w:val="Characterclear"/>
        </w:rPr>
        <w:t xml:space="preserve">, which is </w:t>
      </w:r>
      <w:r w:rsidRPr="00DD00C5">
        <w:rPr>
          <w:rStyle w:val="Characterclear"/>
        </w:rPr>
        <w:t>modelled on article 19 of th</w:t>
      </w:r>
      <w:r>
        <w:rPr>
          <w:rStyle w:val="Characterclear"/>
        </w:rPr>
        <w:t>e ICCPR</w:t>
      </w:r>
      <w:r w:rsidR="00501D4D">
        <w:rPr>
          <w:rStyle w:val="Characterclear"/>
        </w:rPr>
        <w:t>.</w:t>
      </w:r>
      <w:r w:rsidR="00501D4D">
        <w:rPr>
          <w:rStyle w:val="EndnoteReference"/>
          <w:lang w:eastAsia="en-AU"/>
        </w:rPr>
        <w:endnoteReference w:id="13"/>
      </w:r>
    </w:p>
    <w:tbl>
      <w:tblPr>
        <w:tblStyle w:val="CustomTablebreakoutbox"/>
        <w:tblW w:w="0" w:type="auto"/>
        <w:tblLook w:val="04A0" w:firstRow="1" w:lastRow="0" w:firstColumn="1" w:lastColumn="0" w:noHBand="0" w:noVBand="1"/>
      </w:tblPr>
      <w:tblGrid>
        <w:gridCol w:w="9061"/>
      </w:tblGrid>
      <w:tr w:rsidR="00E05210" w14:paraId="3D0FD434" w14:textId="77777777" w:rsidTr="00E05210">
        <w:tc>
          <w:tcPr>
            <w:tcW w:w="9061" w:type="dxa"/>
          </w:tcPr>
          <w:p w14:paraId="69C0DA93" w14:textId="776A16D2" w:rsidR="00E05210" w:rsidRDefault="00111B49" w:rsidP="00021C80">
            <w:pPr>
              <w:pStyle w:val="BodyText"/>
              <w:rPr>
                <w:rStyle w:val="Characterbold"/>
              </w:rPr>
            </w:pPr>
            <w:r>
              <w:rPr>
                <w:rStyle w:val="Characterbold"/>
              </w:rPr>
              <w:t xml:space="preserve">Freedom of expression under the Charter </w:t>
            </w:r>
          </w:p>
          <w:p w14:paraId="20177EAB" w14:textId="77777777" w:rsidR="00111B49" w:rsidRDefault="00111B49" w:rsidP="00111B49">
            <w:pPr>
              <w:pStyle w:val="BodyText"/>
              <w:rPr>
                <w:rStyle w:val="Characterclear"/>
              </w:rPr>
            </w:pPr>
            <w:r>
              <w:rPr>
                <w:rStyle w:val="Characterclear"/>
              </w:rPr>
              <w:t xml:space="preserve">Section 15 of the Charter states that: </w:t>
            </w:r>
          </w:p>
          <w:p w14:paraId="6E4A149F" w14:textId="77777777" w:rsidR="00111B49" w:rsidRDefault="00111B49" w:rsidP="00C67716">
            <w:pPr>
              <w:pStyle w:val="ListNumber"/>
              <w:numPr>
                <w:ilvl w:val="0"/>
                <w:numId w:val="25"/>
              </w:numPr>
              <w:rPr>
                <w:rStyle w:val="Characterclear"/>
              </w:rPr>
            </w:pPr>
            <w:r>
              <w:rPr>
                <w:rStyle w:val="Characterclear"/>
              </w:rPr>
              <w:t xml:space="preserve">Every person has the right to hold an opinion without interference. </w:t>
            </w:r>
          </w:p>
          <w:p w14:paraId="7972B296" w14:textId="10ACEE3C" w:rsidR="00111B49" w:rsidRDefault="00111B49" w:rsidP="00C67716">
            <w:pPr>
              <w:pStyle w:val="ListNumber"/>
              <w:numPr>
                <w:ilvl w:val="0"/>
                <w:numId w:val="25"/>
              </w:numPr>
              <w:rPr>
                <w:rStyle w:val="Characterclear"/>
              </w:rPr>
            </w:pPr>
            <w:r>
              <w:rPr>
                <w:rStyle w:val="Characterclear"/>
              </w:rPr>
              <w:t xml:space="preserve">Every person has the right to freedom of expression which includes the freedom to seek, receive and impart information and ideas of all kinds, whether within or outside Victoria </w:t>
            </w:r>
            <w:r w:rsidR="002D45BD">
              <w:rPr>
                <w:rStyle w:val="Characterclear"/>
              </w:rPr>
              <w:t>and whether</w:t>
            </w:r>
            <w:r w:rsidR="00772DB4">
              <w:rPr>
                <w:rStyle w:val="Characterclear"/>
              </w:rPr>
              <w:t xml:space="preserve"> </w:t>
            </w:r>
            <w:r w:rsidR="00772DB4" w:rsidRPr="00772DB4">
              <w:rPr>
                <w:rStyle w:val="Characterclear"/>
              </w:rPr>
              <w:t xml:space="preserve">– </w:t>
            </w:r>
            <w:r w:rsidR="002D45BD">
              <w:rPr>
                <w:rStyle w:val="Characterclear"/>
              </w:rPr>
              <w:t xml:space="preserve"> </w:t>
            </w:r>
          </w:p>
          <w:p w14:paraId="5DBC9AE0" w14:textId="0865D4E7" w:rsidR="002D45BD" w:rsidRDefault="002D45BD" w:rsidP="00C67716">
            <w:pPr>
              <w:pStyle w:val="ListNumber"/>
              <w:numPr>
                <w:ilvl w:val="1"/>
                <w:numId w:val="25"/>
              </w:numPr>
              <w:rPr>
                <w:rStyle w:val="Characterclear"/>
              </w:rPr>
            </w:pPr>
            <w:r>
              <w:rPr>
                <w:rStyle w:val="Characterclear"/>
              </w:rPr>
              <w:t>orally</w:t>
            </w:r>
          </w:p>
          <w:p w14:paraId="3880CBBB" w14:textId="321BB725" w:rsidR="002D45BD" w:rsidRDefault="002D45BD" w:rsidP="00C67716">
            <w:pPr>
              <w:pStyle w:val="ListNumber"/>
              <w:numPr>
                <w:ilvl w:val="1"/>
                <w:numId w:val="25"/>
              </w:numPr>
              <w:rPr>
                <w:rStyle w:val="Characterclear"/>
              </w:rPr>
            </w:pPr>
            <w:r>
              <w:rPr>
                <w:rStyle w:val="Characterclear"/>
              </w:rPr>
              <w:t>in writing</w:t>
            </w:r>
          </w:p>
          <w:p w14:paraId="011DC7E7" w14:textId="3989EC80" w:rsidR="002D45BD" w:rsidRDefault="002D45BD" w:rsidP="00C67716">
            <w:pPr>
              <w:pStyle w:val="ListNumber"/>
              <w:numPr>
                <w:ilvl w:val="1"/>
                <w:numId w:val="25"/>
              </w:numPr>
              <w:rPr>
                <w:rStyle w:val="Characterclear"/>
              </w:rPr>
            </w:pPr>
            <w:r>
              <w:rPr>
                <w:rStyle w:val="Characterclear"/>
              </w:rPr>
              <w:t>in print</w:t>
            </w:r>
          </w:p>
          <w:p w14:paraId="7C971C80" w14:textId="000333D7" w:rsidR="002D45BD" w:rsidRDefault="002D45BD" w:rsidP="00C67716">
            <w:pPr>
              <w:pStyle w:val="ListNumber"/>
              <w:numPr>
                <w:ilvl w:val="1"/>
                <w:numId w:val="25"/>
              </w:numPr>
              <w:rPr>
                <w:rStyle w:val="Characterclear"/>
              </w:rPr>
            </w:pPr>
            <w:r>
              <w:rPr>
                <w:rStyle w:val="Characterclear"/>
              </w:rPr>
              <w:t>by way of art, or</w:t>
            </w:r>
          </w:p>
          <w:p w14:paraId="65910979" w14:textId="2428144C" w:rsidR="002D45BD" w:rsidRDefault="002D45BD" w:rsidP="00C67716">
            <w:pPr>
              <w:pStyle w:val="ListNumber"/>
              <w:numPr>
                <w:ilvl w:val="1"/>
                <w:numId w:val="25"/>
              </w:numPr>
              <w:rPr>
                <w:rStyle w:val="Characterclear"/>
              </w:rPr>
            </w:pPr>
            <w:r>
              <w:rPr>
                <w:rStyle w:val="Characterclear"/>
              </w:rPr>
              <w:t xml:space="preserve">in another medium chosen by him or her. </w:t>
            </w:r>
          </w:p>
          <w:p w14:paraId="74972054" w14:textId="35D1B7DE" w:rsidR="002D45BD" w:rsidRDefault="002D45BD" w:rsidP="00C67716">
            <w:pPr>
              <w:pStyle w:val="BodyText"/>
              <w:numPr>
                <w:ilvl w:val="0"/>
                <w:numId w:val="27"/>
              </w:numPr>
              <w:rPr>
                <w:rStyle w:val="Characterclear"/>
              </w:rPr>
            </w:pPr>
            <w:r>
              <w:rPr>
                <w:rStyle w:val="Characterclear"/>
              </w:rPr>
              <w:t>Special duties and responsibilities are attached to the right of freedom of expression and the right may be subject to lawful restrictions reasonably necessary</w:t>
            </w:r>
            <w:r w:rsidR="00772DB4">
              <w:rPr>
                <w:rStyle w:val="Characterclear"/>
              </w:rPr>
              <w:t xml:space="preserve"> </w:t>
            </w:r>
            <w:r w:rsidR="00772DB4" w:rsidRPr="00772DB4">
              <w:rPr>
                <w:rStyle w:val="Characterclear"/>
              </w:rPr>
              <w:t xml:space="preserve">– </w:t>
            </w:r>
            <w:r w:rsidR="006757E8">
              <w:rPr>
                <w:rStyle w:val="Characterclear"/>
              </w:rPr>
              <w:t xml:space="preserve"> </w:t>
            </w:r>
          </w:p>
          <w:p w14:paraId="38CF5A2C" w14:textId="5C77F77C" w:rsidR="006757E8" w:rsidRDefault="006757E8" w:rsidP="00C67716">
            <w:pPr>
              <w:pStyle w:val="TableListNumber"/>
              <w:numPr>
                <w:ilvl w:val="1"/>
                <w:numId w:val="27"/>
              </w:numPr>
              <w:rPr>
                <w:rStyle w:val="Characterclear"/>
              </w:rPr>
            </w:pPr>
            <w:r>
              <w:rPr>
                <w:rStyle w:val="Characterclear"/>
              </w:rPr>
              <w:t>to respect the rights and reputation of other persons, or</w:t>
            </w:r>
          </w:p>
          <w:p w14:paraId="059B9781" w14:textId="03521963" w:rsidR="002D45BD" w:rsidRPr="00111B49" w:rsidRDefault="006757E8" w:rsidP="00C67716">
            <w:pPr>
              <w:pStyle w:val="TableListNumber"/>
              <w:numPr>
                <w:ilvl w:val="1"/>
                <w:numId w:val="27"/>
              </w:numPr>
              <w:rPr>
                <w:rStyle w:val="Characterclear"/>
              </w:rPr>
            </w:pPr>
            <w:r>
              <w:rPr>
                <w:rStyle w:val="Characterclear"/>
              </w:rPr>
              <w:t>for the protection of national security, public order, public health or public morality.</w:t>
            </w:r>
          </w:p>
        </w:tc>
      </w:tr>
    </w:tbl>
    <w:p w14:paraId="68FD253B" w14:textId="77777777" w:rsidR="00772DB4" w:rsidRDefault="00772DB4" w:rsidP="00BB02F0">
      <w:pPr>
        <w:pStyle w:val="BodyText"/>
        <w:rPr>
          <w:rStyle w:val="Characterclear"/>
        </w:rPr>
      </w:pPr>
    </w:p>
    <w:p w14:paraId="5DAF32AF" w14:textId="48A7D0AC" w:rsidR="00BB02F0" w:rsidRPr="00290660" w:rsidRDefault="00BB02F0" w:rsidP="00BB02F0">
      <w:pPr>
        <w:pStyle w:val="BodyText"/>
        <w:rPr>
          <w:rStyle w:val="Characterclear"/>
        </w:rPr>
      </w:pPr>
      <w:r w:rsidRPr="00290660">
        <w:rPr>
          <w:rStyle w:val="Characterclear"/>
        </w:rPr>
        <w:t xml:space="preserve">In </w:t>
      </w:r>
      <w:r w:rsidRPr="00B76CB7">
        <w:rPr>
          <w:rStyle w:val="Characteritalic"/>
        </w:rPr>
        <w:t>Cottrell v Smith</w:t>
      </w:r>
      <w:r w:rsidRPr="00290660">
        <w:rPr>
          <w:rStyle w:val="Characterclear"/>
        </w:rPr>
        <w:t xml:space="preserve"> [2019] VCC 2142, </w:t>
      </w:r>
      <w:r w:rsidR="00290660" w:rsidRPr="00290660">
        <w:rPr>
          <w:rStyle w:val="Characterclear"/>
        </w:rPr>
        <w:t xml:space="preserve">the Victorian County Court </w:t>
      </w:r>
      <w:r w:rsidRPr="00290660">
        <w:rPr>
          <w:rStyle w:val="Characterclear"/>
        </w:rPr>
        <w:t xml:space="preserve">found that: </w:t>
      </w:r>
    </w:p>
    <w:p w14:paraId="25384F9F" w14:textId="40D8DB33" w:rsidR="00BB02F0" w:rsidRPr="00290660" w:rsidRDefault="00AC328C" w:rsidP="00BB02F0">
      <w:pPr>
        <w:pStyle w:val="Quote"/>
        <w:rPr>
          <w:rStyle w:val="Characterclear"/>
        </w:rPr>
      </w:pPr>
      <w:r>
        <w:rPr>
          <w:rStyle w:val="Characterclear"/>
        </w:rPr>
        <w:lastRenderedPageBreak/>
        <w:t>“</w:t>
      </w:r>
      <w:r w:rsidR="00BB02F0" w:rsidRPr="00290660">
        <w:rPr>
          <w:rStyle w:val="Characterclear"/>
        </w:rPr>
        <w:t>In my view, ‘expression’ that constitutes religious vilification – especially serious or extreme religious vilification – is excluded from the concept of ‘expression’ protected by s 15 of the Charter.</w:t>
      </w:r>
    </w:p>
    <w:p w14:paraId="0316EFA2" w14:textId="1B70EDBF" w:rsidR="00BB02F0" w:rsidRPr="00290660" w:rsidRDefault="00AC328C" w:rsidP="00CC056C">
      <w:pPr>
        <w:pStyle w:val="Quote"/>
        <w:rPr>
          <w:rStyle w:val="Characterclear"/>
        </w:rPr>
      </w:pPr>
      <w:r>
        <w:rPr>
          <w:rStyle w:val="Characterclear"/>
        </w:rPr>
        <w:t>‘</w:t>
      </w:r>
      <w:r w:rsidR="00BB02F0" w:rsidRPr="00290660">
        <w:rPr>
          <w:rStyle w:val="Characterclear"/>
        </w:rPr>
        <w:t>The concept of ‘expression’ protected by s 15(2) of the Charter is not unqualified and absolute ….</w:t>
      </w:r>
      <w:r>
        <w:rPr>
          <w:rStyle w:val="Characterclear"/>
        </w:rPr>
        <w:t>”</w:t>
      </w:r>
      <w:r w:rsidR="00BB02F0" w:rsidRPr="00CC056C">
        <w:rPr>
          <w:rStyle w:val="FootnoteReference"/>
        </w:rPr>
        <w:endnoteReference w:id="14"/>
      </w:r>
    </w:p>
    <w:p w14:paraId="5E3096C5" w14:textId="2E6F68DF" w:rsidR="0049703E" w:rsidRPr="0049703E" w:rsidRDefault="0050159A" w:rsidP="004A69C5">
      <w:pPr>
        <w:pStyle w:val="Heading3"/>
      </w:pPr>
      <w:r>
        <w:t xml:space="preserve">Criminal offences </w:t>
      </w:r>
    </w:p>
    <w:p w14:paraId="0BC6BBB8" w14:textId="1935ABE2" w:rsidR="0050159A" w:rsidRPr="0050159A" w:rsidRDefault="0050159A" w:rsidP="0050159A">
      <w:pPr>
        <w:pStyle w:val="Heading4"/>
      </w:pPr>
      <w:r>
        <w:t xml:space="preserve">Serious racial and religious vilification </w:t>
      </w:r>
    </w:p>
    <w:p w14:paraId="0914F456" w14:textId="46176D3E" w:rsidR="0049703E" w:rsidRDefault="0049703E" w:rsidP="0049703E">
      <w:pPr>
        <w:pStyle w:val="BodyText"/>
      </w:pPr>
      <w:r w:rsidRPr="0049703E">
        <w:t xml:space="preserve">The RRTA criminalises serious racial and religious vilification. </w:t>
      </w:r>
      <w:r w:rsidR="000667A4">
        <w:t xml:space="preserve">The Explanatory Memorandum for the Racial and Religious Tolerance Bill 2001 explains that: </w:t>
      </w:r>
    </w:p>
    <w:p w14:paraId="6183ACAC" w14:textId="622E9F74" w:rsidR="000667A4" w:rsidRDefault="00AC328C" w:rsidP="000667A4">
      <w:pPr>
        <w:pStyle w:val="Quote"/>
      </w:pPr>
      <w:r>
        <w:t>‘</w:t>
      </w:r>
      <w:r w:rsidR="000667A4">
        <w:t>These offences refer to the extreme forms of conduct which promote and urge the strongest forms of dislike towards a person or group because of the race of the person or group. The offender must intend the conduct in the knowledge that the promotion of these feelings of extreme dislike will be the likely result of the conduct</w:t>
      </w:r>
      <w:r>
        <w:t>’</w:t>
      </w:r>
      <w:r w:rsidR="000667A4">
        <w:t>.</w:t>
      </w:r>
      <w:r w:rsidR="000667A4">
        <w:rPr>
          <w:rStyle w:val="EndnoteReference"/>
        </w:rPr>
        <w:endnoteReference w:id="15"/>
      </w:r>
    </w:p>
    <w:p w14:paraId="4792095B" w14:textId="5DD38FB1" w:rsidR="00FE6FEF" w:rsidRPr="0049703E" w:rsidRDefault="007C0C80" w:rsidP="007C0C80">
      <w:pPr>
        <w:pStyle w:val="BodyText"/>
      </w:pPr>
      <w:r>
        <w:t>A prosecution for the offence of serious racial or religious vilification cannot be started without the written consent of the Director of Public Prosecutions</w:t>
      </w:r>
      <w:r w:rsidR="001B3C4F">
        <w:t xml:space="preserve"> (DPP)</w:t>
      </w:r>
      <w:r>
        <w:t>.</w:t>
      </w:r>
      <w:r>
        <w:rPr>
          <w:rStyle w:val="EndnoteReference"/>
        </w:rPr>
        <w:endnoteReference w:id="16"/>
      </w:r>
    </w:p>
    <w:tbl>
      <w:tblPr>
        <w:tblStyle w:val="CustomTablebreakoutbox"/>
        <w:tblW w:w="0" w:type="auto"/>
        <w:tblLook w:val="04A0" w:firstRow="1" w:lastRow="0" w:firstColumn="1" w:lastColumn="0" w:noHBand="0" w:noVBand="1"/>
      </w:tblPr>
      <w:tblGrid>
        <w:gridCol w:w="9061"/>
      </w:tblGrid>
      <w:tr w:rsidR="0049703E" w:rsidRPr="0049703E" w14:paraId="24BC3C9B" w14:textId="77777777" w:rsidTr="002F6675">
        <w:tc>
          <w:tcPr>
            <w:tcW w:w="9061" w:type="dxa"/>
          </w:tcPr>
          <w:p w14:paraId="03EE48E2" w14:textId="77777777" w:rsidR="0049703E" w:rsidRPr="007C0C80" w:rsidRDefault="0049703E" w:rsidP="0049703E">
            <w:pPr>
              <w:pStyle w:val="BodyText"/>
              <w:rPr>
                <w:rStyle w:val="Characterbold"/>
              </w:rPr>
            </w:pPr>
            <w:r w:rsidRPr="007C0C80">
              <w:rPr>
                <w:rStyle w:val="Characterbold"/>
              </w:rPr>
              <w:t>Serious racial and religious vilification under the RRTA</w:t>
            </w:r>
          </w:p>
          <w:p w14:paraId="676EBE12" w14:textId="6E934C4E" w:rsidR="0049703E" w:rsidRPr="0049703E" w:rsidRDefault="0049703E" w:rsidP="0049703E">
            <w:pPr>
              <w:pStyle w:val="BodyText"/>
            </w:pPr>
            <w:r w:rsidRPr="0049703E">
              <w:t xml:space="preserve">Section 24 of the RRTA states that: </w:t>
            </w:r>
          </w:p>
          <w:p w14:paraId="638A3E4D" w14:textId="77777777" w:rsidR="00AC328C" w:rsidRDefault="0049703E" w:rsidP="00AC328C">
            <w:pPr>
              <w:pStyle w:val="ListNumber"/>
              <w:numPr>
                <w:ilvl w:val="0"/>
                <w:numId w:val="50"/>
              </w:numPr>
            </w:pPr>
            <w:r w:rsidRPr="0049703E">
              <w:t>A person (the offender) must not, on the ground of the race of another person or class of persons, intentionally engage in conduct that the offender knows is likely:</w:t>
            </w:r>
          </w:p>
          <w:p w14:paraId="5DD62EB0" w14:textId="77777777" w:rsidR="00AC328C" w:rsidRDefault="0049703E" w:rsidP="00AC328C">
            <w:pPr>
              <w:pStyle w:val="ListNumber"/>
              <w:numPr>
                <w:ilvl w:val="1"/>
                <w:numId w:val="50"/>
              </w:numPr>
            </w:pPr>
            <w:r w:rsidRPr="0049703E">
              <w:t>to incite hatred against that other person or class of persons; and </w:t>
            </w:r>
          </w:p>
          <w:p w14:paraId="073147A9" w14:textId="3E54FF62" w:rsidR="0049703E" w:rsidRPr="0049703E" w:rsidRDefault="0049703E" w:rsidP="00AC328C">
            <w:pPr>
              <w:pStyle w:val="ListNumber"/>
              <w:numPr>
                <w:ilvl w:val="1"/>
                <w:numId w:val="50"/>
              </w:numPr>
            </w:pPr>
            <w:r w:rsidRPr="0049703E">
              <w:t>to threaten, or incite others to threaten, physical harm towards that other person or class of persons or the property of that other person or class of persons. </w:t>
            </w:r>
          </w:p>
          <w:p w14:paraId="0896D6AB" w14:textId="58C3BBB8" w:rsidR="0049703E" w:rsidRPr="0049703E" w:rsidRDefault="0049703E" w:rsidP="00AC328C">
            <w:pPr>
              <w:pStyle w:val="BodyText"/>
              <w:numPr>
                <w:ilvl w:val="0"/>
                <w:numId w:val="50"/>
              </w:numPr>
            </w:pPr>
            <w:bookmarkStart w:id="12" w:name="engage_in_conduct"/>
            <w:r w:rsidRPr="0049703E">
              <w:t>A person (the offender) must not, on the ground of the race of another person or class of persons, intentionally engage in conduct that the offender knows is likely to incite serious contempt for, or revulsion or severe ridicule of, that other person or class of persons. </w:t>
            </w:r>
          </w:p>
          <w:p w14:paraId="1DB62169" w14:textId="77777777" w:rsidR="0049703E" w:rsidRPr="0049703E" w:rsidRDefault="0049703E" w:rsidP="0049703E">
            <w:pPr>
              <w:pStyle w:val="BodyText"/>
            </w:pPr>
            <w:r w:rsidRPr="0049703E">
              <w:t>Note: ‘Engage in conduct’ includes use of the internet or e-mail to publish or transmit statements or other material. </w:t>
            </w:r>
          </w:p>
          <w:bookmarkEnd w:id="12"/>
          <w:p w14:paraId="76CAF954" w14:textId="77777777" w:rsidR="00AC328C" w:rsidRDefault="0049703E" w:rsidP="00AC328C">
            <w:pPr>
              <w:pStyle w:val="ListNumber"/>
              <w:numPr>
                <w:ilvl w:val="0"/>
                <w:numId w:val="50"/>
              </w:numPr>
            </w:pPr>
            <w:r w:rsidRPr="0049703E">
              <w:t>For the purposes of subsections (1) and (2), conduct:</w:t>
            </w:r>
          </w:p>
          <w:p w14:paraId="09CCD4C2" w14:textId="5019547C" w:rsidR="009314FE" w:rsidRDefault="0049703E" w:rsidP="00AC328C">
            <w:pPr>
              <w:pStyle w:val="ListNumber"/>
              <w:numPr>
                <w:ilvl w:val="1"/>
                <w:numId w:val="50"/>
              </w:numPr>
            </w:pPr>
            <w:r w:rsidRPr="0049703E">
              <w:t>may be constituted by a single occasion or by a number of occasions over a period of time</w:t>
            </w:r>
          </w:p>
          <w:p w14:paraId="713EBE77" w14:textId="05543047" w:rsidR="0049703E" w:rsidRPr="0049703E" w:rsidRDefault="0049703E" w:rsidP="00AC328C">
            <w:pPr>
              <w:pStyle w:val="BodyTextindent"/>
              <w:numPr>
                <w:ilvl w:val="1"/>
                <w:numId w:val="50"/>
              </w:numPr>
            </w:pPr>
            <w:r w:rsidRPr="0049703E">
              <w:t>may occur in or outside Victoria. </w:t>
            </w:r>
          </w:p>
          <w:p w14:paraId="037E70DB" w14:textId="42E99C0C" w:rsidR="0049703E" w:rsidRPr="0049703E" w:rsidRDefault="0049703E" w:rsidP="0049703E">
            <w:pPr>
              <w:pStyle w:val="BodyText"/>
            </w:pPr>
            <w:r w:rsidRPr="0049703E">
              <w:t>Section 25 of the RRTA is drafted in the same terms except that section 25(1) refers to ‘religious belief or activity’ instead of ‘race’.</w:t>
            </w:r>
          </w:p>
        </w:tc>
      </w:tr>
    </w:tbl>
    <w:p w14:paraId="3641A015" w14:textId="4EF05188" w:rsidR="00FE6FEF" w:rsidRDefault="00FE6FEF" w:rsidP="00FE6FEF">
      <w:pPr>
        <w:pStyle w:val="BodyText"/>
      </w:pPr>
      <w:r w:rsidRPr="00FE6FEF">
        <w:t>In determining whether a person has committed serious racial or religious vilification, it is irrelevant whether the person made an incorrect assumption about the race or religious belief or activity of another person or group at the time of the offence.</w:t>
      </w:r>
      <w:r w:rsidRPr="00FE6FEF">
        <w:rPr>
          <w:rStyle w:val="EndnoteReference"/>
        </w:rPr>
        <w:endnoteReference w:id="17"/>
      </w:r>
      <w:r w:rsidRPr="00FE6FEF">
        <w:t xml:space="preserve"> </w:t>
      </w:r>
    </w:p>
    <w:p w14:paraId="64BDF247" w14:textId="720617CB" w:rsidR="00155E54" w:rsidRDefault="001835B8" w:rsidP="00FE6FEF">
      <w:pPr>
        <w:pStyle w:val="BodyText"/>
      </w:pPr>
      <w:r>
        <w:t>There has only been one successful prosecution of serious vilification under the RRTA</w:t>
      </w:r>
      <w:r w:rsidR="00FB4996">
        <w:t xml:space="preserve">, </w:t>
      </w:r>
      <w:r w:rsidR="00FB4996" w:rsidRPr="00FB4996">
        <w:rPr>
          <w:rStyle w:val="Characteritalic"/>
        </w:rPr>
        <w:t>Cottrell v Smith</w:t>
      </w:r>
      <w:r w:rsidR="00FB4996" w:rsidRPr="00FB4996">
        <w:t xml:space="preserve"> [2019] VCC 2142</w:t>
      </w:r>
      <w:r>
        <w:t xml:space="preserve">. </w:t>
      </w:r>
      <w:r w:rsidR="007827E0">
        <w:t>In this case, o</w:t>
      </w:r>
      <w:r w:rsidR="00FB4996">
        <w:t>n</w:t>
      </w:r>
      <w:r w:rsidR="007827E0">
        <w:t xml:space="preserve"> </w:t>
      </w:r>
      <w:r w:rsidR="00155E54" w:rsidRPr="00155E54">
        <w:t xml:space="preserve">19 December 2019, the County Court of Victoria </w:t>
      </w:r>
      <w:r>
        <w:t xml:space="preserve">sent </w:t>
      </w:r>
      <w:r w:rsidR="00155E54" w:rsidRPr="00155E54">
        <w:t>a clear message</w:t>
      </w:r>
      <w:r w:rsidR="00810429">
        <w:t xml:space="preserve"> </w:t>
      </w:r>
      <w:r w:rsidR="007827E0">
        <w:t xml:space="preserve">about the seriousness of the vilification stating it is </w:t>
      </w:r>
      <w:r w:rsidR="0037672B">
        <w:t xml:space="preserve">‘antithetical to the fundamental principles of equality, </w:t>
      </w:r>
      <w:r w:rsidR="0037672B">
        <w:lastRenderedPageBreak/>
        <w:t>democratic pluralism, respect and dignity which lie at the heart of the protection of human rights.’</w:t>
      </w:r>
      <w:r w:rsidR="001001DD">
        <w:rPr>
          <w:rStyle w:val="EndnoteReference"/>
        </w:rPr>
        <w:endnoteReference w:id="18"/>
      </w:r>
    </w:p>
    <w:tbl>
      <w:tblPr>
        <w:tblStyle w:val="CustomTablebreakoutbox"/>
        <w:tblW w:w="0" w:type="auto"/>
        <w:tblLook w:val="04A0" w:firstRow="1" w:lastRow="0" w:firstColumn="1" w:lastColumn="0" w:noHBand="0" w:noVBand="1"/>
      </w:tblPr>
      <w:tblGrid>
        <w:gridCol w:w="9061"/>
      </w:tblGrid>
      <w:tr w:rsidR="002B26E4" w14:paraId="572D1B51" w14:textId="77777777" w:rsidTr="002B26E4">
        <w:tc>
          <w:tcPr>
            <w:tcW w:w="9061" w:type="dxa"/>
          </w:tcPr>
          <w:p w14:paraId="5AC2480D" w14:textId="437E019D" w:rsidR="002B26E4" w:rsidRPr="001835B8" w:rsidRDefault="002B26E4" w:rsidP="002B26E4">
            <w:pPr>
              <w:pStyle w:val="BodyText"/>
              <w:rPr>
                <w:rStyle w:val="Characterbold"/>
              </w:rPr>
            </w:pPr>
            <w:r>
              <w:rPr>
                <w:rStyle w:val="Characterbold"/>
              </w:rPr>
              <w:t>Victoria’s first successful prosecution of serious vilification</w:t>
            </w:r>
            <w:r w:rsidR="001835B8">
              <w:rPr>
                <w:rStyle w:val="Characterbold"/>
              </w:rPr>
              <w:t xml:space="preserve"> </w:t>
            </w:r>
            <w:r w:rsidR="00825739" w:rsidRPr="00825739">
              <w:rPr>
                <w:rStyle w:val="Characterclear"/>
              </w:rPr>
              <w:t xml:space="preserve">– </w:t>
            </w:r>
            <w:r w:rsidR="003508C5" w:rsidRPr="00AC328C">
              <w:rPr>
                <w:rStyle w:val="Characterbold"/>
                <w:i/>
              </w:rPr>
              <w:t>Cottrell v Smith</w:t>
            </w:r>
            <w:r w:rsidR="003508C5" w:rsidRPr="001835B8">
              <w:rPr>
                <w:rStyle w:val="Characterbold"/>
              </w:rPr>
              <w:t xml:space="preserve"> [2019] VCC 2142</w:t>
            </w:r>
          </w:p>
          <w:p w14:paraId="1975629A" w14:textId="5A34C3D7" w:rsidR="003508C5" w:rsidRPr="003508C5" w:rsidRDefault="003508C5" w:rsidP="003508C5">
            <w:pPr>
              <w:pStyle w:val="Heading5"/>
              <w:outlineLvl w:val="4"/>
              <w:rPr>
                <w:rStyle w:val="Characterclear"/>
              </w:rPr>
            </w:pPr>
            <w:r w:rsidRPr="003508C5">
              <w:rPr>
                <w:rStyle w:val="Characterclear"/>
              </w:rPr>
              <w:t>What was the case about?</w:t>
            </w:r>
          </w:p>
          <w:p w14:paraId="0CA51CAB" w14:textId="1D22AC13" w:rsidR="002B26E4" w:rsidRPr="002B26E4" w:rsidRDefault="002B26E4" w:rsidP="002B26E4">
            <w:pPr>
              <w:pStyle w:val="BodyText"/>
            </w:pPr>
            <w:r w:rsidRPr="002B26E4">
              <w:t>Mr Cottrell is a member of the far-right extremist group United Patriots Front (UPF). He participated in making a short video of a mock beheading of a mannequin in front of Bendigo Council offices. The video was uploaded to the UPF Facebook page and used to promote a rally or protest to be held a week later against a proposal of the Council for a Mosque to be built in Bendigo.</w:t>
            </w:r>
          </w:p>
          <w:p w14:paraId="5F40C74C" w14:textId="0991A660" w:rsidR="002B26E4" w:rsidRDefault="002B26E4" w:rsidP="002B26E4">
            <w:pPr>
              <w:pStyle w:val="BodyText"/>
            </w:pPr>
            <w:r w:rsidRPr="002B26E4">
              <w:t>In September 2017, the Magistrates Court of Victoria convicted Mr Cottrell of serious religious vilification under s 25(2) of the RRTA, fining him $2000. He was convicted for knowingly engaging in conduct with the intention of inciting serious contempt for, or revulsion or severe ridicule of</w:t>
            </w:r>
            <w:r w:rsidR="003508C5">
              <w:t xml:space="preserve"> Muslim people </w:t>
            </w:r>
            <w:r w:rsidRPr="002B26E4">
              <w:t>on the ground of their religious belief of activity. Mr Cottrell appealed the decision to the County Court. </w:t>
            </w:r>
          </w:p>
          <w:p w14:paraId="699CA104" w14:textId="54090F05" w:rsidR="003508C5" w:rsidRPr="002B26E4" w:rsidRDefault="003508C5" w:rsidP="003508C5">
            <w:pPr>
              <w:pStyle w:val="Heading5"/>
              <w:outlineLvl w:val="4"/>
              <w:rPr>
                <w:rStyle w:val="Characterclear"/>
                <w:lang w:eastAsia="en-US"/>
              </w:rPr>
            </w:pPr>
            <w:r w:rsidRPr="003508C5">
              <w:rPr>
                <w:rStyle w:val="Characterclear"/>
              </w:rPr>
              <w:t>What were the arguments?</w:t>
            </w:r>
          </w:p>
          <w:p w14:paraId="3785404C" w14:textId="6CB31E3D" w:rsidR="002B26E4" w:rsidRDefault="002B26E4" w:rsidP="002B26E4">
            <w:pPr>
              <w:pStyle w:val="BodyText"/>
            </w:pPr>
            <w:r w:rsidRPr="002B26E4">
              <w:t>Mr Cottrell argue</w:t>
            </w:r>
            <w:r w:rsidR="003508C5">
              <w:t xml:space="preserve">d unsuccessfully that: </w:t>
            </w:r>
          </w:p>
          <w:p w14:paraId="457483F5" w14:textId="66B9E5DA" w:rsidR="002B26E4" w:rsidRDefault="002B26E4" w:rsidP="00581014">
            <w:pPr>
              <w:pStyle w:val="ListBullet"/>
            </w:pPr>
            <w:r w:rsidRPr="002B26E4">
              <w:t>It hadn’t been proved, beyond reasonable doubt, that he had the necessary ‘intention’ required for the offence of serious religious vilification. </w:t>
            </w:r>
          </w:p>
          <w:p w14:paraId="1F9B53D8" w14:textId="0E445C21" w:rsidR="002B26E4" w:rsidRDefault="002B26E4" w:rsidP="00581014">
            <w:pPr>
              <w:pStyle w:val="ListBullet"/>
            </w:pPr>
            <w:r w:rsidRPr="002B26E4">
              <w:t xml:space="preserve">His conduct was akin to a mere insult and fell into the category of political discourse. He </w:t>
            </w:r>
            <w:r w:rsidR="002D2FA4">
              <w:t>argued</w:t>
            </w:r>
            <w:r w:rsidRPr="002B26E4">
              <w:t xml:space="preserve"> that s 25(2) should be read down or narrowed to exclude political discourse, having regard to the Charter rights of freedom of expression</w:t>
            </w:r>
            <w:r w:rsidR="003508C5">
              <w:t xml:space="preserve">, </w:t>
            </w:r>
            <w:r w:rsidRPr="002B26E4">
              <w:t>freedom of thought, conscience, religion and belief and taking part in public life</w:t>
            </w:r>
            <w:r w:rsidR="003508C5">
              <w:t>.</w:t>
            </w:r>
          </w:p>
          <w:p w14:paraId="1839EC18" w14:textId="2EAC6C59" w:rsidR="002B26E4" w:rsidRPr="002B26E4" w:rsidRDefault="002B26E4" w:rsidP="00581014">
            <w:pPr>
              <w:pStyle w:val="ListBullet"/>
            </w:pPr>
            <w:r w:rsidRPr="002B26E4">
              <w:t>The offence of serious religious vilification is unconstitutional because it infringes the implied freedom of political communication.</w:t>
            </w:r>
          </w:p>
          <w:p w14:paraId="7A3D8BE2" w14:textId="0D108746" w:rsidR="003508C5" w:rsidRPr="003508C5" w:rsidRDefault="003508C5" w:rsidP="003508C5">
            <w:pPr>
              <w:pStyle w:val="Heading5"/>
              <w:outlineLvl w:val="4"/>
              <w:rPr>
                <w:rStyle w:val="Characterclear"/>
              </w:rPr>
            </w:pPr>
            <w:r w:rsidRPr="003508C5">
              <w:rPr>
                <w:rStyle w:val="Characterclear"/>
              </w:rPr>
              <w:t>What did the court find?</w:t>
            </w:r>
          </w:p>
          <w:p w14:paraId="5AD4C3B0" w14:textId="7EFCF7DF" w:rsidR="002B26E4" w:rsidRDefault="002B26E4" w:rsidP="002B26E4">
            <w:pPr>
              <w:pStyle w:val="BodyText"/>
            </w:pPr>
            <w:r w:rsidRPr="002B26E4">
              <w:t>His Honour Chief Judge Kidd upheld the conviction</w:t>
            </w:r>
            <w:r w:rsidR="002D2FA4">
              <w:t xml:space="preserve">, finding that: </w:t>
            </w:r>
          </w:p>
          <w:p w14:paraId="13AC6FD4" w14:textId="55DDF979" w:rsidR="002C293A" w:rsidRPr="002B26E4" w:rsidRDefault="002B26E4" w:rsidP="00581014">
            <w:pPr>
              <w:pStyle w:val="ListBullet"/>
            </w:pPr>
            <w:r w:rsidRPr="002B26E4">
              <w:t xml:space="preserve">Mr Cottrell knowingly engaged in conduct with the intention of inciting people who viewed the UPF Facebook page to experience serious contempt for, or revulsion, or severe ridicule of Muslims. The video was purposeful and calculated – intended to incite visceral, impactful and lasting emotions and </w:t>
            </w:r>
            <w:r w:rsidR="002C293A">
              <w:t>‘</w:t>
            </w:r>
            <w:r w:rsidRPr="002B26E4">
              <w:t>whip up extreme negative feelings</w:t>
            </w:r>
            <w:r w:rsidR="002C293A">
              <w:t>’</w:t>
            </w:r>
            <w:r w:rsidRPr="002B26E4">
              <w:t xml:space="preserve"> including </w:t>
            </w:r>
            <w:r w:rsidR="002C293A">
              <w:t>‘</w:t>
            </w:r>
            <w:r w:rsidRPr="002B26E4">
              <w:t>fear, loathing, disgust and alarm</w:t>
            </w:r>
            <w:r w:rsidR="002C293A">
              <w:t>’</w:t>
            </w:r>
            <w:r w:rsidR="002D2FA4">
              <w:t>.</w:t>
            </w:r>
            <w:r w:rsidR="00E4193B">
              <w:rPr>
                <w:rStyle w:val="EndnoteReference"/>
              </w:rPr>
              <w:endnoteReference w:id="19"/>
            </w:r>
          </w:p>
          <w:p w14:paraId="28BF9881" w14:textId="19E3B9F3" w:rsidR="002B26E4" w:rsidRDefault="002D2FA4" w:rsidP="00581014">
            <w:pPr>
              <w:pStyle w:val="ListBullet"/>
            </w:pPr>
            <w:r>
              <w:t>s</w:t>
            </w:r>
            <w:r w:rsidR="002B26E4" w:rsidRPr="002B26E4">
              <w:t xml:space="preserve"> 25(2) of the RRTA does not engage the Charter rights of freedom of thought, conscience, religion and belief, freedom of expression</w:t>
            </w:r>
            <w:r w:rsidR="003508C5">
              <w:t xml:space="preserve"> </w:t>
            </w:r>
            <w:r w:rsidR="002B26E4" w:rsidRPr="002B26E4">
              <w:t xml:space="preserve">and taking part in public life. </w:t>
            </w:r>
            <w:r>
              <w:t>However, if</w:t>
            </w:r>
            <w:r w:rsidR="002B26E4" w:rsidRPr="002B26E4">
              <w:t xml:space="preserve"> there are some restrictions on Charter rights, the limits are at the very margins and are reasonable and justified in law.</w:t>
            </w:r>
          </w:p>
          <w:p w14:paraId="0CFCBEB7" w14:textId="530108F8" w:rsidR="002B26E4" w:rsidRPr="002B26E4" w:rsidRDefault="003508C5" w:rsidP="00581014">
            <w:pPr>
              <w:pStyle w:val="ListBullet"/>
              <w:rPr>
                <w:rStyle w:val="Characterbold"/>
                <w:rFonts w:ascii="Times New Roman" w:hAnsi="Times New Roman"/>
                <w:b w:val="0"/>
              </w:rPr>
            </w:pPr>
            <w:r>
              <w:t>s</w:t>
            </w:r>
            <w:r w:rsidR="002B26E4" w:rsidRPr="002B26E4">
              <w:t xml:space="preserve"> 25(2) does not burden </w:t>
            </w:r>
            <w:r w:rsidR="004A713B">
              <w:t xml:space="preserve">the implied constitutional right of </w:t>
            </w:r>
            <w:r w:rsidR="002B26E4" w:rsidRPr="002B26E4">
              <w:t xml:space="preserve">political communication. Even </w:t>
            </w:r>
            <w:r>
              <w:t>if it did</w:t>
            </w:r>
            <w:r w:rsidR="002B26E4" w:rsidRPr="002B26E4">
              <w:t>, i</w:t>
            </w:r>
            <w:r w:rsidR="002D2FA4">
              <w:t>t</w:t>
            </w:r>
            <w:r w:rsidR="002B26E4" w:rsidRPr="002B26E4">
              <w:t xml:space="preserve"> is reasonably appropriate and adapted to a legitimate purpose</w:t>
            </w:r>
            <w:r w:rsidR="002D2FA4">
              <w:t>.</w:t>
            </w:r>
          </w:p>
        </w:tc>
      </w:tr>
    </w:tbl>
    <w:p w14:paraId="59F1F9E8" w14:textId="3D41A7B4" w:rsidR="000C6343" w:rsidRDefault="000C6343" w:rsidP="000C6343">
      <w:pPr>
        <w:pStyle w:val="Heading4"/>
      </w:pPr>
      <w:r>
        <w:t xml:space="preserve">Comparative hate crimes </w:t>
      </w:r>
    </w:p>
    <w:p w14:paraId="1ACB6F79" w14:textId="02FA143E" w:rsidR="000C6343" w:rsidRPr="0074318F" w:rsidRDefault="0074318F" w:rsidP="000C6343">
      <w:pPr>
        <w:pStyle w:val="BodyText"/>
        <w:rPr>
          <w:rStyle w:val="Characterclear"/>
        </w:rPr>
      </w:pPr>
      <w:r w:rsidRPr="0074318F">
        <w:rPr>
          <w:rStyle w:val="Characterclear"/>
        </w:rPr>
        <w:t xml:space="preserve">Comparative Australian jurisdictions </w:t>
      </w:r>
      <w:r w:rsidR="0057522F">
        <w:rPr>
          <w:rStyle w:val="Characterclear"/>
        </w:rPr>
        <w:t>have</w:t>
      </w:r>
      <w:r w:rsidR="005A2787">
        <w:rPr>
          <w:rStyle w:val="Characterclear"/>
        </w:rPr>
        <w:t xml:space="preserve"> </w:t>
      </w:r>
      <w:r w:rsidR="0057522F">
        <w:rPr>
          <w:rStyle w:val="Characterclear"/>
        </w:rPr>
        <w:t xml:space="preserve">prejudice-motivated criminal </w:t>
      </w:r>
      <w:r w:rsidR="005A2787">
        <w:rPr>
          <w:rStyle w:val="Characterclear"/>
        </w:rPr>
        <w:t>offen</w:t>
      </w:r>
      <w:r w:rsidR="00CD692D">
        <w:rPr>
          <w:rStyle w:val="Characterclear"/>
        </w:rPr>
        <w:t>c</w:t>
      </w:r>
      <w:r w:rsidR="005A2787">
        <w:rPr>
          <w:rStyle w:val="Characterclear"/>
        </w:rPr>
        <w:t xml:space="preserve">es </w:t>
      </w:r>
      <w:r w:rsidR="009B7AAD">
        <w:rPr>
          <w:rStyle w:val="Characterclear"/>
        </w:rPr>
        <w:t xml:space="preserve">for: </w:t>
      </w:r>
    </w:p>
    <w:p w14:paraId="68EF3B59" w14:textId="77777777" w:rsidR="00A50A58" w:rsidRDefault="00CD692D" w:rsidP="00C67716">
      <w:pPr>
        <w:pStyle w:val="ListNumber"/>
        <w:numPr>
          <w:ilvl w:val="0"/>
          <w:numId w:val="21"/>
        </w:numPr>
        <w:rPr>
          <w:rStyle w:val="Characterclear"/>
        </w:rPr>
      </w:pPr>
      <w:r>
        <w:rPr>
          <w:rStyle w:val="Characterclear"/>
        </w:rPr>
        <w:t xml:space="preserve">intentional or reckless incitement </w:t>
      </w:r>
      <w:r w:rsidR="009B7AAD">
        <w:rPr>
          <w:rStyle w:val="Characterclear"/>
        </w:rPr>
        <w:t xml:space="preserve">and/or threats </w:t>
      </w:r>
      <w:r w:rsidR="00386653">
        <w:rPr>
          <w:rStyle w:val="Characterclear"/>
        </w:rPr>
        <w:t>(incitement offences)</w:t>
      </w:r>
    </w:p>
    <w:p w14:paraId="4469EFF1" w14:textId="49C36B11" w:rsidR="00866990" w:rsidRDefault="009B6665" w:rsidP="00C67716">
      <w:pPr>
        <w:pStyle w:val="ListNumber"/>
        <w:numPr>
          <w:ilvl w:val="0"/>
          <w:numId w:val="21"/>
        </w:numPr>
        <w:rPr>
          <w:rStyle w:val="Characterclear"/>
        </w:rPr>
      </w:pPr>
      <w:r>
        <w:rPr>
          <w:rStyle w:val="Characterclear"/>
        </w:rPr>
        <w:t xml:space="preserve">possession of material for dissemination </w:t>
      </w:r>
      <w:r w:rsidR="007E105C">
        <w:rPr>
          <w:rStyle w:val="Characterclear"/>
        </w:rPr>
        <w:t xml:space="preserve">or display </w:t>
      </w:r>
      <w:r w:rsidR="00386653">
        <w:rPr>
          <w:rStyle w:val="Characterclear"/>
        </w:rPr>
        <w:t>(possession offences)</w:t>
      </w:r>
    </w:p>
    <w:p w14:paraId="036087BA" w14:textId="740E06A7" w:rsidR="00226246" w:rsidRDefault="00226246" w:rsidP="00A50A58">
      <w:pPr>
        <w:pStyle w:val="TableListNumber"/>
        <w:numPr>
          <w:ilvl w:val="0"/>
          <w:numId w:val="6"/>
        </w:numPr>
        <w:ind w:left="357" w:hanging="357"/>
        <w:rPr>
          <w:rStyle w:val="Characterclear"/>
        </w:rPr>
      </w:pPr>
      <w:r>
        <w:rPr>
          <w:rStyle w:val="Characterclear"/>
        </w:rPr>
        <w:lastRenderedPageBreak/>
        <w:t>conduct that is intended to or likely to harass</w:t>
      </w:r>
      <w:r w:rsidR="00386653">
        <w:rPr>
          <w:rStyle w:val="Characterclear"/>
        </w:rPr>
        <w:t xml:space="preserve"> (harassment offences).</w:t>
      </w:r>
    </w:p>
    <w:tbl>
      <w:tblPr>
        <w:tblStyle w:val="CustomTablebasic"/>
        <w:tblW w:w="0" w:type="auto"/>
        <w:tblLayout w:type="fixed"/>
        <w:tblLook w:val="04A0" w:firstRow="1" w:lastRow="0" w:firstColumn="1" w:lastColumn="0" w:noHBand="0" w:noVBand="1"/>
      </w:tblPr>
      <w:tblGrid>
        <w:gridCol w:w="2552"/>
        <w:gridCol w:w="850"/>
        <w:gridCol w:w="5669"/>
      </w:tblGrid>
      <w:tr w:rsidR="00226246" w:rsidRPr="00FA6BF1" w14:paraId="74EC92B4" w14:textId="77777777" w:rsidTr="00345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4AD6C5B5" w14:textId="78D0323D" w:rsidR="00226246" w:rsidRPr="003458F0" w:rsidRDefault="00226246" w:rsidP="00226246">
            <w:pPr>
              <w:pStyle w:val="BodyText"/>
              <w:rPr>
                <w:rStyle w:val="Characterclear"/>
              </w:rPr>
            </w:pPr>
            <w:r w:rsidRPr="003458F0">
              <w:rPr>
                <w:rStyle w:val="Characterclear"/>
              </w:rPr>
              <w:t>Incitement offences</w:t>
            </w:r>
          </w:p>
        </w:tc>
        <w:tc>
          <w:tcPr>
            <w:tcW w:w="850" w:type="dxa"/>
          </w:tcPr>
          <w:p w14:paraId="2C6B911D" w14:textId="011C6816" w:rsidR="00226246" w:rsidRPr="00226246" w:rsidRDefault="002331FE" w:rsidP="00226246">
            <w:pPr>
              <w:pStyle w:val="BodyText"/>
              <w:cnfStyle w:val="100000000000" w:firstRow="1" w:lastRow="0" w:firstColumn="0" w:lastColumn="0" w:oddVBand="0" w:evenVBand="0" w:oddHBand="0" w:evenHBand="0" w:firstRowFirstColumn="0" w:firstRowLastColumn="0" w:lastRowFirstColumn="0" w:lastRowLastColumn="0"/>
            </w:pPr>
            <w:r>
              <w:t>CTH</w:t>
            </w:r>
          </w:p>
        </w:tc>
        <w:tc>
          <w:tcPr>
            <w:tcW w:w="5669" w:type="dxa"/>
          </w:tcPr>
          <w:p w14:paraId="35AACFA4" w14:textId="30015CD2" w:rsidR="00226246" w:rsidRPr="00226246" w:rsidRDefault="002331FE" w:rsidP="00226246">
            <w:pPr>
              <w:pStyle w:val="BodyText"/>
              <w:cnfStyle w:val="100000000000" w:firstRow="1" w:lastRow="0" w:firstColumn="0" w:lastColumn="0" w:oddVBand="0" w:evenVBand="0" w:oddHBand="0" w:evenHBand="0" w:firstRowFirstColumn="0" w:firstRowLastColumn="0" w:lastRowFirstColumn="0" w:lastRowLastColumn="0"/>
              <w:rPr>
                <w:rStyle w:val="Characterclear"/>
              </w:rPr>
            </w:pPr>
            <w:r w:rsidRPr="00014139">
              <w:rPr>
                <w:rStyle w:val="Characteritalic"/>
              </w:rPr>
              <w:t>Criminal Code Act 1995</w:t>
            </w:r>
            <w:r>
              <w:rPr>
                <w:rStyle w:val="Characterclear"/>
              </w:rPr>
              <w:t xml:space="preserve"> (Cth) ss </w:t>
            </w:r>
            <w:r w:rsidR="00014139">
              <w:rPr>
                <w:rStyle w:val="Characterclear"/>
              </w:rPr>
              <w:t>80.2A and 80.2B</w:t>
            </w:r>
          </w:p>
        </w:tc>
      </w:tr>
      <w:tr w:rsidR="00226246" w:rsidRPr="00FA6BF1" w14:paraId="463AC86B" w14:textId="77777777" w:rsidTr="003458F0">
        <w:tc>
          <w:tcPr>
            <w:cnfStyle w:val="001000000000" w:firstRow="0" w:lastRow="0" w:firstColumn="1" w:lastColumn="0" w:oddVBand="0" w:evenVBand="0" w:oddHBand="0" w:evenHBand="0" w:firstRowFirstColumn="0" w:firstRowLastColumn="0" w:lastRowFirstColumn="0" w:lastRowLastColumn="0"/>
            <w:tcW w:w="2552" w:type="dxa"/>
            <w:vMerge/>
          </w:tcPr>
          <w:p w14:paraId="32C4F236" w14:textId="77777777" w:rsidR="00226246" w:rsidRPr="00226246" w:rsidRDefault="00226246" w:rsidP="00226246">
            <w:pPr>
              <w:pStyle w:val="BodyText"/>
            </w:pPr>
          </w:p>
        </w:tc>
        <w:tc>
          <w:tcPr>
            <w:tcW w:w="850" w:type="dxa"/>
          </w:tcPr>
          <w:p w14:paraId="488CCDF8" w14:textId="62873A54" w:rsidR="00226246" w:rsidRPr="00226246" w:rsidRDefault="00DB199E" w:rsidP="00226246">
            <w:pPr>
              <w:pStyle w:val="BodyText"/>
              <w:cnfStyle w:val="000000000000" w:firstRow="0" w:lastRow="0" w:firstColumn="0" w:lastColumn="0" w:oddVBand="0" w:evenVBand="0" w:oddHBand="0" w:evenHBand="0" w:firstRowFirstColumn="0" w:firstRowLastColumn="0" w:lastRowFirstColumn="0" w:lastRowLastColumn="0"/>
            </w:pPr>
            <w:r>
              <w:t>NSW</w:t>
            </w:r>
          </w:p>
        </w:tc>
        <w:tc>
          <w:tcPr>
            <w:tcW w:w="5669" w:type="dxa"/>
          </w:tcPr>
          <w:p w14:paraId="5CC68074" w14:textId="73B8CFEA" w:rsidR="00226246" w:rsidRPr="00226246" w:rsidRDefault="00DB199E" w:rsidP="00226246">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DB199E">
              <w:rPr>
                <w:rStyle w:val="Characteritalic"/>
              </w:rPr>
              <w:t>Crimes Act 1900</w:t>
            </w:r>
            <w:r>
              <w:rPr>
                <w:rStyle w:val="Characterclear"/>
              </w:rPr>
              <w:t xml:space="preserve"> (NSW) s 93Z</w:t>
            </w:r>
          </w:p>
        </w:tc>
      </w:tr>
      <w:tr w:rsidR="00226246" w:rsidRPr="00FA6BF1" w14:paraId="69156B04" w14:textId="77777777" w:rsidTr="003458F0">
        <w:tc>
          <w:tcPr>
            <w:cnfStyle w:val="001000000000" w:firstRow="0" w:lastRow="0" w:firstColumn="1" w:lastColumn="0" w:oddVBand="0" w:evenVBand="0" w:oddHBand="0" w:evenHBand="0" w:firstRowFirstColumn="0" w:firstRowLastColumn="0" w:lastRowFirstColumn="0" w:lastRowLastColumn="0"/>
            <w:tcW w:w="2552" w:type="dxa"/>
            <w:vMerge/>
          </w:tcPr>
          <w:p w14:paraId="58278863" w14:textId="77777777" w:rsidR="00226246" w:rsidRPr="00226246" w:rsidRDefault="00226246" w:rsidP="00226246">
            <w:pPr>
              <w:pStyle w:val="BodyText"/>
            </w:pPr>
          </w:p>
        </w:tc>
        <w:tc>
          <w:tcPr>
            <w:tcW w:w="850" w:type="dxa"/>
          </w:tcPr>
          <w:p w14:paraId="7FA81DCB" w14:textId="2B917950" w:rsidR="00226246" w:rsidRPr="00226246" w:rsidRDefault="00CB6BA0" w:rsidP="00226246">
            <w:pPr>
              <w:pStyle w:val="BodyText"/>
              <w:cnfStyle w:val="000000000000" w:firstRow="0" w:lastRow="0" w:firstColumn="0" w:lastColumn="0" w:oddVBand="0" w:evenVBand="0" w:oddHBand="0" w:evenHBand="0" w:firstRowFirstColumn="0" w:firstRowLastColumn="0" w:lastRowFirstColumn="0" w:lastRowLastColumn="0"/>
            </w:pPr>
            <w:r>
              <w:t>SA</w:t>
            </w:r>
          </w:p>
        </w:tc>
        <w:tc>
          <w:tcPr>
            <w:tcW w:w="5669" w:type="dxa"/>
          </w:tcPr>
          <w:p w14:paraId="6F8C0129" w14:textId="2F6054F1" w:rsidR="00226246" w:rsidRPr="00A22ED5" w:rsidRDefault="00A22ED5" w:rsidP="00226246">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italic"/>
              </w:rPr>
              <w:t xml:space="preserve">Racial Vilification Act 1996 </w:t>
            </w:r>
            <w:r>
              <w:rPr>
                <w:rStyle w:val="Characterclear"/>
              </w:rPr>
              <w:t xml:space="preserve">(SA) </w:t>
            </w:r>
            <w:r w:rsidR="00CB6BA0">
              <w:rPr>
                <w:rStyle w:val="Characterclear"/>
              </w:rPr>
              <w:t>s 4</w:t>
            </w:r>
          </w:p>
        </w:tc>
      </w:tr>
      <w:tr w:rsidR="00226246" w:rsidRPr="00FA6BF1" w14:paraId="43AA8667" w14:textId="77777777" w:rsidTr="003458F0">
        <w:tc>
          <w:tcPr>
            <w:cnfStyle w:val="001000000000" w:firstRow="0" w:lastRow="0" w:firstColumn="1" w:lastColumn="0" w:oddVBand="0" w:evenVBand="0" w:oddHBand="0" w:evenHBand="0" w:firstRowFirstColumn="0" w:firstRowLastColumn="0" w:lastRowFirstColumn="0" w:lastRowLastColumn="0"/>
            <w:tcW w:w="2552" w:type="dxa"/>
            <w:vMerge/>
          </w:tcPr>
          <w:p w14:paraId="75B772A9" w14:textId="77777777" w:rsidR="00226246" w:rsidRPr="00226246" w:rsidRDefault="00226246" w:rsidP="00226246">
            <w:pPr>
              <w:pStyle w:val="BodyText"/>
            </w:pPr>
          </w:p>
        </w:tc>
        <w:tc>
          <w:tcPr>
            <w:tcW w:w="850" w:type="dxa"/>
          </w:tcPr>
          <w:p w14:paraId="19B6A10D" w14:textId="12609481" w:rsidR="00226246" w:rsidRPr="00226246" w:rsidRDefault="00CB6BA0" w:rsidP="00226246">
            <w:pPr>
              <w:pStyle w:val="BodyText"/>
              <w:cnfStyle w:val="000000000000" w:firstRow="0" w:lastRow="0" w:firstColumn="0" w:lastColumn="0" w:oddVBand="0" w:evenVBand="0" w:oddHBand="0" w:evenHBand="0" w:firstRowFirstColumn="0" w:firstRowLastColumn="0" w:lastRowFirstColumn="0" w:lastRowLastColumn="0"/>
            </w:pPr>
            <w:r>
              <w:t>QLD</w:t>
            </w:r>
          </w:p>
        </w:tc>
        <w:tc>
          <w:tcPr>
            <w:tcW w:w="5669" w:type="dxa"/>
          </w:tcPr>
          <w:p w14:paraId="0E4D39AE" w14:textId="1D004443" w:rsidR="00226246" w:rsidRPr="00226246" w:rsidRDefault="00CB6BA0" w:rsidP="00226246">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4745EC">
              <w:rPr>
                <w:rStyle w:val="Characteritalic"/>
              </w:rPr>
              <w:t>Anti-Discrimination Act</w:t>
            </w:r>
            <w:r>
              <w:rPr>
                <w:rStyle w:val="Characterclear"/>
              </w:rPr>
              <w:t xml:space="preserve"> (Q</w:t>
            </w:r>
            <w:r w:rsidR="004745EC">
              <w:rPr>
                <w:rStyle w:val="Characterclear"/>
              </w:rPr>
              <w:t xml:space="preserve">ld) s 131A(1) </w:t>
            </w:r>
          </w:p>
        </w:tc>
      </w:tr>
      <w:tr w:rsidR="00226246" w:rsidRPr="00FA6BF1" w14:paraId="781F6726" w14:textId="77777777" w:rsidTr="003458F0">
        <w:tc>
          <w:tcPr>
            <w:cnfStyle w:val="001000000000" w:firstRow="0" w:lastRow="0" w:firstColumn="1" w:lastColumn="0" w:oddVBand="0" w:evenVBand="0" w:oddHBand="0" w:evenHBand="0" w:firstRowFirstColumn="0" w:firstRowLastColumn="0" w:lastRowFirstColumn="0" w:lastRowLastColumn="0"/>
            <w:tcW w:w="2552" w:type="dxa"/>
            <w:vMerge/>
          </w:tcPr>
          <w:p w14:paraId="7FF2EE1D" w14:textId="77777777" w:rsidR="00226246" w:rsidRPr="00226246" w:rsidRDefault="00226246" w:rsidP="00226246">
            <w:pPr>
              <w:pStyle w:val="BodyText"/>
            </w:pPr>
          </w:p>
        </w:tc>
        <w:tc>
          <w:tcPr>
            <w:tcW w:w="850" w:type="dxa"/>
          </w:tcPr>
          <w:p w14:paraId="25A5C06E" w14:textId="0D4AF951" w:rsidR="00226246" w:rsidRPr="00226246" w:rsidRDefault="00B942AB" w:rsidP="00226246">
            <w:pPr>
              <w:pStyle w:val="BodyText"/>
              <w:cnfStyle w:val="000000000000" w:firstRow="0" w:lastRow="0" w:firstColumn="0" w:lastColumn="0" w:oddVBand="0" w:evenVBand="0" w:oddHBand="0" w:evenHBand="0" w:firstRowFirstColumn="0" w:firstRowLastColumn="0" w:lastRowFirstColumn="0" w:lastRowLastColumn="0"/>
            </w:pPr>
            <w:r>
              <w:t>WA</w:t>
            </w:r>
          </w:p>
        </w:tc>
        <w:tc>
          <w:tcPr>
            <w:tcW w:w="5669" w:type="dxa"/>
          </w:tcPr>
          <w:p w14:paraId="62D3F308" w14:textId="721A655F" w:rsidR="00226246" w:rsidRPr="00226246" w:rsidRDefault="00B942AB" w:rsidP="00226246">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16504F">
              <w:rPr>
                <w:rStyle w:val="Characteritalic"/>
              </w:rPr>
              <w:t xml:space="preserve">Criminal Code </w:t>
            </w:r>
            <w:r w:rsidR="0016504F">
              <w:rPr>
                <w:rStyle w:val="Characteritalic"/>
              </w:rPr>
              <w:t xml:space="preserve">Act </w:t>
            </w:r>
            <w:r w:rsidRPr="0016504F">
              <w:rPr>
                <w:rStyle w:val="Characteritalic"/>
              </w:rPr>
              <w:t>Compilation Act 1913</w:t>
            </w:r>
            <w:r>
              <w:rPr>
                <w:rStyle w:val="Characterclear"/>
              </w:rPr>
              <w:t xml:space="preserve"> (WA) s</w:t>
            </w:r>
            <w:r w:rsidR="0016504F">
              <w:rPr>
                <w:rStyle w:val="Characterclear"/>
              </w:rPr>
              <w:t xml:space="preserve">s 77 and 78 </w:t>
            </w:r>
          </w:p>
        </w:tc>
      </w:tr>
      <w:tr w:rsidR="00226246" w:rsidRPr="00FA6BF1" w14:paraId="2EF9D518" w14:textId="77777777" w:rsidTr="003458F0">
        <w:tc>
          <w:tcPr>
            <w:cnfStyle w:val="001000000000" w:firstRow="0" w:lastRow="0" w:firstColumn="1" w:lastColumn="0" w:oddVBand="0" w:evenVBand="0" w:oddHBand="0" w:evenHBand="0" w:firstRowFirstColumn="0" w:firstRowLastColumn="0" w:lastRowFirstColumn="0" w:lastRowLastColumn="0"/>
            <w:tcW w:w="2552" w:type="dxa"/>
          </w:tcPr>
          <w:p w14:paraId="67C51690" w14:textId="721DD51F" w:rsidR="00226246" w:rsidRPr="003458F0" w:rsidRDefault="00226246" w:rsidP="00226246">
            <w:pPr>
              <w:pStyle w:val="BodyText"/>
              <w:rPr>
                <w:rStyle w:val="Characterclear"/>
              </w:rPr>
            </w:pPr>
            <w:r w:rsidRPr="003458F0">
              <w:rPr>
                <w:rStyle w:val="Characterclear"/>
              </w:rPr>
              <w:t>Possession offences</w:t>
            </w:r>
          </w:p>
        </w:tc>
        <w:tc>
          <w:tcPr>
            <w:tcW w:w="850" w:type="dxa"/>
          </w:tcPr>
          <w:p w14:paraId="0EFF7299" w14:textId="78E0F367" w:rsidR="00226246" w:rsidRPr="00226246" w:rsidRDefault="0016504F" w:rsidP="00226246">
            <w:pPr>
              <w:pStyle w:val="BodyText"/>
              <w:cnfStyle w:val="000000000000" w:firstRow="0" w:lastRow="0" w:firstColumn="0" w:lastColumn="0" w:oddVBand="0" w:evenVBand="0" w:oddHBand="0" w:evenHBand="0" w:firstRowFirstColumn="0" w:firstRowLastColumn="0" w:lastRowFirstColumn="0" w:lastRowLastColumn="0"/>
            </w:pPr>
            <w:r>
              <w:t>WA</w:t>
            </w:r>
          </w:p>
        </w:tc>
        <w:tc>
          <w:tcPr>
            <w:tcW w:w="5669" w:type="dxa"/>
          </w:tcPr>
          <w:p w14:paraId="78DC1AB7" w14:textId="08709A30" w:rsidR="00226246" w:rsidRPr="00226246" w:rsidRDefault="0016504F" w:rsidP="00226246">
            <w:pPr>
              <w:pStyle w:val="BodyText"/>
              <w:cnfStyle w:val="000000000000" w:firstRow="0" w:lastRow="0" w:firstColumn="0" w:lastColumn="0" w:oddVBand="0" w:evenVBand="0" w:oddHBand="0" w:evenHBand="0" w:firstRowFirstColumn="0" w:firstRowLastColumn="0" w:lastRowFirstColumn="0" w:lastRowLastColumn="0"/>
            </w:pPr>
            <w:r w:rsidRPr="0016504F">
              <w:rPr>
                <w:rStyle w:val="Characteritalic"/>
              </w:rPr>
              <w:t>Criminal Code Act Compilation Act 1913</w:t>
            </w:r>
            <w:r w:rsidRPr="0016504F">
              <w:rPr>
                <w:rStyle w:val="Characterclear"/>
              </w:rPr>
              <w:t xml:space="preserve"> (WA) ss</w:t>
            </w:r>
            <w:r w:rsidR="00ED42E0">
              <w:rPr>
                <w:rStyle w:val="Characterclear"/>
              </w:rPr>
              <w:t xml:space="preserve"> 79</w:t>
            </w:r>
            <w:r w:rsidR="003458F0">
              <w:rPr>
                <w:rStyle w:val="Characterclear"/>
              </w:rPr>
              <w:t>,</w:t>
            </w:r>
            <w:r w:rsidR="00ED42E0">
              <w:rPr>
                <w:rStyle w:val="Characterclear"/>
              </w:rPr>
              <w:t xml:space="preserve"> 80</w:t>
            </w:r>
            <w:r w:rsidR="003458F0">
              <w:rPr>
                <w:rStyle w:val="Characterclear"/>
              </w:rPr>
              <w:t>, 80C and 80D</w:t>
            </w:r>
            <w:r w:rsidR="00ED42E0">
              <w:rPr>
                <w:rStyle w:val="Characterclear"/>
              </w:rPr>
              <w:t xml:space="preserve"> </w:t>
            </w:r>
          </w:p>
        </w:tc>
      </w:tr>
      <w:tr w:rsidR="00226246" w:rsidRPr="00FA6BF1" w14:paraId="058CFF07" w14:textId="77777777" w:rsidTr="003458F0">
        <w:tc>
          <w:tcPr>
            <w:cnfStyle w:val="001000000000" w:firstRow="0" w:lastRow="0" w:firstColumn="1" w:lastColumn="0" w:oddVBand="0" w:evenVBand="0" w:oddHBand="0" w:evenHBand="0" w:firstRowFirstColumn="0" w:firstRowLastColumn="0" w:lastRowFirstColumn="0" w:lastRowLastColumn="0"/>
            <w:tcW w:w="2552" w:type="dxa"/>
          </w:tcPr>
          <w:p w14:paraId="77A9045C" w14:textId="629C9797" w:rsidR="00226246" w:rsidRPr="003458F0" w:rsidRDefault="00226246" w:rsidP="00226246">
            <w:pPr>
              <w:pStyle w:val="BodyText"/>
              <w:rPr>
                <w:rStyle w:val="Characterclear"/>
              </w:rPr>
            </w:pPr>
            <w:r w:rsidRPr="003458F0">
              <w:rPr>
                <w:rStyle w:val="Characterclear"/>
              </w:rPr>
              <w:t>Harassment offences</w:t>
            </w:r>
          </w:p>
        </w:tc>
        <w:tc>
          <w:tcPr>
            <w:tcW w:w="850" w:type="dxa"/>
          </w:tcPr>
          <w:p w14:paraId="2A192679" w14:textId="28BC2C76" w:rsidR="00226246" w:rsidRPr="00226246" w:rsidRDefault="00ED42E0" w:rsidP="00226246">
            <w:pPr>
              <w:pStyle w:val="BodyText"/>
              <w:cnfStyle w:val="000000000000" w:firstRow="0" w:lastRow="0" w:firstColumn="0" w:lastColumn="0" w:oddVBand="0" w:evenVBand="0" w:oddHBand="0" w:evenHBand="0" w:firstRowFirstColumn="0" w:firstRowLastColumn="0" w:lastRowFirstColumn="0" w:lastRowLastColumn="0"/>
            </w:pPr>
            <w:r>
              <w:t>WA</w:t>
            </w:r>
          </w:p>
        </w:tc>
        <w:tc>
          <w:tcPr>
            <w:tcW w:w="5669" w:type="dxa"/>
          </w:tcPr>
          <w:p w14:paraId="21E5BCE9" w14:textId="77A1794B" w:rsidR="00226246" w:rsidRPr="00226246" w:rsidRDefault="00ED42E0" w:rsidP="00226246">
            <w:pPr>
              <w:pStyle w:val="BodyText"/>
              <w:cnfStyle w:val="000000000000" w:firstRow="0" w:lastRow="0" w:firstColumn="0" w:lastColumn="0" w:oddVBand="0" w:evenVBand="0" w:oddHBand="0" w:evenHBand="0" w:firstRowFirstColumn="0" w:firstRowLastColumn="0" w:lastRowFirstColumn="0" w:lastRowLastColumn="0"/>
            </w:pPr>
            <w:r w:rsidRPr="00ED42E0">
              <w:rPr>
                <w:rStyle w:val="Characteritalic"/>
              </w:rPr>
              <w:t>Criminal Code Act Compilation Act 1913</w:t>
            </w:r>
            <w:r w:rsidRPr="00ED42E0">
              <w:rPr>
                <w:rStyle w:val="Characterclear"/>
              </w:rPr>
              <w:t xml:space="preserve"> (WA) ss</w:t>
            </w:r>
            <w:r>
              <w:rPr>
                <w:rStyle w:val="Characterclear"/>
              </w:rPr>
              <w:t xml:space="preserve"> </w:t>
            </w:r>
            <w:r w:rsidR="003458F0">
              <w:rPr>
                <w:rStyle w:val="Characterclear"/>
              </w:rPr>
              <w:t xml:space="preserve">80A and 80B </w:t>
            </w:r>
          </w:p>
        </w:tc>
      </w:tr>
    </w:tbl>
    <w:p w14:paraId="26A7187C" w14:textId="74723B24" w:rsidR="006D6E9F" w:rsidRDefault="008F6307" w:rsidP="006D6E9F">
      <w:pPr>
        <w:pStyle w:val="Heading3"/>
      </w:pPr>
      <w:r>
        <w:t>Criminal sanctions</w:t>
      </w:r>
    </w:p>
    <w:p w14:paraId="11717CFB" w14:textId="540AE016" w:rsidR="00F618D8" w:rsidRDefault="00F618D8" w:rsidP="00F618D8">
      <w:pPr>
        <w:pStyle w:val="Heading4"/>
        <w:rPr>
          <w:rStyle w:val="Characterclear"/>
        </w:rPr>
      </w:pPr>
      <w:r>
        <w:rPr>
          <w:rStyle w:val="Characterclear"/>
        </w:rPr>
        <w:t xml:space="preserve">Penalties </w:t>
      </w:r>
      <w:r w:rsidR="008F6307">
        <w:rPr>
          <w:rStyle w:val="Characterclear"/>
        </w:rPr>
        <w:t xml:space="preserve">for serious vilification </w:t>
      </w:r>
    </w:p>
    <w:p w14:paraId="19EA0A64" w14:textId="237958F6" w:rsidR="00F618D8" w:rsidRDefault="006D6E9F" w:rsidP="006D6E9F">
      <w:pPr>
        <w:pStyle w:val="BodyText"/>
        <w:rPr>
          <w:rStyle w:val="Characterclear"/>
        </w:rPr>
      </w:pPr>
      <w:r w:rsidRPr="006D6E9F">
        <w:rPr>
          <w:rStyle w:val="Characterclear"/>
        </w:rPr>
        <w:t>The maximum penalty for an offence under s</w:t>
      </w:r>
      <w:r w:rsidR="00AF4C3A">
        <w:rPr>
          <w:rStyle w:val="Characterclear"/>
        </w:rPr>
        <w:t>ections</w:t>
      </w:r>
      <w:r w:rsidRPr="006D6E9F">
        <w:rPr>
          <w:rStyle w:val="Characterclear"/>
        </w:rPr>
        <w:t xml:space="preserve"> 24 or 25 </w:t>
      </w:r>
      <w:r>
        <w:rPr>
          <w:rStyle w:val="Characterclear"/>
        </w:rPr>
        <w:t xml:space="preserve">of the RRTA </w:t>
      </w:r>
      <w:r w:rsidRPr="006D6E9F">
        <w:rPr>
          <w:rStyle w:val="Characterclear"/>
        </w:rPr>
        <w:t>is</w:t>
      </w:r>
      <w:r w:rsidR="00F618D8">
        <w:rPr>
          <w:rStyle w:val="Characterclear"/>
        </w:rPr>
        <w:t xml:space="preserve">: </w:t>
      </w:r>
    </w:p>
    <w:p w14:paraId="0508F13D" w14:textId="089B724F" w:rsidR="00F618D8" w:rsidRDefault="006D6E9F" w:rsidP="00841050">
      <w:pPr>
        <w:pStyle w:val="TableListBullet"/>
        <w:rPr>
          <w:rStyle w:val="Characterclear"/>
        </w:rPr>
      </w:pPr>
      <w:r w:rsidRPr="006D6E9F">
        <w:rPr>
          <w:rStyle w:val="Characterclear"/>
        </w:rPr>
        <w:t xml:space="preserve">300 penalty units ($49,566 at 1 July 2019) for a body corporate </w:t>
      </w:r>
    </w:p>
    <w:p w14:paraId="4D799860" w14:textId="1171CACA" w:rsidR="00607D6A" w:rsidRDefault="006D6E9F" w:rsidP="00841050">
      <w:pPr>
        <w:pStyle w:val="TableListBullet"/>
        <w:rPr>
          <w:rStyle w:val="Characterclear"/>
        </w:rPr>
      </w:pPr>
      <w:r w:rsidRPr="006D6E9F">
        <w:rPr>
          <w:rStyle w:val="Characterclear"/>
        </w:rPr>
        <w:t>60 penalty units ($9,913.20 at 1 July 2019) for an individual and/or 6 months’ imprisonment.</w:t>
      </w:r>
    </w:p>
    <w:p w14:paraId="557D6FB0" w14:textId="35D394E4" w:rsidR="00AF4C3A" w:rsidRDefault="00EE5790" w:rsidP="00841050">
      <w:pPr>
        <w:pStyle w:val="TableListNumber"/>
        <w:numPr>
          <w:ilvl w:val="0"/>
          <w:numId w:val="0"/>
        </w:numPr>
        <w:rPr>
          <w:lang w:eastAsia="en-AU"/>
        </w:rPr>
      </w:pPr>
      <w:r>
        <w:rPr>
          <w:rStyle w:val="Characterclear"/>
        </w:rPr>
        <w:t>The</w:t>
      </w:r>
      <w:r w:rsidR="00AF4C3A">
        <w:rPr>
          <w:rStyle w:val="Characterclear"/>
        </w:rPr>
        <w:t xml:space="preserve"> offence is a summary offence heard in the Magistrates’ Court and usually prosecuted by Victoria Police. </w:t>
      </w:r>
    </w:p>
    <w:p w14:paraId="7E43F871" w14:textId="0AF8E3D4" w:rsidR="0050159A" w:rsidRDefault="00F618D8" w:rsidP="0050159A">
      <w:pPr>
        <w:pStyle w:val="Heading4"/>
      </w:pPr>
      <w:r>
        <w:t xml:space="preserve">Sentencing </w:t>
      </w:r>
      <w:r w:rsidR="008F6307">
        <w:t xml:space="preserve">hate crime </w:t>
      </w:r>
    </w:p>
    <w:p w14:paraId="77E659B9" w14:textId="74FD3A4F" w:rsidR="000223EC" w:rsidRDefault="003636AB" w:rsidP="0050159A">
      <w:pPr>
        <w:pStyle w:val="BodyText"/>
      </w:pPr>
      <w:r>
        <w:t xml:space="preserve">In 2009, </w:t>
      </w:r>
      <w:r w:rsidR="00F67757">
        <w:t xml:space="preserve">the </w:t>
      </w:r>
      <w:r w:rsidR="00E06F2C" w:rsidRPr="00B70B58">
        <w:rPr>
          <w:rStyle w:val="Characteritalic"/>
        </w:rPr>
        <w:t xml:space="preserve">Sentencing Act </w:t>
      </w:r>
      <w:r w:rsidR="00B70B58" w:rsidRPr="00B70B58">
        <w:rPr>
          <w:rStyle w:val="Characteritalic"/>
        </w:rPr>
        <w:t>1991</w:t>
      </w:r>
      <w:r w:rsidR="00B70B58">
        <w:t xml:space="preserve"> (Vic) was </w:t>
      </w:r>
      <w:r w:rsidR="00F67757">
        <w:t>amended to require</w:t>
      </w:r>
      <w:r w:rsidR="00B70B58">
        <w:t xml:space="preserve"> </w:t>
      </w:r>
      <w:r w:rsidR="00F67757">
        <w:t xml:space="preserve">a </w:t>
      </w:r>
      <w:r w:rsidR="00546EDC">
        <w:t>sentencing</w:t>
      </w:r>
      <w:r w:rsidR="0004784B">
        <w:t xml:space="preserve"> </w:t>
      </w:r>
      <w:r w:rsidR="009E2651">
        <w:t>court</w:t>
      </w:r>
      <w:r w:rsidR="00940B45">
        <w:t xml:space="preserve"> </w:t>
      </w:r>
      <w:r w:rsidR="009E2651">
        <w:t xml:space="preserve">to consider </w:t>
      </w:r>
      <w:r w:rsidR="0004784B">
        <w:t>if</w:t>
      </w:r>
      <w:r w:rsidR="009E2651">
        <w:t xml:space="preserve"> a crime was motivated </w:t>
      </w:r>
      <w:r w:rsidR="00940B45">
        <w:t xml:space="preserve">by hatred or prejudice in sentencing an offender. </w:t>
      </w:r>
      <w:r w:rsidR="0004784B">
        <w:t xml:space="preserve">If so, </w:t>
      </w:r>
      <w:r w:rsidR="004B4939">
        <w:t>the hatred or prejudice-motivation</w:t>
      </w:r>
      <w:r w:rsidR="002B6EA3">
        <w:t xml:space="preserve"> is an aggravating factor, which increases the gravity of the offence and the moral culpability of the offender.</w:t>
      </w:r>
      <w:r w:rsidR="002B6EA3">
        <w:rPr>
          <w:rStyle w:val="EndnoteReference"/>
        </w:rPr>
        <w:endnoteReference w:id="20"/>
      </w:r>
      <w:r w:rsidR="00D24998">
        <w:t xml:space="preserve"> </w:t>
      </w:r>
    </w:p>
    <w:tbl>
      <w:tblPr>
        <w:tblStyle w:val="CustomTablebreakoutbox"/>
        <w:tblW w:w="0" w:type="auto"/>
        <w:tblLook w:val="04A0" w:firstRow="1" w:lastRow="0" w:firstColumn="1" w:lastColumn="0" w:noHBand="0" w:noVBand="1"/>
      </w:tblPr>
      <w:tblGrid>
        <w:gridCol w:w="9061"/>
      </w:tblGrid>
      <w:tr w:rsidR="00610261" w14:paraId="46C217EB" w14:textId="77777777" w:rsidTr="00610261">
        <w:tc>
          <w:tcPr>
            <w:tcW w:w="9061" w:type="dxa"/>
          </w:tcPr>
          <w:p w14:paraId="0B080E10" w14:textId="77777777" w:rsidR="00610261" w:rsidRDefault="00610261" w:rsidP="00610261">
            <w:pPr>
              <w:pStyle w:val="BodyText"/>
              <w:rPr>
                <w:rStyle w:val="Characterbold"/>
              </w:rPr>
            </w:pPr>
            <w:r>
              <w:rPr>
                <w:rStyle w:val="Characterbold"/>
              </w:rPr>
              <w:t xml:space="preserve">Section 5(2)(daaa) of the Sentencing Act </w:t>
            </w:r>
          </w:p>
          <w:p w14:paraId="3BAF14EA" w14:textId="546DC393" w:rsidR="00F67757" w:rsidRPr="00610261" w:rsidRDefault="00610261" w:rsidP="00610261">
            <w:pPr>
              <w:pStyle w:val="BodyText"/>
              <w:rPr>
                <w:rStyle w:val="Characterclear"/>
              </w:rPr>
            </w:pPr>
            <w:r>
              <w:rPr>
                <w:rStyle w:val="Characterclear"/>
              </w:rPr>
              <w:t xml:space="preserve">In sentencing an </w:t>
            </w:r>
            <w:r w:rsidR="00005A67">
              <w:rPr>
                <w:rStyle w:val="Characterclear"/>
              </w:rPr>
              <w:t>offender,</w:t>
            </w:r>
            <w:r w:rsidR="00FA5DAD">
              <w:rPr>
                <w:rStyle w:val="Characterclear"/>
              </w:rPr>
              <w:t xml:space="preserve"> a court must have regard to</w:t>
            </w:r>
            <w:r w:rsidR="00F67757">
              <w:rPr>
                <w:rStyle w:val="Characterclear"/>
              </w:rPr>
              <w:t xml:space="preserve"> </w:t>
            </w:r>
            <w:r w:rsidR="00F67757" w:rsidRPr="00F67757">
              <w:rPr>
                <w:lang w:eastAsia="en-AU"/>
              </w:rPr>
              <w:t>whether the offence was motivated</w:t>
            </w:r>
            <w:r w:rsidR="00F67757">
              <w:t xml:space="preserve"> </w:t>
            </w:r>
            <w:r w:rsidR="00F67757" w:rsidRPr="00F67757">
              <w:rPr>
                <w:lang w:eastAsia="en-AU"/>
              </w:rPr>
              <w:t>(wholly or partly) by hatred for or prejudice against a group of people with common characteristics with which the victim was associated or with which the offender believed the victim was associated</w:t>
            </w:r>
            <w:r w:rsidR="00F67757">
              <w:t>.</w:t>
            </w:r>
            <w:r w:rsidR="00F67757" w:rsidRPr="00F67757">
              <w:rPr>
                <w:lang w:eastAsia="en-AU"/>
              </w:rPr>
              <w:t xml:space="preserve"> </w:t>
            </w:r>
          </w:p>
        </w:tc>
      </w:tr>
    </w:tbl>
    <w:p w14:paraId="1C850AB2" w14:textId="7F93D86C" w:rsidR="00DA342B" w:rsidRDefault="00913A83" w:rsidP="00DB57A7">
      <w:pPr>
        <w:pStyle w:val="BodyText"/>
      </w:pPr>
      <w:r>
        <w:t>The provision</w:t>
      </w:r>
      <w:r w:rsidR="00CA44D0">
        <w:t xml:space="preserve"> does not </w:t>
      </w:r>
      <w:r w:rsidR="00DD64C6">
        <w:t xml:space="preserve">identify or limit the groups </w:t>
      </w:r>
      <w:r w:rsidR="00F21BD3">
        <w:t xml:space="preserve">that it </w:t>
      </w:r>
      <w:r w:rsidR="00EB31C0">
        <w:t>protects</w:t>
      </w:r>
      <w:r w:rsidR="00F21BD3">
        <w:t>.</w:t>
      </w:r>
      <w:r w:rsidR="00DA459E">
        <w:t xml:space="preserve"> However, the Attorney-General’s Second Reading Speech </w:t>
      </w:r>
      <w:r w:rsidR="006F5227">
        <w:t>noted that the amendment was intended to pro</w:t>
      </w:r>
      <w:r w:rsidR="009744BC">
        <w:t>tect</w:t>
      </w:r>
      <w:r w:rsidR="006F5227">
        <w:t xml:space="preserve"> </w:t>
      </w:r>
      <w:r w:rsidR="00FC1BD5">
        <w:t xml:space="preserve">groups </w:t>
      </w:r>
      <w:r>
        <w:t xml:space="preserve">with common characteristics such as </w:t>
      </w:r>
      <w:r w:rsidR="00F21BD3">
        <w:t>‘</w:t>
      </w:r>
      <w:r>
        <w:t xml:space="preserve">religious affiliation, racial or cultural origin, sexual orientation, sex, gender identity, age, impairment (within the meaning of the </w:t>
      </w:r>
      <w:r w:rsidRPr="0062782D">
        <w:rPr>
          <w:rStyle w:val="Characteritalic"/>
        </w:rPr>
        <w:t>Equal Opportunity Act 1995</w:t>
      </w:r>
      <w:r>
        <w:t>) and homelessness</w:t>
      </w:r>
      <w:r w:rsidR="00F21BD3">
        <w:t>’</w:t>
      </w:r>
      <w:r>
        <w:t>.</w:t>
      </w:r>
      <w:r w:rsidR="00F21BD3">
        <w:rPr>
          <w:rStyle w:val="EndnoteReference"/>
        </w:rPr>
        <w:endnoteReference w:id="21"/>
      </w:r>
      <w:r w:rsidR="00DA459E">
        <w:t xml:space="preserve"> </w:t>
      </w:r>
    </w:p>
    <w:p w14:paraId="65E2A6D6" w14:textId="5D6EDB3D" w:rsidR="00925389" w:rsidRDefault="00925389" w:rsidP="00925389">
      <w:pPr>
        <w:pStyle w:val="Heading3"/>
      </w:pPr>
      <w:r>
        <w:t xml:space="preserve">Interaction with other laws </w:t>
      </w:r>
    </w:p>
    <w:p w14:paraId="635BF0EE" w14:textId="2D693E47" w:rsidR="008E343C" w:rsidRDefault="008E343C" w:rsidP="008E343C">
      <w:pPr>
        <w:pStyle w:val="Heading4"/>
      </w:pPr>
      <w:r>
        <w:t xml:space="preserve">Victorian laws </w:t>
      </w:r>
    </w:p>
    <w:p w14:paraId="6374FB36" w14:textId="6D279C87" w:rsidR="006514C5" w:rsidRDefault="00674C97" w:rsidP="00B76A0D">
      <w:pPr>
        <w:pStyle w:val="BodyText"/>
      </w:pPr>
      <w:r>
        <w:t xml:space="preserve">The RRTA </w:t>
      </w:r>
      <w:r w:rsidR="000C6D9C">
        <w:t>is a part of a framework</w:t>
      </w:r>
      <w:r w:rsidR="006514C5">
        <w:t xml:space="preserve"> of </w:t>
      </w:r>
      <w:r w:rsidR="00BC098D">
        <w:t xml:space="preserve">equality and </w:t>
      </w:r>
      <w:r w:rsidR="006514C5">
        <w:t xml:space="preserve">human rights laws </w:t>
      </w:r>
      <w:r w:rsidR="00CB6698">
        <w:t>in Victoria</w:t>
      </w:r>
      <w:r w:rsidR="006514C5">
        <w:t xml:space="preserve">, including: </w:t>
      </w:r>
    </w:p>
    <w:p w14:paraId="394FAACC" w14:textId="6E12297E" w:rsidR="00635472" w:rsidRDefault="006514C5" w:rsidP="0069353C">
      <w:pPr>
        <w:pStyle w:val="ListBullet"/>
      </w:pPr>
      <w:r>
        <w:lastRenderedPageBreak/>
        <w:t xml:space="preserve">the EOA which prohibits discrimination, sexual harassment and victimisation </w:t>
      </w:r>
    </w:p>
    <w:p w14:paraId="74BAB333" w14:textId="26C97E38" w:rsidR="006514C5" w:rsidRDefault="007215E4" w:rsidP="0069353C">
      <w:pPr>
        <w:pStyle w:val="ListBullet"/>
      </w:pPr>
      <w:r>
        <w:t xml:space="preserve">the Charter </w:t>
      </w:r>
      <w:r w:rsidR="00DE6474">
        <w:t xml:space="preserve">which </w:t>
      </w:r>
      <w:r w:rsidR="00CB6698">
        <w:t xml:space="preserve">places a legal obligation on public authorities to act compatibly with human rights and to consider human rights when making decisions. </w:t>
      </w:r>
    </w:p>
    <w:p w14:paraId="672AF0A8" w14:textId="2B31FBE4" w:rsidR="00CD7EBE" w:rsidRDefault="005B23F2" w:rsidP="008A0907">
      <w:pPr>
        <w:pStyle w:val="BodyText"/>
      </w:pPr>
      <w:r>
        <w:t xml:space="preserve">Under the RRTA and the EOA, </w:t>
      </w:r>
      <w:r w:rsidR="00704AAE">
        <w:t xml:space="preserve">a person can make a complaint to the Commission for dispute resolution or </w:t>
      </w:r>
      <w:r w:rsidR="00375F48">
        <w:t xml:space="preserve">an application to VCAT. </w:t>
      </w:r>
      <w:r w:rsidR="00CD7EBE">
        <w:t xml:space="preserve">Complaints about </w:t>
      </w:r>
      <w:r w:rsidR="008A0907">
        <w:t xml:space="preserve">breaches of </w:t>
      </w:r>
      <w:r w:rsidR="00CD7EBE">
        <w:t>human rights</w:t>
      </w:r>
      <w:r w:rsidR="000C6D9C">
        <w:t xml:space="preserve"> under the Charter</w:t>
      </w:r>
      <w:r w:rsidR="00CD7EBE">
        <w:t xml:space="preserve"> </w:t>
      </w:r>
      <w:r w:rsidR="00142345">
        <w:t>can</w:t>
      </w:r>
      <w:r w:rsidR="00CD7EBE">
        <w:t xml:space="preserve"> be made to the Victorian Ombudsman, </w:t>
      </w:r>
      <w:r w:rsidR="008A0907">
        <w:t xml:space="preserve">the Independent Broad-Based Anti-Corruption Commission (about police misconduct) or other complaint-handling bodies such as the Disability Services Commissioner. </w:t>
      </w:r>
    </w:p>
    <w:p w14:paraId="1486466D" w14:textId="5E0B8C9D" w:rsidR="00BA3E6B" w:rsidRPr="00CD7EBE" w:rsidRDefault="00927BC2" w:rsidP="008A0907">
      <w:pPr>
        <w:pStyle w:val="BodyText"/>
      </w:pPr>
      <w:r>
        <w:t>In practice, there may be circumstances where the same conduct potentially breaches the RRTA, the EOA and/or the Charter</w:t>
      </w:r>
      <w:r w:rsidR="00331B04">
        <w:t>.</w:t>
      </w:r>
      <w:r w:rsidR="006A79EB">
        <w:t xml:space="preserve"> </w:t>
      </w:r>
      <w:r w:rsidR="00331B04">
        <w:t>S</w:t>
      </w:r>
      <w:r w:rsidR="006A79EB">
        <w:t xml:space="preserve">eparate complaints would need to be lodged under the RRTA and the EOA, </w:t>
      </w:r>
      <w:r w:rsidR="00B916B7">
        <w:t xml:space="preserve">but can </w:t>
      </w:r>
      <w:r w:rsidR="000C6D9C">
        <w:t xml:space="preserve">be </w:t>
      </w:r>
      <w:r w:rsidR="00510210">
        <w:t>heard together in the same conciliation</w:t>
      </w:r>
      <w:r w:rsidR="000C6D9C">
        <w:t xml:space="preserve"> conducted by the Commission</w:t>
      </w:r>
      <w:r w:rsidR="00B916B7">
        <w:t>. T</w:t>
      </w:r>
      <w:r w:rsidR="006A79EB">
        <w:t>here is</w:t>
      </w:r>
      <w:r w:rsidR="000C6D9C">
        <w:t xml:space="preserve"> currently</w:t>
      </w:r>
      <w:r w:rsidR="006A79EB">
        <w:t xml:space="preserve"> no direct resolution mechanism under the Charter. </w:t>
      </w:r>
    </w:p>
    <w:p w14:paraId="66AC3057" w14:textId="2B09093C" w:rsidR="005B23F2" w:rsidRDefault="008E343C" w:rsidP="008E343C">
      <w:pPr>
        <w:pStyle w:val="Heading4"/>
      </w:pPr>
      <w:r>
        <w:t xml:space="preserve">Federal laws </w:t>
      </w:r>
    </w:p>
    <w:p w14:paraId="11935C02" w14:textId="0E87BF01" w:rsidR="005D69CB" w:rsidRDefault="005D69CB" w:rsidP="005D69CB">
      <w:pPr>
        <w:pStyle w:val="Heading5"/>
      </w:pPr>
      <w:r>
        <w:t xml:space="preserve">Racial discrimination </w:t>
      </w:r>
    </w:p>
    <w:p w14:paraId="07E34F0D" w14:textId="5C99DE67" w:rsidR="00FE2E65" w:rsidRDefault="008E343C" w:rsidP="008E343C">
      <w:pPr>
        <w:pStyle w:val="BodyText"/>
      </w:pPr>
      <w:r w:rsidRPr="008E343C">
        <w:t xml:space="preserve">The RRTA </w:t>
      </w:r>
      <w:r w:rsidR="007359E7">
        <w:t xml:space="preserve">also </w:t>
      </w:r>
      <w:r w:rsidRPr="008E343C">
        <w:t xml:space="preserve">operates alongside the federal </w:t>
      </w:r>
      <w:r w:rsidRPr="008E343C">
        <w:rPr>
          <w:rStyle w:val="Characteritalic"/>
        </w:rPr>
        <w:t>Racial Discrimination Act 1975</w:t>
      </w:r>
      <w:r w:rsidRPr="008E343C">
        <w:t xml:space="preserve"> (Cth)</w:t>
      </w:r>
      <w:r w:rsidR="00AC619E">
        <w:t xml:space="preserve"> (RDA)</w:t>
      </w:r>
      <w:r w:rsidRPr="008E343C">
        <w:t xml:space="preserve">, which prohibits racial </w:t>
      </w:r>
      <w:r w:rsidR="00731D52">
        <w:t>hatred</w:t>
      </w:r>
      <w:r w:rsidR="00A56ECF">
        <w:t>.</w:t>
      </w:r>
      <w:r w:rsidR="00731D52">
        <w:rPr>
          <w:rStyle w:val="EndnoteReference"/>
        </w:rPr>
        <w:endnoteReference w:id="22"/>
      </w:r>
      <w:r w:rsidR="00731D52">
        <w:t xml:space="preserve"> </w:t>
      </w:r>
      <w:r w:rsidR="00477942">
        <w:t>There</w:t>
      </w:r>
      <w:r w:rsidR="00AC619E">
        <w:t xml:space="preserve"> may be circumstances where the same conduct potentially breaches the RRTA and the RDA. </w:t>
      </w:r>
      <w:r w:rsidR="003563B9">
        <w:t xml:space="preserve">In such circumstances, a person must select one jurisdiction </w:t>
      </w:r>
      <w:r w:rsidR="00422FEE">
        <w:t>to pursue the matter.</w:t>
      </w:r>
      <w:r w:rsidR="00FF7A4B">
        <w:t xml:space="preserve"> </w:t>
      </w:r>
      <w:r w:rsidR="005D69CB">
        <w:t xml:space="preserve">Complaints </w:t>
      </w:r>
      <w:r w:rsidR="00FF7A4B">
        <w:t xml:space="preserve">under the RDA can be made to the Australian Human Rights </w:t>
      </w:r>
      <w:r w:rsidR="007359E7">
        <w:t xml:space="preserve">Commission. If the complaint cannot be resolved, </w:t>
      </w:r>
      <w:r w:rsidR="008D6663">
        <w:t xml:space="preserve">the person can make an application to a </w:t>
      </w:r>
      <w:r w:rsidR="00A82041">
        <w:t>F</w:t>
      </w:r>
      <w:r w:rsidR="008D6663">
        <w:t xml:space="preserve">ederal </w:t>
      </w:r>
      <w:r w:rsidR="00A82041">
        <w:t>C</w:t>
      </w:r>
      <w:r w:rsidR="008D6663">
        <w:t xml:space="preserve">ourt. </w:t>
      </w:r>
      <w:r w:rsidR="007359E7">
        <w:t xml:space="preserve"> </w:t>
      </w:r>
    </w:p>
    <w:p w14:paraId="1CC68ED8" w14:textId="36360443" w:rsidR="005D69CB" w:rsidRDefault="005D69CB" w:rsidP="005D69CB">
      <w:pPr>
        <w:pStyle w:val="Heading5"/>
      </w:pPr>
      <w:r>
        <w:t xml:space="preserve">Religious discrimination </w:t>
      </w:r>
    </w:p>
    <w:p w14:paraId="387DC1DC" w14:textId="421829C4" w:rsidR="003B5F00" w:rsidRDefault="00A56ECF" w:rsidP="00B76A0D">
      <w:pPr>
        <w:pStyle w:val="BodyText"/>
        <w:rPr>
          <w:rStyle w:val="Characterclear"/>
        </w:rPr>
      </w:pPr>
      <w:r>
        <w:t xml:space="preserve">There is currently no federal law prohibiting religious discrimination. However, the </w:t>
      </w:r>
      <w:r w:rsidR="00FE2E65">
        <w:t>Australian Government</w:t>
      </w:r>
      <w:r>
        <w:t xml:space="preserve"> has recently released the second exposure draft of the Religious Discrimination Bill</w:t>
      </w:r>
      <w:r w:rsidR="00FE2E65">
        <w:t xml:space="preserve"> 2019</w:t>
      </w:r>
      <w:r w:rsidR="002C0610">
        <w:t xml:space="preserve"> (RDB)</w:t>
      </w:r>
      <w:r w:rsidR="00FE2E65">
        <w:t>.</w:t>
      </w:r>
      <w:r w:rsidR="00FE2E65">
        <w:rPr>
          <w:rStyle w:val="EndnoteReference"/>
        </w:rPr>
        <w:endnoteReference w:id="23"/>
      </w:r>
      <w:r w:rsidR="003B5F00">
        <w:t xml:space="preserve"> </w:t>
      </w:r>
      <w:r w:rsidR="00563A24">
        <w:t xml:space="preserve">In our submission to the first exposure draft of the RDB, </w:t>
      </w:r>
      <w:r w:rsidR="00486226">
        <w:t>we expressed</w:t>
      </w:r>
      <w:r w:rsidR="000C6D9C">
        <w:t xml:space="preserve"> support for the introduction of enforceable protections against religious discrimination for all people in Australia. However, we also expressed concern that</w:t>
      </w:r>
      <w:r w:rsidR="00056C57">
        <w:t xml:space="preserve"> the</w:t>
      </w:r>
      <w:r w:rsidR="000C6D9C">
        <w:t xml:space="preserve"> Bill would provide protection to religious belief or activity at the expense of other rights. We noted particular concern for </w:t>
      </w:r>
      <w:r w:rsidR="00B75A05">
        <w:rPr>
          <w:rStyle w:val="Characterclear"/>
        </w:rPr>
        <w:t>provisions that</w:t>
      </w:r>
      <w:r w:rsidR="000C6D9C">
        <w:rPr>
          <w:rStyle w:val="Characterclear"/>
        </w:rPr>
        <w:t xml:space="preserve"> seek to</w:t>
      </w:r>
      <w:r w:rsidR="00B75A05">
        <w:rPr>
          <w:rStyle w:val="Characterclear"/>
        </w:rPr>
        <w:t xml:space="preserve"> override state and territory anti-discrimination</w:t>
      </w:r>
      <w:r w:rsidR="00486226">
        <w:rPr>
          <w:rStyle w:val="Characterclear"/>
        </w:rPr>
        <w:t xml:space="preserve"> laws</w:t>
      </w:r>
      <w:r w:rsidR="00B75A05">
        <w:rPr>
          <w:rStyle w:val="Characterclear"/>
        </w:rPr>
        <w:t>.</w:t>
      </w:r>
      <w:r w:rsidR="00B75A05">
        <w:rPr>
          <w:rStyle w:val="EndnoteReference"/>
          <w:lang w:eastAsia="en-AU"/>
        </w:rPr>
        <w:endnoteReference w:id="24"/>
      </w:r>
      <w:r w:rsidR="00C32B40">
        <w:rPr>
          <w:rStyle w:val="Characterclear"/>
        </w:rPr>
        <w:t xml:space="preserve"> </w:t>
      </w:r>
      <w:r w:rsidR="00CE4A4A">
        <w:rPr>
          <w:rStyle w:val="Characterclear"/>
        </w:rPr>
        <w:t>We restated this point in our submission to the second exposure draft of the RDB</w:t>
      </w:r>
      <w:r w:rsidR="00D43B58">
        <w:rPr>
          <w:rStyle w:val="Characterclear"/>
        </w:rPr>
        <w:t xml:space="preserve">, submitted </w:t>
      </w:r>
      <w:r w:rsidR="005B098C">
        <w:rPr>
          <w:rStyle w:val="Characterclear"/>
        </w:rPr>
        <w:t>on</w:t>
      </w:r>
      <w:r w:rsidR="00D43B58">
        <w:rPr>
          <w:rStyle w:val="Characterclear"/>
        </w:rPr>
        <w:t xml:space="preserve"> 31 January 2020</w:t>
      </w:r>
      <w:r w:rsidR="00CE4A4A">
        <w:rPr>
          <w:rStyle w:val="Characterclear"/>
        </w:rPr>
        <w:t>.</w:t>
      </w:r>
    </w:p>
    <w:p w14:paraId="2AFDC0CC" w14:textId="2EA23FD2" w:rsidR="003B5F00" w:rsidRDefault="00C7643C" w:rsidP="00B76A0D">
      <w:pPr>
        <w:pStyle w:val="BodyText"/>
        <w:rPr>
          <w:rStyle w:val="Characterclear"/>
          <w:lang w:eastAsia="en-US"/>
        </w:rPr>
      </w:pPr>
      <w:r>
        <w:rPr>
          <w:rStyle w:val="Characterclear"/>
        </w:rPr>
        <w:t xml:space="preserve">In particular, clause </w:t>
      </w:r>
      <w:r w:rsidR="00F160CC">
        <w:rPr>
          <w:rStyle w:val="Characterclear"/>
        </w:rPr>
        <w:t xml:space="preserve">42 of the second exposure draft </w:t>
      </w:r>
      <w:r w:rsidR="007458B8">
        <w:rPr>
          <w:rStyle w:val="Characterclear"/>
        </w:rPr>
        <w:t>provides that ‘statements of belief’ do not constitute discrimination for the purposes of anti-discrimination law</w:t>
      </w:r>
      <w:r w:rsidR="00133091">
        <w:rPr>
          <w:rStyle w:val="Characterclear"/>
        </w:rPr>
        <w:t xml:space="preserve"> or contravene Tasmania’s harm-based vilification provision</w:t>
      </w:r>
      <w:r w:rsidR="007458B8">
        <w:rPr>
          <w:rStyle w:val="Characterclear"/>
        </w:rPr>
        <w:t>.</w:t>
      </w:r>
      <w:r w:rsidR="00DE1939">
        <w:rPr>
          <w:rStyle w:val="EndnoteReference"/>
          <w:lang w:eastAsia="en-AU"/>
        </w:rPr>
        <w:endnoteReference w:id="25"/>
      </w:r>
      <w:r>
        <w:rPr>
          <w:rStyle w:val="Characterclear"/>
        </w:rPr>
        <w:t xml:space="preserve"> </w:t>
      </w:r>
      <w:r w:rsidR="009C4C38">
        <w:rPr>
          <w:rStyle w:val="Characterclear"/>
        </w:rPr>
        <w:t xml:space="preserve">This means </w:t>
      </w:r>
      <w:r w:rsidR="009F796C">
        <w:rPr>
          <w:rStyle w:val="Characterclear"/>
        </w:rPr>
        <w:t xml:space="preserve">that individuals will be prevented from making complaints about </w:t>
      </w:r>
      <w:r w:rsidR="00C32B40">
        <w:rPr>
          <w:rStyle w:val="Characterclear"/>
        </w:rPr>
        <w:t xml:space="preserve">certain </w:t>
      </w:r>
      <w:r w:rsidR="009F796C">
        <w:rPr>
          <w:rStyle w:val="Characterclear"/>
        </w:rPr>
        <w:t xml:space="preserve">statements of religious belief </w:t>
      </w:r>
      <w:r w:rsidR="00272885">
        <w:rPr>
          <w:rStyle w:val="Characterclear"/>
        </w:rPr>
        <w:t>(for example, offensive, humiliating or insulting comments targeted at LGBTIQ people) which would otherwise be unlawful</w:t>
      </w:r>
      <w:r w:rsidR="001C08E1">
        <w:rPr>
          <w:rStyle w:val="Characterclear"/>
        </w:rPr>
        <w:t xml:space="preserve"> in some state and territory jurisdictions. </w:t>
      </w:r>
    </w:p>
    <w:p w14:paraId="350D5E5E" w14:textId="2C88515E" w:rsidR="008E343C" w:rsidRDefault="0089740F" w:rsidP="00B76A0D">
      <w:pPr>
        <w:pStyle w:val="BodyText"/>
        <w:rPr>
          <w:rStyle w:val="Characterclear"/>
        </w:rPr>
      </w:pPr>
      <w:r>
        <w:rPr>
          <w:rStyle w:val="Characterclear"/>
        </w:rPr>
        <w:t>This provision will</w:t>
      </w:r>
      <w:r w:rsidR="00CE0368">
        <w:rPr>
          <w:rStyle w:val="Characterclear"/>
        </w:rPr>
        <w:t xml:space="preserve"> have</w:t>
      </w:r>
      <w:r w:rsidR="00C32B40">
        <w:rPr>
          <w:rStyle w:val="Characterclear"/>
        </w:rPr>
        <w:t xml:space="preserve"> the effect of preventing federal and state and territory anti-discrimination laws from operating concurrently, as is the conventional approach. </w:t>
      </w:r>
      <w:r w:rsidR="005258CD">
        <w:rPr>
          <w:rStyle w:val="Characterclear"/>
        </w:rPr>
        <w:t>The</w:t>
      </w:r>
      <w:r w:rsidR="00C25B65">
        <w:rPr>
          <w:rStyle w:val="Characterclear"/>
        </w:rPr>
        <w:t xml:space="preserve"> </w:t>
      </w:r>
      <w:r w:rsidR="006331EC">
        <w:rPr>
          <w:rStyle w:val="Characterclear"/>
        </w:rPr>
        <w:t>RDB does not explicitly override the RRTA</w:t>
      </w:r>
      <w:r w:rsidR="00C25B65">
        <w:rPr>
          <w:rStyle w:val="Characterclear"/>
        </w:rPr>
        <w:t xml:space="preserve"> and </w:t>
      </w:r>
      <w:r w:rsidR="006A01C4">
        <w:rPr>
          <w:rStyle w:val="Characterclear"/>
        </w:rPr>
        <w:t xml:space="preserve">does not protect statements that </w:t>
      </w:r>
      <w:r w:rsidR="009765E8">
        <w:rPr>
          <w:rStyle w:val="Characterclear"/>
        </w:rPr>
        <w:t>would or are likely to ‘harass, threaten, seriously intimidate or vilify another person or group’</w:t>
      </w:r>
      <w:r w:rsidR="00513210">
        <w:rPr>
          <w:rStyle w:val="Characterclear"/>
        </w:rPr>
        <w:t xml:space="preserve"> (with ‘vilify’ defined to mean incitement of hatred or violence)</w:t>
      </w:r>
      <w:r w:rsidR="009765E8">
        <w:rPr>
          <w:rStyle w:val="Characterclear"/>
        </w:rPr>
        <w:t>.</w:t>
      </w:r>
      <w:r w:rsidR="00614C02">
        <w:rPr>
          <w:rStyle w:val="EndnoteReference"/>
          <w:lang w:eastAsia="en-AU"/>
        </w:rPr>
        <w:endnoteReference w:id="26"/>
      </w:r>
      <w:r w:rsidR="009765E8">
        <w:rPr>
          <w:rStyle w:val="Characterclear"/>
        </w:rPr>
        <w:t xml:space="preserve"> However, </w:t>
      </w:r>
      <w:r w:rsidR="006331EC">
        <w:rPr>
          <w:rStyle w:val="Characterclear"/>
        </w:rPr>
        <w:t xml:space="preserve">the Commission is significantly concerned about </w:t>
      </w:r>
      <w:r w:rsidR="009110F0">
        <w:rPr>
          <w:rStyle w:val="Characterclear"/>
        </w:rPr>
        <w:t xml:space="preserve">the potential for the </w:t>
      </w:r>
      <w:r w:rsidR="00A82041">
        <w:rPr>
          <w:rStyle w:val="Characterclear"/>
        </w:rPr>
        <w:t>RDB</w:t>
      </w:r>
      <w:r w:rsidR="009110F0">
        <w:rPr>
          <w:rStyle w:val="Characterclear"/>
        </w:rPr>
        <w:t xml:space="preserve">, if passed, to undermine </w:t>
      </w:r>
      <w:r w:rsidR="006331EC">
        <w:rPr>
          <w:rStyle w:val="Characterclear"/>
        </w:rPr>
        <w:t xml:space="preserve">any efforts to reform hate </w:t>
      </w:r>
      <w:r w:rsidR="00EB7E35">
        <w:rPr>
          <w:rStyle w:val="Characterclear"/>
        </w:rPr>
        <w:t>laws in Victoria</w:t>
      </w:r>
      <w:r w:rsidR="009110F0">
        <w:rPr>
          <w:rStyle w:val="Characterclear"/>
        </w:rPr>
        <w:t xml:space="preserve"> – including the </w:t>
      </w:r>
      <w:r w:rsidR="00EB7E35">
        <w:rPr>
          <w:rStyle w:val="Characterclear"/>
        </w:rPr>
        <w:t>potential to incorporate hate laws in the EOA</w:t>
      </w:r>
      <w:r w:rsidR="00B04FD0">
        <w:rPr>
          <w:rStyle w:val="Characterclear"/>
        </w:rPr>
        <w:t xml:space="preserve"> (rather than a standalone Act)</w:t>
      </w:r>
      <w:r w:rsidR="004009DD">
        <w:rPr>
          <w:rStyle w:val="Characterclear"/>
        </w:rPr>
        <w:t xml:space="preserve"> </w:t>
      </w:r>
      <w:r w:rsidR="002A4A58">
        <w:rPr>
          <w:rStyle w:val="Characterclear"/>
        </w:rPr>
        <w:t>(part</w:t>
      </w:r>
      <w:r w:rsidR="004009DD">
        <w:rPr>
          <w:rStyle w:val="Characterclear"/>
        </w:rPr>
        <w:t xml:space="preserve"> 5.1). </w:t>
      </w:r>
    </w:p>
    <w:p w14:paraId="0FC3F6B3" w14:textId="5AAF54C2" w:rsidR="00B41755" w:rsidRDefault="00B41755" w:rsidP="00930C8E">
      <w:pPr>
        <w:pStyle w:val="Heading2"/>
      </w:pPr>
      <w:bookmarkStart w:id="13" w:name="_Toc31392329"/>
      <w:r>
        <w:lastRenderedPageBreak/>
        <w:t>Enforcement of the RRTA</w:t>
      </w:r>
      <w:bookmarkEnd w:id="13"/>
      <w:r>
        <w:t xml:space="preserve"> </w:t>
      </w:r>
    </w:p>
    <w:p w14:paraId="135376D6" w14:textId="56DD632B" w:rsidR="00B41755" w:rsidRDefault="00B41755" w:rsidP="00B41755">
      <w:pPr>
        <w:pStyle w:val="BodyText"/>
      </w:pPr>
      <w:r>
        <w:t>If a person</w:t>
      </w:r>
      <w:r w:rsidR="0091482B">
        <w:t xml:space="preserve"> believes that they have experienced vilification under the RRTA, they can: </w:t>
      </w:r>
    </w:p>
    <w:p w14:paraId="06325E0A" w14:textId="1E4D72A2" w:rsidR="0091482B" w:rsidRDefault="0091482B" w:rsidP="00D14135">
      <w:pPr>
        <w:pStyle w:val="ListNumber"/>
        <w:numPr>
          <w:ilvl w:val="0"/>
          <w:numId w:val="19"/>
        </w:numPr>
      </w:pPr>
      <w:r>
        <w:t xml:space="preserve">make a complaint to the </w:t>
      </w:r>
      <w:r w:rsidR="005C6EF7">
        <w:t xml:space="preserve">Commission </w:t>
      </w:r>
    </w:p>
    <w:p w14:paraId="1C33623B" w14:textId="789EB734" w:rsidR="005C6EF7" w:rsidRDefault="005C6EF7" w:rsidP="00D14135">
      <w:pPr>
        <w:pStyle w:val="ListNumber"/>
        <w:numPr>
          <w:ilvl w:val="0"/>
          <w:numId w:val="19"/>
        </w:numPr>
      </w:pPr>
      <w:r>
        <w:t xml:space="preserve">apply to the Victorian Civil and Administrative Tribunal </w:t>
      </w:r>
    </w:p>
    <w:p w14:paraId="7BE735D5" w14:textId="10F6495E" w:rsidR="005C6EF7" w:rsidRDefault="005C6EF7" w:rsidP="00D14135">
      <w:pPr>
        <w:pStyle w:val="ListNumber"/>
        <w:numPr>
          <w:ilvl w:val="0"/>
          <w:numId w:val="19"/>
        </w:numPr>
      </w:pPr>
      <w:r>
        <w:t xml:space="preserve">report the matter to Victoria Police. </w:t>
      </w:r>
    </w:p>
    <w:p w14:paraId="792731BE" w14:textId="4ED63707" w:rsidR="00000739" w:rsidRPr="00000739" w:rsidRDefault="00AF527D" w:rsidP="00000739">
      <w:pPr>
        <w:pStyle w:val="Heading3"/>
      </w:pPr>
      <w:r>
        <w:t xml:space="preserve">Making a complaint to the Commission </w:t>
      </w:r>
    </w:p>
    <w:p w14:paraId="401A44B7" w14:textId="1C110A4D" w:rsidR="00000739" w:rsidRPr="00000739" w:rsidRDefault="00000739" w:rsidP="00000739">
      <w:pPr>
        <w:pStyle w:val="BodyText"/>
      </w:pPr>
      <w:r w:rsidRPr="00000739">
        <w:t xml:space="preserve">A person may </w:t>
      </w:r>
      <w:r w:rsidR="00D77B0F">
        <w:t>make a complaint to the Commission</w:t>
      </w:r>
      <w:r w:rsidRPr="00000739">
        <w:t xml:space="preserve"> under the RRTA for dispute resolution.</w:t>
      </w:r>
      <w:r w:rsidRPr="00000739">
        <w:rPr>
          <w:rStyle w:val="EndnoteReference"/>
        </w:rPr>
        <w:endnoteReference w:id="27"/>
      </w:r>
      <w:r w:rsidRPr="00000739">
        <w:t xml:space="preserve"> A representative body can also bring a dispute to the Commission.</w:t>
      </w:r>
      <w:r w:rsidRPr="00000739">
        <w:rPr>
          <w:rStyle w:val="EndnoteReference"/>
        </w:rPr>
        <w:endnoteReference w:id="28"/>
      </w:r>
    </w:p>
    <w:p w14:paraId="63A72222" w14:textId="26540FB9" w:rsidR="00E761FF" w:rsidRPr="00000739" w:rsidRDefault="00D77B0F" w:rsidP="007F2B9D">
      <w:pPr>
        <w:pStyle w:val="BodyText"/>
      </w:pPr>
      <w:r>
        <w:t>A complaint can be made</w:t>
      </w:r>
      <w:r w:rsidR="00000739" w:rsidRPr="00000739">
        <w:t xml:space="preserve"> against individuals of any age, corporations and unincorporated associations.</w:t>
      </w:r>
      <w:r w:rsidR="00000739" w:rsidRPr="00000739">
        <w:rPr>
          <w:rStyle w:val="EndnoteReference"/>
        </w:rPr>
        <w:endnoteReference w:id="29"/>
      </w:r>
    </w:p>
    <w:tbl>
      <w:tblPr>
        <w:tblStyle w:val="CustomTablebreakoutbox"/>
        <w:tblW w:w="0" w:type="auto"/>
        <w:tblLook w:val="04A0" w:firstRow="1" w:lastRow="0" w:firstColumn="1" w:lastColumn="0" w:noHBand="0" w:noVBand="1"/>
      </w:tblPr>
      <w:tblGrid>
        <w:gridCol w:w="9061"/>
      </w:tblGrid>
      <w:tr w:rsidR="00000739" w:rsidRPr="0049703E" w14:paraId="094A2F35" w14:textId="77777777" w:rsidTr="000C4112">
        <w:tc>
          <w:tcPr>
            <w:tcW w:w="9061" w:type="dxa"/>
          </w:tcPr>
          <w:p w14:paraId="67F1ED75" w14:textId="2FE1D7D2" w:rsidR="00000739" w:rsidRPr="003D7819" w:rsidRDefault="00000739" w:rsidP="00000739">
            <w:pPr>
              <w:pStyle w:val="BodyText"/>
              <w:rPr>
                <w:rStyle w:val="Characterbold"/>
              </w:rPr>
            </w:pPr>
            <w:r w:rsidRPr="003D7819">
              <w:rPr>
                <w:rStyle w:val="Characterbold"/>
              </w:rPr>
              <w:t xml:space="preserve">Snapshot of the Commission’s complaint </w:t>
            </w:r>
            <w:r w:rsidR="00822C36">
              <w:rPr>
                <w:rStyle w:val="Characterbold"/>
              </w:rPr>
              <w:t xml:space="preserve">and enquiry </w:t>
            </w:r>
            <w:r w:rsidRPr="003D7819">
              <w:rPr>
                <w:rStyle w:val="Characterbold"/>
              </w:rPr>
              <w:t xml:space="preserve">data </w:t>
            </w:r>
          </w:p>
          <w:p w14:paraId="03B10948" w14:textId="77777777" w:rsidR="00000739" w:rsidRDefault="003D7819" w:rsidP="00000739">
            <w:pPr>
              <w:pStyle w:val="BodyText"/>
            </w:pPr>
            <w:r>
              <w:t xml:space="preserve">Since the commencement of the RRTA in 2002, there have been a total of: </w:t>
            </w:r>
          </w:p>
          <w:p w14:paraId="01C26AC8" w14:textId="5510361D" w:rsidR="003D7819" w:rsidRDefault="003D7819" w:rsidP="0007677E">
            <w:pPr>
              <w:pStyle w:val="ListBullet"/>
            </w:pPr>
            <w:r>
              <w:t xml:space="preserve">335 complaints </w:t>
            </w:r>
            <w:r w:rsidR="00150E6B">
              <w:t xml:space="preserve">of racial vilification (averaging </w:t>
            </w:r>
            <w:r w:rsidR="00DD484E">
              <w:t>18.6</w:t>
            </w:r>
            <w:r w:rsidR="00150E6B">
              <w:t xml:space="preserve"> complaints per year)</w:t>
            </w:r>
          </w:p>
          <w:p w14:paraId="773A0526" w14:textId="72032105" w:rsidR="00DF07D1" w:rsidRDefault="00150E6B" w:rsidP="0007677E">
            <w:pPr>
              <w:pStyle w:val="ListBullet"/>
            </w:pPr>
            <w:r>
              <w:t xml:space="preserve">283 complaints of religious vilification (averaging </w:t>
            </w:r>
            <w:r w:rsidR="00060445">
              <w:t>15.8</w:t>
            </w:r>
            <w:r>
              <w:t xml:space="preserve"> complaints per year). </w:t>
            </w:r>
          </w:p>
          <w:p w14:paraId="06414DA5" w14:textId="77777777" w:rsidR="003712B5" w:rsidRDefault="00EF2CD0" w:rsidP="00EF2CD0">
            <w:pPr>
              <w:pStyle w:val="BodyText"/>
            </w:pPr>
            <w:r>
              <w:t xml:space="preserve">Complaints </w:t>
            </w:r>
            <w:r w:rsidR="003712B5">
              <w:t>to the Commission allege that vilification occurs in a range of places. For example, between July 2013 and June 2019:</w:t>
            </w:r>
          </w:p>
          <w:p w14:paraId="5CD71DBA" w14:textId="672268E1" w:rsidR="00EF2CD0" w:rsidRDefault="003712B5" w:rsidP="0007677E">
            <w:pPr>
              <w:pStyle w:val="ListBullet"/>
            </w:pPr>
            <w:r>
              <w:t>17 complaints were made against media outlets</w:t>
            </w:r>
            <w:r w:rsidR="00EF2CD0">
              <w:t xml:space="preserve"> </w:t>
            </w:r>
            <w:r>
              <w:t>(newspaper, radio and TV)</w:t>
            </w:r>
          </w:p>
          <w:p w14:paraId="2E1E692A" w14:textId="65CCC4CB" w:rsidR="003712B5" w:rsidRDefault="003712B5" w:rsidP="0007677E">
            <w:pPr>
              <w:pStyle w:val="ListBullet"/>
            </w:pPr>
            <w:r>
              <w:t xml:space="preserve">10 complaints </w:t>
            </w:r>
            <w:r w:rsidR="00E30944">
              <w:t>were against individuals in public places</w:t>
            </w:r>
          </w:p>
          <w:p w14:paraId="7BA68545" w14:textId="284AFC6E" w:rsidR="00E30944" w:rsidRDefault="00E30944" w:rsidP="0007677E">
            <w:pPr>
              <w:pStyle w:val="ListBullet"/>
            </w:pPr>
            <w:r>
              <w:t xml:space="preserve">5 complaints were in employment </w:t>
            </w:r>
          </w:p>
          <w:p w14:paraId="5FC2DE5A" w14:textId="2282D77E" w:rsidR="00E30944" w:rsidRDefault="00E30944" w:rsidP="0007677E">
            <w:pPr>
              <w:pStyle w:val="ListBullet"/>
            </w:pPr>
            <w:r>
              <w:t>4 complaints were in retail and clubs.</w:t>
            </w:r>
          </w:p>
          <w:p w14:paraId="1091AF6B" w14:textId="210581C7" w:rsidR="00FD58E2" w:rsidRDefault="00FD58E2" w:rsidP="00FD58E2">
            <w:pPr>
              <w:pStyle w:val="BodyText"/>
            </w:pPr>
            <w:r>
              <w:t>In the same period, the majority of complaints were made by</w:t>
            </w:r>
            <w:r w:rsidR="008E2204">
              <w:t xml:space="preserve"> Muslim people (</w:t>
            </w:r>
            <w:r w:rsidR="00DB22E5">
              <w:t>16</w:t>
            </w:r>
            <w:r w:rsidR="008E2204">
              <w:t xml:space="preserve"> complaints), Christian people (10 complaints), Jewish people (8 complaints) and Aboriginal people (8 complaints). </w:t>
            </w:r>
          </w:p>
          <w:p w14:paraId="472FA142" w14:textId="41DA39F1" w:rsidR="007B294A" w:rsidRPr="00000739" w:rsidRDefault="007B294A" w:rsidP="007B294A">
            <w:pPr>
              <w:pStyle w:val="BodyText"/>
            </w:pPr>
            <w:r>
              <w:t>In the six years between July 2013 and June 2019, the Commission received 615 enquiries</w:t>
            </w:r>
            <w:r w:rsidR="00A66AC3">
              <w:t xml:space="preserve"> from people seeking information about the RRTA.</w:t>
            </w:r>
          </w:p>
        </w:tc>
      </w:tr>
    </w:tbl>
    <w:p w14:paraId="1ADE1DD0" w14:textId="6D63159D" w:rsidR="007F2B9D" w:rsidRPr="00000739" w:rsidRDefault="007143EA" w:rsidP="007F2B9D">
      <w:pPr>
        <w:pStyle w:val="BodyText"/>
      </w:pPr>
      <w:r>
        <w:t>Many complaints</w:t>
      </w:r>
      <w:r w:rsidR="00FE3998">
        <w:t xml:space="preserve"> </w:t>
      </w:r>
      <w:r w:rsidR="00671CD2">
        <w:t xml:space="preserve">under the RRTA </w:t>
      </w:r>
      <w:r w:rsidR="00FE3998">
        <w:t xml:space="preserve">are resolved at conciliation </w:t>
      </w:r>
      <w:r>
        <w:t xml:space="preserve">with a range of outcomes such as </w:t>
      </w:r>
      <w:r w:rsidR="00FE3998">
        <w:t>an apology, financial compensatio</w:t>
      </w:r>
      <w:r w:rsidR="00D43D1E">
        <w:t>n</w:t>
      </w:r>
      <w:r w:rsidR="00671CD2">
        <w:t xml:space="preserve"> or </w:t>
      </w:r>
      <w:r w:rsidR="00D74C21">
        <w:t>a donation to a charity</w:t>
      </w:r>
      <w:r w:rsidR="00671CD2">
        <w:t>.</w:t>
      </w:r>
    </w:p>
    <w:tbl>
      <w:tblPr>
        <w:tblStyle w:val="CustomTablebreakoutbox"/>
        <w:tblW w:w="0" w:type="auto"/>
        <w:tblLook w:val="04A0" w:firstRow="1" w:lastRow="0" w:firstColumn="1" w:lastColumn="0" w:noHBand="0" w:noVBand="1"/>
      </w:tblPr>
      <w:tblGrid>
        <w:gridCol w:w="9061"/>
      </w:tblGrid>
      <w:tr w:rsidR="00000739" w14:paraId="3A65278D" w14:textId="77777777" w:rsidTr="000C4112">
        <w:tc>
          <w:tcPr>
            <w:tcW w:w="9061" w:type="dxa"/>
          </w:tcPr>
          <w:p w14:paraId="20D5EAEC" w14:textId="0882363E" w:rsidR="00000739" w:rsidRDefault="00000739" w:rsidP="00000739">
            <w:pPr>
              <w:pStyle w:val="BodyText"/>
              <w:rPr>
                <w:rStyle w:val="Characterbold"/>
              </w:rPr>
            </w:pPr>
            <w:r w:rsidRPr="00000739">
              <w:rPr>
                <w:rStyle w:val="Characterbold"/>
              </w:rPr>
              <w:t xml:space="preserve">Outcomes of conciliated complaints at the Commission </w:t>
            </w:r>
          </w:p>
          <w:p w14:paraId="066796E8" w14:textId="22512340" w:rsidR="005D0464" w:rsidRPr="00000739" w:rsidRDefault="005D0464" w:rsidP="00000739">
            <w:pPr>
              <w:pStyle w:val="BodyText"/>
              <w:rPr>
                <w:rStyle w:val="Characterbold"/>
              </w:rPr>
            </w:pPr>
            <w:r w:rsidRPr="005D0464">
              <w:t>Over the last six years, 64 per cent of conciliations under the</w:t>
            </w:r>
            <w:r>
              <w:t xml:space="preserve"> RRTA at the Commission have been resolved. Examples of conciliated outcomes include: </w:t>
            </w:r>
          </w:p>
          <w:p w14:paraId="6ADBC3DF" w14:textId="3A4401B6" w:rsidR="00000739" w:rsidRDefault="00000739" w:rsidP="00563980">
            <w:pPr>
              <w:pStyle w:val="ListBullet"/>
              <w:numPr>
                <w:ilvl w:val="0"/>
                <w:numId w:val="3"/>
              </w:numPr>
            </w:pPr>
            <w:r w:rsidRPr="00000739">
              <w:t>T</w:t>
            </w:r>
            <w:r w:rsidRPr="00DE7C9B">
              <w:t xml:space="preserve">he complainant alleged racial and religious vilification by a newspaper that allegedly published statements that were </w:t>
            </w:r>
            <w:r w:rsidR="001D5A81">
              <w:t>highly offensive</w:t>
            </w:r>
            <w:r w:rsidRPr="00DE7C9B">
              <w:t xml:space="preserve"> to the Jewish community and were disparaging towards Jewish business or community figures. The matter was resolved, without admission of liability, with an apology. </w:t>
            </w:r>
          </w:p>
          <w:p w14:paraId="34D0B206" w14:textId="64081507" w:rsidR="00103A13" w:rsidRPr="00DE7C9B" w:rsidRDefault="00103A13" w:rsidP="00563980">
            <w:pPr>
              <w:pStyle w:val="ListBullet"/>
              <w:numPr>
                <w:ilvl w:val="0"/>
                <w:numId w:val="3"/>
              </w:numPr>
            </w:pPr>
            <w:r w:rsidRPr="00DE7C9B">
              <w:t xml:space="preserve">The complainant alleged he was racially vilified at work when co-workers referred to him as a 'gook', 'slopehead' and 'rice eater'. He complained to management that he did not like being spoken to in this way and was laughed at and the vilification continued. The matter was resolved, without admission of liability, for compensation. </w:t>
            </w:r>
          </w:p>
          <w:p w14:paraId="0BF635C8" w14:textId="77777777" w:rsidR="00000739" w:rsidRPr="00000739" w:rsidRDefault="00000739" w:rsidP="00563980">
            <w:pPr>
              <w:pStyle w:val="ListBullet"/>
              <w:numPr>
                <w:ilvl w:val="0"/>
                <w:numId w:val="3"/>
              </w:numPr>
            </w:pPr>
            <w:r w:rsidRPr="00DE7C9B">
              <w:t xml:space="preserve">The complainant alleged his neighbour racially vilified him for being of Middle Eastern descent by verbally abusing his family on a daily basis. The </w:t>
            </w:r>
            <w:r w:rsidRPr="00DE7C9B">
              <w:lastRenderedPageBreak/>
              <w:t xml:space="preserve">complainant feared for his family's safety. The matter was resolved through an undertaking by the respondent to cease the behaviour. </w:t>
            </w:r>
          </w:p>
          <w:p w14:paraId="67D6E6E7" w14:textId="0245BA0E" w:rsidR="00000739" w:rsidRPr="007C5BAA" w:rsidRDefault="00000739" w:rsidP="00563980">
            <w:pPr>
              <w:pStyle w:val="ListBullet"/>
              <w:numPr>
                <w:ilvl w:val="0"/>
                <w:numId w:val="3"/>
              </w:numPr>
              <w:rPr>
                <w:rStyle w:val="Characterbold"/>
                <w:b w:val="0"/>
              </w:rPr>
            </w:pPr>
            <w:r w:rsidRPr="00DE7C9B">
              <w:t xml:space="preserve">The complainant, a man of Indian descent, was involved in a minor car accident. He alleged when he asked for the other driver's details, the driver refused and threatened to kill him and crack his head open. The matter was resolved, without admission of liability, with a written apology and compensation. </w:t>
            </w:r>
          </w:p>
        </w:tc>
      </w:tr>
    </w:tbl>
    <w:p w14:paraId="55AB2649" w14:textId="0FDF00B3" w:rsidR="00000739" w:rsidRDefault="00AF527D" w:rsidP="00AF527D">
      <w:pPr>
        <w:pStyle w:val="Heading3"/>
      </w:pPr>
      <w:r>
        <w:lastRenderedPageBreak/>
        <w:t xml:space="preserve">Making an application to VCAT </w:t>
      </w:r>
    </w:p>
    <w:p w14:paraId="792A994F" w14:textId="04C112F3" w:rsidR="00DE3A65" w:rsidRDefault="00DE3A65" w:rsidP="00DE3A65">
      <w:pPr>
        <w:pStyle w:val="BodyText"/>
      </w:pPr>
      <w:r>
        <w:t xml:space="preserve">A person can </w:t>
      </w:r>
      <w:r w:rsidR="00056C57">
        <w:t xml:space="preserve">also </w:t>
      </w:r>
      <w:r>
        <w:t xml:space="preserve">apply directly to VCAT </w:t>
      </w:r>
      <w:r w:rsidR="00465851">
        <w:t>alleging a breach of the RRTA</w:t>
      </w:r>
      <w:r>
        <w:t xml:space="preserve"> without making a complaint to the Commission</w:t>
      </w:r>
      <w:r w:rsidR="00465851">
        <w:t>.</w:t>
      </w:r>
      <w:r w:rsidR="00465851">
        <w:rPr>
          <w:rStyle w:val="EndnoteReference"/>
        </w:rPr>
        <w:endnoteReference w:id="30"/>
      </w:r>
      <w:r w:rsidR="00696251">
        <w:t xml:space="preserve"> </w:t>
      </w:r>
      <w:r w:rsidR="00054595">
        <w:t xml:space="preserve">A complaint that has been made to the Commission but has not been resolved through dispute resolution can also be brought to VCAT. </w:t>
      </w:r>
      <w:r w:rsidR="00696251">
        <w:t xml:space="preserve">If VCAT finds a person has breached the RRTA, it can make </w:t>
      </w:r>
      <w:r w:rsidR="000E7534">
        <w:t xml:space="preserve">an order that the person: </w:t>
      </w:r>
      <w:r w:rsidR="00696251">
        <w:t xml:space="preserve"> </w:t>
      </w:r>
    </w:p>
    <w:p w14:paraId="2C586537" w14:textId="54CFE6A4" w:rsidR="00696251" w:rsidRDefault="00696251" w:rsidP="00075571">
      <w:pPr>
        <w:pStyle w:val="ListBullet"/>
      </w:pPr>
      <w:r>
        <w:t>refrain from committing any further breaches of the Act</w:t>
      </w:r>
    </w:p>
    <w:p w14:paraId="705828EC" w14:textId="61984103" w:rsidR="00696251" w:rsidRDefault="00696251" w:rsidP="00075571">
      <w:pPr>
        <w:pStyle w:val="ListBullet"/>
      </w:pPr>
      <w:r>
        <w:t>pay</w:t>
      </w:r>
      <w:r w:rsidR="00416459">
        <w:t xml:space="preserve"> compensation for loss, damage or injury suffered</w:t>
      </w:r>
    </w:p>
    <w:p w14:paraId="0CD3957F" w14:textId="41B9CA7F" w:rsidR="00416459" w:rsidRDefault="00416459" w:rsidP="00075571">
      <w:pPr>
        <w:pStyle w:val="ListBullet"/>
      </w:pPr>
      <w:r>
        <w:t xml:space="preserve">do </w:t>
      </w:r>
      <w:r w:rsidR="000E7534">
        <w:t>anything specified</w:t>
      </w:r>
      <w:r>
        <w:t xml:space="preserve"> to redress the loss, damage or injury suffered</w:t>
      </w:r>
      <w:r w:rsidR="000E7534">
        <w:t>.</w:t>
      </w:r>
      <w:r w:rsidR="000E7534">
        <w:rPr>
          <w:rStyle w:val="EndnoteReference"/>
        </w:rPr>
        <w:endnoteReference w:id="31"/>
      </w:r>
    </w:p>
    <w:tbl>
      <w:tblPr>
        <w:tblStyle w:val="CustomTablebreakoutbox"/>
        <w:tblW w:w="0" w:type="auto"/>
        <w:tblLook w:val="04A0" w:firstRow="1" w:lastRow="0" w:firstColumn="1" w:lastColumn="0" w:noHBand="0" w:noVBand="1"/>
      </w:tblPr>
      <w:tblGrid>
        <w:gridCol w:w="9061"/>
      </w:tblGrid>
      <w:tr w:rsidR="001F2839" w14:paraId="2EEE8ECC" w14:textId="77777777" w:rsidTr="001F2839">
        <w:tc>
          <w:tcPr>
            <w:tcW w:w="9061" w:type="dxa"/>
          </w:tcPr>
          <w:p w14:paraId="3074ED77" w14:textId="102166B1" w:rsidR="001F2839" w:rsidRDefault="005C15E5" w:rsidP="00387438">
            <w:pPr>
              <w:pStyle w:val="BodyText"/>
              <w:rPr>
                <w:rStyle w:val="Characterbold"/>
              </w:rPr>
            </w:pPr>
            <w:r>
              <w:rPr>
                <w:rStyle w:val="Characterbold"/>
              </w:rPr>
              <w:t xml:space="preserve">The use of the RRTA in VCAT </w:t>
            </w:r>
          </w:p>
          <w:p w14:paraId="58E9E627" w14:textId="77777777" w:rsidR="005C15E5" w:rsidRPr="005C15E5" w:rsidRDefault="005C15E5" w:rsidP="005C15E5">
            <w:pPr>
              <w:pStyle w:val="BodyText"/>
            </w:pPr>
            <w:r w:rsidRPr="005C15E5">
              <w:t>In the seven years between 2012-13 and 2018-19:</w:t>
            </w:r>
          </w:p>
          <w:p w14:paraId="202F5690" w14:textId="77777777" w:rsidR="005C15E5" w:rsidRPr="005C15E5" w:rsidRDefault="005C15E5" w:rsidP="005C15E5">
            <w:pPr>
              <w:pStyle w:val="ListBullet"/>
              <w:numPr>
                <w:ilvl w:val="0"/>
                <w:numId w:val="3"/>
              </w:numPr>
            </w:pPr>
            <w:r w:rsidRPr="005C15E5">
              <w:t>there have been six matters resolved by compulsory conference and seven matters resolved by conciliation at VCAT</w:t>
            </w:r>
          </w:p>
          <w:p w14:paraId="53189778" w14:textId="77777777" w:rsidR="005C15E5" w:rsidRPr="005C15E5" w:rsidRDefault="005C15E5" w:rsidP="005C15E5">
            <w:pPr>
              <w:pStyle w:val="ListBullet"/>
              <w:numPr>
                <w:ilvl w:val="0"/>
                <w:numId w:val="3"/>
              </w:numPr>
            </w:pPr>
            <w:r w:rsidRPr="005C15E5">
              <w:t>25 matters were finalised by VCAT, including nine that were withdrawn, 11 that were struck out and five that were dismissed.</w:t>
            </w:r>
            <w:r w:rsidRPr="005C15E5">
              <w:rPr>
                <w:rStyle w:val="EndnoteReference"/>
              </w:rPr>
              <w:endnoteReference w:id="32"/>
            </w:r>
          </w:p>
          <w:p w14:paraId="7177C988" w14:textId="77777777" w:rsidR="005C15E5" w:rsidRPr="005C15E5" w:rsidRDefault="005C15E5" w:rsidP="005C15E5">
            <w:pPr>
              <w:pStyle w:val="BodyText"/>
            </w:pPr>
            <w:r w:rsidRPr="005C15E5">
              <w:t>In total, there have been two successful cases of vilification before VCAT:</w:t>
            </w:r>
            <w:r w:rsidRPr="005C15E5">
              <w:rPr>
                <w:rStyle w:val="EndnoteReference"/>
              </w:rPr>
              <w:endnoteReference w:id="33"/>
            </w:r>
          </w:p>
          <w:p w14:paraId="1B7B58AD" w14:textId="77777777" w:rsidR="005C15E5" w:rsidRPr="005C15E5" w:rsidRDefault="005C15E5" w:rsidP="005C15E5">
            <w:pPr>
              <w:pStyle w:val="ListBullet"/>
              <w:numPr>
                <w:ilvl w:val="0"/>
                <w:numId w:val="3"/>
              </w:numPr>
              <w:rPr>
                <w:lang w:eastAsia="en-AU"/>
              </w:rPr>
            </w:pPr>
            <w:r w:rsidRPr="005C15E5">
              <w:t xml:space="preserve">In </w:t>
            </w:r>
            <w:r w:rsidRPr="005C15E5">
              <w:rPr>
                <w:rStyle w:val="Characteritalic"/>
              </w:rPr>
              <w:t>Khalil v Sturgess</w:t>
            </w:r>
            <w:r w:rsidRPr="005C15E5">
              <w:t xml:space="preserve"> [2005] VCAT 2446, VCAT found the complainants had been racially vilified by repeated racial abuse from their neighbours. </w:t>
            </w:r>
            <w:r w:rsidRPr="005C15E5">
              <w:rPr>
                <w:rStyle w:val="Characterclear"/>
              </w:rPr>
              <w:t>VCAT ordered the respondents to publish a formal apology in the Herald Sun and pay compensation totalling $7,000. In doing so, VCAT took into account ‘the very serious and persistent nature of the respondents’ abuse, the need not to trivialise what happened, the objectives of the Act … and the great disruption and humiliation caused to the complainants’.</w:t>
            </w:r>
            <w:r w:rsidRPr="005C15E5">
              <w:rPr>
                <w:rStyle w:val="EndnoteReference"/>
              </w:rPr>
              <w:endnoteReference w:id="34"/>
            </w:r>
          </w:p>
          <w:p w14:paraId="66059879" w14:textId="77777777" w:rsidR="005C15E5" w:rsidRPr="005C15E5" w:rsidRDefault="005C15E5" w:rsidP="005C15E5">
            <w:pPr>
              <w:pStyle w:val="ListBullet"/>
              <w:numPr>
                <w:ilvl w:val="0"/>
                <w:numId w:val="3"/>
              </w:numPr>
            </w:pPr>
            <w:r w:rsidRPr="005C15E5">
              <w:t xml:space="preserve">In </w:t>
            </w:r>
            <w:r w:rsidRPr="005C15E5">
              <w:rPr>
                <w:rStyle w:val="Characteritalic"/>
              </w:rPr>
              <w:t>Ordo Templi Orientis v Legg</w:t>
            </w:r>
            <w:r w:rsidRPr="005C15E5">
              <w:t xml:space="preserve"> [2007] VCAT 1484, VCAT found a website produced and maintained by the respondents vilified the complainants by claiming the Ordo Templi Orientis was a protected paedophile group and linking the group to alleged satanic and/or ritual sexual abuse of children. </w:t>
            </w:r>
            <w:r w:rsidRPr="005C15E5">
              <w:rPr>
                <w:rStyle w:val="Characterclear"/>
              </w:rPr>
              <w:t>VCAT ordered the respondents to remove offensive material from their website and to refrain from making, publishing or distributing similar statements in Victoria. The respondents were later sentenced to nine months’ imprisonment for failing to do so.</w:t>
            </w:r>
            <w:r w:rsidRPr="005C15E5">
              <w:rPr>
                <w:rStyle w:val="EndnoteReference"/>
              </w:rPr>
              <w:endnoteReference w:id="35"/>
            </w:r>
          </w:p>
          <w:p w14:paraId="3B75BD5E" w14:textId="6C83ED44" w:rsidR="00A94CFE" w:rsidRPr="00EB5416" w:rsidRDefault="005C15E5" w:rsidP="001D5A81">
            <w:pPr>
              <w:pStyle w:val="BodyText"/>
              <w:rPr>
                <w:rStyle w:val="Characterclear"/>
              </w:rPr>
            </w:pPr>
            <w:r w:rsidRPr="005C15E5">
              <w:t xml:space="preserve">Since 2007, there have been no successful vilification cases at VCAT. </w:t>
            </w:r>
          </w:p>
        </w:tc>
      </w:tr>
    </w:tbl>
    <w:p w14:paraId="536943FC" w14:textId="69480212" w:rsidR="00000739" w:rsidRDefault="00AF527D" w:rsidP="00F53CDA">
      <w:pPr>
        <w:pStyle w:val="Heading3"/>
      </w:pPr>
      <w:r>
        <w:t xml:space="preserve">Reporting serious vilification to Victoria Police </w:t>
      </w:r>
    </w:p>
    <w:p w14:paraId="6FD4E8B8" w14:textId="77777777" w:rsidR="00FA7AE1" w:rsidRDefault="00097BD1" w:rsidP="00AF527D">
      <w:pPr>
        <w:pStyle w:val="BodyText"/>
      </w:pPr>
      <w:r>
        <w:t xml:space="preserve">A person can report serious racial or religious vilification to </w:t>
      </w:r>
      <w:r w:rsidR="00D72656">
        <w:t>Victoria Police.</w:t>
      </w:r>
      <w:r w:rsidR="009723C1">
        <w:rPr>
          <w:rStyle w:val="EndnoteReference"/>
        </w:rPr>
        <w:endnoteReference w:id="36"/>
      </w:r>
      <w:r w:rsidR="00110CBB">
        <w:t xml:space="preserve"> </w:t>
      </w:r>
    </w:p>
    <w:p w14:paraId="1A57815F" w14:textId="6E9818EF" w:rsidR="00761E83" w:rsidRDefault="00FA7AE1" w:rsidP="00AF527D">
      <w:pPr>
        <w:pStyle w:val="BodyText"/>
      </w:pPr>
      <w:r>
        <w:t xml:space="preserve">Matters can be referred between the Commission and Victoria Police under a </w:t>
      </w:r>
      <w:r w:rsidR="006652B5">
        <w:t>Memorandum of Understanding</w:t>
      </w:r>
      <w:r w:rsidR="00A0439A">
        <w:t xml:space="preserve"> (discussed in part</w:t>
      </w:r>
      <w:r w:rsidR="00AC11A9">
        <w:t xml:space="preserve"> </w:t>
      </w:r>
      <w:r w:rsidR="00A0439A">
        <w:t>5.5.1).</w:t>
      </w:r>
      <w:r w:rsidR="00AC11A9">
        <w:t xml:space="preserve"> </w:t>
      </w:r>
      <w:r w:rsidR="00AC11A9" w:rsidRPr="00AC11A9">
        <w:t>Available data on reports of vilification to Victoria</w:t>
      </w:r>
      <w:r w:rsidR="00AC11A9">
        <w:t xml:space="preserve"> Police are discussed in part 4.1.1.</w:t>
      </w:r>
    </w:p>
    <w:p w14:paraId="2B91FB1C" w14:textId="039546AB" w:rsidR="006C5875" w:rsidRDefault="006C5875" w:rsidP="006C5875">
      <w:pPr>
        <w:pStyle w:val="Heading2"/>
      </w:pPr>
      <w:bookmarkStart w:id="14" w:name="_Toc31392330"/>
      <w:r>
        <w:lastRenderedPageBreak/>
        <w:t>The regulation of online hate</w:t>
      </w:r>
      <w:bookmarkEnd w:id="14"/>
    </w:p>
    <w:p w14:paraId="10C4BE9A" w14:textId="0A33FFC2" w:rsidR="00F01357" w:rsidRDefault="00F01357" w:rsidP="00F01357">
      <w:pPr>
        <w:pStyle w:val="BodyText"/>
      </w:pPr>
      <w:r>
        <w:t xml:space="preserve">In Victoria, online hate is regulated by: </w:t>
      </w:r>
    </w:p>
    <w:p w14:paraId="07E765CF" w14:textId="05B2BD37" w:rsidR="00F01357" w:rsidRDefault="00F01357" w:rsidP="00515711">
      <w:pPr>
        <w:pStyle w:val="ListBullet"/>
      </w:pPr>
      <w:r>
        <w:t xml:space="preserve">the RRTA </w:t>
      </w:r>
    </w:p>
    <w:p w14:paraId="35119D61" w14:textId="4D7F3EEC" w:rsidR="00FC77C6" w:rsidRDefault="00FC77C6" w:rsidP="00515711">
      <w:pPr>
        <w:pStyle w:val="ListBullet"/>
      </w:pPr>
      <w:r>
        <w:t xml:space="preserve">the </w:t>
      </w:r>
      <w:r w:rsidR="002E0F89">
        <w:rPr>
          <w:rStyle w:val="Characteritalic"/>
          <w:i w:val="0"/>
        </w:rPr>
        <w:t>RDA</w:t>
      </w:r>
      <w:r w:rsidR="002E0F89">
        <w:rPr>
          <w:rStyle w:val="EndnoteReference"/>
        </w:rPr>
        <w:endnoteReference w:id="37"/>
      </w:r>
    </w:p>
    <w:p w14:paraId="67ECFB1F" w14:textId="78C88BEA" w:rsidR="00F01357" w:rsidRDefault="00F01357" w:rsidP="00515711">
      <w:pPr>
        <w:pStyle w:val="ListBullet"/>
      </w:pPr>
      <w:r>
        <w:t xml:space="preserve">the </w:t>
      </w:r>
      <w:r w:rsidR="003429CB" w:rsidRPr="003429CB">
        <w:rPr>
          <w:rStyle w:val="Characteritalic"/>
        </w:rPr>
        <w:t>Enhancing Online Safety</w:t>
      </w:r>
      <w:r w:rsidR="003429CB">
        <w:t xml:space="preserve"> </w:t>
      </w:r>
      <w:r w:rsidR="003429CB" w:rsidRPr="003429CB">
        <w:rPr>
          <w:rStyle w:val="Characteritalic"/>
        </w:rPr>
        <w:t>Act 2015</w:t>
      </w:r>
      <w:r w:rsidR="003429CB">
        <w:t xml:space="preserve"> (Cth)</w:t>
      </w:r>
    </w:p>
    <w:p w14:paraId="4B9E30F9" w14:textId="7A5F4D19" w:rsidR="007E1B5F" w:rsidRDefault="004C534E" w:rsidP="00515711">
      <w:pPr>
        <w:pStyle w:val="ListBullet"/>
      </w:pPr>
      <w:r>
        <w:t xml:space="preserve">other </w:t>
      </w:r>
      <w:r w:rsidR="00A74BEF">
        <w:t xml:space="preserve">laws. </w:t>
      </w:r>
      <w:r>
        <w:t xml:space="preserve"> </w:t>
      </w:r>
    </w:p>
    <w:p w14:paraId="05440047" w14:textId="1202B6AC" w:rsidR="00B45C0F" w:rsidRDefault="00042D8F" w:rsidP="00B45C0F">
      <w:pPr>
        <w:pStyle w:val="Heading3"/>
      </w:pPr>
      <w:r>
        <w:t xml:space="preserve">The RRTA </w:t>
      </w:r>
    </w:p>
    <w:p w14:paraId="5ADDDE0C" w14:textId="372799CC" w:rsidR="006F39CF" w:rsidRPr="006F39CF" w:rsidRDefault="006F39CF" w:rsidP="006F39CF">
      <w:pPr>
        <w:pStyle w:val="BodyText"/>
      </w:pPr>
      <w:r w:rsidRPr="006F39CF">
        <w:t>The RRTA regulates online vilification by defining prohibited conduct to include ‘the use of the internet or email to publish or transmit statements or other material’.</w:t>
      </w:r>
      <w:r w:rsidRPr="00A43977">
        <w:rPr>
          <w:rStyle w:val="FootnoteReference"/>
        </w:rPr>
        <w:endnoteReference w:id="38"/>
      </w:r>
      <w:r w:rsidRPr="00A43977">
        <w:rPr>
          <w:rStyle w:val="FootnoteReference"/>
        </w:rPr>
        <w:t xml:space="preserve"> </w:t>
      </w:r>
    </w:p>
    <w:p w14:paraId="0C9C4D1A" w14:textId="77777777" w:rsidR="006F39CF" w:rsidRPr="006F39CF" w:rsidRDefault="006F39CF" w:rsidP="006F39CF">
      <w:pPr>
        <w:pStyle w:val="BodyText"/>
      </w:pPr>
      <w:r w:rsidRPr="006F39CF">
        <w:t xml:space="preserve">Both an individual and an organisation (such as a social media platform) can be liable under the RRTA for: </w:t>
      </w:r>
    </w:p>
    <w:p w14:paraId="634690A5" w14:textId="77777777" w:rsidR="006F39CF" w:rsidRPr="006F39CF" w:rsidRDefault="006F39CF" w:rsidP="00A77C60">
      <w:pPr>
        <w:pStyle w:val="BodyText"/>
        <w:numPr>
          <w:ilvl w:val="0"/>
          <w:numId w:val="3"/>
        </w:numPr>
      </w:pPr>
      <w:r w:rsidRPr="006F39CF">
        <w:t xml:space="preserve">racial and religious vilification (ss 7 and 8) </w:t>
      </w:r>
    </w:p>
    <w:p w14:paraId="2527FE9B" w14:textId="77777777" w:rsidR="006F39CF" w:rsidRPr="006F39CF" w:rsidRDefault="006F39CF" w:rsidP="00A77C60">
      <w:pPr>
        <w:pStyle w:val="BodyText"/>
        <w:numPr>
          <w:ilvl w:val="0"/>
          <w:numId w:val="3"/>
        </w:numPr>
      </w:pPr>
      <w:r w:rsidRPr="006F39CF">
        <w:t xml:space="preserve">serious racial and religious vilification (ss 24 and 25) </w:t>
      </w:r>
    </w:p>
    <w:p w14:paraId="0A5F5308" w14:textId="77777777" w:rsidR="006F39CF" w:rsidRPr="006F39CF" w:rsidRDefault="006F39CF" w:rsidP="00A77C60">
      <w:pPr>
        <w:pStyle w:val="BodyText"/>
        <w:numPr>
          <w:ilvl w:val="0"/>
          <w:numId w:val="3"/>
        </w:numPr>
      </w:pPr>
      <w:r w:rsidRPr="006F39CF">
        <w:t>victimisation (ss 13)</w:t>
      </w:r>
    </w:p>
    <w:p w14:paraId="060121C4" w14:textId="520860BD" w:rsidR="006F39CF" w:rsidRDefault="006F39CF" w:rsidP="00A77C60">
      <w:pPr>
        <w:pStyle w:val="BodyText"/>
        <w:numPr>
          <w:ilvl w:val="0"/>
          <w:numId w:val="3"/>
        </w:numPr>
      </w:pPr>
      <w:r w:rsidRPr="006F39CF">
        <w:t xml:space="preserve">authorising or assisting vilification or victimisation (ss 15). </w:t>
      </w:r>
    </w:p>
    <w:p w14:paraId="6B799145" w14:textId="1BC1D67A" w:rsidR="00E11243" w:rsidRPr="00E11243" w:rsidRDefault="001700F3" w:rsidP="00E11243">
      <w:pPr>
        <w:pStyle w:val="BodyText"/>
      </w:pPr>
      <w:r>
        <w:t xml:space="preserve">A </w:t>
      </w:r>
      <w:r w:rsidR="00DA7FEB">
        <w:t xml:space="preserve">person who believes that they have been vilified online may </w:t>
      </w:r>
      <w:r w:rsidR="00F13FC2">
        <w:t>bring a complaint to the Commission</w:t>
      </w:r>
      <w:r w:rsidR="004F4B01">
        <w:t xml:space="preserve"> or VCAT</w:t>
      </w:r>
      <w:r w:rsidR="00ED0A12">
        <w:t>, for example</w:t>
      </w:r>
      <w:r w:rsidR="009E5B6D">
        <w:t xml:space="preserve"> against a social</w:t>
      </w:r>
      <w:r w:rsidR="004F4B01">
        <w:t xml:space="preserve"> </w:t>
      </w:r>
      <w:r w:rsidR="009E5B6D">
        <w:t>media platform</w:t>
      </w:r>
      <w:r w:rsidR="004F4B01">
        <w:t xml:space="preserve"> who does not promptly remove hate content</w:t>
      </w:r>
      <w:r w:rsidR="00ED0A12">
        <w:t>,</w:t>
      </w:r>
      <w:r w:rsidR="009E5B6D">
        <w:t xml:space="preserve"> </w:t>
      </w:r>
      <w:r w:rsidR="004F4B01">
        <w:t>for assisting or authorising vilification</w:t>
      </w:r>
      <w:r w:rsidR="00F13FC2">
        <w:t xml:space="preserve"> </w:t>
      </w:r>
      <w:r>
        <w:t>(</w:t>
      </w:r>
      <w:r w:rsidR="002C25A4">
        <w:t>part 2.4.1).</w:t>
      </w:r>
      <w:r w:rsidR="004917C3">
        <w:rPr>
          <w:rStyle w:val="EndnoteReference"/>
        </w:rPr>
        <w:endnoteReference w:id="39"/>
      </w:r>
      <w:r w:rsidR="002C25A4">
        <w:t xml:space="preserve"> </w:t>
      </w:r>
    </w:p>
    <w:p w14:paraId="58022247" w14:textId="3CE31A79" w:rsidR="006B340A" w:rsidRDefault="00BE0686" w:rsidP="006C7623">
      <w:pPr>
        <w:pStyle w:val="Heading3"/>
      </w:pPr>
      <w:r>
        <w:t xml:space="preserve">The RDA </w:t>
      </w:r>
    </w:p>
    <w:p w14:paraId="1902931F" w14:textId="38D5F116" w:rsidR="00814382" w:rsidRDefault="00BE0686" w:rsidP="00BE0686">
      <w:pPr>
        <w:pStyle w:val="BodyText"/>
      </w:pPr>
      <w:r>
        <w:t>Section 18C</w:t>
      </w:r>
      <w:r w:rsidR="002C25A4">
        <w:t>(1)</w:t>
      </w:r>
      <w:r>
        <w:t xml:space="preserve"> of the </w:t>
      </w:r>
      <w:r w:rsidR="008C4738">
        <w:t>RDA makes it unlawful for a person (including a corporation) to do an act</w:t>
      </w:r>
      <w:r w:rsidR="00BE27C0">
        <w:t>, otherwise than in private, if</w:t>
      </w:r>
      <w:r w:rsidR="00814382">
        <w:t xml:space="preserve">: </w:t>
      </w:r>
    </w:p>
    <w:p w14:paraId="43AB769B" w14:textId="5A629320" w:rsidR="00BE27C0" w:rsidRDefault="00BE27C0" w:rsidP="005C422D">
      <w:pPr>
        <w:pStyle w:val="ListBullet"/>
      </w:pPr>
      <w:r>
        <w:t xml:space="preserve">the act is reasonably likely, in all the </w:t>
      </w:r>
      <w:r w:rsidR="00814382">
        <w:t>circumstances</w:t>
      </w:r>
      <w:r w:rsidR="00C63256">
        <w:t xml:space="preserve">, to offend, insult, humiliate or intimidate another person or a group of people; and </w:t>
      </w:r>
    </w:p>
    <w:p w14:paraId="5CAC4F73" w14:textId="5A78482B" w:rsidR="00C63256" w:rsidRDefault="00C63256" w:rsidP="005C422D">
      <w:pPr>
        <w:pStyle w:val="ListBullet"/>
      </w:pPr>
      <w:r>
        <w:t xml:space="preserve">the act is done because of the race, colour or national or ethnic origin of the other person or of some or all of the people in the group. </w:t>
      </w:r>
    </w:p>
    <w:p w14:paraId="4EF098BB" w14:textId="438B2431" w:rsidR="001700F3" w:rsidRDefault="00DA7FEB" w:rsidP="00BE0686">
      <w:pPr>
        <w:pStyle w:val="BodyText"/>
      </w:pPr>
      <w:r>
        <w:t>Like the RRTA, s</w:t>
      </w:r>
      <w:r w:rsidR="005E31F3">
        <w:t>ection 18C applies to online cond</w:t>
      </w:r>
      <w:r w:rsidR="009262BC">
        <w:t>uct</w:t>
      </w:r>
      <w:r w:rsidR="00A0439A">
        <w:t xml:space="preserve"> (that is racially-motivated).</w:t>
      </w:r>
    </w:p>
    <w:tbl>
      <w:tblPr>
        <w:tblStyle w:val="CustomTablebreakoutbox"/>
        <w:tblW w:w="0" w:type="auto"/>
        <w:tblLook w:val="04A0" w:firstRow="1" w:lastRow="0" w:firstColumn="1" w:lastColumn="0" w:noHBand="0" w:noVBand="1"/>
      </w:tblPr>
      <w:tblGrid>
        <w:gridCol w:w="9061"/>
      </w:tblGrid>
      <w:tr w:rsidR="00AD429D" w14:paraId="622E7597" w14:textId="77777777" w:rsidTr="000D6EB6">
        <w:tc>
          <w:tcPr>
            <w:tcW w:w="9061" w:type="dxa"/>
          </w:tcPr>
          <w:p w14:paraId="20A5C98C" w14:textId="575F93D1" w:rsidR="00AD429D" w:rsidRDefault="00AD429D" w:rsidP="00BE0686">
            <w:pPr>
              <w:pStyle w:val="BodyText"/>
              <w:rPr>
                <w:rStyle w:val="Characterbold"/>
              </w:rPr>
            </w:pPr>
            <w:r>
              <w:rPr>
                <w:rStyle w:val="Characterbold"/>
              </w:rPr>
              <w:t xml:space="preserve">Example of online hate </w:t>
            </w:r>
            <w:r w:rsidR="00D2742B">
              <w:rPr>
                <w:rStyle w:val="Characterbold"/>
              </w:rPr>
              <w:t xml:space="preserve">prosecuted </w:t>
            </w:r>
            <w:r>
              <w:rPr>
                <w:rStyle w:val="Characterbold"/>
              </w:rPr>
              <w:t xml:space="preserve">under the RDA </w:t>
            </w:r>
          </w:p>
          <w:p w14:paraId="5862C0BB" w14:textId="1AF76B29" w:rsidR="000D6EB6" w:rsidRPr="000D6EB6" w:rsidRDefault="007023CF" w:rsidP="000D6EB6">
            <w:pPr>
              <w:pStyle w:val="BodyText"/>
              <w:rPr>
                <w:rStyle w:val="Characterclear"/>
              </w:rPr>
            </w:pPr>
            <w:r w:rsidRPr="000D6EB6">
              <w:rPr>
                <w:rStyle w:val="Characterclear"/>
              </w:rPr>
              <w:t xml:space="preserve">In </w:t>
            </w:r>
            <w:r w:rsidRPr="00F14BDC">
              <w:rPr>
                <w:rStyle w:val="Characteritalic"/>
              </w:rPr>
              <w:t>Clarke v Nationwide News Pty Ltd trading as The Sunday Times</w:t>
            </w:r>
            <w:r w:rsidRPr="000D6EB6">
              <w:rPr>
                <w:rStyle w:val="Characterclear"/>
              </w:rPr>
              <w:t xml:space="preserve"> </w:t>
            </w:r>
            <w:r w:rsidR="0009191F" w:rsidRPr="000D6EB6">
              <w:rPr>
                <w:rStyle w:val="Characterclear"/>
              </w:rPr>
              <w:t xml:space="preserve">(2012) 201 FCR 389, </w:t>
            </w:r>
            <w:r w:rsidRPr="000D6EB6">
              <w:rPr>
                <w:rStyle w:val="Characterclear"/>
              </w:rPr>
              <w:t xml:space="preserve">the applicant was the mother of three </w:t>
            </w:r>
            <w:r w:rsidR="00A0439A">
              <w:rPr>
                <w:rStyle w:val="Characterclear"/>
              </w:rPr>
              <w:t xml:space="preserve">Aboriginal </w:t>
            </w:r>
            <w:r w:rsidRPr="000D6EB6">
              <w:rPr>
                <w:rStyle w:val="Characterclear"/>
              </w:rPr>
              <w:t xml:space="preserve">boys aged 15, 11 and 10 who were killed in a motor vehicle accident. One of the boys’ cousins aged 17 was also killed in the accident. A fifth teenage boy survived the accident. </w:t>
            </w:r>
          </w:p>
          <w:p w14:paraId="713969EF" w14:textId="006EA0FA" w:rsidR="000D6EB6" w:rsidRDefault="007023CF" w:rsidP="00CD515D">
            <w:pPr>
              <w:pStyle w:val="BodyText"/>
              <w:rPr>
                <w:rStyle w:val="Characterclear"/>
              </w:rPr>
            </w:pPr>
            <w:r w:rsidRPr="000D6EB6">
              <w:rPr>
                <w:rStyle w:val="Characterclear"/>
              </w:rPr>
              <w:t>The respondent newspaper published six articles on its website in relation to the accident along with comments from readers. The comments were moderated by the respondent before publication. Barker J found that four comments by readers that were published contravened s 18C of the RDA, including that the families of the boys who were killed had a ‘criminal history’, that the boys were ‘criminal trash’</w:t>
            </w:r>
            <w:r w:rsidR="009B6D12">
              <w:rPr>
                <w:rStyle w:val="Characterclear"/>
              </w:rPr>
              <w:t xml:space="preserve"> and </w:t>
            </w:r>
            <w:r w:rsidRPr="000D6EB6">
              <w:rPr>
                <w:rStyle w:val="Characterclear"/>
              </w:rPr>
              <w:t xml:space="preserve">‘scum’ and should be used ‘as land fill’ in disused mineshafts near Kalgoorlie, and that the applicant was ‘hopeless at mothering’ and should not ‘breed’. Barker J awarded Ms Clarke $12,000 to compensate her for the offence, insult and humiliation she suffered as a result of the publication of these comments. </w:t>
            </w:r>
          </w:p>
          <w:p w14:paraId="1CA0DC41" w14:textId="5683C67C" w:rsidR="0005640D" w:rsidRPr="009D3665" w:rsidRDefault="009F1F81" w:rsidP="00CD515D">
            <w:pPr>
              <w:pStyle w:val="BodyText"/>
              <w:rPr>
                <w:rStyle w:val="Characterclear"/>
              </w:rPr>
            </w:pPr>
            <w:r>
              <w:rPr>
                <w:rStyle w:val="Characterclear"/>
              </w:rPr>
              <w:t xml:space="preserve">Case study: </w:t>
            </w:r>
            <w:r w:rsidR="009D3665">
              <w:rPr>
                <w:rStyle w:val="Characterclear"/>
              </w:rPr>
              <w:t>Australian Human Rights Commission</w:t>
            </w:r>
            <w:r>
              <w:rPr>
                <w:rStyle w:val="EndnoteReference"/>
                <w:lang w:eastAsia="en-AU"/>
              </w:rPr>
              <w:endnoteReference w:id="40"/>
            </w:r>
          </w:p>
        </w:tc>
      </w:tr>
    </w:tbl>
    <w:p w14:paraId="5D21A0DD" w14:textId="7BB7DDD1" w:rsidR="00BE0686" w:rsidRPr="00BE0686" w:rsidRDefault="00ED1DF7" w:rsidP="00E43A17">
      <w:pPr>
        <w:pStyle w:val="Heading3"/>
      </w:pPr>
      <w:r>
        <w:lastRenderedPageBreak/>
        <w:t>The</w:t>
      </w:r>
      <w:r w:rsidR="004917C3">
        <w:t xml:space="preserve"> Enhancing Online Safety Act</w:t>
      </w:r>
      <w:r w:rsidR="00E43A17">
        <w:t xml:space="preserve"> </w:t>
      </w:r>
    </w:p>
    <w:p w14:paraId="0C41E646" w14:textId="0754BACA" w:rsidR="00622D0E" w:rsidRDefault="00A05F80" w:rsidP="006F39CF">
      <w:pPr>
        <w:pStyle w:val="BodyText"/>
        <w:rPr>
          <w:rStyle w:val="Characterclear"/>
        </w:rPr>
      </w:pPr>
      <w:r w:rsidRPr="00A05F80">
        <w:rPr>
          <w:rStyle w:val="Characterclear"/>
        </w:rPr>
        <w:t xml:space="preserve">The eSafety Commissioner (eSafety) is </w:t>
      </w:r>
      <w:r w:rsidR="0028379B">
        <w:rPr>
          <w:rStyle w:val="Characterclear"/>
        </w:rPr>
        <w:t xml:space="preserve">the </w:t>
      </w:r>
      <w:r w:rsidRPr="00A05F80">
        <w:rPr>
          <w:rStyle w:val="Characterclear"/>
        </w:rPr>
        <w:t>national independent regulator for online safety.</w:t>
      </w:r>
      <w:r w:rsidR="002D3EE7">
        <w:rPr>
          <w:rStyle w:val="Characterclear"/>
        </w:rPr>
        <w:t xml:space="preserve"> </w:t>
      </w:r>
      <w:r w:rsidR="00866F29">
        <w:rPr>
          <w:rStyle w:val="Characterclear"/>
        </w:rPr>
        <w:t xml:space="preserve">eSafety was established under the </w:t>
      </w:r>
      <w:r w:rsidR="002E0F89">
        <w:rPr>
          <w:rStyle w:val="Characterclear"/>
          <w:i/>
        </w:rPr>
        <w:t xml:space="preserve">Enhancing Online Safety Act 2015 </w:t>
      </w:r>
      <w:r w:rsidR="002E0F89">
        <w:rPr>
          <w:rStyle w:val="Characterclear"/>
        </w:rPr>
        <w:t>(Cth) (</w:t>
      </w:r>
      <w:r w:rsidR="00866F29">
        <w:rPr>
          <w:rStyle w:val="Characterclear"/>
        </w:rPr>
        <w:t>EOSA</w:t>
      </w:r>
      <w:r w:rsidR="002E0F89">
        <w:rPr>
          <w:rStyle w:val="Characterclear"/>
        </w:rPr>
        <w:t>)</w:t>
      </w:r>
      <w:r w:rsidR="00866F29">
        <w:rPr>
          <w:rStyle w:val="Characterclear"/>
        </w:rPr>
        <w:t xml:space="preserve"> in 2015 with </w:t>
      </w:r>
      <w:r w:rsidR="007C7AB4">
        <w:rPr>
          <w:rStyle w:val="Characterclear"/>
        </w:rPr>
        <w:t xml:space="preserve">functions primarily related to enhancing online safety for Australian children. In 2017, the EOSA was amended to expand eSafety’s remit to enhance online safety for all Australians. </w:t>
      </w:r>
    </w:p>
    <w:p w14:paraId="7D383B78" w14:textId="3590BA25" w:rsidR="005C13EE" w:rsidRDefault="006148FF" w:rsidP="006F39CF">
      <w:pPr>
        <w:pStyle w:val="BodyText"/>
        <w:rPr>
          <w:rStyle w:val="Characterclear"/>
        </w:rPr>
      </w:pPr>
      <w:r>
        <w:rPr>
          <w:rStyle w:val="Characterclear"/>
        </w:rPr>
        <w:t xml:space="preserve">eSafety has statutory functions </w:t>
      </w:r>
      <w:r w:rsidR="005C13EE">
        <w:rPr>
          <w:rStyle w:val="Characterclear"/>
        </w:rPr>
        <w:t>to regulate:</w:t>
      </w:r>
    </w:p>
    <w:p w14:paraId="1AFE59FD" w14:textId="3050953A" w:rsidR="005C13EE" w:rsidRDefault="009B12A8" w:rsidP="0046412F">
      <w:pPr>
        <w:pStyle w:val="ListBullet"/>
        <w:rPr>
          <w:rStyle w:val="Characterclear"/>
        </w:rPr>
      </w:pPr>
      <w:r>
        <w:rPr>
          <w:rStyle w:val="Characterclear"/>
        </w:rPr>
        <w:t>c</w:t>
      </w:r>
      <w:r w:rsidR="005C13EE">
        <w:rPr>
          <w:rStyle w:val="Characterclear"/>
        </w:rPr>
        <w:t>yberbullying</w:t>
      </w:r>
      <w:r>
        <w:rPr>
          <w:rStyle w:val="Characterclear"/>
        </w:rPr>
        <w:t xml:space="preserve"> targeted at an Australian child</w:t>
      </w:r>
    </w:p>
    <w:p w14:paraId="7FB031F4" w14:textId="711C0F36" w:rsidR="005C13EE" w:rsidRDefault="005C13EE" w:rsidP="0046412F">
      <w:pPr>
        <w:pStyle w:val="ListBullet"/>
        <w:rPr>
          <w:rStyle w:val="Characterclear"/>
        </w:rPr>
      </w:pPr>
      <w:r>
        <w:rPr>
          <w:rStyle w:val="Characterclear"/>
        </w:rPr>
        <w:t xml:space="preserve">image-based abuse </w:t>
      </w:r>
    </w:p>
    <w:p w14:paraId="690338D1" w14:textId="4D935EB8" w:rsidR="00431A82" w:rsidRDefault="005C13EE" w:rsidP="0046412F">
      <w:pPr>
        <w:pStyle w:val="ListBullet"/>
        <w:rPr>
          <w:rStyle w:val="Characterclear"/>
        </w:rPr>
      </w:pPr>
      <w:r>
        <w:rPr>
          <w:rStyle w:val="Characterclear"/>
        </w:rPr>
        <w:t>prohibited online content</w:t>
      </w:r>
      <w:r w:rsidR="00796804">
        <w:rPr>
          <w:rStyle w:val="Characterclear"/>
        </w:rPr>
        <w:t xml:space="preserve"> (discussed below). </w:t>
      </w:r>
    </w:p>
    <w:p w14:paraId="11470434" w14:textId="7F3BED96" w:rsidR="00220B19" w:rsidRDefault="00B30556" w:rsidP="00220B19">
      <w:pPr>
        <w:pStyle w:val="BodyText"/>
        <w:rPr>
          <w:rStyle w:val="Characterclear"/>
        </w:rPr>
      </w:pPr>
      <w:r>
        <w:rPr>
          <w:rStyle w:val="Characterclear"/>
        </w:rPr>
        <w:t>Although eSafety does not have a statutory remit to consider prejudice-motivated</w:t>
      </w:r>
      <w:r w:rsidR="000D39FF">
        <w:rPr>
          <w:rStyle w:val="Characterclear"/>
        </w:rPr>
        <w:t xml:space="preserve"> cyber abuse, eSafety has developed advice, resources and support for </w:t>
      </w:r>
      <w:r w:rsidR="00843E5A">
        <w:rPr>
          <w:rStyle w:val="Characterclear"/>
        </w:rPr>
        <w:t xml:space="preserve">groups including </w:t>
      </w:r>
      <w:r w:rsidR="000D39FF">
        <w:rPr>
          <w:rStyle w:val="Characterclear"/>
        </w:rPr>
        <w:t>Aboriginal and Torres Strait Islander people, L</w:t>
      </w:r>
      <w:r w:rsidR="00D2742B">
        <w:rPr>
          <w:rStyle w:val="Characterclear"/>
        </w:rPr>
        <w:t>G</w:t>
      </w:r>
      <w:r w:rsidR="000D39FF">
        <w:rPr>
          <w:rStyle w:val="Characterclear"/>
        </w:rPr>
        <w:t>BTI</w:t>
      </w:r>
      <w:r w:rsidR="00843E5A">
        <w:rPr>
          <w:rStyle w:val="Characterclear"/>
        </w:rPr>
        <w:t>Q people and women.</w:t>
      </w:r>
      <w:r w:rsidR="00843E5A">
        <w:rPr>
          <w:rStyle w:val="EndnoteReference"/>
          <w:lang w:eastAsia="en-AU"/>
        </w:rPr>
        <w:endnoteReference w:id="41"/>
      </w:r>
    </w:p>
    <w:p w14:paraId="4497FFFF" w14:textId="305E57D0" w:rsidR="000430FF" w:rsidRDefault="000430FF" w:rsidP="00220B19">
      <w:pPr>
        <w:pStyle w:val="BodyText"/>
        <w:rPr>
          <w:rStyle w:val="Characterclear"/>
        </w:rPr>
      </w:pPr>
      <w:r>
        <w:rPr>
          <w:rStyle w:val="Characterclear"/>
        </w:rPr>
        <w:t xml:space="preserve">eSafety’s online safety regime complements the regulation of vilification under the RRTA. While the Commission focuses on a rights-based approach to </w:t>
      </w:r>
      <w:r w:rsidR="00F65230">
        <w:rPr>
          <w:rStyle w:val="Characterclear"/>
        </w:rPr>
        <w:t xml:space="preserve">conciliating </w:t>
      </w:r>
      <w:r>
        <w:rPr>
          <w:rStyle w:val="Characterclear"/>
        </w:rPr>
        <w:t xml:space="preserve">disputes about </w:t>
      </w:r>
      <w:r w:rsidR="001E62F9">
        <w:rPr>
          <w:rStyle w:val="Characterclear"/>
        </w:rPr>
        <w:t xml:space="preserve">racial and religious </w:t>
      </w:r>
      <w:r>
        <w:rPr>
          <w:rStyle w:val="Characterclear"/>
        </w:rPr>
        <w:t>vilification under the RRTA, eSafety has a broader focus on promoting online safety and quickly removing unlawful content</w:t>
      </w:r>
      <w:r w:rsidR="001E62F9">
        <w:rPr>
          <w:rStyle w:val="Characterclear"/>
        </w:rPr>
        <w:t xml:space="preserve"> – regardless of whether the content is hate-motivated. </w:t>
      </w:r>
    </w:p>
    <w:p w14:paraId="14A0D4E0" w14:textId="41D78F5C" w:rsidR="0028379B" w:rsidRDefault="005C13EE" w:rsidP="0024319E">
      <w:pPr>
        <w:pStyle w:val="TableHeading1"/>
        <w:rPr>
          <w:rStyle w:val="Characterclear"/>
        </w:rPr>
      </w:pPr>
      <w:r>
        <w:rPr>
          <w:rStyle w:val="Characterclear"/>
        </w:rPr>
        <w:t>Cyberbullying</w:t>
      </w:r>
      <w:r w:rsidR="00431A82">
        <w:rPr>
          <w:rStyle w:val="Characterclear"/>
        </w:rPr>
        <w:t xml:space="preserve"> </w:t>
      </w:r>
    </w:p>
    <w:p w14:paraId="4CC64615" w14:textId="008C2878" w:rsidR="000367FE" w:rsidRDefault="00F64961" w:rsidP="00B30F95">
      <w:pPr>
        <w:pStyle w:val="BodyText"/>
        <w:rPr>
          <w:rStyle w:val="Characterclear"/>
        </w:rPr>
      </w:pPr>
      <w:r>
        <w:rPr>
          <w:rStyle w:val="Characterclear"/>
        </w:rPr>
        <w:t xml:space="preserve">eSafety </w:t>
      </w:r>
      <w:r w:rsidR="00371FDA">
        <w:rPr>
          <w:rStyle w:val="Characterclear"/>
        </w:rPr>
        <w:t>has the power to</w:t>
      </w:r>
      <w:r>
        <w:rPr>
          <w:rStyle w:val="Characterclear"/>
        </w:rPr>
        <w:t xml:space="preserve"> </w:t>
      </w:r>
      <w:r w:rsidR="00560E60">
        <w:rPr>
          <w:rStyle w:val="Characterclear"/>
        </w:rPr>
        <w:t>investigate and act on complaints about serious cyberbullying</w:t>
      </w:r>
      <w:r w:rsidR="00BF7345">
        <w:rPr>
          <w:rStyle w:val="Characterclear"/>
        </w:rPr>
        <w:t xml:space="preserve"> </w:t>
      </w:r>
      <w:r w:rsidR="00560E60">
        <w:rPr>
          <w:rStyle w:val="Characterclear"/>
        </w:rPr>
        <w:t xml:space="preserve">targeted at an Australian child. </w:t>
      </w:r>
      <w:r w:rsidR="000367FE">
        <w:rPr>
          <w:rStyle w:val="Characterclear"/>
        </w:rPr>
        <w:t xml:space="preserve">The cyberbullying scheme does not currently protect adults. However, </w:t>
      </w:r>
      <w:r w:rsidR="00132093">
        <w:rPr>
          <w:rStyle w:val="Characterclear"/>
        </w:rPr>
        <w:t xml:space="preserve">the Australia’s Government’s Online Safety Legislative </w:t>
      </w:r>
      <w:r w:rsidR="00681A36">
        <w:rPr>
          <w:rStyle w:val="Characterclear"/>
        </w:rPr>
        <w:t>Reform</w:t>
      </w:r>
      <w:r w:rsidR="00132093">
        <w:rPr>
          <w:rStyle w:val="Characterclear"/>
        </w:rPr>
        <w:t xml:space="preserve"> Discussion Paper includes a proposal to introduce a new cyber abuse scheme for adults to </w:t>
      </w:r>
      <w:r w:rsidR="00681A36">
        <w:rPr>
          <w:rStyle w:val="Characterclear"/>
        </w:rPr>
        <w:t>facilitate</w:t>
      </w:r>
      <w:r w:rsidR="00132093">
        <w:rPr>
          <w:rStyle w:val="Characterclear"/>
        </w:rPr>
        <w:t xml:space="preserve"> the removal of serious online abuse and harassment and </w:t>
      </w:r>
      <w:r w:rsidR="00681A36">
        <w:rPr>
          <w:rStyle w:val="Characterclear"/>
        </w:rPr>
        <w:t>introduce a new end user take-down and civil penalty regime.</w:t>
      </w:r>
      <w:r w:rsidR="00681A36">
        <w:rPr>
          <w:rStyle w:val="EndnoteReference"/>
          <w:lang w:eastAsia="en-AU"/>
        </w:rPr>
        <w:endnoteReference w:id="42"/>
      </w:r>
    </w:p>
    <w:p w14:paraId="2B2E9C30" w14:textId="77777777" w:rsidR="00EB72FA" w:rsidRDefault="00360260" w:rsidP="00B30F95">
      <w:pPr>
        <w:pStyle w:val="BodyText"/>
      </w:pPr>
      <w:r>
        <w:rPr>
          <w:rStyle w:val="Characterclear"/>
        </w:rPr>
        <w:t xml:space="preserve">Cyberbullying </w:t>
      </w:r>
      <w:r w:rsidR="005E6475">
        <w:rPr>
          <w:rStyle w:val="Characterclear"/>
        </w:rPr>
        <w:t xml:space="preserve">under </w:t>
      </w:r>
      <w:r w:rsidR="00EB72FA">
        <w:rPr>
          <w:rStyle w:val="Characterclear"/>
        </w:rPr>
        <w:t xml:space="preserve">the </w:t>
      </w:r>
      <w:r w:rsidR="005E6475">
        <w:rPr>
          <w:rStyle w:val="Characterclear"/>
        </w:rPr>
        <w:t xml:space="preserve">EOSA is online </w:t>
      </w:r>
      <w:r w:rsidR="006B1DCE">
        <w:rPr>
          <w:rStyle w:val="Characterclear"/>
        </w:rPr>
        <w:t>material</w:t>
      </w:r>
      <w:r w:rsidR="005E6475">
        <w:rPr>
          <w:rStyle w:val="Characterclear"/>
        </w:rPr>
        <w:t xml:space="preserve"> that an ordinary reasonable person </w:t>
      </w:r>
      <w:r w:rsidR="006B1DCE">
        <w:rPr>
          <w:rStyle w:val="Characterclear"/>
        </w:rPr>
        <w:t>would conclude is likely to have a seriously threatening, seriously intimidating, seriously harassing or seriously humiliating effect on an Australian child.</w:t>
      </w:r>
      <w:r w:rsidR="00E57023">
        <w:rPr>
          <w:rStyle w:val="EndnoteReference"/>
          <w:lang w:eastAsia="en-AU"/>
        </w:rPr>
        <w:endnoteReference w:id="43"/>
      </w:r>
      <w:r w:rsidR="00E57023">
        <w:t xml:space="preserve"> </w:t>
      </w:r>
    </w:p>
    <w:p w14:paraId="70F0F3E7" w14:textId="77777777" w:rsidR="0024319E" w:rsidRDefault="006255BC" w:rsidP="00950331">
      <w:pPr>
        <w:pStyle w:val="BodyText"/>
        <w:rPr>
          <w:rStyle w:val="Characterclear"/>
        </w:rPr>
      </w:pPr>
      <w:r>
        <w:rPr>
          <w:rStyle w:val="Characterclear"/>
        </w:rPr>
        <w:t xml:space="preserve">eSafety also has the power to issue notices to individuals who post cyberbullying material </w:t>
      </w:r>
      <w:r w:rsidR="002E491F">
        <w:rPr>
          <w:rStyle w:val="Characterclear"/>
        </w:rPr>
        <w:t xml:space="preserve">and request that they take the material down, refrain from posting further cyberbullying material or apologise to the child. </w:t>
      </w:r>
    </w:p>
    <w:p w14:paraId="4DE9559B" w14:textId="30F98F08" w:rsidR="00866F29" w:rsidRDefault="00431A82" w:rsidP="0024319E">
      <w:pPr>
        <w:pStyle w:val="Heading4"/>
        <w:rPr>
          <w:rStyle w:val="Characterclear"/>
        </w:rPr>
      </w:pPr>
      <w:r>
        <w:rPr>
          <w:rStyle w:val="Characterclear"/>
        </w:rPr>
        <w:t>Image</w:t>
      </w:r>
      <w:r w:rsidR="00BF7345">
        <w:rPr>
          <w:rStyle w:val="Characterclear"/>
        </w:rPr>
        <w:t>-</w:t>
      </w:r>
      <w:r>
        <w:rPr>
          <w:rStyle w:val="Characterclear"/>
        </w:rPr>
        <w:t xml:space="preserve">based abuse </w:t>
      </w:r>
    </w:p>
    <w:p w14:paraId="0644548F" w14:textId="46701121" w:rsidR="00375F99" w:rsidRDefault="003933F8" w:rsidP="00D46E21">
      <w:pPr>
        <w:pStyle w:val="BodyText"/>
        <w:rPr>
          <w:rStyle w:val="Characterclear"/>
        </w:rPr>
      </w:pPr>
      <w:r>
        <w:rPr>
          <w:rStyle w:val="Characterclear"/>
        </w:rPr>
        <w:t xml:space="preserve">The EOSA </w:t>
      </w:r>
      <w:r w:rsidR="005C13EE">
        <w:rPr>
          <w:rStyle w:val="Characterclear"/>
        </w:rPr>
        <w:t>includes</w:t>
      </w:r>
      <w:r w:rsidR="006148FF">
        <w:rPr>
          <w:rStyle w:val="Characterclear"/>
        </w:rPr>
        <w:t xml:space="preserve"> a civil penalties scheme that allows eSafety </w:t>
      </w:r>
      <w:r w:rsidR="00C51A6D">
        <w:rPr>
          <w:rStyle w:val="Characterclear"/>
        </w:rPr>
        <w:t xml:space="preserve">to help with the removal of intimate images </w:t>
      </w:r>
      <w:r w:rsidR="00902907">
        <w:rPr>
          <w:rStyle w:val="Characterclear"/>
        </w:rPr>
        <w:t>or videos from online platforms</w:t>
      </w:r>
      <w:r w:rsidR="00112830">
        <w:rPr>
          <w:rStyle w:val="Characterclear"/>
        </w:rPr>
        <w:t xml:space="preserve">, including by: </w:t>
      </w:r>
    </w:p>
    <w:p w14:paraId="033185E8" w14:textId="07784FEE" w:rsidR="00375F99" w:rsidRDefault="00902907" w:rsidP="00C67716">
      <w:pPr>
        <w:pStyle w:val="TableListNumber"/>
        <w:numPr>
          <w:ilvl w:val="0"/>
          <w:numId w:val="42"/>
        </w:numPr>
        <w:rPr>
          <w:rStyle w:val="Characterclear"/>
        </w:rPr>
      </w:pPr>
      <w:r>
        <w:rPr>
          <w:rStyle w:val="Characterclear"/>
        </w:rPr>
        <w:t>gi</w:t>
      </w:r>
      <w:r w:rsidR="00112830">
        <w:rPr>
          <w:rStyle w:val="Characterclear"/>
        </w:rPr>
        <w:t>ving</w:t>
      </w:r>
      <w:r>
        <w:rPr>
          <w:rStyle w:val="Characterclear"/>
        </w:rPr>
        <w:t xml:space="preserve"> enforceable removal notices to social media services, websites, hosting providers and perpetrators, requiring the removal of online content</w:t>
      </w:r>
    </w:p>
    <w:p w14:paraId="7B9047B1" w14:textId="5FAD24C6" w:rsidR="00A05F80" w:rsidRPr="00375F99" w:rsidRDefault="00D46E21" w:rsidP="00AC328C">
      <w:pPr>
        <w:pStyle w:val="TableListNumber"/>
        <w:numPr>
          <w:ilvl w:val="0"/>
          <w:numId w:val="50"/>
        </w:numPr>
        <w:ind w:left="357" w:hanging="357"/>
        <w:rPr>
          <w:rStyle w:val="Characteryellowhighlight"/>
          <w:shd w:val="clear" w:color="auto" w:fill="auto"/>
          <w:lang w:eastAsia="en-AU"/>
        </w:rPr>
      </w:pPr>
      <w:r>
        <w:rPr>
          <w:rStyle w:val="Characterclear"/>
        </w:rPr>
        <w:t>tak</w:t>
      </w:r>
      <w:r w:rsidR="00112830">
        <w:rPr>
          <w:rStyle w:val="Characterclear"/>
        </w:rPr>
        <w:t>ing</w:t>
      </w:r>
      <w:r>
        <w:rPr>
          <w:rStyle w:val="Characterclear"/>
        </w:rPr>
        <w:t xml:space="preserve"> action against perpetrators including issuing a formal warning, giving a remedial direction, issuing an infringement notice, accepting an enforceable undertaking and seeking an injunction or civil penalty order in court.</w:t>
      </w:r>
      <w:r w:rsidR="00375F99">
        <w:rPr>
          <w:rStyle w:val="EndnoteReference"/>
          <w:lang w:eastAsia="en-AU"/>
        </w:rPr>
        <w:endnoteReference w:id="44"/>
      </w:r>
    </w:p>
    <w:p w14:paraId="3E9C20E5" w14:textId="69DFB7FE" w:rsidR="00BF4603" w:rsidRDefault="00BF4603" w:rsidP="00825739">
      <w:pPr>
        <w:pStyle w:val="BodyText"/>
      </w:pPr>
      <w:r>
        <w:t xml:space="preserve">Image-based abuse can include gender-motivated abuse. </w:t>
      </w:r>
    </w:p>
    <w:p w14:paraId="4842BA85" w14:textId="43AF7EB1" w:rsidR="00BF7345" w:rsidRDefault="00BF7345" w:rsidP="00BF7345">
      <w:pPr>
        <w:pStyle w:val="Heading4"/>
      </w:pPr>
      <w:r>
        <w:t xml:space="preserve">Prohibited online content </w:t>
      </w:r>
    </w:p>
    <w:p w14:paraId="5BF8767F" w14:textId="045DF65D" w:rsidR="00593EC4" w:rsidRPr="00D46E21" w:rsidRDefault="00143A2E" w:rsidP="00D46E21">
      <w:pPr>
        <w:pStyle w:val="BodyText"/>
      </w:pPr>
      <w:r>
        <w:t>eSafety also administers the Online Content Scheme</w:t>
      </w:r>
      <w:r w:rsidR="008C0F95">
        <w:t xml:space="preserve"> and may investigate valid complaints about online content and take action on material found to be prohibited or potentially prohibited (including child sexual abuse material). </w:t>
      </w:r>
    </w:p>
    <w:p w14:paraId="2A72A2E7" w14:textId="6506BA04" w:rsidR="006F39CF" w:rsidRDefault="004C534E" w:rsidP="00E43A17">
      <w:pPr>
        <w:pStyle w:val="Heading3"/>
      </w:pPr>
      <w:r>
        <w:lastRenderedPageBreak/>
        <w:t xml:space="preserve">Other laws </w:t>
      </w:r>
    </w:p>
    <w:p w14:paraId="360C9CE3" w14:textId="68DF4BA7" w:rsidR="00E43A17" w:rsidRDefault="004C534E" w:rsidP="00E43A17">
      <w:pPr>
        <w:pStyle w:val="BodyText"/>
      </w:pPr>
      <w:r>
        <w:t xml:space="preserve">A range of other Commonwealth and Victorian laws also provide </w:t>
      </w:r>
      <w:r w:rsidR="008E09D8">
        <w:t xml:space="preserve">complementary </w:t>
      </w:r>
      <w:r>
        <w:t>protection from online hate.</w:t>
      </w:r>
      <w:r w:rsidR="00694C46">
        <w:t xml:space="preserve"> For example: </w:t>
      </w:r>
    </w:p>
    <w:p w14:paraId="16CE41D1" w14:textId="1B210E9C" w:rsidR="00694C46" w:rsidRPr="00B962B3" w:rsidRDefault="00B54979" w:rsidP="007402C4">
      <w:pPr>
        <w:pStyle w:val="ListBullet"/>
      </w:pPr>
      <w:r>
        <w:t>U</w:t>
      </w:r>
      <w:r w:rsidR="005505D3">
        <w:t>nder s</w:t>
      </w:r>
      <w:r w:rsidR="00694C46">
        <w:t xml:space="preserve"> 474.17 of the </w:t>
      </w:r>
      <w:r w:rsidR="00694C46" w:rsidRPr="007402C4">
        <w:rPr>
          <w:rStyle w:val="Characteritalic"/>
        </w:rPr>
        <w:t>Criminal Code Act 1995</w:t>
      </w:r>
      <w:r w:rsidR="00694C46">
        <w:t xml:space="preserve"> (Cth)</w:t>
      </w:r>
      <w:r w:rsidR="005505D3">
        <w:t xml:space="preserve">, it is an </w:t>
      </w:r>
      <w:r w:rsidR="00694C46">
        <w:t>offence to use a carriage service in a way that reaso</w:t>
      </w:r>
      <w:r w:rsidR="00694C46" w:rsidRPr="00A57F21">
        <w:t xml:space="preserve">nable persons would regard as being, </w:t>
      </w:r>
      <w:r w:rsidRPr="002E7746">
        <w:t xml:space="preserve">in all the circumstances, menacing, harassing or offensive. </w:t>
      </w:r>
      <w:r w:rsidR="00E4634D" w:rsidRPr="00B962B3">
        <w:t xml:space="preserve">The </w:t>
      </w:r>
      <w:r w:rsidR="00BB0FCA" w:rsidRPr="00B962B3">
        <w:t xml:space="preserve">maximum penalty is three years imprisonment. </w:t>
      </w:r>
    </w:p>
    <w:p w14:paraId="4922BD90" w14:textId="3A9322B0" w:rsidR="00E4634D" w:rsidRPr="00B962B3" w:rsidRDefault="00E4634D" w:rsidP="007402C4">
      <w:pPr>
        <w:pStyle w:val="ListBullet"/>
      </w:pPr>
      <w:r w:rsidRPr="00B962B3">
        <w:t xml:space="preserve">Under s 21A of the </w:t>
      </w:r>
      <w:r w:rsidRPr="007402C4">
        <w:rPr>
          <w:rStyle w:val="Characteritalic"/>
        </w:rPr>
        <w:t>Crimes Act 1958</w:t>
      </w:r>
      <w:r>
        <w:t xml:space="preserve"> (Vic),</w:t>
      </w:r>
      <w:r w:rsidR="00B75B5B">
        <w:t xml:space="preserve"> stalking laws, amended by</w:t>
      </w:r>
      <w:r>
        <w:t xml:space="preserve"> </w:t>
      </w:r>
      <w:r w:rsidR="00FB4EDA">
        <w:t>‘Brodie’s Law’</w:t>
      </w:r>
      <w:r w:rsidR="00B75B5B" w:rsidRPr="00A57F21">
        <w:t>,</w:t>
      </w:r>
      <w:r w:rsidR="00FB4EDA" w:rsidRPr="002E7746">
        <w:t xml:space="preserve"> make bullying, including cyberbullying an offence</w:t>
      </w:r>
      <w:r w:rsidR="00BB0FCA" w:rsidRPr="00B962B3">
        <w:t xml:space="preserve">. The maximum penalty is 10 years imprisonment. </w:t>
      </w:r>
    </w:p>
    <w:p w14:paraId="4CFE3829" w14:textId="42AEB6F0" w:rsidR="00447AC2" w:rsidRPr="00B962B3" w:rsidRDefault="008E09D8" w:rsidP="007402C4">
      <w:pPr>
        <w:pStyle w:val="ListBullet"/>
      </w:pPr>
      <w:r w:rsidRPr="00B962B3">
        <w:t xml:space="preserve">Under s 41DA of the </w:t>
      </w:r>
      <w:r w:rsidR="00B75B5B" w:rsidRPr="004020C7">
        <w:rPr>
          <w:rStyle w:val="Characteritalic"/>
        </w:rPr>
        <w:t>Summary Offences Act 1966</w:t>
      </w:r>
      <w:r w:rsidRPr="008E09D8">
        <w:t xml:space="preserve"> (Vic)</w:t>
      </w:r>
      <w:r>
        <w:t xml:space="preserve">, it is </w:t>
      </w:r>
      <w:r w:rsidRPr="008E09D8">
        <w:t xml:space="preserve">an offence to intentionally distribute an </w:t>
      </w:r>
      <w:r w:rsidR="00B75B5B" w:rsidRPr="00A57F21">
        <w:t xml:space="preserve">intimate </w:t>
      </w:r>
      <w:r w:rsidRPr="002E7746">
        <w:t xml:space="preserve">image of another person to a third person, where the image is contrary to community standards of acceptable conduct. This offence </w:t>
      </w:r>
      <w:r w:rsidR="00D15903" w:rsidRPr="00B962B3">
        <w:t xml:space="preserve">is </w:t>
      </w:r>
      <w:r w:rsidRPr="00B962B3">
        <w:t xml:space="preserve">often termed </w:t>
      </w:r>
      <w:r w:rsidR="00BB0FCA" w:rsidRPr="00B962B3">
        <w:t>‘</w:t>
      </w:r>
      <w:r w:rsidRPr="00B962B3">
        <w:t>revenge porn</w:t>
      </w:r>
      <w:r w:rsidR="00B75B5B" w:rsidRPr="00B962B3">
        <w:t>’</w:t>
      </w:r>
      <w:r w:rsidR="00BB0FCA" w:rsidRPr="00B962B3">
        <w:t xml:space="preserve">. The maximum penalty is two years imprisonment. </w:t>
      </w:r>
    </w:p>
    <w:p w14:paraId="36B0B8E0" w14:textId="77777777" w:rsidR="00BB0FCA" w:rsidRPr="00B962B3" w:rsidRDefault="00BB0FCA" w:rsidP="004020C7">
      <w:pPr>
        <w:pStyle w:val="ListBullet"/>
      </w:pPr>
      <w:r w:rsidRPr="00B962B3">
        <w:t xml:space="preserve">The </w:t>
      </w:r>
      <w:r w:rsidRPr="002E0F89">
        <w:rPr>
          <w:rStyle w:val="Characteritalic"/>
        </w:rPr>
        <w:t>Criminal Code Amendment (Sharing of Abhorrent Violent Material) Act 2019</w:t>
      </w:r>
      <w:r w:rsidRPr="00BB0FCA">
        <w:t xml:space="preserve"> (Cth) regulates abhorrent violent material by requiring individuals, internet service providers and digital platforms to remove content within a reasonable time. Significant penalties apply for failure to notify law enforceme</w:t>
      </w:r>
      <w:r w:rsidRPr="00A57F21">
        <w:t xml:space="preserve">nt of abhorrent violent material and for failing to expeditiously remove </w:t>
      </w:r>
      <w:r w:rsidRPr="002E7746">
        <w:t>content.</w:t>
      </w:r>
    </w:p>
    <w:p w14:paraId="6BC0B985" w14:textId="43ACDC4B" w:rsidR="00BB0FCA" w:rsidRDefault="00571563" w:rsidP="004020C7">
      <w:pPr>
        <w:pStyle w:val="ListBullet"/>
      </w:pPr>
      <w:r w:rsidRPr="00B962B3">
        <w:t xml:space="preserve">Civil defamation laws </w:t>
      </w:r>
      <w:r w:rsidR="001134A1" w:rsidRPr="00B962B3">
        <w:t xml:space="preserve">can apply to </w:t>
      </w:r>
      <w:r w:rsidR="00B75B5B" w:rsidRPr="00B962B3">
        <w:t>an</w:t>
      </w:r>
      <w:r w:rsidR="001134A1" w:rsidRPr="00B962B3">
        <w:t xml:space="preserve"> author of </w:t>
      </w:r>
      <w:r w:rsidR="0096668A" w:rsidRPr="00B962B3">
        <w:t xml:space="preserve">website content or </w:t>
      </w:r>
      <w:r w:rsidR="001134A1" w:rsidRPr="00B962B3">
        <w:t>social media posts, as well as</w:t>
      </w:r>
      <w:r w:rsidR="00B75B5B" w:rsidRPr="00B962B3">
        <w:t xml:space="preserve"> to</w:t>
      </w:r>
      <w:r w:rsidR="001134A1" w:rsidRPr="00B962B3">
        <w:t xml:space="preserve"> the hosts of social media pages.</w:t>
      </w:r>
      <w:r w:rsidR="001134A1" w:rsidRPr="007402C4">
        <w:rPr>
          <w:rStyle w:val="EndnoteReference"/>
        </w:rPr>
        <w:endnoteReference w:id="45"/>
      </w:r>
    </w:p>
    <w:p w14:paraId="6025410C" w14:textId="20A74619" w:rsidR="0049703E" w:rsidRPr="0049703E" w:rsidRDefault="00A74BEF" w:rsidP="0049703E">
      <w:pPr>
        <w:pStyle w:val="BodyText"/>
      </w:pPr>
      <w:r>
        <w:t xml:space="preserve">Significantly, international jurisdictions are developing </w:t>
      </w:r>
      <w:r w:rsidR="00902C26">
        <w:t xml:space="preserve">innovative </w:t>
      </w:r>
      <w:r>
        <w:t>new</w:t>
      </w:r>
      <w:r w:rsidR="00902C26">
        <w:t xml:space="preserve"> frameworks to deal with online hate, including N</w:t>
      </w:r>
      <w:r w:rsidR="00302803">
        <w:t>ew Zealand, Germany and the United Kingdom</w:t>
      </w:r>
      <w:r w:rsidR="00410DF6">
        <w:t>.</w:t>
      </w:r>
      <w:r w:rsidR="00410DF6">
        <w:rPr>
          <w:rStyle w:val="EndnoteReference"/>
        </w:rPr>
        <w:endnoteReference w:id="46"/>
      </w:r>
      <w:r w:rsidR="00902C26">
        <w:t xml:space="preserve"> </w:t>
      </w:r>
    </w:p>
    <w:p w14:paraId="103D4C7E" w14:textId="5BCF8619" w:rsidR="0049703E" w:rsidRDefault="003E14C3" w:rsidP="0075453C">
      <w:pPr>
        <w:pStyle w:val="Heading1"/>
      </w:pPr>
      <w:bookmarkStart w:id="15" w:name="_Toc31392331"/>
      <w:r>
        <w:lastRenderedPageBreak/>
        <w:t>Hate in the Victorian community</w:t>
      </w:r>
      <w:bookmarkEnd w:id="15"/>
      <w:r>
        <w:t xml:space="preserve"> </w:t>
      </w:r>
    </w:p>
    <w:tbl>
      <w:tblPr>
        <w:tblStyle w:val="CustomTablebreakoutbox"/>
        <w:tblW w:w="0" w:type="auto"/>
        <w:tblLook w:val="04A0" w:firstRow="1" w:lastRow="0" w:firstColumn="1" w:lastColumn="0" w:noHBand="0" w:noVBand="1"/>
      </w:tblPr>
      <w:tblGrid>
        <w:gridCol w:w="9061"/>
      </w:tblGrid>
      <w:tr w:rsidR="002F2FF7" w14:paraId="452E6482" w14:textId="77777777" w:rsidTr="002F2FF7">
        <w:tc>
          <w:tcPr>
            <w:tcW w:w="9061" w:type="dxa"/>
          </w:tcPr>
          <w:p w14:paraId="24210D85" w14:textId="77777777" w:rsidR="002F2FF7" w:rsidRPr="00251C54" w:rsidRDefault="002F2FF7" w:rsidP="002F2FF7">
            <w:pPr>
              <w:pStyle w:val="BodyText"/>
              <w:rPr>
                <w:rStyle w:val="Characterbold"/>
              </w:rPr>
            </w:pPr>
            <w:r w:rsidRPr="00251C54">
              <w:rPr>
                <w:rStyle w:val="Characterbold"/>
              </w:rPr>
              <w:t xml:space="preserve">Summary </w:t>
            </w:r>
          </w:p>
          <w:p w14:paraId="5F807298" w14:textId="4DAA938D" w:rsidR="002F2FF7" w:rsidRDefault="002F2FF7" w:rsidP="002F2FF7">
            <w:pPr>
              <w:pStyle w:val="BodyText"/>
              <w:rPr>
                <w:rStyle w:val="Characterclear"/>
              </w:rPr>
            </w:pPr>
            <w:r>
              <w:rPr>
                <w:rStyle w:val="Characterclear"/>
              </w:rPr>
              <w:t xml:space="preserve">Part 3 of our submission sets out the </w:t>
            </w:r>
            <w:r w:rsidR="00823645">
              <w:rPr>
                <w:rStyle w:val="Characterclear"/>
              </w:rPr>
              <w:t xml:space="preserve">harmful nature, prevalence and impact of hate in the Victorian community including that: </w:t>
            </w:r>
            <w:r w:rsidR="003F67D8">
              <w:rPr>
                <w:rStyle w:val="Characterclear"/>
              </w:rPr>
              <w:t xml:space="preserve"> </w:t>
            </w:r>
          </w:p>
          <w:p w14:paraId="5885351A" w14:textId="33044D25" w:rsidR="00632E90" w:rsidRDefault="00632E90" w:rsidP="00570C09">
            <w:pPr>
              <w:pStyle w:val="ListBullet"/>
              <w:rPr>
                <w:rStyle w:val="Characterclear"/>
              </w:rPr>
            </w:pPr>
            <w:r>
              <w:rPr>
                <w:rStyle w:val="Characterclear"/>
              </w:rPr>
              <w:t>Hate takes many different forms in our community</w:t>
            </w:r>
            <w:r w:rsidR="00DD21DF">
              <w:rPr>
                <w:rStyle w:val="Characterclear"/>
              </w:rPr>
              <w:t xml:space="preserve"> (part 3.1)</w:t>
            </w:r>
          </w:p>
          <w:p w14:paraId="2C6D6C76" w14:textId="0B40F291" w:rsidR="008B3DED" w:rsidRDefault="008B3DED" w:rsidP="00570C09">
            <w:pPr>
              <w:pStyle w:val="ListBullet"/>
              <w:rPr>
                <w:rStyle w:val="Characterclear"/>
              </w:rPr>
            </w:pPr>
            <w:r>
              <w:rPr>
                <w:rStyle w:val="Characterclear"/>
              </w:rPr>
              <w:t xml:space="preserve">Hate </w:t>
            </w:r>
            <w:r w:rsidR="00E35B73">
              <w:rPr>
                <w:rStyle w:val="Characterclear"/>
              </w:rPr>
              <w:t>is often</w:t>
            </w:r>
            <w:r>
              <w:rPr>
                <w:rStyle w:val="Characterclear"/>
              </w:rPr>
              <w:t xml:space="preserve"> systemic and pervasive</w:t>
            </w:r>
            <w:r w:rsidR="00DD21DF">
              <w:rPr>
                <w:rStyle w:val="Characterclear"/>
              </w:rPr>
              <w:t xml:space="preserve"> (part 3.2).</w:t>
            </w:r>
          </w:p>
          <w:p w14:paraId="4D81ACE3" w14:textId="0E528EE4" w:rsidR="00D53CB8" w:rsidRDefault="00D53CB8" w:rsidP="00570C09">
            <w:pPr>
              <w:pStyle w:val="ListBullet"/>
              <w:rPr>
                <w:rStyle w:val="Characterclear"/>
              </w:rPr>
            </w:pPr>
            <w:r>
              <w:rPr>
                <w:rStyle w:val="Characterclear"/>
              </w:rPr>
              <w:t>The nature of hate is evolving in the digital age</w:t>
            </w:r>
            <w:r w:rsidR="00DD21DF">
              <w:rPr>
                <w:rStyle w:val="Characterclear"/>
              </w:rPr>
              <w:t xml:space="preserve"> (part 3.3).</w:t>
            </w:r>
          </w:p>
          <w:p w14:paraId="6708184A" w14:textId="373DA27B" w:rsidR="00D53CB8" w:rsidRDefault="00590C42" w:rsidP="00570C09">
            <w:pPr>
              <w:pStyle w:val="ListBullet"/>
              <w:rPr>
                <w:rStyle w:val="Characterclear"/>
              </w:rPr>
            </w:pPr>
            <w:r>
              <w:rPr>
                <w:rStyle w:val="Characterclear"/>
              </w:rPr>
              <w:t xml:space="preserve">Hate continues to be prevalent </w:t>
            </w:r>
            <w:r w:rsidR="00E0768B">
              <w:rPr>
                <w:rStyle w:val="Characterclear"/>
              </w:rPr>
              <w:t xml:space="preserve">for </w:t>
            </w:r>
            <w:r w:rsidR="008B3DED">
              <w:rPr>
                <w:rStyle w:val="Characterclear"/>
              </w:rPr>
              <w:t xml:space="preserve">multicultural and multifaith </w:t>
            </w:r>
            <w:r w:rsidR="00570D98">
              <w:rPr>
                <w:rStyle w:val="Characterclear"/>
              </w:rPr>
              <w:t>people</w:t>
            </w:r>
            <w:r w:rsidR="00DD21DF">
              <w:rPr>
                <w:rStyle w:val="Characterclear"/>
              </w:rPr>
              <w:t xml:space="preserve"> (part 3.4). </w:t>
            </w:r>
          </w:p>
          <w:p w14:paraId="245C1DDE" w14:textId="1955784F" w:rsidR="00590C42" w:rsidRDefault="00590C42" w:rsidP="00570C09">
            <w:pPr>
              <w:pStyle w:val="ListBullet"/>
              <w:rPr>
                <w:rStyle w:val="Characterclear"/>
              </w:rPr>
            </w:pPr>
            <w:r>
              <w:rPr>
                <w:rStyle w:val="Characterclear"/>
              </w:rPr>
              <w:t xml:space="preserve">Hate is also prevalent for </w:t>
            </w:r>
            <w:r w:rsidR="008B3DED">
              <w:rPr>
                <w:rStyle w:val="Characterclear"/>
              </w:rPr>
              <w:t>people who are not protected by the RRTA</w:t>
            </w:r>
            <w:r w:rsidR="0096668A">
              <w:rPr>
                <w:rStyle w:val="Characterclear"/>
              </w:rPr>
              <w:t xml:space="preserve">, including LGBTIQ people, women and people with a </w:t>
            </w:r>
            <w:r w:rsidR="00825739">
              <w:rPr>
                <w:rStyle w:val="Characterclear"/>
              </w:rPr>
              <w:t>disability</w:t>
            </w:r>
            <w:r w:rsidR="00DD21DF">
              <w:rPr>
                <w:rStyle w:val="Characterclear"/>
              </w:rPr>
              <w:t xml:space="preserve"> (part 3.5).</w:t>
            </w:r>
          </w:p>
          <w:p w14:paraId="232107A1" w14:textId="30E7C48C" w:rsidR="00957AD0" w:rsidRPr="002F2FF7" w:rsidRDefault="00D53CB8" w:rsidP="00570C09">
            <w:pPr>
              <w:pStyle w:val="ListBullet"/>
              <w:rPr>
                <w:rStyle w:val="Characterclear"/>
              </w:rPr>
            </w:pPr>
            <w:r>
              <w:rPr>
                <w:rStyle w:val="Characterclear"/>
              </w:rPr>
              <w:t>Hate has profound</w:t>
            </w:r>
            <w:r w:rsidR="00BF009B">
              <w:rPr>
                <w:rStyle w:val="Characterclear"/>
              </w:rPr>
              <w:t>ly</w:t>
            </w:r>
            <w:r>
              <w:rPr>
                <w:rStyle w:val="Characterclear"/>
              </w:rPr>
              <w:t xml:space="preserve"> negative impacts </w:t>
            </w:r>
            <w:r w:rsidR="00DD21DF">
              <w:rPr>
                <w:rStyle w:val="Characterclear"/>
              </w:rPr>
              <w:t>(part 3.6).</w:t>
            </w:r>
          </w:p>
        </w:tc>
      </w:tr>
    </w:tbl>
    <w:p w14:paraId="22F929E3" w14:textId="45E7FB8C" w:rsidR="00EB4B9A" w:rsidRDefault="00D93CC2" w:rsidP="00C26AE6">
      <w:pPr>
        <w:pStyle w:val="Heading2"/>
      </w:pPr>
      <w:bookmarkStart w:id="16" w:name="_Toc31392332"/>
      <w:r>
        <w:t>Hate takes many different forms in our community</w:t>
      </w:r>
      <w:bookmarkEnd w:id="16"/>
      <w:r>
        <w:t xml:space="preserve"> </w:t>
      </w:r>
    </w:p>
    <w:p w14:paraId="36D3A74C" w14:textId="719A98D5" w:rsidR="00B962B3" w:rsidRPr="00B962B3" w:rsidRDefault="003229DE" w:rsidP="00B962B3">
      <w:pPr>
        <w:pStyle w:val="BodyText"/>
      </w:pPr>
      <w:r>
        <w:t>Hate</w:t>
      </w:r>
      <w:r w:rsidR="0049703E" w:rsidRPr="0049703E">
        <w:t xml:space="preserve"> in our community manifests in many different ways. </w:t>
      </w:r>
      <w:r w:rsidR="004917C3">
        <w:t>I</w:t>
      </w:r>
      <w:r>
        <w:t xml:space="preserve">t </w:t>
      </w:r>
      <w:r w:rsidR="0049703E" w:rsidRPr="0049703E">
        <w:t>can include</w:t>
      </w:r>
      <w:r>
        <w:t xml:space="preserve"> </w:t>
      </w:r>
      <w:r w:rsidR="0049703E" w:rsidRPr="0049703E">
        <w:t>verbal abuse</w:t>
      </w:r>
      <w:r w:rsidR="0045075B">
        <w:t xml:space="preserve">, </w:t>
      </w:r>
      <w:r w:rsidR="0049703E" w:rsidRPr="0049703E">
        <w:t>harassment in the street, on public transport or in shopping centres</w:t>
      </w:r>
      <w:r w:rsidR="0045075B">
        <w:t xml:space="preserve">, </w:t>
      </w:r>
      <w:r w:rsidR="0049703E" w:rsidRPr="0049703E">
        <w:t>publications</w:t>
      </w:r>
      <w:r w:rsidR="0045075B">
        <w:t xml:space="preserve">, </w:t>
      </w:r>
      <w:r w:rsidR="0049703E" w:rsidRPr="0049703E">
        <w:t>statements at a public meeting or rally</w:t>
      </w:r>
      <w:r w:rsidR="0045075B">
        <w:t xml:space="preserve">, </w:t>
      </w:r>
      <w:r w:rsidR="0049703E" w:rsidRPr="0049703E">
        <w:t>graffit</w:t>
      </w:r>
      <w:r w:rsidR="0045075B">
        <w:t xml:space="preserve">i, </w:t>
      </w:r>
      <w:r w:rsidR="00A8505D">
        <w:t xml:space="preserve">displaying symbols, </w:t>
      </w:r>
      <w:r w:rsidR="0049703E" w:rsidRPr="0049703E">
        <w:t xml:space="preserve">flyers, </w:t>
      </w:r>
      <w:r w:rsidR="001C12D5">
        <w:t xml:space="preserve">flags, </w:t>
      </w:r>
      <w:r w:rsidR="0049703E" w:rsidRPr="0049703E">
        <w:t>posters or stickers</w:t>
      </w:r>
      <w:r w:rsidR="0045075B">
        <w:t xml:space="preserve">, </w:t>
      </w:r>
      <w:r w:rsidR="0049703E" w:rsidRPr="0049703E">
        <w:t>mocking</w:t>
      </w:r>
      <w:r w:rsidR="0045075B">
        <w:t xml:space="preserve">, </w:t>
      </w:r>
      <w:r w:rsidR="0049703E" w:rsidRPr="0049703E">
        <w:t>threats</w:t>
      </w:r>
      <w:r w:rsidR="0045075B">
        <w:t xml:space="preserve">, </w:t>
      </w:r>
      <w:r w:rsidR="0049703E" w:rsidRPr="0049703E">
        <w:t>property damage</w:t>
      </w:r>
      <w:r w:rsidR="0045075B">
        <w:t xml:space="preserve"> and </w:t>
      </w:r>
      <w:r w:rsidR="0049703E" w:rsidRPr="0049703E">
        <w:t>physical violence.</w:t>
      </w:r>
      <w:r w:rsidR="0045075B">
        <w:t xml:space="preserve"> </w:t>
      </w:r>
      <w:r w:rsidR="00D46B0B">
        <w:t xml:space="preserve">Increasingly, </w:t>
      </w:r>
      <w:r w:rsidR="004073A6">
        <w:t>hate conduct occurs online</w:t>
      </w:r>
      <w:r w:rsidR="003B7CF3">
        <w:t xml:space="preserve"> (part</w:t>
      </w:r>
      <w:r w:rsidR="001C12D5">
        <w:t xml:space="preserve"> 3.3</w:t>
      </w:r>
      <w:r w:rsidR="00D2103E">
        <w:t>).</w:t>
      </w:r>
      <w:r w:rsidR="00A86465" w:rsidRPr="00A86465">
        <w:t xml:space="preserve"> Hate can be targeted at an individual or group (such as verbal abuse in the street) or can be expressed more broadly (such as in a media publication</w:t>
      </w:r>
      <w:r w:rsidR="00077198">
        <w:t xml:space="preserve"> or by the display of symbols</w:t>
      </w:r>
      <w:r w:rsidR="00A86465" w:rsidRPr="00A86465">
        <w:t>).</w:t>
      </w:r>
    </w:p>
    <w:p w14:paraId="5054B22E" w14:textId="469C3EB0" w:rsidR="00933D61" w:rsidRDefault="00077198" w:rsidP="00B962B3">
      <w:pPr>
        <w:pStyle w:val="BodyText"/>
      </w:pPr>
      <w:r>
        <w:t>A recent example</w:t>
      </w:r>
      <w:r w:rsidR="00C518A6">
        <w:t xml:space="preserve"> </w:t>
      </w:r>
      <w:r w:rsidR="001A1C7A">
        <w:t xml:space="preserve">is </w:t>
      </w:r>
      <w:r w:rsidR="00D5143B">
        <w:t>a Nazi flag being flown over a home in north-west Victoria</w:t>
      </w:r>
      <w:r w:rsidR="007D190B">
        <w:t>, featuring a swastika and other Nazi symbols.</w:t>
      </w:r>
      <w:r w:rsidR="007D190B">
        <w:rPr>
          <w:rStyle w:val="EndnoteReference"/>
        </w:rPr>
        <w:endnoteReference w:id="47"/>
      </w:r>
      <w:r w:rsidR="00C75153">
        <w:t xml:space="preserve"> </w:t>
      </w:r>
      <w:r w:rsidR="00F40D3B">
        <w:t>Symbols of hate, such as swastikas, cause real harm to Victoria’s Jewish community</w:t>
      </w:r>
      <w:r w:rsidR="00824D12">
        <w:t>, with Melbourne having one of the largest Holocaust survivor communities in the world</w:t>
      </w:r>
      <w:r w:rsidR="008176C0">
        <w:t xml:space="preserve">. The swastika has been used as a symbol of hate – and </w:t>
      </w:r>
      <w:r w:rsidR="006D46D8">
        <w:t>importantly, as</w:t>
      </w:r>
      <w:r w:rsidR="00D51AFA">
        <w:t xml:space="preserve"> a symbol to </w:t>
      </w:r>
      <w:r w:rsidR="00D51AFA" w:rsidRPr="006D46D8">
        <w:rPr>
          <w:rStyle w:val="Characteritalic"/>
        </w:rPr>
        <w:t>incite</w:t>
      </w:r>
      <w:r w:rsidR="00D51AFA">
        <w:t xml:space="preserve"> hate, since the 19</w:t>
      </w:r>
      <w:r w:rsidR="00CF6375">
        <w:t>2</w:t>
      </w:r>
      <w:r w:rsidR="00D51AFA">
        <w:t>0s.</w:t>
      </w:r>
      <w:r w:rsidR="003229DE">
        <w:t xml:space="preserve"> As set out </w:t>
      </w:r>
      <w:r w:rsidR="006D46D8">
        <w:t>in par</w:t>
      </w:r>
      <w:r w:rsidR="006B7278">
        <w:t>t 3.4.3</w:t>
      </w:r>
      <w:r w:rsidR="006D46D8">
        <w:t xml:space="preserve">, the Executive Council of Australian Jewry recently reported </w:t>
      </w:r>
      <w:r w:rsidR="00560E7C">
        <w:t xml:space="preserve">a significant increase in anti-Semitic graffiti attacks, including swastikas. </w:t>
      </w:r>
    </w:p>
    <w:p w14:paraId="05A0B0F2" w14:textId="0E6CDA51" w:rsidR="00624C50" w:rsidRPr="0049703E" w:rsidRDefault="0049703E" w:rsidP="0049703E">
      <w:pPr>
        <w:pStyle w:val="BodyText"/>
      </w:pPr>
      <w:r w:rsidRPr="0049703E">
        <w:t>At times, hate conduct can amount to vilification within the meaning of the RRTA – that is, inciting others to hate a person or group because of their race or religion (part 2.</w:t>
      </w:r>
      <w:r w:rsidR="006B7278">
        <w:t>3</w:t>
      </w:r>
      <w:r w:rsidRPr="0049703E">
        <w:t xml:space="preserve">). </w:t>
      </w:r>
      <w:r w:rsidR="00624C50">
        <w:t>Other times</w:t>
      </w:r>
      <w:r w:rsidRPr="0049703E">
        <w:t xml:space="preserve"> conduct is targeted directly at a person or group of people because of their identity (rather than directed at a third party to incite </w:t>
      </w:r>
      <w:r w:rsidR="00624C50">
        <w:t xml:space="preserve">others to </w:t>
      </w:r>
      <w:r w:rsidRPr="0049703E">
        <w:t xml:space="preserve">hatred). </w:t>
      </w:r>
    </w:p>
    <w:p w14:paraId="64C5BD5D" w14:textId="1B4E6694" w:rsidR="0049703E" w:rsidRDefault="0049703E" w:rsidP="0049703E">
      <w:pPr>
        <w:pStyle w:val="BodyText"/>
      </w:pPr>
      <w:r w:rsidRPr="0049703E">
        <w:t>Hate can be known by different names such as racism, Islamophobia, ant</w:t>
      </w:r>
      <w:r w:rsidR="00BF009B">
        <w:t>i</w:t>
      </w:r>
      <w:r w:rsidR="004917C3">
        <w:t>-</w:t>
      </w:r>
      <w:r w:rsidRPr="0049703E">
        <w:t xml:space="preserve">Semitism, misogyny, cyberbullying, trolling, homophobia, transphobia, harassment and bullying. </w:t>
      </w:r>
      <w:r w:rsidR="00BF009B">
        <w:t>Common to these concepts is a negative and harmful attitude towards a person or group because of their identity, belief or background.</w:t>
      </w:r>
    </w:p>
    <w:tbl>
      <w:tblPr>
        <w:tblStyle w:val="CustomTablebreakoutbox"/>
        <w:tblW w:w="0" w:type="auto"/>
        <w:tblLook w:val="04A0" w:firstRow="1" w:lastRow="0" w:firstColumn="1" w:lastColumn="0" w:noHBand="0" w:noVBand="1"/>
      </w:tblPr>
      <w:tblGrid>
        <w:gridCol w:w="9061"/>
      </w:tblGrid>
      <w:tr w:rsidR="00EB76BC" w14:paraId="45E5D977" w14:textId="77777777" w:rsidTr="00EB76BC">
        <w:tc>
          <w:tcPr>
            <w:tcW w:w="9061" w:type="dxa"/>
          </w:tcPr>
          <w:p w14:paraId="136FF5EF" w14:textId="77777777" w:rsidR="00EB76BC" w:rsidRDefault="00EB76BC" w:rsidP="00255967">
            <w:pPr>
              <w:pStyle w:val="BodyText"/>
              <w:rPr>
                <w:rStyle w:val="Characterbold"/>
              </w:rPr>
            </w:pPr>
            <w:r>
              <w:rPr>
                <w:rStyle w:val="Characterbold"/>
              </w:rPr>
              <w:t>What drives hate in our community?</w:t>
            </w:r>
          </w:p>
          <w:p w14:paraId="43A55967" w14:textId="13FABC40" w:rsidR="00EB76BC" w:rsidRPr="00EB76BC" w:rsidRDefault="00EB76BC" w:rsidP="00EB76BC">
            <w:pPr>
              <w:pStyle w:val="BodyText"/>
              <w:rPr>
                <w:rStyle w:val="Characterclear"/>
              </w:rPr>
            </w:pPr>
            <w:r w:rsidRPr="006650F9">
              <w:rPr>
                <w:rStyle w:val="Characterclear"/>
              </w:rPr>
              <w:t xml:space="preserve">The Scanlon Foundation’s 2019 survey on ‘Mapping Social Cohesion’ identified that negative attitudes towards </w:t>
            </w:r>
            <w:r w:rsidRPr="00EB76BC">
              <w:rPr>
                <w:rStyle w:val="Characterclear"/>
              </w:rPr>
              <w:t xml:space="preserve">multicultural and multifaith people continue to persist in Australia. For example: </w:t>
            </w:r>
          </w:p>
          <w:p w14:paraId="3963AD05" w14:textId="4D88DB43" w:rsidR="00EB76BC" w:rsidRDefault="00EB76BC" w:rsidP="00103B29">
            <w:pPr>
              <w:pStyle w:val="ListBullet"/>
              <w:rPr>
                <w:rStyle w:val="Characterclear"/>
                <w:rFonts w:eastAsiaTheme="minorHAnsi" w:cstheme="minorBidi"/>
                <w:szCs w:val="20"/>
              </w:rPr>
            </w:pPr>
            <w:r>
              <w:rPr>
                <w:rStyle w:val="Characterclear"/>
              </w:rPr>
              <w:t xml:space="preserve">The highest negative sentiment was towards immigrants from Ethiopia (16 per cent) and </w:t>
            </w:r>
            <w:r w:rsidRPr="004C29EF">
              <w:rPr>
                <w:rStyle w:val="Characterclear"/>
                <w:lang w:eastAsia="en-GB"/>
              </w:rPr>
              <w:t>Middle</w:t>
            </w:r>
            <w:r>
              <w:rPr>
                <w:rStyle w:val="Characterclear"/>
              </w:rPr>
              <w:t xml:space="preserve"> Eastern countries including Iraq </w:t>
            </w:r>
            <w:r w:rsidR="00825739">
              <w:rPr>
                <w:rStyle w:val="Characterclear"/>
              </w:rPr>
              <w:t>(</w:t>
            </w:r>
            <w:r>
              <w:rPr>
                <w:rStyle w:val="Characterclear"/>
              </w:rPr>
              <w:t>22 to 24 per cent) and Lebanon (23 to 27 per cent).</w:t>
            </w:r>
            <w:r w:rsidRPr="00EB76BC">
              <w:rPr>
                <w:rStyle w:val="EndnoteReference"/>
              </w:rPr>
              <w:endnoteReference w:id="48"/>
            </w:r>
            <w:r>
              <w:rPr>
                <w:rStyle w:val="Characterclear"/>
              </w:rPr>
              <w:t xml:space="preserve"> </w:t>
            </w:r>
          </w:p>
          <w:p w14:paraId="524DA8F1" w14:textId="051FF19A" w:rsidR="00EB76BC" w:rsidRDefault="00EB76BC" w:rsidP="00103B29">
            <w:pPr>
              <w:pStyle w:val="ListBullet"/>
              <w:rPr>
                <w:lang w:eastAsia="en-AU"/>
              </w:rPr>
            </w:pPr>
            <w:r>
              <w:rPr>
                <w:rStyle w:val="Characterclear"/>
              </w:rPr>
              <w:lastRenderedPageBreak/>
              <w:t>In relation to people</w:t>
            </w:r>
            <w:r w:rsidR="00E900F1">
              <w:rPr>
                <w:rStyle w:val="Characterclear"/>
              </w:rPr>
              <w:t xml:space="preserve"> of faith</w:t>
            </w:r>
            <w:r>
              <w:rPr>
                <w:rStyle w:val="Characterclear"/>
              </w:rPr>
              <w:t>, the highest negative sentiment was towards Muslims</w:t>
            </w:r>
            <w:r w:rsidRPr="00EB76BC">
              <w:rPr>
                <w:rStyle w:val="Characterclear"/>
              </w:rPr>
              <w:t xml:space="preserve">, with the report noting that ‘the level </w:t>
            </w:r>
            <w:r w:rsidRPr="004C29EF">
              <w:rPr>
                <w:rStyle w:val="Characterclear"/>
                <w:lang w:eastAsia="en-GB"/>
              </w:rPr>
              <w:t>of</w:t>
            </w:r>
            <w:r w:rsidRPr="00EB76BC">
              <w:rPr>
                <w:rStyle w:val="Characterclear"/>
              </w:rPr>
              <w:t xml:space="preserve"> negative sentiment towards those of Muslim faith and by extension to immigrants from Muslim countries, remains a factor of significance in contemporary Australian society’.</w:t>
            </w:r>
            <w:r w:rsidRPr="00EB76BC">
              <w:rPr>
                <w:rStyle w:val="EndnoteReference"/>
              </w:rPr>
              <w:endnoteReference w:id="49"/>
            </w:r>
          </w:p>
          <w:p w14:paraId="06239B0C" w14:textId="258BD108" w:rsidR="00EB76BC" w:rsidRPr="00EB76BC" w:rsidRDefault="00EB76BC" w:rsidP="00EB76BC">
            <w:pPr>
              <w:pStyle w:val="BodyText"/>
            </w:pPr>
            <w:r w:rsidRPr="00EB76BC">
              <w:t xml:space="preserve">Other drivers of hate identified in the Commission’s </w:t>
            </w:r>
            <w:r w:rsidR="00721BE0">
              <w:t>consultations</w:t>
            </w:r>
            <w:r w:rsidRPr="00EB76BC">
              <w:t xml:space="preserve"> included: </w:t>
            </w:r>
          </w:p>
          <w:p w14:paraId="1EFFC373" w14:textId="77777777" w:rsidR="00EB76BC" w:rsidRDefault="00EB76BC" w:rsidP="00103B29">
            <w:pPr>
              <w:pStyle w:val="ListBullet"/>
            </w:pPr>
            <w:r>
              <w:t>cultural ignorance and assumptions based on stereotypes</w:t>
            </w:r>
          </w:p>
          <w:p w14:paraId="54F9CD12" w14:textId="77777777" w:rsidR="00EB76BC" w:rsidRDefault="00EB76BC" w:rsidP="00103B29">
            <w:pPr>
              <w:pStyle w:val="ListBullet"/>
            </w:pPr>
            <w:r>
              <w:t xml:space="preserve">visible markers of person’s identity, such as religious garments (the hijab), Aboriginal flags or the colour of a person’s skin </w:t>
            </w:r>
          </w:p>
          <w:p w14:paraId="0E3D1185" w14:textId="13025230" w:rsidR="00EB76BC" w:rsidRPr="00B962B3" w:rsidRDefault="00EB76BC" w:rsidP="00103B29">
            <w:pPr>
              <w:pStyle w:val="ListBullet"/>
            </w:pPr>
            <w:r w:rsidRPr="00A57F21">
              <w:t>systemic social issues such as gender ine</w:t>
            </w:r>
            <w:r w:rsidRPr="002E7746">
              <w:t>quality, fear and general bigotry</w:t>
            </w:r>
          </w:p>
          <w:p w14:paraId="22558541" w14:textId="6CC7FBFE" w:rsidR="00EB76BC" w:rsidRPr="0005553B" w:rsidRDefault="00EB76BC" w:rsidP="00103B29">
            <w:pPr>
              <w:pStyle w:val="ListBullet"/>
              <w:rPr>
                <w:rStyle w:val="Characterbold"/>
                <w:b w:val="0"/>
              </w:rPr>
            </w:pPr>
            <w:r w:rsidRPr="00B962B3">
              <w:t xml:space="preserve">political commentary </w:t>
            </w:r>
            <w:r w:rsidR="0005553B" w:rsidRPr="00B962B3">
              <w:t xml:space="preserve">and </w:t>
            </w:r>
            <w:r w:rsidRPr="00B962B3">
              <w:t xml:space="preserve">media reporting </w:t>
            </w:r>
            <w:r w:rsidR="002666C0" w:rsidRPr="00B962B3">
              <w:t>that drive or reinforce negative stereotypes about marginalised</w:t>
            </w:r>
            <w:r w:rsidR="002666C0">
              <w:t xml:space="preserve"> communities.</w:t>
            </w:r>
          </w:p>
        </w:tc>
      </w:tr>
    </w:tbl>
    <w:p w14:paraId="28E0EDB8" w14:textId="16ADA706" w:rsidR="00115D6A" w:rsidRDefault="00115D6A" w:rsidP="00EB76BC">
      <w:pPr>
        <w:pStyle w:val="Heading2"/>
      </w:pPr>
      <w:bookmarkStart w:id="17" w:name="_Toc31392333"/>
      <w:r>
        <w:lastRenderedPageBreak/>
        <w:t xml:space="preserve">Hate </w:t>
      </w:r>
      <w:r w:rsidR="00E35B73">
        <w:t>is often</w:t>
      </w:r>
      <w:r>
        <w:t xml:space="preserve"> </w:t>
      </w:r>
      <w:r w:rsidR="003D61CC">
        <w:t>systemic and pervasive</w:t>
      </w:r>
      <w:bookmarkEnd w:id="17"/>
      <w:r w:rsidR="003D61CC">
        <w:t xml:space="preserve"> </w:t>
      </w:r>
    </w:p>
    <w:p w14:paraId="0C12A95B" w14:textId="33832840" w:rsidR="00794B50" w:rsidRDefault="00BF009B" w:rsidP="00794B50">
      <w:pPr>
        <w:pStyle w:val="BodyText"/>
        <w:rPr>
          <w:rStyle w:val="Characterclear"/>
        </w:rPr>
      </w:pPr>
      <w:r>
        <w:rPr>
          <w:rStyle w:val="Characterclear"/>
        </w:rPr>
        <w:t>H</w:t>
      </w:r>
      <w:r w:rsidR="00A34BA2" w:rsidRPr="005B7BAB">
        <w:rPr>
          <w:rStyle w:val="Characterclear"/>
        </w:rPr>
        <w:t>ate</w:t>
      </w:r>
      <w:r w:rsidR="00A34BA2">
        <w:rPr>
          <w:rStyle w:val="Characterclear"/>
        </w:rPr>
        <w:t xml:space="preserve"> </w:t>
      </w:r>
      <w:r w:rsidR="005B7BAB">
        <w:rPr>
          <w:rStyle w:val="Characterclear"/>
        </w:rPr>
        <w:t>is often</w:t>
      </w:r>
      <w:r w:rsidR="00A34BA2">
        <w:rPr>
          <w:rStyle w:val="Characterclear"/>
        </w:rPr>
        <w:t xml:space="preserve"> </w:t>
      </w:r>
      <w:r w:rsidR="00F030A4">
        <w:rPr>
          <w:rStyle w:val="Characterclear"/>
        </w:rPr>
        <w:t xml:space="preserve">systemic </w:t>
      </w:r>
      <w:r w:rsidR="003D61CC">
        <w:rPr>
          <w:rStyle w:val="Characterclear"/>
        </w:rPr>
        <w:t xml:space="preserve">and pervasive </w:t>
      </w:r>
      <w:r w:rsidR="00A34BA2">
        <w:rPr>
          <w:rStyle w:val="Characterclear"/>
        </w:rPr>
        <w:t>for</w:t>
      </w:r>
      <w:r w:rsidR="00640364">
        <w:rPr>
          <w:rStyle w:val="Characterclear"/>
        </w:rPr>
        <w:t xml:space="preserve"> </w:t>
      </w:r>
      <w:r w:rsidR="00F93DEC">
        <w:rPr>
          <w:rStyle w:val="Characterclear"/>
        </w:rPr>
        <w:t>groups of people</w:t>
      </w:r>
      <w:r w:rsidR="00640364">
        <w:rPr>
          <w:rStyle w:val="Characterclear"/>
        </w:rPr>
        <w:t xml:space="preserve"> including Aboriginal and Torres Strait Islander people,</w:t>
      </w:r>
      <w:r w:rsidR="00F93DEC">
        <w:rPr>
          <w:rStyle w:val="Characterclear"/>
        </w:rPr>
        <w:t xml:space="preserve"> </w:t>
      </w:r>
      <w:r w:rsidR="00640364">
        <w:rPr>
          <w:rStyle w:val="Characterclear"/>
        </w:rPr>
        <w:t>multicultural and multifaith communities, LGBTIQ people and women</w:t>
      </w:r>
      <w:r w:rsidR="0007217E">
        <w:rPr>
          <w:rStyle w:val="Characterclear"/>
        </w:rPr>
        <w:t xml:space="preserve">. </w:t>
      </w:r>
    </w:p>
    <w:p w14:paraId="7DDBF4FC" w14:textId="5AFA2E8C" w:rsidR="00F030A4" w:rsidRDefault="00480B40" w:rsidP="00794B50">
      <w:pPr>
        <w:pStyle w:val="BodyText"/>
        <w:rPr>
          <w:rStyle w:val="Characterclear"/>
        </w:rPr>
      </w:pPr>
      <w:r>
        <w:rPr>
          <w:rStyle w:val="Characterclear"/>
        </w:rPr>
        <w:t>For example</w:t>
      </w:r>
      <w:r w:rsidR="00092D49">
        <w:rPr>
          <w:rStyle w:val="Characterclear"/>
        </w:rPr>
        <w:t>, it has been argued that ‘in Australia, gendered hate speech against women is so pervasive and insidious that it is a normalised feature of everyday public discourse</w:t>
      </w:r>
      <w:r w:rsidR="001C01B3">
        <w:rPr>
          <w:rStyle w:val="Characterclear"/>
        </w:rPr>
        <w:t>’</w:t>
      </w:r>
      <w:r w:rsidR="00C518A6">
        <w:rPr>
          <w:rStyle w:val="Characterclear"/>
        </w:rPr>
        <w:t>,</w:t>
      </w:r>
      <w:r w:rsidR="001C01B3">
        <w:rPr>
          <w:rStyle w:val="EndnoteReference"/>
          <w:lang w:eastAsia="en-AU"/>
        </w:rPr>
        <w:endnoteReference w:id="50"/>
      </w:r>
      <w:r w:rsidR="00A06C79">
        <w:rPr>
          <w:rStyle w:val="Characterclear"/>
        </w:rPr>
        <w:t xml:space="preserve"> </w:t>
      </w:r>
      <w:r w:rsidR="00A03388">
        <w:rPr>
          <w:rStyle w:val="Characterclear"/>
        </w:rPr>
        <w:t>illustrated by recent reports.</w:t>
      </w:r>
      <w:r w:rsidR="00A03388">
        <w:rPr>
          <w:rStyle w:val="EndnoteReference"/>
          <w:lang w:eastAsia="en-AU"/>
        </w:rPr>
        <w:endnoteReference w:id="51"/>
      </w:r>
      <w:r w:rsidR="00A03388">
        <w:rPr>
          <w:rStyle w:val="Characterclear"/>
        </w:rPr>
        <w:t xml:space="preserve"> </w:t>
      </w:r>
      <w:r w:rsidR="008C12F3">
        <w:rPr>
          <w:rStyle w:val="Characterclear"/>
        </w:rPr>
        <w:t>In another example, the</w:t>
      </w:r>
      <w:r w:rsidR="0054788E">
        <w:rPr>
          <w:rStyle w:val="Characterclear"/>
        </w:rPr>
        <w:t xml:space="preserve"> report preceding the introduction of the RRTA</w:t>
      </w:r>
      <w:r w:rsidR="008C12F3">
        <w:rPr>
          <w:rStyle w:val="Characterclear"/>
        </w:rPr>
        <w:t xml:space="preserve"> found that vilification of Aboriginal people in Victoria was systemic and pervasive</w:t>
      </w:r>
      <w:r w:rsidR="00A03388">
        <w:rPr>
          <w:rStyle w:val="Characterclear"/>
        </w:rPr>
        <w:t xml:space="preserve"> (further discussed in part 3.4.1)</w:t>
      </w:r>
      <w:r w:rsidR="008C12F3">
        <w:rPr>
          <w:rStyle w:val="Characterclear"/>
        </w:rPr>
        <w:t>.</w:t>
      </w:r>
      <w:r w:rsidR="008C12F3">
        <w:rPr>
          <w:rStyle w:val="EndnoteReference"/>
          <w:lang w:eastAsia="en-AU"/>
        </w:rPr>
        <w:endnoteReference w:id="52"/>
      </w:r>
      <w:r w:rsidR="00077A38">
        <w:rPr>
          <w:rStyle w:val="Characterclear"/>
        </w:rPr>
        <w:t xml:space="preserve"> </w:t>
      </w:r>
    </w:p>
    <w:p w14:paraId="4F45FCD7" w14:textId="719D380F" w:rsidR="00C36527" w:rsidRDefault="006B22B2" w:rsidP="00794B50">
      <w:pPr>
        <w:pStyle w:val="BodyText"/>
        <w:rPr>
          <w:rStyle w:val="Characterclear"/>
        </w:rPr>
      </w:pPr>
      <w:r>
        <w:rPr>
          <w:rStyle w:val="Characterclear"/>
        </w:rPr>
        <w:t>As a part of community consultations that informed this submission, t</w:t>
      </w:r>
      <w:r w:rsidR="00C36527" w:rsidRPr="00C36527">
        <w:rPr>
          <w:rStyle w:val="Characterclear"/>
        </w:rPr>
        <w:t xml:space="preserve">he Islamic Council of Victoria </w:t>
      </w:r>
      <w:r w:rsidR="00C36527">
        <w:rPr>
          <w:rStyle w:val="Characterclear"/>
        </w:rPr>
        <w:t xml:space="preserve">also </w:t>
      </w:r>
      <w:r w:rsidR="00C36527" w:rsidRPr="00C36527">
        <w:rPr>
          <w:rStyle w:val="Characterclear"/>
        </w:rPr>
        <w:t>explained to the Commission that hate is often an everyday experience for Muslim people, which is normalised in the community.</w:t>
      </w:r>
      <w:r w:rsidR="00C36527" w:rsidRPr="00C36527">
        <w:rPr>
          <w:rStyle w:val="EndnoteReference"/>
        </w:rPr>
        <w:endnoteReference w:id="53"/>
      </w:r>
      <w:r w:rsidR="00C36527">
        <w:rPr>
          <w:rStyle w:val="Characterclear"/>
        </w:rPr>
        <w:t xml:space="preserve"> In particular, the rise of online hate has further normalised Islamophobia.</w:t>
      </w:r>
      <w:r w:rsidR="00C36527">
        <w:rPr>
          <w:rStyle w:val="EndnoteReference"/>
          <w:lang w:eastAsia="en-AU"/>
        </w:rPr>
        <w:endnoteReference w:id="54"/>
      </w:r>
      <w:r w:rsidR="00C36527">
        <w:rPr>
          <w:rStyle w:val="Characterclear"/>
        </w:rPr>
        <w:t xml:space="preserve"> </w:t>
      </w:r>
    </w:p>
    <w:p w14:paraId="4CEF6C22" w14:textId="766B40A8" w:rsidR="009F77D7" w:rsidRDefault="009F77D7" w:rsidP="00794B50">
      <w:pPr>
        <w:pStyle w:val="BodyText"/>
        <w:rPr>
          <w:rStyle w:val="Characterclear"/>
        </w:rPr>
      </w:pPr>
      <w:r>
        <w:rPr>
          <w:rStyle w:val="Characterclear"/>
        </w:rPr>
        <w:t xml:space="preserve">Despite the often systemic and pervasive nature of hate in the Victorian Community, the Commission is not empowered to take </w:t>
      </w:r>
      <w:r w:rsidR="00A22254">
        <w:rPr>
          <w:rStyle w:val="Characterclear"/>
        </w:rPr>
        <w:t xml:space="preserve">proactive </w:t>
      </w:r>
      <w:r>
        <w:rPr>
          <w:rStyle w:val="Characterclear"/>
        </w:rPr>
        <w:t xml:space="preserve">action to address systemic </w:t>
      </w:r>
      <w:r w:rsidR="00B22014">
        <w:rPr>
          <w:rStyle w:val="Characterclear"/>
        </w:rPr>
        <w:t>hat</w:t>
      </w:r>
      <w:r w:rsidR="001A18F6">
        <w:rPr>
          <w:rStyle w:val="Characterclear"/>
        </w:rPr>
        <w:t xml:space="preserve">e. </w:t>
      </w:r>
      <w:r w:rsidR="00B22014">
        <w:rPr>
          <w:rStyle w:val="Characterclear"/>
        </w:rPr>
        <w:t xml:space="preserve">Instead, for people who are currently protected by the RRTA, the burden of enforcement is on individual complainants to enforce the </w:t>
      </w:r>
      <w:r w:rsidR="00B22014" w:rsidRPr="0047514D">
        <w:rPr>
          <w:rStyle w:val="Characterclear"/>
        </w:rPr>
        <w:t xml:space="preserve">law (part </w:t>
      </w:r>
      <w:r w:rsidR="0047514D" w:rsidRPr="0047514D">
        <w:rPr>
          <w:rStyle w:val="Characterclear"/>
        </w:rPr>
        <w:t>4.2.3).</w:t>
      </w:r>
      <w:r w:rsidR="00B22014">
        <w:rPr>
          <w:rStyle w:val="Characterclear"/>
        </w:rPr>
        <w:t xml:space="preserve">  </w:t>
      </w:r>
    </w:p>
    <w:p w14:paraId="0B9C667F" w14:textId="429B62EC" w:rsidR="0047514D" w:rsidRPr="00794B50" w:rsidRDefault="0047514D" w:rsidP="00794B50">
      <w:pPr>
        <w:pStyle w:val="BodyText"/>
        <w:rPr>
          <w:rStyle w:val="Characterclear"/>
        </w:rPr>
      </w:pPr>
      <w:r>
        <w:rPr>
          <w:rStyle w:val="Characterclear"/>
        </w:rPr>
        <w:t xml:space="preserve">Part </w:t>
      </w:r>
      <w:r w:rsidR="00433C11">
        <w:rPr>
          <w:rStyle w:val="Characterclear"/>
        </w:rPr>
        <w:t xml:space="preserve">5.6 includes recommendations to shift the burden of enforcement. </w:t>
      </w:r>
    </w:p>
    <w:p w14:paraId="01684F89" w14:textId="1A2612E6" w:rsidR="00EB4B9A" w:rsidRDefault="00157A16" w:rsidP="004129CB">
      <w:pPr>
        <w:pStyle w:val="Heading2"/>
      </w:pPr>
      <w:bookmarkStart w:id="18" w:name="_Toc31392334"/>
      <w:r>
        <w:t xml:space="preserve">The nature of hate is </w:t>
      </w:r>
      <w:r w:rsidR="003F67D8">
        <w:t>evolving</w:t>
      </w:r>
      <w:r>
        <w:t xml:space="preserve"> in the digital age</w:t>
      </w:r>
      <w:bookmarkEnd w:id="18"/>
      <w:r>
        <w:t xml:space="preserve"> </w:t>
      </w:r>
    </w:p>
    <w:p w14:paraId="2F2A4569" w14:textId="4DAEF5F4" w:rsidR="0049703E" w:rsidRPr="0049703E" w:rsidRDefault="0049703E" w:rsidP="0049703E">
      <w:pPr>
        <w:pStyle w:val="BodyText"/>
      </w:pPr>
      <w:r w:rsidRPr="0049703E">
        <w:t>Since the commencement of the RRTA over 17 years ago, there has been a dramatic expansion of the internet and digital platforms. More Australians are using digital technologies more often. For example, in the 6 months prior to May 2018, 89 per cent of Australian adults had accessed the internet (increasing to 100 per cent for people aged 18 to 44 years old).</w:t>
      </w:r>
      <w:r w:rsidRPr="00D47D70">
        <w:rPr>
          <w:rStyle w:val="Charactersuperscript"/>
        </w:rPr>
        <w:endnoteReference w:id="55"/>
      </w:r>
      <w:r w:rsidRPr="0049703E">
        <w:t xml:space="preserve"> While the digital age </w:t>
      </w:r>
      <w:r w:rsidR="00971050">
        <w:t xml:space="preserve">brings benefits and opportunities, </w:t>
      </w:r>
      <w:r w:rsidRPr="0049703E">
        <w:t xml:space="preserve">it has also enabled the mass-scale expression of hate. </w:t>
      </w:r>
    </w:p>
    <w:p w14:paraId="03B59FCB" w14:textId="77777777" w:rsidR="0049703E" w:rsidRPr="0049703E" w:rsidRDefault="0049703E" w:rsidP="0049703E">
      <w:pPr>
        <w:pStyle w:val="BodyText"/>
      </w:pPr>
      <w:r w:rsidRPr="0049703E">
        <w:t xml:space="preserve">Like other forms of hate in our community, online hate takes different forms such as: </w:t>
      </w:r>
    </w:p>
    <w:p w14:paraId="69BFEFA2" w14:textId="0F1BEB50" w:rsidR="0049703E" w:rsidRPr="0049703E" w:rsidRDefault="00C359D3" w:rsidP="006E4B07">
      <w:pPr>
        <w:pStyle w:val="BodyText"/>
        <w:numPr>
          <w:ilvl w:val="0"/>
          <w:numId w:val="3"/>
        </w:numPr>
      </w:pPr>
      <w:r>
        <w:t>c</w:t>
      </w:r>
      <w:r w:rsidR="0049703E" w:rsidRPr="0049703E">
        <w:t>ommenting</w:t>
      </w:r>
      <w:r w:rsidR="0049703E" w:rsidRPr="0049703E">
        <w:rPr>
          <w:lang w:val="en-GB"/>
        </w:rPr>
        <w:t xml:space="preserve"> or posting </w:t>
      </w:r>
      <w:r w:rsidR="0049703E" w:rsidRPr="0049703E">
        <w:t xml:space="preserve">harmful </w:t>
      </w:r>
      <w:r w:rsidR="0049703E" w:rsidRPr="0049703E">
        <w:rPr>
          <w:lang w:val="en-GB"/>
        </w:rPr>
        <w:t>content</w:t>
      </w:r>
      <w:r w:rsidR="0049703E" w:rsidRPr="0049703E">
        <w:t xml:space="preserve"> online</w:t>
      </w:r>
      <w:r w:rsidR="0049703E" w:rsidRPr="00D47D70">
        <w:rPr>
          <w:rStyle w:val="Charactersuperscript"/>
        </w:rPr>
        <w:endnoteReference w:id="56"/>
      </w:r>
    </w:p>
    <w:p w14:paraId="0358FF3C" w14:textId="17173E3E" w:rsidR="0049703E" w:rsidRPr="0049703E" w:rsidRDefault="00C359D3" w:rsidP="006E4B07">
      <w:pPr>
        <w:pStyle w:val="BodyText"/>
        <w:numPr>
          <w:ilvl w:val="0"/>
          <w:numId w:val="3"/>
        </w:numPr>
      </w:pPr>
      <w:r>
        <w:t>i</w:t>
      </w:r>
      <w:r w:rsidR="0049703E" w:rsidRPr="0049703E">
        <w:t>ncitement or threats</w:t>
      </w:r>
      <w:r w:rsidR="0049703E" w:rsidRPr="0049703E">
        <w:rPr>
          <w:lang w:val="en-GB"/>
        </w:rPr>
        <w:t xml:space="preserve"> of violence</w:t>
      </w:r>
      <w:r w:rsidR="0049703E" w:rsidRPr="0049703E">
        <w:t xml:space="preserve"> (</w:t>
      </w:r>
      <w:r w:rsidR="0049703E" w:rsidRPr="0049703E">
        <w:rPr>
          <w:lang w:val="en-GB"/>
        </w:rPr>
        <w:t>including rape</w:t>
      </w:r>
      <w:r w:rsidR="0049703E" w:rsidRPr="0049703E">
        <w:t>), often targeted at women</w:t>
      </w:r>
      <w:r w:rsidR="0049703E" w:rsidRPr="00D47D70">
        <w:rPr>
          <w:rStyle w:val="Charactersuperscript"/>
        </w:rPr>
        <w:endnoteReference w:id="57"/>
      </w:r>
    </w:p>
    <w:p w14:paraId="08444B0F" w14:textId="58C62739" w:rsidR="0049703E" w:rsidRPr="0049703E" w:rsidRDefault="00C359D3" w:rsidP="006E4B07">
      <w:pPr>
        <w:pStyle w:val="BodyText"/>
        <w:numPr>
          <w:ilvl w:val="0"/>
          <w:numId w:val="3"/>
        </w:numPr>
      </w:pPr>
      <w:r>
        <w:t>r</w:t>
      </w:r>
      <w:r w:rsidR="0049703E" w:rsidRPr="0049703E">
        <w:rPr>
          <w:lang w:val="en-GB"/>
        </w:rPr>
        <w:t xml:space="preserve">epeated harassment of someone </w:t>
      </w:r>
      <w:r w:rsidR="0049703E" w:rsidRPr="0049703E">
        <w:t>because of their identity, with women disproportionately experiencing online harassment</w:t>
      </w:r>
      <w:r w:rsidR="0049703E" w:rsidRPr="00D47D70">
        <w:rPr>
          <w:rStyle w:val="Charactersuperscript"/>
        </w:rPr>
        <w:endnoteReference w:id="58"/>
      </w:r>
    </w:p>
    <w:p w14:paraId="3F004302" w14:textId="7815A8F6" w:rsidR="0049703E" w:rsidRPr="0049703E" w:rsidRDefault="00C359D3" w:rsidP="006E4B07">
      <w:pPr>
        <w:pStyle w:val="BodyText"/>
        <w:numPr>
          <w:ilvl w:val="0"/>
          <w:numId w:val="3"/>
        </w:numPr>
      </w:pPr>
      <w:r>
        <w:lastRenderedPageBreak/>
        <w:t>s</w:t>
      </w:r>
      <w:r w:rsidR="0049703E" w:rsidRPr="0049703E">
        <w:t>haring</w:t>
      </w:r>
      <w:r w:rsidR="0049703E" w:rsidRPr="0049703E">
        <w:rPr>
          <w:lang w:val="en-GB"/>
        </w:rPr>
        <w:t xml:space="preserve"> intimate images without consent</w:t>
      </w:r>
      <w:r w:rsidR="0049703E" w:rsidRPr="0049703E">
        <w:t xml:space="preserve"> (</w:t>
      </w:r>
      <w:r w:rsidR="0049703E" w:rsidRPr="0049703E">
        <w:rPr>
          <w:lang w:val="en-GB"/>
        </w:rPr>
        <w:t>often called image</w:t>
      </w:r>
      <w:r w:rsidR="0049703E" w:rsidRPr="0049703E">
        <w:t>-</w:t>
      </w:r>
      <w:r w:rsidR="0049703E" w:rsidRPr="0049703E">
        <w:rPr>
          <w:lang w:val="en-GB"/>
        </w:rPr>
        <w:t xml:space="preserve">based abuse </w:t>
      </w:r>
      <w:r w:rsidR="0049703E" w:rsidRPr="0049703E">
        <w:t xml:space="preserve">or </w:t>
      </w:r>
      <w:r w:rsidR="0049703E" w:rsidRPr="0049703E">
        <w:rPr>
          <w:lang w:val="en-GB"/>
        </w:rPr>
        <w:t>revenge porn</w:t>
      </w:r>
      <w:r w:rsidR="0049703E" w:rsidRPr="0049703E">
        <w:t>), with 1 in 10 Australian adults experiencing image-based abuse</w:t>
      </w:r>
      <w:r w:rsidR="0049703E" w:rsidRPr="00D47D70">
        <w:rPr>
          <w:rStyle w:val="Charactersuperscript"/>
        </w:rPr>
        <w:endnoteReference w:id="59"/>
      </w:r>
    </w:p>
    <w:p w14:paraId="08178549" w14:textId="2E0714E2" w:rsidR="0049703E" w:rsidRPr="0049703E" w:rsidRDefault="0049703E" w:rsidP="006E4B07">
      <w:pPr>
        <w:pStyle w:val="BodyText"/>
        <w:numPr>
          <w:ilvl w:val="0"/>
          <w:numId w:val="3"/>
        </w:numPr>
      </w:pPr>
      <w:r w:rsidRPr="0049703E">
        <w:t>‘</w:t>
      </w:r>
      <w:r w:rsidR="00C359D3">
        <w:t>d</w:t>
      </w:r>
      <w:r w:rsidRPr="0049703E">
        <w:rPr>
          <w:lang w:val="en-GB"/>
        </w:rPr>
        <w:t>oxing</w:t>
      </w:r>
      <w:r w:rsidRPr="0049703E">
        <w:t xml:space="preserve">’, which is intentionally publishing someone’s personal information on the internet </w:t>
      </w:r>
      <w:r w:rsidRPr="0049703E">
        <w:rPr>
          <w:lang w:val="en-GB"/>
        </w:rPr>
        <w:t>with the intention to humiliate, threaten, intimidate or punish </w:t>
      </w:r>
      <w:r w:rsidRPr="0049703E">
        <w:t>them</w:t>
      </w:r>
      <w:r w:rsidRPr="00D47D70">
        <w:rPr>
          <w:rStyle w:val="Charactersuperscript"/>
        </w:rPr>
        <w:endnoteReference w:id="60"/>
      </w:r>
    </w:p>
    <w:p w14:paraId="09610808" w14:textId="6683131C" w:rsidR="0049703E" w:rsidRPr="0049703E" w:rsidRDefault="00F837D0" w:rsidP="006E4B07">
      <w:pPr>
        <w:pStyle w:val="BodyText"/>
        <w:numPr>
          <w:ilvl w:val="0"/>
          <w:numId w:val="3"/>
        </w:numPr>
      </w:pPr>
      <w:r w:rsidRPr="0049703E">
        <w:rPr>
          <w:lang w:val="en-GB"/>
        </w:rPr>
        <w:t>incitement</w:t>
      </w:r>
      <w:r w:rsidR="0049703E" w:rsidRPr="0049703E">
        <w:rPr>
          <w:lang w:val="en-GB"/>
        </w:rPr>
        <w:t xml:space="preserve"> to suicide</w:t>
      </w:r>
      <w:r w:rsidR="0049703E" w:rsidRPr="0049703E">
        <w:t xml:space="preserve">, </w:t>
      </w:r>
      <w:r w:rsidR="0049703E" w:rsidRPr="0049703E">
        <w:rPr>
          <w:lang w:val="en-GB"/>
        </w:rPr>
        <w:t>where targeted individuals are encouraged</w:t>
      </w:r>
      <w:r w:rsidR="0049703E" w:rsidRPr="0049703E">
        <w:t xml:space="preserve"> or </w:t>
      </w:r>
      <w:r w:rsidR="0049703E" w:rsidRPr="0049703E">
        <w:rPr>
          <w:lang w:val="en-GB"/>
        </w:rPr>
        <w:t>baited (by jeering and denigration) to suicide</w:t>
      </w:r>
      <w:r w:rsidR="0049703E" w:rsidRPr="0049703E">
        <w:t>.</w:t>
      </w:r>
      <w:r w:rsidR="0049703E" w:rsidRPr="00D47D70">
        <w:rPr>
          <w:rStyle w:val="Charactersuperscript"/>
        </w:rPr>
        <w:endnoteReference w:id="61"/>
      </w:r>
    </w:p>
    <w:p w14:paraId="07CBF3A4" w14:textId="0F0DC994" w:rsidR="007F2A14" w:rsidRDefault="00AF690D" w:rsidP="0049703E">
      <w:pPr>
        <w:pStyle w:val="BodyText"/>
      </w:pPr>
      <w:r>
        <w:t xml:space="preserve">At </w:t>
      </w:r>
      <w:r w:rsidR="008B163D">
        <w:t>its</w:t>
      </w:r>
      <w:r>
        <w:t xml:space="preserve"> most extreme, </w:t>
      </w:r>
      <w:r w:rsidR="007F2A14">
        <w:t xml:space="preserve">online </w:t>
      </w:r>
      <w:r w:rsidR="00C32798">
        <w:t xml:space="preserve">spaces can </w:t>
      </w:r>
      <w:r w:rsidR="00F76772">
        <w:t>drive and promote</w:t>
      </w:r>
      <w:r w:rsidR="00C32798">
        <w:t xml:space="preserve"> violence and terrorism. For example, the </w:t>
      </w:r>
      <w:r w:rsidR="00764876">
        <w:t xml:space="preserve">recent shootings at two Christchurch mosques highlighted how social media services can enable the streaming of </w:t>
      </w:r>
      <w:r w:rsidR="00FB5833">
        <w:t>violent</w:t>
      </w:r>
      <w:r w:rsidR="00764876">
        <w:t xml:space="preserve"> attacks in real-time to an enormous audience.</w:t>
      </w:r>
      <w:r w:rsidR="00764876">
        <w:rPr>
          <w:rStyle w:val="EndnoteReference"/>
        </w:rPr>
        <w:endnoteReference w:id="62"/>
      </w:r>
      <w:r w:rsidR="00652DA5">
        <w:t xml:space="preserve"> The Commission </w:t>
      </w:r>
      <w:r w:rsidR="00000187">
        <w:t xml:space="preserve">has </w:t>
      </w:r>
      <w:r w:rsidR="00652DA5">
        <w:t xml:space="preserve">also heard about how far right groups </w:t>
      </w:r>
      <w:r w:rsidR="008D14F6">
        <w:t xml:space="preserve">use strategies to </w:t>
      </w:r>
      <w:r w:rsidR="00652DA5">
        <w:t xml:space="preserve">override language detection tools </w:t>
      </w:r>
      <w:r w:rsidR="008D14F6">
        <w:t>used by social media platforms such as adding the word ‘love’ to hate speech to avoid detection.</w:t>
      </w:r>
      <w:r w:rsidR="008D14F6">
        <w:rPr>
          <w:rStyle w:val="EndnoteReference"/>
        </w:rPr>
        <w:endnoteReference w:id="63"/>
      </w:r>
    </w:p>
    <w:p w14:paraId="6A7DCB75" w14:textId="55EC037B" w:rsidR="0049703E" w:rsidRPr="0049703E" w:rsidRDefault="0049703E" w:rsidP="0049703E">
      <w:pPr>
        <w:pStyle w:val="BodyText"/>
      </w:pPr>
      <w:r w:rsidRPr="0049703E">
        <w:t xml:space="preserve">As explained by a participant at the Commission’s focus group with the LGBTIQ sector, there can also be a distinction between the </w:t>
      </w:r>
      <w:r w:rsidR="00992C58">
        <w:t xml:space="preserve">different </w:t>
      </w:r>
      <w:r w:rsidRPr="0049703E">
        <w:t xml:space="preserve">forms of online hate: </w:t>
      </w:r>
    </w:p>
    <w:p w14:paraId="76F33C50" w14:textId="7AA16238" w:rsidR="0049703E" w:rsidRPr="0049703E" w:rsidRDefault="002E0F89" w:rsidP="00F77D84">
      <w:pPr>
        <w:pStyle w:val="Quote"/>
      </w:pPr>
      <w:r>
        <w:t>‘</w:t>
      </w:r>
      <w:r w:rsidR="0049703E" w:rsidRPr="0049703E">
        <w:t>We need to make a distinction, on the one hand, between the kind of general hate experienced by our community, both online and offline, and on the other hand, serious trolling, which is a more concerted effort and feature of online platforms. Both need to be understood and addressed but treated differently</w:t>
      </w:r>
      <w:r>
        <w:t>’</w:t>
      </w:r>
      <w:r w:rsidR="0049703E" w:rsidRPr="0049703E">
        <w:t>.</w:t>
      </w:r>
      <w:r w:rsidR="0049703E" w:rsidRPr="007D1CB9">
        <w:rPr>
          <w:rStyle w:val="FootnoteReference"/>
        </w:rPr>
        <w:endnoteReference w:id="64"/>
      </w:r>
    </w:p>
    <w:p w14:paraId="30028888" w14:textId="4727D8A6" w:rsidR="00C359D3" w:rsidRDefault="00C359D3" w:rsidP="0049703E">
      <w:pPr>
        <w:pStyle w:val="BodyText"/>
      </w:pPr>
      <w:r>
        <w:t xml:space="preserve">Another participant </w:t>
      </w:r>
      <w:r w:rsidR="007344DB">
        <w:t xml:space="preserve">in the Commission’s focus group with multicultural and multifaith stakeholders </w:t>
      </w:r>
      <w:r>
        <w:t xml:space="preserve">told us that </w:t>
      </w:r>
      <w:r w:rsidR="002104D1">
        <w:t xml:space="preserve">the main reporting mechanism for online hate is through social media platforms which </w:t>
      </w:r>
      <w:r w:rsidR="00442ED3">
        <w:t xml:space="preserve">can be manipulated by abusers </w:t>
      </w:r>
      <w:r w:rsidR="002A74DA">
        <w:t>who report victims.</w:t>
      </w:r>
      <w:r w:rsidR="005E6E9F">
        <w:rPr>
          <w:rStyle w:val="EndnoteReference"/>
        </w:rPr>
        <w:endnoteReference w:id="65"/>
      </w:r>
      <w:r w:rsidR="002A74DA">
        <w:t xml:space="preserve"> </w:t>
      </w:r>
      <w:r w:rsidR="007344DB">
        <w:t xml:space="preserve"> </w:t>
      </w:r>
    </w:p>
    <w:p w14:paraId="3307FCF5" w14:textId="512C20A1" w:rsidR="007E329C" w:rsidRPr="0049703E" w:rsidRDefault="0049703E" w:rsidP="0049703E">
      <w:pPr>
        <w:pStyle w:val="BodyText"/>
      </w:pPr>
      <w:r w:rsidRPr="0049703E">
        <w:t>There is emerging evidence that trolling is often conducted through more sophisticated strategies, such as the use of anonymous or fake accounts, and networked communication plans to amplify hate.</w:t>
      </w:r>
      <w:r w:rsidRPr="00A110B5">
        <w:rPr>
          <w:rStyle w:val="FootnoteReference"/>
        </w:rPr>
        <w:endnoteReference w:id="66"/>
      </w:r>
      <w:r w:rsidR="007E329C">
        <w:t xml:space="preserve"> Professor Andrew Jakubowicz also told the Commission that the online world can function as ‘a rehearsal space’ before vilifying or taking action offline.</w:t>
      </w:r>
      <w:r w:rsidR="007E329C">
        <w:rPr>
          <w:rStyle w:val="EndnoteReference"/>
        </w:rPr>
        <w:endnoteReference w:id="67"/>
      </w:r>
    </w:p>
    <w:p w14:paraId="66049BC1" w14:textId="574C973A" w:rsidR="0049703E" w:rsidRDefault="0049703E" w:rsidP="0049703E">
      <w:pPr>
        <w:pStyle w:val="BodyText"/>
      </w:pPr>
      <w:r w:rsidRPr="0049703E">
        <w:t>Significantly, while online hate is often targeted at individuals and communities, it is also viewed by other people. Research conducted by eSafety in 2016 found that 53</w:t>
      </w:r>
      <w:r w:rsidR="002C1616">
        <w:t xml:space="preserve"> per cent</w:t>
      </w:r>
      <w:r w:rsidRPr="0049703E">
        <w:t xml:space="preserve"> of young people (aged 12-17) witnessed online hate targeted at cultural or religious groups and 56</w:t>
      </w:r>
      <w:r w:rsidR="002C1616">
        <w:t xml:space="preserve"> per cent</w:t>
      </w:r>
      <w:r w:rsidRPr="0049703E">
        <w:t xml:space="preserve"> of children witnessed racist comments.</w:t>
      </w:r>
      <w:r w:rsidRPr="00A110B5">
        <w:rPr>
          <w:rStyle w:val="FootnoteReference"/>
        </w:rPr>
        <w:endnoteReference w:id="68"/>
      </w:r>
    </w:p>
    <w:tbl>
      <w:tblPr>
        <w:tblStyle w:val="CustomTablebreakoutbox"/>
        <w:tblW w:w="0" w:type="auto"/>
        <w:tblLook w:val="04A0" w:firstRow="1" w:lastRow="0" w:firstColumn="1" w:lastColumn="0" w:noHBand="0" w:noVBand="1"/>
      </w:tblPr>
      <w:tblGrid>
        <w:gridCol w:w="9061"/>
      </w:tblGrid>
      <w:tr w:rsidR="002A03F9" w14:paraId="6B2DBB79" w14:textId="77777777" w:rsidTr="002A03F9">
        <w:tc>
          <w:tcPr>
            <w:tcW w:w="9061" w:type="dxa"/>
          </w:tcPr>
          <w:p w14:paraId="5B9A63F2" w14:textId="77777777" w:rsidR="002A03F9" w:rsidRDefault="002A03F9" w:rsidP="0049703E">
            <w:pPr>
              <w:pStyle w:val="BodyText"/>
              <w:rPr>
                <w:rStyle w:val="Characterbold"/>
              </w:rPr>
            </w:pPr>
            <w:r>
              <w:rPr>
                <w:rStyle w:val="Characterbold"/>
              </w:rPr>
              <w:t>Responding to online hate</w:t>
            </w:r>
          </w:p>
          <w:p w14:paraId="05D3258D" w14:textId="65542F47" w:rsidR="002A03F9" w:rsidRDefault="002A03F9" w:rsidP="0049703E">
            <w:pPr>
              <w:pStyle w:val="BodyText"/>
              <w:rPr>
                <w:rStyle w:val="Characterclear"/>
              </w:rPr>
            </w:pPr>
            <w:r>
              <w:rPr>
                <w:rStyle w:val="Characterclear"/>
              </w:rPr>
              <w:t xml:space="preserve">The Commission’s online survey found that participants responded to online hate by </w:t>
            </w:r>
            <w:r w:rsidR="0006262B">
              <w:rPr>
                <w:rStyle w:val="Characterclear"/>
              </w:rPr>
              <w:t xml:space="preserve">ignoring it, engaging with it, or reporting it. The majority of participants reported ignoring online hate by scrolling past it, signing out of the site, or blocking or unfollowing users that engage in hate speech. For example, one participant said: </w:t>
            </w:r>
          </w:p>
          <w:p w14:paraId="59604C59" w14:textId="06FFB2E7" w:rsidR="0006262B" w:rsidRDefault="002E0F89" w:rsidP="0006262B">
            <w:pPr>
              <w:pStyle w:val="Quote"/>
              <w:rPr>
                <w:rStyle w:val="Characterclear"/>
              </w:rPr>
            </w:pPr>
            <w:r>
              <w:rPr>
                <w:rStyle w:val="Characterclear"/>
              </w:rPr>
              <w:t>“</w:t>
            </w:r>
            <w:r w:rsidR="0006262B">
              <w:rPr>
                <w:rStyle w:val="Characterclear"/>
              </w:rPr>
              <w:t>I usually ignore or block websites that induce hate. I feel if I were to stand up and write something back my voice would be too little to be heard!</w:t>
            </w:r>
            <w:r>
              <w:rPr>
                <w:rStyle w:val="Characterclear"/>
              </w:rPr>
              <w:t>”</w:t>
            </w:r>
          </w:p>
          <w:p w14:paraId="1BC2EB9D" w14:textId="6FB4AD01" w:rsidR="0006262B" w:rsidRDefault="00BB7A44" w:rsidP="0006262B">
            <w:pPr>
              <w:pStyle w:val="BodyText"/>
              <w:rPr>
                <w:rStyle w:val="Characterclear"/>
              </w:rPr>
            </w:pPr>
            <w:r>
              <w:rPr>
                <w:rStyle w:val="Characterclear"/>
              </w:rPr>
              <w:t xml:space="preserve">Other participants said they would report it to either the website or social media platform. However, one participant </w:t>
            </w:r>
            <w:r w:rsidR="00FE78AE">
              <w:rPr>
                <w:rStyle w:val="Characterclear"/>
              </w:rPr>
              <w:t xml:space="preserve">considered that: </w:t>
            </w:r>
          </w:p>
          <w:p w14:paraId="591EA7A2" w14:textId="39D18C13" w:rsidR="00FE78AE" w:rsidRDefault="002E0F89" w:rsidP="00FE78AE">
            <w:pPr>
              <w:pStyle w:val="Quote"/>
              <w:rPr>
                <w:rStyle w:val="Characterclear"/>
              </w:rPr>
            </w:pPr>
            <w:r>
              <w:rPr>
                <w:rStyle w:val="Characterclear"/>
              </w:rPr>
              <w:t>“</w:t>
            </w:r>
            <w:r w:rsidR="00FE78AE">
              <w:rPr>
                <w:rStyle w:val="Characterclear"/>
              </w:rPr>
              <w:t xml:space="preserve">Facebook does nothing. But if it is a group, the group admins will often delete. I reported two hate posts this week. One about Africans who can’t drive. This was removed. The other was about Indians having bad body odour. To my dismay, that one hasn’t been taken </w:t>
            </w:r>
            <w:r w:rsidR="00FE78AE">
              <w:rPr>
                <w:rStyle w:val="Characterclear"/>
              </w:rPr>
              <w:lastRenderedPageBreak/>
              <w:t>down yet. I don’t want my Indian friends to see that post. It’s disgusting and unnecessary</w:t>
            </w:r>
            <w:r>
              <w:rPr>
                <w:rStyle w:val="Characterclear"/>
              </w:rPr>
              <w:t>”</w:t>
            </w:r>
            <w:r w:rsidR="00FE78AE">
              <w:rPr>
                <w:rStyle w:val="Characterclear"/>
              </w:rPr>
              <w:t>.</w:t>
            </w:r>
          </w:p>
          <w:p w14:paraId="3BB6D223" w14:textId="77777777" w:rsidR="00FE78AE" w:rsidRDefault="00FE78AE" w:rsidP="00FE78AE">
            <w:pPr>
              <w:pStyle w:val="BodyText"/>
              <w:rPr>
                <w:rStyle w:val="Characterclear"/>
              </w:rPr>
            </w:pPr>
            <w:r>
              <w:rPr>
                <w:rStyle w:val="Characterclear"/>
              </w:rPr>
              <w:t>Very</w:t>
            </w:r>
            <w:r w:rsidR="000C4CC2">
              <w:rPr>
                <w:rStyle w:val="Characterclear"/>
              </w:rPr>
              <w:t xml:space="preserve"> few participants said they would engage with hate speech. For example: </w:t>
            </w:r>
          </w:p>
          <w:p w14:paraId="05035057" w14:textId="2025A0C9" w:rsidR="000C4CC2" w:rsidRPr="002A03F9" w:rsidRDefault="002E0F89" w:rsidP="000C4CC2">
            <w:pPr>
              <w:pStyle w:val="Quote"/>
              <w:rPr>
                <w:rStyle w:val="Characterclear"/>
              </w:rPr>
            </w:pPr>
            <w:r>
              <w:rPr>
                <w:rStyle w:val="Characterclear"/>
              </w:rPr>
              <w:t>“</w:t>
            </w:r>
            <w:r w:rsidR="000C4CC2">
              <w:rPr>
                <w:rStyle w:val="Characterclear"/>
              </w:rPr>
              <w:t>I correct the statement if it’s false and advocate for my community members! I call it out for what it is, I don’t allow it to travel freely on the net</w:t>
            </w:r>
            <w:r>
              <w:rPr>
                <w:rStyle w:val="Characterclear"/>
              </w:rPr>
              <w:t>”</w:t>
            </w:r>
            <w:r w:rsidR="000C4CC2">
              <w:rPr>
                <w:rStyle w:val="Characterclear"/>
              </w:rPr>
              <w:t xml:space="preserve">. </w:t>
            </w:r>
          </w:p>
        </w:tc>
      </w:tr>
    </w:tbl>
    <w:p w14:paraId="2580945B" w14:textId="7B7C59B1" w:rsidR="00AA6B0C" w:rsidRDefault="0049703E" w:rsidP="0049703E">
      <w:pPr>
        <w:pStyle w:val="BodyText"/>
      </w:pPr>
      <w:r w:rsidRPr="0049703E">
        <w:lastRenderedPageBreak/>
        <w:t xml:space="preserve">Despite the challenges of online hate, the RRTA is </w:t>
      </w:r>
      <w:r w:rsidR="003E75DC">
        <w:t>one</w:t>
      </w:r>
      <w:r w:rsidRPr="0049703E">
        <w:t xml:space="preserve"> important safeguard for people who are targeted online. Part</w:t>
      </w:r>
      <w:r w:rsidR="00404D60">
        <w:t xml:space="preserve"> 5.4</w:t>
      </w:r>
      <w:r w:rsidRPr="0049703E">
        <w:t xml:space="preserve"> of this submission recommends changes to the RRTA </w:t>
      </w:r>
      <w:r w:rsidR="00DB3F8A">
        <w:t>which will enable</w:t>
      </w:r>
      <w:r w:rsidRPr="0049703E">
        <w:t xml:space="preserve"> more effective regulation of online hate</w:t>
      </w:r>
      <w:r w:rsidR="0000504F">
        <w:t>, including empowering the Commission to identify unknown respondents to a complaint</w:t>
      </w:r>
      <w:r w:rsidR="003E75DC">
        <w:t xml:space="preserve"> and allowing representative complaints without the need to identify complainants. </w:t>
      </w:r>
    </w:p>
    <w:p w14:paraId="59D82B21" w14:textId="0FE51E19" w:rsidR="0049703E" w:rsidRDefault="000E1AC6" w:rsidP="0049703E">
      <w:pPr>
        <w:pStyle w:val="BodyText"/>
      </w:pPr>
      <w:r>
        <w:t xml:space="preserve">The Commission also considers that online hate </w:t>
      </w:r>
      <w:r w:rsidR="00EA67F7">
        <w:t xml:space="preserve">should continue to be subject to complementary regulation with eSafety. Although the Commission recognises the </w:t>
      </w:r>
      <w:r w:rsidR="003A307B">
        <w:t>critical need to more</w:t>
      </w:r>
      <w:r w:rsidR="00284ED1">
        <w:t xml:space="preserve"> </w:t>
      </w:r>
      <w:r w:rsidR="00EA67F7">
        <w:t>effectively regulat</w:t>
      </w:r>
      <w:r w:rsidR="003A307B">
        <w:t>e</w:t>
      </w:r>
      <w:r w:rsidR="00EA67F7">
        <w:t xml:space="preserve"> </w:t>
      </w:r>
      <w:r w:rsidR="00246730">
        <w:t xml:space="preserve">the growing </w:t>
      </w:r>
      <w:r w:rsidR="00B37543">
        <w:t xml:space="preserve">problem of </w:t>
      </w:r>
      <w:r w:rsidR="00EA67F7">
        <w:t>online hate</w:t>
      </w:r>
      <w:r w:rsidR="00DB021C">
        <w:t xml:space="preserve"> in Australia</w:t>
      </w:r>
      <w:r w:rsidR="00EA67F7">
        <w:t xml:space="preserve">, </w:t>
      </w:r>
      <w:r w:rsidR="00284ED1">
        <w:t>we have</w:t>
      </w:r>
      <w:r w:rsidR="00EA67F7">
        <w:t xml:space="preserve"> not made recommendations </w:t>
      </w:r>
      <w:r w:rsidR="00284ED1">
        <w:t>about the broader regulation of online hate</w:t>
      </w:r>
      <w:r w:rsidR="003A307B">
        <w:t xml:space="preserve"> in Australia</w:t>
      </w:r>
      <w:r w:rsidR="00284ED1">
        <w:t>,</w:t>
      </w:r>
      <w:r w:rsidR="00306F09">
        <w:t xml:space="preserve"> including the </w:t>
      </w:r>
      <w:r w:rsidR="003A307B">
        <w:t>most effective</w:t>
      </w:r>
      <w:r w:rsidR="00306F09">
        <w:t xml:space="preserve"> national response</w:t>
      </w:r>
      <w:r w:rsidR="009C4C1B">
        <w:t xml:space="preserve"> to</w:t>
      </w:r>
      <w:r w:rsidR="00D361E9">
        <w:t xml:space="preserve"> online hate. </w:t>
      </w:r>
    </w:p>
    <w:p w14:paraId="51FCB1F8" w14:textId="72D06529" w:rsidR="001F46D6" w:rsidRDefault="001F46D6" w:rsidP="004129CB">
      <w:pPr>
        <w:pStyle w:val="Heading2"/>
      </w:pPr>
      <w:bookmarkStart w:id="19" w:name="_Toc31392335"/>
      <w:r>
        <w:t xml:space="preserve">Hate </w:t>
      </w:r>
      <w:r w:rsidR="00E0768B">
        <w:t xml:space="preserve">continues to be prevalent for </w:t>
      </w:r>
      <w:r w:rsidR="002450A5">
        <w:t xml:space="preserve">multicultural and multifaith </w:t>
      </w:r>
      <w:r w:rsidR="00570D98">
        <w:t>people</w:t>
      </w:r>
      <w:bookmarkEnd w:id="19"/>
    </w:p>
    <w:p w14:paraId="49CA54CF" w14:textId="5165455E" w:rsidR="007A3339" w:rsidRPr="007A3339" w:rsidRDefault="00A35BE6" w:rsidP="007A3339">
      <w:pPr>
        <w:pStyle w:val="BodyText"/>
      </w:pPr>
      <w:r>
        <w:t>Despite the protections under the</w:t>
      </w:r>
      <w:r w:rsidR="00255E25" w:rsidRPr="00255E25">
        <w:t xml:space="preserve"> RRTA, </w:t>
      </w:r>
      <w:r w:rsidR="00BF23B8">
        <w:t xml:space="preserve">multicultural and multifaith </w:t>
      </w:r>
      <w:r w:rsidR="00255E25">
        <w:t xml:space="preserve">groups continue to be targeted by </w:t>
      </w:r>
      <w:r w:rsidR="00F915E5">
        <w:t xml:space="preserve">and experience the negative impacts of </w:t>
      </w:r>
      <w:r w:rsidR="00255E25">
        <w:t>hate</w:t>
      </w:r>
      <w:r w:rsidR="003D0B9D">
        <w:t xml:space="preserve">. </w:t>
      </w:r>
      <w:r w:rsidR="004C2C5B">
        <w:t>For example, d</w:t>
      </w:r>
      <w:r w:rsidR="004C2C5B" w:rsidRPr="004C2C5B">
        <w:t xml:space="preserve">uring consultations for our </w:t>
      </w:r>
      <w:r w:rsidR="002E0F89">
        <w:t>MMEAP</w:t>
      </w:r>
      <w:r w:rsidR="004C2C5B" w:rsidRPr="004C2C5B">
        <w:t>,</w:t>
      </w:r>
      <w:r w:rsidR="004C2C5B" w:rsidRPr="004C2C5B">
        <w:rPr>
          <w:rStyle w:val="EndnoteReference"/>
        </w:rPr>
        <w:endnoteReference w:id="69"/>
      </w:r>
      <w:r w:rsidR="004C2C5B" w:rsidRPr="004C2C5B">
        <w:t xml:space="preserve"> </w:t>
      </w:r>
      <w:r w:rsidR="004C2C5B" w:rsidRPr="004C2C5B">
        <w:rPr>
          <w:rStyle w:val="Characterclear"/>
        </w:rPr>
        <w:t>community leaders highlighted the effect of hate on their daily lives including their commutes</w:t>
      </w:r>
      <w:r w:rsidR="00882489">
        <w:rPr>
          <w:rStyle w:val="Characterclear"/>
        </w:rPr>
        <w:t>,</w:t>
      </w:r>
      <w:r w:rsidR="004C2C5B" w:rsidRPr="004C2C5B">
        <w:rPr>
          <w:rStyle w:val="Characterclear"/>
        </w:rPr>
        <w:t xml:space="preserve"> efforts to get a job</w:t>
      </w:r>
      <w:r w:rsidR="00882489">
        <w:rPr>
          <w:rStyle w:val="Characterclear"/>
        </w:rPr>
        <w:t>,</w:t>
      </w:r>
      <w:r w:rsidR="004C2C5B" w:rsidRPr="004C2C5B">
        <w:rPr>
          <w:rStyle w:val="Characterclear"/>
        </w:rPr>
        <w:t xml:space="preserve"> rights to wear religious clothing</w:t>
      </w:r>
      <w:r w:rsidR="00882489">
        <w:rPr>
          <w:rStyle w:val="Characterclear"/>
        </w:rPr>
        <w:t>,</w:t>
      </w:r>
      <w:r w:rsidR="004C2C5B" w:rsidRPr="004C2C5B">
        <w:rPr>
          <w:rStyle w:val="Characterclear"/>
        </w:rPr>
        <w:t xml:space="preserve"> and relationships with law enforcement officials.</w:t>
      </w:r>
    </w:p>
    <w:p w14:paraId="448B69F5" w14:textId="0FA413D1" w:rsidR="000E6AD9" w:rsidRDefault="00F915E5" w:rsidP="00EB76BC">
      <w:pPr>
        <w:pStyle w:val="BodyText"/>
      </w:pPr>
      <w:r>
        <w:t xml:space="preserve">This submission sets out key research </w:t>
      </w:r>
      <w:r w:rsidR="0018724C">
        <w:t xml:space="preserve">related </w:t>
      </w:r>
      <w:r w:rsidR="000E137C">
        <w:t xml:space="preserve">to Aboriginal and Torres Strait Islander people, Muslim people, Jewish people and </w:t>
      </w:r>
      <w:r w:rsidR="001D1EA8">
        <w:t>African communities</w:t>
      </w:r>
      <w:r w:rsidR="008558EB">
        <w:t xml:space="preserve">. </w:t>
      </w:r>
      <w:r w:rsidR="00FC65ED">
        <w:t>The</w:t>
      </w:r>
      <w:r w:rsidR="008558EB">
        <w:t xml:space="preserve"> Commission </w:t>
      </w:r>
      <w:r w:rsidR="00FC65ED">
        <w:t xml:space="preserve">also </w:t>
      </w:r>
      <w:r w:rsidR="008558EB">
        <w:t xml:space="preserve">recognises that a broader range of people experience hate </w:t>
      </w:r>
      <w:r w:rsidR="007A23D7">
        <w:t>based on their race and religion</w:t>
      </w:r>
      <w:r w:rsidR="001D1EA8">
        <w:t xml:space="preserve"> in Victoria.</w:t>
      </w:r>
    </w:p>
    <w:tbl>
      <w:tblPr>
        <w:tblStyle w:val="CustomTablebreakoutbox"/>
        <w:tblW w:w="0" w:type="auto"/>
        <w:tblLook w:val="04A0" w:firstRow="1" w:lastRow="0" w:firstColumn="1" w:lastColumn="0" w:noHBand="0" w:noVBand="1"/>
      </w:tblPr>
      <w:tblGrid>
        <w:gridCol w:w="9061"/>
      </w:tblGrid>
      <w:tr w:rsidR="00337AA9" w14:paraId="20191F45" w14:textId="77777777" w:rsidTr="00337AA9">
        <w:tc>
          <w:tcPr>
            <w:tcW w:w="9061" w:type="dxa"/>
          </w:tcPr>
          <w:p w14:paraId="45132ED4" w14:textId="51988EE8" w:rsidR="007A23D7" w:rsidRDefault="007A23D7" w:rsidP="00255E25">
            <w:pPr>
              <w:pStyle w:val="BodyText"/>
              <w:rPr>
                <w:rStyle w:val="Characterbold"/>
              </w:rPr>
            </w:pPr>
            <w:r w:rsidRPr="007A23D7">
              <w:rPr>
                <w:rStyle w:val="Characterbold"/>
              </w:rPr>
              <w:t xml:space="preserve">Examples of racial and religious </w:t>
            </w:r>
            <w:r w:rsidR="00FC65ED">
              <w:rPr>
                <w:rStyle w:val="Characterbold"/>
              </w:rPr>
              <w:t xml:space="preserve">hatred </w:t>
            </w:r>
          </w:p>
          <w:p w14:paraId="21987B60" w14:textId="4F2010F6" w:rsidR="00CE0DA0" w:rsidRDefault="0044471F" w:rsidP="007A23D7">
            <w:pPr>
              <w:pStyle w:val="BodyText"/>
              <w:rPr>
                <w:rStyle w:val="Characterclear"/>
              </w:rPr>
            </w:pPr>
            <w:r>
              <w:rPr>
                <w:rStyle w:val="Characterclear"/>
              </w:rPr>
              <w:t>The majority of participants</w:t>
            </w:r>
            <w:r w:rsidR="00CE0DA0">
              <w:rPr>
                <w:rStyle w:val="Characterclear"/>
              </w:rPr>
              <w:t xml:space="preserve"> in our survey</w:t>
            </w:r>
            <w:r>
              <w:rPr>
                <w:rStyle w:val="Characterclear"/>
              </w:rPr>
              <w:t xml:space="preserve"> </w:t>
            </w:r>
            <w:r w:rsidR="00CE0DA0">
              <w:rPr>
                <w:rStyle w:val="Characterclear"/>
              </w:rPr>
              <w:t xml:space="preserve">who </w:t>
            </w:r>
            <w:r>
              <w:rPr>
                <w:rStyle w:val="Characterclear"/>
              </w:rPr>
              <w:t>reported experiencing racial hatred identified as black</w:t>
            </w:r>
            <w:r w:rsidR="00F800DD">
              <w:rPr>
                <w:rStyle w:val="Characterclear"/>
              </w:rPr>
              <w:t>,</w:t>
            </w:r>
            <w:r w:rsidR="007C5D32">
              <w:rPr>
                <w:rStyle w:val="Characterclear"/>
              </w:rPr>
              <w:t xml:space="preserve"> and of these participants, the majority were women. The hate experienced was predominantly verbal abuse such as ‘black bitch’, ‘nigger’ and ‘go back to where you came from’. </w:t>
            </w:r>
          </w:p>
          <w:p w14:paraId="3B0A8351" w14:textId="1743A3C8" w:rsidR="00337AA9" w:rsidRDefault="00CD50A1" w:rsidP="007A23D7">
            <w:pPr>
              <w:pStyle w:val="BodyText"/>
              <w:rPr>
                <w:rStyle w:val="Characterclear"/>
              </w:rPr>
            </w:pPr>
            <w:r>
              <w:rPr>
                <w:rStyle w:val="Characterclear"/>
              </w:rPr>
              <w:t>In one example, the participant</w:t>
            </w:r>
            <w:r w:rsidR="00000187">
              <w:rPr>
                <w:rStyle w:val="Characterclear"/>
              </w:rPr>
              <w:t>, who was driving at the time of the incident,</w:t>
            </w:r>
            <w:r>
              <w:rPr>
                <w:rStyle w:val="Characterclear"/>
              </w:rPr>
              <w:t xml:space="preserve"> told us that</w:t>
            </w:r>
            <w:r w:rsidR="005E6938">
              <w:rPr>
                <w:rStyle w:val="Characterclear"/>
              </w:rPr>
              <w:t xml:space="preserve"> her abusers:</w:t>
            </w:r>
          </w:p>
          <w:p w14:paraId="1C33B2C5" w14:textId="5FEF1FF8" w:rsidR="00CD50A1" w:rsidRDefault="00000187" w:rsidP="00CD50A1">
            <w:pPr>
              <w:pStyle w:val="Quote"/>
              <w:rPr>
                <w:lang w:val="en-GB"/>
              </w:rPr>
            </w:pPr>
            <w:r>
              <w:rPr>
                <w:rStyle w:val="Characterclear"/>
              </w:rPr>
              <w:t>“</w:t>
            </w:r>
            <w:r w:rsidR="005E6938">
              <w:rPr>
                <w:rStyle w:val="Characterclear"/>
              </w:rPr>
              <w:t xml:space="preserve">changed into the lane </w:t>
            </w:r>
            <w:r w:rsidR="00781AE5" w:rsidRPr="00781AE5">
              <w:rPr>
                <w:lang w:val="en-GB" w:eastAsia="en-AU"/>
              </w:rPr>
              <w:t xml:space="preserve">to the left of me and with all their windows down started to yell abuse. ‘Go back to where you came from you stupid black bitch’ ‘Fucking black bitch fuck off’ and so on. Then as we approached the intersection at </w:t>
            </w:r>
            <w:r w:rsidR="00543E40">
              <w:t>Swanston</w:t>
            </w:r>
            <w:r w:rsidR="00781AE5" w:rsidRPr="00781AE5">
              <w:rPr>
                <w:lang w:val="en-GB" w:eastAsia="en-AU"/>
              </w:rPr>
              <w:t xml:space="preserve"> Street they swerved suddenly and violently into my car. I slammed on the brakes, narrowly missing the </w:t>
            </w:r>
            <w:r w:rsidR="00543E40">
              <w:t>car</w:t>
            </w:r>
            <w:r w:rsidR="00781AE5" w:rsidRPr="00781AE5">
              <w:rPr>
                <w:lang w:val="en-GB" w:eastAsia="en-AU"/>
              </w:rPr>
              <w:t xml:space="preserve"> and my dog was thrown from the back seat into the dashboard. My son started crying. I was terrified</w:t>
            </w:r>
            <w:r w:rsidR="00781AE5">
              <w:t>.</w:t>
            </w:r>
            <w:r>
              <w:t>”</w:t>
            </w:r>
          </w:p>
          <w:p w14:paraId="6E5F6852" w14:textId="3A06A0D0" w:rsidR="00781AE5" w:rsidRDefault="00DC23B9" w:rsidP="00781AE5">
            <w:pPr>
              <w:pStyle w:val="BodyText"/>
              <w:rPr>
                <w:rStyle w:val="Characterclear"/>
              </w:rPr>
            </w:pPr>
            <w:r>
              <w:rPr>
                <w:rStyle w:val="Characterclear"/>
              </w:rPr>
              <w:t xml:space="preserve">The examples of racial hatred reported by </w:t>
            </w:r>
            <w:r w:rsidR="00CE0DA0">
              <w:rPr>
                <w:rStyle w:val="Characterclear"/>
              </w:rPr>
              <w:t xml:space="preserve">survey </w:t>
            </w:r>
            <w:r>
              <w:rPr>
                <w:rStyle w:val="Characterclear"/>
              </w:rPr>
              <w:t xml:space="preserve">participants predominantly occurred </w:t>
            </w:r>
            <w:r w:rsidR="00F800DD">
              <w:rPr>
                <w:rStyle w:val="Characterclear"/>
              </w:rPr>
              <w:t xml:space="preserve">in </w:t>
            </w:r>
            <w:r>
              <w:rPr>
                <w:rStyle w:val="Characterclear"/>
              </w:rPr>
              <w:t>public spaces (such as on public transport, on the road, in car parks and in shopping malls)</w:t>
            </w:r>
            <w:r w:rsidR="00BE49AE">
              <w:rPr>
                <w:rStyle w:val="Characterclear"/>
              </w:rPr>
              <w:t xml:space="preserve"> and in the workplace</w:t>
            </w:r>
            <w:r w:rsidR="00F800DD">
              <w:rPr>
                <w:rStyle w:val="Characterclear"/>
              </w:rPr>
              <w:t xml:space="preserve">. </w:t>
            </w:r>
            <w:r w:rsidR="00BE49AE">
              <w:rPr>
                <w:rStyle w:val="Characterclear"/>
              </w:rPr>
              <w:t xml:space="preserve">For example, participants told us that: </w:t>
            </w:r>
          </w:p>
          <w:p w14:paraId="290D2851" w14:textId="29A81547" w:rsidR="002E0F89" w:rsidRDefault="00000187" w:rsidP="00CE23FA">
            <w:pPr>
              <w:pStyle w:val="BodyText"/>
              <w:numPr>
                <w:ilvl w:val="0"/>
                <w:numId w:val="51"/>
              </w:numPr>
            </w:pPr>
            <w:r>
              <w:lastRenderedPageBreak/>
              <w:t>“</w:t>
            </w:r>
            <w:r w:rsidR="00666706" w:rsidRPr="00666706">
              <w:rPr>
                <w:lang w:val="en-GB"/>
              </w:rPr>
              <w:t xml:space="preserve">I work as a nurse and many times I’ve been called names by patients such as </w:t>
            </w:r>
            <w:r>
              <w:t>‘</w:t>
            </w:r>
            <w:r w:rsidR="00666706" w:rsidRPr="00666706">
              <w:rPr>
                <w:lang w:val="en-GB"/>
              </w:rPr>
              <w:t>nigga</w:t>
            </w:r>
            <w:r>
              <w:t>’</w:t>
            </w:r>
            <w:r w:rsidR="00666706" w:rsidRPr="00666706">
              <w:rPr>
                <w:lang w:val="en-GB"/>
              </w:rPr>
              <w:t xml:space="preserve">, </w:t>
            </w:r>
            <w:r>
              <w:t>‘</w:t>
            </w:r>
            <w:r w:rsidR="00666706" w:rsidRPr="00666706">
              <w:rPr>
                <w:lang w:val="en-GB"/>
              </w:rPr>
              <w:t>black bitch</w:t>
            </w:r>
            <w:r>
              <w:t>’</w:t>
            </w:r>
            <w:r w:rsidR="00666706" w:rsidRPr="00666706">
              <w:rPr>
                <w:lang w:val="en-GB"/>
              </w:rPr>
              <w:t xml:space="preserve">, </w:t>
            </w:r>
            <w:r>
              <w:t>‘</w:t>
            </w:r>
            <w:r w:rsidR="00666706" w:rsidRPr="00666706">
              <w:rPr>
                <w:lang w:val="en-GB"/>
              </w:rPr>
              <w:t>monkey</w:t>
            </w:r>
            <w:r>
              <w:t>’</w:t>
            </w:r>
            <w:r w:rsidR="00666706" w:rsidRPr="00666706">
              <w:rPr>
                <w:lang w:val="en-GB"/>
              </w:rPr>
              <w:t xml:space="preserve"> etc. it’s almost normal and accepted that patients do this</w:t>
            </w:r>
            <w:r w:rsidR="00666706">
              <w:t xml:space="preserve">. </w:t>
            </w:r>
            <w:r w:rsidR="0064078F" w:rsidRPr="00AB2CA1">
              <w:rPr>
                <w:lang w:val="en-GB"/>
              </w:rPr>
              <w:t>[I] was told you are a fucking black bitch [by a patient]</w:t>
            </w:r>
            <w:r w:rsidR="0064078F">
              <w:t>.</w:t>
            </w:r>
            <w:r>
              <w:t>”</w:t>
            </w:r>
          </w:p>
          <w:p w14:paraId="0530EFD6" w14:textId="37FB3C06" w:rsidR="0064078F" w:rsidRDefault="00000187" w:rsidP="00CE23FA">
            <w:pPr>
              <w:pStyle w:val="BodyText"/>
              <w:numPr>
                <w:ilvl w:val="0"/>
                <w:numId w:val="51"/>
              </w:numPr>
            </w:pPr>
            <w:r>
              <w:t>“</w:t>
            </w:r>
            <w:r w:rsidR="00DE4CB1" w:rsidRPr="00DE4CB1">
              <w:rPr>
                <w:lang w:val="en-GB"/>
              </w:rPr>
              <w:t xml:space="preserve">At the workplace colleagues have mocked my accent, called me names such </w:t>
            </w:r>
            <w:r>
              <w:t>‘</w:t>
            </w:r>
            <w:r w:rsidR="00DE4CB1" w:rsidRPr="00DE4CB1">
              <w:rPr>
                <w:lang w:val="en-GB"/>
              </w:rPr>
              <w:t>curry ass</w:t>
            </w:r>
            <w:r>
              <w:t>’</w:t>
            </w:r>
            <w:r w:rsidR="00DE4CB1" w:rsidRPr="00DE4CB1">
              <w:rPr>
                <w:lang w:val="en-GB"/>
              </w:rPr>
              <w:t xml:space="preserve"> and criticised the way we eat with our hands referring to it as uncivilised</w:t>
            </w:r>
            <w:r w:rsidR="00DE4CB1">
              <w:t>.</w:t>
            </w:r>
            <w:r>
              <w:t>”</w:t>
            </w:r>
            <w:r w:rsidR="00DE4CB1">
              <w:t xml:space="preserve"> </w:t>
            </w:r>
          </w:p>
          <w:p w14:paraId="1C8B1E61" w14:textId="3289DC42" w:rsidR="00714923" w:rsidRPr="007A23D7" w:rsidRDefault="00000187" w:rsidP="00CE23FA">
            <w:pPr>
              <w:pStyle w:val="BodyText"/>
              <w:numPr>
                <w:ilvl w:val="0"/>
                <w:numId w:val="51"/>
              </w:numPr>
              <w:rPr>
                <w:rStyle w:val="Characterclear"/>
                <w:lang w:eastAsia="en-US"/>
              </w:rPr>
            </w:pPr>
            <w:r>
              <w:t>“</w:t>
            </w:r>
            <w:r w:rsidR="00666DAD" w:rsidRPr="00666DAD">
              <w:rPr>
                <w:lang w:val="en-GB"/>
              </w:rPr>
              <w:t>I was a refugee and I was told to go home to my country and get shot</w:t>
            </w:r>
            <w:r w:rsidR="00666DAD">
              <w:t>.</w:t>
            </w:r>
            <w:r>
              <w:t>”</w:t>
            </w:r>
          </w:p>
        </w:tc>
      </w:tr>
    </w:tbl>
    <w:p w14:paraId="21DFE747" w14:textId="011130CD" w:rsidR="0049703E" w:rsidRPr="0049703E" w:rsidRDefault="00D979F7" w:rsidP="004129CB">
      <w:pPr>
        <w:pStyle w:val="Heading3"/>
      </w:pPr>
      <w:r>
        <w:lastRenderedPageBreak/>
        <w:t xml:space="preserve">Aboriginal and Torres Strait Islander Victorians </w:t>
      </w:r>
    </w:p>
    <w:p w14:paraId="58A8EED8" w14:textId="6A109C22" w:rsidR="0049703E" w:rsidRDefault="0049703E" w:rsidP="0049703E">
      <w:pPr>
        <w:pStyle w:val="BodyText"/>
      </w:pPr>
      <w:r w:rsidRPr="0049703E">
        <w:t>R</w:t>
      </w:r>
      <w:r w:rsidR="00CE0DA0">
        <w:t>ecent r</w:t>
      </w:r>
      <w:r w:rsidRPr="0049703E">
        <w:t xml:space="preserve">esearch shows that Aboriginal and Torres Strait Islander people continue to experience </w:t>
      </w:r>
      <w:r w:rsidR="00EC6ECE">
        <w:t>systemic racism</w:t>
      </w:r>
      <w:r w:rsidR="00A02F28">
        <w:t xml:space="preserve"> and vilification</w:t>
      </w:r>
      <w:r w:rsidRPr="0049703E">
        <w:t>. For example, in Victoria, Aboriginal Victorians are four times more likely to experience racism than non-Aboriginal people and seven times more likely to experience racism than Anglo-Celtic Victorians.</w:t>
      </w:r>
      <w:r w:rsidR="00AD1D36">
        <w:rPr>
          <w:rStyle w:val="EndnoteReference"/>
        </w:rPr>
        <w:endnoteReference w:id="70"/>
      </w:r>
    </w:p>
    <w:p w14:paraId="6F78DB2E" w14:textId="57BB0C6B" w:rsidR="00931CA0" w:rsidRDefault="00C6138C" w:rsidP="0049703E">
      <w:pPr>
        <w:pStyle w:val="BodyText"/>
      </w:pPr>
      <w:r>
        <w:t xml:space="preserve">Significantly, evidence indicates a high prevalence of overt racial </w:t>
      </w:r>
      <w:r w:rsidR="00244557">
        <w:t>hat</w:t>
      </w:r>
      <w:r w:rsidR="00AC3392">
        <w:t>r</w:t>
      </w:r>
      <w:r w:rsidR="00244557">
        <w:t xml:space="preserve">ed, </w:t>
      </w:r>
      <w:r w:rsidR="00AC3392">
        <w:t xml:space="preserve">with </w:t>
      </w:r>
      <w:r w:rsidR="005969A3">
        <w:t xml:space="preserve">one survey of </w:t>
      </w:r>
      <w:r w:rsidR="00AC3392">
        <w:t xml:space="preserve">Aboriginal Victorians </w:t>
      </w:r>
      <w:r w:rsidR="005969A3">
        <w:t xml:space="preserve">finding that: </w:t>
      </w:r>
    </w:p>
    <w:p w14:paraId="0E05BFC5" w14:textId="4087C584" w:rsidR="005969A3" w:rsidRPr="005969A3" w:rsidRDefault="005969A3" w:rsidP="00AB2CA1">
      <w:pPr>
        <w:pStyle w:val="ListBullet"/>
      </w:pPr>
      <w:r w:rsidRPr="005969A3">
        <w:t xml:space="preserve">97.3 per cent of respondents had </w:t>
      </w:r>
      <w:r w:rsidR="00E45843">
        <w:t>experienced racism</w:t>
      </w:r>
      <w:r w:rsidRPr="005969A3">
        <w:t xml:space="preserve"> in the previous 12 months </w:t>
      </w:r>
    </w:p>
    <w:p w14:paraId="7CB66DE6" w14:textId="748D63F5" w:rsidR="005969A3" w:rsidRPr="005969A3" w:rsidRDefault="005969A3" w:rsidP="00AB2CA1">
      <w:pPr>
        <w:pStyle w:val="ListBullet"/>
      </w:pPr>
      <w:r w:rsidRPr="005969A3">
        <w:t>92.3 per cent of respondents had been teased, called names and made the subject of comments on the basis of race</w:t>
      </w:r>
    </w:p>
    <w:p w14:paraId="6F40927B" w14:textId="15B16ABE" w:rsidR="005969A3" w:rsidRPr="005969A3" w:rsidRDefault="005969A3" w:rsidP="00AB2CA1">
      <w:pPr>
        <w:pStyle w:val="ListBullet"/>
      </w:pPr>
      <w:r w:rsidRPr="005969A3">
        <w:t xml:space="preserve">84.3 per cent of respondents were sworn at or verbally abused </w:t>
      </w:r>
    </w:p>
    <w:p w14:paraId="5258BE9C" w14:textId="1EA3641E" w:rsidR="005969A3" w:rsidRPr="005969A3" w:rsidRDefault="005969A3" w:rsidP="00AB2CA1">
      <w:pPr>
        <w:pStyle w:val="ListBullet"/>
      </w:pPr>
      <w:r w:rsidRPr="005969A3">
        <w:t xml:space="preserve">67.4 per cent were spat at or had something thrown at them </w:t>
      </w:r>
    </w:p>
    <w:p w14:paraId="7D44A278" w14:textId="672BDD93" w:rsidR="005969A3" w:rsidRDefault="005969A3" w:rsidP="00AB2CA1">
      <w:pPr>
        <w:pStyle w:val="ListBullet"/>
      </w:pPr>
      <w:r w:rsidRPr="005969A3">
        <w:t>66 per cent of respondents were told that they don’t belong in Australia.</w:t>
      </w:r>
      <w:r w:rsidR="008C44AB">
        <w:rPr>
          <w:rStyle w:val="EndnoteReference"/>
        </w:rPr>
        <w:endnoteReference w:id="71"/>
      </w:r>
    </w:p>
    <w:p w14:paraId="20114EA2" w14:textId="1188DD34" w:rsidR="00EC6ECE" w:rsidRDefault="00AB1CF5" w:rsidP="008C44AB">
      <w:pPr>
        <w:pStyle w:val="BodyText"/>
      </w:pPr>
      <w:r>
        <w:t>National data</w:t>
      </w:r>
      <w:r w:rsidR="002901D2">
        <w:t xml:space="preserve"> from the Australian Bureau of Statistics</w:t>
      </w:r>
      <w:r w:rsidR="00E4713B">
        <w:t xml:space="preserve"> </w:t>
      </w:r>
      <w:r>
        <w:t xml:space="preserve">in 2015 </w:t>
      </w:r>
      <w:r w:rsidR="00E4713B">
        <w:t xml:space="preserve">reveals that: </w:t>
      </w:r>
    </w:p>
    <w:p w14:paraId="27AD8805" w14:textId="7BB7EC39" w:rsidR="00E4713B" w:rsidRDefault="00E4713B" w:rsidP="00AB2CA1">
      <w:pPr>
        <w:pStyle w:val="ListBullet"/>
      </w:pPr>
      <w:r>
        <w:t>the most commonly reported form of unfair treatment</w:t>
      </w:r>
      <w:r w:rsidR="00F7576D">
        <w:t xml:space="preserve"> by Aboriginal and Torres Strait Islander people </w:t>
      </w:r>
      <w:r w:rsidR="00E70AFE">
        <w:t>was hearing racial comments or jokes</w:t>
      </w:r>
    </w:p>
    <w:p w14:paraId="7903A5D3" w14:textId="5B167B0F" w:rsidR="00E70AFE" w:rsidRDefault="00AB1CF5" w:rsidP="00AB2CA1">
      <w:pPr>
        <w:pStyle w:val="ListBullet"/>
      </w:pPr>
      <w:r>
        <w:t>25 per cent of Aboriginal and Torres Strait Islander people aged 15 years and over in non-remote areas and 15 per cent in remote areas said they had overheard racial comments in the previous 12 months</w:t>
      </w:r>
    </w:p>
    <w:p w14:paraId="3511018E" w14:textId="5EF69A7F" w:rsidR="00AB1CF5" w:rsidRDefault="00BB52A1" w:rsidP="00AB2CA1">
      <w:pPr>
        <w:pStyle w:val="ListBullet"/>
      </w:pPr>
      <w:r>
        <w:t>one in seven (14 per cent) of Aboriginal and Torres Strait Islander people had been called names, teased or sworn at</w:t>
      </w:r>
      <w:r w:rsidR="001107B2">
        <w:t>.</w:t>
      </w:r>
      <w:r>
        <w:rPr>
          <w:rStyle w:val="EndnoteReference"/>
        </w:rPr>
        <w:endnoteReference w:id="72"/>
      </w:r>
    </w:p>
    <w:p w14:paraId="3FBD4E01" w14:textId="6968C22B" w:rsidR="00CF2110" w:rsidRDefault="00CF2110" w:rsidP="00AB2CA1">
      <w:pPr>
        <w:pStyle w:val="BodyText"/>
      </w:pPr>
      <w:r>
        <w:t>In 2016, Gelber and McNamara found that racial abuse is frequent and prevalent for Aboriginal people.</w:t>
      </w:r>
      <w:r>
        <w:rPr>
          <w:rStyle w:val="EndnoteReference"/>
        </w:rPr>
        <w:endnoteReference w:id="73"/>
      </w:r>
      <w:r w:rsidR="00247B6D">
        <w:t xml:space="preserve"> </w:t>
      </w:r>
      <w:r w:rsidR="00247B6D" w:rsidRPr="00247B6D">
        <w:t>As explained by one Aboriginal participant</w:t>
      </w:r>
      <w:r w:rsidR="00247B6D">
        <w:t xml:space="preserve"> in their research</w:t>
      </w:r>
      <w:r w:rsidR="00247B6D" w:rsidRPr="00247B6D">
        <w:t xml:space="preserve">, </w:t>
      </w:r>
      <w:r w:rsidR="002E0F89">
        <w:t>“</w:t>
      </w:r>
      <w:r w:rsidR="00247B6D" w:rsidRPr="00247B6D">
        <w:t xml:space="preserve">I think </w:t>
      </w:r>
      <w:r w:rsidR="00247B6D" w:rsidRPr="00171844">
        <w:t>for</w:t>
      </w:r>
      <w:r w:rsidR="00247B6D" w:rsidRPr="00247B6D">
        <w:t xml:space="preserve"> me … every day I get vilified</w:t>
      </w:r>
      <w:r w:rsidR="002E0F89">
        <w:t>”</w:t>
      </w:r>
      <w:r w:rsidR="00247B6D" w:rsidRPr="00247B6D">
        <w:t>.</w:t>
      </w:r>
      <w:r w:rsidR="00247B6D" w:rsidRPr="00247B6D">
        <w:rPr>
          <w:rStyle w:val="EndnoteReference"/>
        </w:rPr>
        <w:endnoteReference w:id="74"/>
      </w:r>
    </w:p>
    <w:p w14:paraId="79AEEDB4" w14:textId="51DA8155" w:rsidR="000D6EB6" w:rsidRDefault="001107B2" w:rsidP="007D745B">
      <w:pPr>
        <w:pStyle w:val="BodyText"/>
      </w:pPr>
      <w:r>
        <w:t xml:space="preserve">More recently, </w:t>
      </w:r>
      <w:r w:rsidR="00660562">
        <w:t xml:space="preserve">one in three Aboriginal people reported unfair treatment in the previous 12 months, including </w:t>
      </w:r>
      <w:r w:rsidR="00EB3DFD">
        <w:t xml:space="preserve">most commonly </w:t>
      </w:r>
      <w:r w:rsidR="00660562">
        <w:t>racial comments or jokes.</w:t>
      </w:r>
      <w:r w:rsidR="00660562">
        <w:rPr>
          <w:rStyle w:val="EndnoteReference"/>
        </w:rPr>
        <w:endnoteReference w:id="75"/>
      </w:r>
      <w:r w:rsidR="00660562">
        <w:t xml:space="preserve"> </w:t>
      </w:r>
      <w:r w:rsidR="00B76D1E">
        <w:t xml:space="preserve">Consistent with this research, the </w:t>
      </w:r>
      <w:r w:rsidR="00B76D1E" w:rsidRPr="00B76D1E">
        <w:t>Victorian Aboriginal Legal Service told the Commission it receives regular reports of racial abuse from its clients, including abuse from the general public, service providers (such as shops and pubs), employers, colleagues and police.</w:t>
      </w:r>
      <w:r w:rsidR="00B76D1E" w:rsidRPr="00B76D1E">
        <w:rPr>
          <w:rStyle w:val="EndnoteReference"/>
        </w:rPr>
        <w:endnoteReference w:id="76"/>
      </w:r>
    </w:p>
    <w:p w14:paraId="3D9732EE" w14:textId="16E290CB" w:rsidR="00465EF5" w:rsidRDefault="00465EF5" w:rsidP="00A0182A">
      <w:pPr>
        <w:pStyle w:val="BodyText"/>
      </w:pPr>
      <w:r>
        <w:t xml:space="preserve">Disappointingly, the </w:t>
      </w:r>
      <w:r w:rsidR="001724C7">
        <w:t>recent findings reflect the findings of the National Inquiry into Racist Violence</w:t>
      </w:r>
      <w:r w:rsidR="00A00C38">
        <w:t xml:space="preserve"> (almost 30 years ago)</w:t>
      </w:r>
      <w:r w:rsidR="001724C7">
        <w:t xml:space="preserve">, </w:t>
      </w:r>
      <w:r w:rsidR="005D610A">
        <w:t xml:space="preserve">which </w:t>
      </w:r>
      <w:r w:rsidR="00420349">
        <w:t>was one of the reports that triggered the introduction of s 18C of the RDA. That inquiry found that racist violence against Aboriginal Australians was severe, endemic and nationwide.</w:t>
      </w:r>
      <w:r w:rsidR="00420349">
        <w:rPr>
          <w:rStyle w:val="EndnoteReference"/>
        </w:rPr>
        <w:endnoteReference w:id="77"/>
      </w:r>
    </w:p>
    <w:p w14:paraId="2F7DFC8D" w14:textId="3E86162F" w:rsidR="00E0768B" w:rsidRPr="0097638E" w:rsidRDefault="00BF23B8" w:rsidP="0097638E">
      <w:pPr>
        <w:pStyle w:val="Heading3"/>
        <w:rPr>
          <w:rStyle w:val="Characterbold"/>
          <w:b w:val="0"/>
        </w:rPr>
      </w:pPr>
      <w:r w:rsidRPr="0097638E">
        <w:rPr>
          <w:rStyle w:val="Characterbold"/>
          <w:b w:val="0"/>
        </w:rPr>
        <w:lastRenderedPageBreak/>
        <w:t xml:space="preserve">Muslim Victorians </w:t>
      </w:r>
    </w:p>
    <w:p w14:paraId="0E192306" w14:textId="4012E04D" w:rsidR="00FB5B11" w:rsidRDefault="008F2D00" w:rsidP="00F03906">
      <w:pPr>
        <w:pStyle w:val="BodyText"/>
        <w:rPr>
          <w:rStyle w:val="Characterclear"/>
        </w:rPr>
      </w:pPr>
      <w:r>
        <w:rPr>
          <w:rStyle w:val="Characterclear"/>
        </w:rPr>
        <w:t>Muslim Victorians continue to experience</w:t>
      </w:r>
      <w:r w:rsidR="00A37DA5">
        <w:rPr>
          <w:rStyle w:val="Characterclear"/>
        </w:rPr>
        <w:t xml:space="preserve"> violence, abuse and intimidation</w:t>
      </w:r>
      <w:r>
        <w:rPr>
          <w:rStyle w:val="Characterclear"/>
        </w:rPr>
        <w:t xml:space="preserve"> because of their faith</w:t>
      </w:r>
      <w:r w:rsidR="00C478C5">
        <w:rPr>
          <w:rStyle w:val="Characterclear"/>
        </w:rPr>
        <w:t xml:space="preserve">. </w:t>
      </w:r>
      <w:r w:rsidR="00A07150">
        <w:rPr>
          <w:rStyle w:val="Characterclear"/>
        </w:rPr>
        <w:t>In June</w:t>
      </w:r>
      <w:r w:rsidR="00F03906">
        <w:rPr>
          <w:rStyle w:val="Characterclear"/>
        </w:rPr>
        <w:t xml:space="preserve"> 2019</w:t>
      </w:r>
      <w:r w:rsidR="00A77120">
        <w:rPr>
          <w:rStyle w:val="Characterclear"/>
        </w:rPr>
        <w:t>,</w:t>
      </w:r>
      <w:r w:rsidR="00791C14">
        <w:rPr>
          <w:rStyle w:val="Characterclear"/>
        </w:rPr>
        <w:t xml:space="preserve"> during</w:t>
      </w:r>
      <w:r w:rsidR="00F03906">
        <w:rPr>
          <w:rStyle w:val="Characterclear"/>
        </w:rPr>
        <w:t xml:space="preserve"> roundtables </w:t>
      </w:r>
      <w:r w:rsidR="00702F4C">
        <w:rPr>
          <w:rStyle w:val="Characterclear"/>
        </w:rPr>
        <w:t>held</w:t>
      </w:r>
      <w:r w:rsidR="00F03906">
        <w:rPr>
          <w:rStyle w:val="Characterclear"/>
        </w:rPr>
        <w:t xml:space="preserve"> by the Commission and the Australian Human Rights Commission,</w:t>
      </w:r>
      <w:r w:rsidR="002336E6">
        <w:rPr>
          <w:rStyle w:val="EndnoteReference"/>
          <w:lang w:eastAsia="en-AU"/>
        </w:rPr>
        <w:endnoteReference w:id="78"/>
      </w:r>
      <w:r w:rsidR="00F03906">
        <w:rPr>
          <w:rStyle w:val="Characterclear"/>
        </w:rPr>
        <w:t xml:space="preserve"> religious leaders highlighted </w:t>
      </w:r>
      <w:r w:rsidR="006A1642">
        <w:rPr>
          <w:rStyle w:val="Characterclear"/>
        </w:rPr>
        <w:t xml:space="preserve">a range of </w:t>
      </w:r>
      <w:r w:rsidR="00015027">
        <w:rPr>
          <w:rStyle w:val="Characterclear"/>
        </w:rPr>
        <w:t xml:space="preserve">serious harms including </w:t>
      </w:r>
      <w:r w:rsidR="00791C14">
        <w:rPr>
          <w:rStyle w:val="Characterclear"/>
        </w:rPr>
        <w:t xml:space="preserve">hate speech </w:t>
      </w:r>
      <w:r w:rsidR="00DC456E">
        <w:rPr>
          <w:rStyle w:val="Characterclear"/>
        </w:rPr>
        <w:t>fuelled by an increasing atmosphere of hos</w:t>
      </w:r>
      <w:r w:rsidR="00000187">
        <w:rPr>
          <w:rStyle w:val="Characterclear"/>
        </w:rPr>
        <w:t>tility</w:t>
      </w:r>
      <w:r w:rsidR="00DC456E">
        <w:rPr>
          <w:rStyle w:val="Characterclear"/>
        </w:rPr>
        <w:t xml:space="preserve"> and discrimination</w:t>
      </w:r>
      <w:r w:rsidR="00791C14">
        <w:rPr>
          <w:rStyle w:val="Characterclear"/>
        </w:rPr>
        <w:t xml:space="preserve"> towards Muslim communities</w:t>
      </w:r>
      <w:r w:rsidR="00F03906">
        <w:rPr>
          <w:rStyle w:val="Characterclear"/>
        </w:rPr>
        <w:t xml:space="preserve">. </w:t>
      </w:r>
      <w:r w:rsidR="00000187">
        <w:rPr>
          <w:rStyle w:val="Characterclear"/>
        </w:rPr>
        <w:t>The Commission was told that c</w:t>
      </w:r>
      <w:r w:rsidR="00F03906">
        <w:rPr>
          <w:rStyle w:val="Characterclear"/>
        </w:rPr>
        <w:t>hild mental and emotional well-being is</w:t>
      </w:r>
      <w:r w:rsidR="006E0C00">
        <w:rPr>
          <w:rStyle w:val="Characterclear"/>
        </w:rPr>
        <w:t xml:space="preserve"> being</w:t>
      </w:r>
      <w:r w:rsidR="00F03906">
        <w:rPr>
          <w:rStyle w:val="Characterclear"/>
        </w:rPr>
        <w:t xml:space="preserve"> impacted, with many children being labelled as terrorists or witnessing the racial abuse of carers or parents. </w:t>
      </w:r>
      <w:r w:rsidR="00791C14">
        <w:rPr>
          <w:rStyle w:val="Characterclear"/>
        </w:rPr>
        <w:t>For example, d</w:t>
      </w:r>
      <w:r w:rsidR="00FE0C9F">
        <w:rPr>
          <w:rStyle w:val="Characterclear"/>
        </w:rPr>
        <w:t>urin</w:t>
      </w:r>
      <w:r w:rsidR="006E59FB">
        <w:rPr>
          <w:rStyle w:val="Characterclear"/>
        </w:rPr>
        <w:t xml:space="preserve">g the Melbourne consultation a teacher from a Muslim primary school </w:t>
      </w:r>
      <w:r w:rsidR="00892392">
        <w:rPr>
          <w:rStyle w:val="Characterclear"/>
        </w:rPr>
        <w:t xml:space="preserve">recounted a public </w:t>
      </w:r>
      <w:r w:rsidR="004372A2">
        <w:rPr>
          <w:rStyle w:val="Characterclear"/>
        </w:rPr>
        <w:t>excursion</w:t>
      </w:r>
      <w:r w:rsidR="00892392">
        <w:rPr>
          <w:rStyle w:val="Characterclear"/>
        </w:rPr>
        <w:t xml:space="preserve"> where a man in the street verbally abused a group of students in uniform.</w:t>
      </w:r>
      <w:r w:rsidR="006B0CDD">
        <w:rPr>
          <w:rStyle w:val="Characterclear"/>
        </w:rPr>
        <w:t xml:space="preserve"> </w:t>
      </w:r>
      <w:r w:rsidR="00BC2235">
        <w:rPr>
          <w:rStyle w:val="Characterclear"/>
        </w:rPr>
        <w:t xml:space="preserve">Several participants spoke of </w:t>
      </w:r>
      <w:r w:rsidR="00693178">
        <w:rPr>
          <w:rStyle w:val="Characterclear"/>
        </w:rPr>
        <w:t xml:space="preserve">mothers </w:t>
      </w:r>
      <w:r w:rsidR="00675BB8">
        <w:rPr>
          <w:rStyle w:val="Characterclear"/>
        </w:rPr>
        <w:t>receiving</w:t>
      </w:r>
      <w:r w:rsidR="00693178">
        <w:rPr>
          <w:rStyle w:val="Characterclear"/>
        </w:rPr>
        <w:t xml:space="preserve"> verbal abuse in public places, like shopping centres, in front of their children</w:t>
      </w:r>
      <w:r w:rsidR="00675BB8">
        <w:rPr>
          <w:rStyle w:val="Characterclear"/>
        </w:rPr>
        <w:t xml:space="preserve"> and </w:t>
      </w:r>
      <w:r w:rsidR="006B0CDD">
        <w:rPr>
          <w:rStyle w:val="Characterclear"/>
        </w:rPr>
        <w:t xml:space="preserve">even </w:t>
      </w:r>
      <w:r w:rsidR="00675BB8">
        <w:rPr>
          <w:rStyle w:val="Characterclear"/>
        </w:rPr>
        <w:t>security guards</w:t>
      </w:r>
      <w:r w:rsidR="00693178">
        <w:rPr>
          <w:rStyle w:val="Characterclear"/>
        </w:rPr>
        <w:t>.</w:t>
      </w:r>
      <w:r w:rsidR="00DB07E6">
        <w:rPr>
          <w:rStyle w:val="Characterclear"/>
        </w:rPr>
        <w:t xml:space="preserve"> We heard how such in</w:t>
      </w:r>
      <w:r w:rsidR="0063618C">
        <w:rPr>
          <w:rStyle w:val="Characterclear"/>
        </w:rPr>
        <w:t>ci</w:t>
      </w:r>
      <w:r w:rsidR="00DB07E6">
        <w:rPr>
          <w:rStyle w:val="Characterclear"/>
        </w:rPr>
        <w:t xml:space="preserve">dents cause Muslim women to retreat </w:t>
      </w:r>
      <w:r w:rsidR="000D3F59">
        <w:rPr>
          <w:rStyle w:val="Characterclear"/>
        </w:rPr>
        <w:t>into the home,</w:t>
      </w:r>
      <w:r w:rsidR="00F03906">
        <w:rPr>
          <w:rStyle w:val="Characterclear"/>
        </w:rPr>
        <w:t xml:space="preserve"> having implications for their ability to participate </w:t>
      </w:r>
      <w:r w:rsidR="00440995">
        <w:rPr>
          <w:rStyle w:val="Characterclear"/>
        </w:rPr>
        <w:t>fully in society</w:t>
      </w:r>
      <w:r w:rsidR="00F03906">
        <w:rPr>
          <w:rStyle w:val="Characterclear"/>
        </w:rPr>
        <w:t xml:space="preserve">. </w:t>
      </w:r>
    </w:p>
    <w:p w14:paraId="0DFBFD95" w14:textId="256966DB" w:rsidR="00F03906" w:rsidRDefault="00F03906" w:rsidP="00F03906">
      <w:pPr>
        <w:pStyle w:val="BodyText"/>
        <w:rPr>
          <w:rStyle w:val="Characterclear"/>
        </w:rPr>
      </w:pPr>
      <w:r>
        <w:rPr>
          <w:rStyle w:val="Characterclear"/>
        </w:rPr>
        <w:t xml:space="preserve">More broadly, </w:t>
      </w:r>
      <w:r w:rsidR="0063618C">
        <w:rPr>
          <w:rStyle w:val="Characterclear"/>
        </w:rPr>
        <w:t xml:space="preserve">we repeatedly heard how </w:t>
      </w:r>
      <w:r w:rsidR="00FB5B11">
        <w:rPr>
          <w:rStyle w:val="Characterclear"/>
        </w:rPr>
        <w:t>Muslim Victorians</w:t>
      </w:r>
      <w:r>
        <w:rPr>
          <w:rStyle w:val="Characterclear"/>
        </w:rPr>
        <w:t xml:space="preserve"> feel disconnected from, and isolated within, Australia. Another </w:t>
      </w:r>
      <w:r w:rsidR="00FB5B11">
        <w:rPr>
          <w:rStyle w:val="Characterclear"/>
        </w:rPr>
        <w:t xml:space="preserve">roundtable </w:t>
      </w:r>
      <w:r>
        <w:rPr>
          <w:rStyle w:val="Characterclear"/>
        </w:rPr>
        <w:t xml:space="preserve">participant </w:t>
      </w:r>
      <w:r w:rsidR="00017F76">
        <w:rPr>
          <w:rStyle w:val="Characterclear"/>
        </w:rPr>
        <w:t>recounted that her daughter,</w:t>
      </w:r>
      <w:r>
        <w:rPr>
          <w:rStyle w:val="Characterclear"/>
        </w:rPr>
        <w:t xml:space="preserve"> a third-generation Australian, </w:t>
      </w:r>
      <w:r w:rsidR="00017F76">
        <w:rPr>
          <w:rStyle w:val="Characterclear"/>
        </w:rPr>
        <w:t>described</w:t>
      </w:r>
      <w:r>
        <w:rPr>
          <w:rStyle w:val="Characterclear"/>
        </w:rPr>
        <w:t xml:space="preserve"> feeling unwanted in Australia because of </w:t>
      </w:r>
      <w:r w:rsidR="0063618C">
        <w:rPr>
          <w:rStyle w:val="Characterclear"/>
        </w:rPr>
        <w:t xml:space="preserve">her </w:t>
      </w:r>
      <w:r>
        <w:rPr>
          <w:rStyle w:val="Characterclear"/>
        </w:rPr>
        <w:t>religious identity.</w:t>
      </w:r>
    </w:p>
    <w:p w14:paraId="45F85D2C" w14:textId="41E0D056" w:rsidR="00E003BF" w:rsidRDefault="0025290A" w:rsidP="00561742">
      <w:pPr>
        <w:pStyle w:val="BodyText"/>
        <w:rPr>
          <w:rStyle w:val="Characterclear"/>
        </w:rPr>
      </w:pPr>
      <w:r>
        <w:rPr>
          <w:rStyle w:val="Characterclear"/>
        </w:rPr>
        <w:t>The</w:t>
      </w:r>
      <w:r w:rsidR="00BE00B6">
        <w:rPr>
          <w:rStyle w:val="Characterclear"/>
        </w:rPr>
        <w:t xml:space="preserve"> </w:t>
      </w:r>
      <w:r w:rsidR="00E003BF">
        <w:rPr>
          <w:rStyle w:val="Characterclear"/>
        </w:rPr>
        <w:t xml:space="preserve">most recent </w:t>
      </w:r>
      <w:r>
        <w:rPr>
          <w:rStyle w:val="Characterclear"/>
        </w:rPr>
        <w:t xml:space="preserve">Islamophobia in </w:t>
      </w:r>
      <w:r w:rsidRPr="00587794">
        <w:rPr>
          <w:rStyle w:val="Characteritalic"/>
        </w:rPr>
        <w:t>Australia Report</w:t>
      </w:r>
      <w:r w:rsidR="00587794" w:rsidRPr="00587794">
        <w:rPr>
          <w:rStyle w:val="Characteritalic"/>
        </w:rPr>
        <w:t xml:space="preserve"> II</w:t>
      </w:r>
      <w:r w:rsidRPr="00587794">
        <w:rPr>
          <w:rStyle w:val="Characteritalic"/>
        </w:rPr>
        <w:t xml:space="preserve"> (201</w:t>
      </w:r>
      <w:r w:rsidR="00587794" w:rsidRPr="00587794">
        <w:rPr>
          <w:rStyle w:val="Characteritalic"/>
        </w:rPr>
        <w:t>6</w:t>
      </w:r>
      <w:r w:rsidRPr="00587794">
        <w:rPr>
          <w:rStyle w:val="Characteritalic"/>
        </w:rPr>
        <w:t>-1</w:t>
      </w:r>
      <w:r w:rsidR="00587794" w:rsidRPr="00587794">
        <w:rPr>
          <w:rStyle w:val="Characteritalic"/>
        </w:rPr>
        <w:t>7</w:t>
      </w:r>
      <w:r w:rsidRPr="00587794">
        <w:rPr>
          <w:rStyle w:val="Characteritalic"/>
        </w:rPr>
        <w:t>)</w:t>
      </w:r>
      <w:r>
        <w:rPr>
          <w:rStyle w:val="Characterclear"/>
        </w:rPr>
        <w:t xml:space="preserve"> </w:t>
      </w:r>
      <w:r w:rsidR="00E003BF">
        <w:rPr>
          <w:rStyle w:val="Characterclear"/>
        </w:rPr>
        <w:t xml:space="preserve">found </w:t>
      </w:r>
      <w:r w:rsidR="00C8550F">
        <w:rPr>
          <w:rStyle w:val="Characterclear"/>
        </w:rPr>
        <w:t xml:space="preserve">Muslims, especially women and children, </w:t>
      </w:r>
      <w:r w:rsidR="00DD77DD">
        <w:rPr>
          <w:rStyle w:val="Characterclear"/>
        </w:rPr>
        <w:t>commonly experience</w:t>
      </w:r>
      <w:r w:rsidR="00C8550F">
        <w:rPr>
          <w:rStyle w:val="Characterclear"/>
        </w:rPr>
        <w:t xml:space="preserve"> abuse and physical harm.</w:t>
      </w:r>
      <w:r w:rsidR="00705578">
        <w:rPr>
          <w:rStyle w:val="EndnoteReference"/>
          <w:lang w:eastAsia="en-AU"/>
        </w:rPr>
        <w:endnoteReference w:id="79"/>
      </w:r>
      <w:r w:rsidR="00E71192">
        <w:rPr>
          <w:rStyle w:val="Characterclear"/>
        </w:rPr>
        <w:t xml:space="preserve"> The report </w:t>
      </w:r>
      <w:r w:rsidR="00F96DE4">
        <w:rPr>
          <w:rStyle w:val="Characterclear"/>
        </w:rPr>
        <w:t xml:space="preserve">found that: </w:t>
      </w:r>
    </w:p>
    <w:p w14:paraId="7570A973" w14:textId="3ECC075E" w:rsidR="00F96DE4" w:rsidRDefault="002E0F89" w:rsidP="00F96DE4">
      <w:pPr>
        <w:pStyle w:val="Quote"/>
        <w:rPr>
          <w:rStyle w:val="Characterclear"/>
        </w:rPr>
      </w:pPr>
      <w:r>
        <w:rPr>
          <w:lang w:eastAsia="en-AU"/>
        </w:rPr>
        <w:t>‘</w:t>
      </w:r>
      <w:r w:rsidR="00F96DE4" w:rsidRPr="00F96DE4">
        <w:rPr>
          <w:lang w:eastAsia="en-AU"/>
        </w:rPr>
        <w:t>While it is critical for mainstream society to understand the underlying dangers of religious-based vilification, positive action from the highest echelons of power is required to safeguard dignity, equality and safety of every citizen and minority group, including Muslim Australians</w:t>
      </w:r>
      <w:r>
        <w:rPr>
          <w:lang w:eastAsia="en-AU"/>
        </w:rPr>
        <w:t>’</w:t>
      </w:r>
      <w:r w:rsidR="00F96DE4" w:rsidRPr="00F96DE4">
        <w:rPr>
          <w:lang w:eastAsia="en-AU"/>
        </w:rPr>
        <w:t>.</w:t>
      </w:r>
      <w:r w:rsidR="0052536D">
        <w:rPr>
          <w:rStyle w:val="EndnoteReference"/>
          <w:lang w:eastAsia="en-AU"/>
        </w:rPr>
        <w:endnoteReference w:id="80"/>
      </w:r>
    </w:p>
    <w:p w14:paraId="63DAB93D" w14:textId="65FCD938" w:rsidR="0025290A" w:rsidRDefault="000B5C23" w:rsidP="00561742">
      <w:pPr>
        <w:pStyle w:val="BodyText"/>
        <w:rPr>
          <w:rStyle w:val="Characterclear"/>
        </w:rPr>
      </w:pPr>
      <w:r>
        <w:rPr>
          <w:rStyle w:val="Characterclear"/>
        </w:rPr>
        <w:t>The</w:t>
      </w:r>
      <w:r w:rsidR="00E71192">
        <w:rPr>
          <w:rStyle w:val="Characterclear"/>
        </w:rPr>
        <w:t xml:space="preserve"> report found </w:t>
      </w:r>
      <w:r w:rsidR="008737AC">
        <w:rPr>
          <w:rStyle w:val="Characterclear"/>
        </w:rPr>
        <w:t xml:space="preserve">nearly three quarters of victims were women and almost all were wearing a headscarf </w:t>
      </w:r>
      <w:r w:rsidR="00762122">
        <w:rPr>
          <w:rStyle w:val="Characterclear"/>
        </w:rPr>
        <w:t xml:space="preserve">(hijab) </w:t>
      </w:r>
      <w:r w:rsidR="008737AC">
        <w:rPr>
          <w:rStyle w:val="Characterclear"/>
        </w:rPr>
        <w:t>at the time.</w:t>
      </w:r>
      <w:r w:rsidR="002E446C">
        <w:rPr>
          <w:rStyle w:val="EndnoteReference"/>
          <w:lang w:eastAsia="en-AU"/>
        </w:rPr>
        <w:endnoteReference w:id="81"/>
      </w:r>
      <w:r w:rsidR="002E446C">
        <w:rPr>
          <w:rStyle w:val="Characterclear"/>
        </w:rPr>
        <w:t xml:space="preserve"> The </w:t>
      </w:r>
      <w:r>
        <w:rPr>
          <w:rStyle w:val="Characterclear"/>
        </w:rPr>
        <w:t>report noted</w:t>
      </w:r>
      <w:r w:rsidR="00E82238">
        <w:rPr>
          <w:rStyle w:val="Characterclear"/>
        </w:rPr>
        <w:t xml:space="preserve"> ‘the intricate intersections of sexism, racism and xenophobia with Islamophobia were in force’ with </w:t>
      </w:r>
      <w:r w:rsidR="00065BC7">
        <w:rPr>
          <w:rStyle w:val="Characterclear"/>
        </w:rPr>
        <w:t xml:space="preserve">some women having ‘multiple vulnerabilities, such as being identifiably Muslim with their hijab, travelling unaccompanied, </w:t>
      </w:r>
      <w:r w:rsidR="00BE00B6">
        <w:rPr>
          <w:rStyle w:val="Characterclear"/>
        </w:rPr>
        <w:t>pregnant and accompanying younger children’.</w:t>
      </w:r>
      <w:r w:rsidR="00BE00B6">
        <w:rPr>
          <w:rStyle w:val="EndnoteReference"/>
          <w:lang w:eastAsia="en-AU"/>
        </w:rPr>
        <w:endnoteReference w:id="82"/>
      </w:r>
    </w:p>
    <w:p w14:paraId="4DDCE680" w14:textId="2EEE28B6" w:rsidR="00EF6B44" w:rsidRDefault="001226E2" w:rsidP="00561742">
      <w:pPr>
        <w:pStyle w:val="BodyText"/>
        <w:rPr>
          <w:rStyle w:val="Characterclear"/>
        </w:rPr>
      </w:pPr>
      <w:r>
        <w:rPr>
          <w:rStyle w:val="Characterclear"/>
        </w:rPr>
        <w:t xml:space="preserve">The report revealed there were 202 verified </w:t>
      </w:r>
      <w:r w:rsidRPr="000D3D33">
        <w:rPr>
          <w:rStyle w:val="Characterbold"/>
        </w:rPr>
        <w:t>offline cases</w:t>
      </w:r>
      <w:r w:rsidR="000D3D33">
        <w:rPr>
          <w:rStyle w:val="Characterclear"/>
        </w:rPr>
        <w:t xml:space="preserve"> </w:t>
      </w:r>
      <w:r w:rsidR="001D115E">
        <w:rPr>
          <w:rStyle w:val="Characterclear"/>
        </w:rPr>
        <w:t>in which</w:t>
      </w:r>
      <w:r w:rsidR="000D3D33">
        <w:rPr>
          <w:rStyle w:val="Characterclear"/>
        </w:rPr>
        <w:t xml:space="preserve">: </w:t>
      </w:r>
    </w:p>
    <w:p w14:paraId="76321903" w14:textId="71752AB8" w:rsidR="009A5CF5" w:rsidRDefault="009A5CF5" w:rsidP="000D75B5">
      <w:pPr>
        <w:pStyle w:val="TableListBullet"/>
        <w:rPr>
          <w:rStyle w:val="Characterclear"/>
        </w:rPr>
      </w:pPr>
      <w:r w:rsidRPr="009A5CF5">
        <w:rPr>
          <w:rStyle w:val="Characterclear"/>
        </w:rPr>
        <w:t>72 per cent of victims were women and 71 per cent of perpetrators were men</w:t>
      </w:r>
      <w:r w:rsidRPr="009A5CF5">
        <w:rPr>
          <w:rStyle w:val="EndnoteReference"/>
        </w:rPr>
        <w:endnoteReference w:id="83"/>
      </w:r>
    </w:p>
    <w:p w14:paraId="490129B7" w14:textId="1A7E3132" w:rsidR="00FC1731" w:rsidRDefault="00B263C5" w:rsidP="000D75B5">
      <w:pPr>
        <w:pStyle w:val="TableListBullet"/>
        <w:rPr>
          <w:rStyle w:val="Characterclear"/>
        </w:rPr>
      </w:pPr>
      <w:r>
        <w:rPr>
          <w:rStyle w:val="Characterclear"/>
        </w:rPr>
        <w:t>of the</w:t>
      </w:r>
      <w:r w:rsidR="00A42F34">
        <w:rPr>
          <w:rStyle w:val="Characterclear"/>
        </w:rPr>
        <w:t xml:space="preserve"> 47 incidents where perpetrators where ethnically identified, </w:t>
      </w:r>
      <w:r w:rsidR="007762D6">
        <w:rPr>
          <w:rStyle w:val="Characterclear"/>
        </w:rPr>
        <w:t xml:space="preserve">79 per </w:t>
      </w:r>
      <w:r w:rsidR="00A42F34">
        <w:rPr>
          <w:rStyle w:val="Characterclear"/>
        </w:rPr>
        <w:t>cent were</w:t>
      </w:r>
      <w:r w:rsidR="007762D6">
        <w:rPr>
          <w:rStyle w:val="Characterclear"/>
        </w:rPr>
        <w:t xml:space="preserve"> reported to be from Anglo-Celtic backgrounds</w:t>
      </w:r>
      <w:r w:rsidR="00AF7533">
        <w:rPr>
          <w:rStyle w:val="EndnoteReference"/>
          <w:lang w:eastAsia="en-AU"/>
        </w:rPr>
        <w:endnoteReference w:id="84"/>
      </w:r>
    </w:p>
    <w:p w14:paraId="2438AA71" w14:textId="04C2DDA9" w:rsidR="00093D11" w:rsidRDefault="00093D11" w:rsidP="000D75B5">
      <w:pPr>
        <w:pStyle w:val="TableListBullet"/>
        <w:rPr>
          <w:rStyle w:val="Characterclear"/>
        </w:rPr>
      </w:pPr>
      <w:r>
        <w:rPr>
          <w:rStyle w:val="Characterclear"/>
        </w:rPr>
        <w:t>of the 113 female victims, 96 per cent were wearing a headscarf and 57 per cent were alone (but only 6 per cent of male victims were alone</w:t>
      </w:r>
      <w:r w:rsidR="009D2F13">
        <w:rPr>
          <w:rStyle w:val="Characterclear"/>
        </w:rPr>
        <w:t>)</w:t>
      </w:r>
      <w:r w:rsidR="009D2F13">
        <w:rPr>
          <w:rStyle w:val="EndnoteReference"/>
          <w:lang w:eastAsia="en-AU"/>
        </w:rPr>
        <w:endnoteReference w:id="85"/>
      </w:r>
    </w:p>
    <w:p w14:paraId="613EA26C" w14:textId="6016BD4F" w:rsidR="009D2F13" w:rsidRDefault="009D2F13" w:rsidP="000D75B5">
      <w:pPr>
        <w:pStyle w:val="TableListBullet"/>
        <w:rPr>
          <w:rStyle w:val="Characterclear"/>
        </w:rPr>
      </w:pPr>
      <w:r>
        <w:rPr>
          <w:rStyle w:val="Characterclear"/>
        </w:rPr>
        <w:t>67 per cent of reports were about insults based on religious appearance</w:t>
      </w:r>
      <w:r>
        <w:rPr>
          <w:rStyle w:val="EndnoteReference"/>
          <w:lang w:eastAsia="en-AU"/>
        </w:rPr>
        <w:endnoteReference w:id="86"/>
      </w:r>
    </w:p>
    <w:p w14:paraId="636963BA" w14:textId="608EFA11" w:rsidR="00ED415E" w:rsidRDefault="00ED415E" w:rsidP="000D75B5">
      <w:pPr>
        <w:pStyle w:val="TableListBullet"/>
        <w:rPr>
          <w:rStyle w:val="Characterclear"/>
        </w:rPr>
      </w:pPr>
      <w:r>
        <w:rPr>
          <w:rStyle w:val="Characterclear"/>
        </w:rPr>
        <w:t>50 per cent of incidents were categorised at hate speech and 25 per cent as physical attacks and vandalism</w:t>
      </w:r>
      <w:r>
        <w:rPr>
          <w:rStyle w:val="EndnoteReference"/>
          <w:lang w:eastAsia="en-AU"/>
        </w:rPr>
        <w:endnoteReference w:id="87"/>
      </w:r>
    </w:p>
    <w:p w14:paraId="681C528A" w14:textId="40FA6BC7" w:rsidR="00A12146" w:rsidRDefault="00A12146" w:rsidP="000D75B5">
      <w:pPr>
        <w:pStyle w:val="TableListBullet"/>
        <w:rPr>
          <w:rStyle w:val="Characterclear"/>
        </w:rPr>
      </w:pPr>
      <w:r>
        <w:rPr>
          <w:rStyle w:val="Characterclear"/>
        </w:rPr>
        <w:t>72 per cent of incidents were interpersonal and 28 per cent were generic (such as graffiti and stickers) b</w:t>
      </w:r>
      <w:r w:rsidR="008026EB">
        <w:rPr>
          <w:rStyle w:val="Characterclear"/>
        </w:rPr>
        <w:t>ut generic cases were still destructive and toxic since many of them were publicly threatening Muslims and inciting violence</w:t>
      </w:r>
      <w:r w:rsidR="008026EB">
        <w:rPr>
          <w:rStyle w:val="EndnoteReference"/>
          <w:lang w:eastAsia="en-AU"/>
        </w:rPr>
        <w:endnoteReference w:id="88"/>
      </w:r>
    </w:p>
    <w:p w14:paraId="73B148B5" w14:textId="7504B6FA" w:rsidR="005628D7" w:rsidRDefault="005628D7" w:rsidP="000D75B5">
      <w:pPr>
        <w:pStyle w:val="TableListBullet"/>
        <w:rPr>
          <w:rStyle w:val="Characterclear"/>
        </w:rPr>
      </w:pPr>
      <w:r>
        <w:rPr>
          <w:rStyle w:val="Characterclear"/>
        </w:rPr>
        <w:t>60 per cent of incidents occurred in guarded areas (</w:t>
      </w:r>
      <w:r w:rsidR="0014200D">
        <w:rPr>
          <w:rStyle w:val="Characterclear"/>
        </w:rPr>
        <w:t>for example, where police, security guards or surveillance cameras were present)</w:t>
      </w:r>
      <w:r w:rsidR="00B566AC">
        <w:rPr>
          <w:rStyle w:val="Characterclear"/>
        </w:rPr>
        <w:t>.</w:t>
      </w:r>
      <w:r w:rsidR="0014200D">
        <w:rPr>
          <w:rStyle w:val="EndnoteReference"/>
          <w:lang w:eastAsia="en-AU"/>
        </w:rPr>
        <w:endnoteReference w:id="89"/>
      </w:r>
    </w:p>
    <w:p w14:paraId="7E92619F" w14:textId="77777777" w:rsidR="00CE23FA" w:rsidRDefault="00CE23FA" w:rsidP="00F3753A">
      <w:pPr>
        <w:pStyle w:val="BodyText"/>
        <w:rPr>
          <w:rStyle w:val="Characterclear"/>
        </w:rPr>
      </w:pPr>
    </w:p>
    <w:p w14:paraId="14AB7E97" w14:textId="4B32FFF6" w:rsidR="000D3D33" w:rsidRDefault="000D3D33" w:rsidP="00F3753A">
      <w:pPr>
        <w:pStyle w:val="BodyText"/>
        <w:rPr>
          <w:rStyle w:val="Characterclear"/>
        </w:rPr>
      </w:pPr>
      <w:r>
        <w:rPr>
          <w:rStyle w:val="Characterclear"/>
        </w:rPr>
        <w:lastRenderedPageBreak/>
        <w:t xml:space="preserve">The report also revealed there were 147 verified </w:t>
      </w:r>
      <w:r w:rsidRPr="000D3D33">
        <w:rPr>
          <w:rStyle w:val="Characterbold"/>
        </w:rPr>
        <w:t>online cases</w:t>
      </w:r>
      <w:r>
        <w:rPr>
          <w:rStyle w:val="Characterclear"/>
        </w:rPr>
        <w:t xml:space="preserve"> </w:t>
      </w:r>
      <w:r w:rsidR="00835FC5">
        <w:rPr>
          <w:rStyle w:val="Characterclear"/>
        </w:rPr>
        <w:t>in which</w:t>
      </w:r>
      <w:r>
        <w:rPr>
          <w:rStyle w:val="Characterclear"/>
        </w:rPr>
        <w:t xml:space="preserve">: </w:t>
      </w:r>
    </w:p>
    <w:p w14:paraId="1959D068" w14:textId="5B6A29B0" w:rsidR="009A5CF5" w:rsidRDefault="00A337D8" w:rsidP="000D75B5">
      <w:pPr>
        <w:pStyle w:val="TableListBullet"/>
        <w:rPr>
          <w:rStyle w:val="Characterclear"/>
        </w:rPr>
      </w:pPr>
      <w:r>
        <w:rPr>
          <w:rStyle w:val="Characterclear"/>
        </w:rPr>
        <w:t>61 per cent of victims were women and 72 per cent of perpetrators were men</w:t>
      </w:r>
      <w:r>
        <w:rPr>
          <w:rStyle w:val="EndnoteReference"/>
          <w:lang w:eastAsia="en-AU"/>
        </w:rPr>
        <w:endnoteReference w:id="90"/>
      </w:r>
    </w:p>
    <w:p w14:paraId="12CE1C28" w14:textId="405959F7" w:rsidR="000D3D33" w:rsidRDefault="000D3D33" w:rsidP="000D75B5">
      <w:pPr>
        <w:pStyle w:val="TableListBullet"/>
        <w:rPr>
          <w:rStyle w:val="Characterclear"/>
        </w:rPr>
      </w:pPr>
      <w:r>
        <w:rPr>
          <w:rStyle w:val="Characterclear"/>
        </w:rPr>
        <w:t xml:space="preserve">82 per cent of incidents were reported by </w:t>
      </w:r>
      <w:r w:rsidR="000732EF">
        <w:rPr>
          <w:rStyle w:val="Characterclear"/>
        </w:rPr>
        <w:t xml:space="preserve">online </w:t>
      </w:r>
      <w:r>
        <w:rPr>
          <w:rStyle w:val="Characterclear"/>
        </w:rPr>
        <w:t>witnesses</w:t>
      </w:r>
      <w:r>
        <w:rPr>
          <w:rStyle w:val="EndnoteReference"/>
          <w:lang w:eastAsia="en-AU"/>
        </w:rPr>
        <w:endnoteReference w:id="91"/>
      </w:r>
    </w:p>
    <w:p w14:paraId="1ECE5C20" w14:textId="604EC8A1" w:rsidR="0014200D" w:rsidRDefault="00066D06" w:rsidP="000D75B5">
      <w:pPr>
        <w:pStyle w:val="TableListBullet"/>
        <w:rPr>
          <w:rStyle w:val="Characterclear"/>
        </w:rPr>
      </w:pPr>
      <w:r>
        <w:rPr>
          <w:rStyle w:val="Characterclear"/>
        </w:rPr>
        <w:t xml:space="preserve">Facebook was the most common </w:t>
      </w:r>
      <w:r w:rsidR="00A90297">
        <w:rPr>
          <w:rStyle w:val="Characterclear"/>
        </w:rPr>
        <w:t xml:space="preserve">online </w:t>
      </w:r>
      <w:r>
        <w:rPr>
          <w:rStyle w:val="Characterclear"/>
        </w:rPr>
        <w:t xml:space="preserve">platform </w:t>
      </w:r>
      <w:r w:rsidR="000732EF">
        <w:rPr>
          <w:rStyle w:val="Characterclear"/>
        </w:rPr>
        <w:t xml:space="preserve">for </w:t>
      </w:r>
      <w:r w:rsidR="00F12607">
        <w:rPr>
          <w:rStyle w:val="Characterclear"/>
        </w:rPr>
        <w:t>Islamophobia (63 per cent</w:t>
      </w:r>
      <w:r w:rsidR="00A90297">
        <w:rPr>
          <w:rStyle w:val="Characterclear"/>
        </w:rPr>
        <w:t xml:space="preserve"> of incidents</w:t>
      </w:r>
      <w:r w:rsidR="00F12607">
        <w:rPr>
          <w:rStyle w:val="Characterclear"/>
        </w:rPr>
        <w:t>)</w:t>
      </w:r>
      <w:r w:rsidR="00F12607">
        <w:rPr>
          <w:rStyle w:val="EndnoteReference"/>
          <w:lang w:eastAsia="en-AU"/>
        </w:rPr>
        <w:endnoteReference w:id="92"/>
      </w:r>
    </w:p>
    <w:p w14:paraId="5A50AE4C" w14:textId="2A453361" w:rsidR="00A90297" w:rsidRDefault="00A90297" w:rsidP="000D75B5">
      <w:pPr>
        <w:pStyle w:val="TableListBullet"/>
        <w:rPr>
          <w:rStyle w:val="Characterclear"/>
        </w:rPr>
      </w:pPr>
      <w:r>
        <w:rPr>
          <w:rStyle w:val="Characterclear"/>
        </w:rPr>
        <w:t xml:space="preserve">82 per cent of online </w:t>
      </w:r>
      <w:r w:rsidR="003F2CE1">
        <w:rPr>
          <w:rStyle w:val="Characterclear"/>
        </w:rPr>
        <w:t>incidents were to the Islamophobia Register Australia’s Facebook page</w:t>
      </w:r>
      <w:r w:rsidR="003F2CE1">
        <w:rPr>
          <w:rStyle w:val="EndnoteReference"/>
          <w:lang w:eastAsia="en-AU"/>
        </w:rPr>
        <w:endnoteReference w:id="93"/>
      </w:r>
    </w:p>
    <w:p w14:paraId="3BD0E2CF" w14:textId="492470BC" w:rsidR="00A337D8" w:rsidRDefault="00B9045E" w:rsidP="000D75B5">
      <w:pPr>
        <w:pStyle w:val="TableListBullet"/>
        <w:rPr>
          <w:rStyle w:val="Characterclear"/>
        </w:rPr>
      </w:pPr>
      <w:r>
        <w:rPr>
          <w:rStyle w:val="Characterclear"/>
        </w:rPr>
        <w:t xml:space="preserve">48 per cent spread </w:t>
      </w:r>
      <w:r w:rsidR="00D30ED3">
        <w:rPr>
          <w:rStyle w:val="Characterclear"/>
        </w:rPr>
        <w:t>Islamophobic</w:t>
      </w:r>
      <w:r>
        <w:rPr>
          <w:rStyle w:val="Characterclear"/>
        </w:rPr>
        <w:t xml:space="preserve"> r</w:t>
      </w:r>
      <w:r w:rsidR="00D30ED3">
        <w:rPr>
          <w:rStyle w:val="Characterclear"/>
        </w:rPr>
        <w:t>he</w:t>
      </w:r>
      <w:r>
        <w:rPr>
          <w:rStyle w:val="Characterclear"/>
        </w:rPr>
        <w:t>toric</w:t>
      </w:r>
      <w:r w:rsidR="00D30ED3">
        <w:rPr>
          <w:rStyle w:val="EndnoteReference"/>
          <w:lang w:eastAsia="en-AU"/>
        </w:rPr>
        <w:endnoteReference w:id="94"/>
      </w:r>
    </w:p>
    <w:p w14:paraId="439A0129" w14:textId="6182B5A6" w:rsidR="00262C87" w:rsidRDefault="006166C3" w:rsidP="00EB4BF4">
      <w:pPr>
        <w:pStyle w:val="TableListBullet"/>
        <w:numPr>
          <w:ilvl w:val="0"/>
          <w:numId w:val="0"/>
        </w:numPr>
        <w:ind w:left="57"/>
        <w:rPr>
          <w:rStyle w:val="Characterclear"/>
        </w:rPr>
      </w:pPr>
      <w:r>
        <w:rPr>
          <w:rStyle w:val="Characterclear"/>
        </w:rPr>
        <w:t>The</w:t>
      </w:r>
      <w:r w:rsidR="00262C87">
        <w:rPr>
          <w:rStyle w:val="Characterclear"/>
        </w:rPr>
        <w:t xml:space="preserve"> Online Hate Prevention Institute’s </w:t>
      </w:r>
      <w:r>
        <w:rPr>
          <w:rStyle w:val="Characterclear"/>
        </w:rPr>
        <w:t xml:space="preserve">earlier </w:t>
      </w:r>
      <w:r w:rsidR="00262C87">
        <w:rPr>
          <w:rStyle w:val="Characterclear"/>
        </w:rPr>
        <w:t>2015 ‘Spotlight on Anti-Muslim Internet Hate</w:t>
      </w:r>
      <w:r w:rsidR="00B30EB8">
        <w:rPr>
          <w:rStyle w:val="Characterclear"/>
        </w:rPr>
        <w:t xml:space="preserve"> Campaign’ </w:t>
      </w:r>
      <w:r w:rsidR="00201FE0">
        <w:rPr>
          <w:rStyle w:val="Characterclear"/>
        </w:rPr>
        <w:t xml:space="preserve">revealed 1,100 cases of </w:t>
      </w:r>
      <w:r>
        <w:rPr>
          <w:rStyle w:val="Characterclear"/>
        </w:rPr>
        <w:t>online hate</w:t>
      </w:r>
      <w:r w:rsidR="00201FE0">
        <w:rPr>
          <w:rStyle w:val="Characterclear"/>
        </w:rPr>
        <w:t xml:space="preserve"> over a 2</w:t>
      </w:r>
      <w:r w:rsidR="00B30EB8">
        <w:rPr>
          <w:rStyle w:val="Characterclear"/>
        </w:rPr>
        <w:t>-</w:t>
      </w:r>
      <w:r w:rsidR="00201FE0">
        <w:rPr>
          <w:rStyle w:val="Characterclear"/>
        </w:rPr>
        <w:t>month period.</w:t>
      </w:r>
      <w:r w:rsidR="00201FE0">
        <w:rPr>
          <w:rStyle w:val="EndnoteReference"/>
          <w:lang w:eastAsia="en-AU"/>
        </w:rPr>
        <w:endnoteReference w:id="95"/>
      </w:r>
    </w:p>
    <w:p w14:paraId="66F34354" w14:textId="4D3C3E3B" w:rsidR="00BF23B8" w:rsidRPr="004129CB" w:rsidRDefault="00BF23B8" w:rsidP="004129CB">
      <w:pPr>
        <w:pStyle w:val="Heading3"/>
        <w:rPr>
          <w:rStyle w:val="Characterbold"/>
          <w:b w:val="0"/>
        </w:rPr>
      </w:pPr>
      <w:r w:rsidRPr="004129CB">
        <w:rPr>
          <w:rStyle w:val="Characterbold"/>
          <w:b w:val="0"/>
        </w:rPr>
        <w:t xml:space="preserve">Jewish Victorians </w:t>
      </w:r>
    </w:p>
    <w:p w14:paraId="724D9166" w14:textId="2DD91E48" w:rsidR="00C23F00" w:rsidRDefault="00E27039" w:rsidP="00E27039">
      <w:pPr>
        <w:pStyle w:val="BodyText"/>
        <w:rPr>
          <w:rStyle w:val="Characterclear"/>
        </w:rPr>
      </w:pPr>
      <w:r w:rsidRPr="00E27039">
        <w:rPr>
          <w:rStyle w:val="Characterclear"/>
          <w:lang w:eastAsia="en-US"/>
        </w:rPr>
        <w:t xml:space="preserve">The 2019 Report on Antisemitism in Australia </w:t>
      </w:r>
      <w:r>
        <w:rPr>
          <w:rStyle w:val="Characterclear"/>
        </w:rPr>
        <w:t xml:space="preserve">revealed that </w:t>
      </w:r>
      <w:r w:rsidR="00CF32FB">
        <w:rPr>
          <w:rStyle w:val="Characterclear"/>
        </w:rPr>
        <w:t>in the 12-month</w:t>
      </w:r>
      <w:r w:rsidR="00E71703">
        <w:rPr>
          <w:rStyle w:val="Characterclear"/>
        </w:rPr>
        <w:t xml:space="preserve"> period</w:t>
      </w:r>
      <w:r w:rsidR="00CF32FB">
        <w:rPr>
          <w:rStyle w:val="Characterclear"/>
        </w:rPr>
        <w:t xml:space="preserve"> between October 2018 to September 2019</w:t>
      </w:r>
      <w:r w:rsidR="00E71703">
        <w:rPr>
          <w:rStyle w:val="Characterclear"/>
        </w:rPr>
        <w:t>, there were 368 anti</w:t>
      </w:r>
      <w:r w:rsidR="0053323C">
        <w:rPr>
          <w:rStyle w:val="Characterclear"/>
        </w:rPr>
        <w:t>-S</w:t>
      </w:r>
      <w:r w:rsidR="00E71703">
        <w:rPr>
          <w:rStyle w:val="Characterclear"/>
        </w:rPr>
        <w:t>emitic incidents logged</w:t>
      </w:r>
      <w:r w:rsidR="000732EF">
        <w:rPr>
          <w:rStyle w:val="Characterclear"/>
        </w:rPr>
        <w:t xml:space="preserve"> across Australia</w:t>
      </w:r>
      <w:r w:rsidR="007C6A5F">
        <w:rPr>
          <w:rStyle w:val="Characterclear"/>
        </w:rPr>
        <w:t>, including 225 attacks and 143 threats.</w:t>
      </w:r>
      <w:r w:rsidR="007C6A5F">
        <w:rPr>
          <w:rStyle w:val="EndnoteReference"/>
          <w:lang w:eastAsia="en-AU"/>
        </w:rPr>
        <w:endnoteReference w:id="96"/>
      </w:r>
      <w:r w:rsidR="00CF32FB">
        <w:rPr>
          <w:rStyle w:val="Characterclear"/>
        </w:rPr>
        <w:t xml:space="preserve"> </w:t>
      </w:r>
    </w:p>
    <w:p w14:paraId="356B4021" w14:textId="0159EFB5" w:rsidR="00C40D7D" w:rsidRDefault="00C40D7D" w:rsidP="00E27039">
      <w:pPr>
        <w:pStyle w:val="BodyText"/>
        <w:rPr>
          <w:rStyle w:val="Characterclear"/>
        </w:rPr>
      </w:pPr>
      <w:r>
        <w:rPr>
          <w:rStyle w:val="Characterclear"/>
        </w:rPr>
        <w:t xml:space="preserve">Of the 105 reported incidents in Victoria, the most common incidents were: </w:t>
      </w:r>
    </w:p>
    <w:p w14:paraId="546B1081" w14:textId="132E8E79" w:rsidR="00C40D7D" w:rsidRDefault="00656088" w:rsidP="000D75B5">
      <w:pPr>
        <w:pStyle w:val="ListBullet"/>
        <w:rPr>
          <w:rStyle w:val="Characterclear"/>
        </w:rPr>
      </w:pPr>
      <w:r>
        <w:rPr>
          <w:rStyle w:val="Characterclear"/>
        </w:rPr>
        <w:t>physical assault (2)</w:t>
      </w:r>
    </w:p>
    <w:p w14:paraId="7C1C716C" w14:textId="336E5E20" w:rsidR="00656088" w:rsidRDefault="00656088" w:rsidP="000D75B5">
      <w:pPr>
        <w:pStyle w:val="ListBullet"/>
        <w:rPr>
          <w:rStyle w:val="Characterclear"/>
        </w:rPr>
      </w:pPr>
      <w:r>
        <w:rPr>
          <w:rStyle w:val="Characterclear"/>
        </w:rPr>
        <w:t>abuse, harassment and intimidation (31)</w:t>
      </w:r>
    </w:p>
    <w:p w14:paraId="2C1DC060" w14:textId="7AB21D5B" w:rsidR="00656088" w:rsidRDefault="00656088" w:rsidP="000D75B5">
      <w:pPr>
        <w:pStyle w:val="ListBullet"/>
        <w:rPr>
          <w:rStyle w:val="Characterclear"/>
        </w:rPr>
      </w:pPr>
      <w:r>
        <w:rPr>
          <w:rStyle w:val="Characterclear"/>
        </w:rPr>
        <w:t>graffiti (38)</w:t>
      </w:r>
    </w:p>
    <w:p w14:paraId="1E1D260B" w14:textId="4DE9D985" w:rsidR="00656088" w:rsidRDefault="00656088" w:rsidP="000D75B5">
      <w:pPr>
        <w:pStyle w:val="ListBullet"/>
        <w:rPr>
          <w:rStyle w:val="Characterclear"/>
        </w:rPr>
      </w:pPr>
      <w:r>
        <w:rPr>
          <w:rStyle w:val="Characterclear"/>
        </w:rPr>
        <w:t>email or online threat (12)</w:t>
      </w:r>
    </w:p>
    <w:p w14:paraId="1F4AAF84" w14:textId="28E1B843" w:rsidR="00656088" w:rsidRDefault="00656088" w:rsidP="000D75B5">
      <w:pPr>
        <w:pStyle w:val="ListBullet"/>
        <w:rPr>
          <w:rStyle w:val="Characterclear"/>
        </w:rPr>
      </w:pPr>
      <w:r>
        <w:rPr>
          <w:rStyle w:val="Characterclear"/>
        </w:rPr>
        <w:t>telephone, text or fax threat (9)</w:t>
      </w:r>
    </w:p>
    <w:p w14:paraId="25B764C3" w14:textId="5C35B08C" w:rsidR="007653A6" w:rsidRDefault="00656088" w:rsidP="000D75B5">
      <w:pPr>
        <w:pStyle w:val="ListBullet"/>
        <w:rPr>
          <w:rStyle w:val="Characterclear"/>
        </w:rPr>
      </w:pPr>
      <w:r>
        <w:rPr>
          <w:rStyle w:val="Characterclear"/>
        </w:rPr>
        <w:t>leaflets, posters, stickers or other threat (</w:t>
      </w:r>
      <w:r w:rsidR="00C23F00">
        <w:rPr>
          <w:rStyle w:val="Characterclear"/>
        </w:rPr>
        <w:t>13).</w:t>
      </w:r>
      <w:r w:rsidR="007653A6">
        <w:rPr>
          <w:rStyle w:val="EndnoteReference"/>
          <w:lang w:eastAsia="en-AU"/>
        </w:rPr>
        <w:endnoteReference w:id="97"/>
      </w:r>
    </w:p>
    <w:p w14:paraId="1B2C3D92" w14:textId="297212B5" w:rsidR="0009058D" w:rsidRDefault="00996553" w:rsidP="00E27039">
      <w:pPr>
        <w:pStyle w:val="BodyText"/>
        <w:rPr>
          <w:rStyle w:val="Characterclear"/>
        </w:rPr>
      </w:pPr>
      <w:r>
        <w:rPr>
          <w:rStyle w:val="Characterclear"/>
        </w:rPr>
        <w:t>While the increase in incidents was small</w:t>
      </w:r>
      <w:r w:rsidR="00C23F00">
        <w:rPr>
          <w:rStyle w:val="Characterclear"/>
        </w:rPr>
        <w:t xml:space="preserve"> from the previous 12 months</w:t>
      </w:r>
      <w:r>
        <w:rPr>
          <w:rStyle w:val="Characterclear"/>
        </w:rPr>
        <w:t xml:space="preserve">, there was a marked increase in </w:t>
      </w:r>
      <w:r w:rsidR="00A64007">
        <w:rPr>
          <w:rStyle w:val="Characterclear"/>
        </w:rPr>
        <w:t>the more serious categorie</w:t>
      </w:r>
      <w:r w:rsidR="006556BC">
        <w:rPr>
          <w:rStyle w:val="Characterclear"/>
        </w:rPr>
        <w:t>s, including more than double the number of anti</w:t>
      </w:r>
      <w:r w:rsidR="0053323C">
        <w:rPr>
          <w:rStyle w:val="Characterclear"/>
        </w:rPr>
        <w:t>-S</w:t>
      </w:r>
      <w:r w:rsidR="006556BC">
        <w:rPr>
          <w:rStyle w:val="Characterclear"/>
        </w:rPr>
        <w:t>emitic graffiti attacks</w:t>
      </w:r>
      <w:r w:rsidR="00A64007">
        <w:rPr>
          <w:rStyle w:val="Characterclear"/>
        </w:rPr>
        <w:t>.</w:t>
      </w:r>
      <w:r w:rsidR="00657F4D">
        <w:rPr>
          <w:rStyle w:val="EndnoteReference"/>
          <w:lang w:eastAsia="en-AU"/>
        </w:rPr>
        <w:endnoteReference w:id="98"/>
      </w:r>
      <w:r w:rsidR="000E39B2">
        <w:rPr>
          <w:rStyle w:val="Characterclear"/>
        </w:rPr>
        <w:t xml:space="preserve"> Graffiti often called for the murder of Jews, including ‘Kill the Jews’</w:t>
      </w:r>
      <w:r w:rsidR="0066508F">
        <w:rPr>
          <w:rStyle w:val="Characterclear"/>
        </w:rPr>
        <w:t xml:space="preserve"> and ‘Gas the Kikes’ or included symbols</w:t>
      </w:r>
      <w:r w:rsidR="00CE23FA">
        <w:rPr>
          <w:rStyle w:val="Characterclear"/>
        </w:rPr>
        <w:t>,</w:t>
      </w:r>
      <w:r w:rsidR="0066508F">
        <w:rPr>
          <w:rStyle w:val="Characterclear"/>
        </w:rPr>
        <w:t xml:space="preserve"> such as swastikas.</w:t>
      </w:r>
      <w:r w:rsidR="0066508F">
        <w:rPr>
          <w:rStyle w:val="EndnoteReference"/>
          <w:lang w:eastAsia="en-AU"/>
        </w:rPr>
        <w:endnoteReference w:id="99"/>
      </w:r>
    </w:p>
    <w:p w14:paraId="55C6F1F9" w14:textId="6D0FB09B" w:rsidR="00AE1093" w:rsidRDefault="002844E9" w:rsidP="00E27039">
      <w:pPr>
        <w:pStyle w:val="BodyText"/>
        <w:rPr>
          <w:rStyle w:val="Characterclear"/>
        </w:rPr>
      </w:pPr>
      <w:r>
        <w:rPr>
          <w:rStyle w:val="Characterclear"/>
        </w:rPr>
        <w:t xml:space="preserve">The report also revealed </w:t>
      </w:r>
      <w:r w:rsidR="00C23F00">
        <w:rPr>
          <w:rStyle w:val="Characterclear"/>
        </w:rPr>
        <w:t>an increase in online hate</w:t>
      </w:r>
      <w:r w:rsidR="00BA63E8">
        <w:rPr>
          <w:rStyle w:val="Characterclear"/>
        </w:rPr>
        <w:t xml:space="preserve">, noting </w:t>
      </w:r>
      <w:r>
        <w:rPr>
          <w:rStyle w:val="Characterclear"/>
        </w:rPr>
        <w:t>that ‘the rise in anti</w:t>
      </w:r>
      <w:r w:rsidR="0053323C">
        <w:rPr>
          <w:rStyle w:val="Characterclear"/>
        </w:rPr>
        <w:t>-S</w:t>
      </w:r>
      <w:r>
        <w:rPr>
          <w:rStyle w:val="Characterclear"/>
        </w:rPr>
        <w:t>emitic and Nazi sentiment is seen even more clearly online especially on sites used by far-right, white supremacist, Nazis and other racists’.</w:t>
      </w:r>
      <w:r>
        <w:rPr>
          <w:rStyle w:val="EndnoteReference"/>
          <w:lang w:eastAsia="en-AU"/>
        </w:rPr>
        <w:endnoteReference w:id="100"/>
      </w:r>
      <w:r>
        <w:rPr>
          <w:rStyle w:val="Characterclear"/>
        </w:rPr>
        <w:t xml:space="preserve"> </w:t>
      </w:r>
      <w:r w:rsidR="00F24BC1">
        <w:rPr>
          <w:rStyle w:val="Characterclear"/>
        </w:rPr>
        <w:t xml:space="preserve">This digital </w:t>
      </w:r>
      <w:r w:rsidR="00D24343">
        <w:rPr>
          <w:rStyle w:val="Characterclear"/>
        </w:rPr>
        <w:t>anti-Semitism</w:t>
      </w:r>
      <w:r w:rsidR="00F24BC1">
        <w:rPr>
          <w:rStyle w:val="Characterclear"/>
        </w:rPr>
        <w:t xml:space="preserve"> appears to disproportionately </w:t>
      </w:r>
      <w:r w:rsidR="00EA5B7D">
        <w:rPr>
          <w:rStyle w:val="Characterclear"/>
        </w:rPr>
        <w:t>affect young Jewish Australians</w:t>
      </w:r>
      <w:r w:rsidR="00555521">
        <w:rPr>
          <w:rStyle w:val="Characterclear"/>
        </w:rPr>
        <w:t>. R</w:t>
      </w:r>
      <w:r w:rsidR="00D24343">
        <w:rPr>
          <w:rStyle w:val="Characterclear"/>
        </w:rPr>
        <w:t xml:space="preserve">ecent research found that </w:t>
      </w:r>
      <w:r w:rsidR="00EA5B7D">
        <w:rPr>
          <w:rStyle w:val="Characterclear"/>
        </w:rPr>
        <w:t>80</w:t>
      </w:r>
      <w:r w:rsidR="00555521">
        <w:rPr>
          <w:rStyle w:val="Characterclear"/>
        </w:rPr>
        <w:t xml:space="preserve"> per cent</w:t>
      </w:r>
      <w:r w:rsidR="00EA5B7D">
        <w:rPr>
          <w:rStyle w:val="Characterclear"/>
        </w:rPr>
        <w:t xml:space="preserve"> of young </w:t>
      </w:r>
      <w:r w:rsidR="0072795D">
        <w:rPr>
          <w:rStyle w:val="Characterclear"/>
        </w:rPr>
        <w:t>research participants witness</w:t>
      </w:r>
      <w:r w:rsidR="00555521">
        <w:rPr>
          <w:rStyle w:val="Characterclear"/>
        </w:rPr>
        <w:t xml:space="preserve">ed </w:t>
      </w:r>
      <w:r w:rsidR="00D24343">
        <w:rPr>
          <w:rStyle w:val="Characterclear"/>
        </w:rPr>
        <w:t>anti-Semitism</w:t>
      </w:r>
      <w:r w:rsidR="0072795D">
        <w:rPr>
          <w:rStyle w:val="Characterclear"/>
        </w:rPr>
        <w:t xml:space="preserve"> as opposed to </w:t>
      </w:r>
      <w:r w:rsidR="00115EA9">
        <w:rPr>
          <w:rStyle w:val="Characterclear"/>
        </w:rPr>
        <w:t>51</w:t>
      </w:r>
      <w:r w:rsidR="00555521">
        <w:rPr>
          <w:rStyle w:val="Characterclear"/>
        </w:rPr>
        <w:t xml:space="preserve"> per cent</w:t>
      </w:r>
      <w:r w:rsidR="00115EA9">
        <w:rPr>
          <w:rStyle w:val="Characterclear"/>
        </w:rPr>
        <w:t xml:space="preserve"> for all Jewish participants.</w:t>
      </w:r>
      <w:r w:rsidR="00D24343">
        <w:rPr>
          <w:rStyle w:val="EndnoteReference"/>
          <w:lang w:eastAsia="en-AU"/>
        </w:rPr>
        <w:endnoteReference w:id="101"/>
      </w:r>
      <w:r w:rsidR="00115EA9">
        <w:rPr>
          <w:rStyle w:val="Characterclear"/>
        </w:rPr>
        <w:t xml:space="preserve"> </w:t>
      </w:r>
      <w:r w:rsidR="00610461">
        <w:rPr>
          <w:rStyle w:val="Characterclear"/>
        </w:rPr>
        <w:t xml:space="preserve"> </w:t>
      </w:r>
    </w:p>
    <w:p w14:paraId="40123537" w14:textId="2367DD3B" w:rsidR="00970A77" w:rsidRDefault="00970A77" w:rsidP="00E27039">
      <w:pPr>
        <w:pStyle w:val="BodyText"/>
        <w:rPr>
          <w:rStyle w:val="Characterclear"/>
        </w:rPr>
      </w:pPr>
      <w:r>
        <w:rPr>
          <w:rStyle w:val="Characterclear"/>
        </w:rPr>
        <w:t>This creates a climate of fear within communities.</w:t>
      </w:r>
      <w:r w:rsidR="00334BDD">
        <w:rPr>
          <w:rStyle w:val="Characterclear"/>
        </w:rPr>
        <w:t xml:space="preserve"> </w:t>
      </w:r>
      <w:r w:rsidR="009F1F2D">
        <w:rPr>
          <w:rStyle w:val="Characterclear"/>
        </w:rPr>
        <w:t xml:space="preserve">During our </w:t>
      </w:r>
      <w:r w:rsidR="00334BDD">
        <w:rPr>
          <w:rStyle w:val="Characterclear"/>
        </w:rPr>
        <w:t>religious roundtable</w:t>
      </w:r>
      <w:r w:rsidR="009F1F2D">
        <w:rPr>
          <w:rStyle w:val="Characterclear"/>
        </w:rPr>
        <w:t xml:space="preserve"> in Melbourne</w:t>
      </w:r>
      <w:r w:rsidR="00334BDD">
        <w:rPr>
          <w:rStyle w:val="Characterclear"/>
        </w:rPr>
        <w:t xml:space="preserve">, a Jewish representative spoke about </w:t>
      </w:r>
      <w:r w:rsidR="00027183">
        <w:rPr>
          <w:rStyle w:val="Characterclear"/>
        </w:rPr>
        <w:t>communities feel</w:t>
      </w:r>
      <w:r w:rsidR="009F1F2D">
        <w:rPr>
          <w:rStyle w:val="Characterclear"/>
        </w:rPr>
        <w:t xml:space="preserve">ing </w:t>
      </w:r>
      <w:r w:rsidR="00027183">
        <w:rPr>
          <w:rStyle w:val="Characterclear"/>
        </w:rPr>
        <w:t>unsafe to congregate</w:t>
      </w:r>
      <w:r w:rsidR="00ED1D8E">
        <w:rPr>
          <w:rStyle w:val="Characterclear"/>
        </w:rPr>
        <w:t xml:space="preserve"> and feeing</w:t>
      </w:r>
      <w:r w:rsidR="00BC5696">
        <w:rPr>
          <w:rStyle w:val="Characterclear"/>
        </w:rPr>
        <w:t xml:space="preserve"> </w:t>
      </w:r>
      <w:r w:rsidR="00207FEE">
        <w:rPr>
          <w:rStyle w:val="Characterclear"/>
        </w:rPr>
        <w:t xml:space="preserve">compelled to enact intense security processes, such as checking the underside of cars for bombs. </w:t>
      </w:r>
    </w:p>
    <w:tbl>
      <w:tblPr>
        <w:tblStyle w:val="CustomTablebreakoutbox"/>
        <w:tblW w:w="0" w:type="auto"/>
        <w:tblLook w:val="04A0" w:firstRow="1" w:lastRow="0" w:firstColumn="1" w:lastColumn="0" w:noHBand="0" w:noVBand="1"/>
      </w:tblPr>
      <w:tblGrid>
        <w:gridCol w:w="9061"/>
      </w:tblGrid>
      <w:tr w:rsidR="00F12A1B" w14:paraId="2E9B67F1" w14:textId="77777777" w:rsidTr="00F12A1B">
        <w:tc>
          <w:tcPr>
            <w:tcW w:w="9061" w:type="dxa"/>
          </w:tcPr>
          <w:p w14:paraId="686EF05C" w14:textId="17E60DF1" w:rsidR="00F12A1B" w:rsidRDefault="00F12A1B" w:rsidP="00E27039">
            <w:pPr>
              <w:pStyle w:val="BodyText"/>
              <w:rPr>
                <w:rStyle w:val="Characterbold"/>
              </w:rPr>
            </w:pPr>
            <w:r>
              <w:rPr>
                <w:rStyle w:val="Characterbold"/>
              </w:rPr>
              <w:t>Examples of anti</w:t>
            </w:r>
            <w:r w:rsidR="0053323C">
              <w:rPr>
                <w:rStyle w:val="Characterbold"/>
              </w:rPr>
              <w:t>-S</w:t>
            </w:r>
            <w:r>
              <w:rPr>
                <w:rStyle w:val="Characterbold"/>
              </w:rPr>
              <w:t xml:space="preserve">emitic hate </w:t>
            </w:r>
          </w:p>
          <w:p w14:paraId="5201EAD9" w14:textId="19A30A6B" w:rsidR="00F12A1B" w:rsidRPr="00E23611" w:rsidRDefault="00E23611" w:rsidP="00F12A1B">
            <w:pPr>
              <w:pStyle w:val="BodyText"/>
              <w:rPr>
                <w:rStyle w:val="Characterclear"/>
              </w:rPr>
            </w:pPr>
            <w:r w:rsidRPr="00E23611">
              <w:rPr>
                <w:rStyle w:val="Characterclear"/>
              </w:rPr>
              <w:t xml:space="preserve">The </w:t>
            </w:r>
            <w:r>
              <w:rPr>
                <w:rStyle w:val="Characterclear"/>
              </w:rPr>
              <w:t xml:space="preserve">2019 Report on Antisemitism in Australia includes </w:t>
            </w:r>
            <w:r w:rsidR="0027186E">
              <w:rPr>
                <w:rStyle w:val="Characterclear"/>
              </w:rPr>
              <w:t>hundreds of examples of anti</w:t>
            </w:r>
            <w:r w:rsidR="0053323C">
              <w:rPr>
                <w:rStyle w:val="Characterclear"/>
              </w:rPr>
              <w:t>-S</w:t>
            </w:r>
            <w:r w:rsidR="0027186E">
              <w:rPr>
                <w:rStyle w:val="Characterclear"/>
              </w:rPr>
              <w:t>emitism in the 12-month reported period.</w:t>
            </w:r>
            <w:r w:rsidR="0027186E">
              <w:rPr>
                <w:rStyle w:val="EndnoteReference"/>
                <w:lang w:eastAsia="en-AU"/>
              </w:rPr>
              <w:endnoteReference w:id="102"/>
            </w:r>
            <w:r w:rsidR="0027186E">
              <w:rPr>
                <w:rStyle w:val="Characterclear"/>
              </w:rPr>
              <w:t xml:space="preserve"> For example: </w:t>
            </w:r>
          </w:p>
        </w:tc>
      </w:tr>
      <w:tr w:rsidR="0027186E" w14:paraId="09EF1F65" w14:textId="77777777" w:rsidTr="00F12A1B">
        <w:tc>
          <w:tcPr>
            <w:tcW w:w="9061" w:type="dxa"/>
          </w:tcPr>
          <w:p w14:paraId="7CB14E11" w14:textId="16DC6628" w:rsidR="0027186E" w:rsidRDefault="000E3807" w:rsidP="008E0922">
            <w:pPr>
              <w:pStyle w:val="ListBullet"/>
              <w:rPr>
                <w:rStyle w:val="Characterclear"/>
                <w:lang w:eastAsia="en-GB"/>
              </w:rPr>
            </w:pPr>
            <w:r w:rsidRPr="000E3807">
              <w:rPr>
                <w:rStyle w:val="Characterbold"/>
                <w:b w:val="0"/>
              </w:rPr>
              <w:t>A 12</w:t>
            </w:r>
            <w:r w:rsidR="00A641CA">
              <w:rPr>
                <w:rStyle w:val="Characterbold"/>
              </w:rPr>
              <w:t>-</w:t>
            </w:r>
            <w:r w:rsidRPr="000E3807">
              <w:rPr>
                <w:rStyle w:val="Characterbold"/>
                <w:b w:val="0"/>
              </w:rPr>
              <w:t xml:space="preserve">year-old Jewish boy at a </w:t>
            </w:r>
            <w:r w:rsidRPr="00880476">
              <w:rPr>
                <w:rStyle w:val="Characterclear"/>
              </w:rPr>
              <w:t>public school was</w:t>
            </w:r>
            <w:r w:rsidR="00880476" w:rsidRPr="00880476">
              <w:rPr>
                <w:rStyle w:val="Characterclear"/>
              </w:rPr>
              <w:t xml:space="preserve"> </w:t>
            </w:r>
            <w:r w:rsidR="00880476">
              <w:rPr>
                <w:rStyle w:val="Characterclear"/>
              </w:rPr>
              <w:t>assaulted in the corridor</w:t>
            </w:r>
            <w:r w:rsidR="00C77C0F">
              <w:rPr>
                <w:rStyle w:val="Characterclear"/>
              </w:rPr>
              <w:t xml:space="preserve"> requiring hospital treatment for his injuries. During the assault, the attacker shouted that he was ‘a cooked up Jewish cunt’</w:t>
            </w:r>
            <w:r w:rsidR="00B248BA">
              <w:rPr>
                <w:rStyle w:val="Characterclear"/>
              </w:rPr>
              <w:t>.</w:t>
            </w:r>
          </w:p>
          <w:p w14:paraId="50600C71" w14:textId="77777777" w:rsidR="00C77C0F" w:rsidRDefault="00A641CA" w:rsidP="008E0922">
            <w:pPr>
              <w:pStyle w:val="ListBullet"/>
              <w:rPr>
                <w:rStyle w:val="Characterclear"/>
              </w:rPr>
            </w:pPr>
            <w:r w:rsidRPr="00A641CA">
              <w:rPr>
                <w:rStyle w:val="Characterclear"/>
              </w:rPr>
              <w:lastRenderedPageBreak/>
              <w:t xml:space="preserve">A 75-year-old Jewish man was verbally abused in a carpark next to a </w:t>
            </w:r>
            <w:r>
              <w:rPr>
                <w:rStyle w:val="Characterclear"/>
              </w:rPr>
              <w:t>synagogue</w:t>
            </w:r>
            <w:r w:rsidR="00B248BA">
              <w:rPr>
                <w:rStyle w:val="Characterclear"/>
              </w:rPr>
              <w:t xml:space="preserve">, being told ‘Move your car, you fucking Jew bastard. I hate Jews’. </w:t>
            </w:r>
          </w:p>
          <w:p w14:paraId="56D4CF72" w14:textId="486DABE3" w:rsidR="00B248BA" w:rsidRDefault="00125377" w:rsidP="008E0922">
            <w:pPr>
              <w:pStyle w:val="ListBullet"/>
              <w:rPr>
                <w:rStyle w:val="Characterclear"/>
              </w:rPr>
            </w:pPr>
            <w:r>
              <w:rPr>
                <w:rStyle w:val="Characterclear"/>
              </w:rPr>
              <w:t>Two teenage boys harassed a Jewish teenager on a bus, saying ‘It’s a shame that Hitler didn’t kill all the Jews … we would go back and make sure he wipes them all out’. The boys followed her for two blocks when she got off the bus.</w:t>
            </w:r>
          </w:p>
          <w:p w14:paraId="30C3FE01" w14:textId="24371CFE" w:rsidR="00353F64" w:rsidRDefault="00AA4928" w:rsidP="008E0922">
            <w:pPr>
              <w:pStyle w:val="ListBullet"/>
              <w:rPr>
                <w:rStyle w:val="Characterclear"/>
              </w:rPr>
            </w:pPr>
            <w:r>
              <w:rPr>
                <w:rStyle w:val="Characterclear"/>
              </w:rPr>
              <w:t>A bus stop was graffitied with swastikas and ‘Kill all Arabs Kill all Jews’.</w:t>
            </w:r>
          </w:p>
          <w:p w14:paraId="28BB6EA6" w14:textId="77777777" w:rsidR="00AA4928" w:rsidRDefault="00C77396" w:rsidP="008E0922">
            <w:pPr>
              <w:pStyle w:val="ListBullet"/>
              <w:rPr>
                <w:rStyle w:val="Characterclear"/>
              </w:rPr>
            </w:pPr>
            <w:r>
              <w:rPr>
                <w:rStyle w:val="Characterclear"/>
              </w:rPr>
              <w:t xml:space="preserve">An antisemitic poster </w:t>
            </w:r>
            <w:r w:rsidR="006D6567">
              <w:rPr>
                <w:rStyle w:val="Characterclear"/>
              </w:rPr>
              <w:t>contained an image of a female with the words ‘She’s a bitch Jewish bitch please share’.</w:t>
            </w:r>
          </w:p>
          <w:p w14:paraId="0B6DAF6A" w14:textId="5B3151D7" w:rsidR="00BC5696" w:rsidRPr="0010310B" w:rsidRDefault="00AE1093" w:rsidP="00BC5696">
            <w:pPr>
              <w:pStyle w:val="ListBullet"/>
              <w:rPr>
                <w:rStyle w:val="Characterclear"/>
              </w:rPr>
            </w:pPr>
            <w:r>
              <w:rPr>
                <w:rStyle w:val="Characterclear"/>
              </w:rPr>
              <w:t>One participant in the Commission’s online survey told us that</w:t>
            </w:r>
            <w:r w:rsidR="0010310B">
              <w:rPr>
                <w:rStyle w:val="Characterclear"/>
              </w:rPr>
              <w:t xml:space="preserve"> she had </w:t>
            </w:r>
            <w:r w:rsidR="00C731BA">
              <w:rPr>
                <w:rStyle w:val="Characterclear"/>
              </w:rPr>
              <w:t xml:space="preserve">experienced </w:t>
            </w:r>
            <w:r w:rsidR="00C731BA" w:rsidRPr="00AE1093">
              <w:rPr>
                <w:lang w:val="en-GB" w:eastAsia="en-AU"/>
              </w:rPr>
              <w:t>‘</w:t>
            </w:r>
            <w:r w:rsidRPr="00AE1093">
              <w:rPr>
                <w:lang w:eastAsia="en-AU"/>
              </w:rPr>
              <w:t>anti-Semitic</w:t>
            </w:r>
            <w:r w:rsidRPr="00AE1093">
              <w:rPr>
                <w:lang w:val="en-GB" w:eastAsia="en-AU"/>
              </w:rPr>
              <w:t xml:space="preserve"> slurs on multiple occasions and had eggs thrown at me from a car while standing outside a synagogue</w:t>
            </w:r>
            <w:r w:rsidR="0010310B">
              <w:t>’</w:t>
            </w:r>
            <w:r w:rsidRPr="00AE1093">
              <w:rPr>
                <w:lang w:val="en-GB" w:eastAsia="en-AU"/>
              </w:rPr>
              <w:t>.</w:t>
            </w:r>
          </w:p>
        </w:tc>
      </w:tr>
    </w:tbl>
    <w:p w14:paraId="6A28F9EC" w14:textId="331CB75A" w:rsidR="00BF23B8" w:rsidRDefault="002D3ADF" w:rsidP="004129CB">
      <w:pPr>
        <w:pStyle w:val="Heading3"/>
      </w:pPr>
      <w:r>
        <w:lastRenderedPageBreak/>
        <w:t>African communities</w:t>
      </w:r>
    </w:p>
    <w:p w14:paraId="1A594D82" w14:textId="1E157B98" w:rsidR="00FE1D96" w:rsidRDefault="00672858" w:rsidP="00444C4E">
      <w:pPr>
        <w:pStyle w:val="BodyText"/>
        <w:rPr>
          <w:rStyle w:val="Characterclear"/>
          <w:lang w:eastAsia="en-US"/>
        </w:rPr>
      </w:pPr>
      <w:r>
        <w:rPr>
          <w:rStyle w:val="Characterclear"/>
        </w:rPr>
        <w:t>African</w:t>
      </w:r>
      <w:r w:rsidR="001044B6">
        <w:rPr>
          <w:rStyle w:val="Characterclear"/>
        </w:rPr>
        <w:t xml:space="preserve"> Victorian</w:t>
      </w:r>
      <w:r>
        <w:rPr>
          <w:rStyle w:val="Characterclear"/>
        </w:rPr>
        <w:t xml:space="preserve"> communities have highlighted </w:t>
      </w:r>
      <w:r w:rsidR="00C25FFF">
        <w:rPr>
          <w:rStyle w:val="Characterclear"/>
        </w:rPr>
        <w:t>sustained</w:t>
      </w:r>
      <w:r>
        <w:rPr>
          <w:rStyle w:val="Characterclear"/>
        </w:rPr>
        <w:t xml:space="preserve"> experiences of hate and vilification</w:t>
      </w:r>
      <w:r w:rsidR="001044B6">
        <w:rPr>
          <w:rStyle w:val="Characterclear"/>
        </w:rPr>
        <w:t xml:space="preserve">, </w:t>
      </w:r>
      <w:r w:rsidR="002E7EE8">
        <w:rPr>
          <w:rStyle w:val="Characterclear"/>
        </w:rPr>
        <w:t xml:space="preserve">partly driven by </w:t>
      </w:r>
      <w:r w:rsidR="009E39C9">
        <w:rPr>
          <w:rStyle w:val="Characterclear"/>
        </w:rPr>
        <w:t xml:space="preserve">political and media </w:t>
      </w:r>
      <w:r w:rsidR="00C25FFF">
        <w:rPr>
          <w:rStyle w:val="Characterclear"/>
        </w:rPr>
        <w:t xml:space="preserve">attention </w:t>
      </w:r>
      <w:r w:rsidR="00B52F99">
        <w:rPr>
          <w:rStyle w:val="Characterclear"/>
        </w:rPr>
        <w:t xml:space="preserve">on </w:t>
      </w:r>
      <w:r w:rsidR="00CE23FA">
        <w:rPr>
          <w:rStyle w:val="Characterclear"/>
        </w:rPr>
        <w:t>‘</w:t>
      </w:r>
      <w:r w:rsidR="00B52F99">
        <w:rPr>
          <w:rStyle w:val="Characterclear"/>
        </w:rPr>
        <w:t>African gangs</w:t>
      </w:r>
      <w:r w:rsidR="00CE23FA">
        <w:rPr>
          <w:rStyle w:val="Characterclear"/>
        </w:rPr>
        <w:t>’</w:t>
      </w:r>
      <w:r w:rsidR="00B52F99">
        <w:rPr>
          <w:rStyle w:val="Characterclear"/>
        </w:rPr>
        <w:t xml:space="preserve"> in recent years fuelling negatively perceptions of</w:t>
      </w:r>
      <w:r w:rsidR="001947F3">
        <w:rPr>
          <w:rStyle w:val="Characterclear"/>
        </w:rPr>
        <w:t xml:space="preserve"> the community</w:t>
      </w:r>
      <w:r w:rsidR="00B52F99">
        <w:rPr>
          <w:rStyle w:val="Characterclear"/>
        </w:rPr>
        <w:t xml:space="preserve"> and racial abuse</w:t>
      </w:r>
      <w:r w:rsidR="001947F3">
        <w:rPr>
          <w:rStyle w:val="Characterclear"/>
        </w:rPr>
        <w:t xml:space="preserve">. </w:t>
      </w:r>
      <w:r w:rsidR="00B264F1" w:rsidRPr="00B264F1">
        <w:t>The Centre for Multicultural Youth’s 2016 report on growing up South Sudanese in Victoria found that as a consequence of racialised media coverage of the 2016 Moomba ‘riot’, young South Sudanese Australians have been subject to increased racial abuse in public settings.</w:t>
      </w:r>
      <w:r w:rsidR="00B264F1" w:rsidRPr="00B264F1">
        <w:rPr>
          <w:rStyle w:val="EndnoteReference"/>
        </w:rPr>
        <w:endnoteReference w:id="103"/>
      </w:r>
      <w:r w:rsidR="00B264F1" w:rsidRPr="00B264F1">
        <w:t xml:space="preserve"> Examples included hate crimes </w:t>
      </w:r>
      <w:r w:rsidR="001947F3">
        <w:t>against individuals and</w:t>
      </w:r>
      <w:r w:rsidR="00B264F1" w:rsidRPr="00B264F1">
        <w:t xml:space="preserve"> their siblings on public transport and in public spaces.</w:t>
      </w:r>
      <w:r w:rsidR="00B264F1" w:rsidRPr="00B264F1">
        <w:rPr>
          <w:rStyle w:val="EndnoteReference"/>
        </w:rPr>
        <w:endnoteReference w:id="104"/>
      </w:r>
    </w:p>
    <w:p w14:paraId="626A71C4" w14:textId="3CCD7244" w:rsidR="003E3599" w:rsidRPr="003E3599" w:rsidRDefault="00164634" w:rsidP="003E3599">
      <w:pPr>
        <w:pStyle w:val="BodyText"/>
        <w:rPr>
          <w:rStyle w:val="Characterclear"/>
        </w:rPr>
      </w:pPr>
      <w:r>
        <w:rPr>
          <w:rStyle w:val="Characterclear"/>
        </w:rPr>
        <w:t>C</w:t>
      </w:r>
      <w:r w:rsidR="00B264F1" w:rsidRPr="00B264F1">
        <w:rPr>
          <w:rStyle w:val="Characterclear"/>
        </w:rPr>
        <w:t xml:space="preserve">onsultations with African leaders </w:t>
      </w:r>
      <w:r>
        <w:rPr>
          <w:rStyle w:val="Characterclear"/>
        </w:rPr>
        <w:t>raised</w:t>
      </w:r>
      <w:r w:rsidR="00132280">
        <w:rPr>
          <w:rStyle w:val="Characterclear"/>
        </w:rPr>
        <w:t xml:space="preserve"> concerns about</w:t>
      </w:r>
      <w:r w:rsidR="00B264F1" w:rsidRPr="00B264F1">
        <w:rPr>
          <w:rStyle w:val="Characterclear"/>
        </w:rPr>
        <w:t xml:space="preserve"> </w:t>
      </w:r>
      <w:r w:rsidR="00A67741">
        <w:rPr>
          <w:rStyle w:val="Characterclear"/>
        </w:rPr>
        <w:t>intensified</w:t>
      </w:r>
      <w:r w:rsidR="00B264F1" w:rsidRPr="00B264F1">
        <w:rPr>
          <w:rStyle w:val="Characterclear"/>
        </w:rPr>
        <w:t xml:space="preserve"> </w:t>
      </w:r>
      <w:r w:rsidR="00132280">
        <w:rPr>
          <w:rStyle w:val="Characterclear"/>
        </w:rPr>
        <w:t xml:space="preserve">racial abuse in </w:t>
      </w:r>
      <w:r w:rsidR="00B264F1" w:rsidRPr="00B264F1">
        <w:rPr>
          <w:rStyle w:val="Characterclear"/>
        </w:rPr>
        <w:t>their communit</w:t>
      </w:r>
      <w:r>
        <w:rPr>
          <w:rStyle w:val="Characterclear"/>
        </w:rPr>
        <w:t>ies</w:t>
      </w:r>
      <w:r w:rsidR="00B264F1" w:rsidRPr="00B264F1">
        <w:rPr>
          <w:rStyle w:val="Characterclear"/>
        </w:rPr>
        <w:t>. For example, the Ballarat African Association told the Commission that the African community regularly experiences vilification at school, at work and in the broader community (</w:t>
      </w:r>
      <w:r w:rsidR="00D54B4B">
        <w:rPr>
          <w:rStyle w:val="Characterclear"/>
        </w:rPr>
        <w:t>e.g.</w:t>
      </w:r>
      <w:r w:rsidR="00B264F1" w:rsidRPr="00B264F1">
        <w:rPr>
          <w:rStyle w:val="Characterclear"/>
        </w:rPr>
        <w:t xml:space="preserve"> shopping centres) such as ‘go back to where you came from</w:t>
      </w:r>
      <w:r w:rsidR="001E1D3C">
        <w:rPr>
          <w:rStyle w:val="Characterclear"/>
        </w:rPr>
        <w:t>!</w:t>
      </w:r>
      <w:r w:rsidR="00B264F1" w:rsidRPr="00B264F1">
        <w:rPr>
          <w:rStyle w:val="Characterclear"/>
        </w:rPr>
        <w:t>’.</w:t>
      </w:r>
      <w:r w:rsidR="00B264F1" w:rsidRPr="00B264F1">
        <w:rPr>
          <w:rStyle w:val="EndnoteReference"/>
        </w:rPr>
        <w:endnoteReference w:id="105"/>
      </w:r>
      <w:r w:rsidR="00B264F1">
        <w:rPr>
          <w:rStyle w:val="Characterclear"/>
        </w:rPr>
        <w:t xml:space="preserve"> During consultations </w:t>
      </w:r>
      <w:r w:rsidR="00A67741">
        <w:rPr>
          <w:rStyle w:val="Characterclear"/>
        </w:rPr>
        <w:t>to inform the</w:t>
      </w:r>
      <w:r w:rsidR="00B264F1">
        <w:rPr>
          <w:rStyle w:val="Characterclear"/>
        </w:rPr>
        <w:t xml:space="preserve"> Commission’s MMEAP, one participant told us:</w:t>
      </w:r>
    </w:p>
    <w:p w14:paraId="61C884DD" w14:textId="3A16E798" w:rsidR="00B264F1" w:rsidRPr="00B264F1" w:rsidRDefault="00CE23FA" w:rsidP="001E1D3C">
      <w:pPr>
        <w:pStyle w:val="BodyText"/>
        <w:ind w:left="720"/>
        <w:rPr>
          <w:rStyle w:val="Characterclear"/>
          <w:rFonts w:cs="Times New Roman"/>
          <w:szCs w:val="24"/>
        </w:rPr>
      </w:pPr>
      <w:r>
        <w:t>‘</w:t>
      </w:r>
      <w:r w:rsidR="00B264F1" w:rsidRPr="00B264F1">
        <w:t>Racism comes up regularly with these young people, in particular for young people from African backgrounds and who are Muslim. Its systemic racism and everyday racism, and a general feeling of “otherness”. It is occurring in the education sector, on public transport, young people are being stopped in stores, stopped on trains, stopped at airports.</w:t>
      </w:r>
      <w:r>
        <w:t>’</w:t>
      </w:r>
    </w:p>
    <w:p w14:paraId="23ED5BBC" w14:textId="62FC69BD" w:rsidR="00B264F1" w:rsidRDefault="00621B2D" w:rsidP="004F4B01">
      <w:pPr>
        <w:pStyle w:val="BodyText"/>
      </w:pPr>
      <w:r>
        <w:rPr>
          <w:rStyle w:val="Characterclear"/>
        </w:rPr>
        <w:t>A recurring theme during our</w:t>
      </w:r>
      <w:r w:rsidR="00B264F1" w:rsidRPr="00B264F1">
        <w:rPr>
          <w:rStyle w:val="Characterclear"/>
        </w:rPr>
        <w:t xml:space="preserve"> focus groups</w:t>
      </w:r>
      <w:r>
        <w:rPr>
          <w:rStyle w:val="Characterclear"/>
        </w:rPr>
        <w:t xml:space="preserve"> </w:t>
      </w:r>
      <w:r w:rsidR="000D65BD">
        <w:rPr>
          <w:rStyle w:val="Characterclear"/>
        </w:rPr>
        <w:t>on the RRTA</w:t>
      </w:r>
      <w:r w:rsidR="00B264F1" w:rsidRPr="00B264F1">
        <w:rPr>
          <w:rStyle w:val="Characterclear"/>
        </w:rPr>
        <w:t xml:space="preserve">, </w:t>
      </w:r>
      <w:r w:rsidR="000D65BD">
        <w:rPr>
          <w:rStyle w:val="Characterclear"/>
        </w:rPr>
        <w:t xml:space="preserve">was the targeting </w:t>
      </w:r>
      <w:r w:rsidR="00B264F1" w:rsidRPr="00B264F1">
        <w:rPr>
          <w:rStyle w:val="Characterclear"/>
        </w:rPr>
        <w:t>of Muslim Africans, in particular women</w:t>
      </w:r>
      <w:r w:rsidR="00190073">
        <w:rPr>
          <w:rStyle w:val="Characterclear"/>
        </w:rPr>
        <w:t>,</w:t>
      </w:r>
      <w:r w:rsidR="008E31C8">
        <w:rPr>
          <w:rStyle w:val="Characterclear"/>
        </w:rPr>
        <w:t xml:space="preserve"> whose experience of vilification is</w:t>
      </w:r>
      <w:r w:rsidR="00190073">
        <w:rPr>
          <w:rStyle w:val="Characterclear"/>
        </w:rPr>
        <w:t xml:space="preserve"> intersectional </w:t>
      </w:r>
      <w:r w:rsidR="001D02A4">
        <w:rPr>
          <w:rStyle w:val="Characterclear"/>
        </w:rPr>
        <w:t>(based on the overlap and her race, religion and gender)</w:t>
      </w:r>
      <w:r w:rsidR="00757B26">
        <w:rPr>
          <w:rStyle w:val="Characterclear"/>
        </w:rPr>
        <w:t>,</w:t>
      </w:r>
      <w:r w:rsidR="00190073">
        <w:rPr>
          <w:rStyle w:val="Characterclear"/>
        </w:rPr>
        <w:t xml:space="preserve"> </w:t>
      </w:r>
      <w:r w:rsidR="00757B26">
        <w:rPr>
          <w:rStyle w:val="Characterclear"/>
        </w:rPr>
        <w:t xml:space="preserve">significantly </w:t>
      </w:r>
      <w:r w:rsidR="00B40E6C">
        <w:rPr>
          <w:rStyle w:val="Characterclear"/>
        </w:rPr>
        <w:t>compounding the</w:t>
      </w:r>
      <w:r w:rsidR="00190073">
        <w:rPr>
          <w:rStyle w:val="Characterclear"/>
        </w:rPr>
        <w:t xml:space="preserve"> impact of </w:t>
      </w:r>
      <w:r w:rsidR="00B40E6C">
        <w:rPr>
          <w:rStyle w:val="Characterclear"/>
        </w:rPr>
        <w:t>the conduct</w:t>
      </w:r>
      <w:r w:rsidR="00B264F1" w:rsidRPr="00B264F1">
        <w:rPr>
          <w:rStyle w:val="Characterclear"/>
        </w:rPr>
        <w:t xml:space="preserve">. </w:t>
      </w:r>
      <w:r w:rsidR="00D407C6">
        <w:rPr>
          <w:rStyle w:val="Characterclear"/>
        </w:rPr>
        <w:t>A</w:t>
      </w:r>
      <w:r w:rsidR="008D36D5">
        <w:rPr>
          <w:rStyle w:val="Characterclear"/>
        </w:rPr>
        <w:t>s a</w:t>
      </w:r>
      <w:r w:rsidR="00D407C6">
        <w:rPr>
          <w:rStyle w:val="Characterclear"/>
        </w:rPr>
        <w:t xml:space="preserve"> participant </w:t>
      </w:r>
      <w:r w:rsidR="00B264F1" w:rsidRPr="00B264F1">
        <w:rPr>
          <w:rStyle w:val="Characterclear"/>
        </w:rPr>
        <w:t>highlighted</w:t>
      </w:r>
      <w:r w:rsidR="008D36D5">
        <w:rPr>
          <w:rStyle w:val="Characterclear"/>
        </w:rPr>
        <w:t>,</w:t>
      </w:r>
      <w:r w:rsidR="00B264F1" w:rsidRPr="00B264F1">
        <w:rPr>
          <w:rStyle w:val="Characterclear"/>
        </w:rPr>
        <w:t xml:space="preserve"> African women experience multiple forms of oppression, as well as multiple barriers to reporting and addressing that oppression.</w:t>
      </w:r>
      <w:r w:rsidR="00B264F1" w:rsidRPr="00B264F1">
        <w:rPr>
          <w:rStyle w:val="EndnoteReference"/>
        </w:rPr>
        <w:endnoteReference w:id="106"/>
      </w:r>
      <w:r w:rsidR="00B264F1" w:rsidRPr="00672858" w:rsidDel="00B264F1">
        <w:t xml:space="preserve"> </w:t>
      </w:r>
    </w:p>
    <w:p w14:paraId="0B9CF5D6" w14:textId="4C9A9248" w:rsidR="009D3625" w:rsidRDefault="003A1C18" w:rsidP="008C374F">
      <w:pPr>
        <w:pStyle w:val="BodyText"/>
        <w:rPr>
          <w:rStyle w:val="Characterclear"/>
        </w:rPr>
      </w:pPr>
      <w:r>
        <w:rPr>
          <w:rStyle w:val="Characterclear"/>
        </w:rPr>
        <w:t xml:space="preserve">An interview with </w:t>
      </w:r>
      <w:r w:rsidR="00587794">
        <w:rPr>
          <w:rStyle w:val="Characterclear"/>
        </w:rPr>
        <w:t xml:space="preserve">a young African community leader </w:t>
      </w:r>
      <w:r w:rsidR="00BB5AE2">
        <w:rPr>
          <w:rStyle w:val="Characterclear"/>
        </w:rPr>
        <w:t>highlighted the impact</w:t>
      </w:r>
      <w:r w:rsidR="00ED0ED2">
        <w:rPr>
          <w:rStyle w:val="Characterclear"/>
        </w:rPr>
        <w:t xml:space="preserve"> that hate</w:t>
      </w:r>
      <w:r w:rsidR="00BB5AE2">
        <w:rPr>
          <w:rStyle w:val="Characterclear"/>
        </w:rPr>
        <w:t xml:space="preserve"> may be having on young </w:t>
      </w:r>
      <w:r w:rsidR="00CA6A52">
        <w:rPr>
          <w:rStyle w:val="Characterclear"/>
        </w:rPr>
        <w:t xml:space="preserve">lives. </w:t>
      </w:r>
      <w:r w:rsidR="009D3625">
        <w:rPr>
          <w:rStyle w:val="Characterclear"/>
        </w:rPr>
        <w:t>They told us:</w:t>
      </w:r>
    </w:p>
    <w:p w14:paraId="4D66FCD1" w14:textId="008E35F7" w:rsidR="00932399" w:rsidRDefault="009D3625" w:rsidP="00336D27">
      <w:pPr>
        <w:pStyle w:val="BodyText"/>
        <w:ind w:left="720"/>
      </w:pPr>
      <w:r>
        <w:rPr>
          <w:rStyle w:val="Characterclear"/>
        </w:rPr>
        <w:t>on</w:t>
      </w:r>
      <w:r w:rsidR="00CA6A52">
        <w:rPr>
          <w:rStyle w:val="Characterclear"/>
        </w:rPr>
        <w:t xml:space="preserve"> the one hand, it may </w:t>
      </w:r>
      <w:r w:rsidR="00ED0ED2">
        <w:rPr>
          <w:rStyle w:val="Characterclear"/>
        </w:rPr>
        <w:t>cause</w:t>
      </w:r>
      <w:r w:rsidR="00CA6A52">
        <w:rPr>
          <w:rStyle w:val="Characterclear"/>
        </w:rPr>
        <w:t xml:space="preserve"> individuals retreat and become sile</w:t>
      </w:r>
      <w:r w:rsidR="00F820E6">
        <w:rPr>
          <w:rStyle w:val="Characterclear"/>
        </w:rPr>
        <w:t xml:space="preserve">nt. On the other hand, </w:t>
      </w:r>
      <w:r w:rsidR="00ED0ED2">
        <w:rPr>
          <w:rStyle w:val="Characterclear"/>
        </w:rPr>
        <w:t>young people</w:t>
      </w:r>
      <w:r w:rsidR="00F820E6">
        <w:rPr>
          <w:rStyle w:val="Characterclear"/>
        </w:rPr>
        <w:t xml:space="preserve"> may</w:t>
      </w:r>
      <w:r w:rsidR="00E83627">
        <w:rPr>
          <w:rStyle w:val="Characterclear"/>
        </w:rPr>
        <w:t xml:space="preserve"> be driven </w:t>
      </w:r>
      <w:r w:rsidR="004D4EA4">
        <w:rPr>
          <w:rStyle w:val="Characterclear"/>
        </w:rPr>
        <w:t xml:space="preserve">away from their community and </w:t>
      </w:r>
      <w:r w:rsidR="00BC01E1">
        <w:rPr>
          <w:rStyle w:val="Characterclear"/>
        </w:rPr>
        <w:t>lose faith in institutions</w:t>
      </w:r>
      <w:r w:rsidR="00974B0E">
        <w:rPr>
          <w:rStyle w:val="Characterclear"/>
        </w:rPr>
        <w:t xml:space="preserve"> and </w:t>
      </w:r>
      <w:r w:rsidR="004E6F47">
        <w:rPr>
          <w:rStyle w:val="Characterclear"/>
        </w:rPr>
        <w:t xml:space="preserve">have </w:t>
      </w:r>
      <w:r w:rsidR="00974B0E">
        <w:rPr>
          <w:rStyle w:val="Characterclear"/>
        </w:rPr>
        <w:t>few avenues to communicate their anger</w:t>
      </w:r>
      <w:r w:rsidR="00336D27">
        <w:rPr>
          <w:rStyle w:val="Characterclear"/>
        </w:rPr>
        <w:t>.</w:t>
      </w:r>
      <w:r w:rsidR="00974B0E">
        <w:rPr>
          <w:rStyle w:val="Characterclear"/>
        </w:rPr>
        <w:t xml:space="preserve"> </w:t>
      </w:r>
      <w:r w:rsidR="00336D27">
        <w:rPr>
          <w:rStyle w:val="Characterclear"/>
        </w:rPr>
        <w:t>T</w:t>
      </w:r>
      <w:r w:rsidR="00974B0E">
        <w:rPr>
          <w:rStyle w:val="Characterclear"/>
        </w:rPr>
        <w:t>hey</w:t>
      </w:r>
      <w:r w:rsidR="00336D27">
        <w:rPr>
          <w:rStyle w:val="Characterclear"/>
        </w:rPr>
        <w:t xml:space="preserve"> may</w:t>
      </w:r>
      <w:r w:rsidR="00974B0E">
        <w:rPr>
          <w:rStyle w:val="Characterclear"/>
        </w:rPr>
        <w:t xml:space="preserve"> </w:t>
      </w:r>
      <w:r w:rsidR="004E6F47">
        <w:rPr>
          <w:rStyle w:val="Characterclear"/>
        </w:rPr>
        <w:t xml:space="preserve">make decisions </w:t>
      </w:r>
      <w:r w:rsidR="00336D27">
        <w:rPr>
          <w:rStyle w:val="Characterclear"/>
        </w:rPr>
        <w:t xml:space="preserve">that </w:t>
      </w:r>
      <w:r w:rsidR="00974B0E">
        <w:rPr>
          <w:rStyle w:val="Characterclear"/>
        </w:rPr>
        <w:t>attract the law, which can create further problems for them.</w:t>
      </w:r>
      <w:r w:rsidR="007709CF">
        <w:rPr>
          <w:rStyle w:val="EndnoteReference"/>
        </w:rPr>
        <w:endnoteReference w:id="107"/>
      </w:r>
    </w:p>
    <w:tbl>
      <w:tblPr>
        <w:tblStyle w:val="CustomTablebreakoutbox"/>
        <w:tblW w:w="0" w:type="auto"/>
        <w:tblLook w:val="04A0" w:firstRow="1" w:lastRow="0" w:firstColumn="1" w:lastColumn="0" w:noHBand="0" w:noVBand="1"/>
      </w:tblPr>
      <w:tblGrid>
        <w:gridCol w:w="9071"/>
      </w:tblGrid>
      <w:tr w:rsidR="00932399" w:rsidRPr="00A0182A" w14:paraId="6A2F7A5F" w14:textId="77777777" w:rsidTr="00B10D14">
        <w:tc>
          <w:tcPr>
            <w:tcW w:w="9071" w:type="dxa"/>
          </w:tcPr>
          <w:p w14:paraId="53234A1E" w14:textId="77777777" w:rsidR="00932399" w:rsidRPr="00932399" w:rsidRDefault="00932399" w:rsidP="00932399">
            <w:pPr>
              <w:pStyle w:val="Heading4"/>
              <w:outlineLvl w:val="3"/>
            </w:pPr>
            <w:r w:rsidRPr="00932399">
              <w:lastRenderedPageBreak/>
              <w:t>Reporting Racism: What you say matters</w:t>
            </w:r>
          </w:p>
          <w:p w14:paraId="0BDF3486" w14:textId="77777777" w:rsidR="00932399" w:rsidRPr="00932399" w:rsidRDefault="00932399" w:rsidP="00932399">
            <w:pPr>
              <w:pStyle w:val="BodyTextindent"/>
              <w:ind w:left="0"/>
            </w:pPr>
            <w:r w:rsidRPr="00932399">
              <w:t>In 2013 the Commission published a report on racism in Victoria, Reporting racism: What you say matters.</w:t>
            </w:r>
            <w:r w:rsidRPr="00932399">
              <w:rPr>
                <w:rStyle w:val="Charactersuperscript"/>
              </w:rPr>
              <w:endnoteReference w:id="108"/>
            </w:r>
            <w:r w:rsidRPr="00932399">
              <w:rPr>
                <w:rStyle w:val="Charactersuperscript"/>
              </w:rPr>
              <w:t xml:space="preserve"> </w:t>
            </w:r>
            <w:r w:rsidRPr="00932399">
              <w:t>By conducting interviews, online surveys and examining online content, we found:</w:t>
            </w:r>
          </w:p>
          <w:p w14:paraId="0CEEA112" w14:textId="501CA8C0" w:rsidR="00932399" w:rsidRPr="00932399" w:rsidRDefault="00932399" w:rsidP="00932399">
            <w:pPr>
              <w:pStyle w:val="BodyTextindent"/>
              <w:ind w:left="0"/>
            </w:pPr>
            <w:r w:rsidRPr="00932399">
              <w:t xml:space="preserve">123 people reported incidents </w:t>
            </w:r>
            <w:r w:rsidR="00C236F3">
              <w:t>of racism that</w:t>
            </w:r>
            <w:r w:rsidRPr="00932399">
              <w:t xml:space="preserve"> happened to them personally</w:t>
            </w:r>
            <w:r w:rsidR="00C236F3">
              <w:t>,</w:t>
            </w:r>
            <w:r w:rsidRPr="00932399">
              <w:t>102 people witnessed racism</w:t>
            </w:r>
            <w:r w:rsidR="00C236F3">
              <w:t xml:space="preserve"> and</w:t>
            </w:r>
            <w:r w:rsidRPr="00932399">
              <w:t xml:space="preserve"> 40 people saw or received racist materials.</w:t>
            </w:r>
            <w:r w:rsidRPr="00C236F3">
              <w:rPr>
                <w:rStyle w:val="Charactersuperscript"/>
              </w:rPr>
              <w:endnoteReference w:id="109"/>
            </w:r>
          </w:p>
          <w:p w14:paraId="39A5DF58" w14:textId="783DDAC8" w:rsidR="00932399" w:rsidRPr="00932399" w:rsidRDefault="00932399" w:rsidP="00932399">
            <w:pPr>
              <w:pStyle w:val="BodyTextindent"/>
              <w:ind w:left="0"/>
            </w:pPr>
            <w:r w:rsidRPr="00932399">
              <w:t>People told us that racism was most likely at work (32.4</w:t>
            </w:r>
            <w:r w:rsidR="007970C9">
              <w:t xml:space="preserve"> per cent</w:t>
            </w:r>
            <w:r w:rsidRPr="00932399">
              <w:t>) and in the streets (30.7</w:t>
            </w:r>
            <w:r w:rsidR="00336D27">
              <w:t xml:space="preserve"> per</w:t>
            </w:r>
            <w:r w:rsidR="007970C9">
              <w:t xml:space="preserve"> cent</w:t>
            </w:r>
            <w:r w:rsidRPr="00932399">
              <w:t>), with verbal abuse being the most common form of racism (57</w:t>
            </w:r>
            <w:r w:rsidR="007970C9">
              <w:t xml:space="preserve"> percent</w:t>
            </w:r>
            <w:r w:rsidRPr="00932399">
              <w:t xml:space="preserve"> of respondents reported).</w:t>
            </w:r>
          </w:p>
          <w:p w14:paraId="2B760877" w14:textId="77777777" w:rsidR="00932399" w:rsidRPr="00932399" w:rsidRDefault="00932399" w:rsidP="00932399">
            <w:pPr>
              <w:pStyle w:val="BodyTextindent"/>
              <w:ind w:left="0"/>
            </w:pPr>
            <w:r w:rsidRPr="00932399">
              <w:t xml:space="preserve">Over half of respondents who experienced racism did not report it, with the most common reason for not reporting being a view that no action would be taken from their reports. </w:t>
            </w:r>
          </w:p>
        </w:tc>
      </w:tr>
    </w:tbl>
    <w:p w14:paraId="5EE9F607" w14:textId="00E9F0DE" w:rsidR="00AA4473" w:rsidRDefault="00BD2F7C" w:rsidP="004129CB">
      <w:pPr>
        <w:pStyle w:val="Heading2"/>
      </w:pPr>
      <w:bookmarkStart w:id="20" w:name="_Toc31392336"/>
      <w:r>
        <w:t xml:space="preserve">Hate is also prevalent for </w:t>
      </w:r>
      <w:r w:rsidR="004129CB">
        <w:t>people</w:t>
      </w:r>
      <w:r w:rsidR="00DC498D">
        <w:t xml:space="preserve"> </w:t>
      </w:r>
      <w:r w:rsidR="00E0768B">
        <w:t>who are not protected by the RRTA</w:t>
      </w:r>
      <w:bookmarkEnd w:id="20"/>
    </w:p>
    <w:p w14:paraId="53074088" w14:textId="0A21A099" w:rsidR="00014C25" w:rsidRDefault="006E4822" w:rsidP="006E4822">
      <w:pPr>
        <w:pStyle w:val="BodyText"/>
      </w:pPr>
      <w:r>
        <w:t xml:space="preserve">Although the RRTA only </w:t>
      </w:r>
      <w:r w:rsidR="00014C25">
        <w:t xml:space="preserve">currently </w:t>
      </w:r>
      <w:r>
        <w:t xml:space="preserve">protects people from vilification </w:t>
      </w:r>
      <w:r w:rsidR="00014C25">
        <w:t>because of</w:t>
      </w:r>
      <w:r>
        <w:t xml:space="preserve"> their race or religion, </w:t>
      </w:r>
      <w:r w:rsidR="00B54A83">
        <w:t xml:space="preserve">other groups of Victorians are disproportionately targeted by hate. This includes LGBTIQ Victorians, women and people with disability. </w:t>
      </w:r>
    </w:p>
    <w:p w14:paraId="067338A9" w14:textId="52C99368" w:rsidR="006E4822" w:rsidRDefault="00014C25" w:rsidP="006E4822">
      <w:pPr>
        <w:pStyle w:val="BodyText"/>
      </w:pPr>
      <w:r>
        <w:t xml:space="preserve">People who have a personal association with a person who has a protected attribute can also experience hate – such as parents, carers and advocates. </w:t>
      </w:r>
    </w:p>
    <w:tbl>
      <w:tblPr>
        <w:tblStyle w:val="CustomTablebreakoutbox"/>
        <w:tblW w:w="0" w:type="auto"/>
        <w:tblLook w:val="04A0" w:firstRow="1" w:lastRow="0" w:firstColumn="1" w:lastColumn="0" w:noHBand="0" w:noVBand="1"/>
      </w:tblPr>
      <w:tblGrid>
        <w:gridCol w:w="9061"/>
      </w:tblGrid>
      <w:tr w:rsidR="00670EE7" w14:paraId="66760397" w14:textId="77777777" w:rsidTr="00670EE7">
        <w:tc>
          <w:tcPr>
            <w:tcW w:w="9061" w:type="dxa"/>
          </w:tcPr>
          <w:p w14:paraId="0D3CFDB0" w14:textId="0829903C" w:rsidR="00670EE7" w:rsidRDefault="00670EE7" w:rsidP="006E4822">
            <w:pPr>
              <w:pStyle w:val="BodyText"/>
              <w:rPr>
                <w:rStyle w:val="Characterbold"/>
              </w:rPr>
            </w:pPr>
            <w:r>
              <w:rPr>
                <w:rStyle w:val="Characterbold"/>
              </w:rPr>
              <w:t>Existing protections</w:t>
            </w:r>
            <w:r w:rsidR="0045020A">
              <w:rPr>
                <w:rStyle w:val="Characterbold"/>
              </w:rPr>
              <w:t xml:space="preserve"> from vilification</w:t>
            </w:r>
            <w:r>
              <w:rPr>
                <w:rStyle w:val="Characterbold"/>
              </w:rPr>
              <w:t xml:space="preserve"> in comparative </w:t>
            </w:r>
            <w:r w:rsidR="002B1B0C">
              <w:rPr>
                <w:rStyle w:val="Characterbold"/>
              </w:rPr>
              <w:t xml:space="preserve">civil </w:t>
            </w:r>
            <w:r>
              <w:rPr>
                <w:rStyle w:val="Characterbold"/>
              </w:rPr>
              <w:t xml:space="preserve">jurisdictions </w:t>
            </w:r>
          </w:p>
          <w:p w14:paraId="7801BF40" w14:textId="31514FC2" w:rsidR="00670EE7" w:rsidRDefault="00C74390" w:rsidP="00670EE7">
            <w:pPr>
              <w:pStyle w:val="BodyText"/>
              <w:rPr>
                <w:rStyle w:val="Characterclear"/>
              </w:rPr>
            </w:pPr>
            <w:r>
              <w:rPr>
                <w:rStyle w:val="Characterclear"/>
              </w:rPr>
              <w:t>S</w:t>
            </w:r>
            <w:r w:rsidR="00670EE7" w:rsidRPr="00670EE7">
              <w:rPr>
                <w:rStyle w:val="Characterclear"/>
              </w:rPr>
              <w:t xml:space="preserve">exual orientation </w:t>
            </w:r>
            <w:r w:rsidR="00F124D4">
              <w:rPr>
                <w:rStyle w:val="Characterclear"/>
              </w:rPr>
              <w:t>is</w:t>
            </w:r>
            <w:r w:rsidR="00670EE7" w:rsidRPr="00670EE7">
              <w:rPr>
                <w:rStyle w:val="Characterclear"/>
              </w:rPr>
              <w:t xml:space="preserve"> protected in </w:t>
            </w:r>
            <w:r>
              <w:rPr>
                <w:rStyle w:val="Characterclear"/>
              </w:rPr>
              <w:t>NSW, the ACT, QLD and T</w:t>
            </w:r>
            <w:r w:rsidR="007A264C">
              <w:rPr>
                <w:rStyle w:val="Characterclear"/>
              </w:rPr>
              <w:t>asmania</w:t>
            </w:r>
            <w:r w:rsidR="007A6909">
              <w:rPr>
                <w:rStyle w:val="Characterclear"/>
              </w:rPr>
              <w:t>.</w:t>
            </w:r>
            <w:r w:rsidR="007A6909">
              <w:rPr>
                <w:rStyle w:val="EndnoteReference"/>
                <w:lang w:eastAsia="en-AU"/>
              </w:rPr>
              <w:endnoteReference w:id="110"/>
            </w:r>
            <w:r>
              <w:rPr>
                <w:rStyle w:val="Characterclear"/>
              </w:rPr>
              <w:t xml:space="preserve"> </w:t>
            </w:r>
          </w:p>
          <w:p w14:paraId="14200DF7" w14:textId="6D2620FE" w:rsidR="00F124D4" w:rsidRDefault="00F124D4" w:rsidP="00670EE7">
            <w:pPr>
              <w:pStyle w:val="BodyText"/>
              <w:rPr>
                <w:rStyle w:val="Characterclear"/>
              </w:rPr>
            </w:pPr>
            <w:r>
              <w:rPr>
                <w:rStyle w:val="Characterclear"/>
              </w:rPr>
              <w:t xml:space="preserve">Gender identity is </w:t>
            </w:r>
            <w:r w:rsidRPr="00F124D4">
              <w:rPr>
                <w:rStyle w:val="Characterclear"/>
              </w:rPr>
              <w:t>protected in NSW, the ACT, QLD and T</w:t>
            </w:r>
            <w:r w:rsidR="007A264C">
              <w:rPr>
                <w:rStyle w:val="Characterclear"/>
              </w:rPr>
              <w:t>asmania</w:t>
            </w:r>
            <w:r w:rsidR="007A6909">
              <w:rPr>
                <w:rStyle w:val="Characterclear"/>
              </w:rPr>
              <w:t>.</w:t>
            </w:r>
            <w:r w:rsidR="00BA64E2">
              <w:rPr>
                <w:rStyle w:val="EndnoteReference"/>
                <w:lang w:eastAsia="en-AU"/>
              </w:rPr>
              <w:endnoteReference w:id="111"/>
            </w:r>
          </w:p>
          <w:p w14:paraId="29F12BB3" w14:textId="474897D4" w:rsidR="00527250" w:rsidRDefault="00527250" w:rsidP="00670EE7">
            <w:pPr>
              <w:pStyle w:val="BodyText"/>
              <w:rPr>
                <w:rStyle w:val="Characterclear"/>
              </w:rPr>
            </w:pPr>
            <w:r>
              <w:rPr>
                <w:rStyle w:val="Characterclear"/>
              </w:rPr>
              <w:t xml:space="preserve">Sexual characteristics is protected in the ACT (‘intersex status’) and </w:t>
            </w:r>
            <w:r w:rsidR="00CE23FA">
              <w:rPr>
                <w:rStyle w:val="Characterclear"/>
              </w:rPr>
              <w:t>T</w:t>
            </w:r>
            <w:r w:rsidR="007A264C">
              <w:rPr>
                <w:rStyle w:val="Characterclear"/>
              </w:rPr>
              <w:t>asmania</w:t>
            </w:r>
            <w:r w:rsidR="007A6909">
              <w:rPr>
                <w:rStyle w:val="Characterclear"/>
              </w:rPr>
              <w:t>.</w:t>
            </w:r>
            <w:r w:rsidR="00B87641">
              <w:rPr>
                <w:rStyle w:val="EndnoteReference"/>
                <w:lang w:eastAsia="en-AU"/>
              </w:rPr>
              <w:endnoteReference w:id="112"/>
            </w:r>
          </w:p>
          <w:p w14:paraId="1CB8B275" w14:textId="35FD447D" w:rsidR="00414504" w:rsidRDefault="00C74390" w:rsidP="00670EE7">
            <w:pPr>
              <w:pStyle w:val="BodyText"/>
              <w:rPr>
                <w:rStyle w:val="Characterclear"/>
              </w:rPr>
            </w:pPr>
            <w:r>
              <w:rPr>
                <w:rStyle w:val="Characterclear"/>
              </w:rPr>
              <w:t>G</w:t>
            </w:r>
            <w:r w:rsidR="00414504">
              <w:rPr>
                <w:rStyle w:val="Characterclear"/>
              </w:rPr>
              <w:t xml:space="preserve">ender is protected in </w:t>
            </w:r>
            <w:r w:rsidR="007A6909">
              <w:rPr>
                <w:rStyle w:val="Characterclear"/>
              </w:rPr>
              <w:t>Tasmania for the purposes of the harm-based law.</w:t>
            </w:r>
            <w:r w:rsidR="00546975">
              <w:rPr>
                <w:rStyle w:val="EndnoteReference"/>
                <w:lang w:eastAsia="en-AU"/>
              </w:rPr>
              <w:endnoteReference w:id="113"/>
            </w:r>
          </w:p>
          <w:p w14:paraId="027C0420" w14:textId="5309ACD1" w:rsidR="00414504" w:rsidRDefault="00C74390" w:rsidP="00670EE7">
            <w:pPr>
              <w:pStyle w:val="BodyText"/>
              <w:rPr>
                <w:rStyle w:val="Characterclear"/>
              </w:rPr>
            </w:pPr>
            <w:r>
              <w:rPr>
                <w:rStyle w:val="Characterclear"/>
              </w:rPr>
              <w:t>D</w:t>
            </w:r>
            <w:r w:rsidR="00414504">
              <w:rPr>
                <w:rStyle w:val="Characterclear"/>
              </w:rPr>
              <w:t xml:space="preserve">isability is protected in </w:t>
            </w:r>
            <w:r w:rsidR="007A6909">
              <w:rPr>
                <w:rStyle w:val="Characterclear"/>
              </w:rPr>
              <w:t xml:space="preserve">the ACT and </w:t>
            </w:r>
            <w:r w:rsidR="00CE23FA">
              <w:rPr>
                <w:rStyle w:val="Characterclear"/>
              </w:rPr>
              <w:t>T</w:t>
            </w:r>
            <w:r w:rsidR="007A264C">
              <w:rPr>
                <w:rStyle w:val="Characterclear"/>
              </w:rPr>
              <w:t>asmania</w:t>
            </w:r>
            <w:r w:rsidR="007A6909">
              <w:rPr>
                <w:rStyle w:val="Characterclear"/>
              </w:rPr>
              <w:t>.</w:t>
            </w:r>
            <w:r w:rsidR="001A6404">
              <w:rPr>
                <w:rStyle w:val="EndnoteReference"/>
                <w:lang w:eastAsia="en-AU"/>
              </w:rPr>
              <w:endnoteReference w:id="114"/>
            </w:r>
          </w:p>
          <w:p w14:paraId="0D0CCC89" w14:textId="2B0F1B29" w:rsidR="003266D3" w:rsidRDefault="003266D3" w:rsidP="00670EE7">
            <w:pPr>
              <w:pStyle w:val="BodyText"/>
              <w:rPr>
                <w:rStyle w:val="Characterclear"/>
              </w:rPr>
            </w:pPr>
            <w:r w:rsidRPr="003266D3">
              <w:rPr>
                <w:rStyle w:val="Characterclear"/>
              </w:rPr>
              <w:t>HIV/AIDS status is protected in NSW and the ACT.</w:t>
            </w:r>
            <w:r w:rsidR="005E6947">
              <w:rPr>
                <w:rStyle w:val="EndnoteReference"/>
                <w:lang w:eastAsia="en-AU"/>
              </w:rPr>
              <w:endnoteReference w:id="115"/>
            </w:r>
          </w:p>
          <w:p w14:paraId="026791CA" w14:textId="654E105B" w:rsidR="00926EAC" w:rsidRDefault="00926EAC" w:rsidP="00670EE7">
            <w:pPr>
              <w:pStyle w:val="BodyText"/>
              <w:rPr>
                <w:rStyle w:val="Characterclear"/>
              </w:rPr>
            </w:pPr>
            <w:r>
              <w:rPr>
                <w:rStyle w:val="Characterclear"/>
              </w:rPr>
              <w:t>Lawful sexual activity, age, marital status, relationship status, pregnancy, breastfeeding, parental status and famil</w:t>
            </w:r>
            <w:r w:rsidR="003266D3">
              <w:rPr>
                <w:rStyle w:val="Characterclear"/>
              </w:rPr>
              <w:t>y responsibilities</w:t>
            </w:r>
            <w:r>
              <w:rPr>
                <w:rStyle w:val="Characterclear"/>
              </w:rPr>
              <w:t xml:space="preserve"> </w:t>
            </w:r>
            <w:r w:rsidR="003266D3">
              <w:rPr>
                <w:rStyle w:val="Characterclear"/>
              </w:rPr>
              <w:t>are</w:t>
            </w:r>
            <w:r>
              <w:rPr>
                <w:rStyle w:val="Characterclear"/>
              </w:rPr>
              <w:t xml:space="preserve"> protected in T</w:t>
            </w:r>
            <w:r w:rsidR="007A264C">
              <w:rPr>
                <w:rStyle w:val="Characterclear"/>
              </w:rPr>
              <w:t>asmania</w:t>
            </w:r>
            <w:r w:rsidR="00436BC9">
              <w:rPr>
                <w:rStyle w:val="Characterclear"/>
              </w:rPr>
              <w:t>.</w:t>
            </w:r>
            <w:r w:rsidR="005E6947">
              <w:rPr>
                <w:rStyle w:val="EndnoteReference"/>
                <w:lang w:eastAsia="en-AU"/>
              </w:rPr>
              <w:endnoteReference w:id="116"/>
            </w:r>
          </w:p>
          <w:p w14:paraId="278E150E" w14:textId="11065D81" w:rsidR="00926EAC" w:rsidRDefault="003266D3" w:rsidP="00670EE7">
            <w:pPr>
              <w:pStyle w:val="BodyText"/>
              <w:rPr>
                <w:rStyle w:val="Characterclear"/>
              </w:rPr>
            </w:pPr>
            <w:r>
              <w:rPr>
                <w:rStyle w:val="Characterclear"/>
              </w:rPr>
              <w:t xml:space="preserve">Race is protected in the Commonwealth, </w:t>
            </w:r>
            <w:r w:rsidR="00436BC9">
              <w:rPr>
                <w:rStyle w:val="Characterclear"/>
              </w:rPr>
              <w:t>NSW, ACT, Qld, T</w:t>
            </w:r>
            <w:r w:rsidR="00CE23FA">
              <w:rPr>
                <w:rStyle w:val="Characterclear"/>
              </w:rPr>
              <w:t>AS</w:t>
            </w:r>
            <w:r w:rsidR="00B670F0">
              <w:rPr>
                <w:rStyle w:val="Characterclear"/>
              </w:rPr>
              <w:t xml:space="preserve"> and WA</w:t>
            </w:r>
            <w:r w:rsidR="00436BC9">
              <w:rPr>
                <w:rStyle w:val="Characterclear"/>
              </w:rPr>
              <w:t>.</w:t>
            </w:r>
            <w:r w:rsidR="005E6947">
              <w:rPr>
                <w:rStyle w:val="EndnoteReference"/>
                <w:lang w:eastAsia="en-AU"/>
              </w:rPr>
              <w:endnoteReference w:id="117"/>
            </w:r>
          </w:p>
          <w:p w14:paraId="0924DE6F" w14:textId="2E752641" w:rsidR="00772D67" w:rsidRPr="00A90DE6" w:rsidRDefault="00436BC9" w:rsidP="00670EE7">
            <w:pPr>
              <w:pStyle w:val="BodyText"/>
              <w:rPr>
                <w:rStyle w:val="Characteryellowhighlight"/>
                <w:shd w:val="clear" w:color="auto" w:fill="auto"/>
              </w:rPr>
            </w:pPr>
            <w:r>
              <w:rPr>
                <w:rStyle w:val="Characterclear"/>
              </w:rPr>
              <w:t>Religion is protected in the ACT, Qld</w:t>
            </w:r>
            <w:r w:rsidR="005E6947">
              <w:rPr>
                <w:rStyle w:val="Characterclear"/>
              </w:rPr>
              <w:t xml:space="preserve"> and T</w:t>
            </w:r>
            <w:r w:rsidR="00CE23FA">
              <w:rPr>
                <w:rStyle w:val="Characterclear"/>
              </w:rPr>
              <w:t>AS</w:t>
            </w:r>
            <w:r w:rsidR="005E6947">
              <w:rPr>
                <w:rStyle w:val="Characterclear"/>
              </w:rPr>
              <w:t>.</w:t>
            </w:r>
            <w:r w:rsidR="005E6947">
              <w:rPr>
                <w:rStyle w:val="EndnoteReference"/>
                <w:lang w:eastAsia="en-AU"/>
              </w:rPr>
              <w:endnoteReference w:id="118"/>
            </w:r>
          </w:p>
        </w:tc>
      </w:tr>
    </w:tbl>
    <w:p w14:paraId="41BFEA1D" w14:textId="437FAB16" w:rsidR="005D06A4" w:rsidRPr="005D06A4" w:rsidRDefault="00E5747B" w:rsidP="004129CB">
      <w:pPr>
        <w:pStyle w:val="Heading3"/>
      </w:pPr>
      <w:r>
        <w:t xml:space="preserve">LGBTIQ Victorians </w:t>
      </w:r>
    </w:p>
    <w:p w14:paraId="1C12CB58" w14:textId="18953CC4" w:rsidR="00195AB7" w:rsidRDefault="00DA56ED" w:rsidP="00AA4473">
      <w:pPr>
        <w:pStyle w:val="BodyText"/>
      </w:pPr>
      <w:r>
        <w:t xml:space="preserve">LGBTIQ people continue to experience </w:t>
      </w:r>
      <w:r w:rsidR="00676680">
        <w:t>high rates of hate conduct and crime</w:t>
      </w:r>
      <w:r>
        <w:t xml:space="preserve"> on the basis of their sexual orientation, gender identity and intersex status. </w:t>
      </w:r>
      <w:r w:rsidR="00230C82">
        <w:t>Relevantly</w:t>
      </w:r>
      <w:r w:rsidR="00B559A8">
        <w:t>, the Human Rights Law Centre</w:t>
      </w:r>
      <w:r w:rsidR="001E25C4">
        <w:t xml:space="preserve">’s report </w:t>
      </w:r>
      <w:r w:rsidR="00230C82">
        <w:t>‘</w:t>
      </w:r>
      <w:r w:rsidR="001E25C4">
        <w:t xml:space="preserve">End the Hate: Responding to hate speech and violence against the LGBTI community’ documented </w:t>
      </w:r>
      <w:r w:rsidR="0082642D">
        <w:t>the experience</w:t>
      </w:r>
      <w:r w:rsidR="00A9689D">
        <w:t>s</w:t>
      </w:r>
      <w:r w:rsidR="0082642D">
        <w:t xml:space="preserve"> of hate, particularly </w:t>
      </w:r>
      <w:r w:rsidR="00FA0921">
        <w:t>in response to</w:t>
      </w:r>
      <w:r w:rsidR="00A51AF9">
        <w:t xml:space="preserve"> the marriage equality postal survey</w:t>
      </w:r>
      <w:r w:rsidR="00A9689D">
        <w:t xml:space="preserve"> which</w:t>
      </w:r>
      <w:r w:rsidR="00A51AF9">
        <w:t xml:space="preserve"> provided a </w:t>
      </w:r>
      <w:r w:rsidR="005B60F3">
        <w:t>political and media platform for the vilification of LGBTIQ people</w:t>
      </w:r>
      <w:r w:rsidR="00FA0921">
        <w:t xml:space="preserve"> across Australia</w:t>
      </w:r>
      <w:r w:rsidR="001D6D04">
        <w:t>.</w:t>
      </w:r>
      <w:r w:rsidR="00FA0921">
        <w:rPr>
          <w:rStyle w:val="EndnoteReference"/>
        </w:rPr>
        <w:endnoteReference w:id="119"/>
      </w:r>
      <w:r w:rsidR="001D6D04">
        <w:t xml:space="preserve"> </w:t>
      </w:r>
    </w:p>
    <w:p w14:paraId="1888E11A" w14:textId="7A9AA422" w:rsidR="00DA56ED" w:rsidRDefault="005C023D" w:rsidP="00AA4473">
      <w:pPr>
        <w:pStyle w:val="BodyText"/>
      </w:pPr>
      <w:r>
        <w:t>Other</w:t>
      </w:r>
      <w:r w:rsidR="00195AB7">
        <w:t xml:space="preserve"> </w:t>
      </w:r>
      <w:r>
        <w:t xml:space="preserve">research confirm the high prevent </w:t>
      </w:r>
      <w:r w:rsidR="00195AB7">
        <w:t xml:space="preserve">of hate against LGBTIQ people. </w:t>
      </w:r>
      <w:r w:rsidR="00DA56ED">
        <w:t xml:space="preserve">For example: </w:t>
      </w:r>
    </w:p>
    <w:p w14:paraId="50457921" w14:textId="77777777" w:rsidR="00F074BE" w:rsidRDefault="00183D9E" w:rsidP="00F074BE">
      <w:pPr>
        <w:pStyle w:val="ListBullet"/>
        <w:numPr>
          <w:ilvl w:val="0"/>
          <w:numId w:val="3"/>
        </w:numPr>
      </w:pPr>
      <w:r w:rsidRPr="00183D9E">
        <w:lastRenderedPageBreak/>
        <w:t xml:space="preserve">A 2018 survey found that just under 95 per cent of LGBTI young people had experienced </w:t>
      </w:r>
      <w:r>
        <w:t>heterosexist abuse.</w:t>
      </w:r>
      <w:r w:rsidRPr="000730CC">
        <w:rPr>
          <w:rStyle w:val="Charactersuperscript"/>
        </w:rPr>
        <w:endnoteReference w:id="120"/>
      </w:r>
      <w:r w:rsidR="00A75654" w:rsidRPr="000730CC">
        <w:rPr>
          <w:rStyle w:val="Charactersuperscript"/>
        </w:rPr>
        <w:t xml:space="preserve"> </w:t>
      </w:r>
    </w:p>
    <w:p w14:paraId="3EDDED7F" w14:textId="67F57F80" w:rsidR="00B70EB4" w:rsidRDefault="00103076" w:rsidP="00F074BE">
      <w:pPr>
        <w:pStyle w:val="ListBullet"/>
        <w:numPr>
          <w:ilvl w:val="0"/>
          <w:numId w:val="3"/>
        </w:numPr>
      </w:pPr>
      <w:r w:rsidRPr="00A57F21">
        <w:t xml:space="preserve">A 2016 study found that 50.4 per cent of LGBTIQ </w:t>
      </w:r>
      <w:r w:rsidRPr="00D026E1">
        <w:t>participants experienced public h</w:t>
      </w:r>
      <w:r w:rsidRPr="002E7746">
        <w:t>arassment on a weekly or monthly basis, including staring (65.1 per</w:t>
      </w:r>
      <w:r w:rsidRPr="00C9244C">
        <w:t xml:space="preserve"> cent), verbal comments (</w:t>
      </w:r>
      <w:r w:rsidR="000B5FB8" w:rsidRPr="00C9244C">
        <w:t>63 per cent), horn honking (63.3 per cent), wolf whistling (41.4 per cent) and unwanted conversation (42.5 per cent). 31.</w:t>
      </w:r>
      <w:r w:rsidR="00004060" w:rsidRPr="00C9244C">
        <w:t xml:space="preserve">5 of experiences targeted gender identify and 29.1 per cent </w:t>
      </w:r>
      <w:r w:rsidR="00C25D36" w:rsidRPr="00C9244C">
        <w:t xml:space="preserve">targeted </w:t>
      </w:r>
      <w:r w:rsidR="00004060" w:rsidRPr="00C9244C">
        <w:t>sexual orientation.</w:t>
      </w:r>
      <w:r w:rsidR="00CE23FA">
        <w:rPr>
          <w:rStyle w:val="EndnoteReference"/>
        </w:rPr>
        <w:endnoteReference w:id="121"/>
      </w:r>
    </w:p>
    <w:p w14:paraId="79D2D6BE" w14:textId="220B79EC" w:rsidR="00183D9E" w:rsidRDefault="00183D9E" w:rsidP="00F074BE">
      <w:pPr>
        <w:pStyle w:val="ListBullet"/>
        <w:numPr>
          <w:ilvl w:val="0"/>
          <w:numId w:val="3"/>
        </w:numPr>
      </w:pPr>
      <w:r w:rsidRPr="00183D9E">
        <w:t>A 2015 survey found that over 71 per cent of LGBTI people had experienced violence, harassment or bullying on the basis of their sexual orientation, gender identity or intersex status.</w:t>
      </w:r>
      <w:r w:rsidRPr="000730CC">
        <w:rPr>
          <w:rStyle w:val="Charactersuperscript"/>
        </w:rPr>
        <w:endnoteReference w:id="122"/>
      </w:r>
    </w:p>
    <w:p w14:paraId="2D511619" w14:textId="356A5374" w:rsidR="002A3824" w:rsidRDefault="002A3824" w:rsidP="00F074BE">
      <w:pPr>
        <w:pStyle w:val="ListBullet"/>
        <w:numPr>
          <w:ilvl w:val="0"/>
          <w:numId w:val="3"/>
        </w:numPr>
      </w:pPr>
      <w:r w:rsidRPr="00A57F21">
        <w:t>A 2014 survey found tha</w:t>
      </w:r>
      <w:r w:rsidRPr="00D026E1">
        <w:t xml:space="preserve">t over 64 per cent of LGBTI young people had been subject to </w:t>
      </w:r>
      <w:r w:rsidRPr="00C510E7">
        <w:t>verbal abuse based on their sexual orientation, gender identity or intersex status.</w:t>
      </w:r>
      <w:r w:rsidRPr="000730CC">
        <w:rPr>
          <w:rStyle w:val="Charactersuperscript"/>
        </w:rPr>
        <w:endnoteReference w:id="123"/>
      </w:r>
    </w:p>
    <w:p w14:paraId="7CF78049" w14:textId="05281082" w:rsidR="00F368A9" w:rsidRDefault="00DE44FC" w:rsidP="00F074BE">
      <w:pPr>
        <w:pStyle w:val="ListBullet"/>
        <w:numPr>
          <w:ilvl w:val="0"/>
          <w:numId w:val="3"/>
        </w:numPr>
      </w:pPr>
      <w:r w:rsidRPr="00A57F21">
        <w:t>In 2014, the</w:t>
      </w:r>
      <w:r w:rsidR="00C25D36" w:rsidRPr="00D026E1">
        <w:t xml:space="preserve"> Australian Human Rights Commission reported that 3 in 5 LGBTI</w:t>
      </w:r>
      <w:r w:rsidR="00C25D36" w:rsidRPr="00D507CC">
        <w:t xml:space="preserve"> people experienced verbal homophobi</w:t>
      </w:r>
      <w:r w:rsidR="00C25D36" w:rsidRPr="002E7746">
        <w:t>c abuse, 1 in 5 experienced physical</w:t>
      </w:r>
      <w:r w:rsidR="00C25D36" w:rsidRPr="00C25D36">
        <w:t xml:space="preserve"> homophobic abuse, and 1 in 10 experienced other types of homophobia.</w:t>
      </w:r>
      <w:r w:rsidR="00C25D36" w:rsidRPr="00C25D36">
        <w:rPr>
          <w:rStyle w:val="EndnoteReference"/>
        </w:rPr>
        <w:endnoteReference w:id="124"/>
      </w:r>
    </w:p>
    <w:tbl>
      <w:tblPr>
        <w:tblStyle w:val="CustomTablebreakoutbox"/>
        <w:tblW w:w="0" w:type="auto"/>
        <w:tblLook w:val="04A0" w:firstRow="1" w:lastRow="0" w:firstColumn="1" w:lastColumn="0" w:noHBand="0" w:noVBand="1"/>
      </w:tblPr>
      <w:tblGrid>
        <w:gridCol w:w="9061"/>
      </w:tblGrid>
      <w:tr w:rsidR="00D55657" w14:paraId="6A51E92C" w14:textId="77777777" w:rsidTr="00D55657">
        <w:tc>
          <w:tcPr>
            <w:tcW w:w="9061" w:type="dxa"/>
          </w:tcPr>
          <w:p w14:paraId="5E6D98FC" w14:textId="0E863FE8" w:rsidR="00D55657" w:rsidRDefault="00D55657" w:rsidP="00D55657">
            <w:pPr>
              <w:pStyle w:val="BodyText"/>
              <w:rPr>
                <w:rStyle w:val="Characterbold"/>
              </w:rPr>
            </w:pPr>
            <w:r>
              <w:rPr>
                <w:rStyle w:val="Characterbold"/>
              </w:rPr>
              <w:t xml:space="preserve">Examples of LGBTIQ </w:t>
            </w:r>
            <w:r w:rsidR="000F1E27">
              <w:rPr>
                <w:rStyle w:val="Characterbold"/>
              </w:rPr>
              <w:t xml:space="preserve">hatred </w:t>
            </w:r>
            <w:r>
              <w:rPr>
                <w:rStyle w:val="Characterbold"/>
              </w:rPr>
              <w:t xml:space="preserve"> </w:t>
            </w:r>
          </w:p>
          <w:p w14:paraId="1F9A6363" w14:textId="2FD28660" w:rsidR="00505DE5" w:rsidRDefault="00EB13E7" w:rsidP="00C26774">
            <w:pPr>
              <w:pStyle w:val="BodyText"/>
              <w:rPr>
                <w:rStyle w:val="Characterclear"/>
              </w:rPr>
            </w:pPr>
            <w:r>
              <w:rPr>
                <w:rStyle w:val="Characterclear"/>
              </w:rPr>
              <w:t>Participants in the Commission’s online survey who reported experiencing hate because of their gender identity</w:t>
            </w:r>
            <w:r w:rsidR="004D377C">
              <w:rPr>
                <w:rStyle w:val="Characterclear"/>
              </w:rPr>
              <w:t xml:space="preserve"> </w:t>
            </w:r>
            <w:r w:rsidR="00505DE5">
              <w:rPr>
                <w:rStyle w:val="Characterclear"/>
              </w:rPr>
              <w:t>told us stories including that</w:t>
            </w:r>
            <w:r w:rsidR="00C26774">
              <w:rPr>
                <w:rStyle w:val="Characterclear"/>
              </w:rPr>
              <w:t xml:space="preserve"> </w:t>
            </w:r>
            <w:r w:rsidR="00CE23FA">
              <w:rPr>
                <w:rStyle w:val="Characterclear"/>
              </w:rPr>
              <w:t>“</w:t>
            </w:r>
            <w:r w:rsidR="00505DE5">
              <w:rPr>
                <w:rStyle w:val="Characterclear"/>
              </w:rPr>
              <w:t>[I have been] physically attacked due to expression and gender identity</w:t>
            </w:r>
            <w:r w:rsidR="00CE23FA">
              <w:rPr>
                <w:rStyle w:val="Characterclear"/>
              </w:rPr>
              <w:t>”</w:t>
            </w:r>
            <w:r w:rsidR="00C26774">
              <w:rPr>
                <w:rStyle w:val="Characterclear"/>
              </w:rPr>
              <w:t xml:space="preserve"> and </w:t>
            </w:r>
            <w:r w:rsidR="00CE23FA">
              <w:rPr>
                <w:rStyle w:val="Characterclear"/>
              </w:rPr>
              <w:t>“</w:t>
            </w:r>
            <w:r w:rsidR="00505DE5">
              <w:rPr>
                <w:rStyle w:val="Characterclear"/>
              </w:rPr>
              <w:t>I have been twice beaten by random men on the street due to their phobia of transgender people</w:t>
            </w:r>
            <w:r w:rsidR="00CE23FA">
              <w:rPr>
                <w:rStyle w:val="Characterclear"/>
              </w:rPr>
              <w:t>”</w:t>
            </w:r>
            <w:r w:rsidR="00505DE5">
              <w:rPr>
                <w:rStyle w:val="Characterclear"/>
              </w:rPr>
              <w:t>.</w:t>
            </w:r>
          </w:p>
          <w:p w14:paraId="1C8551F4" w14:textId="6DCA74D4" w:rsidR="006121CA" w:rsidRDefault="006121CA" w:rsidP="006121CA">
            <w:pPr>
              <w:pStyle w:val="BodyText"/>
              <w:rPr>
                <w:rStyle w:val="Characterclear"/>
              </w:rPr>
            </w:pPr>
            <w:r>
              <w:rPr>
                <w:rStyle w:val="Characterclear"/>
              </w:rPr>
              <w:t xml:space="preserve">The Commission also heard about </w:t>
            </w:r>
            <w:r w:rsidR="00C26774">
              <w:rPr>
                <w:rStyle w:val="Characterclear"/>
              </w:rPr>
              <w:t xml:space="preserve">people’s </w:t>
            </w:r>
            <w:r>
              <w:rPr>
                <w:rStyle w:val="Characterclear"/>
              </w:rPr>
              <w:t xml:space="preserve">experiences of hate because of their sexual orientation including </w:t>
            </w:r>
            <w:r w:rsidR="00651DAD">
              <w:rPr>
                <w:rStyle w:val="Characterclear"/>
              </w:rPr>
              <w:t xml:space="preserve">examples where the perpetrators were identified as a group of males: </w:t>
            </w:r>
            <w:r>
              <w:rPr>
                <w:rStyle w:val="Characterclear"/>
              </w:rPr>
              <w:t xml:space="preserve"> </w:t>
            </w:r>
          </w:p>
          <w:p w14:paraId="51AEB760" w14:textId="29B2A631" w:rsidR="00094E0A" w:rsidRPr="00094E0A" w:rsidRDefault="00CE23FA" w:rsidP="00E56014">
            <w:pPr>
              <w:pStyle w:val="ListBullet"/>
              <w:rPr>
                <w:lang w:val="en-GB" w:eastAsia="en-AU"/>
              </w:rPr>
            </w:pPr>
            <w:r>
              <w:rPr>
                <w:lang w:val="en-GB" w:eastAsia="en-AU"/>
              </w:rPr>
              <w:t>“</w:t>
            </w:r>
            <w:r w:rsidR="00094E0A" w:rsidRPr="00094E0A">
              <w:rPr>
                <w:lang w:val="en-GB" w:eastAsia="en-AU"/>
              </w:rPr>
              <w:t xml:space="preserve">Random strangers [chased] me in a car because I was carrying a rainbow umbrella. Threatening to </w:t>
            </w:r>
            <w:r>
              <w:rPr>
                <w:lang w:val="en-GB" w:eastAsia="en-AU"/>
              </w:rPr>
              <w:t>‘</w:t>
            </w:r>
            <w:r w:rsidR="00094E0A" w:rsidRPr="00094E0A">
              <w:rPr>
                <w:lang w:val="en-GB" w:eastAsia="en-AU"/>
              </w:rPr>
              <w:t>turn</w:t>
            </w:r>
            <w:r>
              <w:rPr>
                <w:lang w:val="en-GB" w:eastAsia="en-AU"/>
              </w:rPr>
              <w:t>’</w:t>
            </w:r>
            <w:r w:rsidR="00094E0A" w:rsidRPr="00094E0A">
              <w:rPr>
                <w:lang w:val="en-GB" w:eastAsia="en-AU"/>
              </w:rPr>
              <w:t xml:space="preserve"> me because I hadn't had a </w:t>
            </w:r>
            <w:r>
              <w:rPr>
                <w:lang w:val="en-GB" w:eastAsia="en-AU"/>
              </w:rPr>
              <w:t>‘</w:t>
            </w:r>
            <w:r w:rsidR="00094E0A" w:rsidRPr="00094E0A">
              <w:rPr>
                <w:lang w:val="en-GB" w:eastAsia="en-AU"/>
              </w:rPr>
              <w:t>real man</w:t>
            </w:r>
            <w:r>
              <w:rPr>
                <w:lang w:val="en-GB" w:eastAsia="en-AU"/>
              </w:rPr>
              <w:t>’</w:t>
            </w:r>
            <w:r w:rsidR="00094E0A" w:rsidRPr="00094E0A">
              <w:rPr>
                <w:lang w:val="en-GB" w:eastAsia="en-AU"/>
              </w:rPr>
              <w:t>"</w:t>
            </w:r>
            <w:r w:rsidR="00094E0A">
              <w:t>.</w:t>
            </w:r>
          </w:p>
          <w:p w14:paraId="36BDC102" w14:textId="0C9F43DE" w:rsidR="00094E0A" w:rsidRPr="00094E0A" w:rsidRDefault="00CE23FA" w:rsidP="00E56014">
            <w:pPr>
              <w:pStyle w:val="ListBullet"/>
              <w:rPr>
                <w:lang w:val="en-GB" w:eastAsia="en-AU"/>
              </w:rPr>
            </w:pPr>
            <w:r>
              <w:rPr>
                <w:lang w:val="en-GB" w:eastAsia="en-AU"/>
              </w:rPr>
              <w:t>“</w:t>
            </w:r>
            <w:r w:rsidR="00094E0A" w:rsidRPr="00094E0A">
              <w:rPr>
                <w:lang w:val="en-GB" w:eastAsia="en-AU"/>
              </w:rPr>
              <w:t>[I was] physically assaulted - punched in the face and back by a group of young men</w:t>
            </w:r>
            <w:r>
              <w:rPr>
                <w:lang w:val="en-GB" w:eastAsia="en-AU"/>
              </w:rPr>
              <w:t>”</w:t>
            </w:r>
            <w:r w:rsidR="00094E0A">
              <w:t>.</w:t>
            </w:r>
          </w:p>
          <w:p w14:paraId="101F4903" w14:textId="6C4D2094" w:rsidR="006121CA" w:rsidRDefault="00CE23FA" w:rsidP="00E56014">
            <w:pPr>
              <w:pStyle w:val="ListBullet"/>
              <w:rPr>
                <w:lang w:val="en-GB" w:eastAsia="en-AU"/>
              </w:rPr>
            </w:pPr>
            <w:r>
              <w:rPr>
                <w:lang w:val="en-GB" w:eastAsia="en-AU"/>
              </w:rPr>
              <w:t>“</w:t>
            </w:r>
            <w:r w:rsidR="00094E0A" w:rsidRPr="00094E0A">
              <w:rPr>
                <w:lang w:val="en-GB" w:eastAsia="en-AU"/>
              </w:rPr>
              <w:t>[I was] holding hands in public with my partner. Four teenage boys, drunk circled us and started shoving me. I shoved back pulled my partner through them and yeah we went home. Partner was very shaken.</w:t>
            </w:r>
            <w:r>
              <w:rPr>
                <w:lang w:val="en-GB" w:eastAsia="en-AU"/>
              </w:rPr>
              <w:t>”</w:t>
            </w:r>
          </w:p>
          <w:p w14:paraId="37EBC0D8" w14:textId="3C2C7DB9" w:rsidR="00ED5E3E" w:rsidRPr="00E965E6" w:rsidRDefault="00E965E6" w:rsidP="00E965E6">
            <w:pPr>
              <w:pStyle w:val="BodyText"/>
              <w:rPr>
                <w:rStyle w:val="Characterclear"/>
                <w:lang w:eastAsia="en-US"/>
              </w:rPr>
            </w:pPr>
            <w:r>
              <w:rPr>
                <w:rStyle w:val="Characterclear"/>
              </w:rPr>
              <w:t>Some</w:t>
            </w:r>
            <w:r w:rsidR="00B21F64">
              <w:rPr>
                <w:rStyle w:val="Characterclear"/>
              </w:rPr>
              <w:t xml:space="preserve"> participants reported</w:t>
            </w:r>
            <w:r w:rsidR="0001375F">
              <w:rPr>
                <w:rStyle w:val="Characterclear"/>
              </w:rPr>
              <w:t xml:space="preserve"> verbal and/or physical abuse by people in cars</w:t>
            </w:r>
            <w:r w:rsidR="00B23AEF">
              <w:rPr>
                <w:rStyle w:val="Characterclear"/>
              </w:rPr>
              <w:t xml:space="preserve"> because of their sexual orientation</w:t>
            </w:r>
            <w:r w:rsidR="00696616">
              <w:rPr>
                <w:rStyle w:val="Characterclear"/>
              </w:rPr>
              <w:t xml:space="preserve"> such as </w:t>
            </w:r>
            <w:r w:rsidR="00CE23FA">
              <w:rPr>
                <w:rStyle w:val="Characterclear"/>
              </w:rPr>
              <w:t>“</w:t>
            </w:r>
            <w:r w:rsidR="008F75BF" w:rsidRPr="008F75BF">
              <w:rPr>
                <w:lang w:val="en-GB" w:eastAsia="en-AU"/>
              </w:rPr>
              <w:t>[I experienced] verbal abuse by people in cars</w:t>
            </w:r>
            <w:r w:rsidR="00CE23FA">
              <w:rPr>
                <w:lang w:val="en-GB" w:eastAsia="en-AU"/>
              </w:rPr>
              <w:t>”</w:t>
            </w:r>
            <w:r>
              <w:t xml:space="preserve">, </w:t>
            </w:r>
            <w:r w:rsidR="00CE23FA">
              <w:t>“</w:t>
            </w:r>
            <w:r w:rsidR="008F75BF" w:rsidRPr="008F75BF">
              <w:rPr>
                <w:lang w:val="en-GB" w:eastAsia="en-AU"/>
              </w:rPr>
              <w:t>I was kissing my girlfriend and we had a drink thrown at us from a car driving past and were shouted at</w:t>
            </w:r>
            <w:r w:rsidR="00CE23FA">
              <w:rPr>
                <w:lang w:eastAsia="en-AU"/>
              </w:rPr>
              <w:t>”</w:t>
            </w:r>
            <w:r>
              <w:t xml:space="preserve"> and </w:t>
            </w:r>
            <w:r w:rsidR="00CE23FA">
              <w:t>“</w:t>
            </w:r>
            <w:r w:rsidR="008F75BF" w:rsidRPr="008F75BF">
              <w:rPr>
                <w:lang w:val="en-GB" w:eastAsia="en-AU"/>
              </w:rPr>
              <w:t>[I experienced] homophobic abuse and threats of violence yelled at me and gay friends from passing car in Melbourne</w:t>
            </w:r>
            <w:r w:rsidR="00CE23FA">
              <w:rPr>
                <w:lang w:eastAsia="en-AU"/>
              </w:rPr>
              <w:t>”</w:t>
            </w:r>
            <w:r w:rsidR="00696616">
              <w:t>.</w:t>
            </w:r>
          </w:p>
        </w:tc>
      </w:tr>
    </w:tbl>
    <w:p w14:paraId="0F0DB8C0" w14:textId="00915F4F" w:rsidR="00DF160E" w:rsidRDefault="00DF160E" w:rsidP="00DD3095">
      <w:pPr>
        <w:pStyle w:val="BodyText"/>
      </w:pPr>
      <w:r w:rsidRPr="00DF160E">
        <w:rPr>
          <w:rStyle w:val="Characterclear"/>
        </w:rPr>
        <w:t xml:space="preserve">Intersex Human Rights Australia </w:t>
      </w:r>
      <w:r w:rsidR="0072306C">
        <w:rPr>
          <w:rStyle w:val="Characterclear"/>
        </w:rPr>
        <w:t xml:space="preserve">has also </w:t>
      </w:r>
      <w:r w:rsidRPr="00DF160E">
        <w:rPr>
          <w:rStyle w:val="Characterclear"/>
        </w:rPr>
        <w:t>reported community members being shamed for their “intersex lifestyles” in the media and one intersex person being described in public as a “paedophile” and “mutilated freak”.</w:t>
      </w:r>
      <w:r w:rsidRPr="00DF160E">
        <w:rPr>
          <w:rStyle w:val="EndnoteReference"/>
        </w:rPr>
        <w:endnoteReference w:id="125"/>
      </w:r>
    </w:p>
    <w:p w14:paraId="619354A7" w14:textId="796E144D" w:rsidR="00DD3095" w:rsidRDefault="00DD3095" w:rsidP="00DD3095">
      <w:pPr>
        <w:pStyle w:val="BodyText"/>
      </w:pPr>
      <w:r>
        <w:t xml:space="preserve">Part </w:t>
      </w:r>
      <w:r w:rsidR="00AB6FCC">
        <w:t xml:space="preserve">5.2.1 recommends extending </w:t>
      </w:r>
      <w:r w:rsidR="006868CC">
        <w:t xml:space="preserve">legal protections </w:t>
      </w:r>
      <w:r w:rsidR="00AB6FCC">
        <w:t xml:space="preserve">to LGBTIQ people. </w:t>
      </w:r>
    </w:p>
    <w:p w14:paraId="0FA8C019" w14:textId="1929544A" w:rsidR="00AA4473" w:rsidRDefault="00AA4473" w:rsidP="004129CB">
      <w:pPr>
        <w:pStyle w:val="Heading3"/>
      </w:pPr>
      <w:r>
        <w:t xml:space="preserve">Women </w:t>
      </w:r>
    </w:p>
    <w:p w14:paraId="18945719" w14:textId="2D3E5BD5" w:rsidR="00235B59" w:rsidRDefault="004A4036" w:rsidP="004A4036">
      <w:pPr>
        <w:pStyle w:val="BodyText"/>
      </w:pPr>
      <w:r w:rsidRPr="004A4036">
        <w:t xml:space="preserve">Women experience high rates of hate conduct, with particularly high rates of online abuse and harassment. </w:t>
      </w:r>
      <w:r w:rsidR="00235B59">
        <w:t xml:space="preserve">The EOA protects women from hate conduct of a sexual nature if it happens in </w:t>
      </w:r>
      <w:r w:rsidR="00E638C8">
        <w:t>particular areas of public life</w:t>
      </w:r>
      <w:r w:rsidR="005C3A6E">
        <w:t xml:space="preserve">, </w:t>
      </w:r>
      <w:r w:rsidR="004D5E61">
        <w:t>such as</w:t>
      </w:r>
      <w:r w:rsidR="00E638C8">
        <w:t xml:space="preserve"> the workplace, </w:t>
      </w:r>
      <w:r w:rsidR="004D5E61">
        <w:t>the provision of goods of services, accommodation and clubs.</w:t>
      </w:r>
      <w:r w:rsidR="004D5E61">
        <w:rPr>
          <w:rStyle w:val="EndnoteReference"/>
        </w:rPr>
        <w:endnoteReference w:id="126"/>
      </w:r>
      <w:r w:rsidR="005C3A6E">
        <w:t xml:space="preserve"> However, </w:t>
      </w:r>
      <w:r w:rsidR="00627DAE">
        <w:t xml:space="preserve">conduct that is not of a sexual nature or that happens more broadly is not covered by the EOA. </w:t>
      </w:r>
    </w:p>
    <w:p w14:paraId="0FE1F4B2" w14:textId="31C72D3A" w:rsidR="004A4036" w:rsidRDefault="004A4036" w:rsidP="00AA4473">
      <w:pPr>
        <w:pStyle w:val="BodyText"/>
      </w:pPr>
      <w:r w:rsidRPr="004A4036">
        <w:lastRenderedPageBreak/>
        <w:t xml:space="preserve">The high prevalence of </w:t>
      </w:r>
      <w:r w:rsidR="002179CE">
        <w:t>hate</w:t>
      </w:r>
      <w:r w:rsidRPr="004A4036">
        <w:t xml:space="preserve"> conduct </w:t>
      </w:r>
      <w:r w:rsidR="00627DAE">
        <w:t>for women</w:t>
      </w:r>
      <w:r w:rsidR="002179CE">
        <w:t xml:space="preserve"> </w:t>
      </w:r>
      <w:r w:rsidRPr="004A4036">
        <w:t>was confirmed in recent research</w:t>
      </w:r>
      <w:r w:rsidR="007E5EE8">
        <w:t xml:space="preserve"> and has been argued as part of a spectrum of gender-based violence</w:t>
      </w:r>
      <w:r w:rsidRPr="004A4036">
        <w:t>:</w:t>
      </w:r>
      <w:r w:rsidR="007E5EE8" w:rsidRPr="00513F5C">
        <w:rPr>
          <w:rStyle w:val="EndnoteReference"/>
        </w:rPr>
        <w:endnoteReference w:id="127"/>
      </w:r>
    </w:p>
    <w:p w14:paraId="0F90F0C4" w14:textId="47E8C6D1" w:rsidR="00C925E5" w:rsidRDefault="00C925E5" w:rsidP="00C966BE">
      <w:pPr>
        <w:pStyle w:val="ListBullet"/>
      </w:pPr>
      <w:r>
        <w:t xml:space="preserve">A </w:t>
      </w:r>
      <w:r w:rsidR="005F169F">
        <w:t xml:space="preserve">2018 Australian Amnesty International </w:t>
      </w:r>
      <w:r w:rsidR="006D0B46">
        <w:t>poll</w:t>
      </w:r>
      <w:r w:rsidR="005F169F">
        <w:t xml:space="preserve"> found that 47 per cent of women aged 18-24 had experienced online abuse</w:t>
      </w:r>
      <w:r w:rsidR="00227E97">
        <w:t xml:space="preserve">, with 54 per cent of women reporting </w:t>
      </w:r>
      <w:r w:rsidR="00391B5E">
        <w:t>abuse</w:t>
      </w:r>
      <w:r w:rsidR="00227E97">
        <w:t xml:space="preserve"> from a stranger. About a third of women (32 per cent) </w:t>
      </w:r>
      <w:r w:rsidR="003E422F">
        <w:t xml:space="preserve">reported experiencing online abuse from people they knew offline, with 15 per cent reporting online </w:t>
      </w:r>
      <w:r w:rsidR="00391B5E">
        <w:t>abuse</w:t>
      </w:r>
      <w:r w:rsidR="003E422F">
        <w:t xml:space="preserve"> from a current or former partner.</w:t>
      </w:r>
      <w:r w:rsidR="003E422F">
        <w:rPr>
          <w:rStyle w:val="EndnoteReference"/>
        </w:rPr>
        <w:endnoteReference w:id="128"/>
      </w:r>
    </w:p>
    <w:p w14:paraId="75EB1BBF" w14:textId="1EA52AFE" w:rsidR="007E3936" w:rsidRDefault="005D6A70" w:rsidP="00C966BE">
      <w:pPr>
        <w:pStyle w:val="ListBullet"/>
      </w:pPr>
      <w:r>
        <w:t xml:space="preserve">The fourth </w:t>
      </w:r>
      <w:r w:rsidR="002179CE">
        <w:t xml:space="preserve">(2018) </w:t>
      </w:r>
      <w:r>
        <w:t>national survey on sexual harassment in Australian workplaces found that</w:t>
      </w:r>
      <w:r w:rsidR="00225943">
        <w:t xml:space="preserve"> in relation to </w:t>
      </w:r>
      <w:r w:rsidR="00302219">
        <w:t>‘</w:t>
      </w:r>
      <w:r w:rsidR="00225943">
        <w:t>lifetime sexual harassment</w:t>
      </w:r>
      <w:r w:rsidR="00302219">
        <w:t>’</w:t>
      </w:r>
      <w:r w:rsidR="00225943">
        <w:t xml:space="preserve"> (</w:t>
      </w:r>
      <w:r w:rsidR="004724E5">
        <w:t>occurring</w:t>
      </w:r>
      <w:r w:rsidR="00225943">
        <w:t xml:space="preserve"> at any time or anywhere)</w:t>
      </w:r>
      <w:r w:rsidR="007E3936">
        <w:t>:</w:t>
      </w:r>
    </w:p>
    <w:p w14:paraId="51663730" w14:textId="102FE5E9" w:rsidR="007E3936" w:rsidRDefault="00044E3D" w:rsidP="00C67716">
      <w:pPr>
        <w:pStyle w:val="ListNumber3"/>
        <w:numPr>
          <w:ilvl w:val="0"/>
          <w:numId w:val="43"/>
        </w:numPr>
      </w:pPr>
      <w:r>
        <w:t>85 per cent of Australian women 15 years and older ha</w:t>
      </w:r>
      <w:r w:rsidR="007E3936">
        <w:t>d</w:t>
      </w:r>
      <w:r>
        <w:t xml:space="preserve"> been sexually harassed</w:t>
      </w:r>
      <w:r w:rsidR="00D34270">
        <w:t xml:space="preserve"> at some point in their lifetimes</w:t>
      </w:r>
      <w:r w:rsidR="00D34270">
        <w:rPr>
          <w:rStyle w:val="EndnoteReference"/>
        </w:rPr>
        <w:endnoteReference w:id="129"/>
      </w:r>
      <w:r w:rsidR="00EB14B7">
        <w:t xml:space="preserve"> </w:t>
      </w:r>
    </w:p>
    <w:p w14:paraId="3DD5790A" w14:textId="1CA4E12C" w:rsidR="00391B5E" w:rsidRDefault="00BB290E" w:rsidP="00C67716">
      <w:pPr>
        <w:pStyle w:val="ListNumber3"/>
        <w:numPr>
          <w:ilvl w:val="0"/>
          <w:numId w:val="43"/>
        </w:numPr>
      </w:pPr>
      <w:r>
        <w:t xml:space="preserve">59 per cent of women experienced </w:t>
      </w:r>
      <w:r w:rsidR="00B76E5E">
        <w:t>sexually suggestive comments or offensive jokes</w:t>
      </w:r>
      <w:r w:rsidR="006D6C1C">
        <w:t xml:space="preserve"> </w:t>
      </w:r>
      <w:r>
        <w:t>and 54 per cent experienced</w:t>
      </w:r>
      <w:r w:rsidR="006D6C1C">
        <w:t xml:space="preserve"> inappropriate physical contact</w:t>
      </w:r>
      <w:r>
        <w:rPr>
          <w:rStyle w:val="EndnoteReference"/>
        </w:rPr>
        <w:endnoteReference w:id="130"/>
      </w:r>
    </w:p>
    <w:p w14:paraId="0BAD97CD" w14:textId="2ABF7E3B" w:rsidR="007E3936" w:rsidRDefault="004D335E" w:rsidP="00C67716">
      <w:pPr>
        <w:pStyle w:val="ListNumber3"/>
        <w:numPr>
          <w:ilvl w:val="0"/>
          <w:numId w:val="43"/>
        </w:numPr>
      </w:pPr>
      <w:r>
        <w:t>a</w:t>
      </w:r>
      <w:r w:rsidR="007E3936">
        <w:t>lmost one quarter of women (23 per cent) had experienced actual or attempted rape or sexual assault</w:t>
      </w:r>
      <w:r w:rsidR="007E3936">
        <w:rPr>
          <w:rStyle w:val="EndnoteReference"/>
        </w:rPr>
        <w:endnoteReference w:id="131"/>
      </w:r>
    </w:p>
    <w:p w14:paraId="20AD27DA" w14:textId="3FCC0105" w:rsidR="00A8793E" w:rsidRDefault="004D335E" w:rsidP="00C67716">
      <w:pPr>
        <w:pStyle w:val="ListNumber3"/>
        <w:numPr>
          <w:ilvl w:val="0"/>
          <w:numId w:val="43"/>
        </w:numPr>
      </w:pPr>
      <w:r>
        <w:t>a</w:t>
      </w:r>
      <w:r w:rsidR="007E3936">
        <w:t>lmost one in three women over 15 (29 per cent) had been sexual harassed online or via some form of technolog</w:t>
      </w:r>
      <w:r w:rsidR="00302219">
        <w:t>y</w:t>
      </w:r>
      <w:r w:rsidR="00302219">
        <w:rPr>
          <w:rStyle w:val="EndnoteReference"/>
        </w:rPr>
        <w:endnoteReference w:id="132"/>
      </w:r>
    </w:p>
    <w:p w14:paraId="297A9959" w14:textId="5BE4E696" w:rsidR="00B52B67" w:rsidRDefault="00A43AAD" w:rsidP="00B70D1A">
      <w:pPr>
        <w:pStyle w:val="BodyText"/>
      </w:pPr>
      <w:r>
        <w:t xml:space="preserve">The Women’s Legal Service Victoria </w:t>
      </w:r>
      <w:r w:rsidR="00AB58FB">
        <w:t xml:space="preserve">(WLSV) </w:t>
      </w:r>
      <w:r>
        <w:t xml:space="preserve">told the Commission that verbal </w:t>
      </w:r>
      <w:r w:rsidR="00AB58FB">
        <w:t>abuse</w:t>
      </w:r>
      <w:r>
        <w:t xml:space="preserve"> towards women </w:t>
      </w:r>
      <w:r w:rsidR="00957CC1">
        <w:t>– both clients and</w:t>
      </w:r>
      <w:r w:rsidR="00D8481E">
        <w:t xml:space="preserve"> their own</w:t>
      </w:r>
      <w:r w:rsidR="00957CC1">
        <w:t xml:space="preserve"> legal practitioners –</w:t>
      </w:r>
      <w:r>
        <w:t xml:space="preserve"> has increased, including threats of rape.</w:t>
      </w:r>
      <w:r>
        <w:rPr>
          <w:rStyle w:val="EndnoteReference"/>
        </w:rPr>
        <w:endnoteReference w:id="133"/>
      </w:r>
      <w:r w:rsidR="00AB58FB">
        <w:t xml:space="preserve"> </w:t>
      </w:r>
      <w:r w:rsidR="000D668C">
        <w:t xml:space="preserve">Women </w:t>
      </w:r>
      <w:r w:rsidR="00563EBA">
        <w:t xml:space="preserve">who </w:t>
      </w:r>
      <w:r w:rsidR="000D668C">
        <w:t>are</w:t>
      </w:r>
      <w:r w:rsidR="00563EBA">
        <w:t xml:space="preserve"> outspoken or active in </w:t>
      </w:r>
      <w:r w:rsidR="000D668C">
        <w:t>public debate</w:t>
      </w:r>
      <w:r w:rsidR="00563EBA">
        <w:t xml:space="preserve"> about women’s rights </w:t>
      </w:r>
      <w:r w:rsidR="000D668C">
        <w:t>are</w:t>
      </w:r>
      <w:r w:rsidR="00563EBA">
        <w:t xml:space="preserve"> </w:t>
      </w:r>
      <w:r w:rsidR="000D668C">
        <w:t xml:space="preserve">more </w:t>
      </w:r>
      <w:r w:rsidR="00563EBA">
        <w:t xml:space="preserve">likely to </w:t>
      </w:r>
      <w:r w:rsidR="00EF7A3E">
        <w:t>be targeted</w:t>
      </w:r>
      <w:r w:rsidR="00D8481E">
        <w:t>,</w:t>
      </w:r>
      <w:r w:rsidR="00AB58FB">
        <w:t xml:space="preserve"> </w:t>
      </w:r>
      <w:r w:rsidR="00C66B22">
        <w:t xml:space="preserve">particularly </w:t>
      </w:r>
      <w:r w:rsidR="001B26DB">
        <w:t>online.</w:t>
      </w:r>
      <w:r w:rsidR="00D8481E" w:rsidRPr="00D8481E">
        <w:rPr>
          <w:rStyle w:val="EndnoteReference"/>
        </w:rPr>
        <w:t xml:space="preserve"> </w:t>
      </w:r>
      <w:r w:rsidR="00D8481E" w:rsidRPr="00D8481E">
        <w:rPr>
          <w:rStyle w:val="EndnoteReference"/>
        </w:rPr>
        <w:endnoteReference w:id="134"/>
      </w:r>
      <w:r w:rsidR="00D8481E" w:rsidRPr="00D8481E">
        <w:t xml:space="preserve"> </w:t>
      </w:r>
      <w:r w:rsidR="003D1B49">
        <w:t xml:space="preserve">WLSV explained that online hate has a much broader reach than offline hate (including ‘likes’, ‘shares’ and ‘re-tweets’) which </w:t>
      </w:r>
      <w:r w:rsidR="00694DEC">
        <w:t xml:space="preserve">amplifies </w:t>
      </w:r>
      <w:r w:rsidR="003D1B49">
        <w:t>hate speech and its impacts</w:t>
      </w:r>
      <w:r w:rsidR="00694DEC">
        <w:t xml:space="preserve"> on women and their voices</w:t>
      </w:r>
      <w:r w:rsidR="003D1B49">
        <w:t>.</w:t>
      </w:r>
      <w:r w:rsidR="003D1B49">
        <w:rPr>
          <w:rStyle w:val="EndnoteReference"/>
        </w:rPr>
        <w:endnoteReference w:id="135"/>
      </w:r>
    </w:p>
    <w:p w14:paraId="7636B1B3" w14:textId="77777777" w:rsidR="002F116E" w:rsidRDefault="007A6FAC" w:rsidP="00B70D1A">
      <w:pPr>
        <w:pStyle w:val="BodyText"/>
      </w:pPr>
      <w:r>
        <w:t xml:space="preserve">Hate conduct </w:t>
      </w:r>
      <w:r w:rsidR="00C75F3A">
        <w:t>targeted at women is often intersectional in nature</w:t>
      </w:r>
      <w:r w:rsidR="008F7782">
        <w:t>. For example</w:t>
      </w:r>
      <w:r w:rsidR="002F116E">
        <w:t xml:space="preserve">: </w:t>
      </w:r>
    </w:p>
    <w:p w14:paraId="1830DA76" w14:textId="77777777" w:rsidR="002F116E" w:rsidRDefault="008F7782" w:rsidP="00574941">
      <w:pPr>
        <w:pStyle w:val="ListBullet"/>
        <w:rPr>
          <w:rStyle w:val="Characterclear"/>
        </w:rPr>
      </w:pPr>
      <w:r>
        <w:t xml:space="preserve">the most recent </w:t>
      </w:r>
      <w:r w:rsidR="00C75F3A" w:rsidRPr="00C75F3A">
        <w:rPr>
          <w:rStyle w:val="Characterclear"/>
        </w:rPr>
        <w:t xml:space="preserve">Islamophobia in Australia Report (2016-17) found that </w:t>
      </w:r>
      <w:r>
        <w:rPr>
          <w:rStyle w:val="Characterclear"/>
        </w:rPr>
        <w:t xml:space="preserve">nearly three quarters of victims </w:t>
      </w:r>
      <w:r w:rsidR="00686530">
        <w:rPr>
          <w:rStyle w:val="Characterclear"/>
        </w:rPr>
        <w:t xml:space="preserve">of Islamophobia </w:t>
      </w:r>
      <w:r>
        <w:rPr>
          <w:rStyle w:val="Characterclear"/>
        </w:rPr>
        <w:t>were women and almost all were wearing a headscarf (hijab) at the time</w:t>
      </w:r>
      <w:r>
        <w:rPr>
          <w:rStyle w:val="EndnoteReference"/>
          <w:lang w:eastAsia="en-AU"/>
        </w:rPr>
        <w:endnoteReference w:id="136"/>
      </w:r>
      <w:r w:rsidR="00794EFD">
        <w:rPr>
          <w:rStyle w:val="Characterclear"/>
        </w:rPr>
        <w:t xml:space="preserve"> </w:t>
      </w:r>
    </w:p>
    <w:p w14:paraId="616A4B46" w14:textId="67F34AA7" w:rsidR="002F116E" w:rsidRDefault="006D0B46" w:rsidP="00574941">
      <w:pPr>
        <w:pStyle w:val="ListBullet"/>
        <w:rPr>
          <w:rStyle w:val="Characterclear"/>
        </w:rPr>
      </w:pPr>
      <w:r>
        <w:rPr>
          <w:rStyle w:val="Characterclear"/>
        </w:rPr>
        <w:t xml:space="preserve">the 2018 </w:t>
      </w:r>
      <w:r w:rsidR="00794EFD">
        <w:rPr>
          <w:rStyle w:val="Characterclear"/>
        </w:rPr>
        <w:t xml:space="preserve">Amnesty International </w:t>
      </w:r>
      <w:r w:rsidR="004650B3">
        <w:rPr>
          <w:rStyle w:val="Characterclear"/>
        </w:rPr>
        <w:t>poll</w:t>
      </w:r>
      <w:r w:rsidR="00B70D1A">
        <w:rPr>
          <w:rStyle w:val="Characterclear"/>
        </w:rPr>
        <w:t xml:space="preserve"> found that nearly half (48 per cent) of </w:t>
      </w:r>
      <w:r w:rsidR="003B13FF">
        <w:rPr>
          <w:rStyle w:val="Characterclear"/>
        </w:rPr>
        <w:t xml:space="preserve">female </w:t>
      </w:r>
      <w:r w:rsidR="00B70D1A">
        <w:rPr>
          <w:rStyle w:val="Characterclear"/>
        </w:rPr>
        <w:t>participants who had experienced online hate</w:t>
      </w:r>
      <w:r w:rsidR="003B13FF">
        <w:rPr>
          <w:rStyle w:val="Characterclear"/>
        </w:rPr>
        <w:t xml:space="preserve"> said it included racism, sexism, homophobia or transphobia</w:t>
      </w:r>
      <w:r w:rsidR="009F46CD">
        <w:rPr>
          <w:rStyle w:val="Characterclear"/>
        </w:rPr>
        <w:t>.</w:t>
      </w:r>
      <w:r w:rsidR="003B13FF">
        <w:rPr>
          <w:rStyle w:val="EndnoteReference"/>
          <w:lang w:eastAsia="en-AU"/>
        </w:rPr>
        <w:endnoteReference w:id="137"/>
      </w:r>
    </w:p>
    <w:p w14:paraId="7B83E532" w14:textId="0E0255D5" w:rsidR="00CE6383" w:rsidRDefault="00CE6383" w:rsidP="002A3824">
      <w:pPr>
        <w:pStyle w:val="BodyText"/>
        <w:rPr>
          <w:rStyle w:val="Characterclear"/>
        </w:rPr>
      </w:pPr>
      <w:r>
        <w:rPr>
          <w:rStyle w:val="Characterclear"/>
        </w:rPr>
        <w:t>The intersectional nature of hate conduct was repeatedly conveyed to us by participants in our multicultural and multifaith consultations who told us about everyday experiences of Muslim women and Muslim-African women being targe</w:t>
      </w:r>
      <w:r w:rsidR="001F4A2C">
        <w:rPr>
          <w:rStyle w:val="Characterclear"/>
        </w:rPr>
        <w:t>ted</w:t>
      </w:r>
      <w:r w:rsidR="00E9287D">
        <w:rPr>
          <w:rStyle w:val="Characterclear"/>
        </w:rPr>
        <w:t xml:space="preserve"> </w:t>
      </w:r>
      <w:r w:rsidR="002A3824">
        <w:rPr>
          <w:rStyle w:val="Characterclear"/>
        </w:rPr>
        <w:t xml:space="preserve">and </w:t>
      </w:r>
      <w:r w:rsidR="00E9287D">
        <w:rPr>
          <w:rStyle w:val="Characterclear"/>
        </w:rPr>
        <w:t>harassed</w:t>
      </w:r>
      <w:r w:rsidR="001F4A2C">
        <w:rPr>
          <w:rStyle w:val="Characterclear"/>
        </w:rPr>
        <w:t xml:space="preserve"> on and offline.</w:t>
      </w:r>
      <w:r w:rsidR="00196355">
        <w:rPr>
          <w:rStyle w:val="EndnoteReference"/>
          <w:lang w:eastAsia="en-AU"/>
        </w:rPr>
        <w:endnoteReference w:id="138"/>
      </w:r>
      <w:r w:rsidR="001F4A2C">
        <w:rPr>
          <w:rStyle w:val="Characterclear"/>
        </w:rPr>
        <w:t xml:space="preserve"> </w:t>
      </w:r>
    </w:p>
    <w:p w14:paraId="64B3DFAE" w14:textId="2E3FAD21" w:rsidR="00916380" w:rsidRDefault="00916380" w:rsidP="00916380">
      <w:pPr>
        <w:pStyle w:val="BodyText"/>
      </w:pPr>
      <w:r>
        <w:t xml:space="preserve">D’Souza, Griffin, Shackleton and Walt </w:t>
      </w:r>
      <w:r w:rsidR="00CE6383">
        <w:t xml:space="preserve">recently </w:t>
      </w:r>
      <w:r w:rsidR="001778DF">
        <w:t>commented</w:t>
      </w:r>
      <w:r w:rsidR="00CE6383">
        <w:t xml:space="preserve"> </w:t>
      </w:r>
      <w:r w:rsidR="001778DF">
        <w:t xml:space="preserve">that ‘although largely unrecognised by law, [gendered hate speech] permeates all levels of social interactions and spaces from media personalities, to </w:t>
      </w:r>
      <w:r w:rsidR="008F29AA">
        <w:t xml:space="preserve">educational institutions and social media outlets. Many examples </w:t>
      </w:r>
      <w:r w:rsidR="00AD6A6A">
        <w:t>… show that whilst the degree of harm varies, [gendered hate speech] is so prevalent as to be customary and, in some circumstances, is even openly defended’.</w:t>
      </w:r>
      <w:r w:rsidR="00AD6A6A">
        <w:rPr>
          <w:rStyle w:val="EndnoteReference"/>
        </w:rPr>
        <w:endnoteReference w:id="139"/>
      </w:r>
      <w:r w:rsidR="001A3918">
        <w:t xml:space="preserve"> </w:t>
      </w:r>
    </w:p>
    <w:p w14:paraId="2F8B56CC" w14:textId="5E266758" w:rsidR="00AB6FCC" w:rsidRDefault="00AB6FCC" w:rsidP="00916380">
      <w:pPr>
        <w:pStyle w:val="BodyText"/>
      </w:pPr>
      <w:r w:rsidRPr="00AB6FCC">
        <w:t xml:space="preserve">Part 5.2.1 recommends extending </w:t>
      </w:r>
      <w:r w:rsidR="006868CC">
        <w:t>legal protections to women.</w:t>
      </w:r>
      <w:r w:rsidRPr="00AB6FCC">
        <w:t xml:space="preserve"> </w:t>
      </w:r>
    </w:p>
    <w:p w14:paraId="2C6BAF96" w14:textId="03CD7F32" w:rsidR="00DE62B5" w:rsidRDefault="00AA4473" w:rsidP="004129CB">
      <w:pPr>
        <w:pStyle w:val="Heading3"/>
      </w:pPr>
      <w:r>
        <w:t>People</w:t>
      </w:r>
      <w:r w:rsidR="00E5747B">
        <w:t xml:space="preserve"> with a disability </w:t>
      </w:r>
    </w:p>
    <w:p w14:paraId="2AE6D09E" w14:textId="26FD899C" w:rsidR="009158D0" w:rsidRDefault="009158D0" w:rsidP="005539FE">
      <w:pPr>
        <w:pStyle w:val="BodyText"/>
      </w:pPr>
      <w:r>
        <w:t xml:space="preserve">Although there is limited data on the prevalence of hate conduct </w:t>
      </w:r>
      <w:r w:rsidR="00774ADF">
        <w:t>targeted at</w:t>
      </w:r>
      <w:r>
        <w:t xml:space="preserve"> people with a disability, the Commission understands that people with a disability </w:t>
      </w:r>
      <w:r w:rsidR="00774ADF">
        <w:t xml:space="preserve">continue to </w:t>
      </w:r>
      <w:r w:rsidR="00774ADF">
        <w:lastRenderedPageBreak/>
        <w:t>experience hate on the basis of their disability (including mental health conditions)</w:t>
      </w:r>
      <w:r w:rsidR="000362FD">
        <w:t xml:space="preserve"> and that hate is often accompanied by discrimination</w:t>
      </w:r>
      <w:r w:rsidR="00774ADF">
        <w:t>.</w:t>
      </w:r>
      <w:r w:rsidR="00AA7C52">
        <w:rPr>
          <w:rStyle w:val="EndnoteReference"/>
        </w:rPr>
        <w:endnoteReference w:id="140"/>
      </w:r>
      <w:r w:rsidR="00774ADF">
        <w:t xml:space="preserve"> </w:t>
      </w:r>
    </w:p>
    <w:p w14:paraId="7D95601A" w14:textId="34AE1446" w:rsidR="005539FE" w:rsidRDefault="00F24641" w:rsidP="005539FE">
      <w:pPr>
        <w:pStyle w:val="BodyText"/>
      </w:pPr>
      <w:r>
        <w:t>For example, t</w:t>
      </w:r>
      <w:r w:rsidR="007E6643">
        <w:t>he Commission’s focus group with</w:t>
      </w:r>
      <w:r w:rsidR="00FE62FB">
        <w:t xml:space="preserve"> members of</w:t>
      </w:r>
      <w:r w:rsidR="007E6643">
        <w:t xml:space="preserve"> the disability sector </w:t>
      </w:r>
      <w:r w:rsidR="006C0A86">
        <w:t>revealed that hate is often expressed as verbal abuse and offensive language</w:t>
      </w:r>
      <w:r>
        <w:t xml:space="preserve"> targeted at people with a disability</w:t>
      </w:r>
      <w:r w:rsidR="00DC4C42">
        <w:t>.</w:t>
      </w:r>
      <w:r w:rsidR="00094905">
        <w:rPr>
          <w:rStyle w:val="EndnoteReference"/>
        </w:rPr>
        <w:endnoteReference w:id="141"/>
      </w:r>
      <w:r w:rsidR="000E1304">
        <w:t xml:space="preserve"> Focus group participants explained that hate conduct often occurs in public settings</w:t>
      </w:r>
      <w:r w:rsidR="00443783">
        <w:t xml:space="preserve">, including schools, and that there </w:t>
      </w:r>
      <w:r w:rsidR="00323B6F">
        <w:t xml:space="preserve">is a high prevalence </w:t>
      </w:r>
      <w:r w:rsidR="00B752D2">
        <w:t>of harmful depictions of mental health in the media.</w:t>
      </w:r>
      <w:r w:rsidR="00B752D2">
        <w:rPr>
          <w:rStyle w:val="EndnoteReference"/>
        </w:rPr>
        <w:endnoteReference w:id="142"/>
      </w:r>
      <w:r w:rsidR="00B752D2">
        <w:t xml:space="preserve"> Participants </w:t>
      </w:r>
      <w:r>
        <w:t xml:space="preserve">also </w:t>
      </w:r>
      <w:r w:rsidR="00B752D2">
        <w:t xml:space="preserve">noted that hate conduct is </w:t>
      </w:r>
      <w:r w:rsidR="000E1304">
        <w:t xml:space="preserve">often </w:t>
      </w:r>
      <w:r w:rsidR="00CE23FA">
        <w:t>“</w:t>
      </w:r>
      <w:r w:rsidR="000E1304">
        <w:t>part of daily life</w:t>
      </w:r>
      <w:r w:rsidR="00CE23FA">
        <w:t>”</w:t>
      </w:r>
      <w:r w:rsidR="000E1304">
        <w:t xml:space="preserve"> for people with a disability</w:t>
      </w:r>
      <w:r w:rsidR="00443783">
        <w:t xml:space="preserve"> who </w:t>
      </w:r>
      <w:r w:rsidR="00AD045F">
        <w:t xml:space="preserve">can </w:t>
      </w:r>
      <w:r w:rsidR="00CE23FA">
        <w:t>“</w:t>
      </w:r>
      <w:r w:rsidR="00443783">
        <w:t>develop a thick skin</w:t>
      </w:r>
      <w:r w:rsidR="00CE23FA">
        <w:t>”</w:t>
      </w:r>
      <w:r w:rsidR="00443783">
        <w:t xml:space="preserve"> </w:t>
      </w:r>
      <w:r w:rsidR="00AD045F">
        <w:t>and a result,</w:t>
      </w:r>
      <w:r w:rsidR="00443783">
        <w:t xml:space="preserve"> may </w:t>
      </w:r>
      <w:r w:rsidR="00AD045F">
        <w:t xml:space="preserve">choose </w:t>
      </w:r>
      <w:r w:rsidR="00443783">
        <w:t xml:space="preserve">not </w:t>
      </w:r>
      <w:r w:rsidR="00AD045F">
        <w:t xml:space="preserve">to </w:t>
      </w:r>
      <w:r w:rsidR="00443783">
        <w:t>make a complaint.</w:t>
      </w:r>
      <w:r w:rsidR="00217365">
        <w:rPr>
          <w:rStyle w:val="EndnoteReference"/>
        </w:rPr>
        <w:endnoteReference w:id="143"/>
      </w:r>
    </w:p>
    <w:p w14:paraId="02F2D0E2" w14:textId="5AAAD75A" w:rsidR="00246FEC" w:rsidRDefault="00246FEC" w:rsidP="005539FE">
      <w:pPr>
        <w:pStyle w:val="BodyText"/>
      </w:pPr>
      <w:r>
        <w:t>The Victorian Advocacy League for Individuals with Disability (VALID) told the Commission that hateful words such as ‘retards’, ‘</w:t>
      </w:r>
      <w:r w:rsidR="004015A8">
        <w:t>moron</w:t>
      </w:r>
      <w:r>
        <w:t xml:space="preserve">’, ‘imbecile’ and ‘idiot’ are often directed at a third person but are </w:t>
      </w:r>
      <w:r w:rsidR="00117A9E">
        <w:t xml:space="preserve">also </w:t>
      </w:r>
      <w:r>
        <w:t>harmful to people with a</w:t>
      </w:r>
      <w:r w:rsidR="004015A8">
        <w:t>n intellectual</w:t>
      </w:r>
      <w:r>
        <w:t xml:space="preserve"> disability.</w:t>
      </w:r>
      <w:r>
        <w:rPr>
          <w:rStyle w:val="EndnoteReference"/>
        </w:rPr>
        <w:endnoteReference w:id="144"/>
      </w:r>
      <w:r>
        <w:t xml:space="preserve"> This form of hate often starts at school so is normalised and more difficult to identify. VALID explained that hate is often directed at people with a disability in closed spaces which means that it is difficult to be captured by vilification laws.</w:t>
      </w:r>
      <w:r>
        <w:rPr>
          <w:rStyle w:val="EndnoteReference"/>
        </w:rPr>
        <w:endnoteReference w:id="145"/>
      </w:r>
    </w:p>
    <w:tbl>
      <w:tblPr>
        <w:tblStyle w:val="CustomTablebreakoutbox"/>
        <w:tblW w:w="0" w:type="auto"/>
        <w:tblLook w:val="04A0" w:firstRow="1" w:lastRow="0" w:firstColumn="1" w:lastColumn="0" w:noHBand="0" w:noVBand="1"/>
      </w:tblPr>
      <w:tblGrid>
        <w:gridCol w:w="9061"/>
      </w:tblGrid>
      <w:tr w:rsidR="00DC0A5C" w14:paraId="70D9B802" w14:textId="77777777" w:rsidTr="00DC0A5C">
        <w:tc>
          <w:tcPr>
            <w:tcW w:w="9061" w:type="dxa"/>
          </w:tcPr>
          <w:p w14:paraId="34390904" w14:textId="77777777" w:rsidR="00DC0A5C" w:rsidRDefault="00DC0A5C" w:rsidP="005539FE">
            <w:pPr>
              <w:pStyle w:val="BodyText"/>
              <w:rPr>
                <w:rStyle w:val="Characterbold"/>
              </w:rPr>
            </w:pPr>
            <w:r>
              <w:rPr>
                <w:rStyle w:val="Characterbold"/>
              </w:rPr>
              <w:t xml:space="preserve">Examples of hate targeted at people with a disability </w:t>
            </w:r>
          </w:p>
          <w:p w14:paraId="3C650CAC" w14:textId="090B6BF3" w:rsidR="00104E8D" w:rsidRPr="00BD15A1" w:rsidRDefault="00F545DC" w:rsidP="00BD15A1">
            <w:pPr>
              <w:pStyle w:val="BodyText"/>
              <w:rPr>
                <w:lang w:eastAsia="en-AU"/>
              </w:rPr>
            </w:pPr>
            <w:r>
              <w:rPr>
                <w:rStyle w:val="Characterclear"/>
              </w:rPr>
              <w:t xml:space="preserve">Participants in the Commission’s online survey reported </w:t>
            </w:r>
            <w:r w:rsidR="00BA3C00">
              <w:rPr>
                <w:rStyle w:val="Characterclear"/>
              </w:rPr>
              <w:t xml:space="preserve">several </w:t>
            </w:r>
            <w:r>
              <w:rPr>
                <w:rStyle w:val="Characterclear"/>
              </w:rPr>
              <w:t xml:space="preserve">experiences of hate </w:t>
            </w:r>
            <w:r w:rsidR="001F4A2C">
              <w:rPr>
                <w:rStyle w:val="Characterclear"/>
              </w:rPr>
              <w:t xml:space="preserve">conduct directed at people with a disability </w:t>
            </w:r>
            <w:r>
              <w:rPr>
                <w:rStyle w:val="Characterclear"/>
              </w:rPr>
              <w:t>in the workplace, including</w:t>
            </w:r>
            <w:r w:rsidR="00104E8D">
              <w:rPr>
                <w:rStyle w:val="Characterclear"/>
              </w:rPr>
              <w:t xml:space="preserve"> </w:t>
            </w:r>
            <w:r w:rsidR="006D3E74">
              <w:rPr>
                <w:rStyle w:val="Characterclear"/>
              </w:rPr>
              <w:t xml:space="preserve">one participant who said that </w:t>
            </w:r>
            <w:r w:rsidR="00CE23FA">
              <w:rPr>
                <w:rStyle w:val="Characterclear"/>
              </w:rPr>
              <w:t>“</w:t>
            </w:r>
            <w:r w:rsidR="006D3E74">
              <w:rPr>
                <w:rStyle w:val="Characterclear"/>
              </w:rPr>
              <w:t>my</w:t>
            </w:r>
            <w:r w:rsidR="00104E8D" w:rsidRPr="00104E8D">
              <w:rPr>
                <w:lang w:val="en-GB" w:eastAsia="en-AU"/>
              </w:rPr>
              <w:t xml:space="preserve"> manager at work demeaned me in front of peers by loudly clapping hands during meeting drawing attention to the fact my reduced lung capacity was apparently having me look tired</w:t>
            </w:r>
            <w:r w:rsidR="00CE23FA">
              <w:rPr>
                <w:lang w:eastAsia="en-AU"/>
              </w:rPr>
              <w:t>”</w:t>
            </w:r>
            <w:r w:rsidR="00104E8D">
              <w:t>.</w:t>
            </w:r>
          </w:p>
          <w:p w14:paraId="773B5EB2" w14:textId="42883C1A" w:rsidR="00104E8D" w:rsidRPr="00104E8D" w:rsidRDefault="00104E8D" w:rsidP="00104E8D">
            <w:pPr>
              <w:pStyle w:val="BodyText"/>
            </w:pPr>
            <w:r>
              <w:t xml:space="preserve">Other examples of hate conduct </w:t>
            </w:r>
            <w:r w:rsidRPr="009378DD">
              <w:rPr>
                <w:rStyle w:val="Characterclear"/>
              </w:rPr>
              <w:t xml:space="preserve">reported to the Disability Discrimination Legal Service </w:t>
            </w:r>
            <w:r w:rsidR="003E1503">
              <w:t xml:space="preserve">via a survey </w:t>
            </w:r>
            <w:r w:rsidRPr="00104E8D">
              <w:t>include</w:t>
            </w:r>
            <w:r w:rsidR="00CA6309">
              <w:t>d</w:t>
            </w:r>
            <w:r w:rsidRPr="00104E8D">
              <w:t xml:space="preserve">: </w:t>
            </w:r>
          </w:p>
          <w:p w14:paraId="3BACBCE7" w14:textId="77777777" w:rsidR="00104E8D" w:rsidRPr="00455CFB" w:rsidRDefault="00104E8D" w:rsidP="00455CFB">
            <w:pPr>
              <w:pStyle w:val="ListBullet"/>
              <w:numPr>
                <w:ilvl w:val="0"/>
                <w:numId w:val="3"/>
              </w:numPr>
              <w:rPr>
                <w:rStyle w:val="Characterclear"/>
                <w:lang w:eastAsia="en-GB"/>
              </w:rPr>
            </w:pPr>
            <w:r w:rsidRPr="004C29EF">
              <w:rPr>
                <w:rStyle w:val="Characterclear"/>
                <w:lang w:eastAsia="en-GB"/>
              </w:rPr>
              <w:t>ridicule of a person with a mental illness by staff in a Commonwealth department in front of other staff and clients</w:t>
            </w:r>
          </w:p>
          <w:p w14:paraId="6CD7CA59"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ridicule and harassment of a person with a mental illness by police</w:t>
            </w:r>
          </w:p>
          <w:p w14:paraId="2D7AAFC5"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ridicule of a person using a wheelchair in a coffee shop which attracted laughter from other customers in the shop</w:t>
            </w:r>
          </w:p>
          <w:p w14:paraId="56B5E0B9"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taunting and ridicule of a person with cerebral palsy using a wheelchair by a group of young people whilst waiting for a train</w:t>
            </w:r>
          </w:p>
          <w:p w14:paraId="1A7AEFFA"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mimicking the personal characteristics of a person with a disability and attracting laughter from a group</w:t>
            </w:r>
          </w:p>
          <w:p w14:paraId="79550A55"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pointing and laughter from workers on a building site when a person using an electric wheelchair passed by</w:t>
            </w:r>
          </w:p>
          <w:p w14:paraId="4E7A47C7"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a group of young people switched off the power on a person’s electric wheelchair and spun the chair around whilst laughing at the person</w:t>
            </w:r>
          </w:p>
          <w:p w14:paraId="44208285"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negative comments referring to a person’s disability and physical features posted on their Facebook wall</w:t>
            </w:r>
          </w:p>
          <w:p w14:paraId="2E3C115E" w14:textId="77777777" w:rsidR="00104E8D" w:rsidRPr="00455CFB" w:rsidRDefault="00104E8D" w:rsidP="00455CFB">
            <w:pPr>
              <w:pStyle w:val="ListBullet"/>
              <w:numPr>
                <w:ilvl w:val="0"/>
                <w:numId w:val="3"/>
              </w:numPr>
              <w:rPr>
                <w:rStyle w:val="Characterclear"/>
                <w:lang w:eastAsia="en-GB"/>
              </w:rPr>
            </w:pPr>
            <w:r w:rsidRPr="00455CFB">
              <w:rPr>
                <w:rStyle w:val="Characterclear"/>
                <w:lang w:eastAsia="en-GB"/>
              </w:rPr>
              <w:t xml:space="preserve">being called a ‘retard’ in front of a group of fellow students because of a personal characteristic </w:t>
            </w:r>
          </w:p>
          <w:p w14:paraId="55F69C5E" w14:textId="516BBD24" w:rsidR="00104E8D" w:rsidRPr="00104E8D" w:rsidRDefault="00104E8D" w:rsidP="00455CFB">
            <w:pPr>
              <w:pStyle w:val="ListBullet"/>
              <w:numPr>
                <w:ilvl w:val="0"/>
                <w:numId w:val="3"/>
              </w:numPr>
              <w:rPr>
                <w:rStyle w:val="Characterclear"/>
              </w:rPr>
            </w:pPr>
            <w:r w:rsidRPr="00455CFB">
              <w:rPr>
                <w:rStyle w:val="Characterclear"/>
                <w:lang w:eastAsia="en-GB"/>
              </w:rPr>
              <w:t>ridicule in relation to a person’s sex and physical disability by members of the opposite sex.</w:t>
            </w:r>
            <w:r w:rsidRPr="006E0898">
              <w:rPr>
                <w:rStyle w:val="Charactersubscript"/>
              </w:rPr>
              <w:endnoteReference w:id="146"/>
            </w:r>
          </w:p>
        </w:tc>
      </w:tr>
    </w:tbl>
    <w:p w14:paraId="406CA0E0" w14:textId="1B2C2342" w:rsidR="0076459C" w:rsidRDefault="00A85DE5" w:rsidP="0076459C">
      <w:pPr>
        <w:pStyle w:val="BodyText"/>
      </w:pPr>
      <w:r>
        <w:t xml:space="preserve">The Commission also heard that hate speech towards women with disabilities was likely to </w:t>
      </w:r>
      <w:r w:rsidR="00A7273E">
        <w:t xml:space="preserve">be intersectional, </w:t>
      </w:r>
      <w:r>
        <w:t>target</w:t>
      </w:r>
      <w:r w:rsidR="00A7273E">
        <w:t>ing</w:t>
      </w:r>
      <w:r>
        <w:t xml:space="preserve"> their gender and their disability.</w:t>
      </w:r>
      <w:r>
        <w:rPr>
          <w:rStyle w:val="EndnoteReference"/>
        </w:rPr>
        <w:endnoteReference w:id="147"/>
      </w:r>
    </w:p>
    <w:p w14:paraId="42642CF5" w14:textId="351F71AB" w:rsidR="004A267F" w:rsidRDefault="004A267F" w:rsidP="0076459C">
      <w:pPr>
        <w:pStyle w:val="BodyText"/>
      </w:pPr>
      <w:r>
        <w:t xml:space="preserve">The Disability Discrimination Legal Service </w:t>
      </w:r>
      <w:r w:rsidR="00795105">
        <w:t xml:space="preserve">(DDLS) </w:t>
      </w:r>
      <w:r>
        <w:t xml:space="preserve">has commented that: </w:t>
      </w:r>
    </w:p>
    <w:p w14:paraId="64A61B30" w14:textId="6F1C442B" w:rsidR="0009571E" w:rsidRPr="0009571E" w:rsidRDefault="00CE23FA" w:rsidP="0009571E">
      <w:pPr>
        <w:pStyle w:val="Quote"/>
      </w:pPr>
      <w:r>
        <w:lastRenderedPageBreak/>
        <w:t>‘</w:t>
      </w:r>
      <w:r w:rsidR="0009571E" w:rsidRPr="0009571E">
        <w:t>Our research has indicated that vilifying treatment manifests as both individual and group behaviours ranging along a spectrum from generally accepted usage of words such as ‘retard’ or ‘spastic’, taunting and teasing, or imitating perceived characteristics of a person with a disability to more serious assaults</w:t>
      </w:r>
      <w:r>
        <w:t>’</w:t>
      </w:r>
      <w:r w:rsidR="0009571E">
        <w:t>.</w:t>
      </w:r>
      <w:r w:rsidR="0009571E">
        <w:rPr>
          <w:rStyle w:val="EndnoteReference"/>
        </w:rPr>
        <w:endnoteReference w:id="148"/>
      </w:r>
    </w:p>
    <w:p w14:paraId="5A5D69ED" w14:textId="0FB6D6BF" w:rsidR="006561CB" w:rsidRDefault="006561CB" w:rsidP="00E10D1F">
      <w:pPr>
        <w:pStyle w:val="BodyText"/>
        <w:rPr>
          <w:rStyle w:val="Characterclear"/>
        </w:rPr>
      </w:pPr>
      <w:r>
        <w:rPr>
          <w:rStyle w:val="Characterclear"/>
        </w:rPr>
        <w:t>In Tasmania</w:t>
      </w:r>
      <w:r w:rsidR="006A16DF">
        <w:rPr>
          <w:rStyle w:val="Characterclear"/>
        </w:rPr>
        <w:t>, which protects the attribute of ‘disability’</w:t>
      </w:r>
      <w:r w:rsidR="00A57E45">
        <w:rPr>
          <w:rStyle w:val="Characterclear"/>
        </w:rPr>
        <w:t xml:space="preserve"> for the purposes of its incitement and harm-based vilification laws</w:t>
      </w:r>
      <w:r w:rsidR="00DD3095">
        <w:rPr>
          <w:rStyle w:val="Characterclear"/>
        </w:rPr>
        <w:t xml:space="preserve">, </w:t>
      </w:r>
      <w:r>
        <w:rPr>
          <w:rStyle w:val="Characterclear"/>
        </w:rPr>
        <w:t xml:space="preserve">the majority of complaints </w:t>
      </w:r>
      <w:r w:rsidR="00BE6E41">
        <w:rPr>
          <w:rStyle w:val="Characterclear"/>
        </w:rPr>
        <w:t xml:space="preserve">to Equal Opportunity Tasmania </w:t>
      </w:r>
      <w:r w:rsidR="0003329E">
        <w:rPr>
          <w:rStyle w:val="Characterclear"/>
        </w:rPr>
        <w:t>over the last two financial years were</w:t>
      </w:r>
      <w:r>
        <w:rPr>
          <w:rStyle w:val="Characterclear"/>
        </w:rPr>
        <w:t xml:space="preserve"> </w:t>
      </w:r>
      <w:r w:rsidR="00C801FE">
        <w:rPr>
          <w:rStyle w:val="Characterclear"/>
        </w:rPr>
        <w:t xml:space="preserve">on the ground of disability. For example: </w:t>
      </w:r>
    </w:p>
    <w:p w14:paraId="0ADC05D3" w14:textId="7DF537B1" w:rsidR="00C801FE" w:rsidRDefault="00C801FE" w:rsidP="00A649D1">
      <w:pPr>
        <w:pStyle w:val="ListBullet"/>
        <w:rPr>
          <w:rStyle w:val="Characterclear"/>
        </w:rPr>
      </w:pPr>
      <w:r>
        <w:rPr>
          <w:rStyle w:val="Characterclear"/>
        </w:rPr>
        <w:t>In 2018-19</w:t>
      </w:r>
      <w:r w:rsidR="0039055B">
        <w:rPr>
          <w:rStyle w:val="Characterclear"/>
        </w:rPr>
        <w:t xml:space="preserve">, </w:t>
      </w:r>
      <w:r w:rsidR="00A86F4B">
        <w:rPr>
          <w:rStyle w:val="Characterclear"/>
        </w:rPr>
        <w:t xml:space="preserve">96 complaints were made under the harm-based </w:t>
      </w:r>
      <w:r w:rsidR="001E441F">
        <w:rPr>
          <w:rStyle w:val="Characterclear"/>
        </w:rPr>
        <w:t>test</w:t>
      </w:r>
      <w:r w:rsidR="00E404CB">
        <w:rPr>
          <w:rStyle w:val="Characterclear"/>
        </w:rPr>
        <w:t xml:space="preserve"> </w:t>
      </w:r>
      <w:r w:rsidR="00A1643C" w:rsidRPr="00A1643C">
        <w:rPr>
          <w:rStyle w:val="Characterclear"/>
        </w:rPr>
        <w:t>(50 per cent)</w:t>
      </w:r>
      <w:r w:rsidR="0039055B">
        <w:rPr>
          <w:rStyle w:val="Characterclear"/>
        </w:rPr>
        <w:t xml:space="preserve"> and </w:t>
      </w:r>
      <w:r w:rsidR="00E404CB">
        <w:rPr>
          <w:rStyle w:val="Characterclear"/>
        </w:rPr>
        <w:t>72 complaints</w:t>
      </w:r>
      <w:r w:rsidR="009541D7">
        <w:rPr>
          <w:rStyle w:val="Characterclear"/>
        </w:rPr>
        <w:t xml:space="preserve"> </w:t>
      </w:r>
      <w:r w:rsidR="006F1D84">
        <w:rPr>
          <w:rStyle w:val="Characterclear"/>
        </w:rPr>
        <w:t xml:space="preserve">were made under the incitement </w:t>
      </w:r>
      <w:r w:rsidR="001E441F">
        <w:rPr>
          <w:rStyle w:val="Characterclear"/>
        </w:rPr>
        <w:t>test</w:t>
      </w:r>
      <w:r w:rsidR="009541D7">
        <w:rPr>
          <w:rStyle w:val="Characterclear"/>
        </w:rPr>
        <w:t xml:space="preserve"> </w:t>
      </w:r>
      <w:r w:rsidR="009541D7" w:rsidRPr="009541D7">
        <w:rPr>
          <w:rStyle w:val="Characterclear"/>
        </w:rPr>
        <w:t>(79 per cent)</w:t>
      </w:r>
      <w:r w:rsidR="009541D7">
        <w:rPr>
          <w:rStyle w:val="Characterclear"/>
        </w:rPr>
        <w:t>.</w:t>
      </w:r>
      <w:r w:rsidR="00AE375E">
        <w:rPr>
          <w:rStyle w:val="EndnoteReference"/>
          <w:lang w:eastAsia="en-AU"/>
        </w:rPr>
        <w:endnoteReference w:id="149"/>
      </w:r>
    </w:p>
    <w:p w14:paraId="289A86CB" w14:textId="5BC6060F" w:rsidR="006561CB" w:rsidRDefault="006F1D84" w:rsidP="00A649D1">
      <w:pPr>
        <w:pStyle w:val="ListBullet"/>
        <w:rPr>
          <w:rStyle w:val="Characterclear"/>
        </w:rPr>
      </w:pPr>
      <w:r>
        <w:rPr>
          <w:rStyle w:val="Characterclear"/>
        </w:rPr>
        <w:t>In 2017-18</w:t>
      </w:r>
      <w:r w:rsidR="0039055B">
        <w:rPr>
          <w:rStyle w:val="Characterclear"/>
        </w:rPr>
        <w:t xml:space="preserve">, </w:t>
      </w:r>
      <w:r>
        <w:rPr>
          <w:rStyle w:val="Characterclear"/>
        </w:rPr>
        <w:t xml:space="preserve">45 complaints </w:t>
      </w:r>
      <w:r w:rsidR="00C23112">
        <w:rPr>
          <w:rStyle w:val="Characterclear"/>
        </w:rPr>
        <w:t xml:space="preserve">were made under the harm-based </w:t>
      </w:r>
      <w:r w:rsidR="001E441F">
        <w:rPr>
          <w:rStyle w:val="Characterclear"/>
        </w:rPr>
        <w:t>test</w:t>
      </w:r>
      <w:r w:rsidR="00C23112">
        <w:rPr>
          <w:rStyle w:val="Characterclear"/>
        </w:rPr>
        <w:t xml:space="preserve"> </w:t>
      </w:r>
      <w:r w:rsidR="009541D7" w:rsidRPr="009541D7">
        <w:rPr>
          <w:rStyle w:val="Characterclear"/>
        </w:rPr>
        <w:t>(52 per cent)</w:t>
      </w:r>
      <w:r w:rsidR="0039055B">
        <w:rPr>
          <w:rStyle w:val="Characterclear"/>
        </w:rPr>
        <w:t xml:space="preserve"> and </w:t>
      </w:r>
      <w:r w:rsidR="00A1643C">
        <w:rPr>
          <w:rStyle w:val="Characterclear"/>
        </w:rPr>
        <w:t xml:space="preserve">29 complaints were made under the incitement </w:t>
      </w:r>
      <w:r w:rsidR="001E441F">
        <w:rPr>
          <w:rStyle w:val="Characterclear"/>
        </w:rPr>
        <w:t>test</w:t>
      </w:r>
      <w:r w:rsidR="009541D7">
        <w:rPr>
          <w:rStyle w:val="Characterclear"/>
        </w:rPr>
        <w:t xml:space="preserve"> </w:t>
      </w:r>
      <w:r w:rsidR="009541D7" w:rsidRPr="009541D7">
        <w:rPr>
          <w:rStyle w:val="Characterclear"/>
        </w:rPr>
        <w:t>(66 per cent)</w:t>
      </w:r>
      <w:r w:rsidR="006A16DF">
        <w:rPr>
          <w:rStyle w:val="Characterclear"/>
        </w:rPr>
        <w:t>.</w:t>
      </w:r>
      <w:r w:rsidR="00AE375E">
        <w:rPr>
          <w:rStyle w:val="EndnoteReference"/>
          <w:lang w:eastAsia="en-AU"/>
        </w:rPr>
        <w:endnoteReference w:id="150"/>
      </w:r>
    </w:p>
    <w:p w14:paraId="51A4C3CC" w14:textId="0D9A0BC7" w:rsidR="0078058C" w:rsidRDefault="0078058C" w:rsidP="00222982">
      <w:pPr>
        <w:pStyle w:val="BodyText"/>
      </w:pPr>
      <w:r w:rsidRPr="0078058C">
        <w:t>In Victoria, in 2018-19, the largest number of complaints of discrimination received by the Commission were about disability discrimination, with 595 complaints being recorded. 1710 enquiries over this period also related to the attribute of disability.</w:t>
      </w:r>
      <w:r w:rsidR="00EB12FE">
        <w:rPr>
          <w:rStyle w:val="EndnoteReference"/>
        </w:rPr>
        <w:endnoteReference w:id="151"/>
      </w:r>
      <w:r w:rsidRPr="0078058C">
        <w:t xml:space="preserve"> While the Commission does not specifically record vilification against people with disability</w:t>
      </w:r>
      <w:r w:rsidR="002F7C53">
        <w:t xml:space="preserve"> (</w:t>
      </w:r>
      <w:r w:rsidR="00FA1B47">
        <w:t>as disability is not an attribute under the RRTA)</w:t>
      </w:r>
      <w:r w:rsidRPr="0078058C">
        <w:t>,</w:t>
      </w:r>
      <w:r w:rsidR="00C3346D">
        <w:t xml:space="preserve"> a portion of </w:t>
      </w:r>
      <w:r w:rsidRPr="0078058C">
        <w:t xml:space="preserve">our enquiry and complaint data </w:t>
      </w:r>
      <w:r w:rsidR="00FA1B47" w:rsidRPr="00FA1B47">
        <w:t>would likely involve vilification as well as discrimination</w:t>
      </w:r>
      <w:r w:rsidR="00C3346D">
        <w:t xml:space="preserve">. </w:t>
      </w:r>
    </w:p>
    <w:p w14:paraId="56E35D04" w14:textId="0DE21A77" w:rsidR="00AB6FCC" w:rsidRPr="0039055B" w:rsidRDefault="00AB6FCC" w:rsidP="0087313C">
      <w:pPr>
        <w:pStyle w:val="BodyText"/>
        <w:rPr>
          <w:rStyle w:val="Characteryellowhighlight"/>
          <w:rFonts w:ascii="Times New Roman" w:hAnsi="Times New Roman"/>
          <w:shd w:val="clear" w:color="auto" w:fill="auto"/>
          <w:lang w:eastAsia="en-AU"/>
        </w:rPr>
      </w:pPr>
      <w:r w:rsidRPr="00AB6FCC">
        <w:t xml:space="preserve">Part 5.2.1 recommends extending </w:t>
      </w:r>
      <w:r w:rsidR="006868CC">
        <w:t xml:space="preserve">legal protections </w:t>
      </w:r>
      <w:r w:rsidRPr="00AB6FCC">
        <w:t xml:space="preserve">to </w:t>
      </w:r>
      <w:r>
        <w:t xml:space="preserve">people with a disability. </w:t>
      </w:r>
      <w:r w:rsidRPr="00AB6FCC">
        <w:t xml:space="preserve"> </w:t>
      </w:r>
    </w:p>
    <w:p w14:paraId="46677602" w14:textId="085E229F" w:rsidR="009E3BB1" w:rsidRPr="00303150" w:rsidRDefault="009E3BB1" w:rsidP="00303150">
      <w:pPr>
        <w:pStyle w:val="Heading3"/>
        <w:rPr>
          <w:rStyle w:val="Characterclear"/>
          <w:sz w:val="28"/>
        </w:rPr>
      </w:pPr>
      <w:r w:rsidRPr="00303150">
        <w:rPr>
          <w:rStyle w:val="Characterclear"/>
          <w:sz w:val="28"/>
        </w:rPr>
        <w:t xml:space="preserve">Personal association </w:t>
      </w:r>
    </w:p>
    <w:p w14:paraId="4C34911C" w14:textId="43630438" w:rsidR="00F278E4" w:rsidRDefault="000B6216" w:rsidP="009E3BB1">
      <w:pPr>
        <w:pStyle w:val="BodyText"/>
        <w:rPr>
          <w:rStyle w:val="Characterclear"/>
        </w:rPr>
      </w:pPr>
      <w:r>
        <w:rPr>
          <w:rStyle w:val="Characterclear"/>
        </w:rPr>
        <w:t>The RRTA does not currently protect the attribute of ‘personal association’. This means that a person who is associated with a person with a protected attribute</w:t>
      </w:r>
      <w:r w:rsidR="00C14D11">
        <w:rPr>
          <w:rStyle w:val="Characterclear"/>
        </w:rPr>
        <w:t xml:space="preserve"> (</w:t>
      </w:r>
      <w:r>
        <w:rPr>
          <w:rStyle w:val="Characterclear"/>
        </w:rPr>
        <w:t>such as a parent, carer, advocate or partner</w:t>
      </w:r>
      <w:r w:rsidR="00C14D11">
        <w:rPr>
          <w:rStyle w:val="Characterclear"/>
        </w:rPr>
        <w:t xml:space="preserve">) </w:t>
      </w:r>
      <w:r w:rsidR="00C97621">
        <w:rPr>
          <w:rStyle w:val="Characterclear"/>
        </w:rPr>
        <w:t>cannot bring a complaint under the RRTA</w:t>
      </w:r>
      <w:r w:rsidR="00C14D11">
        <w:rPr>
          <w:rStyle w:val="Characterclear"/>
        </w:rPr>
        <w:t xml:space="preserve"> or make an application to VCAT</w:t>
      </w:r>
      <w:r w:rsidR="00C97621">
        <w:rPr>
          <w:rStyle w:val="Characterclear"/>
        </w:rPr>
        <w:t>.</w:t>
      </w:r>
      <w:r w:rsidR="006D770F">
        <w:rPr>
          <w:rStyle w:val="Characterclear"/>
        </w:rPr>
        <w:t xml:space="preserve"> </w:t>
      </w:r>
      <w:r w:rsidR="00B111ED">
        <w:rPr>
          <w:rStyle w:val="Characterclear"/>
        </w:rPr>
        <w:t xml:space="preserve">Through our consultations, </w:t>
      </w:r>
      <w:r w:rsidR="00C14D11">
        <w:rPr>
          <w:rStyle w:val="Characterclear"/>
        </w:rPr>
        <w:t>we heard</w:t>
      </w:r>
      <w:r w:rsidR="00B111ED">
        <w:rPr>
          <w:rStyle w:val="Characterclear"/>
        </w:rPr>
        <w:t xml:space="preserve"> that </w:t>
      </w:r>
      <w:r w:rsidR="007E7953">
        <w:rPr>
          <w:rStyle w:val="Characterclear"/>
        </w:rPr>
        <w:t>associates of people who are protected by vilification laws</w:t>
      </w:r>
      <w:r w:rsidR="00C14D11">
        <w:rPr>
          <w:rStyle w:val="Characterclear"/>
        </w:rPr>
        <w:t xml:space="preserve"> </w:t>
      </w:r>
      <w:r w:rsidR="007E7953">
        <w:rPr>
          <w:rStyle w:val="Characterclear"/>
        </w:rPr>
        <w:t xml:space="preserve">can also be targeted by hate. </w:t>
      </w:r>
    </w:p>
    <w:p w14:paraId="1E62E74F" w14:textId="2653FB75" w:rsidR="009E3BB1" w:rsidRDefault="00B111ED" w:rsidP="009E3BB1">
      <w:pPr>
        <w:pStyle w:val="BodyText"/>
        <w:rPr>
          <w:rStyle w:val="Characterclear"/>
        </w:rPr>
      </w:pPr>
      <w:r>
        <w:rPr>
          <w:rStyle w:val="Characterclear"/>
        </w:rPr>
        <w:t>For example, a</w:t>
      </w:r>
      <w:r w:rsidR="009E3BB1">
        <w:rPr>
          <w:rStyle w:val="Characterclear"/>
        </w:rPr>
        <w:t xml:space="preserve"> participant in the Commission’s online survey reported experiencing hate based on</w:t>
      </w:r>
      <w:r w:rsidR="00F832A5">
        <w:rPr>
          <w:rStyle w:val="Characterclear"/>
        </w:rPr>
        <w:t xml:space="preserve"> her</w:t>
      </w:r>
      <w:r w:rsidR="009E3BB1">
        <w:rPr>
          <w:rStyle w:val="Characterclear"/>
        </w:rPr>
        <w:t xml:space="preserve"> personal association with </w:t>
      </w:r>
      <w:r w:rsidR="00F832A5">
        <w:rPr>
          <w:rStyle w:val="Characterclear"/>
        </w:rPr>
        <w:t xml:space="preserve">her </w:t>
      </w:r>
      <w:r w:rsidR="009E3BB1">
        <w:rPr>
          <w:rStyle w:val="Characterclear"/>
        </w:rPr>
        <w:t xml:space="preserve">partner who </w:t>
      </w:r>
      <w:r w:rsidR="00F832A5">
        <w:rPr>
          <w:rStyle w:val="Characterclear"/>
        </w:rPr>
        <w:t>is</w:t>
      </w:r>
      <w:r w:rsidR="009E3BB1">
        <w:rPr>
          <w:rStyle w:val="Characterclear"/>
        </w:rPr>
        <w:t xml:space="preserve"> </w:t>
      </w:r>
      <w:r w:rsidR="00F832A5">
        <w:rPr>
          <w:rStyle w:val="Characterclear"/>
        </w:rPr>
        <w:t>Muslim</w:t>
      </w:r>
      <w:r w:rsidR="009E3BB1">
        <w:rPr>
          <w:rStyle w:val="Characterclear"/>
        </w:rPr>
        <w:t xml:space="preserve">. The participant told us that </w:t>
      </w:r>
      <w:r w:rsidR="00CE23FA">
        <w:rPr>
          <w:rStyle w:val="Characterclear"/>
        </w:rPr>
        <w:t>“</w:t>
      </w:r>
      <w:r w:rsidR="009E3BB1">
        <w:rPr>
          <w:rStyle w:val="Characterclear"/>
        </w:rPr>
        <w:t>I have had comments made by people in relation to marrying someone born in a</w:t>
      </w:r>
      <w:r w:rsidR="0068184E">
        <w:rPr>
          <w:rStyle w:val="Characterclear"/>
        </w:rPr>
        <w:t xml:space="preserve"> Muslim country and with skin of a different colour</w:t>
      </w:r>
      <w:r w:rsidR="00CE23FA">
        <w:rPr>
          <w:rStyle w:val="Characterclear"/>
        </w:rPr>
        <w:t>”</w:t>
      </w:r>
      <w:r w:rsidR="0068184E">
        <w:rPr>
          <w:rStyle w:val="Characterclear"/>
        </w:rPr>
        <w:t xml:space="preserve">. </w:t>
      </w:r>
      <w:r w:rsidR="00F278E4">
        <w:rPr>
          <w:rStyle w:val="Characterclear"/>
        </w:rPr>
        <w:t xml:space="preserve">The Commission also heard examples of parents of </w:t>
      </w:r>
      <w:r w:rsidR="00450CE7">
        <w:rPr>
          <w:rStyle w:val="Characterclear"/>
        </w:rPr>
        <w:t xml:space="preserve">trans and </w:t>
      </w:r>
      <w:r w:rsidR="00F278E4">
        <w:rPr>
          <w:rStyle w:val="Characterclear"/>
        </w:rPr>
        <w:t xml:space="preserve">gender-diverse children being targeted by hate because of their children’s </w:t>
      </w:r>
      <w:r w:rsidR="00D775EE">
        <w:rPr>
          <w:rStyle w:val="Characterclear"/>
        </w:rPr>
        <w:t>gender identity.</w:t>
      </w:r>
      <w:r w:rsidR="00D97DB2">
        <w:rPr>
          <w:rStyle w:val="EndnoteReference"/>
          <w:lang w:eastAsia="en-AU"/>
        </w:rPr>
        <w:endnoteReference w:id="152"/>
      </w:r>
    </w:p>
    <w:tbl>
      <w:tblPr>
        <w:tblStyle w:val="CustomTablebreakoutbox"/>
        <w:tblW w:w="0" w:type="auto"/>
        <w:tblLook w:val="04A0" w:firstRow="1" w:lastRow="0" w:firstColumn="1" w:lastColumn="0" w:noHBand="0" w:noVBand="1"/>
      </w:tblPr>
      <w:tblGrid>
        <w:gridCol w:w="9061"/>
      </w:tblGrid>
      <w:tr w:rsidR="007179A5" w14:paraId="4B5D3EFC" w14:textId="77777777" w:rsidTr="007179A5">
        <w:tc>
          <w:tcPr>
            <w:tcW w:w="9061" w:type="dxa"/>
          </w:tcPr>
          <w:p w14:paraId="2BD9B6C6" w14:textId="77777777" w:rsidR="007179A5" w:rsidRPr="007179A5" w:rsidRDefault="007179A5" w:rsidP="007179A5">
            <w:pPr>
              <w:pStyle w:val="Heading4"/>
              <w:outlineLvl w:val="3"/>
              <w:rPr>
                <w:rStyle w:val="Characterclear"/>
              </w:rPr>
            </w:pPr>
            <w:r w:rsidRPr="007179A5">
              <w:rPr>
                <w:rStyle w:val="Characterclear"/>
              </w:rPr>
              <w:t xml:space="preserve">Protections in other jurisdictions </w:t>
            </w:r>
          </w:p>
          <w:p w14:paraId="5A4582CD" w14:textId="4B7FF401" w:rsidR="007179A5" w:rsidRPr="007179A5" w:rsidRDefault="007179A5" w:rsidP="007179A5">
            <w:pPr>
              <w:pStyle w:val="BodyText"/>
              <w:rPr>
                <w:rStyle w:val="Characterclear"/>
              </w:rPr>
            </w:pPr>
            <w:r w:rsidRPr="007179A5">
              <w:rPr>
                <w:rStyle w:val="Characterclear"/>
              </w:rPr>
              <w:t xml:space="preserve">A number of jurisdictions </w:t>
            </w:r>
            <w:r>
              <w:rPr>
                <w:rStyle w:val="Characterclear"/>
              </w:rPr>
              <w:t>in Australia</w:t>
            </w:r>
            <w:r w:rsidRPr="007179A5">
              <w:rPr>
                <w:rStyle w:val="Characterclear"/>
              </w:rPr>
              <w:t xml:space="preserve"> protect personal associates. For example: </w:t>
            </w:r>
          </w:p>
          <w:p w14:paraId="37B7C724" w14:textId="651F20CD" w:rsidR="007179A5" w:rsidRPr="007179A5" w:rsidRDefault="003F07D5" w:rsidP="007179A5">
            <w:pPr>
              <w:pStyle w:val="ListBullet"/>
              <w:numPr>
                <w:ilvl w:val="0"/>
                <w:numId w:val="3"/>
              </w:numPr>
              <w:rPr>
                <w:rStyle w:val="Characterclear"/>
              </w:rPr>
            </w:pPr>
            <w:r>
              <w:rPr>
                <w:rStyle w:val="Characterclear"/>
              </w:rPr>
              <w:t>‘P</w:t>
            </w:r>
            <w:r w:rsidR="007179A5" w:rsidRPr="007179A5">
              <w:rPr>
                <w:rStyle w:val="Characterclear"/>
              </w:rPr>
              <w:t xml:space="preserve">ersonal association’ is protected under s 6(q) of the </w:t>
            </w:r>
            <w:r w:rsidR="007179A5" w:rsidRPr="007179A5">
              <w:rPr>
                <w:rStyle w:val="Characteritalic"/>
              </w:rPr>
              <w:t xml:space="preserve">Equal Opportunity Act 2010 </w:t>
            </w:r>
            <w:r w:rsidR="007179A5" w:rsidRPr="007179A5">
              <w:rPr>
                <w:rStyle w:val="Characterclear"/>
              </w:rPr>
              <w:t xml:space="preserve">(Vic), as well as most other discrimination laws in Australia. </w:t>
            </w:r>
          </w:p>
          <w:p w14:paraId="205F93A9" w14:textId="77777777" w:rsidR="007179A5" w:rsidRPr="007179A5" w:rsidRDefault="007179A5" w:rsidP="007179A5">
            <w:pPr>
              <w:pStyle w:val="ListBullet"/>
              <w:numPr>
                <w:ilvl w:val="0"/>
                <w:numId w:val="3"/>
              </w:numPr>
              <w:rPr>
                <w:rStyle w:val="Characterclear"/>
              </w:rPr>
            </w:pPr>
            <w:r w:rsidRPr="007179A5">
              <w:rPr>
                <w:rStyle w:val="Characterclear"/>
              </w:rPr>
              <w:t xml:space="preserve">‘Associates’ is protected as an attribute for the purposes of the vilification provisions in South Australia under s 3 of the </w:t>
            </w:r>
            <w:r w:rsidRPr="007179A5">
              <w:rPr>
                <w:rStyle w:val="Characteritalic"/>
              </w:rPr>
              <w:t>Racial Vilification Act 1996</w:t>
            </w:r>
            <w:r w:rsidRPr="007179A5">
              <w:rPr>
                <w:rStyle w:val="Characterclear"/>
              </w:rPr>
              <w:t xml:space="preserve"> (SA).</w:t>
            </w:r>
          </w:p>
          <w:p w14:paraId="51A1E865" w14:textId="04157C72" w:rsidR="007179A5" w:rsidRDefault="007179A5" w:rsidP="009E3BB1">
            <w:pPr>
              <w:pStyle w:val="ListBullet"/>
              <w:numPr>
                <w:ilvl w:val="0"/>
                <w:numId w:val="3"/>
              </w:numPr>
              <w:rPr>
                <w:rStyle w:val="Characterclear"/>
              </w:rPr>
            </w:pPr>
            <w:r w:rsidRPr="007179A5">
              <w:rPr>
                <w:rStyle w:val="Characterclear"/>
              </w:rPr>
              <w:t xml:space="preserve">As intended by the Victorian Parliament, s 5(2)(daaa) of the Sentencing Act applies to </w:t>
            </w:r>
            <w:r w:rsidRPr="007179A5">
              <w:t xml:space="preserve">a broad range of victims, including a member of the group, a ‘Good Samaritan’ </w:t>
            </w:r>
            <w:r w:rsidR="003F07D5">
              <w:t>who assists</w:t>
            </w:r>
            <w:r w:rsidRPr="007179A5">
              <w:t xml:space="preserve"> a victim, an advocate or lobbyist of the group, someone in employment related to the group, or an acquaintance or family member who is victimised due to hatred or prejudice against the group.</w:t>
            </w:r>
            <w:r w:rsidRPr="007179A5">
              <w:rPr>
                <w:rStyle w:val="EndnoteReference"/>
              </w:rPr>
              <w:endnoteReference w:id="153"/>
            </w:r>
          </w:p>
        </w:tc>
      </w:tr>
    </w:tbl>
    <w:p w14:paraId="72E9776E" w14:textId="52D6C4C3" w:rsidR="00AB6FCC" w:rsidRDefault="00AB6FCC" w:rsidP="00AB6FCC">
      <w:pPr>
        <w:pStyle w:val="BodyText"/>
      </w:pPr>
      <w:r w:rsidRPr="00AB6FCC">
        <w:t xml:space="preserve">Part 5.2.1 recommends extending </w:t>
      </w:r>
      <w:r w:rsidR="006868CC">
        <w:t>legal protections</w:t>
      </w:r>
      <w:r w:rsidRPr="00AB6FCC">
        <w:t xml:space="preserve"> to </w:t>
      </w:r>
      <w:r w:rsidR="00A816F7">
        <w:t xml:space="preserve">personal associates. </w:t>
      </w:r>
      <w:r w:rsidRPr="00AB6FCC">
        <w:t xml:space="preserve"> </w:t>
      </w:r>
    </w:p>
    <w:p w14:paraId="25299BE5" w14:textId="523FC15A" w:rsidR="0049703E" w:rsidRPr="0049703E" w:rsidRDefault="00646470" w:rsidP="007179A5">
      <w:pPr>
        <w:pStyle w:val="Heading2"/>
      </w:pPr>
      <w:bookmarkStart w:id="21" w:name="_Toc31392337"/>
      <w:r>
        <w:lastRenderedPageBreak/>
        <w:t>Hate</w:t>
      </w:r>
      <w:r w:rsidR="0049703E" w:rsidRPr="0049703E">
        <w:t xml:space="preserve"> has profound negative impacts</w:t>
      </w:r>
      <w:bookmarkEnd w:id="21"/>
      <w:r w:rsidR="0049703E" w:rsidRPr="0049703E">
        <w:t xml:space="preserve"> </w:t>
      </w:r>
    </w:p>
    <w:p w14:paraId="0D46F159" w14:textId="574BB0FE" w:rsidR="00446C9F" w:rsidRDefault="007E46B1" w:rsidP="00262692">
      <w:pPr>
        <w:pStyle w:val="BodyText"/>
      </w:pPr>
      <w:r>
        <w:t xml:space="preserve">Hate in our community </w:t>
      </w:r>
      <w:r w:rsidR="00CD6949">
        <w:t>can have</w:t>
      </w:r>
      <w:r>
        <w:t xml:space="preserve"> profound negative impacts on individuals, </w:t>
      </w:r>
      <w:r w:rsidR="00115C57">
        <w:t xml:space="preserve">target </w:t>
      </w:r>
      <w:r>
        <w:t xml:space="preserve">communities and broader society. </w:t>
      </w:r>
      <w:r w:rsidR="00446C9F">
        <w:t>It</w:t>
      </w:r>
      <w:r w:rsidR="00CB1717" w:rsidRPr="00CB1717">
        <w:t xml:space="preserve"> can </w:t>
      </w:r>
      <w:r w:rsidR="00446C9F">
        <w:t xml:space="preserve">also </w:t>
      </w:r>
      <w:r w:rsidR="00CB1717" w:rsidRPr="00CB1717">
        <w:t>have a broad ripple effect beyond an immediate victim, to witnesses and even perpetrators.</w:t>
      </w:r>
      <w:r w:rsidR="00CB1717" w:rsidRPr="00CB1717">
        <w:rPr>
          <w:rStyle w:val="EndnoteReference"/>
        </w:rPr>
        <w:endnoteReference w:id="154"/>
      </w:r>
      <w:r w:rsidR="00CB1717" w:rsidRPr="00CB1717">
        <w:t xml:space="preserve"> </w:t>
      </w:r>
      <w:r w:rsidR="00F764A7">
        <w:t>As explained by Professor Katharine Gelber in relation to recent anti-Semitic abuse of Jewish school students</w:t>
      </w:r>
      <w:r w:rsidR="00C830EF">
        <w:t xml:space="preserve">: </w:t>
      </w:r>
    </w:p>
    <w:p w14:paraId="426BC5A1" w14:textId="535DF02E" w:rsidR="00F764A7" w:rsidRDefault="00CE23FA" w:rsidP="00F764A7">
      <w:pPr>
        <w:pStyle w:val="Quote"/>
      </w:pPr>
      <w:r>
        <w:t>‘</w:t>
      </w:r>
      <w:r w:rsidR="00F764A7">
        <w:t>Communities targeted with hate speech suffer cumulative effects from being exposed directly to vilification or indirectly through family and community members, from a young age. Since the harms are experienced cumulatively, those who begin to experience those harms as children are much more likely to feel the full effect of those harms over time. This means they are experiencing the most egregious types of harm, even when they come into contact with, say, one comment as an adult because it builds on what they, and their community, have experienced previously</w:t>
      </w:r>
      <w:r>
        <w:t>’</w:t>
      </w:r>
      <w:r w:rsidR="00F764A7">
        <w:t>.</w:t>
      </w:r>
      <w:r w:rsidR="00F764A7">
        <w:rPr>
          <w:rStyle w:val="EndnoteReference"/>
        </w:rPr>
        <w:endnoteReference w:id="155"/>
      </w:r>
    </w:p>
    <w:p w14:paraId="216F7D21" w14:textId="765DFB9D" w:rsidR="00022C7F" w:rsidRDefault="006C2F58" w:rsidP="00262692">
      <w:pPr>
        <w:pStyle w:val="BodyText"/>
      </w:pPr>
      <w:r w:rsidRPr="006C2F58">
        <w:t>The impacts of hate conduct can also be intergenerational</w:t>
      </w:r>
      <w:r w:rsidR="00D55175">
        <w:t xml:space="preserve">. </w:t>
      </w:r>
      <w:r w:rsidR="000473E3">
        <w:t>Intergenerational trauma</w:t>
      </w:r>
      <w:r w:rsidRPr="006C2F58">
        <w:t xml:space="preserve"> has been the experience </w:t>
      </w:r>
      <w:r w:rsidR="00796F6C">
        <w:t>of</w:t>
      </w:r>
      <w:r w:rsidR="00796F6C" w:rsidRPr="006C2F58">
        <w:t xml:space="preserve"> some</w:t>
      </w:r>
      <w:r w:rsidRPr="006C2F58">
        <w:t xml:space="preserve"> Aboriginal people and their families </w:t>
      </w:r>
      <w:r w:rsidR="00796F6C">
        <w:t xml:space="preserve">for </w:t>
      </w:r>
      <w:r w:rsidRPr="006C2F58">
        <w:t>whom fear, insecurity and exclusion have become embedded in their collective identities and experiences as a result of colonisation and ongoing racism.</w:t>
      </w:r>
      <w:r w:rsidR="003B3A6B">
        <w:rPr>
          <w:rStyle w:val="EndnoteReference"/>
        </w:rPr>
        <w:endnoteReference w:id="156"/>
      </w:r>
      <w:r w:rsidRPr="006C2F58">
        <w:t xml:space="preserve"> </w:t>
      </w:r>
    </w:p>
    <w:p w14:paraId="2F3D13EE" w14:textId="5AEBC19D" w:rsidR="00D96D91" w:rsidRDefault="00D96D91" w:rsidP="00262692">
      <w:pPr>
        <w:pStyle w:val="BodyText"/>
      </w:pPr>
      <w:r>
        <w:t>Research suggests that the impact</w:t>
      </w:r>
      <w:r w:rsidR="00A31954">
        <w:t>s</w:t>
      </w:r>
      <w:r>
        <w:t xml:space="preserve"> of hate can be </w:t>
      </w:r>
      <w:r w:rsidR="00121FE7">
        <w:t xml:space="preserve">‘constitutive’ and ‘consequential’: </w:t>
      </w:r>
    </w:p>
    <w:p w14:paraId="4045093F" w14:textId="11D177CD" w:rsidR="00121FE7" w:rsidRDefault="00121FE7" w:rsidP="009C7EF5">
      <w:pPr>
        <w:pStyle w:val="ListBullet"/>
      </w:pPr>
      <w:r>
        <w:t>‘</w:t>
      </w:r>
      <w:r w:rsidR="000F5986">
        <w:t>c</w:t>
      </w:r>
      <w:r>
        <w:t>onstitutive</w:t>
      </w:r>
      <w:r w:rsidR="00985226">
        <w:t xml:space="preserve"> harm’ is the damage that incidents, singularly and cumulatively, do to individuals and communities who are targeted by hate</w:t>
      </w:r>
    </w:p>
    <w:p w14:paraId="7812165F" w14:textId="63F9D131" w:rsidR="00C830EF" w:rsidRDefault="00985226" w:rsidP="009C7EF5">
      <w:pPr>
        <w:pStyle w:val="ListBullet"/>
      </w:pPr>
      <w:r>
        <w:t>‘</w:t>
      </w:r>
      <w:r w:rsidR="000F5986">
        <w:t>c</w:t>
      </w:r>
      <w:r>
        <w:t xml:space="preserve">onsequential harm’ is the risk that </w:t>
      </w:r>
      <w:r w:rsidR="000F5986">
        <w:t>others will be encouraged to hold negative views of the target</w:t>
      </w:r>
      <w:r w:rsidR="006E119C">
        <w:t>s</w:t>
      </w:r>
      <w:r w:rsidR="000F5986">
        <w:t xml:space="preserve"> group</w:t>
      </w:r>
      <w:r w:rsidR="006E119C">
        <w:t xml:space="preserve"> and act on them in discriminatory or violent ways.</w:t>
      </w:r>
      <w:r w:rsidR="006E119C">
        <w:rPr>
          <w:rStyle w:val="EndnoteReference"/>
        </w:rPr>
        <w:endnoteReference w:id="157"/>
      </w:r>
    </w:p>
    <w:p w14:paraId="0B03EB8F" w14:textId="1C655F9F" w:rsidR="004A6FBB" w:rsidRPr="004A6FBB" w:rsidRDefault="004A6FBB" w:rsidP="004A6FBB">
      <w:pPr>
        <w:pStyle w:val="BodyText"/>
      </w:pPr>
      <w:r w:rsidRPr="004A6FBB">
        <w:t xml:space="preserve">The </w:t>
      </w:r>
      <w:r>
        <w:t>Victorian Parliament’s intention</w:t>
      </w:r>
      <w:r w:rsidRPr="004A6FBB">
        <w:t xml:space="preserve"> to reduce the harm</w:t>
      </w:r>
      <w:r>
        <w:t>ful impacts of hate in the community</w:t>
      </w:r>
      <w:r w:rsidRPr="004A6FBB">
        <w:t xml:space="preserve"> is reflected in the </w:t>
      </w:r>
      <w:r>
        <w:t>p</w:t>
      </w:r>
      <w:r w:rsidRPr="004A6FBB">
        <w:t xml:space="preserve">reamble </w:t>
      </w:r>
      <w:r>
        <w:t>to</w:t>
      </w:r>
      <w:r w:rsidRPr="004A6FBB">
        <w:t xml:space="preserve"> the RRTA</w:t>
      </w:r>
      <w:r>
        <w:t xml:space="preserve"> which states that: </w:t>
      </w:r>
    </w:p>
    <w:p w14:paraId="56DCB6C8" w14:textId="1A135F8D" w:rsidR="004A6FBB" w:rsidRDefault="00CE23FA" w:rsidP="006D02E3">
      <w:pPr>
        <w:pStyle w:val="Quote"/>
        <w:rPr>
          <w:rStyle w:val="Characterclear"/>
          <w:lang w:eastAsia="en-US"/>
        </w:rPr>
      </w:pPr>
      <w:r>
        <w:t>‘</w:t>
      </w:r>
      <w:r w:rsidR="004A6FBB" w:rsidRPr="004A6FBB">
        <w:t>Vilifying conduct is contrary to democratic values because of its effect on people of diverse ethnic, Indigenous and religious backgrounds. It diminishes their dignity, sense of self-worth and belonging to the community. It also reduces their ability to contribute to, or fully participate in, all social, political, economic and cultural aspects of society as equals, thus reducing the benefit that diversity brings to the community. It is therefore desirable that the Parliament enact law for the people of Victoria that supports racial and religious tolerance</w:t>
      </w:r>
      <w:r>
        <w:t>’</w:t>
      </w:r>
      <w:r w:rsidR="004A6FBB" w:rsidRPr="004A6FBB">
        <w:t>.</w:t>
      </w:r>
      <w:r w:rsidR="004A6FBB" w:rsidRPr="004A6FBB">
        <w:rPr>
          <w:rStyle w:val="EndnoteReference"/>
        </w:rPr>
        <w:endnoteReference w:id="158"/>
      </w:r>
    </w:p>
    <w:p w14:paraId="0FA64CAD" w14:textId="77777777" w:rsidR="00F37693" w:rsidRDefault="00AE0B81" w:rsidP="00C830EF">
      <w:pPr>
        <w:pStyle w:val="BodyText"/>
        <w:rPr>
          <w:rStyle w:val="Characterclear"/>
        </w:rPr>
      </w:pPr>
      <w:r>
        <w:rPr>
          <w:rStyle w:val="Characterclear"/>
        </w:rPr>
        <w:t xml:space="preserve">This part of our submission highlights research that demonstrates the impacts of </w:t>
      </w:r>
      <w:r w:rsidR="007475EE">
        <w:rPr>
          <w:rStyle w:val="Characterclear"/>
        </w:rPr>
        <w:t xml:space="preserve">some common forms of hate in the Victorian community, including racism, hate targeted at the LGBTIQ community, and online hate. </w:t>
      </w:r>
    </w:p>
    <w:p w14:paraId="6DD3A8A9" w14:textId="4995A5A0" w:rsidR="00513F5C" w:rsidRPr="007038CA" w:rsidRDefault="00606BEA" w:rsidP="00262692">
      <w:pPr>
        <w:pStyle w:val="BodyText"/>
        <w:rPr>
          <w:rStyle w:val="Characterclear"/>
          <w:lang w:eastAsia="en-US"/>
        </w:rPr>
      </w:pPr>
      <w:r>
        <w:rPr>
          <w:rStyle w:val="Characterclear"/>
        </w:rPr>
        <w:t xml:space="preserve">The Commission also recognises that hate has a broader impact on diverse groups of people in Victoria. For example, </w:t>
      </w:r>
      <w:r w:rsidR="00C830EF" w:rsidRPr="00C830EF">
        <w:t xml:space="preserve">Griffin and Shackleton told </w:t>
      </w:r>
      <w:r w:rsidR="00F37693">
        <w:t>us</w:t>
      </w:r>
      <w:r w:rsidR="00C830EF" w:rsidRPr="00C830EF">
        <w:t xml:space="preserve"> that one of the most significant impacts of hate for women is fear, which works to exclude and silence women</w:t>
      </w:r>
      <w:r w:rsidR="00E36CE1">
        <w:t>.</w:t>
      </w:r>
      <w:r w:rsidR="00C830EF" w:rsidRPr="00C830EF">
        <w:rPr>
          <w:rStyle w:val="EndnoteReference"/>
        </w:rPr>
        <w:endnoteReference w:id="159"/>
      </w:r>
      <w:r w:rsidR="00C830EF" w:rsidRPr="00C830EF">
        <w:t xml:space="preserve"> </w:t>
      </w:r>
    </w:p>
    <w:p w14:paraId="677136F0" w14:textId="61C20EFD" w:rsidR="00A042D6" w:rsidRPr="004129CB" w:rsidRDefault="00A042D6" w:rsidP="004129CB">
      <w:pPr>
        <w:pStyle w:val="Heading3"/>
        <w:rPr>
          <w:rStyle w:val="Characterbold"/>
          <w:b w:val="0"/>
        </w:rPr>
      </w:pPr>
      <w:r w:rsidRPr="004129CB">
        <w:rPr>
          <w:rStyle w:val="Characterbold"/>
          <w:b w:val="0"/>
        </w:rPr>
        <w:t xml:space="preserve">The impact of </w:t>
      </w:r>
      <w:r w:rsidR="00CF1F75" w:rsidRPr="004129CB">
        <w:rPr>
          <w:rStyle w:val="Characterbold"/>
          <w:b w:val="0"/>
        </w:rPr>
        <w:t xml:space="preserve">racism </w:t>
      </w:r>
    </w:p>
    <w:p w14:paraId="0E4BBD52" w14:textId="5B99D559" w:rsidR="0022225F" w:rsidRDefault="00B61B61" w:rsidP="0022225F">
      <w:pPr>
        <w:pStyle w:val="BodyText"/>
        <w:rPr>
          <w:rStyle w:val="Characterclear"/>
        </w:rPr>
      </w:pPr>
      <w:r>
        <w:rPr>
          <w:rStyle w:val="Characterclear"/>
        </w:rPr>
        <w:t>Racism and hate</w:t>
      </w:r>
      <w:r w:rsidR="00081436">
        <w:rPr>
          <w:rStyle w:val="Characterclear"/>
        </w:rPr>
        <w:t xml:space="preserve"> have specific and intersecting negative impacts on communities.</w:t>
      </w:r>
      <w:r w:rsidR="007808BE">
        <w:rPr>
          <w:rStyle w:val="EndnoteReference"/>
          <w:lang w:eastAsia="en-AU"/>
        </w:rPr>
        <w:endnoteReference w:id="160"/>
      </w:r>
      <w:r w:rsidR="00081436">
        <w:rPr>
          <w:rStyle w:val="Characterclear"/>
        </w:rPr>
        <w:t xml:space="preserve"> For example, research demonstrates that</w:t>
      </w:r>
      <w:r w:rsidR="00154EA9">
        <w:rPr>
          <w:rStyle w:val="Characterclear"/>
        </w:rPr>
        <w:t xml:space="preserve">: </w:t>
      </w:r>
      <w:r w:rsidR="00617548">
        <w:rPr>
          <w:rStyle w:val="Characterclear"/>
        </w:rPr>
        <w:t xml:space="preserve"> </w:t>
      </w:r>
    </w:p>
    <w:p w14:paraId="2222995B" w14:textId="43546500" w:rsidR="00320E93" w:rsidRDefault="0022225F" w:rsidP="00F36DBA">
      <w:pPr>
        <w:pStyle w:val="ListBullet"/>
        <w:rPr>
          <w:rStyle w:val="Characterclear"/>
        </w:rPr>
      </w:pPr>
      <w:r>
        <w:rPr>
          <w:rStyle w:val="Characterclear"/>
        </w:rPr>
        <w:t>A</w:t>
      </w:r>
      <w:r w:rsidR="007C0FD1">
        <w:rPr>
          <w:rStyle w:val="Characterclear"/>
        </w:rPr>
        <w:t>dults in Victoria who experience racism are significantly more likely to have poor physical health outcomes</w:t>
      </w:r>
      <w:r w:rsidR="006D6FFE">
        <w:rPr>
          <w:rStyle w:val="Characterclear"/>
        </w:rPr>
        <w:t xml:space="preserve"> (which is largely due to racism being a significant </w:t>
      </w:r>
      <w:r w:rsidR="006D6FFE">
        <w:rPr>
          <w:rStyle w:val="Characterclear"/>
        </w:rPr>
        <w:lastRenderedPageBreak/>
        <w:t>stressor for victims)</w:t>
      </w:r>
      <w:r w:rsidR="00320E93">
        <w:rPr>
          <w:rStyle w:val="Characterclear"/>
        </w:rPr>
        <w:t>.</w:t>
      </w:r>
      <w:r w:rsidR="00320E93">
        <w:rPr>
          <w:rStyle w:val="EndnoteReference"/>
          <w:lang w:eastAsia="en-AU"/>
        </w:rPr>
        <w:endnoteReference w:id="161"/>
      </w:r>
      <w:r w:rsidR="00C5487D">
        <w:rPr>
          <w:rStyle w:val="Characterclear"/>
        </w:rPr>
        <w:t xml:space="preserve"> As a result, victims will often engage in unhealthy coping mechanisms, such as higher rates of smoking, alcohol and substance misuse.</w:t>
      </w:r>
      <w:r w:rsidR="00C5487D">
        <w:rPr>
          <w:rStyle w:val="EndnoteReference"/>
          <w:lang w:eastAsia="en-AU"/>
        </w:rPr>
        <w:endnoteReference w:id="162"/>
      </w:r>
    </w:p>
    <w:p w14:paraId="2183879D" w14:textId="0BFD8C79" w:rsidR="00B864F7" w:rsidRDefault="008A4D27" w:rsidP="00F36DBA">
      <w:pPr>
        <w:pStyle w:val="ListBullet"/>
        <w:rPr>
          <w:rStyle w:val="Characterclear"/>
        </w:rPr>
      </w:pPr>
      <w:r>
        <w:rPr>
          <w:rStyle w:val="Characterclear"/>
        </w:rPr>
        <w:t>The m</w:t>
      </w:r>
      <w:r w:rsidR="00351B70">
        <w:rPr>
          <w:rStyle w:val="Characterclear"/>
        </w:rPr>
        <w:t xml:space="preserve">ental health impacts of racial discrimination in Victorian Aboriginal communities </w:t>
      </w:r>
      <w:r w:rsidR="00100553">
        <w:rPr>
          <w:rStyle w:val="Characterclear"/>
        </w:rPr>
        <w:t>is substantial</w:t>
      </w:r>
      <w:r w:rsidR="00B35ED2">
        <w:rPr>
          <w:rStyle w:val="Characterclear"/>
        </w:rPr>
        <w:t>.</w:t>
      </w:r>
      <w:r w:rsidR="00100553">
        <w:rPr>
          <w:rStyle w:val="Characterclear"/>
        </w:rPr>
        <w:t xml:space="preserve"> </w:t>
      </w:r>
      <w:r w:rsidR="00B35ED2">
        <w:rPr>
          <w:rStyle w:val="Characterclear"/>
        </w:rPr>
        <w:t>A</w:t>
      </w:r>
      <w:r w:rsidR="00100553">
        <w:rPr>
          <w:rStyle w:val="Characterclear"/>
        </w:rPr>
        <w:t xml:space="preserve"> study</w:t>
      </w:r>
      <w:r w:rsidR="00351B70">
        <w:rPr>
          <w:rStyle w:val="Characterclear"/>
        </w:rPr>
        <w:t xml:space="preserve"> found that 50 per cents of all participants</w:t>
      </w:r>
      <w:r w:rsidR="007175DE">
        <w:rPr>
          <w:rStyle w:val="Characterclear"/>
        </w:rPr>
        <w:t xml:space="preserve"> (and 65 per cent of participants exposed to</w:t>
      </w:r>
      <w:r w:rsidR="001932BF">
        <w:rPr>
          <w:rStyle w:val="Characterclear"/>
        </w:rPr>
        <w:t xml:space="preserve"> </w:t>
      </w:r>
      <w:r w:rsidR="007175DE">
        <w:rPr>
          <w:rStyle w:val="Characterclear"/>
        </w:rPr>
        <w:t>12 or more incidents of racism) reported high or very high levels of</w:t>
      </w:r>
      <w:r w:rsidR="0014634C">
        <w:rPr>
          <w:rStyle w:val="Characterclear"/>
        </w:rPr>
        <w:t xml:space="preserve"> mental distress.</w:t>
      </w:r>
      <w:r w:rsidR="0014634C">
        <w:rPr>
          <w:rStyle w:val="EndnoteReference"/>
          <w:lang w:eastAsia="en-AU"/>
        </w:rPr>
        <w:endnoteReference w:id="163"/>
      </w:r>
      <w:r w:rsidR="0014634C">
        <w:rPr>
          <w:rStyle w:val="Characterclear"/>
        </w:rPr>
        <w:t xml:space="preserve"> The risk of mental distress increased with the volume of racism experienced.</w:t>
      </w:r>
      <w:r w:rsidR="006909D5">
        <w:rPr>
          <w:rStyle w:val="EndnoteReference"/>
          <w:lang w:eastAsia="en-AU"/>
        </w:rPr>
        <w:endnoteReference w:id="164"/>
      </w:r>
    </w:p>
    <w:p w14:paraId="198EAE58" w14:textId="0921231C" w:rsidR="00641D6E" w:rsidRDefault="00641D6E" w:rsidP="00F36DBA">
      <w:pPr>
        <w:pStyle w:val="ListBullet"/>
        <w:rPr>
          <w:rStyle w:val="Characterclear"/>
        </w:rPr>
      </w:pPr>
      <w:r>
        <w:rPr>
          <w:rStyle w:val="Characterclear"/>
        </w:rPr>
        <w:t>Victim</w:t>
      </w:r>
      <w:r w:rsidR="00154EA9">
        <w:rPr>
          <w:rStyle w:val="Characterclear"/>
        </w:rPr>
        <w:t xml:space="preserve">s </w:t>
      </w:r>
      <w:r w:rsidR="00922696">
        <w:rPr>
          <w:rStyle w:val="Characterclear"/>
        </w:rPr>
        <w:t>of racism</w:t>
      </w:r>
      <w:r w:rsidR="008A4D27">
        <w:rPr>
          <w:rStyle w:val="Characterclear"/>
        </w:rPr>
        <w:t xml:space="preserve"> can tend to</w:t>
      </w:r>
      <w:r w:rsidR="00922696">
        <w:rPr>
          <w:rStyle w:val="Characterclear"/>
        </w:rPr>
        <w:t xml:space="preserve"> avoid situations and self-isolate.</w:t>
      </w:r>
      <w:r w:rsidR="00922696">
        <w:rPr>
          <w:rStyle w:val="EndnoteReference"/>
          <w:lang w:eastAsia="en-AU"/>
        </w:rPr>
        <w:endnoteReference w:id="165"/>
      </w:r>
      <w:r w:rsidR="00DA71A8">
        <w:rPr>
          <w:rStyle w:val="Characterclear"/>
        </w:rPr>
        <w:t xml:space="preserve"> </w:t>
      </w:r>
      <w:r w:rsidR="00BD35B4">
        <w:rPr>
          <w:rStyle w:val="Characterclear"/>
        </w:rPr>
        <w:t>For example,</w:t>
      </w:r>
      <w:r w:rsidR="00C3685B">
        <w:rPr>
          <w:rStyle w:val="Characterclear"/>
        </w:rPr>
        <w:t xml:space="preserve"> a Victorian Health report found that 79</w:t>
      </w:r>
      <w:r w:rsidR="007A5467">
        <w:rPr>
          <w:rStyle w:val="Characterclear"/>
        </w:rPr>
        <w:t xml:space="preserve"> per cent</w:t>
      </w:r>
      <w:r w:rsidR="00C3685B">
        <w:rPr>
          <w:rStyle w:val="Characterclear"/>
        </w:rPr>
        <w:t xml:space="preserve"> of </w:t>
      </w:r>
      <w:r w:rsidR="00AF42AE">
        <w:rPr>
          <w:rStyle w:val="Characterclear"/>
        </w:rPr>
        <w:t>participants would avoid situations where they thought racism would take place.</w:t>
      </w:r>
      <w:r w:rsidR="00E7489A">
        <w:rPr>
          <w:rStyle w:val="EndnoteReference"/>
          <w:lang w:eastAsia="en-AU"/>
        </w:rPr>
        <w:endnoteReference w:id="166"/>
      </w:r>
      <w:r w:rsidR="00BD35B4">
        <w:rPr>
          <w:rStyle w:val="Characterclear"/>
        </w:rPr>
        <w:t xml:space="preserve"> </w:t>
      </w:r>
    </w:p>
    <w:p w14:paraId="3E044002" w14:textId="3A431183" w:rsidR="00A042D6" w:rsidRPr="00A94C25" w:rsidRDefault="0032473F" w:rsidP="00F36DBA">
      <w:pPr>
        <w:pStyle w:val="BodyText"/>
        <w:rPr>
          <w:rStyle w:val="Characterbold"/>
          <w:b w:val="0"/>
          <w:lang w:eastAsia="en-AU"/>
        </w:rPr>
      </w:pPr>
      <w:r>
        <w:rPr>
          <w:rStyle w:val="Characterclear"/>
        </w:rPr>
        <w:t>Significantly, f</w:t>
      </w:r>
      <w:r w:rsidR="00265856">
        <w:rPr>
          <w:rStyle w:val="Characterclear"/>
        </w:rPr>
        <w:t>or the period 2001-2011, the</w:t>
      </w:r>
      <w:r w:rsidR="00F92103">
        <w:rPr>
          <w:rStyle w:val="Characterclear"/>
        </w:rPr>
        <w:t xml:space="preserve"> economic burden </w:t>
      </w:r>
      <w:r w:rsidR="003C0E25">
        <w:rPr>
          <w:rStyle w:val="Characterclear"/>
        </w:rPr>
        <w:t xml:space="preserve">(due to </w:t>
      </w:r>
      <w:r w:rsidR="006A588E">
        <w:rPr>
          <w:rStyle w:val="Characterclear"/>
        </w:rPr>
        <w:t>negative health outcomes)</w:t>
      </w:r>
      <w:r w:rsidR="00F92103">
        <w:rPr>
          <w:rStyle w:val="Characterclear"/>
        </w:rPr>
        <w:t xml:space="preserve"> of racism </w:t>
      </w:r>
      <w:r w:rsidR="00265856">
        <w:rPr>
          <w:rStyle w:val="Characterclear"/>
        </w:rPr>
        <w:t>was</w:t>
      </w:r>
      <w:r w:rsidR="00F92103">
        <w:rPr>
          <w:rStyle w:val="Characterclear"/>
        </w:rPr>
        <w:t xml:space="preserve"> estimated </w:t>
      </w:r>
      <w:r w:rsidR="00265856">
        <w:rPr>
          <w:rStyle w:val="Characterclear"/>
        </w:rPr>
        <w:t xml:space="preserve">at a total </w:t>
      </w:r>
      <w:r w:rsidR="00F37875">
        <w:rPr>
          <w:rStyle w:val="Characterclear"/>
        </w:rPr>
        <w:t>equivalent to</w:t>
      </w:r>
      <w:r w:rsidR="00265856">
        <w:rPr>
          <w:rStyle w:val="Characterclear"/>
        </w:rPr>
        <w:t xml:space="preserve"> $37.9 billion to the Australian economy or roughly 3.02 per cent of the annual average GDP.</w:t>
      </w:r>
      <w:r w:rsidR="00265856">
        <w:rPr>
          <w:rStyle w:val="EndnoteReference"/>
          <w:lang w:eastAsia="en-AU"/>
        </w:rPr>
        <w:endnoteReference w:id="167"/>
      </w:r>
      <w:r w:rsidR="00F92103">
        <w:rPr>
          <w:rStyle w:val="Characterclear"/>
        </w:rPr>
        <w:t xml:space="preserve"> </w:t>
      </w:r>
    </w:p>
    <w:p w14:paraId="28CEA56E" w14:textId="18BF4F82" w:rsidR="00FD3D80" w:rsidRDefault="00A31954" w:rsidP="00E14DE5">
      <w:pPr>
        <w:pStyle w:val="BodyText"/>
      </w:pPr>
      <w:r w:rsidRPr="00A31954">
        <w:t xml:space="preserve">An Australian study found that the incidents of public racism </w:t>
      </w:r>
      <w:r w:rsidR="008E6197">
        <w:t>have a range of short and long-term negative impacts, including feeling offended, upset, hurt and angry, experiencing fear, intimidation and paranoia, suffering diminished</w:t>
      </w:r>
      <w:r w:rsidR="004F393A">
        <w:t xml:space="preserve"> self-esteem, feeling paralysed and silenced, and feeling excluded from wider community.</w:t>
      </w:r>
      <w:r w:rsidR="004F393A">
        <w:rPr>
          <w:rStyle w:val="EndnoteReference"/>
        </w:rPr>
        <w:endnoteReference w:id="168"/>
      </w:r>
      <w:r w:rsidR="00063B8F">
        <w:t xml:space="preserve"> In that study, responses by victims of hate included modifying public behaviour to avoid censure and stereotyping, </w:t>
      </w:r>
      <w:r w:rsidR="00DE310D">
        <w:t>restrictions on social interactions in public, unwillingness to identify with their ethnicity in the workplace, and only speaking English in public.</w:t>
      </w:r>
      <w:r w:rsidR="00DE310D">
        <w:rPr>
          <w:rStyle w:val="EndnoteReference"/>
        </w:rPr>
        <w:endnoteReference w:id="169"/>
      </w:r>
      <w:r w:rsidR="00FD3D80">
        <w:t xml:space="preserve"> </w:t>
      </w:r>
    </w:p>
    <w:p w14:paraId="3CB3233F" w14:textId="6E482551" w:rsidR="008F1E85" w:rsidRDefault="000E53C0" w:rsidP="00226686">
      <w:pPr>
        <w:pStyle w:val="BodyText"/>
        <w:rPr>
          <w:rStyle w:val="Characterclear"/>
        </w:rPr>
      </w:pPr>
      <w:r>
        <w:t>In consultation</w:t>
      </w:r>
      <w:r w:rsidRPr="000E53C0">
        <w:t xml:space="preserve"> with multifaith and multicultural stakeholders</w:t>
      </w:r>
      <w:r>
        <w:t>, the Commission</w:t>
      </w:r>
      <w:r w:rsidRPr="000E53C0">
        <w:t xml:space="preserve"> </w:t>
      </w:r>
      <w:r>
        <w:t>heard about</w:t>
      </w:r>
      <w:r w:rsidRPr="000E53C0">
        <w:t xml:space="preserve"> </w:t>
      </w:r>
      <w:r>
        <w:t>similar impacts</w:t>
      </w:r>
      <w:r w:rsidR="00C4137E">
        <w:t>,</w:t>
      </w:r>
      <w:r>
        <w:t xml:space="preserve"> such as</w:t>
      </w:r>
      <w:r w:rsidRPr="000E53C0">
        <w:t xml:space="preserve"> withdrawal from public spaces and social life, silencing victims, </w:t>
      </w:r>
      <w:r w:rsidR="00696626">
        <w:t xml:space="preserve">diminished education and career opportunities, </w:t>
      </w:r>
      <w:r w:rsidRPr="000E53C0">
        <w:t>physical harm, mental health impacts and sometimes suicide.</w:t>
      </w:r>
      <w:r w:rsidRPr="000E53C0">
        <w:rPr>
          <w:rStyle w:val="EndnoteReference"/>
        </w:rPr>
        <w:endnoteReference w:id="170"/>
      </w:r>
      <w:r w:rsidRPr="000E53C0">
        <w:rPr>
          <w:rStyle w:val="Characterclear"/>
        </w:rPr>
        <w:t xml:space="preserve"> </w:t>
      </w:r>
    </w:p>
    <w:p w14:paraId="404BEAEA" w14:textId="030A2D7C" w:rsidR="008E112E" w:rsidRDefault="008E112E" w:rsidP="003E2CCF">
      <w:pPr>
        <w:pStyle w:val="BodyText"/>
      </w:pPr>
      <w:r>
        <w:t xml:space="preserve">Participants in the </w:t>
      </w:r>
      <w:r w:rsidR="003E2CCF" w:rsidRPr="003E2CCF">
        <w:t>Centre for Multicultural Youth’s 2016 r</w:t>
      </w:r>
      <w:r>
        <w:t>esearch</w:t>
      </w:r>
      <w:r w:rsidR="003E2CCF" w:rsidRPr="003E2CCF">
        <w:t xml:space="preserve"> on growing up South Sudanese in Victoria </w:t>
      </w:r>
      <w:r>
        <w:t>suggested that increased racial abuse has</w:t>
      </w:r>
      <w:r w:rsidR="004A6F40">
        <w:t xml:space="preserve">: </w:t>
      </w:r>
    </w:p>
    <w:p w14:paraId="351D7B77" w14:textId="5BD6DB2D" w:rsidR="003E2CCF" w:rsidRDefault="00C4137E" w:rsidP="003E2CCF">
      <w:pPr>
        <w:pStyle w:val="Quote"/>
      </w:pPr>
      <w:r>
        <w:t>‘</w:t>
      </w:r>
      <w:r w:rsidR="003E2CCF" w:rsidRPr="003E2CCF">
        <w:t>collectively contributed to a heightened sense of exclusion, isolation and powerlessness among young South Sudanese Australians. They also voiced concerns about how these negative stereotypes were impacting their ability to make the most of ‘amazing’ opportunities that exist in Victoria</w:t>
      </w:r>
      <w:r>
        <w:t>’</w:t>
      </w:r>
      <w:r w:rsidR="003E2CCF" w:rsidRPr="003E2CCF">
        <w:t>.</w:t>
      </w:r>
      <w:r w:rsidR="002C6D65">
        <w:rPr>
          <w:rStyle w:val="EndnoteReference"/>
        </w:rPr>
        <w:endnoteReference w:id="171"/>
      </w:r>
    </w:p>
    <w:p w14:paraId="7E9A06C9" w14:textId="4E6D67CB" w:rsidR="004A6F40" w:rsidRPr="00DA71A8" w:rsidRDefault="00A77FEA" w:rsidP="00DA71A8">
      <w:pPr>
        <w:pStyle w:val="BodyText"/>
        <w:rPr>
          <w:rStyle w:val="Characterclear"/>
        </w:rPr>
      </w:pPr>
      <w:r>
        <w:rPr>
          <w:rStyle w:val="Characterclear"/>
        </w:rPr>
        <w:t xml:space="preserve">A young </w:t>
      </w:r>
      <w:r w:rsidR="00587794">
        <w:rPr>
          <w:rStyle w:val="Characterclear"/>
        </w:rPr>
        <w:t>African community leader</w:t>
      </w:r>
      <w:r w:rsidR="002149F1">
        <w:rPr>
          <w:rStyle w:val="Characterclear"/>
        </w:rPr>
        <w:t xml:space="preserve"> </w:t>
      </w:r>
      <w:r w:rsidR="004A6F40">
        <w:rPr>
          <w:rStyle w:val="Characterclear"/>
        </w:rPr>
        <w:t xml:space="preserve">also </w:t>
      </w:r>
      <w:r w:rsidR="004A6F40" w:rsidRPr="004A6F40">
        <w:rPr>
          <w:rStyle w:val="Characterclear"/>
        </w:rPr>
        <w:t>spoke</w:t>
      </w:r>
      <w:r w:rsidR="00DA71A8">
        <w:rPr>
          <w:rStyle w:val="Characterclear"/>
        </w:rPr>
        <w:t xml:space="preserve"> </w:t>
      </w:r>
      <w:r w:rsidR="004A6F40" w:rsidRPr="004A6F40">
        <w:rPr>
          <w:rStyle w:val="Characterclear"/>
        </w:rPr>
        <w:t xml:space="preserve">about how vilification makes </w:t>
      </w:r>
      <w:r w:rsidR="002149F1">
        <w:rPr>
          <w:rStyle w:val="Characterclear"/>
        </w:rPr>
        <w:t>him and his community</w:t>
      </w:r>
      <w:r w:rsidR="004A6F40" w:rsidRPr="004A6F40">
        <w:rPr>
          <w:rStyle w:val="Characterclear"/>
        </w:rPr>
        <w:t xml:space="preserve"> retreat and become silent. </w:t>
      </w:r>
      <w:r w:rsidR="002149F1">
        <w:rPr>
          <w:rStyle w:val="Characterclear"/>
        </w:rPr>
        <w:t xml:space="preserve">He said </w:t>
      </w:r>
      <w:r w:rsidR="005462EA">
        <w:rPr>
          <w:rStyle w:val="Characterclear"/>
        </w:rPr>
        <w:t>parents</w:t>
      </w:r>
      <w:r w:rsidR="004A6F40" w:rsidRPr="004A6F40">
        <w:rPr>
          <w:rStyle w:val="Characterclear"/>
        </w:rPr>
        <w:t xml:space="preserve">, concerned for their </w:t>
      </w:r>
      <w:r w:rsidR="005462EA">
        <w:rPr>
          <w:rStyle w:val="Characterclear"/>
        </w:rPr>
        <w:t xml:space="preserve">children’s </w:t>
      </w:r>
      <w:r w:rsidR="004A6F40" w:rsidRPr="004A6F40">
        <w:rPr>
          <w:rStyle w:val="Characterclear"/>
        </w:rPr>
        <w:t>safety, try to instil this fear to protect them</w:t>
      </w:r>
      <w:r w:rsidR="006A588E">
        <w:rPr>
          <w:rStyle w:val="Characterclear"/>
        </w:rPr>
        <w:t>. They remind them</w:t>
      </w:r>
      <w:r w:rsidR="004A6F40" w:rsidRPr="004A6F40">
        <w:rPr>
          <w:rStyle w:val="Characterclear"/>
        </w:rPr>
        <w:t xml:space="preserve"> </w:t>
      </w:r>
      <w:r w:rsidR="00C4137E">
        <w:rPr>
          <w:rStyle w:val="Characterclear"/>
        </w:rPr>
        <w:t>“</w:t>
      </w:r>
      <w:r w:rsidR="004A6F40" w:rsidRPr="004A6F40">
        <w:rPr>
          <w:rStyle w:val="Characterclear"/>
        </w:rPr>
        <w:t>don’t bring attention to yourself</w:t>
      </w:r>
      <w:r w:rsidR="00C4137E">
        <w:rPr>
          <w:rStyle w:val="Characterclear"/>
        </w:rPr>
        <w:t>”</w:t>
      </w:r>
      <w:r w:rsidR="001D42D2">
        <w:rPr>
          <w:rStyle w:val="Characterclear"/>
        </w:rPr>
        <w:t xml:space="preserve">; </w:t>
      </w:r>
      <w:r w:rsidR="00C4137E">
        <w:rPr>
          <w:rStyle w:val="Characterclear"/>
        </w:rPr>
        <w:t>“</w:t>
      </w:r>
      <w:r w:rsidR="004A6F40" w:rsidRPr="004A6F40">
        <w:rPr>
          <w:rStyle w:val="Characterclear"/>
        </w:rPr>
        <w:t>people who get noticed, get killed</w:t>
      </w:r>
      <w:r w:rsidR="00C4137E">
        <w:rPr>
          <w:rStyle w:val="Characterclear"/>
        </w:rPr>
        <w:t>”</w:t>
      </w:r>
      <w:r w:rsidR="004A6F40" w:rsidRPr="004A6F40">
        <w:rPr>
          <w:rStyle w:val="Characterclear"/>
        </w:rPr>
        <w:t>.</w:t>
      </w:r>
      <w:r w:rsidR="004A6F40" w:rsidRPr="004A6F40">
        <w:rPr>
          <w:rStyle w:val="EndnoteReference"/>
        </w:rPr>
        <w:endnoteReference w:id="172"/>
      </w:r>
    </w:p>
    <w:p w14:paraId="19CF19BE" w14:textId="38178F82" w:rsidR="007475EE" w:rsidRPr="004129CB" w:rsidRDefault="007475EE" w:rsidP="004129CB">
      <w:pPr>
        <w:pStyle w:val="Heading3"/>
        <w:rPr>
          <w:rStyle w:val="Characterbold"/>
          <w:b w:val="0"/>
        </w:rPr>
      </w:pPr>
      <w:r w:rsidRPr="004129CB">
        <w:rPr>
          <w:rStyle w:val="Characterbold"/>
          <w:b w:val="0"/>
        </w:rPr>
        <w:t xml:space="preserve">The impact of hate </w:t>
      </w:r>
      <w:r w:rsidR="005B31A8" w:rsidRPr="004129CB">
        <w:rPr>
          <w:rStyle w:val="Characterbold"/>
          <w:b w:val="0"/>
        </w:rPr>
        <w:t>on</w:t>
      </w:r>
      <w:r w:rsidRPr="004129CB">
        <w:rPr>
          <w:rStyle w:val="Characterbold"/>
          <w:b w:val="0"/>
        </w:rPr>
        <w:t xml:space="preserve"> the LGBTIQ community </w:t>
      </w:r>
    </w:p>
    <w:p w14:paraId="1B4113BF" w14:textId="309E768D" w:rsidR="005B31A8" w:rsidRDefault="00F02B94" w:rsidP="007E46B1">
      <w:pPr>
        <w:pStyle w:val="BodyText"/>
        <w:rPr>
          <w:rStyle w:val="Characterclear"/>
        </w:rPr>
      </w:pPr>
      <w:r w:rsidRPr="00F02B94">
        <w:rPr>
          <w:rStyle w:val="Characterclear"/>
        </w:rPr>
        <w:t>The impa</w:t>
      </w:r>
      <w:r>
        <w:rPr>
          <w:rStyle w:val="Characterclear"/>
        </w:rPr>
        <w:t>ct of hate on the LGBTIQ community is well established</w:t>
      </w:r>
      <w:r w:rsidR="0042213C">
        <w:rPr>
          <w:rStyle w:val="Characterclear"/>
        </w:rPr>
        <w:t xml:space="preserve">, including the significant impact </w:t>
      </w:r>
      <w:r w:rsidR="008202B1">
        <w:rPr>
          <w:rStyle w:val="Characterclear"/>
        </w:rPr>
        <w:t>of hate on mental health</w:t>
      </w:r>
      <w:r w:rsidR="0042213C">
        <w:rPr>
          <w:rStyle w:val="Characterclear"/>
        </w:rPr>
        <w:t>.</w:t>
      </w:r>
      <w:r w:rsidR="0042213C">
        <w:rPr>
          <w:rStyle w:val="EndnoteReference"/>
          <w:lang w:eastAsia="en-AU"/>
        </w:rPr>
        <w:endnoteReference w:id="173"/>
      </w:r>
      <w:r w:rsidR="00CA15DD">
        <w:rPr>
          <w:rStyle w:val="Characterclear"/>
        </w:rPr>
        <w:t xml:space="preserve"> The Human Rights Law Centre’s ‘End the Hate’ report stated that ‘the cumulative impact of experiencing public harassment causes a broad range of harms, including emotional and psychological impacts, physical impacts, social exclusion and identity expression.</w:t>
      </w:r>
      <w:r w:rsidR="00CA15DD">
        <w:rPr>
          <w:rStyle w:val="EndnoteReference"/>
          <w:lang w:eastAsia="en-AU"/>
        </w:rPr>
        <w:endnoteReference w:id="174"/>
      </w:r>
      <w:r w:rsidR="00287C20">
        <w:rPr>
          <w:rStyle w:val="Characterclear"/>
        </w:rPr>
        <w:t xml:space="preserve"> For example:</w:t>
      </w:r>
    </w:p>
    <w:p w14:paraId="5933CE85" w14:textId="5ACFA5BC" w:rsidR="0002522E" w:rsidRDefault="0002522E" w:rsidP="00F4412F">
      <w:pPr>
        <w:pStyle w:val="ListBullet"/>
        <w:rPr>
          <w:rStyle w:val="Characterclear"/>
        </w:rPr>
      </w:pPr>
      <w:r>
        <w:rPr>
          <w:rStyle w:val="Characterclear"/>
        </w:rPr>
        <w:t>Gay, lesbian, bisexual and trans people are three times more likely to experience depression compared to the broader population.</w:t>
      </w:r>
      <w:r>
        <w:rPr>
          <w:rStyle w:val="EndnoteReference"/>
          <w:lang w:eastAsia="en-AU"/>
        </w:rPr>
        <w:endnoteReference w:id="175"/>
      </w:r>
    </w:p>
    <w:p w14:paraId="6B160419" w14:textId="5B75BB20" w:rsidR="0002522E" w:rsidRDefault="000F546E" w:rsidP="00F4412F">
      <w:pPr>
        <w:pStyle w:val="ListBullet"/>
        <w:rPr>
          <w:rStyle w:val="Characterclear"/>
        </w:rPr>
      </w:pPr>
      <w:r>
        <w:rPr>
          <w:rStyle w:val="Characterclear"/>
        </w:rPr>
        <w:t>L</w:t>
      </w:r>
      <w:r w:rsidR="005543CF">
        <w:rPr>
          <w:rStyle w:val="Characterclear"/>
        </w:rPr>
        <w:t>esbian, gay and bisexual Australians are at greater risk of suicide and self-injury than heterosexual Australians.</w:t>
      </w:r>
      <w:r w:rsidR="005543CF">
        <w:rPr>
          <w:rStyle w:val="EndnoteReference"/>
          <w:lang w:eastAsia="en-AU"/>
        </w:rPr>
        <w:endnoteReference w:id="176"/>
      </w:r>
    </w:p>
    <w:p w14:paraId="4E989357" w14:textId="467029FE" w:rsidR="001A4196" w:rsidRDefault="00E92471" w:rsidP="00F4412F">
      <w:pPr>
        <w:pStyle w:val="ListBullet"/>
        <w:rPr>
          <w:rStyle w:val="Characterclear"/>
        </w:rPr>
      </w:pPr>
      <w:r>
        <w:rPr>
          <w:rStyle w:val="Characterclear"/>
        </w:rPr>
        <w:lastRenderedPageBreak/>
        <w:t>Many</w:t>
      </w:r>
      <w:r w:rsidR="001A4196">
        <w:rPr>
          <w:rStyle w:val="Characterclear"/>
        </w:rPr>
        <w:t xml:space="preserve"> LGBTIQ people hide their sexuality or gender identity when accessing services</w:t>
      </w:r>
      <w:r>
        <w:rPr>
          <w:rStyle w:val="Characterclear"/>
        </w:rPr>
        <w:t>, at social and community events and at work.</w:t>
      </w:r>
      <w:r>
        <w:rPr>
          <w:rStyle w:val="EndnoteReference"/>
          <w:lang w:eastAsia="en-AU"/>
        </w:rPr>
        <w:endnoteReference w:id="177"/>
      </w:r>
      <w:r>
        <w:rPr>
          <w:rStyle w:val="Characterclear"/>
        </w:rPr>
        <w:t xml:space="preserve"> Young people aged 16 to 24 are most likely to hide their sexuality or gender identity.</w:t>
      </w:r>
      <w:r>
        <w:rPr>
          <w:rStyle w:val="EndnoteReference"/>
          <w:lang w:eastAsia="en-AU"/>
        </w:rPr>
        <w:endnoteReference w:id="178"/>
      </w:r>
    </w:p>
    <w:p w14:paraId="49EF3555" w14:textId="43C9244F" w:rsidR="009E2023" w:rsidRDefault="003F49E9" w:rsidP="00F4412F">
      <w:pPr>
        <w:pStyle w:val="ListBullet"/>
        <w:rPr>
          <w:rStyle w:val="Characterclear"/>
        </w:rPr>
      </w:pPr>
      <w:r>
        <w:rPr>
          <w:rStyle w:val="Characterclear"/>
        </w:rPr>
        <w:t xml:space="preserve">A 2017 </w:t>
      </w:r>
      <w:r w:rsidR="00411B79">
        <w:rPr>
          <w:rStyle w:val="Characterclear"/>
        </w:rPr>
        <w:t xml:space="preserve">survey on the mental health of trans young people in Australia found </w:t>
      </w:r>
      <w:r w:rsidR="00565946">
        <w:rPr>
          <w:rStyle w:val="Characterclear"/>
        </w:rPr>
        <w:t>that almost 80 per cent of young trans people had self-harmed and almost half had attempted suicide, as a result of discrimination, violence and bullying</w:t>
      </w:r>
      <w:r w:rsidR="00411B79">
        <w:rPr>
          <w:rStyle w:val="Characterclear"/>
        </w:rPr>
        <w:t>.</w:t>
      </w:r>
      <w:r w:rsidR="00565946">
        <w:rPr>
          <w:rStyle w:val="EndnoteReference"/>
          <w:lang w:eastAsia="en-AU"/>
        </w:rPr>
        <w:endnoteReference w:id="179"/>
      </w:r>
    </w:p>
    <w:p w14:paraId="1682BFBF" w14:textId="726F1802" w:rsidR="004A6F40" w:rsidRDefault="008E69F7" w:rsidP="00C21E4E">
      <w:pPr>
        <w:pStyle w:val="BodyText"/>
        <w:rPr>
          <w:rStyle w:val="Characterclear"/>
        </w:rPr>
      </w:pPr>
      <w:r w:rsidRPr="008E69F7">
        <w:rPr>
          <w:lang w:eastAsia="en-AU"/>
        </w:rPr>
        <w:t>LGBTIQ hate conduct tends to spike during political and social debates that play out in the media</w:t>
      </w:r>
      <w:r w:rsidR="00C4137E">
        <w:rPr>
          <w:lang w:eastAsia="en-AU"/>
        </w:rPr>
        <w:t>,</w:t>
      </w:r>
      <w:r w:rsidRPr="008E69F7">
        <w:rPr>
          <w:lang w:eastAsia="en-AU"/>
        </w:rPr>
        <w:t xml:space="preserve"> such as the 2017 marriage equality postal survey,</w:t>
      </w:r>
      <w:r w:rsidR="004A4AF8">
        <w:rPr>
          <w:rStyle w:val="EndnoteReference"/>
          <w:lang w:eastAsia="en-AU"/>
        </w:rPr>
        <w:endnoteReference w:id="180"/>
      </w:r>
      <w:r w:rsidRPr="008E69F7">
        <w:rPr>
          <w:lang w:eastAsia="en-AU"/>
        </w:rPr>
        <w:t xml:space="preserve"> and in subsequent discussions about the </w:t>
      </w:r>
      <w:r w:rsidR="00C21E4E">
        <w:t>S</w:t>
      </w:r>
      <w:r w:rsidRPr="008E69F7">
        <w:rPr>
          <w:lang w:eastAsia="en-AU"/>
        </w:rPr>
        <w:t xml:space="preserve">afe </w:t>
      </w:r>
      <w:r w:rsidR="00C21E4E">
        <w:t>S</w:t>
      </w:r>
      <w:r w:rsidRPr="008E69F7">
        <w:rPr>
          <w:lang w:eastAsia="en-AU"/>
        </w:rPr>
        <w:t>chools program,</w:t>
      </w:r>
      <w:r w:rsidR="00E04AB4">
        <w:rPr>
          <w:rStyle w:val="EndnoteReference"/>
          <w:lang w:eastAsia="en-AU"/>
        </w:rPr>
        <w:endnoteReference w:id="181"/>
      </w:r>
      <w:r w:rsidRPr="008E69F7">
        <w:rPr>
          <w:lang w:eastAsia="en-AU"/>
        </w:rPr>
        <w:t xml:space="preserve"> amendments to the </w:t>
      </w:r>
      <w:r w:rsidR="00C21E4E">
        <w:t>B</w:t>
      </w:r>
      <w:r w:rsidR="00C21E4E" w:rsidRPr="00C21E4E">
        <w:t>irths, Deaths and Marriages Registration Amendment Bill 2019</w:t>
      </w:r>
      <w:r w:rsidR="00B807B2">
        <w:rPr>
          <w:rStyle w:val="EndnoteReference"/>
        </w:rPr>
        <w:endnoteReference w:id="182"/>
      </w:r>
      <w:r w:rsidR="00C21E4E" w:rsidRPr="00C21E4E">
        <w:t xml:space="preserve"> </w:t>
      </w:r>
      <w:r w:rsidRPr="008E69F7">
        <w:rPr>
          <w:lang w:eastAsia="en-AU"/>
        </w:rPr>
        <w:t>and the federal debate on the Religious Discrimination Bill.</w:t>
      </w:r>
      <w:r w:rsidR="00AD2FB1">
        <w:rPr>
          <w:rStyle w:val="EndnoteReference"/>
          <w:lang w:eastAsia="en-AU"/>
        </w:rPr>
        <w:endnoteReference w:id="183"/>
      </w:r>
      <w:r w:rsidRPr="008E69F7">
        <w:rPr>
          <w:lang w:eastAsia="en-AU"/>
        </w:rPr>
        <w:t xml:space="preserve"> </w:t>
      </w:r>
    </w:p>
    <w:p w14:paraId="1CA021F2" w14:textId="583C3BCD" w:rsidR="000459FA" w:rsidRPr="004129CB" w:rsidRDefault="00FE1F0B" w:rsidP="004129CB">
      <w:pPr>
        <w:pStyle w:val="Heading3"/>
        <w:rPr>
          <w:rStyle w:val="Characterbold"/>
          <w:b w:val="0"/>
        </w:rPr>
      </w:pPr>
      <w:r w:rsidRPr="004129CB">
        <w:rPr>
          <w:rStyle w:val="Characterbold"/>
          <w:b w:val="0"/>
        </w:rPr>
        <w:t xml:space="preserve">The impact of online hate </w:t>
      </w:r>
    </w:p>
    <w:p w14:paraId="7F36D91A" w14:textId="6780DEB8" w:rsidR="008944D6" w:rsidRDefault="00C83A3C" w:rsidP="00D73874">
      <w:pPr>
        <w:pStyle w:val="BodyText"/>
      </w:pPr>
      <w:r>
        <w:t xml:space="preserve">Online hate has real life consequences for individuals and targeted communities. </w:t>
      </w:r>
      <w:r w:rsidR="004B624C">
        <w:t xml:space="preserve">In 2018, the Australia Institute surveyed over 1,500 Australian about online harassment and cyberhate. </w:t>
      </w:r>
      <w:r w:rsidR="008944D6">
        <w:t xml:space="preserve">The findings on impact included that: </w:t>
      </w:r>
    </w:p>
    <w:p w14:paraId="5DB03538" w14:textId="77777777" w:rsidR="008944D6" w:rsidRDefault="0093241C" w:rsidP="00D73874">
      <w:pPr>
        <w:pStyle w:val="ListBullet"/>
      </w:pPr>
      <w:r>
        <w:t xml:space="preserve">A third of respondents </w:t>
      </w:r>
      <w:r w:rsidR="00AB2B42">
        <w:t xml:space="preserve">(37 per cent of women and 30 per cent of men) </w:t>
      </w:r>
      <w:r>
        <w:t xml:space="preserve">said that online hate had </w:t>
      </w:r>
      <w:r w:rsidR="00AB2B42">
        <w:t>negatively affected their physical or mental wellbeing (equivalent to 2.2 million Australians).</w:t>
      </w:r>
      <w:r w:rsidR="00FE1F0B">
        <w:rPr>
          <w:rStyle w:val="EndnoteReference"/>
        </w:rPr>
        <w:endnoteReference w:id="184"/>
      </w:r>
      <w:r w:rsidR="003F2E14">
        <w:t xml:space="preserve"> </w:t>
      </w:r>
    </w:p>
    <w:p w14:paraId="291A2CB8" w14:textId="262F19AC" w:rsidR="008944D6" w:rsidRDefault="003F2E14" w:rsidP="00D73874">
      <w:pPr>
        <w:pStyle w:val="ListBullet"/>
      </w:pPr>
      <w:r>
        <w:t>Of those, 28 per cent reported seeing a health professional as a result (equivalent to 744,000 Australians</w:t>
      </w:r>
      <w:r w:rsidR="00377761">
        <w:t>).</w:t>
      </w:r>
      <w:r w:rsidR="00377761">
        <w:rPr>
          <w:rStyle w:val="EndnoteReference"/>
        </w:rPr>
        <w:endnoteReference w:id="185"/>
      </w:r>
      <w:r w:rsidR="008944D6">
        <w:t xml:space="preserve"> </w:t>
      </w:r>
    </w:p>
    <w:p w14:paraId="4CDD0895" w14:textId="77777777" w:rsidR="00875AB0" w:rsidRDefault="008944D6" w:rsidP="00D73874">
      <w:pPr>
        <w:pStyle w:val="ListBullet"/>
      </w:pPr>
      <w:r>
        <w:t>Online harassment and cyberhate</w:t>
      </w:r>
      <w:r w:rsidR="00C40837">
        <w:t xml:space="preserve"> has</w:t>
      </w:r>
      <w:r w:rsidR="00E4641D">
        <w:t xml:space="preserve"> cost the Australian economy </w:t>
      </w:r>
      <w:r w:rsidR="00C40837">
        <w:t xml:space="preserve">an estimated </w:t>
      </w:r>
      <w:r w:rsidR="00E4641D">
        <w:t xml:space="preserve">$3.7 billion in health </w:t>
      </w:r>
      <w:r w:rsidR="00C40837">
        <w:t>costs and lost income</w:t>
      </w:r>
      <w:r w:rsidR="00FC4E24">
        <w:t>.</w:t>
      </w:r>
      <w:r w:rsidR="00FC4E24">
        <w:rPr>
          <w:rStyle w:val="EndnoteReference"/>
        </w:rPr>
        <w:endnoteReference w:id="186"/>
      </w:r>
    </w:p>
    <w:p w14:paraId="7AE7630B" w14:textId="15A0E30A" w:rsidR="00376E12" w:rsidRDefault="005D5C3D" w:rsidP="00376E12">
      <w:pPr>
        <w:pStyle w:val="BodyText"/>
      </w:pPr>
      <w:r>
        <w:t xml:space="preserve">Recent research by </w:t>
      </w:r>
      <w:r w:rsidR="00B661C9">
        <w:t>Amnesty International revealed the significant impact online hate is having on women in Australia</w:t>
      </w:r>
      <w:r w:rsidR="00376E12">
        <w:t>, including that</w:t>
      </w:r>
      <w:r w:rsidR="004E66CC">
        <w:t xml:space="preserve">: </w:t>
      </w:r>
    </w:p>
    <w:p w14:paraId="3B8AC69F" w14:textId="39F524F6" w:rsidR="00376E12" w:rsidRDefault="00376E12" w:rsidP="00D73874">
      <w:pPr>
        <w:pStyle w:val="ListBullet"/>
      </w:pPr>
      <w:r>
        <w:t xml:space="preserve">27 per cent of women said that on at least one occasion, online </w:t>
      </w:r>
      <w:r w:rsidR="004E66CC">
        <w:t>hate</w:t>
      </w:r>
      <w:r>
        <w:t xml:space="preserve"> made them feel that their physical safety was threatened</w:t>
      </w:r>
    </w:p>
    <w:p w14:paraId="16922106" w14:textId="432C7FE7" w:rsidR="00302E4C" w:rsidRDefault="004B1521" w:rsidP="00D73874">
      <w:pPr>
        <w:pStyle w:val="ListBullet"/>
      </w:pPr>
      <w:r>
        <w:t>24 per cent of women said online hate made them fear for their family’</w:t>
      </w:r>
      <w:r w:rsidR="00DA42B7">
        <w:t>s</w:t>
      </w:r>
      <w:r>
        <w:t xml:space="preserve"> safety </w:t>
      </w:r>
    </w:p>
    <w:p w14:paraId="28CE82B1" w14:textId="6F9C2F62" w:rsidR="00D53AB2" w:rsidRDefault="00302E4C" w:rsidP="00D73874">
      <w:pPr>
        <w:pStyle w:val="ListBullet"/>
      </w:pPr>
      <w:r>
        <w:t xml:space="preserve">62 per cent of women experienced lower self-esteem or loss of self-confidence </w:t>
      </w:r>
    </w:p>
    <w:p w14:paraId="55D2BE62" w14:textId="6A5DE326" w:rsidR="004E66CC" w:rsidRDefault="005F7F91" w:rsidP="00D73874">
      <w:pPr>
        <w:pStyle w:val="ListBullet"/>
      </w:pPr>
      <w:r>
        <w:t>59 per cent of women experienced stress, anxiety or panic attacks</w:t>
      </w:r>
      <w:r w:rsidR="00CC60BA">
        <w:t>.</w:t>
      </w:r>
      <w:r w:rsidR="00CC60BA">
        <w:rPr>
          <w:rStyle w:val="EndnoteReference"/>
        </w:rPr>
        <w:endnoteReference w:id="187"/>
      </w:r>
    </w:p>
    <w:p w14:paraId="2EE02B42" w14:textId="33D26910" w:rsidR="00CC60BA" w:rsidRDefault="00CC60BA" w:rsidP="00CC60BA">
      <w:pPr>
        <w:pStyle w:val="BodyText"/>
      </w:pPr>
      <w:r>
        <w:t xml:space="preserve">Women also reported the silencing effect of online hate, including </w:t>
      </w:r>
      <w:r w:rsidR="009C4EE2">
        <w:t xml:space="preserve">that: </w:t>
      </w:r>
    </w:p>
    <w:p w14:paraId="2A155A03" w14:textId="660302F2" w:rsidR="009C4EE2" w:rsidRDefault="009C4EE2" w:rsidP="007B73C9">
      <w:pPr>
        <w:pStyle w:val="ListBullet"/>
      </w:pPr>
      <w:r>
        <w:t>40 per cent of women ceased or decreased their use of social media platforms</w:t>
      </w:r>
    </w:p>
    <w:p w14:paraId="1C499E9E" w14:textId="63EC814E" w:rsidR="009C4EE2" w:rsidRDefault="009C4EE2" w:rsidP="007B73C9">
      <w:pPr>
        <w:pStyle w:val="ListBullet"/>
      </w:pPr>
      <w:r>
        <w:t>27 per cent</w:t>
      </w:r>
      <w:r w:rsidR="00A42C28">
        <w:t xml:space="preserve"> stopped posting content that expressed their opinion </w:t>
      </w:r>
    </w:p>
    <w:p w14:paraId="03297DCF" w14:textId="3B15FD2D" w:rsidR="00A42C28" w:rsidRDefault="00A42C28" w:rsidP="007B73C9">
      <w:pPr>
        <w:pStyle w:val="ListBullet"/>
      </w:pPr>
      <w:r>
        <w:t>23 per cent stopped sharing content that expressed their opinion.</w:t>
      </w:r>
      <w:r>
        <w:rPr>
          <w:rStyle w:val="EndnoteReference"/>
        </w:rPr>
        <w:endnoteReference w:id="188"/>
      </w:r>
    </w:p>
    <w:p w14:paraId="1AD6EECE" w14:textId="3DF95D91" w:rsidR="00B73DF6" w:rsidRDefault="00B73DF6" w:rsidP="00B73DF6">
      <w:pPr>
        <w:pStyle w:val="BodyText"/>
      </w:pPr>
      <w:r w:rsidRPr="00B73DF6">
        <w:t>For professions, such as journalism, there can be a trade-off between income and safety – for example, for women who need to maintain an online presence.</w:t>
      </w:r>
      <w:r w:rsidRPr="00B73DF6">
        <w:rPr>
          <w:rStyle w:val="EndnoteReference"/>
        </w:rPr>
        <w:endnoteReference w:id="189"/>
      </w:r>
    </w:p>
    <w:p w14:paraId="5D63326F" w14:textId="04E65F9D" w:rsidR="00875AB0" w:rsidRDefault="00875AB0" w:rsidP="007E46B1">
      <w:pPr>
        <w:pStyle w:val="BodyText"/>
      </w:pPr>
      <w:r>
        <w:t>In many cases, Australians make the decision to reduce, augment or stop their use of social media platforms.</w:t>
      </w:r>
      <w:r>
        <w:rPr>
          <w:rStyle w:val="EndnoteReference"/>
        </w:rPr>
        <w:endnoteReference w:id="190"/>
      </w:r>
      <w:r w:rsidR="00FF6CEA">
        <w:t xml:space="preserve"> Given that this effects some communities more than others, it creates inequities in access to and use of technologies</w:t>
      </w:r>
      <w:r w:rsidR="00F649CB">
        <w:t xml:space="preserve"> and shuts down ‘safe’ online spaces for women</w:t>
      </w:r>
      <w:r w:rsidR="00FF6CEA">
        <w:t>. When these technologies occupy a signific</w:t>
      </w:r>
      <w:r w:rsidR="00296CA9">
        <w:t>ant portion of the public space, this functions as an exclusion of some voices to the benefit of others</w:t>
      </w:r>
      <w:r w:rsidR="00296CA9">
        <w:rPr>
          <w:rStyle w:val="EndnoteReference"/>
        </w:rPr>
        <w:endnoteReference w:id="191"/>
      </w:r>
      <w:r w:rsidR="00296CA9">
        <w:t xml:space="preserve"> </w:t>
      </w:r>
      <w:r w:rsidR="00E03308">
        <w:t>- or in other words, the restriction of freedom of expression for some people to the benefit of others.</w:t>
      </w:r>
    </w:p>
    <w:p w14:paraId="3D663025" w14:textId="5DE2B5BE" w:rsidR="00A727EB" w:rsidRDefault="00D562FB" w:rsidP="007E46B1">
      <w:pPr>
        <w:pStyle w:val="BodyText"/>
      </w:pPr>
      <w:r>
        <w:t>Research</w:t>
      </w:r>
      <w:r w:rsidR="001D01E7">
        <w:t xml:space="preserve"> on children and young people also indicates higher rates of self-harm or attempted suicide for victims and perpetrators of cyberbullying.</w:t>
      </w:r>
      <w:r>
        <w:rPr>
          <w:rStyle w:val="EndnoteReference"/>
        </w:rPr>
        <w:endnoteReference w:id="192"/>
      </w:r>
    </w:p>
    <w:p w14:paraId="63819CFA" w14:textId="42E33062" w:rsidR="00823645" w:rsidRDefault="00823645" w:rsidP="00823645">
      <w:pPr>
        <w:pStyle w:val="Heading1"/>
      </w:pPr>
      <w:bookmarkStart w:id="22" w:name="_Toc31392338"/>
      <w:bookmarkStart w:id="23" w:name="_Toc25578837"/>
      <w:r>
        <w:lastRenderedPageBreak/>
        <w:t xml:space="preserve">The </w:t>
      </w:r>
      <w:r w:rsidR="002436FD">
        <w:t>limitations of law and enforcement</w:t>
      </w:r>
      <w:bookmarkEnd w:id="22"/>
    </w:p>
    <w:tbl>
      <w:tblPr>
        <w:tblStyle w:val="CustomTablebreakoutbox"/>
        <w:tblW w:w="0" w:type="auto"/>
        <w:tblLook w:val="04A0" w:firstRow="1" w:lastRow="0" w:firstColumn="1" w:lastColumn="0" w:noHBand="0" w:noVBand="1"/>
      </w:tblPr>
      <w:tblGrid>
        <w:gridCol w:w="9061"/>
      </w:tblGrid>
      <w:tr w:rsidR="00823645" w14:paraId="0C09ED7B" w14:textId="77777777" w:rsidTr="00823645">
        <w:tc>
          <w:tcPr>
            <w:tcW w:w="9061" w:type="dxa"/>
          </w:tcPr>
          <w:p w14:paraId="32BD965A" w14:textId="6C5325C7" w:rsidR="00823645" w:rsidRDefault="00823645" w:rsidP="00823645">
            <w:pPr>
              <w:pStyle w:val="Heading4"/>
              <w:outlineLvl w:val="3"/>
              <w:rPr>
                <w:rStyle w:val="Characterclear"/>
              </w:rPr>
            </w:pPr>
            <w:r>
              <w:rPr>
                <w:rStyle w:val="Characterclear"/>
              </w:rPr>
              <w:t xml:space="preserve">Summary </w:t>
            </w:r>
          </w:p>
          <w:p w14:paraId="4CDD3C4D" w14:textId="23F90CB9" w:rsidR="00823645" w:rsidRPr="00823645" w:rsidRDefault="00823645" w:rsidP="00823645">
            <w:pPr>
              <w:pStyle w:val="BodyText"/>
              <w:rPr>
                <w:lang w:eastAsia="en-AU"/>
              </w:rPr>
            </w:pPr>
            <w:r>
              <w:t xml:space="preserve">Part 4 of our submission sets out the </w:t>
            </w:r>
            <w:r w:rsidR="006D7FCE">
              <w:t xml:space="preserve">limitations of </w:t>
            </w:r>
            <w:r w:rsidR="000F619F">
              <w:t>law and enforcement</w:t>
            </w:r>
            <w:r w:rsidR="006D7FCE">
              <w:t xml:space="preserve"> in effectively responding to and remedying the harmful impacts of hate. This includes: </w:t>
            </w:r>
          </w:p>
          <w:p w14:paraId="75C1F009" w14:textId="183134A7" w:rsidR="00823645" w:rsidRPr="00823645" w:rsidRDefault="00823645" w:rsidP="00823645">
            <w:pPr>
              <w:pStyle w:val="Heading4"/>
              <w:outlineLvl w:val="3"/>
              <w:rPr>
                <w:rStyle w:val="Characterclear"/>
              </w:rPr>
            </w:pPr>
            <w:r w:rsidRPr="00823645">
              <w:rPr>
                <w:rStyle w:val="Characterclear"/>
              </w:rPr>
              <w:t xml:space="preserve">The limited operation of the RRTA   </w:t>
            </w:r>
          </w:p>
          <w:p w14:paraId="2C227671" w14:textId="593CC67C" w:rsidR="00823645" w:rsidRPr="00823645" w:rsidRDefault="00823645" w:rsidP="003F48E0">
            <w:pPr>
              <w:pStyle w:val="ListBullet"/>
              <w:rPr>
                <w:rStyle w:val="Characterclear"/>
              </w:rPr>
            </w:pPr>
            <w:r w:rsidRPr="00823645">
              <w:rPr>
                <w:rStyle w:val="Characterclear"/>
              </w:rPr>
              <w:t xml:space="preserve">The RRTA is </w:t>
            </w:r>
            <w:r w:rsidR="008E69F7">
              <w:rPr>
                <w:rStyle w:val="Characterclear"/>
              </w:rPr>
              <w:t>under-utilised</w:t>
            </w:r>
            <w:r w:rsidRPr="00823645">
              <w:rPr>
                <w:rStyle w:val="Characterclear"/>
              </w:rPr>
              <w:t xml:space="preserve"> in practice</w:t>
            </w:r>
            <w:r w:rsidR="00A06299">
              <w:rPr>
                <w:rStyle w:val="Characterclear"/>
              </w:rPr>
              <w:t xml:space="preserve"> (part 4.1</w:t>
            </w:r>
            <w:r w:rsidR="00210D34">
              <w:rPr>
                <w:rStyle w:val="Characterclear"/>
              </w:rPr>
              <w:t>.1</w:t>
            </w:r>
            <w:r w:rsidR="00A06299">
              <w:rPr>
                <w:rStyle w:val="Characterclear"/>
              </w:rPr>
              <w:t>).</w:t>
            </w:r>
          </w:p>
          <w:p w14:paraId="4126998E" w14:textId="1F998228" w:rsidR="00823645" w:rsidRPr="00823645" w:rsidRDefault="00823645" w:rsidP="003F48E0">
            <w:pPr>
              <w:pStyle w:val="ListBullet"/>
              <w:rPr>
                <w:rStyle w:val="Characterclear"/>
              </w:rPr>
            </w:pPr>
            <w:r w:rsidRPr="00823645">
              <w:rPr>
                <w:rStyle w:val="Characterclear"/>
              </w:rPr>
              <w:t xml:space="preserve">There are significant barriers to </w:t>
            </w:r>
            <w:r w:rsidR="00A06299">
              <w:rPr>
                <w:rStyle w:val="Characterclear"/>
              </w:rPr>
              <w:t>using the RRTA (part 4.</w:t>
            </w:r>
            <w:r w:rsidR="00210D34">
              <w:rPr>
                <w:rStyle w:val="Characterclear"/>
              </w:rPr>
              <w:t>1.</w:t>
            </w:r>
            <w:r w:rsidR="00A06299">
              <w:rPr>
                <w:rStyle w:val="Characterclear"/>
              </w:rPr>
              <w:t xml:space="preserve">2). </w:t>
            </w:r>
            <w:r w:rsidRPr="00823645">
              <w:rPr>
                <w:rStyle w:val="Characterclear"/>
              </w:rPr>
              <w:t xml:space="preserve"> </w:t>
            </w:r>
          </w:p>
          <w:p w14:paraId="00DDA186" w14:textId="5058D340" w:rsidR="00823645" w:rsidRPr="00823645" w:rsidRDefault="00823645" w:rsidP="003F48E0">
            <w:pPr>
              <w:pStyle w:val="ListBullet"/>
              <w:rPr>
                <w:rStyle w:val="Characterclear"/>
              </w:rPr>
            </w:pPr>
            <w:r w:rsidRPr="00823645">
              <w:rPr>
                <w:rStyle w:val="Characterclear"/>
              </w:rPr>
              <w:t>The</w:t>
            </w:r>
            <w:r w:rsidR="001C160C">
              <w:rPr>
                <w:rStyle w:val="Characterclear"/>
              </w:rPr>
              <w:t xml:space="preserve"> </w:t>
            </w:r>
            <w:r w:rsidRPr="00823645">
              <w:rPr>
                <w:rStyle w:val="Characterclear"/>
              </w:rPr>
              <w:t>t</w:t>
            </w:r>
            <w:r w:rsidR="005A7D6F">
              <w:rPr>
                <w:rStyle w:val="Characterclear"/>
              </w:rPr>
              <w:t>hreshold</w:t>
            </w:r>
            <w:r w:rsidRPr="00823645">
              <w:rPr>
                <w:rStyle w:val="Characterclear"/>
              </w:rPr>
              <w:t xml:space="preserve"> for vilification is too high</w:t>
            </w:r>
            <w:r w:rsidR="009B4A02">
              <w:rPr>
                <w:rStyle w:val="Characterclear"/>
              </w:rPr>
              <w:t xml:space="preserve"> and too complex</w:t>
            </w:r>
            <w:r w:rsidR="00A06299">
              <w:rPr>
                <w:rStyle w:val="Characterclear"/>
              </w:rPr>
              <w:t xml:space="preserve"> (part 4</w:t>
            </w:r>
            <w:r w:rsidR="00210D34">
              <w:rPr>
                <w:rStyle w:val="Characterclear"/>
              </w:rPr>
              <w:t>.1</w:t>
            </w:r>
            <w:r w:rsidR="00A06299">
              <w:rPr>
                <w:rStyle w:val="Characterclear"/>
              </w:rPr>
              <w:t xml:space="preserve">.3). </w:t>
            </w:r>
          </w:p>
          <w:p w14:paraId="518A495A" w14:textId="7AAD0F52" w:rsidR="00823645" w:rsidRDefault="00823645" w:rsidP="003F48E0">
            <w:pPr>
              <w:pStyle w:val="ListBullet"/>
              <w:rPr>
                <w:rStyle w:val="Characterclear"/>
              </w:rPr>
            </w:pPr>
            <w:r w:rsidRPr="00823645">
              <w:rPr>
                <w:rStyle w:val="Characterclear"/>
              </w:rPr>
              <w:t xml:space="preserve">The </w:t>
            </w:r>
            <w:r w:rsidR="009D49F2">
              <w:rPr>
                <w:rStyle w:val="Characterclear"/>
              </w:rPr>
              <w:t>public conduct</w:t>
            </w:r>
            <w:r w:rsidR="000B3059">
              <w:rPr>
                <w:rStyle w:val="Characterclear"/>
              </w:rPr>
              <w:t xml:space="preserve"> exception</w:t>
            </w:r>
            <w:r w:rsidRPr="00823645">
              <w:rPr>
                <w:rStyle w:val="Characterclear"/>
              </w:rPr>
              <w:t xml:space="preserve"> for vilification </w:t>
            </w:r>
            <w:r w:rsidR="000B3059">
              <w:rPr>
                <w:rStyle w:val="Characterclear"/>
              </w:rPr>
              <w:t>is</w:t>
            </w:r>
            <w:r w:rsidRPr="00823645">
              <w:rPr>
                <w:rStyle w:val="Characterclear"/>
              </w:rPr>
              <w:t xml:space="preserve"> too broad</w:t>
            </w:r>
            <w:r w:rsidR="00210D34">
              <w:rPr>
                <w:rStyle w:val="Characterclear"/>
              </w:rPr>
              <w:t xml:space="preserve"> (part 4.1.4).</w:t>
            </w:r>
          </w:p>
          <w:p w14:paraId="06E6968D" w14:textId="78800CCC" w:rsidR="009B4A02" w:rsidRDefault="009B4A02" w:rsidP="003F48E0">
            <w:pPr>
              <w:pStyle w:val="ListBullet"/>
              <w:rPr>
                <w:rStyle w:val="Characterclear"/>
              </w:rPr>
            </w:pPr>
            <w:r>
              <w:rPr>
                <w:rStyle w:val="Characterclear"/>
              </w:rPr>
              <w:t xml:space="preserve">The threshold for </w:t>
            </w:r>
            <w:r w:rsidR="002201BC">
              <w:rPr>
                <w:rStyle w:val="Characterclear"/>
              </w:rPr>
              <w:t>serious vilification</w:t>
            </w:r>
            <w:r>
              <w:rPr>
                <w:rStyle w:val="Characterclear"/>
              </w:rPr>
              <w:t xml:space="preserve"> is too high and too complex</w:t>
            </w:r>
            <w:r w:rsidR="00210D34">
              <w:rPr>
                <w:rStyle w:val="Characterclear"/>
              </w:rPr>
              <w:t xml:space="preserve"> (part 4.1.5). </w:t>
            </w:r>
          </w:p>
          <w:p w14:paraId="412CD9F6" w14:textId="52B4D248" w:rsidR="00823645" w:rsidRPr="00823645" w:rsidRDefault="00F70EE0" w:rsidP="00823645">
            <w:pPr>
              <w:pStyle w:val="Heading4"/>
              <w:outlineLvl w:val="3"/>
              <w:rPr>
                <w:rStyle w:val="Characterclear"/>
              </w:rPr>
            </w:pPr>
            <w:r>
              <w:rPr>
                <w:rStyle w:val="Characterclear"/>
              </w:rPr>
              <w:t xml:space="preserve">Barriers to </w:t>
            </w:r>
            <w:r w:rsidR="00823645" w:rsidRPr="00823645">
              <w:rPr>
                <w:rStyle w:val="Characterclear"/>
              </w:rPr>
              <w:t xml:space="preserve">enforcement of the RRTA </w:t>
            </w:r>
          </w:p>
          <w:p w14:paraId="70B2969E" w14:textId="6D319311" w:rsidR="00823645" w:rsidRPr="00823645" w:rsidRDefault="00823645" w:rsidP="003F48E0">
            <w:pPr>
              <w:pStyle w:val="ListBullet"/>
              <w:rPr>
                <w:rStyle w:val="Characterclear"/>
              </w:rPr>
            </w:pPr>
            <w:r w:rsidRPr="00823645">
              <w:rPr>
                <w:rStyle w:val="Characterclear"/>
              </w:rPr>
              <w:t xml:space="preserve">The Commission is not empowered to identify respondents </w:t>
            </w:r>
            <w:r w:rsidR="00E37389">
              <w:rPr>
                <w:rStyle w:val="Characterclear"/>
              </w:rPr>
              <w:t xml:space="preserve">(part 4.2.1). </w:t>
            </w:r>
            <w:r w:rsidRPr="00823645">
              <w:rPr>
                <w:rStyle w:val="Characterclear"/>
              </w:rPr>
              <w:t xml:space="preserve"> </w:t>
            </w:r>
          </w:p>
          <w:p w14:paraId="0E492CF4" w14:textId="65B1A83C" w:rsidR="00823645" w:rsidRPr="00823645" w:rsidRDefault="00823645" w:rsidP="003F48E0">
            <w:pPr>
              <w:pStyle w:val="ListBullet"/>
              <w:rPr>
                <w:rStyle w:val="Characterclear"/>
              </w:rPr>
            </w:pPr>
            <w:r w:rsidRPr="00823645">
              <w:rPr>
                <w:rStyle w:val="Characterclear"/>
              </w:rPr>
              <w:t xml:space="preserve">The RRTA does not allow </w:t>
            </w:r>
            <w:r w:rsidR="002E6F36">
              <w:rPr>
                <w:rStyle w:val="Characterclear"/>
              </w:rPr>
              <w:t xml:space="preserve">anonymous </w:t>
            </w:r>
            <w:r w:rsidRPr="00823645">
              <w:rPr>
                <w:rStyle w:val="Characterclear"/>
              </w:rPr>
              <w:t>representative complaints</w:t>
            </w:r>
            <w:r w:rsidR="00E37389">
              <w:rPr>
                <w:rStyle w:val="Characterclear"/>
              </w:rPr>
              <w:t xml:space="preserve"> (part 4.2.2).</w:t>
            </w:r>
          </w:p>
          <w:p w14:paraId="284E425E" w14:textId="786ED900" w:rsidR="00823645" w:rsidRPr="00823645" w:rsidRDefault="00823645" w:rsidP="003F48E0">
            <w:pPr>
              <w:pStyle w:val="ListBullet"/>
              <w:rPr>
                <w:rStyle w:val="Characterclear"/>
              </w:rPr>
            </w:pPr>
            <w:r w:rsidRPr="00823645">
              <w:rPr>
                <w:rStyle w:val="Characterclear"/>
              </w:rPr>
              <w:t xml:space="preserve">The burden of enforcement is on an individual </w:t>
            </w:r>
            <w:r w:rsidR="002E6F36">
              <w:rPr>
                <w:rStyle w:val="Characterclear"/>
              </w:rPr>
              <w:t>(part 4.2.3).</w:t>
            </w:r>
            <w:r w:rsidRPr="00823645">
              <w:rPr>
                <w:rStyle w:val="Characterclear"/>
              </w:rPr>
              <w:t xml:space="preserve"> </w:t>
            </w:r>
          </w:p>
          <w:p w14:paraId="5D54CCB0" w14:textId="781D6DDA" w:rsidR="00823645" w:rsidRPr="00823645" w:rsidRDefault="00823645" w:rsidP="003F48E0">
            <w:pPr>
              <w:pStyle w:val="ListBullet"/>
              <w:rPr>
                <w:rStyle w:val="Characterclear"/>
              </w:rPr>
            </w:pPr>
            <w:r w:rsidRPr="00823645">
              <w:rPr>
                <w:rStyle w:val="Characterclear"/>
              </w:rPr>
              <w:t>The criminal offences are not effectively enforced</w:t>
            </w:r>
            <w:r w:rsidR="002E6F36">
              <w:rPr>
                <w:rStyle w:val="Characterclear"/>
              </w:rPr>
              <w:t xml:space="preserve"> (part 4.2.4). </w:t>
            </w:r>
          </w:p>
          <w:p w14:paraId="193D7327" w14:textId="054729C4" w:rsidR="00823645" w:rsidRPr="00823645" w:rsidRDefault="00823645" w:rsidP="00823645">
            <w:pPr>
              <w:pStyle w:val="Heading4"/>
              <w:outlineLvl w:val="3"/>
              <w:rPr>
                <w:rStyle w:val="Characterclear"/>
              </w:rPr>
            </w:pPr>
            <w:r w:rsidRPr="00823645">
              <w:rPr>
                <w:rStyle w:val="Characterclear"/>
              </w:rPr>
              <w:t xml:space="preserve">The inadequate sanctions for hate crime </w:t>
            </w:r>
          </w:p>
          <w:p w14:paraId="4D5A0542" w14:textId="77777777" w:rsidR="003F48E0" w:rsidRDefault="00C835A9" w:rsidP="007443D6">
            <w:pPr>
              <w:pStyle w:val="ListBullet"/>
            </w:pPr>
            <w:r w:rsidRPr="00C835A9">
              <w:t>The penalties for serious vilification are too low</w:t>
            </w:r>
            <w:r>
              <w:t xml:space="preserve"> (part 4.3.1).</w:t>
            </w:r>
          </w:p>
          <w:p w14:paraId="629F1588" w14:textId="3F738249" w:rsidR="00823645" w:rsidRDefault="00823645" w:rsidP="007443D6">
            <w:pPr>
              <w:pStyle w:val="ListBullet"/>
            </w:pPr>
            <w:r w:rsidRPr="00823645">
              <w:rPr>
                <w:rStyle w:val="Characterclear"/>
              </w:rPr>
              <w:t xml:space="preserve">The prejudice-motivated sentencing provision is </w:t>
            </w:r>
            <w:r w:rsidR="00C835A9">
              <w:rPr>
                <w:rStyle w:val="Characterclear"/>
              </w:rPr>
              <w:t xml:space="preserve">rarely used (part 4.3.2). </w:t>
            </w:r>
          </w:p>
        </w:tc>
      </w:tr>
    </w:tbl>
    <w:p w14:paraId="6163C7DC" w14:textId="2DEB5459" w:rsidR="003F67D8" w:rsidRDefault="003F67D8" w:rsidP="003E14C3">
      <w:pPr>
        <w:pStyle w:val="Heading2"/>
      </w:pPr>
      <w:bookmarkStart w:id="24" w:name="_Toc31392339"/>
      <w:r>
        <w:t xml:space="preserve">The </w:t>
      </w:r>
      <w:r w:rsidR="008027E1">
        <w:t xml:space="preserve">limited </w:t>
      </w:r>
      <w:r>
        <w:t>operation of the RRTA</w:t>
      </w:r>
      <w:bookmarkEnd w:id="24"/>
      <w:r>
        <w:t xml:space="preserve"> </w:t>
      </w:r>
    </w:p>
    <w:p w14:paraId="7F379F15" w14:textId="6377E432" w:rsidR="004B556F" w:rsidRDefault="00896C44" w:rsidP="003F67D8">
      <w:pPr>
        <w:pStyle w:val="Heading3"/>
      </w:pPr>
      <w:r>
        <w:t xml:space="preserve">The RRTA is </w:t>
      </w:r>
      <w:r w:rsidR="008E69F7">
        <w:t>under-utilised</w:t>
      </w:r>
      <w:r>
        <w:t xml:space="preserve"> in practice </w:t>
      </w:r>
    </w:p>
    <w:p w14:paraId="7F841D9B" w14:textId="43A2E40D" w:rsidR="00F256F2" w:rsidRDefault="00DF1CA7" w:rsidP="00C70B70">
      <w:pPr>
        <w:pStyle w:val="BodyText"/>
      </w:pPr>
      <w:r>
        <w:t>Despite the fact that the</w:t>
      </w:r>
      <w:r w:rsidR="00C70B70">
        <w:t xml:space="preserve"> RRTA has been in operation for </w:t>
      </w:r>
      <w:r w:rsidR="008E4301">
        <w:t>almost two decades</w:t>
      </w:r>
      <w:r w:rsidR="00C70B70">
        <w:t xml:space="preserve">, there is limited use of the </w:t>
      </w:r>
      <w:r>
        <w:t xml:space="preserve">Act in practice. </w:t>
      </w:r>
      <w:r w:rsidR="00F256F2">
        <w:t xml:space="preserve">As discussed above, there has only been </w:t>
      </w:r>
      <w:r w:rsidR="00F256F2" w:rsidRPr="00F256F2">
        <w:t>two successful cases of vilification before VCAT</w:t>
      </w:r>
      <w:r w:rsidR="00F256F2">
        <w:t>.</w:t>
      </w:r>
      <w:r w:rsidR="00F256F2" w:rsidRPr="00F256F2">
        <w:rPr>
          <w:rStyle w:val="EndnoteReference"/>
        </w:rPr>
        <w:endnoteReference w:id="193"/>
      </w:r>
      <w:r w:rsidR="00F256F2">
        <w:t xml:space="preserve"> </w:t>
      </w:r>
    </w:p>
    <w:p w14:paraId="22883D74" w14:textId="264AFA7E" w:rsidR="00F256F2" w:rsidRDefault="00AC11A9" w:rsidP="002F52F1">
      <w:pPr>
        <w:pStyle w:val="ListBullet"/>
        <w:numPr>
          <w:ilvl w:val="0"/>
          <w:numId w:val="0"/>
        </w:numPr>
        <w:rPr>
          <w:lang w:eastAsia="en-AU"/>
        </w:rPr>
      </w:pPr>
      <w:r>
        <w:rPr>
          <w:rStyle w:val="Characterclear"/>
        </w:rPr>
        <w:t>Data provided by the Crime Statistics Agency shows that i</w:t>
      </w:r>
      <w:r w:rsidR="00695F91" w:rsidRPr="00695F91">
        <w:rPr>
          <w:rStyle w:val="Characterclear"/>
        </w:rPr>
        <w:t>n the 15 years from July 2004 to June 2019, there were 104 offences recorded by Victoria Police (on average, 7 reports per year) of serious vilification under the RRTA (see discussion below)</w:t>
      </w:r>
      <w:r w:rsidR="00F256F2" w:rsidRPr="00F256F2">
        <w:rPr>
          <w:rStyle w:val="Characterclear"/>
        </w:rPr>
        <w:t>.</w:t>
      </w:r>
      <w:r w:rsidR="00F256F2" w:rsidRPr="00F256F2">
        <w:rPr>
          <w:rStyle w:val="EndnoteReference"/>
        </w:rPr>
        <w:endnoteReference w:id="194"/>
      </w:r>
      <w:r w:rsidR="002F52F1">
        <w:rPr>
          <w:rStyle w:val="Characterclear"/>
        </w:rPr>
        <w:t xml:space="preserve"> </w:t>
      </w:r>
      <w:r w:rsidR="00F256F2">
        <w:t>Yet there has been only</w:t>
      </w:r>
      <w:r w:rsidR="00F256F2" w:rsidRPr="00F256F2">
        <w:t xml:space="preserve"> one criminal prosecution of serious religious vilification under the RRTA, </w:t>
      </w:r>
      <w:r w:rsidR="00F256F2" w:rsidRPr="00F256F2">
        <w:rPr>
          <w:rStyle w:val="Characteritalic"/>
        </w:rPr>
        <w:t>Cottrell v Smith</w:t>
      </w:r>
      <w:r w:rsidR="00F256F2" w:rsidRPr="00F256F2">
        <w:t xml:space="preserve"> [2019] VCC 2142. There have been no criminal prosecutions of racial vilification under the RRTA</w:t>
      </w:r>
      <w:r w:rsidR="002F52F1">
        <w:t xml:space="preserve"> (discussed in section </w:t>
      </w:r>
      <w:r w:rsidR="00987C55">
        <w:t>4.2.4)</w:t>
      </w:r>
      <w:r w:rsidR="00F256F2" w:rsidRPr="00F256F2">
        <w:t>.</w:t>
      </w:r>
    </w:p>
    <w:p w14:paraId="7596E24B" w14:textId="77777777" w:rsidR="00587794" w:rsidRPr="00587794" w:rsidRDefault="00587794" w:rsidP="00587794">
      <w:pPr>
        <w:pStyle w:val="BodyText"/>
      </w:pPr>
      <w:r w:rsidRPr="00587794">
        <w:t xml:space="preserve">Given the evidence of the ongoing prevalence of hate based conduct in the community and its impact, it is clear that the RRTA is not meeting its intended purpose to provide an adequate means of redress for people who experience racial or religious vilification. </w:t>
      </w:r>
    </w:p>
    <w:p w14:paraId="7A7A57E5" w14:textId="533F7103" w:rsidR="00A721B9" w:rsidRDefault="00983CE1" w:rsidP="00870E5B">
      <w:pPr>
        <w:pStyle w:val="Heading3"/>
      </w:pPr>
      <w:r w:rsidRPr="00983CE1">
        <w:t xml:space="preserve">There are </w:t>
      </w:r>
      <w:r w:rsidR="008B47B7">
        <w:t xml:space="preserve">significant </w:t>
      </w:r>
      <w:r w:rsidRPr="00983CE1">
        <w:t xml:space="preserve">barriers to </w:t>
      </w:r>
      <w:r w:rsidR="00A721B9">
        <w:t xml:space="preserve">using the RRTA </w:t>
      </w:r>
    </w:p>
    <w:p w14:paraId="2AFB2612" w14:textId="4DB695C8" w:rsidR="00983CE1" w:rsidRPr="00983CE1" w:rsidRDefault="00983CE1" w:rsidP="00983CE1">
      <w:pPr>
        <w:pStyle w:val="BodyText"/>
      </w:pPr>
      <w:r w:rsidRPr="00983CE1">
        <w:t>In the Commission’s experience, there are a range of barriers to multicultural and multifaith communities in Victoria accessing and using the RRTA. Th</w:t>
      </w:r>
      <w:r w:rsidR="00862683">
        <w:t>ese</w:t>
      </w:r>
      <w:r w:rsidRPr="00983CE1">
        <w:t xml:space="preserve"> include: </w:t>
      </w:r>
    </w:p>
    <w:p w14:paraId="180D8F6D" w14:textId="64E3A239" w:rsidR="00246DA6" w:rsidRPr="00246DA6" w:rsidRDefault="00983CE1" w:rsidP="00246DA6">
      <w:pPr>
        <w:pStyle w:val="ListBullet"/>
        <w:numPr>
          <w:ilvl w:val="0"/>
          <w:numId w:val="3"/>
        </w:numPr>
      </w:pPr>
      <w:r w:rsidRPr="00983CE1">
        <w:lastRenderedPageBreak/>
        <w:t xml:space="preserve">a lack of awareness </w:t>
      </w:r>
      <w:r w:rsidR="0000665F">
        <w:t xml:space="preserve">or understanding </w:t>
      </w:r>
      <w:r w:rsidRPr="00983CE1">
        <w:t>of the RRTA</w:t>
      </w:r>
      <w:r w:rsidR="0000665F">
        <w:t xml:space="preserve"> </w:t>
      </w:r>
      <w:r w:rsidR="00BB0DF5">
        <w:t xml:space="preserve">(discussed below) </w:t>
      </w:r>
    </w:p>
    <w:p w14:paraId="68BFF8A6" w14:textId="607388BA" w:rsidR="006A2C67" w:rsidRDefault="00526E9E" w:rsidP="008C7EDF">
      <w:pPr>
        <w:pStyle w:val="ListBullet"/>
        <w:numPr>
          <w:ilvl w:val="0"/>
          <w:numId w:val="3"/>
        </w:numPr>
      </w:pPr>
      <w:r>
        <w:t>toleration of vilification due to normalisation</w:t>
      </w:r>
      <w:r>
        <w:rPr>
          <w:rStyle w:val="EndnoteReference"/>
        </w:rPr>
        <w:endnoteReference w:id="195"/>
      </w:r>
    </w:p>
    <w:p w14:paraId="27D0A045" w14:textId="5B59EB7D" w:rsidR="00A849EB" w:rsidRDefault="00A849EB" w:rsidP="008C7EDF">
      <w:pPr>
        <w:pStyle w:val="ListBullet"/>
        <w:numPr>
          <w:ilvl w:val="0"/>
          <w:numId w:val="3"/>
        </w:numPr>
      </w:pPr>
      <w:r>
        <w:t xml:space="preserve">cultural </w:t>
      </w:r>
      <w:r w:rsidR="00F3048B">
        <w:t>perspectives</w:t>
      </w:r>
      <w:r>
        <w:t xml:space="preserve"> </w:t>
      </w:r>
      <w:r w:rsidR="00665495">
        <w:t>(discussed below)</w:t>
      </w:r>
    </w:p>
    <w:p w14:paraId="259E8964" w14:textId="1833BEC7" w:rsidR="00692336" w:rsidRDefault="008B47B7" w:rsidP="008C7EDF">
      <w:pPr>
        <w:pStyle w:val="ListBullet"/>
        <w:numPr>
          <w:ilvl w:val="0"/>
          <w:numId w:val="3"/>
        </w:numPr>
        <w:rPr>
          <w:rStyle w:val="Characterclear"/>
        </w:rPr>
      </w:pPr>
      <w:r w:rsidRPr="00665495">
        <w:rPr>
          <w:rStyle w:val="Characterclear"/>
        </w:rPr>
        <w:t>a reluctance to engage with the criminal justice system</w:t>
      </w:r>
      <w:r w:rsidR="00692336" w:rsidRPr="00665495">
        <w:rPr>
          <w:rStyle w:val="Characterclear"/>
        </w:rPr>
        <w:t xml:space="preserve"> </w:t>
      </w:r>
      <w:r w:rsidR="00840667">
        <w:rPr>
          <w:rStyle w:val="Characterclear"/>
        </w:rPr>
        <w:t>(discussed below)</w:t>
      </w:r>
    </w:p>
    <w:p w14:paraId="142A8627" w14:textId="588FCBBE" w:rsidR="00DD0485" w:rsidRDefault="00DD0485" w:rsidP="008C7EDF">
      <w:pPr>
        <w:pStyle w:val="ListBullet"/>
        <w:numPr>
          <w:ilvl w:val="0"/>
          <w:numId w:val="3"/>
        </w:numPr>
        <w:rPr>
          <w:rStyle w:val="Characterclear"/>
        </w:rPr>
      </w:pPr>
      <w:r>
        <w:rPr>
          <w:rStyle w:val="Characterclear"/>
        </w:rPr>
        <w:t xml:space="preserve">a lack of confidence </w:t>
      </w:r>
      <w:r w:rsidR="0012680A">
        <w:rPr>
          <w:rStyle w:val="Characterclear"/>
        </w:rPr>
        <w:t xml:space="preserve">in complaints and justice systems </w:t>
      </w:r>
    </w:p>
    <w:p w14:paraId="21DA07B1" w14:textId="3B549C28" w:rsidR="00840667" w:rsidRPr="00665495" w:rsidRDefault="00840667" w:rsidP="008C7EDF">
      <w:pPr>
        <w:pStyle w:val="ListBullet"/>
        <w:numPr>
          <w:ilvl w:val="0"/>
          <w:numId w:val="3"/>
        </w:numPr>
        <w:rPr>
          <w:rStyle w:val="Characterclear"/>
        </w:rPr>
      </w:pPr>
      <w:r>
        <w:rPr>
          <w:rStyle w:val="Characterclear"/>
        </w:rPr>
        <w:t xml:space="preserve">a fear of victimisation – for example, the Ballarat African Association told us that </w:t>
      </w:r>
      <w:r w:rsidR="00C4137E">
        <w:rPr>
          <w:rStyle w:val="Characterclear"/>
        </w:rPr>
        <w:t>“</w:t>
      </w:r>
      <w:r>
        <w:rPr>
          <w:rStyle w:val="Characterclear"/>
        </w:rPr>
        <w:t>people are not accessing the law because they are concerned that invoking their rights will attract retribution and victimisation</w:t>
      </w:r>
      <w:r w:rsidR="00C4137E">
        <w:rPr>
          <w:rStyle w:val="Characterclear"/>
        </w:rPr>
        <w:t>”</w:t>
      </w:r>
      <w:r>
        <w:rPr>
          <w:rStyle w:val="EndnoteReference"/>
          <w:lang w:eastAsia="en-AU"/>
        </w:rPr>
        <w:endnoteReference w:id="196"/>
      </w:r>
    </w:p>
    <w:p w14:paraId="57EF0EB0" w14:textId="0500910B" w:rsidR="008C7EDF" w:rsidRDefault="008C7EDF" w:rsidP="008C7EDF">
      <w:pPr>
        <w:pStyle w:val="ListBullet"/>
        <w:numPr>
          <w:ilvl w:val="0"/>
          <w:numId w:val="3"/>
        </w:numPr>
      </w:pPr>
      <w:r>
        <w:t xml:space="preserve">the complexity and high threshold of the </w:t>
      </w:r>
      <w:r w:rsidR="000F0D89">
        <w:t>tests for vilification</w:t>
      </w:r>
      <w:r w:rsidR="00507B62">
        <w:t>, meaning that people who experience vilification and/or their representatives may choose to use alternative laws to seek redress (such as s 18C of the RDA) (</w:t>
      </w:r>
      <w:r w:rsidR="002F7BEE">
        <w:t>part 4.1.3</w:t>
      </w:r>
      <w:r w:rsidR="00507B62">
        <w:t>)</w:t>
      </w:r>
    </w:p>
    <w:p w14:paraId="7DC8829C" w14:textId="1BDC0A77" w:rsidR="000F0D89" w:rsidRPr="000F0D89" w:rsidRDefault="000F0D89" w:rsidP="000F0D89">
      <w:pPr>
        <w:pStyle w:val="ListBullet"/>
        <w:numPr>
          <w:ilvl w:val="0"/>
          <w:numId w:val="3"/>
        </w:numPr>
      </w:pPr>
      <w:r w:rsidRPr="000F0D89">
        <w:t xml:space="preserve">the inability for the Commission to compel information to identify an unknown respondent to a dispute </w:t>
      </w:r>
      <w:r w:rsidR="002F7BEE">
        <w:t>(part</w:t>
      </w:r>
      <w:r w:rsidR="000562BB">
        <w:t xml:space="preserve"> 4.2.1)</w:t>
      </w:r>
    </w:p>
    <w:p w14:paraId="3D41ECA1" w14:textId="2A955C3A" w:rsidR="000F0D89" w:rsidRPr="000012D7" w:rsidRDefault="000F0D89" w:rsidP="000F0D89">
      <w:pPr>
        <w:pStyle w:val="ListBullet"/>
        <w:numPr>
          <w:ilvl w:val="0"/>
          <w:numId w:val="3"/>
        </w:numPr>
        <w:rPr>
          <w:rStyle w:val="Characteryellowhighlight"/>
          <w:shd w:val="clear" w:color="auto" w:fill="auto"/>
        </w:rPr>
      </w:pPr>
      <w:r w:rsidRPr="000F0D89">
        <w:t xml:space="preserve">the inability to make a representative complaint without identifying a complainant </w:t>
      </w:r>
      <w:r>
        <w:t xml:space="preserve">who may fear victimisation for making a complaint </w:t>
      </w:r>
      <w:r w:rsidR="000562BB">
        <w:t xml:space="preserve">(part 4.2.2). </w:t>
      </w:r>
      <w:r w:rsidR="00525EF3">
        <w:rPr>
          <w:rStyle w:val="Characteryellowhighlight"/>
        </w:rPr>
        <w:t xml:space="preserve"> </w:t>
      </w:r>
    </w:p>
    <w:p w14:paraId="69C9C72D" w14:textId="026D0552" w:rsidR="000012D7" w:rsidRDefault="000012D7" w:rsidP="000012D7">
      <w:pPr>
        <w:pStyle w:val="BodyText"/>
        <w:rPr>
          <w:rStyle w:val="Characterclear"/>
        </w:rPr>
      </w:pPr>
      <w:r>
        <w:rPr>
          <w:rStyle w:val="Characterclear"/>
        </w:rPr>
        <w:t>Significantly, t</w:t>
      </w:r>
      <w:r w:rsidRPr="000012D7">
        <w:rPr>
          <w:rStyle w:val="Characterclear"/>
        </w:rPr>
        <w:t>he Commission’s consultations identified that multicultural and multifaith communities often face barriers to accessing and using the RRTA.</w:t>
      </w:r>
      <w:r w:rsidRPr="000012D7">
        <w:rPr>
          <w:rStyle w:val="EndnoteReference"/>
        </w:rPr>
        <w:endnoteReference w:id="197"/>
      </w:r>
      <w:r w:rsidRPr="000012D7">
        <w:rPr>
          <w:rStyle w:val="Characterclear"/>
        </w:rPr>
        <w:t xml:space="preserve"> We heard that many people are not aware of the RRTA, do not understand their rights and may not know where to go for information, advice or to report vilification. </w:t>
      </w:r>
      <w:r w:rsidR="00B67DBE">
        <w:rPr>
          <w:rStyle w:val="Characterclear"/>
        </w:rPr>
        <w:t xml:space="preserve">Unlike the Equal Opportunity Act, there is limited </w:t>
      </w:r>
      <w:r w:rsidR="000562BB">
        <w:rPr>
          <w:rStyle w:val="Characterclear"/>
        </w:rPr>
        <w:t xml:space="preserve">community </w:t>
      </w:r>
      <w:r w:rsidR="00B67DBE">
        <w:rPr>
          <w:rStyle w:val="Characterclear"/>
        </w:rPr>
        <w:t>awareness of the RRTA</w:t>
      </w:r>
      <w:r w:rsidR="003F19A5">
        <w:rPr>
          <w:rStyle w:val="Characterclear"/>
        </w:rPr>
        <w:t>.</w:t>
      </w:r>
      <w:r w:rsidR="009D0272">
        <w:rPr>
          <w:rStyle w:val="Characterclear"/>
        </w:rPr>
        <w:t xml:space="preserve"> We heard of confusion between the terms ‘discrimination’ and ‘vilification’ and coverage of the EOA and RRTA, particularly when vilifying incidents also involves discrimination. </w:t>
      </w:r>
    </w:p>
    <w:p w14:paraId="5CA79697" w14:textId="49FA551E" w:rsidR="002A70D8" w:rsidRPr="00DD2C4D" w:rsidRDefault="009D0272" w:rsidP="00C2340D">
      <w:pPr>
        <w:pStyle w:val="BodyText"/>
        <w:rPr>
          <w:rStyle w:val="Characteryellowhighlight"/>
          <w:shd w:val="clear" w:color="auto" w:fill="auto"/>
        </w:rPr>
      </w:pPr>
      <w:r>
        <w:t>T</w:t>
      </w:r>
      <w:r w:rsidR="002A70D8">
        <w:t>he</w:t>
      </w:r>
      <w:r w:rsidR="002A70D8" w:rsidRPr="002A70D8">
        <w:t xml:space="preserve"> Victorian Aboriginal Legal Service </w:t>
      </w:r>
      <w:r w:rsidR="008000AC">
        <w:t xml:space="preserve">(VALS) </w:t>
      </w:r>
      <w:r w:rsidR="002A70D8" w:rsidRPr="002A70D8">
        <w:t>told us that its clients are not generally</w:t>
      </w:r>
      <w:r w:rsidR="002A70D8">
        <w:t xml:space="preserve"> not aware of the RRTA and it can be difficult to explain the different legal tests under the RRTA</w:t>
      </w:r>
      <w:r w:rsidR="00BB52AE">
        <w:t>.</w:t>
      </w:r>
      <w:r w:rsidR="00BB52AE">
        <w:rPr>
          <w:rStyle w:val="EndnoteReference"/>
        </w:rPr>
        <w:endnoteReference w:id="198"/>
      </w:r>
    </w:p>
    <w:p w14:paraId="6C5238E4" w14:textId="41A556CF" w:rsidR="007E7B2D" w:rsidRDefault="007E7B2D" w:rsidP="00525EF3">
      <w:pPr>
        <w:pStyle w:val="BodyText"/>
        <w:rPr>
          <w:rStyle w:val="Characterclear"/>
        </w:rPr>
      </w:pPr>
      <w:r>
        <w:rPr>
          <w:rStyle w:val="Characterclear"/>
        </w:rPr>
        <w:t xml:space="preserve">The barriers to police using the RRTA are discussed in </w:t>
      </w:r>
      <w:r w:rsidR="005D7826">
        <w:rPr>
          <w:rStyle w:val="Characterclear"/>
        </w:rPr>
        <w:t xml:space="preserve">part 4.2.4. </w:t>
      </w:r>
      <w:r>
        <w:rPr>
          <w:rStyle w:val="Characterclear"/>
        </w:rPr>
        <w:t xml:space="preserve"> </w:t>
      </w:r>
    </w:p>
    <w:tbl>
      <w:tblPr>
        <w:tblStyle w:val="CustomTablebreakoutbox"/>
        <w:tblW w:w="0" w:type="auto"/>
        <w:tblLook w:val="04A0" w:firstRow="1" w:lastRow="0" w:firstColumn="1" w:lastColumn="0" w:noHBand="0" w:noVBand="1"/>
      </w:tblPr>
      <w:tblGrid>
        <w:gridCol w:w="9061"/>
      </w:tblGrid>
      <w:tr w:rsidR="008777DB" w14:paraId="274683AD" w14:textId="77777777" w:rsidTr="008777DB">
        <w:tc>
          <w:tcPr>
            <w:tcW w:w="9061" w:type="dxa"/>
          </w:tcPr>
          <w:p w14:paraId="0A657035" w14:textId="7D59398D" w:rsidR="008777DB" w:rsidRPr="007822F2" w:rsidRDefault="00572180" w:rsidP="00790301">
            <w:pPr>
              <w:pStyle w:val="Heading4"/>
              <w:outlineLvl w:val="3"/>
              <w:rPr>
                <w:rStyle w:val="Characterbold"/>
                <w:b/>
              </w:rPr>
            </w:pPr>
            <w:r w:rsidRPr="007822F2">
              <w:rPr>
                <w:rStyle w:val="Characterbold"/>
                <w:b/>
              </w:rPr>
              <w:lastRenderedPageBreak/>
              <w:t xml:space="preserve">Barriers reporting hate </w:t>
            </w:r>
            <w:r w:rsidR="000F0751" w:rsidRPr="007822F2">
              <w:rPr>
                <w:rStyle w:val="Characterbold"/>
                <w:b/>
              </w:rPr>
              <w:t>conduct</w:t>
            </w:r>
            <w:r w:rsidR="006A6A87">
              <w:rPr>
                <w:rStyle w:val="Characterbold"/>
              </w:rPr>
              <w:t xml:space="preserve"> </w:t>
            </w:r>
            <w:r w:rsidR="006A6A87" w:rsidRPr="00790301">
              <w:rPr>
                <w:rStyle w:val="Characterbold"/>
                <w:b/>
              </w:rPr>
              <w:t>identified in our survey</w:t>
            </w:r>
          </w:p>
          <w:p w14:paraId="556AEEE5" w14:textId="7F740E9F" w:rsidR="00FB50FC" w:rsidRDefault="00C75276" w:rsidP="00572180">
            <w:pPr>
              <w:pStyle w:val="BodyText"/>
              <w:rPr>
                <w:rStyle w:val="Characterclear"/>
              </w:rPr>
            </w:pPr>
            <w:r>
              <w:rPr>
                <w:rStyle w:val="Characterclear"/>
              </w:rPr>
              <w:t xml:space="preserve">The vast majority of respondents </w:t>
            </w:r>
            <w:r w:rsidR="00555273">
              <w:rPr>
                <w:rStyle w:val="Characterclear"/>
              </w:rPr>
              <w:t xml:space="preserve">to the Commission’s online survey </w:t>
            </w:r>
            <w:r w:rsidR="00C35A09">
              <w:rPr>
                <w:rStyle w:val="Characterclear"/>
              </w:rPr>
              <w:t>chose not to</w:t>
            </w:r>
            <w:r>
              <w:rPr>
                <w:rStyle w:val="Characterclear"/>
              </w:rPr>
              <w:t xml:space="preserve"> report hate conduct</w:t>
            </w:r>
            <w:r w:rsidR="00FB50FC">
              <w:rPr>
                <w:rStyle w:val="Characterclear"/>
              </w:rPr>
              <w:t xml:space="preserve"> for a range of reasons</w:t>
            </w:r>
            <w:r w:rsidR="006C63A4">
              <w:rPr>
                <w:rStyle w:val="Characterclear"/>
              </w:rPr>
              <w:t xml:space="preserve">, </w:t>
            </w:r>
            <w:r w:rsidR="00C35A09">
              <w:rPr>
                <w:rStyle w:val="Characterclear"/>
              </w:rPr>
              <w:t xml:space="preserve">including </w:t>
            </w:r>
            <w:r w:rsidR="00A849EB" w:rsidRPr="00A849EB">
              <w:rPr>
                <w:rStyle w:val="Characterclear"/>
              </w:rPr>
              <w:t>the perception that reporting wouldn’t make a difference, fear of victimisation, not knowing who to report to, and the perception that reporting processes are difficult to navigate</w:t>
            </w:r>
            <w:r w:rsidR="00A849EB">
              <w:rPr>
                <w:rStyle w:val="Characterclear"/>
              </w:rPr>
              <w:t xml:space="preserve">. For example: </w:t>
            </w:r>
          </w:p>
          <w:p w14:paraId="06DB539C" w14:textId="28EEC7AA" w:rsidR="00F32CF0" w:rsidRPr="00F32CF0" w:rsidRDefault="00C4137E" w:rsidP="006A6A87">
            <w:pPr>
              <w:pStyle w:val="ListBullet"/>
              <w:rPr>
                <w:lang w:val="en-GB" w:eastAsia="en-AU"/>
              </w:rPr>
            </w:pPr>
            <w:r>
              <w:t>“</w:t>
            </w:r>
            <w:r w:rsidR="00F32CF0">
              <w:t>I</w:t>
            </w:r>
            <w:r w:rsidR="00F32CF0" w:rsidRPr="00F32CF0">
              <w:rPr>
                <w:lang w:val="en-GB" w:eastAsia="en-AU"/>
              </w:rPr>
              <w:t xml:space="preserve"> don't believe anyone will do anything about it; don't want to put myself through the stress of reporting when the likely outcome is nothing but being told to 'protect myself'; it happens so often, it is normalised and almost not recognised as a problem or wrong</w:t>
            </w:r>
            <w:r w:rsidR="00F32CF0">
              <w:t>.</w:t>
            </w:r>
            <w:r>
              <w:t>”</w:t>
            </w:r>
            <w:r w:rsidR="00F32CF0">
              <w:t xml:space="preserve"> </w:t>
            </w:r>
          </w:p>
          <w:p w14:paraId="2723444A" w14:textId="339AC68A" w:rsidR="00F32CF0" w:rsidRPr="00F32CF0" w:rsidRDefault="00C4137E" w:rsidP="006A6A87">
            <w:pPr>
              <w:pStyle w:val="ListBullet"/>
              <w:rPr>
                <w:lang w:val="en-GB" w:eastAsia="en-AU"/>
              </w:rPr>
            </w:pPr>
            <w:r>
              <w:rPr>
                <w:lang w:val="en-GB" w:eastAsia="en-AU"/>
              </w:rPr>
              <w:t>“</w:t>
            </w:r>
            <w:r w:rsidR="00F32CF0" w:rsidRPr="00F32CF0">
              <w:rPr>
                <w:lang w:val="en-GB" w:eastAsia="en-AU"/>
              </w:rPr>
              <w:t>There is an immense anxiety to report and the process seems to be long and exhausting!</w:t>
            </w:r>
            <w:r>
              <w:rPr>
                <w:lang w:val="en-GB" w:eastAsia="en-AU"/>
              </w:rPr>
              <w:t>”</w:t>
            </w:r>
          </w:p>
          <w:p w14:paraId="58B42E4F" w14:textId="10B3EE1B" w:rsidR="009073E9" w:rsidRPr="009073E9" w:rsidRDefault="00C4137E" w:rsidP="006A6A87">
            <w:pPr>
              <w:pStyle w:val="ListBullet"/>
              <w:rPr>
                <w:lang w:val="en-GB" w:eastAsia="en-AU"/>
              </w:rPr>
            </w:pPr>
            <w:r>
              <w:rPr>
                <w:lang w:val="en-GB" w:eastAsia="en-AU"/>
              </w:rPr>
              <w:t>“</w:t>
            </w:r>
            <w:r w:rsidR="009073E9" w:rsidRPr="009073E9">
              <w:rPr>
                <w:lang w:val="en-GB" w:eastAsia="en-AU"/>
              </w:rPr>
              <w:t>I have never known who to report things like this to, and if I did, I don't feel like I would be taken seriously. I feel like most people think that by being out of the closet I have brought this sort of thing upon myself.</w:t>
            </w:r>
            <w:r>
              <w:rPr>
                <w:lang w:val="en-GB" w:eastAsia="en-AU"/>
              </w:rPr>
              <w:t>”</w:t>
            </w:r>
          </w:p>
          <w:p w14:paraId="3821F3A8" w14:textId="7B215CA3" w:rsidR="002A69A4" w:rsidRDefault="00C4137E" w:rsidP="006A6A87">
            <w:pPr>
              <w:pStyle w:val="ListBullet"/>
            </w:pPr>
            <w:r>
              <w:rPr>
                <w:lang w:val="en-GB" w:eastAsia="en-AU"/>
              </w:rPr>
              <w:t>“</w:t>
            </w:r>
            <w:r w:rsidR="009073E9" w:rsidRPr="009073E9">
              <w:rPr>
                <w:lang w:val="en-GB" w:eastAsia="en-AU"/>
              </w:rPr>
              <w:t>[I feared] that this might create further unpleasant situation for me and pushed to a level of resigning the job or even sacking/redundancy</w:t>
            </w:r>
            <w:r w:rsidR="009073E9">
              <w:t>.</w:t>
            </w:r>
            <w:r>
              <w:t>”</w:t>
            </w:r>
          </w:p>
          <w:p w14:paraId="2E73B07D" w14:textId="5B583344" w:rsidR="0035468E" w:rsidRPr="0035468E" w:rsidRDefault="008E01BB" w:rsidP="006A6A87">
            <w:pPr>
              <w:pStyle w:val="BodyText"/>
              <w:rPr>
                <w:rStyle w:val="Characterclear"/>
              </w:rPr>
            </w:pPr>
            <w:r>
              <w:rPr>
                <w:rStyle w:val="Characterclear"/>
              </w:rPr>
              <w:t xml:space="preserve">Of the survey respondents who did report hate conduct, few </w:t>
            </w:r>
            <w:r w:rsidR="00374862">
              <w:rPr>
                <w:rStyle w:val="Characterclear"/>
              </w:rPr>
              <w:t>reported receiving</w:t>
            </w:r>
            <w:r>
              <w:rPr>
                <w:rStyle w:val="Characterclear"/>
              </w:rPr>
              <w:t xml:space="preserve"> a successful outcome where action was taken against the perpetrator</w:t>
            </w:r>
            <w:r w:rsidR="00B4124B">
              <w:rPr>
                <w:rStyle w:val="Characterclear"/>
              </w:rPr>
              <w:t>.</w:t>
            </w:r>
          </w:p>
        </w:tc>
      </w:tr>
    </w:tbl>
    <w:p w14:paraId="145F59DB" w14:textId="77777777" w:rsidR="00CC15C8" w:rsidRDefault="00CC15C8" w:rsidP="00C923E1">
      <w:pPr>
        <w:pStyle w:val="BodyText"/>
        <w:rPr>
          <w:rStyle w:val="Characterbold"/>
        </w:rPr>
      </w:pPr>
    </w:p>
    <w:p w14:paraId="2D13FF98" w14:textId="03E57252" w:rsidR="009A3925" w:rsidRPr="009A3925" w:rsidRDefault="009A3925" w:rsidP="00C923E1">
      <w:pPr>
        <w:pStyle w:val="BodyText"/>
        <w:rPr>
          <w:rStyle w:val="Characterbold"/>
        </w:rPr>
      </w:pPr>
      <w:r>
        <w:rPr>
          <w:rStyle w:val="Characterbold"/>
        </w:rPr>
        <w:t xml:space="preserve">Cultural </w:t>
      </w:r>
      <w:r w:rsidR="00F3048B">
        <w:rPr>
          <w:rStyle w:val="Characterbold"/>
        </w:rPr>
        <w:t>perspectives</w:t>
      </w:r>
    </w:p>
    <w:p w14:paraId="1862CFAA" w14:textId="347D31CA" w:rsidR="00C47525" w:rsidRPr="00C47525" w:rsidRDefault="00DC2174" w:rsidP="00C47525">
      <w:pPr>
        <w:pStyle w:val="BodyText"/>
        <w:rPr>
          <w:rStyle w:val="Characterclear"/>
        </w:rPr>
      </w:pPr>
      <w:r>
        <w:rPr>
          <w:rStyle w:val="Characterclear"/>
        </w:rPr>
        <w:t xml:space="preserve">The Commission heard in consultations that </w:t>
      </w:r>
      <w:r w:rsidR="00BC25D3">
        <w:rPr>
          <w:rStyle w:val="Characterclear"/>
        </w:rPr>
        <w:t>there</w:t>
      </w:r>
      <w:r w:rsidR="00CC15C8">
        <w:rPr>
          <w:rStyle w:val="Characterclear"/>
        </w:rPr>
        <w:t xml:space="preserve"> is</w:t>
      </w:r>
      <w:r w:rsidR="00BC25D3">
        <w:rPr>
          <w:rStyle w:val="Characterclear"/>
        </w:rPr>
        <w:t xml:space="preserve"> </w:t>
      </w:r>
      <w:r w:rsidR="00C4137E">
        <w:rPr>
          <w:rStyle w:val="Characterclear"/>
        </w:rPr>
        <w:t>“</w:t>
      </w:r>
      <w:r w:rsidR="00BC25D3">
        <w:rPr>
          <w:rStyle w:val="Characterclear"/>
        </w:rPr>
        <w:t>a massive disconnect between the law and the community</w:t>
      </w:r>
      <w:r w:rsidR="00C4137E">
        <w:rPr>
          <w:rStyle w:val="Characterclear"/>
        </w:rPr>
        <w:t>”</w:t>
      </w:r>
      <w:r w:rsidR="00BC25D3">
        <w:rPr>
          <w:rStyle w:val="Characterclear"/>
        </w:rPr>
        <w:t>.</w:t>
      </w:r>
      <w:r w:rsidR="00FC5103">
        <w:rPr>
          <w:rStyle w:val="EndnoteReference"/>
          <w:lang w:eastAsia="en-AU"/>
        </w:rPr>
        <w:endnoteReference w:id="199"/>
      </w:r>
      <w:r w:rsidR="009C1F06">
        <w:rPr>
          <w:rStyle w:val="Characterclear"/>
        </w:rPr>
        <w:t xml:space="preserve"> </w:t>
      </w:r>
      <w:r>
        <w:rPr>
          <w:rStyle w:val="Characterclear"/>
        </w:rPr>
        <w:t xml:space="preserve">In part, we heard that this is due to a </w:t>
      </w:r>
      <w:r w:rsidR="009763E0">
        <w:rPr>
          <w:rStyle w:val="Characterclear"/>
        </w:rPr>
        <w:t xml:space="preserve">lack of culturally appropriate services to support </w:t>
      </w:r>
      <w:r w:rsidR="00880442">
        <w:rPr>
          <w:rStyle w:val="Characterclear"/>
        </w:rPr>
        <w:t>people to access the RRTA</w:t>
      </w:r>
      <w:r w:rsidR="000E6E06">
        <w:rPr>
          <w:rStyle w:val="Characterclear"/>
        </w:rPr>
        <w:t>, as well as a lack of awareness and understanding of the RRTA</w:t>
      </w:r>
      <w:r w:rsidR="00880442">
        <w:rPr>
          <w:rStyle w:val="Characterclear"/>
        </w:rPr>
        <w:t>.</w:t>
      </w:r>
      <w:r w:rsidR="00880442">
        <w:rPr>
          <w:rStyle w:val="EndnoteReference"/>
          <w:lang w:eastAsia="en-AU"/>
        </w:rPr>
        <w:endnoteReference w:id="200"/>
      </w:r>
      <w:r w:rsidR="006168A2" w:rsidRPr="006168A2">
        <w:rPr>
          <w:rStyle w:val="Characterclear"/>
        </w:rPr>
        <w:t xml:space="preserve"> </w:t>
      </w:r>
    </w:p>
    <w:tbl>
      <w:tblPr>
        <w:tblStyle w:val="CustomTablebreakoutbox"/>
        <w:tblW w:w="0" w:type="auto"/>
        <w:tblLook w:val="04A0" w:firstRow="1" w:lastRow="0" w:firstColumn="1" w:lastColumn="0" w:noHBand="0" w:noVBand="1"/>
      </w:tblPr>
      <w:tblGrid>
        <w:gridCol w:w="9061"/>
      </w:tblGrid>
      <w:tr w:rsidR="00D74419" w14:paraId="406D4439" w14:textId="77777777" w:rsidTr="009154AE">
        <w:tc>
          <w:tcPr>
            <w:tcW w:w="9061" w:type="dxa"/>
          </w:tcPr>
          <w:p w14:paraId="7599947E" w14:textId="67A991A3" w:rsidR="009D2586" w:rsidRPr="00790301" w:rsidRDefault="009D2586" w:rsidP="00790301">
            <w:pPr>
              <w:pStyle w:val="BodyText"/>
              <w:rPr>
                <w:rStyle w:val="Characterbold"/>
              </w:rPr>
            </w:pPr>
            <w:r w:rsidRPr="00790301">
              <w:rPr>
                <w:rStyle w:val="Characterbold"/>
              </w:rPr>
              <w:t>Barriers to reporting hate conduct</w:t>
            </w:r>
            <w:r w:rsidR="00790301" w:rsidRPr="00790301">
              <w:rPr>
                <w:rStyle w:val="Characterbold"/>
              </w:rPr>
              <w:t xml:space="preserve"> identified by</w:t>
            </w:r>
            <w:r w:rsidRPr="00790301">
              <w:rPr>
                <w:rStyle w:val="Characterbold"/>
              </w:rPr>
              <w:t xml:space="preserve"> the Islamic Council of Victoria</w:t>
            </w:r>
          </w:p>
          <w:p w14:paraId="7D4230E6" w14:textId="77777777" w:rsidR="00D74419" w:rsidRPr="00D74419" w:rsidRDefault="00D74419" w:rsidP="00D74419">
            <w:pPr>
              <w:pStyle w:val="BodyText"/>
              <w:rPr>
                <w:rStyle w:val="Characterclear"/>
              </w:rPr>
            </w:pPr>
            <w:r w:rsidRPr="00D74419">
              <w:rPr>
                <w:rStyle w:val="Characterclear"/>
              </w:rPr>
              <w:t xml:space="preserve">The Islamic Council of Victoria (ICV) ran a survey in 2019 with Victorian Muslim community organisations about reporting Islamophobia. The survey identified that: </w:t>
            </w:r>
          </w:p>
          <w:p w14:paraId="6F5AE4C2" w14:textId="77777777" w:rsidR="00D74419" w:rsidRPr="00D74419" w:rsidRDefault="00D74419" w:rsidP="00D74419">
            <w:pPr>
              <w:pStyle w:val="ListBullet"/>
              <w:numPr>
                <w:ilvl w:val="0"/>
                <w:numId w:val="3"/>
              </w:numPr>
            </w:pPr>
            <w:r w:rsidRPr="00D74419">
              <w:t>only 36 per cent of respondents were clear on how and where to report Islamophobic incidents</w:t>
            </w:r>
          </w:p>
          <w:p w14:paraId="0D06D466" w14:textId="77777777" w:rsidR="00D74419" w:rsidRPr="00D74419" w:rsidRDefault="00D74419" w:rsidP="00D74419">
            <w:pPr>
              <w:pStyle w:val="ListBullet"/>
              <w:numPr>
                <w:ilvl w:val="0"/>
                <w:numId w:val="3"/>
              </w:numPr>
            </w:pPr>
            <w:r w:rsidRPr="00D74419">
              <w:t>40 per cent noted that they didn’t have a referral process in place to support community members who had experienced Islamophobic incidents</w:t>
            </w:r>
          </w:p>
          <w:p w14:paraId="5A0F1283" w14:textId="77777777" w:rsidR="00D74419" w:rsidRPr="00D74419" w:rsidRDefault="00D74419" w:rsidP="00D74419">
            <w:pPr>
              <w:pStyle w:val="ListBullet"/>
              <w:numPr>
                <w:ilvl w:val="0"/>
                <w:numId w:val="3"/>
              </w:numPr>
            </w:pPr>
            <w:r w:rsidRPr="00D74419">
              <w:t>when given the opportunity to identify one or multiple reporting barriers, 50 per cent of respondents identified that a lack of resources or manpower was a barrier in responding to Islamophobic incidents, and 27 per cent indicated that they were not aware of existing reporting services</w:t>
            </w:r>
          </w:p>
          <w:p w14:paraId="0F46140B" w14:textId="77777777" w:rsidR="00D74419" w:rsidRPr="00D74419" w:rsidRDefault="00D74419" w:rsidP="00D74419">
            <w:pPr>
              <w:pStyle w:val="ListBullet"/>
              <w:numPr>
                <w:ilvl w:val="0"/>
                <w:numId w:val="3"/>
              </w:numPr>
            </w:pPr>
            <w:r w:rsidRPr="00D74419">
              <w:t>62 per cent of respondents were aware of the Islamophobia Register Australia as a reporting and complaint service for Islamophobic incidents, but only 50 per cent indicated that they understood how to submit a report via this service</w:t>
            </w:r>
          </w:p>
          <w:p w14:paraId="0E7BA56B" w14:textId="77777777" w:rsidR="00D74419" w:rsidRPr="00D74419" w:rsidRDefault="00D74419" w:rsidP="00D74419">
            <w:pPr>
              <w:pStyle w:val="ListBullet"/>
              <w:numPr>
                <w:ilvl w:val="0"/>
                <w:numId w:val="3"/>
              </w:numPr>
            </w:pPr>
            <w:r w:rsidRPr="00D74419">
              <w:t>62 per cent of respondents were aware of the Commission as a reporting and complaint service for Islamophobic incidents, but only 23 per cent indicated that they understood how to submit a report via this service</w:t>
            </w:r>
          </w:p>
          <w:p w14:paraId="3656F121" w14:textId="3885AEEC" w:rsidR="00D74419" w:rsidRDefault="00D74419" w:rsidP="00D74419">
            <w:pPr>
              <w:pStyle w:val="BodyText"/>
              <w:rPr>
                <w:rStyle w:val="Characterclear"/>
              </w:rPr>
            </w:pPr>
            <w:r w:rsidRPr="00D74419">
              <w:t>95 per cent of respondents were aware of Victoria Police as a reporting and complaint service for Islamophobic incidents, but only 65 per cent indicated that they understood how to submit a report via this service.</w:t>
            </w:r>
            <w:r w:rsidRPr="00D74419">
              <w:rPr>
                <w:rStyle w:val="EndnoteReference"/>
              </w:rPr>
              <w:endnoteReference w:id="201"/>
            </w:r>
          </w:p>
        </w:tc>
      </w:tr>
    </w:tbl>
    <w:p w14:paraId="3F1CE88D" w14:textId="6E4DD358" w:rsidR="009763E0" w:rsidRDefault="001C1B37" w:rsidP="00C923E1">
      <w:pPr>
        <w:pStyle w:val="BodyText"/>
        <w:rPr>
          <w:rStyle w:val="Characterclear"/>
        </w:rPr>
      </w:pPr>
      <w:r>
        <w:rPr>
          <w:rStyle w:val="Characterclear"/>
        </w:rPr>
        <w:lastRenderedPageBreak/>
        <w:t>Research</w:t>
      </w:r>
      <w:r w:rsidR="006168A2" w:rsidRPr="006168A2">
        <w:rPr>
          <w:rStyle w:val="Characterclear"/>
        </w:rPr>
        <w:t xml:space="preserve"> confirms that barriers to accessing the law are particularly acute for multicultural and multifaith communities</w:t>
      </w:r>
      <w:r w:rsidR="006168A2" w:rsidRPr="006168A2">
        <w:rPr>
          <w:rStyle w:val="EndnoteReference"/>
        </w:rPr>
        <w:endnoteReference w:id="202"/>
      </w:r>
      <w:r w:rsidR="006168A2">
        <w:rPr>
          <w:rStyle w:val="Characterclear"/>
        </w:rPr>
        <w:t xml:space="preserve"> </w:t>
      </w:r>
      <w:r w:rsidR="00B84FE4">
        <w:rPr>
          <w:rStyle w:val="Characterclear"/>
        </w:rPr>
        <w:t>who</w:t>
      </w:r>
      <w:r w:rsidR="00D3773F">
        <w:rPr>
          <w:rStyle w:val="Characterclear"/>
        </w:rPr>
        <w:t xml:space="preserve"> can have difficulty accessing the law because of unfamiliarity with the Australian legal system and </w:t>
      </w:r>
      <w:r w:rsidR="00084615">
        <w:rPr>
          <w:rStyle w:val="Characterclear"/>
        </w:rPr>
        <w:t>different cultural perspectives.</w:t>
      </w:r>
      <w:r w:rsidR="00084615">
        <w:rPr>
          <w:rStyle w:val="EndnoteReference"/>
          <w:lang w:eastAsia="en-AU"/>
        </w:rPr>
        <w:endnoteReference w:id="203"/>
      </w:r>
      <w:r>
        <w:rPr>
          <w:rStyle w:val="Characterclear"/>
        </w:rPr>
        <w:t xml:space="preserve"> Additionally, some </w:t>
      </w:r>
      <w:r w:rsidR="00E13C10">
        <w:rPr>
          <w:rStyle w:val="Characterclear"/>
        </w:rPr>
        <w:t xml:space="preserve">people from </w:t>
      </w:r>
      <w:r>
        <w:rPr>
          <w:rStyle w:val="Characterclear"/>
        </w:rPr>
        <w:t>multicultural an</w:t>
      </w:r>
      <w:r w:rsidR="00E13C10">
        <w:rPr>
          <w:rStyle w:val="Characterclear"/>
        </w:rPr>
        <w:t>d</w:t>
      </w:r>
      <w:r>
        <w:rPr>
          <w:rStyle w:val="Characterclear"/>
        </w:rPr>
        <w:t xml:space="preserve"> multifaith </w:t>
      </w:r>
      <w:r w:rsidR="00E13C10">
        <w:rPr>
          <w:rStyle w:val="Characterclear"/>
        </w:rPr>
        <w:t>communities</w:t>
      </w:r>
      <w:r>
        <w:rPr>
          <w:rStyle w:val="Characterclear"/>
        </w:rPr>
        <w:t xml:space="preserve"> may have limited English proficiency</w:t>
      </w:r>
      <w:r w:rsidR="00FC2DC5">
        <w:rPr>
          <w:rStyle w:val="Characterclear"/>
        </w:rPr>
        <w:t>, which can affect their ability to access resources and services, and exercise their rights.</w:t>
      </w:r>
      <w:r w:rsidR="00FC2DC5">
        <w:rPr>
          <w:rStyle w:val="EndnoteReference"/>
          <w:lang w:eastAsia="en-AU"/>
        </w:rPr>
        <w:endnoteReference w:id="204"/>
      </w:r>
      <w:r w:rsidR="00C77F76">
        <w:rPr>
          <w:rStyle w:val="Characterclear"/>
        </w:rPr>
        <w:t xml:space="preserve"> </w:t>
      </w:r>
    </w:p>
    <w:p w14:paraId="47F5CA94" w14:textId="38949B25" w:rsidR="00BE7640" w:rsidRPr="00E13C10" w:rsidRDefault="00FC0EA2" w:rsidP="00C923E1">
      <w:pPr>
        <w:pStyle w:val="BodyText"/>
        <w:rPr>
          <w:rStyle w:val="Characterclear"/>
          <w:lang w:val="en-GB"/>
        </w:rPr>
      </w:pPr>
      <w:r w:rsidRPr="00FC0EA2">
        <w:rPr>
          <w:lang w:val="en-GB" w:eastAsia="en-AU"/>
        </w:rPr>
        <w:t xml:space="preserve">Importantly, the Commission’s consultations identified that some groups and individuals attempt to bridge </w:t>
      </w:r>
      <w:r w:rsidR="006E40A2">
        <w:t xml:space="preserve">the cultural divide between the law and the community </w:t>
      </w:r>
      <w:r w:rsidR="00687083">
        <w:t>through a range of initiatives</w:t>
      </w:r>
      <w:r w:rsidRPr="00FC0EA2">
        <w:rPr>
          <w:lang w:val="en-GB" w:eastAsia="en-AU"/>
        </w:rPr>
        <w:t xml:space="preserve">. </w:t>
      </w:r>
      <w:r w:rsidR="000E6E06">
        <w:t xml:space="preserve">We consistently heard </w:t>
      </w:r>
      <w:r w:rsidR="009A06AB">
        <w:t>that there is often a preference to report incidents within communities, including to community or religious leaders in positions of trust as a more</w:t>
      </w:r>
      <w:r w:rsidR="00862683">
        <w:t xml:space="preserve"> intuitive</w:t>
      </w:r>
      <w:r w:rsidR="009A06AB">
        <w:t xml:space="preserve"> and culturally safe form of reporting. </w:t>
      </w:r>
      <w:r w:rsidR="00752B79">
        <w:rPr>
          <w:rStyle w:val="Characterclear"/>
        </w:rPr>
        <w:t xml:space="preserve">Participants from the Jewish community </w:t>
      </w:r>
      <w:r w:rsidR="008E7A71">
        <w:rPr>
          <w:rStyle w:val="Characterclear"/>
        </w:rPr>
        <w:t>noted</w:t>
      </w:r>
      <w:r w:rsidR="00752B79">
        <w:rPr>
          <w:rStyle w:val="Characterclear"/>
        </w:rPr>
        <w:t xml:space="preserve"> </w:t>
      </w:r>
      <w:r w:rsidR="00A07766">
        <w:rPr>
          <w:rStyle w:val="Characterclear"/>
        </w:rPr>
        <w:t>establishing a relationship with Victoria Police</w:t>
      </w:r>
      <w:r w:rsidR="008E7A71">
        <w:rPr>
          <w:rStyle w:val="Characterclear"/>
        </w:rPr>
        <w:t xml:space="preserve">, which meant that </w:t>
      </w:r>
      <w:r w:rsidR="00FE24D9">
        <w:rPr>
          <w:rStyle w:val="Characterclear"/>
        </w:rPr>
        <w:t xml:space="preserve">reporting hate crime to police may be more accessible than </w:t>
      </w:r>
      <w:r w:rsidR="008E7A71">
        <w:rPr>
          <w:rStyle w:val="Characterclear"/>
        </w:rPr>
        <w:t xml:space="preserve">for </w:t>
      </w:r>
      <w:r w:rsidR="00FE24D9">
        <w:rPr>
          <w:rStyle w:val="Characterclear"/>
        </w:rPr>
        <w:t xml:space="preserve">other </w:t>
      </w:r>
      <w:r w:rsidR="008E7A71">
        <w:rPr>
          <w:rStyle w:val="Characterclear"/>
        </w:rPr>
        <w:t xml:space="preserve">less established </w:t>
      </w:r>
      <w:r w:rsidR="00FE24D9">
        <w:rPr>
          <w:rStyle w:val="Characterclear"/>
        </w:rPr>
        <w:t>communities.</w:t>
      </w:r>
      <w:r w:rsidR="00FE24D9">
        <w:rPr>
          <w:rStyle w:val="EndnoteReference"/>
          <w:lang w:eastAsia="en-AU"/>
        </w:rPr>
        <w:endnoteReference w:id="205"/>
      </w:r>
      <w:r w:rsidR="00A12CFF">
        <w:rPr>
          <w:rStyle w:val="Characterclear"/>
        </w:rPr>
        <w:t xml:space="preserve"> </w:t>
      </w:r>
    </w:p>
    <w:p w14:paraId="7FD30D5E" w14:textId="0B63FFE4" w:rsidR="009A3925" w:rsidRPr="00C923E1" w:rsidRDefault="00890449" w:rsidP="00C923E1">
      <w:pPr>
        <w:pStyle w:val="BodyText"/>
        <w:rPr>
          <w:rStyle w:val="Characterclear"/>
        </w:rPr>
      </w:pPr>
      <w:r>
        <w:rPr>
          <w:rStyle w:val="Characterclear"/>
        </w:rPr>
        <w:t xml:space="preserve">For Aboriginal </w:t>
      </w:r>
      <w:r w:rsidR="009651FC">
        <w:rPr>
          <w:rStyle w:val="Characterclear"/>
        </w:rPr>
        <w:t xml:space="preserve">Victorians, </w:t>
      </w:r>
      <w:r w:rsidR="008E05EE">
        <w:rPr>
          <w:rStyle w:val="Characterclear"/>
        </w:rPr>
        <w:t xml:space="preserve">cultural perspectives can shape the way hate in the community is perceived or </w:t>
      </w:r>
      <w:r w:rsidR="00B729D6">
        <w:rPr>
          <w:rStyle w:val="Characterclear"/>
        </w:rPr>
        <w:t xml:space="preserve">responded to. </w:t>
      </w:r>
      <w:r w:rsidR="00DD6101">
        <w:rPr>
          <w:rStyle w:val="Characterclear"/>
        </w:rPr>
        <w:t>For example, ‘shame’ is a cultural concept which describes a situation in which a person has been singled out</w:t>
      </w:r>
      <w:r w:rsidR="00D84E44">
        <w:rPr>
          <w:rStyle w:val="Characterclear"/>
        </w:rPr>
        <w:t>, for a negative or positive purpose, in which the person loses a sense of security in anonymity.</w:t>
      </w:r>
      <w:r w:rsidR="00391E06">
        <w:rPr>
          <w:rStyle w:val="EndnoteReference"/>
          <w:lang w:eastAsia="en-AU"/>
        </w:rPr>
        <w:endnoteReference w:id="206"/>
      </w:r>
      <w:r w:rsidR="00D84E44">
        <w:rPr>
          <w:rStyle w:val="Characterclear"/>
        </w:rPr>
        <w:t xml:space="preserve"> ‘Shame’ has been compared to </w:t>
      </w:r>
      <w:r w:rsidR="00626E56">
        <w:rPr>
          <w:rStyle w:val="Characterclear"/>
        </w:rPr>
        <w:t xml:space="preserve">words such as ‘shyness’ or ‘embarrassment’ and has been reported as a barrier to accessing services, such as in </w:t>
      </w:r>
      <w:r w:rsidR="00882C09">
        <w:rPr>
          <w:rStyle w:val="Characterclear"/>
        </w:rPr>
        <w:t xml:space="preserve">an education </w:t>
      </w:r>
      <w:r w:rsidR="00E22425">
        <w:rPr>
          <w:rStyle w:val="Characterclear"/>
        </w:rPr>
        <w:t>and health</w:t>
      </w:r>
      <w:r w:rsidR="00882C09">
        <w:rPr>
          <w:rStyle w:val="Characterclear"/>
        </w:rPr>
        <w:t xml:space="preserve"> context</w:t>
      </w:r>
      <w:r w:rsidR="00626E56">
        <w:rPr>
          <w:rStyle w:val="Characterclear"/>
        </w:rPr>
        <w:t>.</w:t>
      </w:r>
      <w:r w:rsidR="00626E56">
        <w:rPr>
          <w:rStyle w:val="EndnoteReference"/>
          <w:lang w:eastAsia="en-AU"/>
        </w:rPr>
        <w:endnoteReference w:id="207"/>
      </w:r>
      <w:r w:rsidR="00882C09">
        <w:rPr>
          <w:rStyle w:val="Characterclear"/>
        </w:rPr>
        <w:t xml:space="preserve"> </w:t>
      </w:r>
    </w:p>
    <w:tbl>
      <w:tblPr>
        <w:tblStyle w:val="CustomTablebreakoutbox"/>
        <w:tblW w:w="0" w:type="auto"/>
        <w:tblLook w:val="04A0" w:firstRow="1" w:lastRow="0" w:firstColumn="1" w:lastColumn="0" w:noHBand="0" w:noVBand="1"/>
      </w:tblPr>
      <w:tblGrid>
        <w:gridCol w:w="9061"/>
      </w:tblGrid>
      <w:tr w:rsidR="00234A33" w14:paraId="7ABAC901" w14:textId="77777777" w:rsidTr="00234A33">
        <w:tc>
          <w:tcPr>
            <w:tcW w:w="9061" w:type="dxa"/>
          </w:tcPr>
          <w:p w14:paraId="5F908129" w14:textId="77777777" w:rsidR="00234A33" w:rsidRDefault="00234A33" w:rsidP="00D975B6">
            <w:pPr>
              <w:pStyle w:val="BodyText"/>
              <w:rPr>
                <w:rStyle w:val="Characterbold"/>
              </w:rPr>
            </w:pPr>
            <w:r>
              <w:rPr>
                <w:rStyle w:val="Characterbold"/>
              </w:rPr>
              <w:t xml:space="preserve">Examples of initiatives to </w:t>
            </w:r>
            <w:r w:rsidR="00CB5A67">
              <w:rPr>
                <w:rStyle w:val="Characterbold"/>
              </w:rPr>
              <w:t xml:space="preserve">address issues with access to the law </w:t>
            </w:r>
          </w:p>
          <w:p w14:paraId="60282AB7" w14:textId="0907C6D1" w:rsidR="00CB5A67" w:rsidRPr="00CB5A67" w:rsidRDefault="00CB5A67" w:rsidP="00CB5A67">
            <w:pPr>
              <w:pStyle w:val="BodyText"/>
            </w:pPr>
            <w:r w:rsidRPr="00CB5A67">
              <w:t>The provision of culturally competent, informed services is considered a hallmark of success when engaging culturally diverse groups.</w:t>
            </w:r>
            <w:r w:rsidRPr="00CB5A67">
              <w:rPr>
                <w:rStyle w:val="EndnoteReference"/>
              </w:rPr>
              <w:endnoteReference w:id="208"/>
            </w:r>
            <w:r w:rsidRPr="00CB5A67">
              <w:t xml:space="preserve"> This includes ensuring that complaint mechanisms are flexible enough to consider the contexts of diverse and distinct groups of complainants. In recent years, the Commission has actively taken steps to engage multicultural and multifaith communities in Victoria, including: </w:t>
            </w:r>
          </w:p>
          <w:p w14:paraId="7FFBA3BD" w14:textId="70A5750F" w:rsidR="00105D58" w:rsidRPr="00105D58" w:rsidRDefault="00CB5A67" w:rsidP="00105D58">
            <w:pPr>
              <w:pStyle w:val="ListBullet"/>
              <w:numPr>
                <w:ilvl w:val="0"/>
                <w:numId w:val="3"/>
              </w:numPr>
            </w:pPr>
            <w:r w:rsidRPr="00CB5A67">
              <w:t xml:space="preserve">the development of </w:t>
            </w:r>
            <w:r w:rsidR="00734C6C">
              <w:t>our</w:t>
            </w:r>
            <w:r w:rsidRPr="00CB5A67">
              <w:t xml:space="preserve"> </w:t>
            </w:r>
            <w:r w:rsidR="00C4137E">
              <w:t>MMEAP</w:t>
            </w:r>
            <w:r w:rsidRPr="00CB5A67">
              <w:t>, which is designed to ensure greater numbers of multicultural and multifaith Victorians and their advocates have the confidence and information to access the Commission and exercise their rights</w:t>
            </w:r>
          </w:p>
          <w:p w14:paraId="004364AD" w14:textId="4EDEEA50" w:rsidR="00B02F3B" w:rsidRPr="00CB5A67" w:rsidRDefault="00671609" w:rsidP="00CB5A67">
            <w:pPr>
              <w:pStyle w:val="ListBullet"/>
              <w:numPr>
                <w:ilvl w:val="0"/>
                <w:numId w:val="3"/>
              </w:numPr>
            </w:pPr>
            <w:r>
              <w:t>our</w:t>
            </w:r>
            <w:r w:rsidR="00CB5A67" w:rsidRPr="00CB5A67">
              <w:t xml:space="preserve"> 2019 </w:t>
            </w:r>
            <w:r w:rsidR="00CB5A67" w:rsidRPr="00CB5A67">
              <w:rPr>
                <w:rStyle w:val="Characteritalic"/>
              </w:rPr>
              <w:t>Reducing Racism</w:t>
            </w:r>
            <w:r w:rsidR="00CB5A67" w:rsidRPr="00CB5A67">
              <w:t xml:space="preserve"> project, which was intended to support members of Victoria’s African and Muslim communities to understand and exercise their rights, and to report racism under the EOA and RRTA. The project supported 10 young African Ambassadors to act as advocates for their communities on understanding and exercising their rights</w:t>
            </w:r>
          </w:p>
          <w:p w14:paraId="0E735CC6" w14:textId="3172AA65" w:rsidR="00CB5A67" w:rsidRPr="0069422A" w:rsidRDefault="00CB5A67" w:rsidP="0069422A">
            <w:pPr>
              <w:pStyle w:val="ListBullet"/>
              <w:numPr>
                <w:ilvl w:val="0"/>
                <w:numId w:val="3"/>
              </w:numPr>
              <w:rPr>
                <w:rStyle w:val="Characteryellowhighlight"/>
                <w:shd w:val="clear" w:color="auto" w:fill="auto"/>
              </w:rPr>
            </w:pPr>
            <w:r w:rsidRPr="00CB5A67">
              <w:t xml:space="preserve">partnering with the Victorian Local Government Multicultural Issues Network to pilot a new Community Reporting Tool. The tool aimed to address issues with accessing the law and make it easier for culturally and linguistically diverse groups to make complaints about racism and discrimination. </w:t>
            </w:r>
          </w:p>
        </w:tc>
      </w:tr>
    </w:tbl>
    <w:p w14:paraId="3FC24669" w14:textId="44C13320" w:rsidR="00DD2C4D" w:rsidRPr="00BE5A90" w:rsidRDefault="008B47B7" w:rsidP="00BE5A90">
      <w:pPr>
        <w:pStyle w:val="Heading4"/>
        <w:rPr>
          <w:rStyle w:val="Characterclear"/>
        </w:rPr>
      </w:pPr>
      <w:r w:rsidRPr="00BE5A90">
        <w:rPr>
          <w:rStyle w:val="Characterclear"/>
        </w:rPr>
        <w:t xml:space="preserve">Reluctance to engage with the criminal justice system </w:t>
      </w:r>
    </w:p>
    <w:p w14:paraId="3F9E72EA" w14:textId="141B95DF" w:rsidR="00BE5A90" w:rsidRDefault="001940B1" w:rsidP="00DD22BC">
      <w:pPr>
        <w:pStyle w:val="BodyText"/>
        <w:rPr>
          <w:rStyle w:val="Characterclear"/>
        </w:rPr>
      </w:pPr>
      <w:r w:rsidRPr="00BE5A90">
        <w:rPr>
          <w:rStyle w:val="Characterclear"/>
        </w:rPr>
        <w:t xml:space="preserve">Participants in the </w:t>
      </w:r>
      <w:r w:rsidR="00296EDC" w:rsidRPr="00BE5A90">
        <w:rPr>
          <w:rStyle w:val="Characterclear"/>
        </w:rPr>
        <w:t xml:space="preserve">Commission’s </w:t>
      </w:r>
      <w:r w:rsidR="00132B25">
        <w:rPr>
          <w:rStyle w:val="Characterclear"/>
        </w:rPr>
        <w:t>multicultural and multifaith focus groups</w:t>
      </w:r>
      <w:r w:rsidR="00296EDC" w:rsidRPr="00BE5A90">
        <w:rPr>
          <w:rStyle w:val="Characterclear"/>
        </w:rPr>
        <w:t xml:space="preserve"> told us that there was a reluctance </w:t>
      </w:r>
      <w:r w:rsidR="0051507B" w:rsidRPr="00BE5A90">
        <w:rPr>
          <w:rStyle w:val="Characterclear"/>
        </w:rPr>
        <w:t>by</w:t>
      </w:r>
      <w:r w:rsidR="00296EDC" w:rsidRPr="00BE5A90">
        <w:rPr>
          <w:rStyle w:val="Characterclear"/>
        </w:rPr>
        <w:t xml:space="preserve"> some community members to engage with the justice system</w:t>
      </w:r>
      <w:r w:rsidR="00661BB7" w:rsidRPr="00BE5A90">
        <w:rPr>
          <w:rStyle w:val="Characterclear"/>
        </w:rPr>
        <w:t xml:space="preserve"> due to</w:t>
      </w:r>
      <w:r w:rsidR="00EC7B5F" w:rsidRPr="00BE5A90">
        <w:rPr>
          <w:rStyle w:val="Characterclear"/>
        </w:rPr>
        <w:t xml:space="preserve"> </w:t>
      </w:r>
      <w:r w:rsidR="004D0B7D" w:rsidRPr="00BE5A90">
        <w:rPr>
          <w:rStyle w:val="Characterclear"/>
        </w:rPr>
        <w:t>a distrust of authorities</w:t>
      </w:r>
      <w:r w:rsidR="00EC7B5F" w:rsidRPr="00BE5A90">
        <w:rPr>
          <w:rStyle w:val="Characterclear"/>
        </w:rPr>
        <w:t xml:space="preserve">, </w:t>
      </w:r>
      <w:r w:rsidR="004D0B7D" w:rsidRPr="00BE5A90">
        <w:rPr>
          <w:rStyle w:val="Characterclear"/>
        </w:rPr>
        <w:t>a perception of institutional racism or discrimination</w:t>
      </w:r>
      <w:r w:rsidR="00EC7B5F" w:rsidRPr="00BE5A90">
        <w:rPr>
          <w:rStyle w:val="Characterclear"/>
        </w:rPr>
        <w:t xml:space="preserve">, and </w:t>
      </w:r>
      <w:r w:rsidR="00737E7E" w:rsidRPr="00BE5A90">
        <w:rPr>
          <w:rStyle w:val="Characterclear"/>
        </w:rPr>
        <w:t xml:space="preserve">the view that police </w:t>
      </w:r>
      <w:r w:rsidR="0059218D" w:rsidRPr="00BE5A90">
        <w:rPr>
          <w:rStyle w:val="Characterclear"/>
        </w:rPr>
        <w:t>are sometimes</w:t>
      </w:r>
      <w:r w:rsidR="00737E7E" w:rsidRPr="00BE5A90">
        <w:rPr>
          <w:rStyle w:val="Characterclear"/>
        </w:rPr>
        <w:t xml:space="preserve"> the perpetrators of hate</w:t>
      </w:r>
      <w:r w:rsidR="002C3683" w:rsidRPr="00BE5A90">
        <w:rPr>
          <w:rStyle w:val="Characterclear"/>
        </w:rPr>
        <w:t>.</w:t>
      </w:r>
      <w:r w:rsidR="002C3683" w:rsidRPr="00E13C10">
        <w:rPr>
          <w:rStyle w:val="FootnoteReference"/>
        </w:rPr>
        <w:endnoteReference w:id="209"/>
      </w:r>
      <w:r w:rsidR="002C3683" w:rsidRPr="00E13C10">
        <w:rPr>
          <w:rStyle w:val="FootnoteReference"/>
        </w:rPr>
        <w:t xml:space="preserve"> </w:t>
      </w:r>
      <w:r w:rsidR="00BE5A90">
        <w:rPr>
          <w:rStyle w:val="Characterclear"/>
        </w:rPr>
        <w:t>Mason et al found that ‘studies consistently find that most hate crime victims do not notify the police, with estimates suggesting that hate crime is reported less than 30 per cent of the time’.</w:t>
      </w:r>
      <w:r w:rsidR="00BE5A90">
        <w:rPr>
          <w:rStyle w:val="EndnoteReference"/>
          <w:lang w:eastAsia="en-AU"/>
        </w:rPr>
        <w:endnoteReference w:id="210"/>
      </w:r>
      <w:r w:rsidR="00BE5A90">
        <w:rPr>
          <w:rStyle w:val="Characterclear"/>
        </w:rPr>
        <w:t xml:space="preserve"> As explained</w:t>
      </w:r>
      <w:r w:rsidR="00172976">
        <w:rPr>
          <w:rStyle w:val="Characterclear"/>
        </w:rPr>
        <w:t xml:space="preserve">, </w:t>
      </w:r>
      <w:r w:rsidR="00BE5A90">
        <w:rPr>
          <w:rStyle w:val="Characterclear"/>
        </w:rPr>
        <w:t xml:space="preserve">‘underreporting is both a function of poor police-minority relations and definitional challenges as to what legally constitutes </w:t>
      </w:r>
      <w:r w:rsidR="00BE5A90">
        <w:rPr>
          <w:rStyle w:val="Characterclear"/>
        </w:rPr>
        <w:lastRenderedPageBreak/>
        <w:t>hate crime’.</w:t>
      </w:r>
      <w:r w:rsidR="00BE5A90">
        <w:rPr>
          <w:rStyle w:val="EndnoteReference"/>
          <w:lang w:eastAsia="en-AU"/>
        </w:rPr>
        <w:endnoteReference w:id="211"/>
      </w:r>
      <w:r w:rsidR="00BE5A90">
        <w:rPr>
          <w:rStyle w:val="Characterclear"/>
        </w:rPr>
        <w:t xml:space="preserve"> In addition, ‘as is the case internationally, underreporting is extremely common amongst victims of hate crime in Australia. Studies find that victims are hesitant to report hate crime as they are fearful of retributive attacks and lack of confidence in the criminal justice system’.</w:t>
      </w:r>
      <w:r w:rsidR="00BE5A90">
        <w:rPr>
          <w:rStyle w:val="EndnoteReference"/>
          <w:lang w:eastAsia="en-AU"/>
        </w:rPr>
        <w:endnoteReference w:id="212"/>
      </w:r>
    </w:p>
    <w:p w14:paraId="5B2C2A4E" w14:textId="11959230" w:rsidR="00FD58DC" w:rsidRDefault="003E7A02" w:rsidP="00DD22BC">
      <w:pPr>
        <w:pStyle w:val="BodyText"/>
        <w:rPr>
          <w:rStyle w:val="Characterclear"/>
        </w:rPr>
      </w:pPr>
      <w:r>
        <w:rPr>
          <w:rStyle w:val="Characterclear"/>
        </w:rPr>
        <w:t xml:space="preserve">Our submission makes recommendations to address </w:t>
      </w:r>
      <w:r w:rsidR="0002766B">
        <w:rPr>
          <w:rStyle w:val="Characterclear"/>
        </w:rPr>
        <w:t>these barriers</w:t>
      </w:r>
      <w:r>
        <w:rPr>
          <w:rStyle w:val="Characterclear"/>
        </w:rPr>
        <w:t xml:space="preserve">, including: </w:t>
      </w:r>
    </w:p>
    <w:p w14:paraId="359E8E02" w14:textId="6BE5A6D3" w:rsidR="007A10CE" w:rsidRDefault="007A10CE" w:rsidP="00A369AD">
      <w:pPr>
        <w:pStyle w:val="ListBullet"/>
        <w:rPr>
          <w:rStyle w:val="Characterclear"/>
        </w:rPr>
      </w:pPr>
      <w:r>
        <w:rPr>
          <w:rStyle w:val="Characterclear"/>
        </w:rPr>
        <w:t>incorporating Victoria’s vilification laws in the EOA (part 5.1.1)</w:t>
      </w:r>
    </w:p>
    <w:p w14:paraId="2E378B2D" w14:textId="291DAB09" w:rsidR="003E7A02" w:rsidRDefault="003E7A02" w:rsidP="00A369AD">
      <w:pPr>
        <w:pStyle w:val="ListBullet"/>
        <w:rPr>
          <w:rStyle w:val="Characterclear"/>
        </w:rPr>
      </w:pPr>
      <w:r>
        <w:rPr>
          <w:rStyle w:val="Characterclear"/>
        </w:rPr>
        <w:t>lowering the threshold for</w:t>
      </w:r>
      <w:r w:rsidR="00CD0962">
        <w:rPr>
          <w:rStyle w:val="Characterclear"/>
        </w:rPr>
        <w:t xml:space="preserve"> </w:t>
      </w:r>
      <w:r>
        <w:rPr>
          <w:rStyle w:val="Characterclear"/>
        </w:rPr>
        <w:t>vilification (part 5.3.1)</w:t>
      </w:r>
    </w:p>
    <w:p w14:paraId="1CB3813B" w14:textId="5124B38B" w:rsidR="003E7A02" w:rsidRDefault="003E7A02" w:rsidP="00A369AD">
      <w:pPr>
        <w:pStyle w:val="ListBullet"/>
        <w:rPr>
          <w:rStyle w:val="Characterclear"/>
        </w:rPr>
      </w:pPr>
      <w:r>
        <w:rPr>
          <w:rStyle w:val="Characterclear"/>
        </w:rPr>
        <w:t>introducing a complementary harm-based civil provision (part 5.3.2)</w:t>
      </w:r>
    </w:p>
    <w:p w14:paraId="0E1BD9E8" w14:textId="22459E0E" w:rsidR="003E7A02" w:rsidRDefault="003E7A02" w:rsidP="00A369AD">
      <w:pPr>
        <w:pStyle w:val="ListBullet"/>
        <w:rPr>
          <w:rStyle w:val="Characterclear"/>
        </w:rPr>
      </w:pPr>
      <w:r>
        <w:rPr>
          <w:rStyle w:val="Characterclear"/>
        </w:rPr>
        <w:t>lowering the threshold for the criminal offences (part 5.3.4)</w:t>
      </w:r>
    </w:p>
    <w:p w14:paraId="6F1EB979" w14:textId="77777777" w:rsidR="003E7A02" w:rsidRDefault="003E7A02" w:rsidP="00A369AD">
      <w:pPr>
        <w:pStyle w:val="ListBullet"/>
        <w:rPr>
          <w:rStyle w:val="Characterclear"/>
        </w:rPr>
      </w:pPr>
      <w:r>
        <w:rPr>
          <w:rStyle w:val="Characterclear"/>
        </w:rPr>
        <w:t xml:space="preserve">allowing anonymous representative complaints (part 5.4.1) </w:t>
      </w:r>
    </w:p>
    <w:p w14:paraId="7B4F3272" w14:textId="77777777" w:rsidR="003E7A02" w:rsidRDefault="003E7A02" w:rsidP="00A369AD">
      <w:pPr>
        <w:pStyle w:val="ListBullet"/>
        <w:rPr>
          <w:rStyle w:val="Characterclear"/>
        </w:rPr>
      </w:pPr>
      <w:r>
        <w:rPr>
          <w:rStyle w:val="Characterclear"/>
        </w:rPr>
        <w:t>empowering the Commission to identify respondents (part 5.4.2)</w:t>
      </w:r>
    </w:p>
    <w:p w14:paraId="68C179E7" w14:textId="77777777" w:rsidR="003E7A02" w:rsidRDefault="003E7A02" w:rsidP="00A369AD">
      <w:pPr>
        <w:pStyle w:val="ListBullet"/>
        <w:rPr>
          <w:rStyle w:val="Characterclear"/>
        </w:rPr>
      </w:pPr>
      <w:r>
        <w:rPr>
          <w:rStyle w:val="Characterclear"/>
        </w:rPr>
        <w:t>shifting the burden of enforcement (part 5.6)</w:t>
      </w:r>
    </w:p>
    <w:p w14:paraId="63CD34F5" w14:textId="14F7504B" w:rsidR="003E7A02" w:rsidRPr="003E7A02" w:rsidRDefault="003E7A02" w:rsidP="00A369AD">
      <w:pPr>
        <w:pStyle w:val="ListBullet"/>
        <w:rPr>
          <w:rStyle w:val="Characterclear"/>
        </w:rPr>
      </w:pPr>
      <w:r>
        <w:rPr>
          <w:rStyle w:val="Characterclear"/>
        </w:rPr>
        <w:t xml:space="preserve">strengthening the policy response to hate (part 6).  </w:t>
      </w:r>
    </w:p>
    <w:p w14:paraId="11C43BB0" w14:textId="1C9A02FA" w:rsidR="00D178BC" w:rsidRPr="00D178BC" w:rsidRDefault="004007D8" w:rsidP="003F67D8">
      <w:pPr>
        <w:pStyle w:val="Heading3"/>
      </w:pPr>
      <w:r>
        <w:t xml:space="preserve">The </w:t>
      </w:r>
      <w:r w:rsidR="008C720D">
        <w:t>threshold</w:t>
      </w:r>
      <w:r w:rsidR="00D178BC">
        <w:t xml:space="preserve"> for vilification is too high </w:t>
      </w:r>
      <w:r w:rsidR="00C44229">
        <w:t xml:space="preserve">and too complex </w:t>
      </w:r>
    </w:p>
    <w:p w14:paraId="4088B5EA" w14:textId="67916E65" w:rsidR="0084325B" w:rsidRDefault="0084325B" w:rsidP="0084325B">
      <w:pPr>
        <w:pStyle w:val="BodyText"/>
      </w:pPr>
      <w:r>
        <w:t xml:space="preserve">As set out below, </w:t>
      </w:r>
      <w:r w:rsidR="00FD1447">
        <w:t xml:space="preserve">the </w:t>
      </w:r>
      <w:r w:rsidR="008C720D">
        <w:t>threshold</w:t>
      </w:r>
      <w:r w:rsidR="00FD1447">
        <w:t xml:space="preserve"> for vilification under the RRTA is too high because: </w:t>
      </w:r>
      <w:r w:rsidR="000F3568">
        <w:t xml:space="preserve"> </w:t>
      </w:r>
    </w:p>
    <w:p w14:paraId="22C45185" w14:textId="24E513FF" w:rsidR="000F3568" w:rsidRDefault="000F3568" w:rsidP="00C67716">
      <w:pPr>
        <w:pStyle w:val="ListNumber"/>
        <w:numPr>
          <w:ilvl w:val="0"/>
          <w:numId w:val="24"/>
        </w:numPr>
      </w:pPr>
      <w:r>
        <w:t xml:space="preserve">The test focuses </w:t>
      </w:r>
      <w:r w:rsidR="007C0C4C">
        <w:t xml:space="preserve">exclusively </w:t>
      </w:r>
      <w:r>
        <w:t>on the effect of a conduct on a third party</w:t>
      </w:r>
      <w:r w:rsidR="00D132D4">
        <w:t>.</w:t>
      </w:r>
      <w:r>
        <w:t xml:space="preserve"> </w:t>
      </w:r>
    </w:p>
    <w:p w14:paraId="37DAFC7F" w14:textId="23C27CEC" w:rsidR="00EE2D24" w:rsidRDefault="00EE2D24" w:rsidP="00C67716">
      <w:pPr>
        <w:pStyle w:val="ListNumber"/>
        <w:numPr>
          <w:ilvl w:val="0"/>
          <w:numId w:val="24"/>
        </w:numPr>
      </w:pPr>
      <w:r>
        <w:t>The test requires identification of a potentially hypothetical audience</w:t>
      </w:r>
      <w:r w:rsidR="00D132D4">
        <w:t>.</w:t>
      </w:r>
      <w:r>
        <w:t xml:space="preserve"> </w:t>
      </w:r>
    </w:p>
    <w:p w14:paraId="4FD6CE61" w14:textId="210D99E4" w:rsidR="000F3568" w:rsidRDefault="000F3568" w:rsidP="00C67716">
      <w:pPr>
        <w:pStyle w:val="ListNumber"/>
        <w:numPr>
          <w:ilvl w:val="0"/>
          <w:numId w:val="24"/>
        </w:numPr>
      </w:pPr>
      <w:r>
        <w:t>The test requires incitement of ‘extreme responses’</w:t>
      </w:r>
      <w:r w:rsidR="00D132D4">
        <w:t>.</w:t>
      </w:r>
    </w:p>
    <w:p w14:paraId="73B286C0" w14:textId="162CEEA7" w:rsidR="00C6109E" w:rsidRDefault="00C6109E" w:rsidP="00C67716">
      <w:pPr>
        <w:pStyle w:val="ListNumber"/>
        <w:numPr>
          <w:ilvl w:val="0"/>
          <w:numId w:val="24"/>
        </w:numPr>
      </w:pPr>
      <w:r>
        <w:t>It is difficult to prove that conduct is capable of inciting strong emotions</w:t>
      </w:r>
      <w:r w:rsidR="00D132D4">
        <w:t>.</w:t>
      </w:r>
    </w:p>
    <w:p w14:paraId="7011EEBD" w14:textId="76A87094" w:rsidR="00C6109E" w:rsidRDefault="00C6109E" w:rsidP="00C67716">
      <w:pPr>
        <w:pStyle w:val="ListNumber"/>
        <w:numPr>
          <w:ilvl w:val="0"/>
          <w:numId w:val="24"/>
        </w:numPr>
      </w:pPr>
      <w:r>
        <w:t xml:space="preserve">The incitement test does not consider the harm caused by the conduct. </w:t>
      </w:r>
    </w:p>
    <w:p w14:paraId="36F3C59E" w14:textId="00F1CEA3" w:rsidR="002D3ADF" w:rsidRDefault="002D3ADF" w:rsidP="002D3ADF">
      <w:pPr>
        <w:pStyle w:val="BodyText"/>
      </w:pPr>
      <w:r>
        <w:t xml:space="preserve">In the Commission’s consultations on the RRTA, we consistently heard that the threshold is too high and is a significant barrier to using the Act. </w:t>
      </w:r>
      <w:r w:rsidR="00E13C10">
        <w:t>In addition,</w:t>
      </w:r>
      <w:r w:rsidR="00101870">
        <w:t xml:space="preserve"> we heard that a continuum of conduct should be prohibited including</w:t>
      </w:r>
      <w:r w:rsidR="00E13C10">
        <w:t xml:space="preserve"> conduct that causes significant harm to individuals </w:t>
      </w:r>
      <w:r w:rsidR="00101870">
        <w:t>alongside</w:t>
      </w:r>
      <w:r w:rsidR="00E13C10">
        <w:t xml:space="preserve"> conduct that incites others</w:t>
      </w:r>
      <w:r w:rsidR="00101870">
        <w:t>.</w:t>
      </w:r>
      <w:r w:rsidR="007F52A0">
        <w:t xml:space="preserve"> It is in the public interest that Victorians are protected from both</w:t>
      </w:r>
      <w:r w:rsidR="00F46FC4">
        <w:t xml:space="preserve"> </w:t>
      </w:r>
      <w:r w:rsidR="00697091">
        <w:t xml:space="preserve">types of </w:t>
      </w:r>
      <w:r w:rsidR="007F52A0">
        <w:t xml:space="preserve">conduct. </w:t>
      </w:r>
    </w:p>
    <w:p w14:paraId="6FE4C46A" w14:textId="18AA1E2D" w:rsidR="008F47CB" w:rsidRDefault="008F47CB" w:rsidP="008F47CB">
      <w:pPr>
        <w:pStyle w:val="Heading4"/>
      </w:pPr>
      <w:r>
        <w:t xml:space="preserve">The </w:t>
      </w:r>
      <w:r w:rsidR="00C85F46">
        <w:t xml:space="preserve">test focuses </w:t>
      </w:r>
      <w:r w:rsidR="007C0C4C">
        <w:t xml:space="preserve">exclusively </w:t>
      </w:r>
      <w:r w:rsidR="00C85F46">
        <w:t xml:space="preserve">on the effect of conduct on a third party </w:t>
      </w:r>
      <w:r>
        <w:t xml:space="preserve"> </w:t>
      </w:r>
    </w:p>
    <w:p w14:paraId="232F429F" w14:textId="77777777" w:rsidR="00713DF9" w:rsidRDefault="007C0C4C" w:rsidP="004007D8">
      <w:pPr>
        <w:pStyle w:val="BodyText"/>
      </w:pPr>
      <w:r w:rsidRPr="007C0C4C">
        <w:t xml:space="preserve">The </w:t>
      </w:r>
      <w:r w:rsidR="004F579C">
        <w:t xml:space="preserve">RRTA </w:t>
      </w:r>
      <w:r w:rsidR="004F579C" w:rsidRPr="004F579C">
        <w:t>prohibits conduct that incites hatred, serious contempt for, revulsion or severe ridicule of a person or group of people because of their race or religion.</w:t>
      </w:r>
      <w:r w:rsidR="004F579C">
        <w:t xml:space="preserve"> </w:t>
      </w:r>
    </w:p>
    <w:p w14:paraId="566691C1" w14:textId="7E81AC3F" w:rsidR="00F3403C" w:rsidRDefault="004F579C" w:rsidP="004007D8">
      <w:pPr>
        <w:pStyle w:val="BodyText"/>
      </w:pPr>
      <w:r>
        <w:t>The test</w:t>
      </w:r>
      <w:r w:rsidR="00713DF9">
        <w:t xml:space="preserve"> for </w:t>
      </w:r>
      <w:r w:rsidR="007C0C4C" w:rsidRPr="007C0C4C">
        <w:t>vilification</w:t>
      </w:r>
      <w:r w:rsidR="001A6F37">
        <w:t xml:space="preserve"> </w:t>
      </w:r>
      <w:r w:rsidR="007C0C4C" w:rsidRPr="007C0C4C">
        <w:t>is an incitement test.</w:t>
      </w:r>
      <w:r w:rsidR="00F935A9">
        <w:t xml:space="preserve"> </w:t>
      </w:r>
      <w:r w:rsidR="00AE521E">
        <w:t>It focuses exclusively on the effect of conduct on a third party</w:t>
      </w:r>
      <w:r w:rsidR="00F3403C">
        <w:t xml:space="preserve"> – that is, whether the respondent’s conduct incited strong negative emotions in a third party</w:t>
      </w:r>
      <w:r w:rsidR="002D437B">
        <w:t xml:space="preserve"> (</w:t>
      </w:r>
      <w:r w:rsidR="00EE0EEB">
        <w:t xml:space="preserve">or </w:t>
      </w:r>
      <w:r w:rsidR="002D437B">
        <w:t>audience)</w:t>
      </w:r>
      <w:r w:rsidR="009362C8">
        <w:t xml:space="preserve"> – rather than focusing on the harm caused. </w:t>
      </w:r>
    </w:p>
    <w:p w14:paraId="6EBE62FF" w14:textId="40A1848B" w:rsidR="00373FA7" w:rsidRDefault="00373FA7" w:rsidP="004007D8">
      <w:pPr>
        <w:pStyle w:val="BodyText"/>
      </w:pPr>
      <w:r w:rsidRPr="00373FA7">
        <w:t xml:space="preserve">In </w:t>
      </w:r>
      <w:r w:rsidRPr="00373FA7">
        <w:rPr>
          <w:rStyle w:val="Characteritalic"/>
        </w:rPr>
        <w:t xml:space="preserve">Catch the Fire Ministries Inc v Islamic Council of Victoria Inc </w:t>
      </w:r>
      <w:r w:rsidRPr="00373FA7">
        <w:t>[2006] VSCA 284</w:t>
      </w:r>
      <w:r w:rsidR="00300263">
        <w:t xml:space="preserve"> (Catch the Fire)</w:t>
      </w:r>
      <w:r w:rsidRPr="00373FA7">
        <w:t>, the Victorian Court of Appeal set out the test for vilification under the RRTA as ‘whether the natural and ordinary effect of the conduct is to incite hatred or other relevant emotion in the circumstances of the case’</w:t>
      </w:r>
      <w:r w:rsidR="00DF3659">
        <w:t>.</w:t>
      </w:r>
      <w:r w:rsidR="00D1192E" w:rsidRPr="00373FA7">
        <w:rPr>
          <w:rStyle w:val="EndnoteReference"/>
        </w:rPr>
        <w:endnoteReference w:id="213"/>
      </w:r>
      <w:r w:rsidR="00DF3659">
        <w:t xml:space="preserve"> This includes </w:t>
      </w:r>
      <w:r w:rsidRPr="00373FA7">
        <w:t>‘the characteristics of the audience to which the words or conduct are directed and the historical and social context in which the words are spoken, or the conduct occurs’.</w:t>
      </w:r>
      <w:r w:rsidRPr="00373FA7">
        <w:rPr>
          <w:rStyle w:val="EndnoteReference"/>
        </w:rPr>
        <w:endnoteReference w:id="214"/>
      </w:r>
      <w:r w:rsidRPr="00373FA7">
        <w:t xml:space="preserve"> </w:t>
      </w:r>
    </w:p>
    <w:p w14:paraId="3385571D" w14:textId="666171EF" w:rsidR="00CD1DF5" w:rsidRDefault="00EE2D24" w:rsidP="00EE2D24">
      <w:pPr>
        <w:pStyle w:val="Heading4"/>
      </w:pPr>
      <w:r>
        <w:t xml:space="preserve">The test requires identification of a potentially hypothetical audience </w:t>
      </w:r>
    </w:p>
    <w:p w14:paraId="7F1C867C" w14:textId="4DDFF015" w:rsidR="00230D9C" w:rsidRDefault="00CC26F9" w:rsidP="004007D8">
      <w:pPr>
        <w:pStyle w:val="BodyText"/>
      </w:pPr>
      <w:r>
        <w:t xml:space="preserve">In order to meet the civil test for vilification under the RRTA, a complainant must identify </w:t>
      </w:r>
      <w:r w:rsidR="00BF08D2">
        <w:t>the relevant</w:t>
      </w:r>
      <w:r>
        <w:t xml:space="preserve"> audience </w:t>
      </w:r>
      <w:r w:rsidR="00C37137">
        <w:t xml:space="preserve">to the respondent’s conduct </w:t>
      </w:r>
      <w:r>
        <w:t xml:space="preserve">to assess whether the conduct was capable of inciting an ordinary member of that audience to hatred, serious contempt, </w:t>
      </w:r>
      <w:r w:rsidR="00C868DC">
        <w:t>revulsion or severe ridicule</w:t>
      </w:r>
      <w:r w:rsidR="00FD4272">
        <w:t xml:space="preserve"> because of race or religion</w:t>
      </w:r>
      <w:r w:rsidR="00C868DC">
        <w:t>.</w:t>
      </w:r>
      <w:r w:rsidR="00C868DC">
        <w:rPr>
          <w:rStyle w:val="EndnoteReference"/>
        </w:rPr>
        <w:endnoteReference w:id="215"/>
      </w:r>
      <w:r w:rsidR="000C4910">
        <w:t xml:space="preserve"> </w:t>
      </w:r>
    </w:p>
    <w:p w14:paraId="4D51C2F9" w14:textId="5CA4ABE6" w:rsidR="00865247" w:rsidRDefault="00DF3659" w:rsidP="004007D8">
      <w:pPr>
        <w:pStyle w:val="BodyText"/>
      </w:pPr>
      <w:r>
        <w:lastRenderedPageBreak/>
        <w:t xml:space="preserve">Requiring a complainant to </w:t>
      </w:r>
      <w:r w:rsidR="00E37D36">
        <w:t xml:space="preserve">prove whether </w:t>
      </w:r>
      <w:r w:rsidR="00F8107D">
        <w:t xml:space="preserve">the </w:t>
      </w:r>
      <w:r w:rsidR="00E37D36">
        <w:t xml:space="preserve">natural and ordinary effect of conduct was to incite </w:t>
      </w:r>
      <w:r w:rsidR="00F8107D">
        <w:t>specific</w:t>
      </w:r>
      <w:r w:rsidR="00E37D36">
        <w:t xml:space="preserve"> feelings in a</w:t>
      </w:r>
      <w:r w:rsidR="00F8107D">
        <w:t xml:space="preserve"> </w:t>
      </w:r>
      <w:r w:rsidR="00BA39AF">
        <w:t>potentially hypothetical</w:t>
      </w:r>
      <w:r w:rsidR="00F8107D">
        <w:t xml:space="preserve"> audience places a significant burden on a complainant. A complainant</w:t>
      </w:r>
      <w:r w:rsidR="005A4D78">
        <w:t xml:space="preserve"> </w:t>
      </w:r>
      <w:r w:rsidR="00F8107D">
        <w:t>may be vulnerable</w:t>
      </w:r>
      <w:r w:rsidR="005A4D78">
        <w:t xml:space="preserve"> or</w:t>
      </w:r>
      <w:r w:rsidR="00F8107D">
        <w:t xml:space="preserve"> may have difficulties providing evidence on issues that are wholly outside of their experience. </w:t>
      </w:r>
      <w:r w:rsidR="00D26FFC">
        <w:t xml:space="preserve">In the context of civil claims, complainants frequently don’t have legal representation. </w:t>
      </w:r>
    </w:p>
    <w:p w14:paraId="498EB9CF" w14:textId="4428FA48" w:rsidR="00865247" w:rsidRDefault="00D26FFC" w:rsidP="004007D8">
      <w:pPr>
        <w:pStyle w:val="BodyText"/>
        <w:rPr>
          <w:lang w:val="en-GB"/>
        </w:rPr>
      </w:pPr>
      <w:r>
        <w:t xml:space="preserve">In some cases, </w:t>
      </w:r>
      <w:r w:rsidR="00865247" w:rsidRPr="00865247">
        <w:rPr>
          <w:lang w:val="en-GB"/>
        </w:rPr>
        <w:t>the audience will be known to the complainant</w:t>
      </w:r>
      <w:r>
        <w:t xml:space="preserve"> (for example, </w:t>
      </w:r>
      <w:r w:rsidR="0001204D">
        <w:t xml:space="preserve">participants in a meeting). In other cases, the audience may be discerned from information maintained by media organisations about the demographics of their viewers, listeners or readers. In </w:t>
      </w:r>
      <w:r w:rsidR="00865247" w:rsidRPr="00865247">
        <w:rPr>
          <w:lang w:val="en-GB"/>
        </w:rPr>
        <w:t>other cases, the actual audience may be impossible to identify</w:t>
      </w:r>
      <w:r w:rsidR="0001204D">
        <w:t xml:space="preserve"> so the complainant </w:t>
      </w:r>
      <w:r w:rsidR="00865247" w:rsidRPr="00865247">
        <w:rPr>
          <w:lang w:val="en-GB"/>
        </w:rPr>
        <w:t>is left to hypothesise about the audience and the hypothetical ordinary audience member’s response to the respondent’s conduct</w:t>
      </w:r>
      <w:r w:rsidR="00703D5E">
        <w:t xml:space="preserve"> (for example, where an incident occurs on public transport and is witnessed by strangers). </w:t>
      </w:r>
    </w:p>
    <w:p w14:paraId="0FE747A4" w14:textId="66612BDC" w:rsidR="006D139D" w:rsidRPr="006D139D" w:rsidRDefault="006D139D" w:rsidP="004007D8">
      <w:pPr>
        <w:pStyle w:val="BodyText"/>
      </w:pPr>
      <w:r w:rsidRPr="006D139D">
        <w:t xml:space="preserve">In </w:t>
      </w:r>
      <w:r w:rsidRPr="006D139D">
        <w:rPr>
          <w:rStyle w:val="Characteritalic"/>
        </w:rPr>
        <w:t>Bennett v Dingle</w:t>
      </w:r>
      <w:r w:rsidRPr="006D139D">
        <w:t xml:space="preserve"> [2013] VCAT 1945, the respondent told the complainant that he was a</w:t>
      </w:r>
      <w:r w:rsidRPr="006D139D">
        <w:rPr>
          <w:rStyle w:val="Characterclear"/>
        </w:rPr>
        <w:t xml:space="preserve"> ‘big fat Jewish slob’ and that ‘Hitler was right about you bastards’ while they were walking their dogs at a local park. VCAT assumed the relevant audience was ‘the ordinary member of the class of persons being non-Jewish members of the public present in the park when the words were uttered’.</w:t>
      </w:r>
      <w:r w:rsidRPr="006D139D">
        <w:rPr>
          <w:rStyle w:val="EndnoteReference"/>
        </w:rPr>
        <w:endnoteReference w:id="216"/>
      </w:r>
      <w:r w:rsidRPr="006D139D">
        <w:rPr>
          <w:rStyle w:val="Characterclear"/>
        </w:rPr>
        <w:t xml:space="preserve"> VCAT concluded even on a generous interpretation of who the audience was (that is, anyone in the park), it was doubtful that ‘the ordinary non-Jewish person would perceive the words as going beyond venting’ (particularly when the words were directed at the complainant).</w:t>
      </w:r>
      <w:r w:rsidRPr="006D139D">
        <w:rPr>
          <w:rStyle w:val="EndnoteReference"/>
        </w:rPr>
        <w:endnoteReference w:id="217"/>
      </w:r>
      <w:r w:rsidR="00214A89">
        <w:rPr>
          <w:rStyle w:val="Characterclear"/>
        </w:rPr>
        <w:t xml:space="preserve"> Th</w:t>
      </w:r>
      <w:r w:rsidR="00FC75CB">
        <w:rPr>
          <w:rStyle w:val="Characterclear"/>
        </w:rPr>
        <w:t>e outcome of this case</w:t>
      </w:r>
      <w:r w:rsidR="00214A89">
        <w:rPr>
          <w:rStyle w:val="Characterclear"/>
        </w:rPr>
        <w:t xml:space="preserve"> </w:t>
      </w:r>
      <w:r w:rsidR="009C4CED">
        <w:rPr>
          <w:rStyle w:val="Characterclear"/>
        </w:rPr>
        <w:t>illustrates the</w:t>
      </w:r>
      <w:r w:rsidR="00C86FEE">
        <w:rPr>
          <w:rStyle w:val="Characterclear"/>
        </w:rPr>
        <w:t xml:space="preserve"> </w:t>
      </w:r>
      <w:r w:rsidR="009C4CED">
        <w:rPr>
          <w:rStyle w:val="Characterclear"/>
        </w:rPr>
        <w:t>limitations of the current vilification test</w:t>
      </w:r>
      <w:r w:rsidR="00862683">
        <w:rPr>
          <w:rStyle w:val="Characterclear"/>
        </w:rPr>
        <w:t>.</w:t>
      </w:r>
    </w:p>
    <w:p w14:paraId="5D17AFD2" w14:textId="6B65DAC8" w:rsidR="00B77DD0" w:rsidRDefault="00B77DD0" w:rsidP="00B77DD0">
      <w:pPr>
        <w:pStyle w:val="Heading4"/>
      </w:pPr>
      <w:r>
        <w:t xml:space="preserve">The test requires </w:t>
      </w:r>
      <w:r w:rsidR="00517663">
        <w:t>incitement of ‘</w:t>
      </w:r>
      <w:r>
        <w:t>extreme responses</w:t>
      </w:r>
      <w:r w:rsidR="00517663">
        <w:t>’</w:t>
      </w:r>
      <w:r w:rsidR="0071132B">
        <w:t xml:space="preserve"> </w:t>
      </w:r>
    </w:p>
    <w:p w14:paraId="7CCC4EDB" w14:textId="40F01837" w:rsidR="002B4FD3" w:rsidRPr="00B77DD0" w:rsidRDefault="007B414F" w:rsidP="005D1323">
      <w:pPr>
        <w:pStyle w:val="BodyText"/>
        <w:rPr>
          <w:lang w:val="en-GB"/>
        </w:rPr>
      </w:pPr>
      <w:r>
        <w:t xml:space="preserve">In Catch the Fire, the </w:t>
      </w:r>
      <w:r w:rsidR="005B199B">
        <w:t>court</w:t>
      </w:r>
      <w:r w:rsidR="0090006D">
        <w:t xml:space="preserve"> </w:t>
      </w:r>
      <w:r>
        <w:t>confirmed that the</w:t>
      </w:r>
      <w:r w:rsidR="00814FFE" w:rsidRPr="00814FFE">
        <w:rPr>
          <w:lang w:val="en-GB"/>
        </w:rPr>
        <w:t xml:space="preserve"> threshold for contravening the RRTA is high – the alleged conduct must incite 'extreme responses</w:t>
      </w:r>
      <w:r>
        <w:t>’.</w:t>
      </w:r>
      <w:r w:rsidR="004B623C">
        <w:rPr>
          <w:rStyle w:val="EndnoteReference"/>
          <w:lang w:val="en-GB"/>
        </w:rPr>
        <w:endnoteReference w:id="218"/>
      </w:r>
      <w:r w:rsidR="00B77DD0">
        <w:t xml:space="preserve"> </w:t>
      </w:r>
      <w:r w:rsidR="002B4FD3">
        <w:t>Following th</w:t>
      </w:r>
      <w:r w:rsidR="00384E86">
        <w:t>e court’s</w:t>
      </w:r>
      <w:r w:rsidR="002B4FD3">
        <w:t xml:space="preserve"> interpretation, VCAT noted in </w:t>
      </w:r>
      <w:r w:rsidR="002B4FD3" w:rsidRPr="00A43F4F">
        <w:rPr>
          <w:rStyle w:val="Characteritalic"/>
        </w:rPr>
        <w:t>Fletcher v Salvation Army</w:t>
      </w:r>
      <w:r w:rsidR="002B4FD3">
        <w:t xml:space="preserve"> [20015]</w:t>
      </w:r>
      <w:r w:rsidR="00A43F4F">
        <w:t xml:space="preserve"> VCAT 1523 that: </w:t>
      </w:r>
    </w:p>
    <w:p w14:paraId="3381415E" w14:textId="458004B0" w:rsidR="00A43F4F" w:rsidRDefault="00C4137E" w:rsidP="00A43F4F">
      <w:pPr>
        <w:pStyle w:val="Quote"/>
      </w:pPr>
      <w:r>
        <w:t>‘</w:t>
      </w:r>
      <w:r w:rsidR="00F91B09" w:rsidRPr="00F91B09">
        <w:t>The section is not concerned with conduct that provokes thought; it is directed at conduct that is likely to generate strong and negative passions in the ordinary person. An example of such passions would be where persons are so moved that violence might result</w:t>
      </w:r>
      <w:r>
        <w:t>’</w:t>
      </w:r>
      <w:r w:rsidR="00F91B09">
        <w:t>.</w:t>
      </w:r>
      <w:r w:rsidR="00384E86">
        <w:rPr>
          <w:rStyle w:val="EndnoteReference"/>
        </w:rPr>
        <w:endnoteReference w:id="219"/>
      </w:r>
    </w:p>
    <w:p w14:paraId="5EDFD661" w14:textId="31FBA0B0" w:rsidR="00884793" w:rsidRDefault="00156B35" w:rsidP="009E1B7A">
      <w:pPr>
        <w:pStyle w:val="Heading4"/>
        <w:rPr>
          <w:rStyle w:val="Characterclear"/>
        </w:rPr>
      </w:pPr>
      <w:r>
        <w:rPr>
          <w:rStyle w:val="Characterclear"/>
        </w:rPr>
        <w:t xml:space="preserve">It is difficult to prove that conduct is capable of </w:t>
      </w:r>
      <w:r w:rsidR="001A0936">
        <w:rPr>
          <w:rStyle w:val="Characterclear"/>
        </w:rPr>
        <w:t>incit</w:t>
      </w:r>
      <w:r w:rsidR="00C40B88">
        <w:rPr>
          <w:rStyle w:val="Characterclear"/>
        </w:rPr>
        <w:t>ing strong emotions</w:t>
      </w:r>
    </w:p>
    <w:p w14:paraId="45C94981" w14:textId="0D23B489" w:rsidR="00105DE3" w:rsidRDefault="00E76B33" w:rsidP="00AB4BA3">
      <w:pPr>
        <w:pStyle w:val="BodyText"/>
      </w:pPr>
      <w:r>
        <w:t xml:space="preserve">In Catch the Fire, the </w:t>
      </w:r>
      <w:r w:rsidR="00A95388">
        <w:t xml:space="preserve">court confirmed that conduct only needs to be ‘capable’ of inciting </w:t>
      </w:r>
      <w:r w:rsidR="0089179C">
        <w:t>hatred and other emotions, rather than actually inciting those emotions.</w:t>
      </w:r>
      <w:r w:rsidR="0089179C">
        <w:rPr>
          <w:rStyle w:val="EndnoteReference"/>
        </w:rPr>
        <w:endnoteReference w:id="220"/>
      </w:r>
      <w:r w:rsidR="00304C16">
        <w:t xml:space="preserve"> The court also </w:t>
      </w:r>
      <w:r w:rsidR="004C614D">
        <w:t>explained</w:t>
      </w:r>
      <w:r w:rsidR="00304C16">
        <w:t xml:space="preserve"> tha</w:t>
      </w:r>
      <w:r w:rsidR="00AB4BA3">
        <w:t xml:space="preserve">t </w:t>
      </w:r>
      <w:r w:rsidR="00AB4BA3" w:rsidRPr="00AB4BA3">
        <w:rPr>
          <w:lang w:val="en-GB"/>
        </w:rPr>
        <w:t xml:space="preserve">the word 'incites' should be interpreted in accordance with its plain and ordinary meaning – to urge, spur on, stir up, animate or </w:t>
      </w:r>
      <w:r w:rsidR="00AB4BA3" w:rsidRPr="00AB4BA3">
        <w:t>stimulate.</w:t>
      </w:r>
      <w:r w:rsidR="00AB4BA3" w:rsidRPr="00AB4BA3">
        <w:rPr>
          <w:rStyle w:val="EndnoteReference"/>
        </w:rPr>
        <w:endnoteReference w:id="221"/>
      </w:r>
      <w:r w:rsidR="00105DE3">
        <w:t xml:space="preserve"> </w:t>
      </w:r>
      <w:r w:rsidR="004C614D">
        <w:t>However, in</w:t>
      </w:r>
      <w:r w:rsidR="00AB4BA3">
        <w:t xml:space="preserve"> practice, </w:t>
      </w:r>
      <w:r w:rsidR="004C614D">
        <w:t xml:space="preserve">the incitement test is difficult to prove. </w:t>
      </w:r>
      <w:r w:rsidR="00AB4BA3">
        <w:t xml:space="preserve"> </w:t>
      </w:r>
    </w:p>
    <w:p w14:paraId="3BF91FDC" w14:textId="5A38249D" w:rsidR="00105DE3" w:rsidRDefault="00703D5E" w:rsidP="00AB4BA3">
      <w:pPr>
        <w:pStyle w:val="BodyText"/>
        <w:rPr>
          <w:rStyle w:val="Characterclear"/>
          <w:lang w:eastAsia="en-US"/>
        </w:rPr>
      </w:pPr>
      <w:r>
        <w:t>In</w:t>
      </w:r>
      <w:r w:rsidR="009F4B12">
        <w:t xml:space="preserve"> </w:t>
      </w:r>
      <w:r w:rsidR="009F4B12" w:rsidRPr="009F4B12">
        <w:rPr>
          <w:rStyle w:val="Characteritalic"/>
        </w:rPr>
        <w:t>Sisalem v The Herald &amp; Weekly Times Ltd</w:t>
      </w:r>
      <w:r w:rsidR="009F4B12">
        <w:t xml:space="preserve"> [2006] VCAT 1197, </w:t>
      </w:r>
      <w:r w:rsidR="004431DE">
        <w:t xml:space="preserve">shortly after terrorist attacks in Paris, the Herald Sun published a </w:t>
      </w:r>
      <w:r w:rsidR="00094E6A">
        <w:t>front-page</w:t>
      </w:r>
      <w:r w:rsidR="004431DE">
        <w:t xml:space="preserve"> article titled ‘Islam must change’</w:t>
      </w:r>
      <w:r w:rsidR="00F20DDD">
        <w:t>,</w:t>
      </w:r>
      <w:r w:rsidR="00A063EF">
        <w:t xml:space="preserve"> quoting </w:t>
      </w:r>
      <w:r w:rsidR="00CB19AD">
        <w:t xml:space="preserve">politicians’ views on the link between </w:t>
      </w:r>
      <w:r w:rsidR="00094E6A">
        <w:t xml:space="preserve">Islam and terrorism. The applicant </w:t>
      </w:r>
      <w:r w:rsidR="00B21264">
        <w:t>argued the article claimed his religion was ‘involved in serious crimes without any proof’</w:t>
      </w:r>
      <w:r w:rsidR="00EC320F">
        <w:t xml:space="preserve"> and as a result, people had been encouraged to ‘hate’ h</w:t>
      </w:r>
      <w:r w:rsidR="00203CC4">
        <w:t>i</w:t>
      </w:r>
      <w:r w:rsidR="00EC320F">
        <w:t xml:space="preserve">m and ‘discriminate and act violently against [him] because of [his] religion’. </w:t>
      </w:r>
      <w:r w:rsidR="007C31EA">
        <w:t>The applicant also</w:t>
      </w:r>
      <w:r w:rsidR="00686AA8">
        <w:t xml:space="preserve"> claimed </w:t>
      </w:r>
      <w:r w:rsidR="00EB2D02">
        <w:t xml:space="preserve">that as a result </w:t>
      </w:r>
      <w:r w:rsidR="00686AA8">
        <w:t xml:space="preserve">he </w:t>
      </w:r>
      <w:r w:rsidR="00AB790A">
        <w:t>had ‘suffered humiliation, embarrassment, fear, isolation, loss of self-esteem, stress, anxiety and depression’.</w:t>
      </w:r>
      <w:r w:rsidR="00AB790A">
        <w:rPr>
          <w:rStyle w:val="EndnoteReference"/>
        </w:rPr>
        <w:endnoteReference w:id="222"/>
      </w:r>
      <w:r w:rsidR="00223455">
        <w:t xml:space="preserve"> </w:t>
      </w:r>
      <w:r w:rsidR="00670235">
        <w:rPr>
          <w:rStyle w:val="Characterclear"/>
        </w:rPr>
        <w:t xml:space="preserve">VCAT </w:t>
      </w:r>
      <w:r w:rsidR="00EB2D02">
        <w:rPr>
          <w:rStyle w:val="Characterclear"/>
        </w:rPr>
        <w:t>noted</w:t>
      </w:r>
      <w:r w:rsidR="00670235">
        <w:rPr>
          <w:rStyle w:val="Characterclear"/>
        </w:rPr>
        <w:t xml:space="preserve"> that</w:t>
      </w:r>
      <w:r w:rsidR="00C34F03">
        <w:rPr>
          <w:rStyle w:val="Characterclear"/>
        </w:rPr>
        <w:t xml:space="preserve">: </w:t>
      </w:r>
    </w:p>
    <w:p w14:paraId="21E5C8E7" w14:textId="508F8E0E" w:rsidR="00C34F03" w:rsidRDefault="00C4137E" w:rsidP="00E90E43">
      <w:pPr>
        <w:pStyle w:val="Quote"/>
      </w:pPr>
      <w:r>
        <w:rPr>
          <w:lang w:val="en-GB"/>
        </w:rPr>
        <w:t>‘</w:t>
      </w:r>
      <w:r w:rsidR="00E90E43" w:rsidRPr="00E90E43">
        <w:rPr>
          <w:lang w:val="en-GB"/>
        </w:rPr>
        <w:t xml:space="preserve">I have no doubt that Mr Sisalem regards the comments made by the politicians quoted in the article as inaccurate, unfair, unbalanced and deeply offensive. I also have no doubt that many other members of our community (Muslim and non-Muslim alike) share his views. I also </w:t>
      </w:r>
      <w:r w:rsidR="00E90E43" w:rsidRPr="00E90E43">
        <w:rPr>
          <w:lang w:val="en-GB"/>
        </w:rPr>
        <w:lastRenderedPageBreak/>
        <w:t>accept that Mr Sisalem was considerably distressed by the publication of the article and that, as a Muslim, he holds genuine concerns for his personal safety</w:t>
      </w:r>
      <w:r>
        <w:rPr>
          <w:lang w:val="en-GB"/>
        </w:rPr>
        <w:t>’</w:t>
      </w:r>
      <w:r w:rsidR="00E90E43">
        <w:t>.</w:t>
      </w:r>
      <w:r w:rsidR="00E90E43">
        <w:rPr>
          <w:rStyle w:val="EndnoteReference"/>
        </w:rPr>
        <w:endnoteReference w:id="223"/>
      </w:r>
    </w:p>
    <w:p w14:paraId="3BC6DA17" w14:textId="5A15A4AA" w:rsidR="000F3314" w:rsidRDefault="000F3314" w:rsidP="000F3314">
      <w:pPr>
        <w:pStyle w:val="BodyText"/>
        <w:rPr>
          <w:rStyle w:val="Characterclear"/>
        </w:rPr>
      </w:pPr>
      <w:r>
        <w:rPr>
          <w:rStyle w:val="Characterclear"/>
        </w:rPr>
        <w:t xml:space="preserve">However, VCAT found that </w:t>
      </w:r>
      <w:r w:rsidR="002054C6">
        <w:rPr>
          <w:rStyle w:val="Characterclear"/>
        </w:rPr>
        <w:t xml:space="preserve">this was not enough to establish a breach of section 8 of the RRTA because, following the reasoning in Catch the Fire, the applicant had not provided </w:t>
      </w:r>
      <w:r w:rsidR="00E91235">
        <w:rPr>
          <w:rStyle w:val="Characterclear"/>
        </w:rPr>
        <w:t>sufficient evidence to show that the ‘natural and ordinary effect of the publication of the article to an ordinary reader of the Herald Sun was to incite hatred against, serious contempt for, revulsion or severe ridicule of Muslims’.</w:t>
      </w:r>
      <w:r w:rsidR="00E91235">
        <w:rPr>
          <w:rStyle w:val="EndnoteReference"/>
          <w:lang w:eastAsia="en-AU"/>
        </w:rPr>
        <w:endnoteReference w:id="224"/>
      </w:r>
    </w:p>
    <w:p w14:paraId="44CFFC91" w14:textId="79280EFD" w:rsidR="00E94900" w:rsidRDefault="001828CF" w:rsidP="003968CF">
      <w:pPr>
        <w:pStyle w:val="BodyText"/>
        <w:rPr>
          <w:rStyle w:val="Characterclear"/>
          <w:lang w:eastAsia="en-US"/>
        </w:rPr>
      </w:pPr>
      <w:r>
        <w:rPr>
          <w:rStyle w:val="Characterclear"/>
        </w:rPr>
        <w:t>In</w:t>
      </w:r>
      <w:r w:rsidR="00C46E2C">
        <w:rPr>
          <w:rStyle w:val="Characterclear"/>
        </w:rPr>
        <w:t xml:space="preserve"> co</w:t>
      </w:r>
      <w:r w:rsidR="000751C8">
        <w:rPr>
          <w:rStyle w:val="Characterclear"/>
        </w:rPr>
        <w:t>ntrast</w:t>
      </w:r>
      <w:r w:rsidR="00C46E2C">
        <w:rPr>
          <w:rStyle w:val="Characterclear"/>
        </w:rPr>
        <w:t xml:space="preserve">, </w:t>
      </w:r>
      <w:r w:rsidR="00AA1DCA">
        <w:rPr>
          <w:rStyle w:val="Characterclear"/>
        </w:rPr>
        <w:t>complaints have been upheld under s</w:t>
      </w:r>
      <w:r w:rsidR="003968CF">
        <w:rPr>
          <w:rStyle w:val="Characterclear"/>
        </w:rPr>
        <w:t>ection</w:t>
      </w:r>
      <w:r w:rsidR="00AA1DCA">
        <w:rPr>
          <w:rStyle w:val="Characterclear"/>
        </w:rPr>
        <w:t xml:space="preserve"> 18C of the RDA (which doesn’t require incitement) involving the publication of </w:t>
      </w:r>
      <w:r>
        <w:rPr>
          <w:rStyle w:val="Characterclear"/>
        </w:rPr>
        <w:t>harmful comments. For example</w:t>
      </w:r>
      <w:r w:rsidR="003968CF">
        <w:rPr>
          <w:rStyle w:val="Characterclear"/>
        </w:rPr>
        <w:t>, a</w:t>
      </w:r>
      <w:r w:rsidR="00344D4D">
        <w:rPr>
          <w:rStyle w:val="Characterclear"/>
        </w:rPr>
        <w:t xml:space="preserve"> newspaper columnist wrote a factually incorrect article about a number of ‘fair-skinned Aboriginal persons’ which suggested they fabricated or exaggerated their Aboriginality for person</w:t>
      </w:r>
      <w:r w:rsidR="007A264C">
        <w:rPr>
          <w:rStyle w:val="Characterclear"/>
        </w:rPr>
        <w:t>al</w:t>
      </w:r>
      <w:r w:rsidR="00344D4D">
        <w:rPr>
          <w:rStyle w:val="Characterclear"/>
        </w:rPr>
        <w:t xml:space="preserve"> advantage</w:t>
      </w:r>
      <w:r w:rsidR="003E17DF">
        <w:rPr>
          <w:rStyle w:val="Characterclear"/>
        </w:rPr>
        <w:t>.</w:t>
      </w:r>
      <w:r w:rsidR="00956187">
        <w:rPr>
          <w:rStyle w:val="EndnoteReference"/>
          <w:lang w:eastAsia="en-AU"/>
        </w:rPr>
        <w:endnoteReference w:id="225"/>
      </w:r>
    </w:p>
    <w:p w14:paraId="3156FCE2" w14:textId="4FBCBC61" w:rsidR="009E1B7A" w:rsidRDefault="009E1B7A" w:rsidP="009E1B7A">
      <w:pPr>
        <w:pStyle w:val="Heading4"/>
        <w:rPr>
          <w:rStyle w:val="Characterclear"/>
        </w:rPr>
      </w:pPr>
      <w:r>
        <w:rPr>
          <w:rStyle w:val="Characterclear"/>
        </w:rPr>
        <w:t xml:space="preserve">The incitement test does not </w:t>
      </w:r>
      <w:r w:rsidR="004B5C22">
        <w:rPr>
          <w:rStyle w:val="Characterclear"/>
        </w:rPr>
        <w:t xml:space="preserve">consider the harm caused </w:t>
      </w:r>
      <w:r w:rsidR="00605CAF">
        <w:rPr>
          <w:rStyle w:val="Characterclear"/>
        </w:rPr>
        <w:t xml:space="preserve">by the conduct </w:t>
      </w:r>
    </w:p>
    <w:p w14:paraId="465191B1" w14:textId="58F5D43F" w:rsidR="00720B15" w:rsidRDefault="00B90694" w:rsidP="00FF6134">
      <w:pPr>
        <w:pStyle w:val="BodyText"/>
      </w:pPr>
      <w:r w:rsidRPr="00B90694">
        <w:rPr>
          <w:rStyle w:val="Characterclear"/>
        </w:rPr>
        <w:t xml:space="preserve">Vilification laws are designed to protect individuals and communities from the harms caused by prejudice-motivated abuse and to promote social cohesion. </w:t>
      </w:r>
      <w:r>
        <w:t>However, t</w:t>
      </w:r>
      <w:r w:rsidR="00166EA9">
        <w:t>he RRTA focuses exclusively on the effect of the respondent’s conduct on a third party</w:t>
      </w:r>
      <w:r w:rsidR="00E467A6">
        <w:t xml:space="preserve"> – that is, whether an ordinary member of </w:t>
      </w:r>
      <w:r w:rsidR="00B717E6">
        <w:t>the relevant</w:t>
      </w:r>
      <w:r w:rsidR="00E467A6">
        <w:t xml:space="preserve"> audience </w:t>
      </w:r>
      <w:r w:rsidR="00F56931">
        <w:t>was capable of being incited to ‘strong and negative passions’ after witnessing the conduct</w:t>
      </w:r>
      <w:r w:rsidR="00D93BE7">
        <w:t xml:space="preserve">. </w:t>
      </w:r>
    </w:p>
    <w:p w14:paraId="623F6115" w14:textId="109F3219" w:rsidR="00FF6134" w:rsidRPr="00FF6134" w:rsidRDefault="00FF6134" w:rsidP="00FF6134">
      <w:pPr>
        <w:pStyle w:val="BodyText"/>
      </w:pPr>
      <w:r>
        <w:t xml:space="preserve">In Catch the Fire, </w:t>
      </w:r>
      <w:r w:rsidRPr="00FF6134">
        <w:t xml:space="preserve">Neave JA </w:t>
      </w:r>
      <w:r>
        <w:t xml:space="preserve">confirmed that: </w:t>
      </w:r>
      <w:r w:rsidRPr="00FF6134">
        <w:t xml:space="preserve"> </w:t>
      </w:r>
    </w:p>
    <w:p w14:paraId="768340B4" w14:textId="10626018" w:rsidR="00FF6134" w:rsidRDefault="00C4137E" w:rsidP="00173AFA">
      <w:pPr>
        <w:pStyle w:val="Quote"/>
        <w:rPr>
          <w:rStyle w:val="Characterclear"/>
          <w:lang w:eastAsia="en-US"/>
        </w:rPr>
      </w:pPr>
      <w:r>
        <w:rPr>
          <w:lang w:val="en-GB"/>
        </w:rPr>
        <w:t>‘</w:t>
      </w:r>
      <w:r w:rsidR="00FF6134" w:rsidRPr="00FF6134">
        <w:rPr>
          <w:lang w:val="en-GB"/>
        </w:rPr>
        <w:t>[T]he question under section 8 is not whether the conduct offends a group of persons but whether it incites hatred or other relevant emotion of or towards that group of persons. Things might well be said of a group of persons which would be deeply offensive to those persons and yet do nothing to encourage hatred or other relevant emotion of or towards those persons</w:t>
      </w:r>
      <w:r>
        <w:rPr>
          <w:lang w:val="en-GB"/>
        </w:rPr>
        <w:t>’</w:t>
      </w:r>
      <w:r w:rsidR="00FF6134" w:rsidRPr="00FF6134">
        <w:t>.</w:t>
      </w:r>
      <w:r w:rsidR="00FF6134" w:rsidRPr="00FF6134">
        <w:rPr>
          <w:rStyle w:val="EndnoteReference"/>
        </w:rPr>
        <w:endnoteReference w:id="226"/>
      </w:r>
    </w:p>
    <w:p w14:paraId="619A747B" w14:textId="7B968DD3" w:rsidR="00E32419" w:rsidRDefault="00800AA5" w:rsidP="00F92B36">
      <w:pPr>
        <w:pStyle w:val="BodyText"/>
        <w:rPr>
          <w:rStyle w:val="Characterclear"/>
        </w:rPr>
      </w:pPr>
      <w:r>
        <w:rPr>
          <w:rStyle w:val="Characterclear"/>
        </w:rPr>
        <w:t>In other words, under the RRT</w:t>
      </w:r>
      <w:r w:rsidR="006A1FA6">
        <w:rPr>
          <w:rStyle w:val="Characterclear"/>
        </w:rPr>
        <w:t xml:space="preserve">A it is irrelevant how an individual receives and is impacted by hate conduct. This can have the unintended and cumulative effect of diminishing the victim’s experience.  </w:t>
      </w:r>
      <w:r w:rsidR="00173AFA">
        <w:rPr>
          <w:rStyle w:val="Characterclear"/>
        </w:rPr>
        <w:t>By comparison, h</w:t>
      </w:r>
      <w:r w:rsidR="00B041FF" w:rsidRPr="00B041FF">
        <w:rPr>
          <w:rStyle w:val="Characterclear"/>
        </w:rPr>
        <w:t>arm-based laws in the Commonwealth and Tasmania prohibit conduct that offends, insults, humiliates or intimidates a person</w:t>
      </w:r>
      <w:r w:rsidR="00370B87">
        <w:rPr>
          <w:rStyle w:val="Characterclear"/>
        </w:rPr>
        <w:t xml:space="preserve"> (with Tasmania</w:t>
      </w:r>
      <w:r w:rsidR="00A12CD0">
        <w:rPr>
          <w:rStyle w:val="Characterclear"/>
        </w:rPr>
        <w:t xml:space="preserve"> also prohibit</w:t>
      </w:r>
      <w:r w:rsidR="00370B87">
        <w:rPr>
          <w:rStyle w:val="Characterclear"/>
        </w:rPr>
        <w:t>ing</w:t>
      </w:r>
      <w:r w:rsidR="00A12CD0">
        <w:rPr>
          <w:rStyle w:val="Characterclear"/>
        </w:rPr>
        <w:t xml:space="preserve"> conduct that ‘ridicules’ a person</w:t>
      </w:r>
      <w:r w:rsidR="00370B87">
        <w:rPr>
          <w:rStyle w:val="Characterclear"/>
        </w:rPr>
        <w:t>).</w:t>
      </w:r>
      <w:r w:rsidR="009D2444">
        <w:rPr>
          <w:rStyle w:val="Characterclear"/>
        </w:rPr>
        <w:t xml:space="preserve"> This focuses on the harm caused rather than whether incitement occurred.</w:t>
      </w:r>
    </w:p>
    <w:tbl>
      <w:tblPr>
        <w:tblStyle w:val="CustomTablebreakoutbox"/>
        <w:tblW w:w="0" w:type="auto"/>
        <w:tblLook w:val="04A0" w:firstRow="1" w:lastRow="0" w:firstColumn="1" w:lastColumn="0" w:noHBand="0" w:noVBand="1"/>
      </w:tblPr>
      <w:tblGrid>
        <w:gridCol w:w="9061"/>
      </w:tblGrid>
      <w:tr w:rsidR="007802F1" w14:paraId="71C779F2" w14:textId="77777777" w:rsidTr="007802F1">
        <w:tc>
          <w:tcPr>
            <w:tcW w:w="9061" w:type="dxa"/>
          </w:tcPr>
          <w:p w14:paraId="3A346E34" w14:textId="77777777" w:rsidR="007802F1" w:rsidRDefault="007802F1" w:rsidP="007802F1">
            <w:pPr>
              <w:pStyle w:val="BodyText"/>
              <w:rPr>
                <w:rStyle w:val="Characterbold"/>
              </w:rPr>
            </w:pPr>
            <w:r>
              <w:rPr>
                <w:rStyle w:val="Characterbold"/>
              </w:rPr>
              <w:t xml:space="preserve">Existing harm-based </w:t>
            </w:r>
            <w:r w:rsidR="00C23B35">
              <w:rPr>
                <w:rStyle w:val="Characterbold"/>
              </w:rPr>
              <w:t xml:space="preserve">laws </w:t>
            </w:r>
          </w:p>
          <w:p w14:paraId="0E3156A7" w14:textId="14222549" w:rsidR="00BA2773" w:rsidRDefault="00C23B35" w:rsidP="00353B1F">
            <w:pPr>
              <w:pStyle w:val="BodyText"/>
              <w:rPr>
                <w:rStyle w:val="Characterclear"/>
              </w:rPr>
            </w:pPr>
            <w:r>
              <w:rPr>
                <w:rStyle w:val="Characterclear"/>
              </w:rPr>
              <w:t xml:space="preserve">Section 18C of the RDA provides that: </w:t>
            </w:r>
          </w:p>
          <w:p w14:paraId="742D122F" w14:textId="35BF7D29" w:rsidR="00353B1F" w:rsidRPr="00353B1F" w:rsidRDefault="00353B1F" w:rsidP="00C67716">
            <w:pPr>
              <w:pStyle w:val="ListNumber"/>
              <w:numPr>
                <w:ilvl w:val="0"/>
                <w:numId w:val="22"/>
              </w:numPr>
              <w:rPr>
                <w:rStyle w:val="Characterclear"/>
              </w:rPr>
            </w:pPr>
            <w:r w:rsidRPr="00353B1F">
              <w:rPr>
                <w:rStyle w:val="Characterclear"/>
                <w:lang w:eastAsia="en-US"/>
              </w:rPr>
              <w:t>It is unlawful for a person to do an act, otherwise than in private, if:</w:t>
            </w:r>
          </w:p>
          <w:p w14:paraId="001F8D30" w14:textId="3A0A2B93" w:rsidR="00353B1F" w:rsidRDefault="00353B1F" w:rsidP="0012708D">
            <w:pPr>
              <w:pStyle w:val="ListNumber2"/>
              <w:numPr>
                <w:ilvl w:val="1"/>
                <w:numId w:val="4"/>
              </w:numPr>
              <w:rPr>
                <w:rStyle w:val="Characterclear"/>
                <w:lang w:eastAsia="en-US"/>
              </w:rPr>
            </w:pPr>
            <w:r w:rsidRPr="00353B1F">
              <w:rPr>
                <w:rStyle w:val="Characterclear"/>
                <w:lang w:eastAsia="en-US"/>
              </w:rPr>
              <w:t>the act is reasonably likely, in all the circumstances, to offend, insult, humiliate or intimidate another person or a group of people; and</w:t>
            </w:r>
          </w:p>
          <w:p w14:paraId="0C474E0A" w14:textId="07752365" w:rsidR="00C23B35" w:rsidRDefault="00353B1F" w:rsidP="0012708D">
            <w:pPr>
              <w:pStyle w:val="ListNumber2"/>
              <w:numPr>
                <w:ilvl w:val="1"/>
                <w:numId w:val="4"/>
              </w:numPr>
              <w:rPr>
                <w:rStyle w:val="Characterclear"/>
                <w:lang w:eastAsia="en-US"/>
              </w:rPr>
            </w:pPr>
            <w:r w:rsidRPr="00353B1F">
              <w:rPr>
                <w:rStyle w:val="Characterclear"/>
                <w:lang w:eastAsia="en-US"/>
              </w:rPr>
              <w:t>the act is done because of the race, colour or national or ethnic origin of the other person or of some or all of the people in the group.</w:t>
            </w:r>
          </w:p>
          <w:p w14:paraId="27D183DA" w14:textId="4CB34491" w:rsidR="00C23B35" w:rsidRDefault="00C23B35" w:rsidP="00C23B35">
            <w:pPr>
              <w:pStyle w:val="BodyText"/>
              <w:rPr>
                <w:rStyle w:val="Characterclear"/>
              </w:rPr>
            </w:pPr>
            <w:r>
              <w:rPr>
                <w:rStyle w:val="Characterclear"/>
              </w:rPr>
              <w:t xml:space="preserve">Section 17 of the </w:t>
            </w:r>
            <w:r w:rsidRPr="00C23B35">
              <w:rPr>
                <w:rStyle w:val="Characteritalic"/>
              </w:rPr>
              <w:t>Anti-Discrimination Act 1998</w:t>
            </w:r>
            <w:r>
              <w:rPr>
                <w:rStyle w:val="Characterclear"/>
              </w:rPr>
              <w:t xml:space="preserve"> (Tas) provides that: </w:t>
            </w:r>
          </w:p>
          <w:p w14:paraId="5203ABF7" w14:textId="2B801F7A" w:rsidR="00404E49" w:rsidRDefault="00404E49" w:rsidP="00C67716">
            <w:pPr>
              <w:pStyle w:val="ListNumber"/>
              <w:numPr>
                <w:ilvl w:val="0"/>
                <w:numId w:val="23"/>
              </w:numPr>
              <w:rPr>
                <w:rStyle w:val="Characterclear"/>
                <w:lang w:eastAsia="en-GB"/>
              </w:rPr>
            </w:pPr>
            <w:r w:rsidRPr="00404E49">
              <w:rPr>
                <w:rStyle w:val="Characterclear"/>
                <w:lang w:eastAsia="en-GB"/>
              </w:rPr>
              <w:t xml:space="preserve">A person must not engage in any conduct which offends, humiliates, intimidates, insults or ridicules another person on the basis of </w:t>
            </w:r>
            <w:r>
              <w:rPr>
                <w:rStyle w:val="Characterclear"/>
              </w:rPr>
              <w:t xml:space="preserve">[a protected attribute] </w:t>
            </w:r>
            <w:r w:rsidRPr="00404E49">
              <w:rPr>
                <w:rStyle w:val="Characterclear"/>
                <w:lang w:eastAsia="en-GB"/>
              </w:rPr>
              <w:t>in circumstances in which a reasonable person, having regard to all the circumstances, would have anticipated that the other person would be offended, humiliated, intimidated, insulted or ridiculed.</w:t>
            </w:r>
          </w:p>
          <w:p w14:paraId="46E43A17" w14:textId="73B1E1A2" w:rsidR="00C23B35" w:rsidRDefault="00B5133A" w:rsidP="00AF2E28">
            <w:pPr>
              <w:pStyle w:val="BodyText"/>
              <w:rPr>
                <w:rStyle w:val="Characterclear"/>
              </w:rPr>
            </w:pPr>
            <w:r>
              <w:rPr>
                <w:rStyle w:val="Characterclear"/>
              </w:rPr>
              <w:lastRenderedPageBreak/>
              <w:t>Section 17 protects</w:t>
            </w:r>
            <w:r w:rsidR="009662DB">
              <w:rPr>
                <w:rStyle w:val="Characterclear"/>
              </w:rPr>
              <w:t xml:space="preserve"> a broad range of attributes, including race, age, sexual orientation, lawful sexual activity, </w:t>
            </w:r>
            <w:r w:rsidR="00AF2E28">
              <w:rPr>
                <w:rStyle w:val="Characterclear"/>
              </w:rPr>
              <w:t xml:space="preserve">gender, </w:t>
            </w:r>
            <w:r w:rsidR="009662DB">
              <w:rPr>
                <w:rStyle w:val="Characterclear"/>
              </w:rPr>
              <w:t xml:space="preserve">gender identity, </w:t>
            </w:r>
            <w:r w:rsidR="0061101E">
              <w:rPr>
                <w:rStyle w:val="Characterclear"/>
              </w:rPr>
              <w:t xml:space="preserve">intersex variations of sex characteristics, disability, marital status, relationship status, pregnancy, breastfeeding, </w:t>
            </w:r>
            <w:r w:rsidR="00AF2E28">
              <w:rPr>
                <w:rStyle w:val="Characterclear"/>
              </w:rPr>
              <w:t xml:space="preserve">parental status and family responsibilities. </w:t>
            </w:r>
          </w:p>
          <w:p w14:paraId="52D5DE8C" w14:textId="7AB8D256" w:rsidR="002762B6" w:rsidRPr="00C23B35" w:rsidRDefault="002762B6" w:rsidP="00AF2E28">
            <w:pPr>
              <w:pStyle w:val="BodyText"/>
              <w:rPr>
                <w:rStyle w:val="Characterclear"/>
                <w:lang w:eastAsia="en-GB"/>
              </w:rPr>
            </w:pPr>
            <w:r>
              <w:rPr>
                <w:rStyle w:val="Characterclear"/>
              </w:rPr>
              <w:t xml:space="preserve">Unlike section 18C of the RDA which applies to </w:t>
            </w:r>
            <w:r w:rsidR="00DF2643">
              <w:rPr>
                <w:rStyle w:val="Characterclear"/>
              </w:rPr>
              <w:t>any act ‘otherwise than in private’</w:t>
            </w:r>
            <w:r>
              <w:rPr>
                <w:rStyle w:val="Characterclear"/>
              </w:rPr>
              <w:t xml:space="preserve">, section 17 only applies </w:t>
            </w:r>
            <w:r w:rsidR="00E31816">
              <w:rPr>
                <w:rStyle w:val="Characterclear"/>
              </w:rPr>
              <w:t xml:space="preserve">in connection with </w:t>
            </w:r>
            <w:r w:rsidR="00DF2643">
              <w:rPr>
                <w:rStyle w:val="Characterclear"/>
              </w:rPr>
              <w:t xml:space="preserve">employment, education and training, provision of facilities, goods and services, accommodation, membership and activities of clubs, </w:t>
            </w:r>
            <w:r w:rsidR="00B0746E">
              <w:rPr>
                <w:rStyle w:val="Characterclear"/>
              </w:rPr>
              <w:t xml:space="preserve">the </w:t>
            </w:r>
            <w:r w:rsidR="00E31816">
              <w:rPr>
                <w:rStyle w:val="Characterclear"/>
              </w:rPr>
              <w:t xml:space="preserve">administration of any State law or program, and awards, enterprise agreements or industrial instruments (s 22). </w:t>
            </w:r>
          </w:p>
        </w:tc>
      </w:tr>
    </w:tbl>
    <w:p w14:paraId="2A21CF6C" w14:textId="20EB3D85" w:rsidR="002351FB" w:rsidRDefault="001F6FC5" w:rsidP="00AA02A9">
      <w:pPr>
        <w:pStyle w:val="Heading3"/>
      </w:pPr>
      <w:r>
        <w:lastRenderedPageBreak/>
        <w:t xml:space="preserve">The </w:t>
      </w:r>
      <w:r w:rsidR="003365F2">
        <w:t>public conduct</w:t>
      </w:r>
      <w:r w:rsidR="00A15E09">
        <w:t xml:space="preserve"> exception is</w:t>
      </w:r>
      <w:r>
        <w:t xml:space="preserve"> too broad </w:t>
      </w:r>
    </w:p>
    <w:p w14:paraId="60EF2CA8" w14:textId="172E7252" w:rsidR="003F5D4B" w:rsidRDefault="00827849" w:rsidP="00D178BC">
      <w:pPr>
        <w:pStyle w:val="BodyText"/>
      </w:pPr>
      <w:r>
        <w:t>As set out in par</w:t>
      </w:r>
      <w:r w:rsidR="00B57FA4">
        <w:t>t 2.3.4</w:t>
      </w:r>
      <w:r w:rsidR="00B1031A">
        <w:t>, s</w:t>
      </w:r>
      <w:r w:rsidR="00166C0A">
        <w:t>ection</w:t>
      </w:r>
      <w:r w:rsidR="00B1031A">
        <w:t xml:space="preserve"> 11 of the RRTA provides </w:t>
      </w:r>
      <w:r w:rsidR="00D61666">
        <w:t>certain exceptions for public conduct</w:t>
      </w:r>
      <w:r w:rsidR="00446013">
        <w:t xml:space="preserve">. </w:t>
      </w:r>
      <w:r w:rsidR="00A3087A">
        <w:t>The Explanatory Memorandum for the RRTA explain</w:t>
      </w:r>
      <w:r w:rsidR="00446013">
        <w:t>s</w:t>
      </w:r>
      <w:r w:rsidR="00A3087A">
        <w:t xml:space="preserve"> that: </w:t>
      </w:r>
    </w:p>
    <w:p w14:paraId="22D1AECA" w14:textId="01A53B50" w:rsidR="00A3087A" w:rsidRPr="00A3087A" w:rsidRDefault="00C4137E" w:rsidP="00A3087A">
      <w:pPr>
        <w:pStyle w:val="Quote"/>
      </w:pPr>
      <w:r>
        <w:t>‘</w:t>
      </w:r>
      <w:r w:rsidR="00A3087A" w:rsidRPr="00A3087A">
        <w:t>This provision requires, on an objective review, that the conduct must have been engaged in "reasonably and in good faith".</w:t>
      </w:r>
      <w:r w:rsidR="00A3087A">
        <w:t xml:space="preserve"> </w:t>
      </w:r>
      <w:r w:rsidR="00A3087A" w:rsidRPr="00A3087A">
        <w:t xml:space="preserve">The exception will not apply to conduct or statements which are immoderate or inflammatory. For example, the exception will not protect academic debate which, when objectively considered, appears designed to be inflammatory or offensive to an ethnic or religious group. </w:t>
      </w:r>
    </w:p>
    <w:p w14:paraId="612B5226" w14:textId="22CA6A5B" w:rsidR="00A3087A" w:rsidRPr="00A3087A" w:rsidRDefault="00A3087A" w:rsidP="00A3087A">
      <w:pPr>
        <w:pStyle w:val="Quote"/>
      </w:pPr>
      <w:r w:rsidRPr="00A3087A">
        <w:t>The provision also requires that conduct genuinely engaged in for an academic, artistic, religious or scientific purpose must, when objectively considered, be engaged in truly for that purpose. The exception will not apply to conduct disguised as discussion for one of these purposes if it is not engaged in reasonably and in good faith. For example, a member of a religious body cannot use the religious exception to racially vilify an ethnic group</w:t>
      </w:r>
      <w:r w:rsidR="00C4137E">
        <w:t>’</w:t>
      </w:r>
      <w:r w:rsidRPr="00A3087A">
        <w:t>.</w:t>
      </w:r>
      <w:r w:rsidR="00570CEA">
        <w:rPr>
          <w:rStyle w:val="EndnoteReference"/>
        </w:rPr>
        <w:endnoteReference w:id="227"/>
      </w:r>
    </w:p>
    <w:p w14:paraId="2FD5977B" w14:textId="77777777" w:rsidR="0012321D" w:rsidRDefault="00177EC1" w:rsidP="00B1031A">
      <w:pPr>
        <w:pStyle w:val="BodyText"/>
      </w:pPr>
      <w:r>
        <w:t>S</w:t>
      </w:r>
      <w:r w:rsidRPr="00177EC1">
        <w:t xml:space="preserve">ection 11(1)(b)(i) of the RRTA </w:t>
      </w:r>
      <w:r>
        <w:t>exempts</w:t>
      </w:r>
      <w:r w:rsidRPr="00177EC1">
        <w:t xml:space="preserve"> conduct engaged in reasonably and in good faith ‘in the course of any statement, publication, discussion or debate made or held, or any o</w:t>
      </w:r>
      <w:r>
        <w:t>t</w:t>
      </w:r>
      <w:r w:rsidRPr="00177EC1">
        <w:t xml:space="preserve">her conduct engaged in’ for any genuine </w:t>
      </w:r>
      <w:r w:rsidR="00D14A23">
        <w:t>‘</w:t>
      </w:r>
      <w:r w:rsidRPr="00177EC1">
        <w:t>religious purpose</w:t>
      </w:r>
      <w:r w:rsidR="005151D5">
        <w:t>’</w:t>
      </w:r>
      <w:r>
        <w:t xml:space="preserve">. </w:t>
      </w:r>
      <w:r w:rsidR="0089091D">
        <w:t>A ‘religious purpose</w:t>
      </w:r>
      <w:r w:rsidR="00823977">
        <w:t>’</w:t>
      </w:r>
      <w:r w:rsidR="0089091D">
        <w:t xml:space="preserve"> is defined broadly under s 11(2) </w:t>
      </w:r>
      <w:r w:rsidR="005D24FF">
        <w:t xml:space="preserve">as a purpose that ‘includes </w:t>
      </w:r>
      <w:r w:rsidR="00B237E5">
        <w:t xml:space="preserve">but is not limited to, conveying or teaching a religion or proselytising’. </w:t>
      </w:r>
    </w:p>
    <w:p w14:paraId="5604B960" w14:textId="14738C2F" w:rsidR="00A17A54" w:rsidRDefault="00497902" w:rsidP="00B1031A">
      <w:pPr>
        <w:pStyle w:val="BodyText"/>
      </w:pPr>
      <w:r w:rsidRPr="00497902">
        <w:t>S</w:t>
      </w:r>
      <w:r w:rsidR="00823977">
        <w:t>ection</w:t>
      </w:r>
      <w:r w:rsidRPr="00497902">
        <w:t xml:space="preserve"> 11(2) was added</w:t>
      </w:r>
      <w:r w:rsidR="005D24FF">
        <w:t xml:space="preserve"> </w:t>
      </w:r>
      <w:r w:rsidRPr="00497902">
        <w:t xml:space="preserve">after </w:t>
      </w:r>
      <w:r w:rsidR="005D24FF">
        <w:t xml:space="preserve">the decision in </w:t>
      </w:r>
      <w:r w:rsidRPr="00497902">
        <w:rPr>
          <w:rStyle w:val="Characteritalic"/>
        </w:rPr>
        <w:t>Fletcher v Salvation Army</w:t>
      </w:r>
      <w:r w:rsidRPr="00497902">
        <w:t xml:space="preserve"> [2005] VCAT 152</w:t>
      </w:r>
      <w:r w:rsidR="00E953BF">
        <w:t>3</w:t>
      </w:r>
      <w:r w:rsidR="00DB1C35">
        <w:t xml:space="preserve">, in which </w:t>
      </w:r>
      <w:r w:rsidR="007642A4">
        <w:t xml:space="preserve">VCAT </w:t>
      </w:r>
      <w:r w:rsidR="00DB1C35">
        <w:t>found</w:t>
      </w:r>
      <w:r w:rsidRPr="00497902">
        <w:t xml:space="preserve"> </w:t>
      </w:r>
      <w:r w:rsidR="00022B9F">
        <w:t xml:space="preserve">that the RRTA does </w:t>
      </w:r>
      <w:r w:rsidR="005D24FF">
        <w:t xml:space="preserve">not </w:t>
      </w:r>
      <w:r w:rsidR="008F2F5E">
        <w:t xml:space="preserve">prevent people from </w:t>
      </w:r>
      <w:r w:rsidR="005D24FF">
        <w:t xml:space="preserve">evangelising or </w:t>
      </w:r>
      <w:r w:rsidR="008F2F5E">
        <w:t>proselytising, but that they must do so ‘without inciting hatred of those who follow differing religious beliefs’.</w:t>
      </w:r>
      <w:r w:rsidR="008F2F5E">
        <w:rPr>
          <w:rStyle w:val="EndnoteReference"/>
        </w:rPr>
        <w:endnoteReference w:id="228"/>
      </w:r>
      <w:r w:rsidR="00A17A54">
        <w:t xml:space="preserve"> </w:t>
      </w:r>
    </w:p>
    <w:p w14:paraId="2A958189" w14:textId="391D1FC4" w:rsidR="00191233" w:rsidRDefault="00191233" w:rsidP="00B1031A">
      <w:pPr>
        <w:pStyle w:val="BodyText"/>
      </w:pPr>
      <w:r>
        <w:t>In</w:t>
      </w:r>
      <w:r w:rsidR="000B34A2">
        <w:t xml:space="preserve"> Catch the Fire, </w:t>
      </w:r>
      <w:r>
        <w:t xml:space="preserve">the Supreme Court of Appeal </w:t>
      </w:r>
      <w:r w:rsidR="003741FB">
        <w:t xml:space="preserve">provided guidance on the </w:t>
      </w:r>
      <w:r w:rsidR="00254BF7">
        <w:t>‘</w:t>
      </w:r>
      <w:r w:rsidR="003741FB">
        <w:t>religious purpose</w:t>
      </w:r>
      <w:r w:rsidR="00254BF7">
        <w:t>’</w:t>
      </w:r>
      <w:r w:rsidR="003741FB">
        <w:t xml:space="preserve"> exception under the RRTA</w:t>
      </w:r>
      <w:r w:rsidR="000B34A2">
        <w:t>, noting</w:t>
      </w:r>
      <w:r w:rsidR="00525364">
        <w:t xml:space="preserve"> that ‘comparative religion and proselytism are both “religious purposes” and … it does not matter which religions are being co</w:t>
      </w:r>
      <w:r w:rsidR="00202F80">
        <w:t>mpared or to which religious persons are sought to be converted’.</w:t>
      </w:r>
      <w:r w:rsidR="00202F80">
        <w:rPr>
          <w:rStyle w:val="EndnoteReference"/>
        </w:rPr>
        <w:endnoteReference w:id="229"/>
      </w:r>
      <w:r w:rsidR="00BE0639">
        <w:t xml:space="preserve"> In terms of whether a religious purpose is ‘genuine’, the court noted that</w:t>
      </w:r>
      <w:r w:rsidR="007228FE">
        <w:t xml:space="preserve">: </w:t>
      </w:r>
    </w:p>
    <w:p w14:paraId="081DD672" w14:textId="4F617B0F" w:rsidR="007228FE" w:rsidRPr="007228FE" w:rsidRDefault="00C4137E" w:rsidP="007228FE">
      <w:pPr>
        <w:pStyle w:val="Quote"/>
      </w:pPr>
      <w:r>
        <w:t>‘</w:t>
      </w:r>
      <w:r w:rsidR="007228FE">
        <w:t xml:space="preserve">That would depend simply on </w:t>
      </w:r>
      <w:r w:rsidR="007228FE" w:rsidRPr="007228FE">
        <w:t>whether the defendant’s alleged religious purpose in engaging in the conduct were truly the defendant’s purpose in engaging in the conduct. If it were, it would be a </w:t>
      </w:r>
      <w:r w:rsidR="007228FE" w:rsidRPr="00FE3EE9">
        <w:rPr>
          <w:rStyle w:val="Characteritalic"/>
        </w:rPr>
        <w:t>genuine</w:t>
      </w:r>
      <w:r w:rsidR="007228FE" w:rsidRPr="007228FE">
        <w:t> religious purpose. If it were not, or if the defendant had engaged in the conduct for more than one purpose of which the dominant purpose or purposes was or were not a religious purpose or purposes, it would not be</w:t>
      </w:r>
      <w:r>
        <w:t>’</w:t>
      </w:r>
      <w:r w:rsidR="007228FE" w:rsidRPr="007228FE">
        <w:t>.</w:t>
      </w:r>
      <w:r w:rsidR="00FE3EE9">
        <w:rPr>
          <w:rStyle w:val="EndnoteReference"/>
        </w:rPr>
        <w:endnoteReference w:id="230"/>
      </w:r>
    </w:p>
    <w:p w14:paraId="19098A08" w14:textId="4A7671AB" w:rsidR="000E032E" w:rsidRPr="000E032E" w:rsidRDefault="000A6CC9" w:rsidP="000E032E">
      <w:pPr>
        <w:pStyle w:val="BodyText"/>
      </w:pPr>
      <w:r>
        <w:t xml:space="preserve">The court also found </w:t>
      </w:r>
      <w:r w:rsidR="00E66F03">
        <w:t>that to engage in conduct ‘reasonably and in good faith’ for a religious purpose is to ‘engage in it honestly and conscientiously for that purpose’.</w:t>
      </w:r>
      <w:r w:rsidR="00E66F03">
        <w:rPr>
          <w:rStyle w:val="EndnoteReference"/>
        </w:rPr>
        <w:endnoteReference w:id="231"/>
      </w:r>
    </w:p>
    <w:p w14:paraId="73967F63" w14:textId="6E619FFD" w:rsidR="009E1355" w:rsidRDefault="00A733A7" w:rsidP="00FE3EE9">
      <w:pPr>
        <w:pStyle w:val="BodyText"/>
      </w:pPr>
      <w:r>
        <w:lastRenderedPageBreak/>
        <w:t>The</w:t>
      </w:r>
      <w:r w:rsidR="00AD29C8">
        <w:t xml:space="preserve"> Commission heard in consultation</w:t>
      </w:r>
      <w:r w:rsidR="00166C0A">
        <w:t>s</w:t>
      </w:r>
      <w:r w:rsidR="00AD29C8">
        <w:t xml:space="preserve"> that the</w:t>
      </w:r>
      <w:r w:rsidR="00166C0A">
        <w:t xml:space="preserve"> </w:t>
      </w:r>
      <w:r w:rsidR="00254BF7">
        <w:t>‘</w:t>
      </w:r>
      <w:r w:rsidR="00B87E66">
        <w:t>religious purpose</w:t>
      </w:r>
      <w:r w:rsidR="00254BF7">
        <w:t>’</w:t>
      </w:r>
      <w:r w:rsidR="00B87E66">
        <w:t xml:space="preserve"> exception </w:t>
      </w:r>
      <w:r w:rsidR="006649CB">
        <w:t xml:space="preserve">arguably covers any public expression of a religious belief </w:t>
      </w:r>
      <w:r w:rsidR="006C3574">
        <w:t>with the potential to significantly harm</w:t>
      </w:r>
      <w:r w:rsidR="00D60E17">
        <w:t xml:space="preserve"> </w:t>
      </w:r>
      <w:r w:rsidR="001A7565">
        <w:t xml:space="preserve">some </w:t>
      </w:r>
      <w:r w:rsidR="00D60E17">
        <w:t>groups</w:t>
      </w:r>
      <w:r w:rsidR="00AD29C8">
        <w:t xml:space="preserve"> of people in Victoria,</w:t>
      </w:r>
      <w:r w:rsidR="00D60E17">
        <w:t xml:space="preserve"> including</w:t>
      </w:r>
      <w:r w:rsidR="006C3574">
        <w:t xml:space="preserve"> LGBTIQ people </w:t>
      </w:r>
      <w:r w:rsidR="00AD29C8">
        <w:t xml:space="preserve">and women </w:t>
      </w:r>
      <w:r w:rsidR="002329EB">
        <w:t>(if the law is extended to protect these groups)</w:t>
      </w:r>
      <w:r w:rsidR="006C3574">
        <w:t xml:space="preserve">. </w:t>
      </w:r>
      <w:r w:rsidR="00A3720A">
        <w:t xml:space="preserve">In these circumstances, the Commission does not consider that the exception would strike an appropriate balance between protecting the right to freedom of expression and protecting the rights of people who disproportionately experience hate conduct. </w:t>
      </w:r>
    </w:p>
    <w:p w14:paraId="221CDE83" w14:textId="24902D62" w:rsidR="00D95260" w:rsidRDefault="00952990" w:rsidP="00FE3EE9">
      <w:pPr>
        <w:pStyle w:val="BodyText"/>
      </w:pPr>
      <w:r>
        <w:t xml:space="preserve">Although the exception supports the right </w:t>
      </w:r>
      <w:r w:rsidR="003C5E55">
        <w:t xml:space="preserve">for a person </w:t>
      </w:r>
      <w:r>
        <w:t>to manifest a religious belief under human rights law</w:t>
      </w:r>
      <w:r w:rsidR="006F3803">
        <w:t xml:space="preserve">, </w:t>
      </w:r>
      <w:r w:rsidR="00D95260">
        <w:t xml:space="preserve">the definition of ‘religious purpose’ is broader than the manifestation of religion </w:t>
      </w:r>
      <w:r w:rsidR="002437C8">
        <w:t xml:space="preserve">under </w:t>
      </w:r>
      <w:r w:rsidR="001A7565">
        <w:t xml:space="preserve">international and Victorian </w:t>
      </w:r>
      <w:r w:rsidR="002437C8">
        <w:t>human rights law to mean ‘worship, observance</w:t>
      </w:r>
      <w:r w:rsidR="0018460E">
        <w:t>,</w:t>
      </w:r>
      <w:r w:rsidR="002437C8">
        <w:t xml:space="preserve"> practice and teaching’ </w:t>
      </w:r>
      <w:r w:rsidR="00293012">
        <w:t>as reasonably limited to protect the rights of others</w:t>
      </w:r>
      <w:r w:rsidR="00A733A7">
        <w:t>.</w:t>
      </w:r>
      <w:r w:rsidR="00D60E17">
        <w:rPr>
          <w:rStyle w:val="EndnoteReference"/>
        </w:rPr>
        <w:endnoteReference w:id="232"/>
      </w:r>
      <w:r w:rsidR="00A733A7">
        <w:t xml:space="preserve"> </w:t>
      </w:r>
    </w:p>
    <w:p w14:paraId="4355BD32" w14:textId="60D77792" w:rsidR="00AC4117" w:rsidRDefault="00AC4117" w:rsidP="00FE3EE9">
      <w:pPr>
        <w:pStyle w:val="BodyText"/>
      </w:pPr>
      <w:r>
        <w:t xml:space="preserve">The Commission also heard that the exception for </w:t>
      </w:r>
      <w:r w:rsidR="00930721">
        <w:t>‘any purpose that is in the public interest’ under s</w:t>
      </w:r>
      <w:r w:rsidR="00166C0A">
        <w:t>ection</w:t>
      </w:r>
      <w:r w:rsidR="00930721">
        <w:t xml:space="preserve"> 11 of the RRTA is </w:t>
      </w:r>
      <w:r w:rsidR="00171037">
        <w:t xml:space="preserve">also </w:t>
      </w:r>
      <w:r w:rsidR="00A3171A">
        <w:t>unnecessarily</w:t>
      </w:r>
      <w:r w:rsidR="00930721">
        <w:t xml:space="preserve"> broad and </w:t>
      </w:r>
      <w:r w:rsidR="00A3171A">
        <w:t>inconsistent with the comparable exception under s</w:t>
      </w:r>
      <w:r w:rsidR="00166C0A">
        <w:t>ection</w:t>
      </w:r>
      <w:r w:rsidR="00A3171A">
        <w:t xml:space="preserve"> 18D of the RDA which requires that conduct is for a ‘genuine’ purpose in the public interest. </w:t>
      </w:r>
    </w:p>
    <w:p w14:paraId="37B99A39" w14:textId="5AE16DD0" w:rsidR="00A733A7" w:rsidRDefault="00A733A7" w:rsidP="00FE3EE9">
      <w:pPr>
        <w:pStyle w:val="BodyText"/>
      </w:pPr>
      <w:r>
        <w:t xml:space="preserve">Part </w:t>
      </w:r>
      <w:r w:rsidR="00254BF7">
        <w:t>5.3.3 recommends that the ‘religious purpose’ exception should be narrowed</w:t>
      </w:r>
      <w:r w:rsidR="00233C7E">
        <w:t xml:space="preserve">. </w:t>
      </w:r>
      <w:r w:rsidR="00254BF7">
        <w:t xml:space="preserve"> </w:t>
      </w:r>
    </w:p>
    <w:p w14:paraId="21AC664B" w14:textId="54FC46D3" w:rsidR="009B4A02" w:rsidRDefault="009B4A02" w:rsidP="009B4A02">
      <w:pPr>
        <w:pStyle w:val="Heading3"/>
        <w:rPr>
          <w:rStyle w:val="Characterclear"/>
          <w:sz w:val="28"/>
        </w:rPr>
      </w:pPr>
      <w:r w:rsidRPr="009B4A02">
        <w:rPr>
          <w:rStyle w:val="Characterclear"/>
          <w:sz w:val="28"/>
        </w:rPr>
        <w:t xml:space="preserve">The threshold for the criminal offences is too high and too complex </w:t>
      </w:r>
    </w:p>
    <w:p w14:paraId="380F3258" w14:textId="5B6617E2" w:rsidR="001C20A0" w:rsidRDefault="001C20A0" w:rsidP="00B76B45">
      <w:pPr>
        <w:pStyle w:val="BodyText"/>
        <w:rPr>
          <w:rStyle w:val="Characterclear"/>
        </w:rPr>
      </w:pPr>
      <w:r>
        <w:rPr>
          <w:rStyle w:val="Characterclear"/>
        </w:rPr>
        <w:t xml:space="preserve">The criminal offences for serious racial and religious vilification under </w:t>
      </w:r>
      <w:r w:rsidR="00772324">
        <w:rPr>
          <w:rStyle w:val="Characterclear"/>
        </w:rPr>
        <w:t>s</w:t>
      </w:r>
      <w:r w:rsidR="007A264C">
        <w:rPr>
          <w:rStyle w:val="Characterclear"/>
        </w:rPr>
        <w:t>ections</w:t>
      </w:r>
      <w:r w:rsidR="00772324">
        <w:rPr>
          <w:rStyle w:val="Characterclear"/>
        </w:rPr>
        <w:t xml:space="preserve"> 24 and 25 of </w:t>
      </w:r>
      <w:r>
        <w:rPr>
          <w:rStyle w:val="Characterclear"/>
        </w:rPr>
        <w:t xml:space="preserve">the RRTA are complex and set a high threshold. </w:t>
      </w:r>
      <w:r w:rsidR="00905EA3">
        <w:rPr>
          <w:rStyle w:val="Characterclear"/>
        </w:rPr>
        <w:t xml:space="preserve">The offences require proof beyond reasonable doubt that an </w:t>
      </w:r>
      <w:r w:rsidR="00CF03E7">
        <w:rPr>
          <w:rStyle w:val="Characterclear"/>
        </w:rPr>
        <w:t xml:space="preserve">alleged offender </w:t>
      </w:r>
      <w:r w:rsidR="004C2AD3">
        <w:rPr>
          <w:rStyle w:val="Characterclear"/>
        </w:rPr>
        <w:t xml:space="preserve">intentionally engaged in conduct because of a person or group’s race or religion, that they knew was likely to: </w:t>
      </w:r>
    </w:p>
    <w:p w14:paraId="7360D058" w14:textId="6A5931A9" w:rsidR="00434305" w:rsidRDefault="00300D02" w:rsidP="00820580">
      <w:pPr>
        <w:pStyle w:val="ListBullet"/>
        <w:rPr>
          <w:rStyle w:val="Characterclear"/>
        </w:rPr>
      </w:pPr>
      <w:r>
        <w:rPr>
          <w:rStyle w:val="Characterclear"/>
        </w:rPr>
        <w:t xml:space="preserve">incite hatred </w:t>
      </w:r>
      <w:r w:rsidR="00CF2C98" w:rsidRPr="004C2AD3">
        <w:rPr>
          <w:rStyle w:val="Characteritalic"/>
        </w:rPr>
        <w:t>and</w:t>
      </w:r>
      <w:r w:rsidR="00CF2C98">
        <w:rPr>
          <w:rStyle w:val="Characterclear"/>
        </w:rPr>
        <w:t xml:space="preserve"> </w:t>
      </w:r>
      <w:r>
        <w:rPr>
          <w:rStyle w:val="Characterclear"/>
        </w:rPr>
        <w:t xml:space="preserve">threaten or incite others to threaten physical harm </w:t>
      </w:r>
      <w:r w:rsidR="00434305">
        <w:rPr>
          <w:rStyle w:val="Characterclear"/>
        </w:rPr>
        <w:t xml:space="preserve">to a person or group or their property; or </w:t>
      </w:r>
    </w:p>
    <w:p w14:paraId="7AD2FE0D" w14:textId="0BB32BC9" w:rsidR="00434305" w:rsidRDefault="00434305" w:rsidP="00820580">
      <w:pPr>
        <w:pStyle w:val="ListBullet"/>
        <w:rPr>
          <w:rStyle w:val="Characterclear"/>
        </w:rPr>
      </w:pPr>
      <w:r>
        <w:rPr>
          <w:rStyle w:val="Characterclear"/>
        </w:rPr>
        <w:t xml:space="preserve">incite contempt for, revulsion or severe ridicule of a person or group of people. </w:t>
      </w:r>
    </w:p>
    <w:p w14:paraId="3BE6574C" w14:textId="10CAC3D6" w:rsidR="00A510B5" w:rsidRDefault="00A07140" w:rsidP="00B76B45">
      <w:pPr>
        <w:pStyle w:val="BodyText"/>
        <w:rPr>
          <w:rStyle w:val="Characterclear"/>
        </w:rPr>
      </w:pPr>
      <w:r>
        <w:rPr>
          <w:rStyle w:val="Characterclear"/>
        </w:rPr>
        <w:t xml:space="preserve">Proving </w:t>
      </w:r>
      <w:r w:rsidR="00A510B5">
        <w:rPr>
          <w:rStyle w:val="Characterclear"/>
        </w:rPr>
        <w:t xml:space="preserve">that an </w:t>
      </w:r>
      <w:r w:rsidR="00E6570A">
        <w:rPr>
          <w:rStyle w:val="Characterclear"/>
        </w:rPr>
        <w:t xml:space="preserve">alleged </w:t>
      </w:r>
      <w:r w:rsidR="00A510B5">
        <w:rPr>
          <w:rStyle w:val="Characterclear"/>
        </w:rPr>
        <w:t xml:space="preserve">offender </w:t>
      </w:r>
      <w:r w:rsidR="00ED24E6">
        <w:rPr>
          <w:rStyle w:val="Characterclear"/>
        </w:rPr>
        <w:t>intentionally engaged in conduct that they knew was likely to incite</w:t>
      </w:r>
      <w:r w:rsidR="00E6570A">
        <w:rPr>
          <w:rStyle w:val="Characterclear"/>
        </w:rPr>
        <w:t xml:space="preserve"> serious negative emotions may be a difficult element to prove beyond reasonable doubt. </w:t>
      </w:r>
      <w:r w:rsidR="00294C7E">
        <w:rPr>
          <w:rStyle w:val="Characterclear"/>
        </w:rPr>
        <w:t>Whether this can be established may depend on whether the alleged offender can be shown to have understanding of the ‘audience’ that their conduct was directed at and the consequences of their conduct</w:t>
      </w:r>
      <w:r w:rsidR="00D31BD8">
        <w:rPr>
          <w:rStyle w:val="Characterclear"/>
        </w:rPr>
        <w:t xml:space="preserve"> (see section 2.3.5 for further analysis)</w:t>
      </w:r>
      <w:r w:rsidR="00294C7E">
        <w:rPr>
          <w:rStyle w:val="Characterclear"/>
        </w:rPr>
        <w:t>.</w:t>
      </w:r>
      <w:r w:rsidR="00226385">
        <w:rPr>
          <w:rStyle w:val="Characterclear"/>
        </w:rPr>
        <w:t xml:space="preserve"> </w:t>
      </w:r>
    </w:p>
    <w:p w14:paraId="0ED0F25C" w14:textId="0981C02D" w:rsidR="0040275A" w:rsidRDefault="0040275A" w:rsidP="00B76B45">
      <w:pPr>
        <w:pStyle w:val="BodyText"/>
        <w:rPr>
          <w:rStyle w:val="Characterbold"/>
        </w:rPr>
      </w:pPr>
      <w:r>
        <w:rPr>
          <w:rStyle w:val="Characterbold"/>
        </w:rPr>
        <w:t xml:space="preserve">Other jurisdictions </w:t>
      </w:r>
    </w:p>
    <w:p w14:paraId="51B62981" w14:textId="79845095" w:rsidR="0040275A" w:rsidRDefault="009A5747" w:rsidP="00A4338C">
      <w:pPr>
        <w:pStyle w:val="BodyText"/>
        <w:rPr>
          <w:rStyle w:val="Characterclear"/>
        </w:rPr>
      </w:pPr>
      <w:r>
        <w:rPr>
          <w:rStyle w:val="Characterclear"/>
        </w:rPr>
        <w:t xml:space="preserve">A number of other Australian jurisdictions </w:t>
      </w:r>
      <w:r w:rsidR="001853B8">
        <w:rPr>
          <w:rStyle w:val="Characterclear"/>
        </w:rPr>
        <w:t>criminalise hate crime</w:t>
      </w:r>
      <w:r>
        <w:rPr>
          <w:rStyle w:val="Characterclear"/>
        </w:rPr>
        <w:t>, including</w:t>
      </w:r>
      <w:r w:rsidR="00A4338C">
        <w:rPr>
          <w:rStyle w:val="Characterclear"/>
        </w:rPr>
        <w:t xml:space="preserve"> </w:t>
      </w:r>
      <w:r>
        <w:rPr>
          <w:rStyle w:val="Characterclear"/>
        </w:rPr>
        <w:t xml:space="preserve">the Commonwealth, </w:t>
      </w:r>
      <w:r w:rsidR="00161D67">
        <w:rPr>
          <w:rStyle w:val="Characterclear"/>
        </w:rPr>
        <w:t>N</w:t>
      </w:r>
      <w:r w:rsidR="002F479A">
        <w:rPr>
          <w:rStyle w:val="Characterclear"/>
        </w:rPr>
        <w:t>ew South Wales</w:t>
      </w:r>
      <w:r w:rsidR="00161D67">
        <w:rPr>
          <w:rStyle w:val="Characterclear"/>
        </w:rPr>
        <w:t>, South Australia, Queensland and Western Australia.</w:t>
      </w:r>
      <w:r w:rsidR="001853B8">
        <w:rPr>
          <w:rStyle w:val="EndnoteReference"/>
          <w:lang w:eastAsia="en-AU"/>
        </w:rPr>
        <w:endnoteReference w:id="233"/>
      </w:r>
      <w:r w:rsidR="00161D67">
        <w:rPr>
          <w:rStyle w:val="Characterclear"/>
        </w:rPr>
        <w:t xml:space="preserve"> The offences </w:t>
      </w:r>
      <w:r w:rsidR="0031620F">
        <w:rPr>
          <w:rStyle w:val="Characterclear"/>
        </w:rPr>
        <w:t xml:space="preserve">criminalise different types of conduct, including: </w:t>
      </w:r>
    </w:p>
    <w:p w14:paraId="521B414A" w14:textId="404EB7D9" w:rsidR="0031620F" w:rsidRDefault="0031620F" w:rsidP="0086744D">
      <w:pPr>
        <w:pStyle w:val="ListBullet"/>
        <w:rPr>
          <w:rStyle w:val="Characterclear"/>
        </w:rPr>
      </w:pPr>
      <w:r>
        <w:rPr>
          <w:rStyle w:val="Characterclear"/>
        </w:rPr>
        <w:t>incitement offences</w:t>
      </w:r>
      <w:r w:rsidR="00471D08">
        <w:rPr>
          <w:rStyle w:val="Characterclear"/>
        </w:rPr>
        <w:t>:</w:t>
      </w:r>
      <w:r w:rsidR="00565763">
        <w:rPr>
          <w:rStyle w:val="Characterclear"/>
        </w:rPr>
        <w:t xml:space="preserve"> Commonwealth, </w:t>
      </w:r>
      <w:r w:rsidR="0079606C">
        <w:rPr>
          <w:rStyle w:val="Characterclear"/>
        </w:rPr>
        <w:t xml:space="preserve">South Australia, Queensland and Western Australia </w:t>
      </w:r>
    </w:p>
    <w:p w14:paraId="0D1211E3" w14:textId="26EFD22E" w:rsidR="0079606C" w:rsidRDefault="002F479A" w:rsidP="0086744D">
      <w:pPr>
        <w:pStyle w:val="ListBullet"/>
        <w:rPr>
          <w:rStyle w:val="Characterclear"/>
        </w:rPr>
      </w:pPr>
      <w:r>
        <w:rPr>
          <w:rStyle w:val="Characterclear"/>
        </w:rPr>
        <w:t>threatening or inciting violence</w:t>
      </w:r>
      <w:r w:rsidR="005B3D58">
        <w:rPr>
          <w:rStyle w:val="Characterclear"/>
        </w:rPr>
        <w:t>:</w:t>
      </w:r>
      <w:r>
        <w:rPr>
          <w:rStyle w:val="Characterclear"/>
        </w:rPr>
        <w:t xml:space="preserve"> New South Wales </w:t>
      </w:r>
    </w:p>
    <w:p w14:paraId="1DAC952C" w14:textId="595EFA16" w:rsidR="002F479A" w:rsidRDefault="004D7554" w:rsidP="0086744D">
      <w:pPr>
        <w:pStyle w:val="ListBullet"/>
        <w:rPr>
          <w:rStyle w:val="Characterclear"/>
        </w:rPr>
      </w:pPr>
      <w:r>
        <w:rPr>
          <w:rStyle w:val="Characterclear"/>
        </w:rPr>
        <w:t>racial harassment</w:t>
      </w:r>
      <w:r w:rsidR="005B3D58">
        <w:rPr>
          <w:rStyle w:val="Characterclear"/>
        </w:rPr>
        <w:t>:</w:t>
      </w:r>
      <w:r>
        <w:rPr>
          <w:rStyle w:val="Characterclear"/>
        </w:rPr>
        <w:t xml:space="preserve"> Western Australia </w:t>
      </w:r>
    </w:p>
    <w:p w14:paraId="7EA70BA6" w14:textId="2BAD13DB" w:rsidR="004D7554" w:rsidRPr="00A4338C" w:rsidRDefault="004D7554" w:rsidP="0086744D">
      <w:pPr>
        <w:pStyle w:val="ListBullet"/>
        <w:rPr>
          <w:rStyle w:val="Characterclear"/>
        </w:rPr>
      </w:pPr>
      <w:r>
        <w:rPr>
          <w:rStyle w:val="Characterclear"/>
        </w:rPr>
        <w:t>possession of material for dissemination</w:t>
      </w:r>
      <w:r w:rsidR="005B3D58">
        <w:rPr>
          <w:rStyle w:val="Characterclear"/>
        </w:rPr>
        <w:t>:</w:t>
      </w:r>
      <w:r>
        <w:rPr>
          <w:rStyle w:val="Characterclear"/>
        </w:rPr>
        <w:t xml:space="preserve"> Western Australia. </w:t>
      </w:r>
    </w:p>
    <w:p w14:paraId="1BC079F3" w14:textId="39ED6FAA" w:rsidR="003F67D8" w:rsidRDefault="00F70EE0" w:rsidP="003F67D8">
      <w:pPr>
        <w:pStyle w:val="Heading2"/>
      </w:pPr>
      <w:bookmarkStart w:id="25" w:name="_Toc31392340"/>
      <w:r>
        <w:lastRenderedPageBreak/>
        <w:t>Barriers to</w:t>
      </w:r>
      <w:r w:rsidR="008027E1">
        <w:t xml:space="preserve"> e</w:t>
      </w:r>
      <w:r w:rsidR="003F67D8">
        <w:t>nforcement of the RRTA</w:t>
      </w:r>
      <w:bookmarkEnd w:id="25"/>
      <w:r w:rsidR="003F67D8">
        <w:t xml:space="preserve"> </w:t>
      </w:r>
    </w:p>
    <w:p w14:paraId="3F96B747" w14:textId="4ABBA547" w:rsidR="001F6FC5" w:rsidRDefault="001F6FC5" w:rsidP="003F67D8">
      <w:pPr>
        <w:pStyle w:val="Heading3"/>
      </w:pPr>
      <w:r>
        <w:t xml:space="preserve">The Commission is not empowered to identify respondents </w:t>
      </w:r>
    </w:p>
    <w:p w14:paraId="3C178638" w14:textId="43A3940F" w:rsidR="00922D79" w:rsidRDefault="004F4317" w:rsidP="00951921">
      <w:pPr>
        <w:pStyle w:val="BodyText"/>
      </w:pPr>
      <w:r w:rsidRPr="004F4317">
        <w:t xml:space="preserve">Sometimes when a person experiences vilification – either online or offline – they are unable to identify the </w:t>
      </w:r>
      <w:r w:rsidR="006028C7">
        <w:t>perpetrator</w:t>
      </w:r>
      <w:r w:rsidRPr="004F4317">
        <w:t xml:space="preserve">. </w:t>
      </w:r>
      <w:r>
        <w:t>However, u</w:t>
      </w:r>
      <w:r w:rsidR="005C3A96">
        <w:t xml:space="preserve">nlike comparative jurisdictions in Australia, the Commission is not empowered to </w:t>
      </w:r>
      <w:r w:rsidR="00017B6D">
        <w:t>compel</w:t>
      </w:r>
      <w:r w:rsidR="000D5D2F">
        <w:t xml:space="preserve"> a person to provide information or </w:t>
      </w:r>
      <w:r w:rsidR="005B3D58">
        <w:t xml:space="preserve">to </w:t>
      </w:r>
      <w:r w:rsidR="000D5D2F">
        <w:t xml:space="preserve">produce a document that is relevant to a complaint. This means that the Commission does not have the power to request information to </w:t>
      </w:r>
      <w:r w:rsidR="005C3A96">
        <w:t xml:space="preserve">identify </w:t>
      </w:r>
      <w:r w:rsidR="00BD37F1">
        <w:t>a respondent</w:t>
      </w:r>
      <w:r w:rsidR="005C3A96">
        <w:t xml:space="preserve"> </w:t>
      </w:r>
      <w:r w:rsidR="00BD37F1">
        <w:t>and ultimately to conciliate a complaint if the name and contact details of the respondent is unknown</w:t>
      </w:r>
      <w:r w:rsidR="0043683B">
        <w:t xml:space="preserve">. </w:t>
      </w:r>
      <w:r w:rsidR="00546099">
        <w:t xml:space="preserve">This is a particular barrier to using the RRTA if </w:t>
      </w:r>
      <w:r w:rsidR="00230EB0">
        <w:t xml:space="preserve">vilification occurs in public. </w:t>
      </w:r>
      <w:r w:rsidR="0043683B">
        <w:t>For example</w:t>
      </w:r>
      <w:r w:rsidR="00F1581C">
        <w:t xml:space="preserve"> where:</w:t>
      </w:r>
    </w:p>
    <w:p w14:paraId="6B6A6605" w14:textId="45512039" w:rsidR="00422447" w:rsidRDefault="00422447" w:rsidP="00477CD4">
      <w:pPr>
        <w:pStyle w:val="ListBullet"/>
      </w:pPr>
      <w:r>
        <w:t>alleged</w:t>
      </w:r>
      <w:r w:rsidR="00303786">
        <w:t xml:space="preserve"> vilification has occurred in </w:t>
      </w:r>
      <w:r w:rsidR="0043683B">
        <w:t>public</w:t>
      </w:r>
      <w:r w:rsidR="00303786">
        <w:t xml:space="preserve"> and police have attended</w:t>
      </w:r>
      <w:r w:rsidR="0043683B">
        <w:t xml:space="preserve"> the scene</w:t>
      </w:r>
      <w:r w:rsidR="00303786">
        <w:t xml:space="preserve">, the </w:t>
      </w:r>
      <w:r w:rsidR="0043683B">
        <w:t xml:space="preserve">Commission cannot compel the name of the respondent from police </w:t>
      </w:r>
    </w:p>
    <w:p w14:paraId="5D881C77" w14:textId="544E043F" w:rsidR="00B2007E" w:rsidRDefault="007E5DC5" w:rsidP="00477CD4">
      <w:pPr>
        <w:pStyle w:val="ListBullet"/>
      </w:pPr>
      <w:r>
        <w:t xml:space="preserve">a bus driver has allegedly vilified a passenger, the Commission cannot compel the name of the driver from the </w:t>
      </w:r>
      <w:r w:rsidR="000426AC">
        <w:t>bus company</w:t>
      </w:r>
    </w:p>
    <w:p w14:paraId="17836348" w14:textId="393A257A" w:rsidR="0043683B" w:rsidRDefault="00DC51A9" w:rsidP="00477CD4">
      <w:pPr>
        <w:pStyle w:val="ListBullet"/>
      </w:pPr>
      <w:r>
        <w:t>a</w:t>
      </w:r>
      <w:r w:rsidR="00A255C3">
        <w:t xml:space="preserve"> ‘troll’ with an ‘</w:t>
      </w:r>
      <w:r w:rsidR="000F2013">
        <w:t>anonymous</w:t>
      </w:r>
      <w:r w:rsidR="00A255C3">
        <w:t xml:space="preserve">’ </w:t>
      </w:r>
      <w:r w:rsidR="00603AEF">
        <w:t xml:space="preserve">Facebook </w:t>
      </w:r>
      <w:r w:rsidR="00A255C3">
        <w:t xml:space="preserve">account </w:t>
      </w:r>
      <w:r w:rsidR="000F2013">
        <w:t>posts vilifying content on a trans advocate</w:t>
      </w:r>
      <w:r w:rsidR="00F1581C">
        <w:t>’</w:t>
      </w:r>
      <w:r w:rsidR="000F2013">
        <w:t>s Facebook page</w:t>
      </w:r>
      <w:r w:rsidR="0041659B">
        <w:t xml:space="preserve">, the Commission cannot compel Facebook to disclose the name </w:t>
      </w:r>
      <w:r w:rsidR="00070803">
        <w:t>of the account holder</w:t>
      </w:r>
      <w:r w:rsidR="000426AC">
        <w:t xml:space="preserve">. </w:t>
      </w:r>
    </w:p>
    <w:p w14:paraId="420BD251" w14:textId="0A62E3AC" w:rsidR="00B52B67" w:rsidRDefault="00B436D7" w:rsidP="00AD3EC2">
      <w:pPr>
        <w:pStyle w:val="BodyText"/>
      </w:pPr>
      <w:r>
        <w:t>In the Commission’s experience, the</w:t>
      </w:r>
      <w:r w:rsidR="00B23EE7">
        <w:t xml:space="preserve"> </w:t>
      </w:r>
      <w:r w:rsidR="000B4326">
        <w:t>inability to identify unknown respondents</w:t>
      </w:r>
      <w:r>
        <w:t xml:space="preserve"> is a barrier to </w:t>
      </w:r>
      <w:r w:rsidR="000B4326">
        <w:t xml:space="preserve">making a complaint to the Commission. </w:t>
      </w:r>
      <w:r w:rsidR="00493DED">
        <w:t xml:space="preserve">For example, in the six years from July 2013 to </w:t>
      </w:r>
      <w:r w:rsidR="000B6D18">
        <w:t>June 2019, 23 complaints under the RRTA were not accepted for dispute resolution because the identity of the respondent were unknown.</w:t>
      </w:r>
      <w:r w:rsidR="00CE26DF">
        <w:t xml:space="preserve"> </w:t>
      </w:r>
    </w:p>
    <w:p w14:paraId="068561EB" w14:textId="72E8F509" w:rsidR="00AD3EC2" w:rsidRDefault="00B52B67" w:rsidP="00AD3EC2">
      <w:pPr>
        <w:pStyle w:val="BodyText"/>
      </w:pPr>
      <w:r>
        <w:t xml:space="preserve">Stakeholders also raised the same barrier to enforcing the RRTA. For example, </w:t>
      </w:r>
      <w:r w:rsidR="001A6823">
        <w:t xml:space="preserve">VALS </w:t>
      </w:r>
      <w:r w:rsidR="00CE26DF">
        <w:t xml:space="preserve">told us that </w:t>
      </w:r>
      <w:r w:rsidR="000F72B6">
        <w:t>identifying a respondent is a barrier to using the RRTA</w:t>
      </w:r>
      <w:r w:rsidR="00907835">
        <w:t xml:space="preserve"> (for example, where vilification happened online or in the general community).</w:t>
      </w:r>
      <w:r w:rsidR="00907835">
        <w:rPr>
          <w:rStyle w:val="EndnoteReference"/>
        </w:rPr>
        <w:endnoteReference w:id="234"/>
      </w:r>
      <w:r>
        <w:t xml:space="preserve"> The Women’s Legal Service Victoria also considered that if the law is extended to protect women, it will be important to be able to identify respondents, particularly online.</w:t>
      </w:r>
      <w:r>
        <w:rPr>
          <w:rStyle w:val="EndnoteReference"/>
        </w:rPr>
        <w:endnoteReference w:id="235"/>
      </w:r>
      <w:r w:rsidR="00022328">
        <w:t xml:space="preserve"> </w:t>
      </w:r>
    </w:p>
    <w:p w14:paraId="771C19A7" w14:textId="11F1DFC8" w:rsidR="004A490D" w:rsidRDefault="004A490D" w:rsidP="00951921">
      <w:pPr>
        <w:pStyle w:val="BodyText"/>
      </w:pPr>
      <w:r>
        <w:t xml:space="preserve">The Commission was previously empowered under s 114(2)(b) of the </w:t>
      </w:r>
      <w:r w:rsidR="00FE7BD8" w:rsidRPr="00FE7BD8">
        <w:rPr>
          <w:rStyle w:val="Characteritalic"/>
        </w:rPr>
        <w:t>Equal Opportunity Act 1995</w:t>
      </w:r>
      <w:r w:rsidR="00FE7BD8">
        <w:t xml:space="preserve"> (Vic)</w:t>
      </w:r>
      <w:r>
        <w:t xml:space="preserve"> to compel the production of documents </w:t>
      </w:r>
      <w:r w:rsidR="00197996">
        <w:t xml:space="preserve">if it was reasonably necessary for the purpose of conciliating a complaint. </w:t>
      </w:r>
      <w:r>
        <w:t>However</w:t>
      </w:r>
      <w:r w:rsidR="00B34264">
        <w:t xml:space="preserve">, </w:t>
      </w:r>
      <w:r>
        <w:t xml:space="preserve">this power was not retained in the </w:t>
      </w:r>
      <w:r w:rsidR="00B34264">
        <w:t xml:space="preserve">2010 </w:t>
      </w:r>
      <w:r w:rsidR="004216F6">
        <w:t>EOA</w:t>
      </w:r>
      <w:r w:rsidR="00B34264">
        <w:t xml:space="preserve">. </w:t>
      </w:r>
    </w:p>
    <w:p w14:paraId="312D8869" w14:textId="09446446" w:rsidR="00E2473D" w:rsidRDefault="005E1FFB" w:rsidP="00292363">
      <w:pPr>
        <w:pStyle w:val="BodyText"/>
      </w:pPr>
      <w:r>
        <w:t xml:space="preserve">All </w:t>
      </w:r>
      <w:r w:rsidR="00AE27E1">
        <w:t xml:space="preserve">other </w:t>
      </w:r>
      <w:r>
        <w:t xml:space="preserve">Australian jurisdictions </w:t>
      </w:r>
      <w:r w:rsidR="00E224D7">
        <w:t xml:space="preserve">empower the relevant </w:t>
      </w:r>
      <w:r w:rsidR="003A759F">
        <w:t xml:space="preserve">equality commission </w:t>
      </w:r>
      <w:r w:rsidR="00E224D7">
        <w:t xml:space="preserve">to compel information </w:t>
      </w:r>
      <w:r w:rsidR="00E01BE7">
        <w:t xml:space="preserve">and documents </w:t>
      </w:r>
      <w:r w:rsidR="00853867">
        <w:t xml:space="preserve">in relation to a </w:t>
      </w:r>
      <w:r w:rsidR="00BF5958">
        <w:t>complaint</w:t>
      </w:r>
      <w:r w:rsidR="009E3886">
        <w:t xml:space="preserve"> </w:t>
      </w:r>
      <w:r w:rsidR="009E3886" w:rsidRPr="009E3886">
        <w:t>(</w:t>
      </w:r>
      <w:r w:rsidR="009E3886">
        <w:t>except for</w:t>
      </w:r>
      <w:r w:rsidR="009E3886" w:rsidRPr="009E3886">
        <w:t xml:space="preserve"> South Australia which does not have a mechanism for resolving vilification disputes)</w:t>
      </w:r>
      <w:r w:rsidR="00E224D7">
        <w:t>.</w:t>
      </w:r>
      <w:r w:rsidR="00E90351">
        <w:rPr>
          <w:rStyle w:val="EndnoteReference"/>
        </w:rPr>
        <w:endnoteReference w:id="236"/>
      </w:r>
      <w:r w:rsidR="00575621">
        <w:t xml:space="preserve"> Empowering the Commission </w:t>
      </w:r>
      <w:r w:rsidR="00224F6C">
        <w:t>in this way</w:t>
      </w:r>
      <w:r w:rsidR="009E3886">
        <w:t xml:space="preserve"> would bring Victoria in line with other jurisdictions. </w:t>
      </w:r>
    </w:p>
    <w:p w14:paraId="21D74D25" w14:textId="4331B017" w:rsidR="00224F6C" w:rsidRDefault="00224F6C" w:rsidP="00292363">
      <w:pPr>
        <w:pStyle w:val="BodyText"/>
      </w:pPr>
      <w:r>
        <w:t xml:space="preserve">Part </w:t>
      </w:r>
      <w:r w:rsidR="007C126F">
        <w:t>5.4.</w:t>
      </w:r>
      <w:r w:rsidR="00326FBE">
        <w:t>1</w:t>
      </w:r>
      <w:r w:rsidR="007C126F">
        <w:t xml:space="preserve"> recommends empowering the Commission to identify respondents. </w:t>
      </w:r>
    </w:p>
    <w:p w14:paraId="0EA875C1" w14:textId="578B592A" w:rsidR="00951921" w:rsidRDefault="00951921" w:rsidP="003F67D8">
      <w:pPr>
        <w:pStyle w:val="Heading3"/>
      </w:pPr>
      <w:r>
        <w:t xml:space="preserve">The RRTA does not allow </w:t>
      </w:r>
      <w:r w:rsidR="002E6F36">
        <w:t xml:space="preserve">anonymous </w:t>
      </w:r>
      <w:r>
        <w:t xml:space="preserve">representative complaints </w:t>
      </w:r>
    </w:p>
    <w:p w14:paraId="4A53547C" w14:textId="3E622CF7" w:rsidR="00931C3D" w:rsidRDefault="006B489C" w:rsidP="00A962B9">
      <w:pPr>
        <w:pStyle w:val="BodyText"/>
      </w:pPr>
      <w:r>
        <w:t xml:space="preserve">Section 20 of the RRTA </w:t>
      </w:r>
      <w:r w:rsidR="00BA2BAF">
        <w:t>allows a representative body to bring a dispute to the Commission for dispute resolution ‘on behalf of a named person or persons’</w:t>
      </w:r>
      <w:r w:rsidR="006357B1">
        <w:t xml:space="preserve">. </w:t>
      </w:r>
    </w:p>
    <w:p w14:paraId="1CC8C53A" w14:textId="41E484CF" w:rsidR="00D60788" w:rsidRDefault="00931C3D" w:rsidP="00A962B9">
      <w:pPr>
        <w:pStyle w:val="BodyText"/>
      </w:pPr>
      <w:r>
        <w:t xml:space="preserve">In the Commission’s experience, the </w:t>
      </w:r>
      <w:r w:rsidR="00D60788">
        <w:t xml:space="preserve">requirement for a </w:t>
      </w:r>
      <w:r w:rsidR="00F838A8">
        <w:t>complainant to be identified to enable a representative complaint is a barrier to reporting vilification under the RRTA.</w:t>
      </w:r>
      <w:r w:rsidR="00CC7E48">
        <w:t xml:space="preserve"> </w:t>
      </w:r>
      <w:r w:rsidR="00D21F80">
        <w:t>The fear of victimisation can prevent people from making a complaint who would otherwise feel safe to be represented by a representative body</w:t>
      </w:r>
      <w:r w:rsidR="00522950">
        <w:t xml:space="preserve">, such as a religious body, community organisation or union. </w:t>
      </w:r>
    </w:p>
    <w:p w14:paraId="2431985A" w14:textId="47660290" w:rsidR="007C126F" w:rsidRDefault="007C126F" w:rsidP="00A962B9">
      <w:pPr>
        <w:pStyle w:val="BodyText"/>
      </w:pPr>
      <w:r>
        <w:t>Part 5.4.</w:t>
      </w:r>
      <w:r w:rsidR="00326FBE">
        <w:t>2</w:t>
      </w:r>
      <w:r>
        <w:t xml:space="preserve"> recommends enabling anonymous representative complaints. </w:t>
      </w:r>
    </w:p>
    <w:p w14:paraId="23A8DF0C" w14:textId="04B61D4D" w:rsidR="00A962B9" w:rsidRPr="00DE1449" w:rsidRDefault="00A962B9" w:rsidP="00DE1449">
      <w:pPr>
        <w:pStyle w:val="Heading3"/>
        <w:rPr>
          <w:rStyle w:val="Characterclear"/>
          <w:sz w:val="28"/>
        </w:rPr>
      </w:pPr>
      <w:r w:rsidRPr="00DE1449">
        <w:rPr>
          <w:rStyle w:val="Characterclear"/>
          <w:sz w:val="28"/>
        </w:rPr>
        <w:lastRenderedPageBreak/>
        <w:t xml:space="preserve">The burden of enforcement is on </w:t>
      </w:r>
      <w:r w:rsidR="00EB0E75" w:rsidRPr="00DE1449">
        <w:rPr>
          <w:rStyle w:val="Characterclear"/>
          <w:sz w:val="28"/>
        </w:rPr>
        <w:t>individuals</w:t>
      </w:r>
    </w:p>
    <w:p w14:paraId="344D8ED6" w14:textId="51EBDECC" w:rsidR="00FF1A0B" w:rsidRDefault="00DE1449" w:rsidP="00951921">
      <w:pPr>
        <w:pStyle w:val="BodyText"/>
      </w:pPr>
      <w:r>
        <w:t>Under the RRTA, the burden of enforcement is on individuals to enforce the law</w:t>
      </w:r>
      <w:r w:rsidR="00BD3D54">
        <w:t xml:space="preserve"> by making a complaint to the Commission, making an application to VCAT or reporting hate crime to police. </w:t>
      </w:r>
      <w:r w:rsidR="003C4E6E">
        <w:t xml:space="preserve">This individualises the harm of hate conduct, rather than recognising and addressing the harm to </w:t>
      </w:r>
      <w:r w:rsidR="00417582">
        <w:t xml:space="preserve">target communities and broader society. </w:t>
      </w:r>
      <w:r w:rsidR="00376058">
        <w:t xml:space="preserve">The impacts of hate can </w:t>
      </w:r>
      <w:r w:rsidR="004814EC">
        <w:t xml:space="preserve">be compounded by </w:t>
      </w:r>
      <w:r w:rsidR="0020299C">
        <w:t xml:space="preserve">the experience of </w:t>
      </w:r>
      <w:r w:rsidR="00E14439">
        <w:t>seeking a remedy for the conduct</w:t>
      </w:r>
      <w:r w:rsidR="00AC5C1C">
        <w:t>.</w:t>
      </w:r>
    </w:p>
    <w:p w14:paraId="714D2CB5" w14:textId="35448CB5" w:rsidR="00B4752E" w:rsidRDefault="004D3394" w:rsidP="00951921">
      <w:pPr>
        <w:pStyle w:val="BodyText"/>
      </w:pPr>
      <w:r>
        <w:t>The</w:t>
      </w:r>
      <w:r w:rsidR="00213AF4">
        <w:t xml:space="preserve"> Commission does not have the power </w:t>
      </w:r>
      <w:r w:rsidR="00B6518D">
        <w:t xml:space="preserve">to </w:t>
      </w:r>
      <w:r w:rsidR="005010D0">
        <w:t>proactively address</w:t>
      </w:r>
      <w:r w:rsidR="00B6518D">
        <w:t xml:space="preserve"> hate in the community. </w:t>
      </w:r>
      <w:r w:rsidR="00BA195D">
        <w:t>There</w:t>
      </w:r>
      <w:r w:rsidR="00B4752E">
        <w:t xml:space="preserve"> is also no positive duty on duty holders such as employers and service providers to take proactive steps to prevent vilification. </w:t>
      </w:r>
    </w:p>
    <w:p w14:paraId="2FDEDBCB" w14:textId="0D5B7B64" w:rsidR="004D3394" w:rsidRDefault="004D3394" w:rsidP="00951921">
      <w:pPr>
        <w:pStyle w:val="BodyText"/>
      </w:pPr>
      <w:r>
        <w:t>Part 5.6 makes recommendations to shift the burden of enforcement</w:t>
      </w:r>
      <w:r w:rsidR="006473CC">
        <w:t xml:space="preserve"> in part</w:t>
      </w:r>
      <w:r>
        <w:t xml:space="preserve"> to the Commission as Victoria’s key human rights regulator and to relevant duty holders.</w:t>
      </w:r>
    </w:p>
    <w:p w14:paraId="2C56EC73" w14:textId="23C8EC65" w:rsidR="00312D31" w:rsidRDefault="00951921" w:rsidP="00312D31">
      <w:pPr>
        <w:pStyle w:val="Heading3"/>
      </w:pPr>
      <w:r>
        <w:t xml:space="preserve">The criminal offences are not effectively enforced </w:t>
      </w:r>
    </w:p>
    <w:p w14:paraId="0DE9F61C" w14:textId="57721A5C" w:rsidR="00F458F2" w:rsidRDefault="00F458F2" w:rsidP="00A21427">
      <w:pPr>
        <w:pStyle w:val="BodyText"/>
        <w:rPr>
          <w:rStyle w:val="Characterclear"/>
        </w:rPr>
      </w:pPr>
      <w:r>
        <w:rPr>
          <w:rStyle w:val="Characterclear"/>
        </w:rPr>
        <w:t>The Commission’s consultation with Victoria Police</w:t>
      </w:r>
      <w:r w:rsidR="008C3C11" w:rsidRPr="00EC6AB7">
        <w:rPr>
          <w:rStyle w:val="Charactersuperscript"/>
        </w:rPr>
        <w:endnoteReference w:id="237"/>
      </w:r>
      <w:r>
        <w:rPr>
          <w:rStyle w:val="Characterclear"/>
        </w:rPr>
        <w:t xml:space="preserve"> identified that there are a number of </w:t>
      </w:r>
      <w:r w:rsidR="00216FF6">
        <w:rPr>
          <w:rStyle w:val="Characterclear"/>
        </w:rPr>
        <w:t xml:space="preserve">possible </w:t>
      </w:r>
      <w:r>
        <w:rPr>
          <w:rStyle w:val="Characterclear"/>
        </w:rPr>
        <w:t xml:space="preserve">barriers to police prosecuting serious vilification under the RRTA </w:t>
      </w:r>
      <w:r w:rsidR="0077722A">
        <w:rPr>
          <w:rStyle w:val="Characterclear"/>
        </w:rPr>
        <w:t>including:</w:t>
      </w:r>
      <w:r>
        <w:rPr>
          <w:rStyle w:val="Characterclear"/>
        </w:rPr>
        <w:t xml:space="preserve"> </w:t>
      </w:r>
    </w:p>
    <w:p w14:paraId="63750331" w14:textId="77777777" w:rsidR="00EC646D" w:rsidRPr="00EC646D" w:rsidRDefault="00EC646D" w:rsidP="00EC646D">
      <w:pPr>
        <w:pStyle w:val="ListBullet"/>
        <w:numPr>
          <w:ilvl w:val="0"/>
          <w:numId w:val="3"/>
        </w:numPr>
        <w:rPr>
          <w:rStyle w:val="Characterclear"/>
        </w:rPr>
      </w:pPr>
      <w:r w:rsidRPr="00EC646D">
        <w:rPr>
          <w:rStyle w:val="Characterclear"/>
        </w:rPr>
        <w:t xml:space="preserve">a lack of awareness and familiarity with the serious vilification offences by frontline police and prosecutors </w:t>
      </w:r>
    </w:p>
    <w:p w14:paraId="16ED5901" w14:textId="66644A9E" w:rsidR="00A45DFB" w:rsidRPr="00EF2AD6" w:rsidRDefault="00EF2AD6" w:rsidP="00A45DFB">
      <w:pPr>
        <w:pStyle w:val="ListBullet"/>
        <w:numPr>
          <w:ilvl w:val="0"/>
          <w:numId w:val="3"/>
        </w:numPr>
        <w:rPr>
          <w:rStyle w:val="Characterclear"/>
        </w:rPr>
      </w:pPr>
      <w:r w:rsidRPr="00EF2AD6">
        <w:rPr>
          <w:rStyle w:val="Characterclear"/>
        </w:rPr>
        <w:t>the location of the serious vilification offences in the RRTA rather than the Crimes Act which police are more familiar with</w:t>
      </w:r>
    </w:p>
    <w:p w14:paraId="00B053E1" w14:textId="1AC6B301" w:rsidR="00F458F2" w:rsidRPr="00BE04C2" w:rsidRDefault="0077722A" w:rsidP="003F19FF">
      <w:pPr>
        <w:pStyle w:val="ListBullet"/>
        <w:numPr>
          <w:ilvl w:val="0"/>
          <w:numId w:val="3"/>
        </w:numPr>
        <w:rPr>
          <w:rStyle w:val="Characterclear"/>
          <w:lang w:eastAsia="en-GB"/>
        </w:rPr>
      </w:pPr>
      <w:r w:rsidRPr="00BE04C2">
        <w:rPr>
          <w:rStyle w:val="Characterclear"/>
          <w:lang w:eastAsia="en-GB"/>
        </w:rPr>
        <w:t>the complexity and high threshold of the offences (</w:t>
      </w:r>
      <w:r w:rsidR="006E45DD" w:rsidRPr="00BE04C2">
        <w:rPr>
          <w:rStyle w:val="Characterclear"/>
          <w:lang w:eastAsia="en-GB"/>
        </w:rPr>
        <w:t xml:space="preserve">part </w:t>
      </w:r>
      <w:r w:rsidR="00A36F1C" w:rsidRPr="00BE04C2">
        <w:rPr>
          <w:rStyle w:val="Characterclear"/>
          <w:lang w:eastAsia="en-GB"/>
        </w:rPr>
        <w:t>4.1.5)</w:t>
      </w:r>
    </w:p>
    <w:p w14:paraId="03B7CB23" w14:textId="510DEB30" w:rsidR="00647BC3" w:rsidRPr="00BE04C2" w:rsidRDefault="00647BC3" w:rsidP="00383A8A">
      <w:pPr>
        <w:pStyle w:val="ListBullet"/>
        <w:numPr>
          <w:ilvl w:val="0"/>
          <w:numId w:val="3"/>
        </w:numPr>
        <w:rPr>
          <w:rStyle w:val="Characterclear"/>
          <w:lang w:eastAsia="en-GB"/>
        </w:rPr>
      </w:pPr>
      <w:r w:rsidRPr="00BE04C2">
        <w:rPr>
          <w:rStyle w:val="Characterclear"/>
          <w:lang w:eastAsia="en-GB"/>
        </w:rPr>
        <w:t>the perception that the RRTA is ‘technical, obtuse and esoteric’</w:t>
      </w:r>
      <w:r w:rsidR="00196ED6" w:rsidRPr="00BE04C2">
        <w:rPr>
          <w:rStyle w:val="Characterclear"/>
          <w:lang w:eastAsia="en-GB"/>
        </w:rPr>
        <w:t xml:space="preserve">, including </w:t>
      </w:r>
      <w:r w:rsidR="00BE6613" w:rsidRPr="00BE04C2">
        <w:rPr>
          <w:rStyle w:val="Characterclear"/>
          <w:lang w:eastAsia="en-GB"/>
        </w:rPr>
        <w:t xml:space="preserve">difficulty distinguishing between vilification and serious vilification </w:t>
      </w:r>
    </w:p>
    <w:p w14:paraId="2ACF6455" w14:textId="1C7F8A12" w:rsidR="003C5B86" w:rsidRDefault="00647BC3" w:rsidP="00D21FFD">
      <w:pPr>
        <w:pStyle w:val="ListBullet"/>
        <w:numPr>
          <w:ilvl w:val="0"/>
          <w:numId w:val="3"/>
        </w:numPr>
        <w:rPr>
          <w:rStyle w:val="Characterclear"/>
          <w:lang w:eastAsia="en-GB"/>
        </w:rPr>
      </w:pPr>
      <w:r w:rsidRPr="00BE04C2">
        <w:rPr>
          <w:rStyle w:val="Characterclear"/>
          <w:lang w:eastAsia="en-GB"/>
        </w:rPr>
        <w:t xml:space="preserve">the use of alternative </w:t>
      </w:r>
      <w:r w:rsidR="00196ED6" w:rsidRPr="00BE04C2">
        <w:rPr>
          <w:rStyle w:val="Characterclear"/>
          <w:lang w:eastAsia="en-GB"/>
        </w:rPr>
        <w:t xml:space="preserve">‘tried and true’ </w:t>
      </w:r>
      <w:r w:rsidRPr="00BE04C2">
        <w:rPr>
          <w:rStyle w:val="Characterclear"/>
          <w:lang w:eastAsia="en-GB"/>
        </w:rPr>
        <w:t xml:space="preserve">offences </w:t>
      </w:r>
      <w:r w:rsidR="00EC646D" w:rsidRPr="00BE04C2">
        <w:rPr>
          <w:rStyle w:val="Characterclear"/>
          <w:lang w:eastAsia="en-GB"/>
        </w:rPr>
        <w:t xml:space="preserve">– </w:t>
      </w:r>
      <w:r w:rsidR="004F73D9">
        <w:rPr>
          <w:rStyle w:val="Characterclear"/>
        </w:rPr>
        <w:t>common assault or obscene</w:t>
      </w:r>
      <w:r w:rsidR="00D21FFD">
        <w:rPr>
          <w:rStyle w:val="Characterclear"/>
        </w:rPr>
        <w:t>, indecent, threatening language</w:t>
      </w:r>
      <w:r w:rsidR="003C5B86">
        <w:rPr>
          <w:rStyle w:val="EndnoteReference"/>
          <w:lang w:eastAsia="en-AU"/>
        </w:rPr>
        <w:endnoteReference w:id="238"/>
      </w:r>
      <w:r w:rsidR="00EC646D" w:rsidRPr="00BE04C2">
        <w:rPr>
          <w:rStyle w:val="Characterclear"/>
          <w:lang w:eastAsia="en-GB"/>
        </w:rPr>
        <w:t xml:space="preserve"> </w:t>
      </w:r>
      <w:r w:rsidR="00106DC3" w:rsidRPr="00106DC3">
        <w:rPr>
          <w:rStyle w:val="Characterclear"/>
        </w:rPr>
        <w:t xml:space="preserve">– </w:t>
      </w:r>
      <w:r w:rsidR="00F11319" w:rsidRPr="00BE04C2">
        <w:rPr>
          <w:rStyle w:val="Characterclear"/>
          <w:lang w:eastAsia="en-GB"/>
        </w:rPr>
        <w:t xml:space="preserve">that police are familiar with </w:t>
      </w:r>
    </w:p>
    <w:p w14:paraId="7BD29263" w14:textId="5B782279" w:rsidR="00220F87" w:rsidRDefault="00220F87" w:rsidP="00D21FFD">
      <w:pPr>
        <w:pStyle w:val="ListBullet"/>
        <w:numPr>
          <w:ilvl w:val="0"/>
          <w:numId w:val="3"/>
        </w:numPr>
        <w:rPr>
          <w:rStyle w:val="Characterclear"/>
          <w:lang w:eastAsia="en-GB"/>
        </w:rPr>
      </w:pPr>
      <w:r w:rsidRPr="00BE04C2">
        <w:rPr>
          <w:rStyle w:val="Characterclear"/>
          <w:lang w:eastAsia="en-GB"/>
        </w:rPr>
        <w:t>that the language of ‘vilification’ is not commonly understood</w:t>
      </w:r>
    </w:p>
    <w:p w14:paraId="55077271" w14:textId="4210783E" w:rsidR="00F458F2" w:rsidRPr="00BE04C2" w:rsidRDefault="002F5DCD" w:rsidP="00FD0AE2">
      <w:pPr>
        <w:pStyle w:val="ListBullet"/>
        <w:numPr>
          <w:ilvl w:val="0"/>
          <w:numId w:val="3"/>
        </w:numPr>
        <w:rPr>
          <w:rStyle w:val="Characterclear"/>
          <w:lang w:eastAsia="en-GB"/>
        </w:rPr>
      </w:pPr>
      <w:r w:rsidRPr="00BE04C2">
        <w:rPr>
          <w:rStyle w:val="Characterclear"/>
          <w:lang w:eastAsia="en-GB"/>
        </w:rPr>
        <w:t>a perception by frontline police that s</w:t>
      </w:r>
      <w:r w:rsidR="00216FF6" w:rsidRPr="00BE04C2">
        <w:rPr>
          <w:rStyle w:val="Characterclear"/>
          <w:lang w:eastAsia="en-GB"/>
        </w:rPr>
        <w:t>ection</w:t>
      </w:r>
      <w:r w:rsidRPr="00BE04C2">
        <w:rPr>
          <w:rStyle w:val="Characterclear"/>
          <w:lang w:eastAsia="en-GB"/>
        </w:rPr>
        <w:t xml:space="preserve"> 5 of the </w:t>
      </w:r>
      <w:r w:rsidR="00787F12" w:rsidRPr="00BE04C2">
        <w:rPr>
          <w:rStyle w:val="Characterclear"/>
          <w:lang w:eastAsia="en-GB"/>
        </w:rPr>
        <w:t xml:space="preserve">RRTA means that </w:t>
      </w:r>
      <w:r w:rsidR="00DA2BC0" w:rsidRPr="00BE04C2">
        <w:rPr>
          <w:rStyle w:val="Characterclear"/>
          <w:lang w:eastAsia="en-GB"/>
        </w:rPr>
        <w:t>vilification is not unlawful</w:t>
      </w:r>
      <w:r w:rsidR="00787F12" w:rsidRPr="00BE04C2">
        <w:rPr>
          <w:rStyle w:val="Characterclear"/>
          <w:lang w:eastAsia="en-GB"/>
        </w:rPr>
        <w:t xml:space="preserve"> (</w:t>
      </w:r>
      <w:r w:rsidR="00DA2BC0" w:rsidRPr="00BE04C2">
        <w:rPr>
          <w:rStyle w:val="Characterclear"/>
          <w:lang w:eastAsia="en-GB"/>
        </w:rPr>
        <w:t>s</w:t>
      </w:r>
      <w:r w:rsidR="00216FF6" w:rsidRPr="00BE04C2">
        <w:rPr>
          <w:rStyle w:val="Characterclear"/>
          <w:lang w:eastAsia="en-GB"/>
        </w:rPr>
        <w:t>ection</w:t>
      </w:r>
      <w:r w:rsidR="00DA2BC0" w:rsidRPr="00BE04C2">
        <w:rPr>
          <w:rStyle w:val="Characterclear"/>
          <w:lang w:eastAsia="en-GB"/>
        </w:rPr>
        <w:t xml:space="preserve"> 5</w:t>
      </w:r>
      <w:r w:rsidR="00787F12" w:rsidRPr="00BE04C2">
        <w:rPr>
          <w:rStyle w:val="Characterclear"/>
          <w:lang w:eastAsia="en-GB"/>
        </w:rPr>
        <w:t xml:space="preserve"> provides that a contravention of the RRTA does not create any civil or criminal liability except to the extent expressly provided by the Act)</w:t>
      </w:r>
      <w:r w:rsidR="00DA2BC0" w:rsidRPr="00BE04C2">
        <w:rPr>
          <w:rStyle w:val="Characterclear"/>
          <w:lang w:eastAsia="en-GB"/>
        </w:rPr>
        <w:t>.</w:t>
      </w:r>
    </w:p>
    <w:p w14:paraId="7B64839A" w14:textId="3D0CB8D9" w:rsidR="00043AB4" w:rsidRDefault="00326FBE" w:rsidP="00CB0A10">
      <w:pPr>
        <w:pStyle w:val="BodyText"/>
        <w:rPr>
          <w:rStyle w:val="Characterclear"/>
        </w:rPr>
      </w:pPr>
      <w:r>
        <w:rPr>
          <w:rStyle w:val="Characterclear"/>
        </w:rPr>
        <w:t>Stakeholders identified another potential barrier to prosecution in the requirement for</w:t>
      </w:r>
      <w:r w:rsidR="00475680">
        <w:rPr>
          <w:rStyle w:val="Characterclear"/>
        </w:rPr>
        <w:t xml:space="preserve"> </w:t>
      </w:r>
      <w:r w:rsidR="000B504C">
        <w:rPr>
          <w:rStyle w:val="Characterclear"/>
        </w:rPr>
        <w:t>police</w:t>
      </w:r>
      <w:r w:rsidR="00475680">
        <w:rPr>
          <w:rStyle w:val="Characterclear"/>
        </w:rPr>
        <w:t xml:space="preserve"> </w:t>
      </w:r>
      <w:r w:rsidR="00043AB4">
        <w:rPr>
          <w:rStyle w:val="Characterclear"/>
        </w:rPr>
        <w:t>to obtain the</w:t>
      </w:r>
      <w:r w:rsidR="000B504C">
        <w:rPr>
          <w:rStyle w:val="Characterclear"/>
        </w:rPr>
        <w:t xml:space="preserve"> written </w:t>
      </w:r>
      <w:r w:rsidR="00043AB4">
        <w:rPr>
          <w:rStyle w:val="Characterclear"/>
        </w:rPr>
        <w:t xml:space="preserve">consent of the </w:t>
      </w:r>
      <w:r w:rsidR="00E85891">
        <w:rPr>
          <w:rStyle w:val="Characterclear"/>
        </w:rPr>
        <w:t xml:space="preserve">DPP </w:t>
      </w:r>
      <w:r w:rsidR="00475680">
        <w:rPr>
          <w:rStyle w:val="Characterclear"/>
        </w:rPr>
        <w:t xml:space="preserve">to </w:t>
      </w:r>
      <w:r w:rsidR="009949C2">
        <w:rPr>
          <w:rStyle w:val="Characterclear"/>
        </w:rPr>
        <w:t xml:space="preserve">commence </w:t>
      </w:r>
      <w:r w:rsidR="000B504C">
        <w:rPr>
          <w:rStyle w:val="Characterclear"/>
        </w:rPr>
        <w:t>a prosecution under the RRTA</w:t>
      </w:r>
      <w:r w:rsidR="004E5E84">
        <w:rPr>
          <w:rStyle w:val="Characterclear"/>
        </w:rPr>
        <w:t xml:space="preserve"> </w:t>
      </w:r>
      <w:r w:rsidR="000F3650">
        <w:rPr>
          <w:rStyle w:val="Characterclear"/>
        </w:rPr>
        <w:t>(</w:t>
      </w:r>
      <w:r w:rsidR="004E5E84">
        <w:rPr>
          <w:rStyle w:val="Characterclear"/>
        </w:rPr>
        <w:t>or</w:t>
      </w:r>
      <w:r w:rsidR="000F3650">
        <w:rPr>
          <w:rStyle w:val="Characterclear"/>
        </w:rPr>
        <w:t xml:space="preserve"> at least</w:t>
      </w:r>
      <w:r w:rsidR="004E5E84">
        <w:rPr>
          <w:rStyle w:val="Characterclear"/>
        </w:rPr>
        <w:t xml:space="preserve"> the perception</w:t>
      </w:r>
      <w:r w:rsidR="000F3650">
        <w:rPr>
          <w:rStyle w:val="Characterclear"/>
        </w:rPr>
        <w:t xml:space="preserve"> by police</w:t>
      </w:r>
      <w:r w:rsidR="004E5E84">
        <w:rPr>
          <w:rStyle w:val="Characterclear"/>
        </w:rPr>
        <w:t xml:space="preserve"> that th</w:t>
      </w:r>
      <w:r w:rsidR="008318FF">
        <w:rPr>
          <w:rStyle w:val="Characterclear"/>
        </w:rPr>
        <w:t>is requirement is complex and burdensome</w:t>
      </w:r>
      <w:r w:rsidR="000F3650">
        <w:rPr>
          <w:rStyle w:val="Characterclear"/>
        </w:rPr>
        <w:t>)</w:t>
      </w:r>
      <w:r w:rsidR="00043AB4">
        <w:rPr>
          <w:rStyle w:val="Characterclear"/>
        </w:rPr>
        <w:t xml:space="preserve">. </w:t>
      </w:r>
      <w:r w:rsidR="00F15518">
        <w:rPr>
          <w:rStyle w:val="Characterclear"/>
        </w:rPr>
        <w:t xml:space="preserve">The Commission understands that this is different to most summary offences which are usually prosecuted by police without the need for DPP consent. </w:t>
      </w:r>
    </w:p>
    <w:p w14:paraId="1083E853" w14:textId="25786802" w:rsidR="008229C8" w:rsidRDefault="00FB37E1" w:rsidP="00CB0A10">
      <w:pPr>
        <w:pStyle w:val="BodyText"/>
        <w:rPr>
          <w:rStyle w:val="Characterclear"/>
        </w:rPr>
      </w:pPr>
      <w:r>
        <w:rPr>
          <w:rStyle w:val="Characterclear"/>
        </w:rPr>
        <w:t xml:space="preserve">Data from the Crime Statistics Agency shows that </w:t>
      </w:r>
      <w:r w:rsidR="008229C8">
        <w:rPr>
          <w:rStyle w:val="Characterclear"/>
        </w:rPr>
        <w:t xml:space="preserve">Victoria Police record </w:t>
      </w:r>
      <w:r>
        <w:rPr>
          <w:rStyle w:val="Characterclear"/>
        </w:rPr>
        <w:t>relatively high numbers of ‘prejudicially motivated crime’ related to sexual orientation</w:t>
      </w:r>
      <w:r w:rsidR="00520990">
        <w:rPr>
          <w:rStyle w:val="Characterclear"/>
        </w:rPr>
        <w:t>, disability, political beliefs/activity, race/ethnicity and religion (part</w:t>
      </w:r>
      <w:r w:rsidR="00EB573E">
        <w:rPr>
          <w:rStyle w:val="Characterclear"/>
        </w:rPr>
        <w:t xml:space="preserve"> 4.3.2</w:t>
      </w:r>
      <w:r w:rsidR="00520990">
        <w:rPr>
          <w:rStyle w:val="Characterclear"/>
        </w:rPr>
        <w:t xml:space="preserve">). However, identifying a prejudice motivation for a crime has not translated to </w:t>
      </w:r>
      <w:r w:rsidR="004E6D62">
        <w:rPr>
          <w:rStyle w:val="Characterclear"/>
        </w:rPr>
        <w:t xml:space="preserve">prosecutions under the RRTA. </w:t>
      </w:r>
    </w:p>
    <w:p w14:paraId="113FB6FE" w14:textId="5E0D9E18" w:rsidR="00CB0A10" w:rsidRDefault="00A846DC" w:rsidP="00CB0A10">
      <w:pPr>
        <w:pStyle w:val="BodyText"/>
        <w:rPr>
          <w:rStyle w:val="Characterclear"/>
        </w:rPr>
      </w:pPr>
      <w:r>
        <w:rPr>
          <w:rStyle w:val="Characterclear"/>
        </w:rPr>
        <w:t xml:space="preserve">Although </w:t>
      </w:r>
      <w:r w:rsidR="001B1082">
        <w:rPr>
          <w:rStyle w:val="Characterclear"/>
        </w:rPr>
        <w:t>Victoria Police has only</w:t>
      </w:r>
      <w:r>
        <w:rPr>
          <w:rStyle w:val="Characterclear"/>
        </w:rPr>
        <w:t xml:space="preserve"> prosecute</w:t>
      </w:r>
      <w:r w:rsidR="001B1082">
        <w:rPr>
          <w:rStyle w:val="Characterclear"/>
        </w:rPr>
        <w:t>d</w:t>
      </w:r>
      <w:r>
        <w:rPr>
          <w:rStyle w:val="Characterclear"/>
        </w:rPr>
        <w:t xml:space="preserve"> serious vilification </w:t>
      </w:r>
      <w:r w:rsidR="001B1082">
        <w:rPr>
          <w:rStyle w:val="Characterclear"/>
        </w:rPr>
        <w:t xml:space="preserve">once </w:t>
      </w:r>
      <w:r>
        <w:rPr>
          <w:rStyle w:val="Characterclear"/>
        </w:rPr>
        <w:t>under the RRTA, the</w:t>
      </w:r>
      <w:r w:rsidR="00CB0A10">
        <w:rPr>
          <w:rStyle w:val="Characterclear"/>
        </w:rPr>
        <w:t xml:space="preserve"> Commission is aware that Victoria Police </w:t>
      </w:r>
      <w:r w:rsidR="00D76891">
        <w:rPr>
          <w:rStyle w:val="Characterclear"/>
        </w:rPr>
        <w:t>use</w:t>
      </w:r>
      <w:r w:rsidR="00CB0A10">
        <w:rPr>
          <w:rStyle w:val="Characterclear"/>
        </w:rPr>
        <w:t xml:space="preserve"> alternative offences </w:t>
      </w:r>
      <w:r w:rsidR="00767EA5">
        <w:rPr>
          <w:rStyle w:val="Characterclear"/>
        </w:rPr>
        <w:t xml:space="preserve">to </w:t>
      </w:r>
      <w:r w:rsidR="00D76891">
        <w:rPr>
          <w:rStyle w:val="Characterclear"/>
        </w:rPr>
        <w:t xml:space="preserve">serious vilification to </w:t>
      </w:r>
      <w:r w:rsidR="00767EA5">
        <w:rPr>
          <w:rStyle w:val="Characterclear"/>
        </w:rPr>
        <w:t xml:space="preserve">prosecute hate crime. For example: </w:t>
      </w:r>
    </w:p>
    <w:p w14:paraId="574EDEE2" w14:textId="1C028888" w:rsidR="00761BB7" w:rsidRPr="005145A4" w:rsidRDefault="00761BB7" w:rsidP="00086A43">
      <w:pPr>
        <w:pStyle w:val="TableListBullet"/>
        <w:rPr>
          <w:rStyle w:val="Characterclear"/>
          <w:lang w:eastAsia="en-GB"/>
        </w:rPr>
      </w:pPr>
      <w:r w:rsidRPr="005145A4">
        <w:rPr>
          <w:rStyle w:val="Characterclear"/>
          <w:lang w:eastAsia="en-GB"/>
        </w:rPr>
        <w:t xml:space="preserve">In 2019, a </w:t>
      </w:r>
      <w:r w:rsidR="00D76891" w:rsidRPr="005145A4">
        <w:rPr>
          <w:rStyle w:val="Characterclear"/>
          <w:lang w:eastAsia="en-GB"/>
        </w:rPr>
        <w:t>person</w:t>
      </w:r>
      <w:r w:rsidRPr="005145A4">
        <w:rPr>
          <w:rStyle w:val="Characterclear"/>
          <w:lang w:eastAsia="en-GB"/>
        </w:rPr>
        <w:t xml:space="preserve"> was charged with assault after allegedly verbally abusing a mother and child on a </w:t>
      </w:r>
      <w:r w:rsidR="00A71BED" w:rsidRPr="005145A4">
        <w:rPr>
          <w:rStyle w:val="Characterclear"/>
          <w:lang w:eastAsia="en-GB"/>
        </w:rPr>
        <w:t xml:space="preserve">Melbourne </w:t>
      </w:r>
      <w:r w:rsidRPr="005145A4">
        <w:rPr>
          <w:rStyle w:val="Characterclear"/>
          <w:lang w:eastAsia="en-GB"/>
        </w:rPr>
        <w:t xml:space="preserve">train because of their religion </w:t>
      </w:r>
      <w:r w:rsidR="00A71BED" w:rsidRPr="005145A4">
        <w:rPr>
          <w:rStyle w:val="Characterclear"/>
          <w:lang w:eastAsia="en-GB"/>
        </w:rPr>
        <w:t>and pulling the hijab off another passenger who tried to help.</w:t>
      </w:r>
      <w:r w:rsidR="00407A5F">
        <w:rPr>
          <w:rStyle w:val="EndnoteReference"/>
          <w:sz w:val="24"/>
        </w:rPr>
        <w:endnoteReference w:id="239"/>
      </w:r>
    </w:p>
    <w:p w14:paraId="25638723" w14:textId="5214329F" w:rsidR="00A71BED" w:rsidRPr="005145A4" w:rsidRDefault="00ED186A" w:rsidP="00086A43">
      <w:pPr>
        <w:pStyle w:val="TableListBullet"/>
        <w:rPr>
          <w:rStyle w:val="Characterclear"/>
          <w:lang w:eastAsia="en-GB"/>
        </w:rPr>
      </w:pPr>
      <w:r w:rsidRPr="005145A4">
        <w:rPr>
          <w:rStyle w:val="Characterclear"/>
          <w:lang w:eastAsia="en-GB"/>
        </w:rPr>
        <w:lastRenderedPageBreak/>
        <w:t xml:space="preserve">In </w:t>
      </w:r>
      <w:r w:rsidR="0066245E" w:rsidRPr="005145A4">
        <w:rPr>
          <w:rStyle w:val="Characterclear"/>
          <w:lang w:eastAsia="en-GB"/>
        </w:rPr>
        <w:t>2013, a person was charged with a range of offences (including threatening to inflict serious injury, behaving in an insulting manner in public, causing intentional damage, and behaving in an offensive manner in public) after threatening a</w:t>
      </w:r>
      <w:r w:rsidR="001272FC" w:rsidRPr="005145A4">
        <w:rPr>
          <w:rStyle w:val="Characterclear"/>
          <w:lang w:eastAsia="en-GB"/>
        </w:rPr>
        <w:t xml:space="preserve"> </w:t>
      </w:r>
      <w:r w:rsidR="0066245E" w:rsidRPr="005145A4">
        <w:rPr>
          <w:rStyle w:val="Characterclear"/>
          <w:lang w:eastAsia="en-GB"/>
        </w:rPr>
        <w:t>French woman with violence because of her race on a Melbourne bus.</w:t>
      </w:r>
      <w:r w:rsidR="00407A5F">
        <w:rPr>
          <w:rStyle w:val="EndnoteReference"/>
          <w:sz w:val="24"/>
        </w:rPr>
        <w:endnoteReference w:id="240"/>
      </w:r>
      <w:r w:rsidR="0066245E" w:rsidRPr="005145A4">
        <w:rPr>
          <w:rStyle w:val="Characterclear"/>
          <w:lang w:eastAsia="en-GB"/>
        </w:rPr>
        <w:t xml:space="preserve"> </w:t>
      </w:r>
    </w:p>
    <w:p w14:paraId="26AD7D76" w14:textId="1FCAAA40" w:rsidR="00761BB7" w:rsidRPr="005145A4" w:rsidRDefault="00A83E91" w:rsidP="00086A43">
      <w:pPr>
        <w:pStyle w:val="TableListBullet"/>
        <w:rPr>
          <w:rStyle w:val="Characterclear"/>
          <w:lang w:eastAsia="en-GB"/>
        </w:rPr>
      </w:pPr>
      <w:r w:rsidRPr="005145A4">
        <w:rPr>
          <w:rStyle w:val="Characterclear"/>
          <w:lang w:eastAsia="en-GB"/>
        </w:rPr>
        <w:t>In 2007, a person was charged with a range of offences (including theft, intentionally causing serious injury, recklessly causing serious injury and assault)</w:t>
      </w:r>
      <w:r w:rsidR="00E42C3B" w:rsidRPr="005145A4">
        <w:rPr>
          <w:rStyle w:val="Characterclear"/>
          <w:lang w:eastAsia="en-GB"/>
        </w:rPr>
        <w:t xml:space="preserve"> after taking a Jewish man’s skullcap, subjecting him to verbal abuse and punching him while he was walking to a synagogue.</w:t>
      </w:r>
      <w:r w:rsidR="00407A5F">
        <w:rPr>
          <w:rStyle w:val="EndnoteReference"/>
          <w:sz w:val="24"/>
        </w:rPr>
        <w:endnoteReference w:id="241"/>
      </w:r>
    </w:p>
    <w:p w14:paraId="7091DE7A" w14:textId="785FB77F" w:rsidR="00FA613E" w:rsidRDefault="00FA613E" w:rsidP="007736EC">
      <w:pPr>
        <w:pStyle w:val="BodyText"/>
      </w:pPr>
      <w:r>
        <w:t xml:space="preserve">Victoria Police </w:t>
      </w:r>
      <w:r w:rsidR="005B4DC2">
        <w:t>told the Commission that</w:t>
      </w:r>
      <w:r>
        <w:t xml:space="preserve"> </w:t>
      </w:r>
      <w:r w:rsidR="003640B0">
        <w:t xml:space="preserve">when </w:t>
      </w:r>
      <w:r w:rsidR="00E30D06">
        <w:t xml:space="preserve">officers record </w:t>
      </w:r>
      <w:r>
        <w:t>summary offences</w:t>
      </w:r>
      <w:r w:rsidR="00E30D06">
        <w:t xml:space="preserve">, they can select a field to indicate that the </w:t>
      </w:r>
      <w:r w:rsidR="006C61EE">
        <w:t>crime was prejudice-motivated (see part</w:t>
      </w:r>
      <w:r w:rsidR="00EB573E">
        <w:t xml:space="preserve"> 4.3.2)</w:t>
      </w:r>
      <w:r w:rsidR="006C61EE">
        <w:t xml:space="preserve">. However, the victim’s </w:t>
      </w:r>
      <w:r w:rsidR="0052187D">
        <w:t xml:space="preserve">attribute isn’t necessarily listed on the charge. </w:t>
      </w:r>
      <w:r w:rsidR="00547B0B">
        <w:t xml:space="preserve">If an offence such as common assault is prejudice-motivated, </w:t>
      </w:r>
      <w:r w:rsidR="003640B0">
        <w:t xml:space="preserve">this is an </w:t>
      </w:r>
      <w:r w:rsidR="000E38A0">
        <w:t>aggravated assault</w:t>
      </w:r>
      <w:r w:rsidR="003640B0">
        <w:t>.</w:t>
      </w:r>
      <w:r w:rsidR="000E38A0">
        <w:rPr>
          <w:rStyle w:val="EndnoteReference"/>
        </w:rPr>
        <w:endnoteReference w:id="242"/>
      </w:r>
    </w:p>
    <w:p w14:paraId="115627EE" w14:textId="48CA4F52" w:rsidR="00EE2205" w:rsidRDefault="00EE3178" w:rsidP="007736EC">
      <w:pPr>
        <w:pStyle w:val="BodyText"/>
      </w:pPr>
      <w:r>
        <w:t xml:space="preserve">For example, </w:t>
      </w:r>
      <w:r w:rsidR="005B4DC2">
        <w:t xml:space="preserve">Victoria Police explained that </w:t>
      </w:r>
      <w:r>
        <w:t>if a person is abusing another passenger on public transport</w:t>
      </w:r>
      <w:r w:rsidR="001357D9">
        <w:t>,</w:t>
      </w:r>
      <w:r w:rsidR="007D53E7">
        <w:t xml:space="preserve"> </w:t>
      </w:r>
      <w:r w:rsidR="001357D9">
        <w:t xml:space="preserve">police can deal with the matter </w:t>
      </w:r>
      <w:r w:rsidR="00E05DA0">
        <w:t>quickly and effectively by issuing an on-the-spot penalty notice for</w:t>
      </w:r>
      <w:r w:rsidR="00FA4F74">
        <w:t xml:space="preserve"> </w:t>
      </w:r>
      <w:r w:rsidR="00FA4F74" w:rsidRPr="00FA4F74">
        <w:rPr>
          <w:rStyle w:val="Characterclear"/>
        </w:rPr>
        <w:t xml:space="preserve">obscene, indecent, threatening </w:t>
      </w:r>
      <w:r w:rsidR="001B1082">
        <w:t xml:space="preserve">in public or common </w:t>
      </w:r>
      <w:r w:rsidR="00E05DA0">
        <w:t xml:space="preserve">assault. </w:t>
      </w:r>
      <w:r w:rsidR="00493902">
        <w:t xml:space="preserve">If the </w:t>
      </w:r>
      <w:r w:rsidR="007D53E7">
        <w:t>assault is more serious</w:t>
      </w:r>
      <w:r w:rsidR="00E05DA0">
        <w:t xml:space="preserve"> (for example, if the victim is injured)</w:t>
      </w:r>
      <w:r w:rsidR="00493902">
        <w:t>, the offender may be arrested</w:t>
      </w:r>
      <w:r w:rsidR="0099010A">
        <w:t xml:space="preserve"> and the person’s attribute (such as their race) </w:t>
      </w:r>
      <w:r w:rsidR="001B2E1E">
        <w:t>can</w:t>
      </w:r>
      <w:r w:rsidR="0099010A">
        <w:t xml:space="preserve"> be processed as an aggravation to the assault</w:t>
      </w:r>
      <w:r w:rsidR="001B2E1E">
        <w:t xml:space="preserve">. This is an easier alternative to </w:t>
      </w:r>
      <w:r w:rsidR="0099010A">
        <w:t>processing the offender under the RRTA</w:t>
      </w:r>
      <w:r w:rsidR="005B4DC2">
        <w:t xml:space="preserve"> which is more complex.</w:t>
      </w:r>
      <w:r w:rsidR="007D53E7">
        <w:rPr>
          <w:rStyle w:val="EndnoteReference"/>
        </w:rPr>
        <w:endnoteReference w:id="243"/>
      </w:r>
    </w:p>
    <w:p w14:paraId="47DF750C" w14:textId="4664788B" w:rsidR="00AF1D04" w:rsidRPr="00E05DA0" w:rsidRDefault="00515FA3" w:rsidP="007736EC">
      <w:pPr>
        <w:pStyle w:val="BodyText"/>
      </w:pPr>
      <w:r>
        <w:t xml:space="preserve">The use of summary offences, as an alternative to serious </w:t>
      </w:r>
      <w:r w:rsidR="00A23FC5">
        <w:t xml:space="preserve">vilification under the RRTA, </w:t>
      </w:r>
      <w:r w:rsidR="00A93012">
        <w:t xml:space="preserve">does </w:t>
      </w:r>
      <w:r w:rsidR="000A33B8">
        <w:t xml:space="preserve">not capture the specific </w:t>
      </w:r>
      <w:r w:rsidR="000555EB">
        <w:t xml:space="preserve">circumstances and </w:t>
      </w:r>
      <w:r w:rsidR="000A33B8">
        <w:t>impact of hate crime on individuals, community and society more broadly</w:t>
      </w:r>
      <w:r w:rsidR="00216FF6">
        <w:t xml:space="preserve"> (unless </w:t>
      </w:r>
      <w:r w:rsidR="009C5D26">
        <w:t xml:space="preserve">hate or prejudice-motivation is considered in sentencing). </w:t>
      </w:r>
    </w:p>
    <w:p w14:paraId="6EA2D0DD" w14:textId="22ACE0F2" w:rsidR="008C3550" w:rsidRDefault="006D161F" w:rsidP="008B17CE">
      <w:pPr>
        <w:pStyle w:val="BodyText"/>
        <w:rPr>
          <w:rStyle w:val="Characterclear"/>
        </w:rPr>
      </w:pPr>
      <w:r>
        <w:rPr>
          <w:rStyle w:val="Characterclear"/>
        </w:rPr>
        <w:t xml:space="preserve">Other possible </w:t>
      </w:r>
      <w:r w:rsidR="008C3550">
        <w:rPr>
          <w:rStyle w:val="Characterclear"/>
        </w:rPr>
        <w:t>barriers to prosecution of hate crime in Australia</w:t>
      </w:r>
      <w:r w:rsidR="00DD7513">
        <w:rPr>
          <w:rStyle w:val="Characterclear"/>
        </w:rPr>
        <w:t xml:space="preserve">, raised by stakeholders, include </w:t>
      </w:r>
      <w:r w:rsidR="00963FE1">
        <w:rPr>
          <w:rStyle w:val="Characterclear"/>
        </w:rPr>
        <w:t>the absence of a definition of ‘hatred’, a victim</w:t>
      </w:r>
      <w:r w:rsidR="00ED75C4">
        <w:rPr>
          <w:rStyle w:val="Characterclear"/>
        </w:rPr>
        <w:t>’s unwillingness to proceed, inability to identify the offender, and a concern that a prosecution will give publicity to racist groups.</w:t>
      </w:r>
      <w:r w:rsidR="00ED75C4">
        <w:rPr>
          <w:rStyle w:val="EndnoteReference"/>
          <w:lang w:eastAsia="en-AU"/>
        </w:rPr>
        <w:endnoteReference w:id="244"/>
      </w:r>
    </w:p>
    <w:p w14:paraId="04F8D2C5" w14:textId="2953A249" w:rsidR="009C1CD2" w:rsidRPr="00BA1E81" w:rsidRDefault="009C1CD2" w:rsidP="008B17CE">
      <w:pPr>
        <w:pStyle w:val="BodyText"/>
        <w:rPr>
          <w:rStyle w:val="Characterclear"/>
        </w:rPr>
      </w:pPr>
      <w:r>
        <w:rPr>
          <w:rStyle w:val="Characterclear"/>
        </w:rPr>
        <w:t xml:space="preserve">Part </w:t>
      </w:r>
      <w:r w:rsidR="00B6083D">
        <w:rPr>
          <w:rStyle w:val="Characterclear"/>
        </w:rPr>
        <w:t xml:space="preserve">5.5 makes recommendations to strengthen enforcement of hate crime by Victoria Police, including moving </w:t>
      </w:r>
      <w:r w:rsidR="00562401">
        <w:rPr>
          <w:rStyle w:val="Characterclear"/>
        </w:rPr>
        <w:t xml:space="preserve">serious </w:t>
      </w:r>
      <w:r w:rsidR="0082683C">
        <w:rPr>
          <w:rStyle w:val="Characterclear"/>
        </w:rPr>
        <w:t>vilification</w:t>
      </w:r>
      <w:r w:rsidR="00B6083D">
        <w:rPr>
          <w:rStyle w:val="Characterclear"/>
        </w:rPr>
        <w:t xml:space="preserve"> offences to the </w:t>
      </w:r>
      <w:r w:rsidR="005B6423">
        <w:rPr>
          <w:rStyle w:val="Characterclear"/>
          <w:i/>
        </w:rPr>
        <w:t xml:space="preserve">Crimes Act 1958 </w:t>
      </w:r>
      <w:r w:rsidR="005B6423">
        <w:rPr>
          <w:rStyle w:val="Characterclear"/>
        </w:rPr>
        <w:t>(Vic)</w:t>
      </w:r>
      <w:r w:rsidR="00B6083D">
        <w:rPr>
          <w:rStyle w:val="Characterclear"/>
        </w:rPr>
        <w:t>.</w:t>
      </w:r>
    </w:p>
    <w:p w14:paraId="62AD7C67" w14:textId="78023B7A" w:rsidR="003F67D8" w:rsidRDefault="008027E1" w:rsidP="00312D31">
      <w:pPr>
        <w:pStyle w:val="Heading2"/>
      </w:pPr>
      <w:bookmarkStart w:id="26" w:name="_Toc31392341"/>
      <w:r>
        <w:t xml:space="preserve">The inadequate </w:t>
      </w:r>
      <w:r w:rsidR="00CB245F">
        <w:t>sanctions for hate crime</w:t>
      </w:r>
      <w:bookmarkEnd w:id="26"/>
      <w:r w:rsidR="00CB245F">
        <w:t xml:space="preserve"> </w:t>
      </w:r>
    </w:p>
    <w:p w14:paraId="5D5BB0E9" w14:textId="472E7D27" w:rsidR="0032287C" w:rsidRDefault="0032287C" w:rsidP="003F67D8">
      <w:pPr>
        <w:pStyle w:val="Heading3"/>
      </w:pPr>
      <w:r>
        <w:t>The penalties for serious vilification are too low</w:t>
      </w:r>
    </w:p>
    <w:p w14:paraId="4481C3DF" w14:textId="77777777" w:rsidR="00495465" w:rsidRDefault="00D06158" w:rsidP="0032287C">
      <w:pPr>
        <w:pStyle w:val="BodyText"/>
        <w:rPr>
          <w:rStyle w:val="Characterclear"/>
        </w:rPr>
      </w:pPr>
      <w:r w:rsidRPr="00D06158">
        <w:rPr>
          <w:rStyle w:val="Characterclear"/>
        </w:rPr>
        <w:t xml:space="preserve">The maximum penalty for </w:t>
      </w:r>
      <w:r w:rsidR="00680861">
        <w:rPr>
          <w:rStyle w:val="Characterclear"/>
        </w:rPr>
        <w:t>serious vilification under</w:t>
      </w:r>
      <w:r w:rsidRPr="00D06158">
        <w:rPr>
          <w:rStyle w:val="Characterclear"/>
        </w:rPr>
        <w:t xml:space="preserve"> the RRTA is</w:t>
      </w:r>
      <w:r w:rsidR="00495465">
        <w:rPr>
          <w:rStyle w:val="Characterclear"/>
        </w:rPr>
        <w:t xml:space="preserve">: </w:t>
      </w:r>
    </w:p>
    <w:p w14:paraId="0C256CAD" w14:textId="6BB029A9" w:rsidR="00495465" w:rsidRDefault="00495465" w:rsidP="00CD02DE">
      <w:pPr>
        <w:pStyle w:val="ListBullet"/>
        <w:rPr>
          <w:rStyle w:val="Characterclear"/>
          <w:lang w:eastAsia="en-GB"/>
        </w:rPr>
      </w:pPr>
      <w:r w:rsidRPr="00495465">
        <w:rPr>
          <w:rStyle w:val="Characterclear"/>
        </w:rPr>
        <w:t>60 penalty units ($9,913.20 at 1 July 2019) for an individual and/or 6 months’ imprisonment</w:t>
      </w:r>
    </w:p>
    <w:p w14:paraId="46D07324" w14:textId="443F21EE" w:rsidR="004367B6" w:rsidRDefault="00D06158" w:rsidP="00CD02DE">
      <w:pPr>
        <w:pStyle w:val="ListBullet"/>
      </w:pPr>
      <w:r w:rsidRPr="00D06158">
        <w:rPr>
          <w:rStyle w:val="Characterclear"/>
        </w:rPr>
        <w:t>300 penalty units ($49,566</w:t>
      </w:r>
      <w:r w:rsidR="00495465">
        <w:rPr>
          <w:rStyle w:val="Characterclear"/>
        </w:rPr>
        <w:t xml:space="preserve"> </w:t>
      </w:r>
      <w:r w:rsidRPr="00D06158">
        <w:rPr>
          <w:rStyle w:val="Characterclear"/>
        </w:rPr>
        <w:t>at 1 July 2019) for a body corporate</w:t>
      </w:r>
      <w:r w:rsidR="00EF4598">
        <w:rPr>
          <w:rStyle w:val="Characterclear"/>
        </w:rPr>
        <w:t>.</w:t>
      </w:r>
      <w:r w:rsidR="00565350">
        <w:t xml:space="preserve"> </w:t>
      </w:r>
    </w:p>
    <w:p w14:paraId="2AB8E248" w14:textId="15843AAE" w:rsidR="006F73CF" w:rsidRPr="00997661" w:rsidRDefault="00680861" w:rsidP="004367B6">
      <w:pPr>
        <w:pStyle w:val="BodyText"/>
        <w:rPr>
          <w:rStyle w:val="Characterclear"/>
        </w:rPr>
      </w:pPr>
      <w:r w:rsidRPr="00997661">
        <w:rPr>
          <w:rStyle w:val="Characterclear"/>
        </w:rPr>
        <w:t>T</w:t>
      </w:r>
      <w:r w:rsidR="0098648A" w:rsidRPr="00997661">
        <w:rPr>
          <w:rStyle w:val="Characterclear"/>
        </w:rPr>
        <w:t xml:space="preserve">he penalties for serious vilification under the RRTA are out of step with penalties for comparative </w:t>
      </w:r>
      <w:r w:rsidR="00642044" w:rsidRPr="00997661">
        <w:rPr>
          <w:rStyle w:val="Characterclear"/>
        </w:rPr>
        <w:t>offences in Australia and alternative offences used by police</w:t>
      </w:r>
      <w:r w:rsidR="00855E35" w:rsidRPr="00997661">
        <w:rPr>
          <w:rStyle w:val="Characterclear"/>
        </w:rPr>
        <w:t xml:space="preserve"> (see tables below)</w:t>
      </w:r>
      <w:r w:rsidR="00916561">
        <w:rPr>
          <w:rStyle w:val="Characterclear"/>
        </w:rPr>
        <w:t>, undermining their deterrent effect.</w:t>
      </w:r>
      <w:r w:rsidR="006F73CF" w:rsidRPr="00997661">
        <w:rPr>
          <w:rStyle w:val="Characterclear"/>
        </w:rPr>
        <w:t xml:space="preserve"> </w:t>
      </w:r>
      <w:r w:rsidR="004367B6" w:rsidRPr="00997661">
        <w:rPr>
          <w:rStyle w:val="Characterclear"/>
        </w:rPr>
        <w:t xml:space="preserve">The </w:t>
      </w:r>
      <w:r w:rsidR="006F73CF" w:rsidRPr="00997661">
        <w:rPr>
          <w:rStyle w:val="Characterclear"/>
        </w:rPr>
        <w:t xml:space="preserve">relatively </w:t>
      </w:r>
      <w:r w:rsidR="004367B6" w:rsidRPr="00997661">
        <w:rPr>
          <w:rStyle w:val="Characterclear"/>
        </w:rPr>
        <w:t xml:space="preserve">low </w:t>
      </w:r>
      <w:r w:rsidR="006F73CF" w:rsidRPr="00997661">
        <w:rPr>
          <w:rStyle w:val="Characterclear"/>
        </w:rPr>
        <w:t>penalties under the RRTA</w:t>
      </w:r>
      <w:r w:rsidR="004367B6" w:rsidRPr="00997661">
        <w:rPr>
          <w:rStyle w:val="Characterclear"/>
        </w:rPr>
        <w:t xml:space="preserve"> </w:t>
      </w:r>
      <w:r w:rsidR="007B35F6" w:rsidRPr="00997661">
        <w:rPr>
          <w:rStyle w:val="Characterclear"/>
        </w:rPr>
        <w:t>explains</w:t>
      </w:r>
      <w:r w:rsidR="006F73CF" w:rsidRPr="00997661">
        <w:rPr>
          <w:rStyle w:val="Characterclear"/>
        </w:rPr>
        <w:t xml:space="preserve"> in part why police </w:t>
      </w:r>
      <w:r w:rsidR="000555EB">
        <w:rPr>
          <w:rStyle w:val="Characterclear"/>
        </w:rPr>
        <w:t xml:space="preserve">may </w:t>
      </w:r>
      <w:r w:rsidR="006F73CF" w:rsidRPr="00997661">
        <w:rPr>
          <w:rStyle w:val="Characterclear"/>
        </w:rPr>
        <w:t xml:space="preserve">choose to use alternative offences for hate crime and </w:t>
      </w:r>
      <w:r w:rsidR="007B35F6" w:rsidRPr="00997661">
        <w:rPr>
          <w:rStyle w:val="Characterclear"/>
        </w:rPr>
        <w:t>sends</w:t>
      </w:r>
      <w:r w:rsidR="001C0237" w:rsidRPr="00997661">
        <w:rPr>
          <w:rStyle w:val="Characterclear"/>
        </w:rPr>
        <w:t xml:space="preserve"> a</w:t>
      </w:r>
      <w:r w:rsidR="007B35F6" w:rsidRPr="00997661">
        <w:rPr>
          <w:rStyle w:val="Characterclear"/>
        </w:rPr>
        <w:t xml:space="preserve">n unintended </w:t>
      </w:r>
      <w:r w:rsidR="001C0237" w:rsidRPr="00997661">
        <w:rPr>
          <w:rStyle w:val="Characterclear"/>
        </w:rPr>
        <w:t xml:space="preserve">message to the community about the seriousness of the offence compared to other crimes. </w:t>
      </w:r>
    </w:p>
    <w:p w14:paraId="5DED4540" w14:textId="19030853" w:rsidR="007B35F6" w:rsidRDefault="004D7B52" w:rsidP="004367B6">
      <w:pPr>
        <w:pStyle w:val="BodyText"/>
      </w:pPr>
      <w:r>
        <w:t>The</w:t>
      </w:r>
      <w:r w:rsidR="007B35F6">
        <w:t xml:space="preserve"> Commission heard </w:t>
      </w:r>
      <w:r>
        <w:t xml:space="preserve">from Victoria Police </w:t>
      </w:r>
      <w:r w:rsidR="007B35F6">
        <w:t>that the penalties for serious vilification are ‘underwhelming’</w:t>
      </w:r>
      <w:r w:rsidR="00C64B44">
        <w:t>, particularly compared to the penalties for other summary offences</w:t>
      </w:r>
      <w:r>
        <w:t>.</w:t>
      </w:r>
      <w:r>
        <w:rPr>
          <w:rStyle w:val="EndnoteReference"/>
        </w:rPr>
        <w:endnoteReference w:id="245"/>
      </w:r>
      <w:r w:rsidR="00916561">
        <w:t xml:space="preserve"> </w:t>
      </w:r>
    </w:p>
    <w:p w14:paraId="11E02CD6" w14:textId="78F44107" w:rsidR="00997661" w:rsidRPr="00997661" w:rsidRDefault="00997661" w:rsidP="00997661">
      <w:pPr>
        <w:pStyle w:val="BodyText"/>
        <w:rPr>
          <w:rStyle w:val="Characterclear"/>
        </w:rPr>
      </w:pPr>
      <w:r w:rsidRPr="00997661">
        <w:rPr>
          <w:rStyle w:val="Characterclear"/>
        </w:rPr>
        <w:lastRenderedPageBreak/>
        <w:t>Most recently, as part of reforms to racial vilification offences in NSW, the penalty for the new offence of publicly threatening or inciting violence in NSW was increased to</w:t>
      </w:r>
      <w:r w:rsidR="00407A5F">
        <w:rPr>
          <w:rStyle w:val="Characterclear"/>
        </w:rPr>
        <w:t>:</w:t>
      </w:r>
      <w:r w:rsidRPr="00997661">
        <w:rPr>
          <w:rStyle w:val="Characterclear"/>
        </w:rPr>
        <w:t xml:space="preserve"> </w:t>
      </w:r>
    </w:p>
    <w:p w14:paraId="6024C21E" w14:textId="77777777" w:rsidR="00997661" w:rsidRPr="00997661" w:rsidRDefault="00997661" w:rsidP="00997661">
      <w:pPr>
        <w:pStyle w:val="ListBullet"/>
        <w:numPr>
          <w:ilvl w:val="0"/>
          <w:numId w:val="3"/>
        </w:numPr>
        <w:rPr>
          <w:rStyle w:val="Characterclear"/>
        </w:rPr>
      </w:pPr>
      <w:r w:rsidRPr="00997661">
        <w:rPr>
          <w:rStyle w:val="Characterclear"/>
        </w:rPr>
        <w:t>100 penalty units ($11,000) and/or three years imprisonment for an individual (from 50 penalty units and/or six months imprisonment for the old offences)</w:t>
      </w:r>
    </w:p>
    <w:p w14:paraId="7D37D176" w14:textId="77777777" w:rsidR="00997661" w:rsidRPr="00997661" w:rsidRDefault="00997661" w:rsidP="00997661">
      <w:pPr>
        <w:pStyle w:val="ListBullet"/>
        <w:numPr>
          <w:ilvl w:val="0"/>
          <w:numId w:val="3"/>
        </w:numPr>
        <w:rPr>
          <w:rStyle w:val="Characterclear"/>
        </w:rPr>
      </w:pPr>
      <w:r w:rsidRPr="00997661">
        <w:rPr>
          <w:rStyle w:val="Characterclear"/>
        </w:rPr>
        <w:t>500 penalty units ($66,000) (from 100 penalty units for the old offences).</w:t>
      </w:r>
    </w:p>
    <w:p w14:paraId="15C4F146" w14:textId="560E20C8" w:rsidR="00997661" w:rsidRPr="00997661" w:rsidRDefault="00997661" w:rsidP="004367B6">
      <w:pPr>
        <w:pStyle w:val="BodyText"/>
        <w:rPr>
          <w:lang w:eastAsia="en-AU"/>
        </w:rPr>
      </w:pPr>
      <w:r w:rsidRPr="00997661">
        <w:rPr>
          <w:rStyle w:val="Characterclear"/>
        </w:rPr>
        <w:t xml:space="preserve">The penalty reforms in NSW followed concerns raised with the Standing Committee on Law and Justice’s as part of its Inquiry into racial vilification law in NSW that the maximum penalties available were relatively lenient compared to the penalties for comparable offences under the </w:t>
      </w:r>
      <w:r w:rsidRPr="00997661">
        <w:rPr>
          <w:rStyle w:val="Characteritalic"/>
        </w:rPr>
        <w:t>Crimes Act 1900</w:t>
      </w:r>
      <w:r w:rsidRPr="00997661">
        <w:rPr>
          <w:rStyle w:val="Characterclear"/>
        </w:rPr>
        <w:t xml:space="preserve"> (NSW).</w:t>
      </w:r>
      <w:r w:rsidRPr="00997661">
        <w:rPr>
          <w:rStyle w:val="EndnoteReference"/>
        </w:rPr>
        <w:endnoteReference w:id="246"/>
      </w:r>
      <w:r w:rsidRPr="00997661">
        <w:rPr>
          <w:rStyle w:val="Characterclear"/>
        </w:rPr>
        <w:t xml:space="preserve"> The committee noted that ‘there was a sense amongst a number of stakeholders that this discrepancy, in conjunction with the high evidentiary threshold … leads to a preference for prosecutors to use [other offences] to address race hate crimes].</w:t>
      </w:r>
      <w:r w:rsidRPr="00997661">
        <w:rPr>
          <w:rStyle w:val="EndnoteReference"/>
        </w:rPr>
        <w:endnoteReference w:id="247"/>
      </w:r>
    </w:p>
    <w:p w14:paraId="24CDE87C" w14:textId="616BE851" w:rsidR="00B36E3D" w:rsidRDefault="00B36E3D" w:rsidP="00B36E3D">
      <w:pPr>
        <w:pStyle w:val="Heading4"/>
        <w:rPr>
          <w:rStyle w:val="Characterclear"/>
        </w:rPr>
      </w:pPr>
      <w:r>
        <w:rPr>
          <w:rStyle w:val="Characterclear"/>
        </w:rPr>
        <w:t xml:space="preserve">Penalties for comparative vilification offences </w:t>
      </w:r>
    </w:p>
    <w:p w14:paraId="3334596C" w14:textId="41A8D7A6" w:rsidR="00D11DC9" w:rsidRDefault="00D11DC9" w:rsidP="0032287C">
      <w:pPr>
        <w:pStyle w:val="BodyText"/>
        <w:rPr>
          <w:rStyle w:val="Characterclear"/>
        </w:rPr>
      </w:pPr>
      <w:r>
        <w:rPr>
          <w:rStyle w:val="Characterclear"/>
        </w:rPr>
        <w:t>The penalties for vilification offence</w:t>
      </w:r>
      <w:r w:rsidR="00F40062">
        <w:rPr>
          <w:rStyle w:val="Characterclear"/>
        </w:rPr>
        <w:t xml:space="preserve">s in Australia include: </w:t>
      </w:r>
    </w:p>
    <w:tbl>
      <w:tblPr>
        <w:tblStyle w:val="CustomTablebasic"/>
        <w:tblW w:w="0" w:type="auto"/>
        <w:tblLook w:val="04A0" w:firstRow="1" w:lastRow="0" w:firstColumn="1" w:lastColumn="0" w:noHBand="0" w:noVBand="1"/>
      </w:tblPr>
      <w:tblGrid>
        <w:gridCol w:w="1577"/>
        <w:gridCol w:w="2746"/>
        <w:gridCol w:w="4748"/>
      </w:tblGrid>
      <w:tr w:rsidR="00424592" w:rsidRPr="006E41F5" w14:paraId="2C438985" w14:textId="77777777" w:rsidTr="00536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0364B7" w14:textId="77777777" w:rsidR="0073685B" w:rsidRPr="0073685B" w:rsidRDefault="0073685B" w:rsidP="0073685B">
            <w:pPr>
              <w:pStyle w:val="BodyText"/>
              <w:rPr>
                <w:rStyle w:val="Characterbold"/>
              </w:rPr>
            </w:pPr>
            <w:r w:rsidRPr="0073685B">
              <w:rPr>
                <w:rStyle w:val="Characterbold"/>
              </w:rPr>
              <w:t xml:space="preserve">Jurisdiction </w:t>
            </w:r>
          </w:p>
        </w:tc>
        <w:tc>
          <w:tcPr>
            <w:tcW w:w="0" w:type="auto"/>
          </w:tcPr>
          <w:p w14:paraId="493B7681" w14:textId="77777777" w:rsidR="0073685B" w:rsidRPr="0073685B" w:rsidRDefault="0073685B" w:rsidP="0073685B">
            <w:pPr>
              <w:pStyle w:val="BodyText"/>
              <w:cnfStyle w:val="100000000000" w:firstRow="1" w:lastRow="0" w:firstColumn="0" w:lastColumn="0" w:oddVBand="0" w:evenVBand="0" w:oddHBand="0" w:evenHBand="0" w:firstRowFirstColumn="0" w:firstRowLastColumn="0" w:lastRowFirstColumn="0" w:lastRowLastColumn="0"/>
              <w:rPr>
                <w:rStyle w:val="Characterbold"/>
              </w:rPr>
            </w:pPr>
            <w:r w:rsidRPr="0073685B">
              <w:rPr>
                <w:rStyle w:val="Characterbold"/>
              </w:rPr>
              <w:t>Offence</w:t>
            </w:r>
          </w:p>
        </w:tc>
        <w:tc>
          <w:tcPr>
            <w:tcW w:w="0" w:type="auto"/>
          </w:tcPr>
          <w:p w14:paraId="093E0B48" w14:textId="69AFD780" w:rsidR="0073685B" w:rsidRPr="0073685B" w:rsidRDefault="0003630E" w:rsidP="0073685B">
            <w:pPr>
              <w:pStyle w:val="BodyText"/>
              <w:cnfStyle w:val="100000000000" w:firstRow="1" w:lastRow="0" w:firstColumn="0" w:lastColumn="0" w:oddVBand="0" w:evenVBand="0" w:oddHBand="0" w:evenHBand="0" w:firstRowFirstColumn="0" w:firstRowLastColumn="0" w:lastRowFirstColumn="0" w:lastRowLastColumn="0"/>
              <w:rPr>
                <w:rStyle w:val="Characterbold"/>
              </w:rPr>
            </w:pPr>
            <w:r>
              <w:rPr>
                <w:rStyle w:val="Characterbold"/>
              </w:rPr>
              <w:t>Maximum</w:t>
            </w:r>
            <w:r w:rsidR="00667821">
              <w:rPr>
                <w:rStyle w:val="Characterbold"/>
              </w:rPr>
              <w:t xml:space="preserve"> penalt</w:t>
            </w:r>
            <w:r w:rsidR="00495465">
              <w:rPr>
                <w:rStyle w:val="Characterbold"/>
              </w:rPr>
              <w:t>ies</w:t>
            </w:r>
            <w:r w:rsidR="00667821">
              <w:rPr>
                <w:rStyle w:val="Characterbold"/>
              </w:rPr>
              <w:t xml:space="preserve"> </w:t>
            </w:r>
          </w:p>
        </w:tc>
      </w:tr>
      <w:tr w:rsidR="00E77A97" w:rsidRPr="006E41F5" w14:paraId="51E1EFF2" w14:textId="77777777" w:rsidTr="00536529">
        <w:tc>
          <w:tcPr>
            <w:cnfStyle w:val="001000000000" w:firstRow="0" w:lastRow="0" w:firstColumn="1" w:lastColumn="0" w:oddVBand="0" w:evenVBand="0" w:oddHBand="0" w:evenHBand="0" w:firstRowFirstColumn="0" w:firstRowLastColumn="0" w:lastRowFirstColumn="0" w:lastRowLastColumn="0"/>
            <w:tcW w:w="0" w:type="auto"/>
          </w:tcPr>
          <w:p w14:paraId="0F48D413" w14:textId="4EC5AC77" w:rsidR="00E77A97" w:rsidRDefault="00E77A97" w:rsidP="0073685B">
            <w:pPr>
              <w:pStyle w:val="BodyText"/>
              <w:rPr>
                <w:rStyle w:val="Characterclear"/>
              </w:rPr>
            </w:pPr>
            <w:r>
              <w:rPr>
                <w:rStyle w:val="Characterclear"/>
              </w:rPr>
              <w:t>VIC</w:t>
            </w:r>
          </w:p>
        </w:tc>
        <w:tc>
          <w:tcPr>
            <w:tcW w:w="0" w:type="auto"/>
          </w:tcPr>
          <w:p w14:paraId="77FCA0EF" w14:textId="54D005C4" w:rsidR="00E77A97" w:rsidRDefault="00E77A97"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Serious vilification </w:t>
            </w:r>
          </w:p>
        </w:tc>
        <w:tc>
          <w:tcPr>
            <w:tcW w:w="0" w:type="auto"/>
          </w:tcPr>
          <w:p w14:paraId="126AFE86" w14:textId="77777777" w:rsidR="00E77A97" w:rsidRDefault="00E77A97" w:rsidP="0073685B">
            <w:pPr>
              <w:pStyle w:val="BodyText"/>
              <w:cnfStyle w:val="000000000000" w:firstRow="0" w:lastRow="0" w:firstColumn="0" w:lastColumn="0" w:oddVBand="0" w:evenVBand="0" w:oddHBand="0" w:evenHBand="0" w:firstRowFirstColumn="0" w:firstRowLastColumn="0" w:lastRowFirstColumn="0" w:lastRowLastColumn="0"/>
            </w:pPr>
            <w:r>
              <w:t>Individual: 60 penalty units ($9,913) and/or six months’ imprisonment</w:t>
            </w:r>
          </w:p>
          <w:p w14:paraId="31B6EE55" w14:textId="3638726C" w:rsidR="00AA325A" w:rsidRDefault="00AA325A" w:rsidP="0073685B">
            <w:pPr>
              <w:pStyle w:val="BodyText"/>
              <w:cnfStyle w:val="000000000000" w:firstRow="0" w:lastRow="0" w:firstColumn="0" w:lastColumn="0" w:oddVBand="0" w:evenVBand="0" w:oddHBand="0" w:evenHBand="0" w:firstRowFirstColumn="0" w:firstRowLastColumn="0" w:lastRowFirstColumn="0" w:lastRowLastColumn="0"/>
            </w:pPr>
            <w:r>
              <w:t>Corporation: 300 penalty units ($49,566)</w:t>
            </w:r>
          </w:p>
        </w:tc>
      </w:tr>
      <w:tr w:rsidR="00424592" w:rsidRPr="006E41F5" w14:paraId="73E2F06C" w14:textId="77777777" w:rsidTr="00536529">
        <w:tc>
          <w:tcPr>
            <w:cnfStyle w:val="001000000000" w:firstRow="0" w:lastRow="0" w:firstColumn="1" w:lastColumn="0" w:oddVBand="0" w:evenVBand="0" w:oddHBand="0" w:evenHBand="0" w:firstRowFirstColumn="0" w:firstRowLastColumn="0" w:lastRowFirstColumn="0" w:lastRowLastColumn="0"/>
            <w:tcW w:w="0" w:type="auto"/>
          </w:tcPr>
          <w:p w14:paraId="35FF8E48" w14:textId="08CA9104" w:rsidR="0073685B" w:rsidRPr="0073685B" w:rsidRDefault="0073685B" w:rsidP="0073685B">
            <w:pPr>
              <w:pStyle w:val="BodyText"/>
              <w:rPr>
                <w:rStyle w:val="Characterclear"/>
              </w:rPr>
            </w:pPr>
            <w:r>
              <w:rPr>
                <w:rStyle w:val="Characterclear"/>
              </w:rPr>
              <w:t>NSW</w:t>
            </w:r>
          </w:p>
        </w:tc>
        <w:tc>
          <w:tcPr>
            <w:tcW w:w="0" w:type="auto"/>
          </w:tcPr>
          <w:p w14:paraId="28022744" w14:textId="22D8C3B3" w:rsidR="0073685B" w:rsidRPr="0073685B" w:rsidRDefault="0073685B"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Publicly threatening or inciting violence </w:t>
            </w:r>
            <w:r w:rsidRPr="0073685B">
              <w:rPr>
                <w:rStyle w:val="Characterclear"/>
              </w:rPr>
              <w:t xml:space="preserve"> </w:t>
            </w:r>
          </w:p>
        </w:tc>
        <w:tc>
          <w:tcPr>
            <w:tcW w:w="0" w:type="auto"/>
          </w:tcPr>
          <w:p w14:paraId="19D25D5C" w14:textId="0565D440" w:rsidR="0073685B" w:rsidRDefault="003B5536" w:rsidP="0073685B">
            <w:pPr>
              <w:pStyle w:val="BodyText"/>
              <w:cnfStyle w:val="000000000000" w:firstRow="0" w:lastRow="0" w:firstColumn="0" w:lastColumn="0" w:oddVBand="0" w:evenVBand="0" w:oddHBand="0" w:evenHBand="0" w:firstRowFirstColumn="0" w:firstRowLastColumn="0" w:lastRowFirstColumn="0" w:lastRowLastColumn="0"/>
            </w:pPr>
            <w:r>
              <w:t xml:space="preserve">Individual: </w:t>
            </w:r>
            <w:r w:rsidR="00495465">
              <w:t>100 penalty units (</w:t>
            </w:r>
            <w:r w:rsidRPr="003B5536">
              <w:t>$11,000</w:t>
            </w:r>
            <w:r w:rsidR="00495465">
              <w:t>)</w:t>
            </w:r>
            <w:r w:rsidRPr="003B5536">
              <w:t xml:space="preserve"> and/or three years</w:t>
            </w:r>
            <w:r w:rsidR="00E77A97">
              <w:t>’</w:t>
            </w:r>
            <w:r w:rsidRPr="003B5536">
              <w:t xml:space="preserve"> imprisonment</w:t>
            </w:r>
          </w:p>
          <w:p w14:paraId="75A91DA3" w14:textId="2E8C3FAB" w:rsidR="003B5536" w:rsidRPr="0073685B" w:rsidRDefault="003B5536"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Corporation:</w:t>
            </w:r>
            <w:r w:rsidR="00184D16">
              <w:rPr>
                <w:rStyle w:val="Characterclear"/>
              </w:rPr>
              <w:t xml:space="preserve"> 500 penalty units ($66,000)</w:t>
            </w:r>
            <w:r w:rsidR="00003AD4">
              <w:rPr>
                <w:rStyle w:val="EndnoteReference"/>
              </w:rPr>
              <w:t xml:space="preserve"> </w:t>
            </w:r>
            <w:r w:rsidR="00003AD4" w:rsidRPr="00003AD4">
              <w:rPr>
                <w:rStyle w:val="EndnoteReference"/>
              </w:rPr>
              <w:endnoteReference w:id="248"/>
            </w:r>
          </w:p>
        </w:tc>
      </w:tr>
      <w:tr w:rsidR="00424592" w:rsidRPr="006E41F5" w14:paraId="43F16BB7" w14:textId="77777777" w:rsidTr="00536529">
        <w:tc>
          <w:tcPr>
            <w:cnfStyle w:val="001000000000" w:firstRow="0" w:lastRow="0" w:firstColumn="1" w:lastColumn="0" w:oddVBand="0" w:evenVBand="0" w:oddHBand="0" w:evenHBand="0" w:firstRowFirstColumn="0" w:firstRowLastColumn="0" w:lastRowFirstColumn="0" w:lastRowLastColumn="0"/>
            <w:tcW w:w="0" w:type="auto"/>
          </w:tcPr>
          <w:p w14:paraId="798344E8" w14:textId="3365D478" w:rsidR="003B5536" w:rsidRDefault="003B5536" w:rsidP="0073685B">
            <w:pPr>
              <w:pStyle w:val="BodyText"/>
              <w:rPr>
                <w:rStyle w:val="Characterclear"/>
              </w:rPr>
            </w:pPr>
            <w:r>
              <w:rPr>
                <w:rStyle w:val="Characterclear"/>
              </w:rPr>
              <w:t>SA</w:t>
            </w:r>
          </w:p>
        </w:tc>
        <w:tc>
          <w:tcPr>
            <w:tcW w:w="0" w:type="auto"/>
          </w:tcPr>
          <w:p w14:paraId="3BF77231" w14:textId="03E3EF17"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Racial vilification </w:t>
            </w:r>
          </w:p>
        </w:tc>
        <w:tc>
          <w:tcPr>
            <w:tcW w:w="0" w:type="auto"/>
          </w:tcPr>
          <w:p w14:paraId="4B500B04" w14:textId="5573413C"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 xml:space="preserve">Individual: </w:t>
            </w:r>
            <w:r w:rsidRPr="003B5536">
              <w:t>$5,000 and/or three years</w:t>
            </w:r>
            <w:r w:rsidR="00E77A97">
              <w:t>’</w:t>
            </w:r>
            <w:r w:rsidRPr="003B5536">
              <w:t xml:space="preserve"> imprisonment</w:t>
            </w:r>
          </w:p>
          <w:p w14:paraId="1EE4A096" w14:textId="419A8AE4" w:rsidR="003B5536" w:rsidRP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Corporation:</w:t>
            </w:r>
            <w:r w:rsidR="00184D16">
              <w:t xml:space="preserve"> $25,000</w:t>
            </w:r>
            <w:r w:rsidR="00480886">
              <w:rPr>
                <w:rStyle w:val="EndnoteReference"/>
              </w:rPr>
              <w:endnoteReference w:id="249"/>
            </w:r>
          </w:p>
        </w:tc>
      </w:tr>
      <w:tr w:rsidR="00424592" w:rsidRPr="006E41F5" w14:paraId="1CBA33CC" w14:textId="77777777" w:rsidTr="00536529">
        <w:tc>
          <w:tcPr>
            <w:cnfStyle w:val="001000000000" w:firstRow="0" w:lastRow="0" w:firstColumn="1" w:lastColumn="0" w:oddVBand="0" w:evenVBand="0" w:oddHBand="0" w:evenHBand="0" w:firstRowFirstColumn="0" w:firstRowLastColumn="0" w:lastRowFirstColumn="0" w:lastRowLastColumn="0"/>
            <w:tcW w:w="0" w:type="auto"/>
            <w:vMerge w:val="restart"/>
          </w:tcPr>
          <w:p w14:paraId="6B77BCBD" w14:textId="4C11A8CD" w:rsidR="003B5536" w:rsidRDefault="003B5536" w:rsidP="0073685B">
            <w:pPr>
              <w:pStyle w:val="BodyText"/>
              <w:rPr>
                <w:rStyle w:val="Characterclear"/>
              </w:rPr>
            </w:pPr>
            <w:r>
              <w:rPr>
                <w:rStyle w:val="Characterclear"/>
              </w:rPr>
              <w:t>WA</w:t>
            </w:r>
          </w:p>
        </w:tc>
        <w:tc>
          <w:tcPr>
            <w:tcW w:w="0" w:type="auto"/>
          </w:tcPr>
          <w:p w14:paraId="6B909EA3" w14:textId="135F4315"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r>
              <w:t>C</w:t>
            </w:r>
            <w:r w:rsidRPr="003B5536">
              <w:t>onduct intended to incite racial animosity or racist harassment</w:t>
            </w:r>
          </w:p>
        </w:tc>
        <w:tc>
          <w:tcPr>
            <w:tcW w:w="0" w:type="auto"/>
          </w:tcPr>
          <w:p w14:paraId="37C72F4D" w14:textId="4095441C"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 xml:space="preserve">Individual: </w:t>
            </w:r>
            <w:r w:rsidRPr="003B5536">
              <w:t>14 years</w:t>
            </w:r>
            <w:r w:rsidR="00E77A97">
              <w:t>’</w:t>
            </w:r>
            <w:r w:rsidRPr="003B5536">
              <w:t xml:space="preserve"> imprisonment</w:t>
            </w:r>
            <w:r w:rsidRPr="003B5536">
              <w:rPr>
                <w:rStyle w:val="EndnoteReference"/>
              </w:rPr>
              <w:endnoteReference w:id="250"/>
            </w:r>
          </w:p>
          <w:p w14:paraId="2622B659" w14:textId="13B20585" w:rsidR="003B5536" w:rsidRP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p>
        </w:tc>
      </w:tr>
      <w:tr w:rsidR="00424592" w:rsidRPr="006E41F5" w14:paraId="2C2B743D" w14:textId="77777777" w:rsidTr="00536529">
        <w:tc>
          <w:tcPr>
            <w:cnfStyle w:val="001000000000" w:firstRow="0" w:lastRow="0" w:firstColumn="1" w:lastColumn="0" w:oddVBand="0" w:evenVBand="0" w:oddHBand="0" w:evenHBand="0" w:firstRowFirstColumn="0" w:firstRowLastColumn="0" w:lastRowFirstColumn="0" w:lastRowLastColumn="0"/>
            <w:tcW w:w="0" w:type="auto"/>
            <w:vMerge/>
          </w:tcPr>
          <w:p w14:paraId="7CFE50B6" w14:textId="77777777" w:rsidR="003B5536" w:rsidRDefault="003B5536" w:rsidP="0073685B">
            <w:pPr>
              <w:pStyle w:val="BodyText"/>
              <w:rPr>
                <w:rStyle w:val="Characterclear"/>
              </w:rPr>
            </w:pPr>
          </w:p>
        </w:tc>
        <w:tc>
          <w:tcPr>
            <w:tcW w:w="0" w:type="auto"/>
          </w:tcPr>
          <w:p w14:paraId="436B606F" w14:textId="2E44B067"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C</w:t>
            </w:r>
            <w:r w:rsidRPr="003B5536">
              <w:t>onduct likely to incite racial animosity or racist harassment</w:t>
            </w:r>
          </w:p>
        </w:tc>
        <w:tc>
          <w:tcPr>
            <w:tcW w:w="0" w:type="auto"/>
          </w:tcPr>
          <w:p w14:paraId="095F6828" w14:textId="57E1858C" w:rsidR="003B5536" w:rsidRP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Individual: F</w:t>
            </w:r>
            <w:r w:rsidRPr="003B5536">
              <w:t>ive years</w:t>
            </w:r>
            <w:r w:rsidR="00E77A97">
              <w:t>’</w:t>
            </w:r>
            <w:r w:rsidRPr="003B5536">
              <w:t xml:space="preserve"> imprisonment (or two years imprisonment </w:t>
            </w:r>
            <w:r w:rsidR="00EF4598">
              <w:t>and</w:t>
            </w:r>
            <w:r w:rsidRPr="003B5536">
              <w:t xml:space="preserve"> $24,000 for a summary conviction)</w:t>
            </w:r>
            <w:r w:rsidRPr="003B5536">
              <w:rPr>
                <w:rStyle w:val="EndnoteReference"/>
              </w:rPr>
              <w:endnoteReference w:id="251"/>
            </w:r>
          </w:p>
        </w:tc>
      </w:tr>
      <w:tr w:rsidR="00424592" w:rsidRPr="006E41F5" w14:paraId="541666A3" w14:textId="77777777" w:rsidTr="00536529">
        <w:tc>
          <w:tcPr>
            <w:cnfStyle w:val="001000000000" w:firstRow="0" w:lastRow="0" w:firstColumn="1" w:lastColumn="0" w:oddVBand="0" w:evenVBand="0" w:oddHBand="0" w:evenHBand="0" w:firstRowFirstColumn="0" w:firstRowLastColumn="0" w:lastRowFirstColumn="0" w:lastRowLastColumn="0"/>
            <w:tcW w:w="0" w:type="auto"/>
          </w:tcPr>
          <w:p w14:paraId="3A43939A" w14:textId="305CB057" w:rsidR="003B5536" w:rsidRDefault="003B5536" w:rsidP="0073685B">
            <w:pPr>
              <w:pStyle w:val="BodyText"/>
              <w:rPr>
                <w:rStyle w:val="Characterclear"/>
              </w:rPr>
            </w:pPr>
            <w:r>
              <w:rPr>
                <w:rStyle w:val="Characterclear"/>
              </w:rPr>
              <w:t>QLD</w:t>
            </w:r>
          </w:p>
        </w:tc>
        <w:tc>
          <w:tcPr>
            <w:tcW w:w="0" w:type="auto"/>
          </w:tcPr>
          <w:p w14:paraId="4D82492C" w14:textId="13961F84"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 xml:space="preserve">Serious vilification </w:t>
            </w:r>
          </w:p>
        </w:tc>
        <w:tc>
          <w:tcPr>
            <w:tcW w:w="0" w:type="auto"/>
          </w:tcPr>
          <w:p w14:paraId="19C79990" w14:textId="04845163"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rPr>
                <w:rStyle w:val="Characteryellowhighlight"/>
              </w:rPr>
            </w:pPr>
            <w:r w:rsidRPr="00FE3265">
              <w:rPr>
                <w:rStyle w:val="Characterclear"/>
              </w:rPr>
              <w:t xml:space="preserve">Individual: </w:t>
            </w:r>
            <w:r w:rsidR="00FE3265">
              <w:rPr>
                <w:rStyle w:val="Characterclear"/>
              </w:rPr>
              <w:t xml:space="preserve">70 penalty units ($9341.50) or </w:t>
            </w:r>
            <w:r w:rsidR="00E77A97">
              <w:rPr>
                <w:rStyle w:val="Characterclear"/>
              </w:rPr>
              <w:t>six</w:t>
            </w:r>
            <w:r w:rsidR="00FE3265">
              <w:rPr>
                <w:rStyle w:val="Characterclear"/>
              </w:rPr>
              <w:t xml:space="preserve"> months</w:t>
            </w:r>
            <w:r w:rsidR="00E77A97">
              <w:rPr>
                <w:rStyle w:val="Characterclear"/>
              </w:rPr>
              <w:t>’</w:t>
            </w:r>
            <w:r w:rsidR="00FE3265">
              <w:rPr>
                <w:rStyle w:val="Characterclear"/>
              </w:rPr>
              <w:t xml:space="preserve"> imprisonment</w:t>
            </w:r>
          </w:p>
          <w:p w14:paraId="1A3DE8BD" w14:textId="5C480B6A" w:rsidR="003B5536" w:rsidRP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rsidRPr="003B5536">
              <w:t>Corporation</w:t>
            </w:r>
            <w:r w:rsidR="00FE3265">
              <w:t>: 350 penalty units ($46,707.50)</w:t>
            </w:r>
            <w:r w:rsidRPr="003B5536">
              <w:rPr>
                <w:rStyle w:val="EndnoteReference"/>
              </w:rPr>
              <w:endnoteReference w:id="252"/>
            </w:r>
          </w:p>
        </w:tc>
      </w:tr>
      <w:tr w:rsidR="00424592" w:rsidRPr="006E41F5" w14:paraId="710C8E77" w14:textId="77777777" w:rsidTr="00536529">
        <w:tc>
          <w:tcPr>
            <w:cnfStyle w:val="001000000000" w:firstRow="0" w:lastRow="0" w:firstColumn="1" w:lastColumn="0" w:oddVBand="0" w:evenVBand="0" w:oddHBand="0" w:evenHBand="0" w:firstRowFirstColumn="0" w:firstRowLastColumn="0" w:lastRowFirstColumn="0" w:lastRowLastColumn="0"/>
            <w:tcW w:w="0" w:type="auto"/>
            <w:vMerge w:val="restart"/>
          </w:tcPr>
          <w:p w14:paraId="04523E8D" w14:textId="6332E701" w:rsidR="003B5536" w:rsidRDefault="003B5536" w:rsidP="0073685B">
            <w:pPr>
              <w:pStyle w:val="BodyText"/>
              <w:rPr>
                <w:rStyle w:val="Characterclear"/>
              </w:rPr>
            </w:pPr>
            <w:r>
              <w:rPr>
                <w:rStyle w:val="Characterclear"/>
              </w:rPr>
              <w:t>C</w:t>
            </w:r>
            <w:r w:rsidR="0082683C">
              <w:rPr>
                <w:rStyle w:val="Characterclear"/>
              </w:rPr>
              <w:t>th</w:t>
            </w:r>
          </w:p>
        </w:tc>
        <w:tc>
          <w:tcPr>
            <w:tcW w:w="0" w:type="auto"/>
          </w:tcPr>
          <w:p w14:paraId="62366184" w14:textId="0B9C1309"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Urging violence against groups</w:t>
            </w:r>
          </w:p>
        </w:tc>
        <w:tc>
          <w:tcPr>
            <w:tcW w:w="0" w:type="auto"/>
          </w:tcPr>
          <w:p w14:paraId="16483B35" w14:textId="5A6ECA09" w:rsidR="003B5536" w:rsidRPr="00594EAE" w:rsidRDefault="00FE3265"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594EAE">
              <w:rPr>
                <w:rStyle w:val="Characterclear"/>
              </w:rPr>
              <w:t xml:space="preserve">Individual: </w:t>
            </w:r>
            <w:r w:rsidR="00AA325A">
              <w:rPr>
                <w:rStyle w:val="Characterclear"/>
              </w:rPr>
              <w:t>Five</w:t>
            </w:r>
            <w:r w:rsidR="00D36B8F" w:rsidRPr="00594EAE">
              <w:rPr>
                <w:rStyle w:val="Characterclear"/>
              </w:rPr>
              <w:t xml:space="preserve"> years</w:t>
            </w:r>
            <w:r w:rsidR="00E77A97">
              <w:rPr>
                <w:rStyle w:val="Characterclear"/>
              </w:rPr>
              <w:t>’</w:t>
            </w:r>
            <w:r w:rsidR="00D36B8F" w:rsidRPr="00594EAE">
              <w:rPr>
                <w:rStyle w:val="Characterclear"/>
              </w:rPr>
              <w:t xml:space="preserve"> imprisonment and </w:t>
            </w:r>
            <w:r w:rsidR="00AA325A">
              <w:rPr>
                <w:rStyle w:val="Characterclear"/>
              </w:rPr>
              <w:t>seven</w:t>
            </w:r>
            <w:r w:rsidR="00D36B8F" w:rsidRPr="00594EAE">
              <w:rPr>
                <w:rStyle w:val="Characterclear"/>
              </w:rPr>
              <w:t xml:space="preserve"> years imprisonment where it would threaten pea</w:t>
            </w:r>
            <w:r w:rsidR="00B02077">
              <w:rPr>
                <w:rStyle w:val="Characterclear"/>
              </w:rPr>
              <w:t>ce,</w:t>
            </w:r>
            <w:r w:rsidR="00D36B8F" w:rsidRPr="00594EAE">
              <w:rPr>
                <w:rStyle w:val="Characterclear"/>
              </w:rPr>
              <w:t xml:space="preserve"> order</w:t>
            </w:r>
            <w:r w:rsidR="00B02077">
              <w:rPr>
                <w:rStyle w:val="Characterclear"/>
              </w:rPr>
              <w:t xml:space="preserve"> and good government</w:t>
            </w:r>
            <w:r w:rsidR="00480886">
              <w:rPr>
                <w:rStyle w:val="Characterclear"/>
              </w:rPr>
              <w:t>.</w:t>
            </w:r>
            <w:r w:rsidR="003B5536" w:rsidRPr="008377CE">
              <w:rPr>
                <w:rStyle w:val="Charactersuperscript"/>
              </w:rPr>
              <w:endnoteReference w:id="253"/>
            </w:r>
          </w:p>
          <w:p w14:paraId="5B47EAEE" w14:textId="7B3E02EA" w:rsidR="003B5536" w:rsidRPr="00594EAE" w:rsidRDefault="003B5536" w:rsidP="0073685B">
            <w:pPr>
              <w:pStyle w:val="BodyText"/>
              <w:cnfStyle w:val="000000000000" w:firstRow="0" w:lastRow="0" w:firstColumn="0" w:lastColumn="0" w:oddVBand="0" w:evenVBand="0" w:oddHBand="0" w:evenHBand="0" w:firstRowFirstColumn="0" w:firstRowLastColumn="0" w:lastRowFirstColumn="0" w:lastRowLastColumn="0"/>
              <w:rPr>
                <w:rStyle w:val="Characterclear"/>
              </w:rPr>
            </w:pPr>
          </w:p>
        </w:tc>
      </w:tr>
      <w:tr w:rsidR="00424592" w:rsidRPr="006E41F5" w14:paraId="02E4CDF8" w14:textId="77777777" w:rsidTr="00536529">
        <w:tc>
          <w:tcPr>
            <w:cnfStyle w:val="001000000000" w:firstRow="0" w:lastRow="0" w:firstColumn="1" w:lastColumn="0" w:oddVBand="0" w:evenVBand="0" w:oddHBand="0" w:evenHBand="0" w:firstRowFirstColumn="0" w:firstRowLastColumn="0" w:lastRowFirstColumn="0" w:lastRowLastColumn="0"/>
            <w:tcW w:w="0" w:type="auto"/>
            <w:vMerge/>
          </w:tcPr>
          <w:p w14:paraId="308263E4" w14:textId="77777777" w:rsidR="003B5536" w:rsidRDefault="003B5536" w:rsidP="0073685B">
            <w:pPr>
              <w:pStyle w:val="BodyText"/>
              <w:rPr>
                <w:rStyle w:val="Characterclear"/>
              </w:rPr>
            </w:pPr>
          </w:p>
        </w:tc>
        <w:tc>
          <w:tcPr>
            <w:tcW w:w="0" w:type="auto"/>
          </w:tcPr>
          <w:p w14:paraId="153EDCF3" w14:textId="70C17E56" w:rsidR="003B5536" w:rsidRDefault="003B5536" w:rsidP="0073685B">
            <w:pPr>
              <w:pStyle w:val="BodyText"/>
              <w:cnfStyle w:val="000000000000" w:firstRow="0" w:lastRow="0" w:firstColumn="0" w:lastColumn="0" w:oddVBand="0" w:evenVBand="0" w:oddHBand="0" w:evenHBand="0" w:firstRowFirstColumn="0" w:firstRowLastColumn="0" w:lastRowFirstColumn="0" w:lastRowLastColumn="0"/>
            </w:pPr>
            <w:r>
              <w:t>Urging violence against members of groups</w:t>
            </w:r>
          </w:p>
        </w:tc>
        <w:tc>
          <w:tcPr>
            <w:tcW w:w="0" w:type="auto"/>
          </w:tcPr>
          <w:p w14:paraId="27AF15D1" w14:textId="059C59E4" w:rsidR="003B5536" w:rsidRPr="00594EAE" w:rsidRDefault="00594EAE" w:rsidP="00594EAE">
            <w:pPr>
              <w:pStyle w:val="BodyText"/>
              <w:cnfStyle w:val="000000000000" w:firstRow="0" w:lastRow="0" w:firstColumn="0" w:lastColumn="0" w:oddVBand="0" w:evenVBand="0" w:oddHBand="0" w:evenHBand="0" w:firstRowFirstColumn="0" w:firstRowLastColumn="0" w:lastRowFirstColumn="0" w:lastRowLastColumn="0"/>
              <w:rPr>
                <w:rStyle w:val="Characterclear"/>
              </w:rPr>
            </w:pPr>
            <w:r w:rsidRPr="00594EAE">
              <w:rPr>
                <w:rStyle w:val="Characterclear"/>
              </w:rPr>
              <w:t xml:space="preserve">Individual: </w:t>
            </w:r>
            <w:r w:rsidR="00AA325A">
              <w:rPr>
                <w:rStyle w:val="Characterclear"/>
              </w:rPr>
              <w:t>Five</w:t>
            </w:r>
            <w:r w:rsidRPr="00594EAE">
              <w:rPr>
                <w:rStyle w:val="Characterclear"/>
              </w:rPr>
              <w:t xml:space="preserve"> years</w:t>
            </w:r>
            <w:r w:rsidR="00AA325A">
              <w:rPr>
                <w:rStyle w:val="Characterclear"/>
              </w:rPr>
              <w:t>’</w:t>
            </w:r>
            <w:r w:rsidRPr="00594EAE">
              <w:rPr>
                <w:rStyle w:val="Characterclear"/>
              </w:rPr>
              <w:t xml:space="preserve"> imprisonment and </w:t>
            </w:r>
            <w:r w:rsidR="00AA325A">
              <w:rPr>
                <w:rStyle w:val="Characterclear"/>
              </w:rPr>
              <w:t>seven</w:t>
            </w:r>
            <w:r w:rsidRPr="00594EAE">
              <w:rPr>
                <w:rStyle w:val="Characterclear"/>
              </w:rPr>
              <w:t xml:space="preserve"> years imprisonment where it would threaten peac</w:t>
            </w:r>
            <w:r w:rsidR="004E0D6F">
              <w:rPr>
                <w:rStyle w:val="Characterclear"/>
              </w:rPr>
              <w:t xml:space="preserve">e, </w:t>
            </w:r>
            <w:r w:rsidRPr="00594EAE">
              <w:rPr>
                <w:rStyle w:val="Characterclear"/>
              </w:rPr>
              <w:t>order</w:t>
            </w:r>
            <w:r w:rsidR="004E0D6F">
              <w:rPr>
                <w:rStyle w:val="Characterclear"/>
              </w:rPr>
              <w:t xml:space="preserve"> and good government</w:t>
            </w:r>
            <w:r w:rsidR="00480886">
              <w:rPr>
                <w:rStyle w:val="Characterclear"/>
              </w:rPr>
              <w:t>.</w:t>
            </w:r>
            <w:r w:rsidRPr="008377CE">
              <w:rPr>
                <w:rStyle w:val="Charactersuperscript"/>
              </w:rPr>
              <w:endnoteReference w:id="254"/>
            </w:r>
          </w:p>
        </w:tc>
      </w:tr>
    </w:tbl>
    <w:p w14:paraId="319F3A52" w14:textId="0CB260DA" w:rsidR="00642044" w:rsidRDefault="00B36E3D" w:rsidP="00B36E3D">
      <w:pPr>
        <w:pStyle w:val="Heading4"/>
        <w:rPr>
          <w:rStyle w:val="Characterclear"/>
        </w:rPr>
      </w:pPr>
      <w:r w:rsidRPr="00B36E3D">
        <w:rPr>
          <w:rStyle w:val="Characterclear"/>
        </w:rPr>
        <w:t xml:space="preserve">Penalties for </w:t>
      </w:r>
      <w:r w:rsidR="00D11DC9">
        <w:rPr>
          <w:rStyle w:val="Characterclear"/>
        </w:rPr>
        <w:t xml:space="preserve">alternative offences </w:t>
      </w:r>
    </w:p>
    <w:p w14:paraId="323A54DA" w14:textId="4F868303" w:rsidR="00D11DC9" w:rsidRDefault="00F40062" w:rsidP="00D11DC9">
      <w:pPr>
        <w:pStyle w:val="BodyText"/>
      </w:pPr>
      <w:r>
        <w:t>The penalties for alternative offences used by police</w:t>
      </w:r>
      <w:r w:rsidR="00127020">
        <w:t xml:space="preserve"> in Victoria</w:t>
      </w:r>
      <w:r>
        <w:t xml:space="preserve"> include: </w:t>
      </w:r>
    </w:p>
    <w:tbl>
      <w:tblPr>
        <w:tblStyle w:val="CustomTablebasic"/>
        <w:tblW w:w="0" w:type="auto"/>
        <w:tblLook w:val="04A0" w:firstRow="1" w:lastRow="0" w:firstColumn="1" w:lastColumn="0" w:noHBand="0" w:noVBand="1"/>
      </w:tblPr>
      <w:tblGrid>
        <w:gridCol w:w="1577"/>
        <w:gridCol w:w="4093"/>
        <w:gridCol w:w="3401"/>
      </w:tblGrid>
      <w:tr w:rsidR="005A358A" w:rsidRPr="0049703E" w14:paraId="1F030C3C" w14:textId="1EE019C7" w:rsidTr="0017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3A2DDE5E" w14:textId="352F093F" w:rsidR="003C1673" w:rsidRPr="006E41F5" w:rsidRDefault="006E41F5" w:rsidP="00B52359">
            <w:pPr>
              <w:pStyle w:val="BodyText"/>
              <w:rPr>
                <w:rStyle w:val="Characterbold"/>
              </w:rPr>
            </w:pPr>
            <w:r w:rsidRPr="006E41F5">
              <w:rPr>
                <w:rStyle w:val="Characterbold"/>
              </w:rPr>
              <w:t xml:space="preserve">Jurisdiction </w:t>
            </w:r>
          </w:p>
        </w:tc>
        <w:tc>
          <w:tcPr>
            <w:tcW w:w="4093" w:type="dxa"/>
          </w:tcPr>
          <w:p w14:paraId="0CB88CED" w14:textId="31BF13E5" w:rsidR="003C1673" w:rsidRPr="006E41F5" w:rsidRDefault="006E41F5" w:rsidP="00B52359">
            <w:pPr>
              <w:pStyle w:val="BodyText"/>
              <w:cnfStyle w:val="100000000000" w:firstRow="1" w:lastRow="0" w:firstColumn="0" w:lastColumn="0" w:oddVBand="0" w:evenVBand="0" w:oddHBand="0" w:evenHBand="0" w:firstRowFirstColumn="0" w:firstRowLastColumn="0" w:lastRowFirstColumn="0" w:lastRowLastColumn="0"/>
              <w:rPr>
                <w:rStyle w:val="Characterbold"/>
              </w:rPr>
            </w:pPr>
            <w:r w:rsidRPr="006E41F5">
              <w:rPr>
                <w:rStyle w:val="Characterbold"/>
              </w:rPr>
              <w:t>Offence</w:t>
            </w:r>
          </w:p>
        </w:tc>
        <w:tc>
          <w:tcPr>
            <w:tcW w:w="3401" w:type="dxa"/>
          </w:tcPr>
          <w:p w14:paraId="1649B7B2" w14:textId="4591E454" w:rsidR="003C1673" w:rsidRPr="006E41F5" w:rsidRDefault="00667821" w:rsidP="00B52359">
            <w:pPr>
              <w:pStyle w:val="BodyText"/>
              <w:cnfStyle w:val="100000000000" w:firstRow="1" w:lastRow="0" w:firstColumn="0" w:lastColumn="0" w:oddVBand="0" w:evenVBand="0" w:oddHBand="0" w:evenHBand="0" w:firstRowFirstColumn="0" w:firstRowLastColumn="0" w:lastRowFirstColumn="0" w:lastRowLastColumn="0"/>
              <w:rPr>
                <w:rStyle w:val="Characterbold"/>
              </w:rPr>
            </w:pPr>
            <w:r>
              <w:rPr>
                <w:rStyle w:val="Characterbold"/>
              </w:rPr>
              <w:t>Maximum penalty</w:t>
            </w:r>
          </w:p>
        </w:tc>
      </w:tr>
      <w:tr w:rsidR="00E66768" w:rsidRPr="0049703E" w14:paraId="4E696427"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val="restart"/>
          </w:tcPr>
          <w:p w14:paraId="5EED6DA1" w14:textId="77777777" w:rsidR="00E66768" w:rsidRDefault="003D491D" w:rsidP="003D491D">
            <w:pPr>
              <w:pStyle w:val="BodyText"/>
              <w:rPr>
                <w:rStyle w:val="Characterclear"/>
              </w:rPr>
            </w:pPr>
            <w:r w:rsidRPr="006E41F5">
              <w:rPr>
                <w:rStyle w:val="Characterclear"/>
              </w:rPr>
              <w:t xml:space="preserve">Victoria </w:t>
            </w:r>
          </w:p>
          <w:p w14:paraId="275DD48C" w14:textId="4A2555F0" w:rsidR="003D491D" w:rsidRPr="006E41F5" w:rsidRDefault="0049770F" w:rsidP="003D491D">
            <w:pPr>
              <w:pStyle w:val="BodyText"/>
              <w:rPr>
                <w:rStyle w:val="Characterclear"/>
              </w:rPr>
            </w:pPr>
            <w:r>
              <w:rPr>
                <w:rStyle w:val="Characterclear"/>
              </w:rPr>
              <w:t>(</w:t>
            </w:r>
            <w:r w:rsidR="003D491D">
              <w:rPr>
                <w:rStyle w:val="Characterclear"/>
              </w:rPr>
              <w:t xml:space="preserve">1 penalty unit is </w:t>
            </w:r>
            <w:r w:rsidR="00A51542">
              <w:rPr>
                <w:rStyle w:val="Characterclear"/>
              </w:rPr>
              <w:t>$165.22 at 1 July 2019</w:t>
            </w:r>
            <w:r>
              <w:rPr>
                <w:rStyle w:val="Characterclear"/>
              </w:rPr>
              <w:t>)</w:t>
            </w:r>
            <w:r w:rsidR="005A358A">
              <w:rPr>
                <w:rStyle w:val="Characterclear"/>
              </w:rPr>
              <w:t>.</w:t>
            </w:r>
          </w:p>
        </w:tc>
        <w:tc>
          <w:tcPr>
            <w:tcW w:w="4093" w:type="dxa"/>
          </w:tcPr>
          <w:p w14:paraId="55AFBABA" w14:textId="16DE9FFD" w:rsidR="003D491D" w:rsidRPr="006E41F5"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Common assault </w:t>
            </w:r>
          </w:p>
        </w:tc>
        <w:tc>
          <w:tcPr>
            <w:tcW w:w="3401" w:type="dxa"/>
          </w:tcPr>
          <w:p w14:paraId="519B506E" w14:textId="63873CBD" w:rsidR="003D491D" w:rsidRPr="006E41F5" w:rsidRDefault="00A51542"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15 penalty units ($2,478) or three months imprisonment</w:t>
            </w:r>
            <w:r w:rsidR="0049770F">
              <w:rPr>
                <w:rStyle w:val="EndnoteReference"/>
                <w:lang w:eastAsia="en-AU"/>
              </w:rPr>
              <w:endnoteReference w:id="255"/>
            </w:r>
            <w:r>
              <w:rPr>
                <w:rStyle w:val="Characterclear"/>
              </w:rPr>
              <w:t xml:space="preserve"> </w:t>
            </w:r>
          </w:p>
        </w:tc>
      </w:tr>
      <w:tr w:rsidR="00E66768" w:rsidRPr="0049703E" w14:paraId="0BEEC85B"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73D9A3F8" w14:textId="77777777" w:rsidR="003D491D" w:rsidRPr="006E41F5" w:rsidRDefault="003D491D" w:rsidP="00B52359">
            <w:pPr>
              <w:pStyle w:val="BodyText"/>
              <w:rPr>
                <w:rStyle w:val="Characterclear"/>
              </w:rPr>
            </w:pPr>
          </w:p>
        </w:tc>
        <w:tc>
          <w:tcPr>
            <w:tcW w:w="4093" w:type="dxa"/>
          </w:tcPr>
          <w:p w14:paraId="7F7443EC" w14:textId="71E17254" w:rsidR="003D491D" w:rsidRPr="006E41F5"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Aggravated assault </w:t>
            </w:r>
          </w:p>
        </w:tc>
        <w:tc>
          <w:tcPr>
            <w:tcW w:w="3401" w:type="dxa"/>
          </w:tcPr>
          <w:p w14:paraId="2A5EA50E" w14:textId="5A312704" w:rsidR="003D491D" w:rsidRPr="006E41F5" w:rsidRDefault="00A51542"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25 penalty units ($4,130) or six months imprisonment</w:t>
            </w:r>
            <w:r w:rsidR="0049770F" w:rsidRPr="0049770F">
              <w:rPr>
                <w:rStyle w:val="EndnoteReference"/>
              </w:rPr>
              <w:endnoteReference w:id="256"/>
            </w:r>
          </w:p>
        </w:tc>
      </w:tr>
      <w:tr w:rsidR="00E66768" w:rsidRPr="0049703E" w14:paraId="10EDBAC7"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117A7795" w14:textId="77777777" w:rsidR="003D491D" w:rsidRPr="006E41F5" w:rsidRDefault="003D491D" w:rsidP="00B52359">
            <w:pPr>
              <w:pStyle w:val="BodyText"/>
              <w:rPr>
                <w:rStyle w:val="Characterclear"/>
              </w:rPr>
            </w:pPr>
          </w:p>
        </w:tc>
        <w:tc>
          <w:tcPr>
            <w:tcW w:w="4093" w:type="dxa"/>
          </w:tcPr>
          <w:p w14:paraId="224A41C8" w14:textId="7DF0C973" w:rsidR="003D491D" w:rsidRPr="006E41F5"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Assault </w:t>
            </w:r>
          </w:p>
        </w:tc>
        <w:tc>
          <w:tcPr>
            <w:tcW w:w="3401" w:type="dxa"/>
          </w:tcPr>
          <w:p w14:paraId="15CA6768" w14:textId="2E1EB478" w:rsidR="003D491D" w:rsidRPr="006E41F5" w:rsidRDefault="00667821"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5 years imprisonment</w:t>
            </w:r>
            <w:r w:rsidR="0049770F" w:rsidRPr="0049770F">
              <w:rPr>
                <w:rStyle w:val="EndnoteReference"/>
              </w:rPr>
              <w:endnoteReference w:id="257"/>
            </w:r>
          </w:p>
        </w:tc>
      </w:tr>
      <w:tr w:rsidR="00E66768" w:rsidRPr="0049703E" w14:paraId="66F0CBE8"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6646D8F1" w14:textId="77777777" w:rsidR="003D491D" w:rsidRPr="006E41F5" w:rsidRDefault="003D491D" w:rsidP="00B52359">
            <w:pPr>
              <w:pStyle w:val="BodyText"/>
              <w:rPr>
                <w:rStyle w:val="Characterclear"/>
              </w:rPr>
            </w:pPr>
          </w:p>
        </w:tc>
        <w:tc>
          <w:tcPr>
            <w:tcW w:w="4093" w:type="dxa"/>
          </w:tcPr>
          <w:p w14:paraId="46FD7276" w14:textId="06FD5BDF" w:rsidR="003D491D" w:rsidRPr="006E41F5"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Wilful destruction, damage of property </w:t>
            </w:r>
          </w:p>
        </w:tc>
        <w:tc>
          <w:tcPr>
            <w:tcW w:w="3401" w:type="dxa"/>
          </w:tcPr>
          <w:p w14:paraId="041CFBB4" w14:textId="2AB29E38" w:rsidR="003D491D" w:rsidRPr="006E41F5" w:rsidRDefault="003E4B01"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25 penalty units ($4,130) or six months imprisonment</w:t>
            </w:r>
            <w:r w:rsidR="0099069A">
              <w:rPr>
                <w:rStyle w:val="EndnoteReference"/>
                <w:lang w:eastAsia="en-AU"/>
              </w:rPr>
              <w:endnoteReference w:id="258"/>
            </w:r>
          </w:p>
        </w:tc>
      </w:tr>
      <w:tr w:rsidR="00E66768" w:rsidRPr="0049703E" w14:paraId="476775C7"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6F081D2A" w14:textId="77777777" w:rsidR="003D491D" w:rsidRPr="006E41F5" w:rsidRDefault="003D491D" w:rsidP="00B52359">
            <w:pPr>
              <w:pStyle w:val="BodyText"/>
              <w:rPr>
                <w:rStyle w:val="Characterclear"/>
              </w:rPr>
            </w:pPr>
          </w:p>
        </w:tc>
        <w:tc>
          <w:tcPr>
            <w:tcW w:w="4093" w:type="dxa"/>
          </w:tcPr>
          <w:p w14:paraId="2553BE5C" w14:textId="061FD97A" w:rsidR="003D491D" w:rsidRPr="006E41F5"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Obscene, indecent, threatening language and behaviour in public</w:t>
            </w:r>
          </w:p>
        </w:tc>
        <w:tc>
          <w:tcPr>
            <w:tcW w:w="3401" w:type="dxa"/>
          </w:tcPr>
          <w:p w14:paraId="18BA8AB1" w14:textId="30D47122" w:rsidR="003D491D" w:rsidRPr="006E41F5" w:rsidRDefault="003E4B01"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10 penalty units ($1,6</w:t>
            </w:r>
            <w:r w:rsidR="00F92A62">
              <w:rPr>
                <w:rStyle w:val="Characterclear"/>
              </w:rPr>
              <w:t>52) or two months imprisonment</w:t>
            </w:r>
            <w:r w:rsidR="00127020">
              <w:rPr>
                <w:rStyle w:val="EndnoteReference"/>
                <w:lang w:eastAsia="en-AU"/>
              </w:rPr>
              <w:endnoteReference w:id="259"/>
            </w:r>
            <w:r w:rsidR="00F92A62">
              <w:rPr>
                <w:rStyle w:val="Characterclear"/>
              </w:rPr>
              <w:t xml:space="preserve"> </w:t>
            </w:r>
          </w:p>
        </w:tc>
      </w:tr>
      <w:tr w:rsidR="00E66768" w:rsidRPr="0049703E" w14:paraId="28E196D1"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6D2F1BE6" w14:textId="77777777" w:rsidR="003D491D" w:rsidRPr="006E41F5" w:rsidRDefault="003D491D" w:rsidP="00B52359">
            <w:pPr>
              <w:pStyle w:val="BodyText"/>
              <w:rPr>
                <w:rStyle w:val="Characterclear"/>
              </w:rPr>
            </w:pPr>
          </w:p>
        </w:tc>
        <w:tc>
          <w:tcPr>
            <w:tcW w:w="4093" w:type="dxa"/>
          </w:tcPr>
          <w:p w14:paraId="434E458F" w14:textId="5D51F78D"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Threats to inflict serious injury </w:t>
            </w:r>
          </w:p>
        </w:tc>
        <w:tc>
          <w:tcPr>
            <w:tcW w:w="3401" w:type="dxa"/>
          </w:tcPr>
          <w:p w14:paraId="2CCF544B" w14:textId="216C950D" w:rsidR="003D491D" w:rsidRPr="006E41F5" w:rsidRDefault="00F92A62"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5 years imprisonment</w:t>
            </w:r>
            <w:r w:rsidR="00127020">
              <w:rPr>
                <w:rStyle w:val="EndnoteReference"/>
                <w:lang w:eastAsia="en-AU"/>
              </w:rPr>
              <w:endnoteReference w:id="260"/>
            </w:r>
          </w:p>
        </w:tc>
      </w:tr>
      <w:tr w:rsidR="00E66768" w:rsidRPr="0049703E" w14:paraId="4A05C138"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0C28D5BD" w14:textId="77777777" w:rsidR="003D491D" w:rsidRPr="006E41F5" w:rsidRDefault="003D491D" w:rsidP="00B52359">
            <w:pPr>
              <w:pStyle w:val="BodyText"/>
              <w:rPr>
                <w:rStyle w:val="Characterclear"/>
              </w:rPr>
            </w:pPr>
          </w:p>
        </w:tc>
        <w:tc>
          <w:tcPr>
            <w:tcW w:w="4093" w:type="dxa"/>
          </w:tcPr>
          <w:p w14:paraId="159C7440" w14:textId="499BC286"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Threats to kill </w:t>
            </w:r>
          </w:p>
        </w:tc>
        <w:tc>
          <w:tcPr>
            <w:tcW w:w="3401" w:type="dxa"/>
          </w:tcPr>
          <w:p w14:paraId="2E2484C2" w14:textId="5D9ECADE" w:rsidR="003D491D" w:rsidRPr="006E41F5" w:rsidRDefault="00F92A62"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10 years imprisonment</w:t>
            </w:r>
            <w:r w:rsidR="00127020">
              <w:rPr>
                <w:rStyle w:val="EndnoteReference"/>
                <w:lang w:eastAsia="en-AU"/>
              </w:rPr>
              <w:endnoteReference w:id="261"/>
            </w:r>
          </w:p>
        </w:tc>
      </w:tr>
      <w:tr w:rsidR="00E66768" w:rsidRPr="0049703E" w14:paraId="5D318DB4"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1F55739A" w14:textId="77777777" w:rsidR="003D491D" w:rsidRPr="006E41F5" w:rsidRDefault="003D491D" w:rsidP="00B52359">
            <w:pPr>
              <w:pStyle w:val="BodyText"/>
              <w:rPr>
                <w:rStyle w:val="Characterclear"/>
              </w:rPr>
            </w:pPr>
          </w:p>
        </w:tc>
        <w:tc>
          <w:tcPr>
            <w:tcW w:w="4093" w:type="dxa"/>
          </w:tcPr>
          <w:p w14:paraId="2C408FC5" w14:textId="1D9970E1"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Threats to destroy or damage property </w:t>
            </w:r>
          </w:p>
        </w:tc>
        <w:tc>
          <w:tcPr>
            <w:tcW w:w="3401" w:type="dxa"/>
          </w:tcPr>
          <w:p w14:paraId="43D85494" w14:textId="2FD99ADD" w:rsidR="003D491D" w:rsidRPr="006E41F5" w:rsidRDefault="00F92A62"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5 years imprisonment</w:t>
            </w:r>
            <w:r w:rsidR="00127020">
              <w:rPr>
                <w:rStyle w:val="EndnoteReference"/>
                <w:lang w:eastAsia="en-AU"/>
              </w:rPr>
              <w:endnoteReference w:id="262"/>
            </w:r>
          </w:p>
        </w:tc>
      </w:tr>
      <w:tr w:rsidR="00E66768" w:rsidRPr="0049703E" w14:paraId="4EB395D4"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635F4261" w14:textId="77777777" w:rsidR="003D491D" w:rsidRPr="006E41F5" w:rsidRDefault="003D491D" w:rsidP="00B52359">
            <w:pPr>
              <w:pStyle w:val="BodyText"/>
              <w:rPr>
                <w:rStyle w:val="Characterclear"/>
              </w:rPr>
            </w:pPr>
          </w:p>
        </w:tc>
        <w:tc>
          <w:tcPr>
            <w:tcW w:w="4093" w:type="dxa"/>
          </w:tcPr>
          <w:p w14:paraId="58826804" w14:textId="512192D6"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Affray </w:t>
            </w:r>
          </w:p>
        </w:tc>
        <w:tc>
          <w:tcPr>
            <w:tcW w:w="3401" w:type="dxa"/>
          </w:tcPr>
          <w:p w14:paraId="1DDD5286" w14:textId="4A16DF8F" w:rsidR="003D491D" w:rsidRPr="006E41F5" w:rsidRDefault="00DF53E0"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5</w:t>
            </w:r>
            <w:r w:rsidR="00CF6E3B">
              <w:rPr>
                <w:rStyle w:val="Characterclear"/>
              </w:rPr>
              <w:t>-7 years imprisonment</w:t>
            </w:r>
            <w:r w:rsidR="00127020">
              <w:rPr>
                <w:rStyle w:val="EndnoteReference"/>
                <w:lang w:eastAsia="en-AU"/>
              </w:rPr>
              <w:endnoteReference w:id="263"/>
            </w:r>
          </w:p>
        </w:tc>
      </w:tr>
      <w:tr w:rsidR="00E66768" w:rsidRPr="0049703E" w14:paraId="4E7DF03D"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2F526F22" w14:textId="77777777" w:rsidR="003D491D" w:rsidRPr="006E41F5" w:rsidRDefault="003D491D" w:rsidP="00B52359">
            <w:pPr>
              <w:pStyle w:val="BodyText"/>
              <w:rPr>
                <w:rStyle w:val="Characterclear"/>
              </w:rPr>
            </w:pPr>
          </w:p>
        </w:tc>
        <w:tc>
          <w:tcPr>
            <w:tcW w:w="4093" w:type="dxa"/>
          </w:tcPr>
          <w:p w14:paraId="087E4A11" w14:textId="0418B527"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Destroying or damaging property </w:t>
            </w:r>
          </w:p>
        </w:tc>
        <w:tc>
          <w:tcPr>
            <w:tcW w:w="3401" w:type="dxa"/>
          </w:tcPr>
          <w:p w14:paraId="6FEC1210" w14:textId="14F760E6" w:rsidR="003D491D" w:rsidRPr="006E41F5" w:rsidRDefault="008C34C4"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10-15 years imprisonment</w:t>
            </w:r>
            <w:r w:rsidR="00127020">
              <w:rPr>
                <w:rStyle w:val="EndnoteReference"/>
                <w:lang w:eastAsia="en-AU"/>
              </w:rPr>
              <w:endnoteReference w:id="264"/>
            </w:r>
            <w:r w:rsidR="00DF53E0">
              <w:rPr>
                <w:rStyle w:val="Characterclear"/>
              </w:rPr>
              <w:t xml:space="preserve"> </w:t>
            </w:r>
          </w:p>
        </w:tc>
      </w:tr>
      <w:tr w:rsidR="00E66768" w:rsidRPr="0049703E" w14:paraId="5788056F"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20D96ECE" w14:textId="77777777" w:rsidR="003D491D" w:rsidRPr="006E41F5" w:rsidRDefault="003D491D" w:rsidP="00B52359">
            <w:pPr>
              <w:pStyle w:val="BodyText"/>
              <w:rPr>
                <w:rStyle w:val="Characterclear"/>
              </w:rPr>
            </w:pPr>
          </w:p>
        </w:tc>
        <w:tc>
          <w:tcPr>
            <w:tcW w:w="4093" w:type="dxa"/>
          </w:tcPr>
          <w:p w14:paraId="507C871D" w14:textId="7B2A55CF"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 xml:space="preserve">Causing serious injury intentionally </w:t>
            </w:r>
          </w:p>
        </w:tc>
        <w:tc>
          <w:tcPr>
            <w:tcW w:w="3401" w:type="dxa"/>
          </w:tcPr>
          <w:p w14:paraId="545838CD" w14:textId="6A8B5188" w:rsidR="003D491D" w:rsidRPr="006E41F5" w:rsidRDefault="008C34C4"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20 years imprisonment</w:t>
            </w:r>
            <w:r w:rsidR="00127020">
              <w:rPr>
                <w:rStyle w:val="EndnoteReference"/>
                <w:lang w:eastAsia="en-AU"/>
              </w:rPr>
              <w:endnoteReference w:id="265"/>
            </w:r>
          </w:p>
        </w:tc>
      </w:tr>
      <w:tr w:rsidR="00E66768" w:rsidRPr="0049703E" w14:paraId="1B072905"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23A7AB6D" w14:textId="77777777" w:rsidR="003D491D" w:rsidRPr="006E41F5" w:rsidRDefault="003D491D" w:rsidP="00B52359">
            <w:pPr>
              <w:pStyle w:val="BodyText"/>
              <w:rPr>
                <w:rStyle w:val="Characterclear"/>
              </w:rPr>
            </w:pPr>
          </w:p>
        </w:tc>
        <w:tc>
          <w:tcPr>
            <w:tcW w:w="4093" w:type="dxa"/>
          </w:tcPr>
          <w:p w14:paraId="72683183" w14:textId="482FA49A"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Causing serious injury recklessly</w:t>
            </w:r>
          </w:p>
        </w:tc>
        <w:tc>
          <w:tcPr>
            <w:tcW w:w="3401" w:type="dxa"/>
          </w:tcPr>
          <w:p w14:paraId="22406248" w14:textId="7DC3AD69" w:rsidR="003D491D" w:rsidRPr="006E41F5" w:rsidRDefault="008C34C4"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15 years imprisonment</w:t>
            </w:r>
            <w:r w:rsidR="00127020">
              <w:rPr>
                <w:rStyle w:val="EndnoteReference"/>
                <w:lang w:eastAsia="en-AU"/>
              </w:rPr>
              <w:endnoteReference w:id="266"/>
            </w:r>
          </w:p>
        </w:tc>
      </w:tr>
      <w:tr w:rsidR="00E66768" w:rsidRPr="0049703E" w14:paraId="23A6CD3A" w14:textId="77777777" w:rsidTr="00171F11">
        <w:tc>
          <w:tcPr>
            <w:cnfStyle w:val="001000000000" w:firstRow="0" w:lastRow="0" w:firstColumn="1" w:lastColumn="0" w:oddVBand="0" w:evenVBand="0" w:oddHBand="0" w:evenHBand="0" w:firstRowFirstColumn="0" w:firstRowLastColumn="0" w:lastRowFirstColumn="0" w:lastRowLastColumn="0"/>
            <w:tcW w:w="1577" w:type="dxa"/>
            <w:vMerge/>
          </w:tcPr>
          <w:p w14:paraId="4B8AF02F" w14:textId="77777777" w:rsidR="003D491D" w:rsidRPr="006E41F5" w:rsidRDefault="003D491D" w:rsidP="00B52359">
            <w:pPr>
              <w:pStyle w:val="BodyText"/>
              <w:rPr>
                <w:rStyle w:val="Characterclear"/>
              </w:rPr>
            </w:pPr>
          </w:p>
        </w:tc>
        <w:tc>
          <w:tcPr>
            <w:tcW w:w="4093" w:type="dxa"/>
          </w:tcPr>
          <w:p w14:paraId="2C2D131E" w14:textId="181F9BD6" w:rsidR="003D491D" w:rsidRDefault="003D491D"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Violent disorder</w:t>
            </w:r>
          </w:p>
        </w:tc>
        <w:tc>
          <w:tcPr>
            <w:tcW w:w="3401" w:type="dxa"/>
          </w:tcPr>
          <w:p w14:paraId="584329C8" w14:textId="68E311F7" w:rsidR="003D491D" w:rsidRPr="006E41F5" w:rsidRDefault="00CF6E3B"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10-15 years imprisonment</w:t>
            </w:r>
            <w:r w:rsidR="00127020">
              <w:rPr>
                <w:rStyle w:val="EndnoteReference"/>
                <w:lang w:eastAsia="en-AU"/>
              </w:rPr>
              <w:endnoteReference w:id="267"/>
            </w:r>
          </w:p>
        </w:tc>
      </w:tr>
      <w:tr w:rsidR="00E66768" w:rsidRPr="0049703E" w14:paraId="69F18631" w14:textId="77777777" w:rsidTr="00171F11">
        <w:tc>
          <w:tcPr>
            <w:cnfStyle w:val="001000000000" w:firstRow="0" w:lastRow="0" w:firstColumn="1" w:lastColumn="0" w:oddVBand="0" w:evenVBand="0" w:oddHBand="0" w:evenHBand="0" w:firstRowFirstColumn="0" w:firstRowLastColumn="0" w:lastRowFirstColumn="0" w:lastRowLastColumn="0"/>
            <w:tcW w:w="1577" w:type="dxa"/>
          </w:tcPr>
          <w:p w14:paraId="11FFABB6" w14:textId="54E6CF4A" w:rsidR="00D040AF" w:rsidRPr="006E41F5" w:rsidRDefault="00D040AF" w:rsidP="00B52359">
            <w:pPr>
              <w:pStyle w:val="BodyText"/>
              <w:rPr>
                <w:rStyle w:val="Characterclear"/>
              </w:rPr>
            </w:pPr>
            <w:r>
              <w:rPr>
                <w:rStyle w:val="Characterclear"/>
              </w:rPr>
              <w:t>C</w:t>
            </w:r>
            <w:r w:rsidR="00C437AC">
              <w:rPr>
                <w:rStyle w:val="Characterclear"/>
              </w:rPr>
              <w:t>th</w:t>
            </w:r>
          </w:p>
        </w:tc>
        <w:tc>
          <w:tcPr>
            <w:tcW w:w="4093" w:type="dxa"/>
          </w:tcPr>
          <w:p w14:paraId="186B2A6E" w14:textId="3D46E1FE" w:rsidR="00D040AF" w:rsidRDefault="00D040AF"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Using a carriage service to menace, harass or cause offence</w:t>
            </w:r>
          </w:p>
        </w:tc>
        <w:tc>
          <w:tcPr>
            <w:tcW w:w="3401" w:type="dxa"/>
          </w:tcPr>
          <w:p w14:paraId="6247721C" w14:textId="56E0A1A2" w:rsidR="00D040AF" w:rsidRPr="006E41F5" w:rsidRDefault="00CF6E3B" w:rsidP="00B52359">
            <w:pPr>
              <w:pStyle w:val="BodyText"/>
              <w:cnfStyle w:val="000000000000" w:firstRow="0" w:lastRow="0" w:firstColumn="0" w:lastColumn="0" w:oddVBand="0" w:evenVBand="0" w:oddHBand="0" w:evenHBand="0" w:firstRowFirstColumn="0" w:firstRowLastColumn="0" w:lastRowFirstColumn="0" w:lastRowLastColumn="0"/>
              <w:rPr>
                <w:rStyle w:val="Characterclear"/>
              </w:rPr>
            </w:pPr>
            <w:r>
              <w:rPr>
                <w:rStyle w:val="Characterclear"/>
              </w:rPr>
              <w:t>3 years imprisonment</w:t>
            </w:r>
            <w:r w:rsidR="00127020">
              <w:rPr>
                <w:rStyle w:val="EndnoteReference"/>
                <w:lang w:eastAsia="en-AU"/>
              </w:rPr>
              <w:endnoteReference w:id="268"/>
            </w:r>
          </w:p>
        </w:tc>
      </w:tr>
    </w:tbl>
    <w:p w14:paraId="7A98A426" w14:textId="11CAED0E" w:rsidR="00187ED5" w:rsidRPr="00066A39" w:rsidRDefault="008377CE" w:rsidP="00066A39">
      <w:pPr>
        <w:pStyle w:val="BodyText"/>
        <w:rPr>
          <w:lang w:eastAsia="en-AU"/>
        </w:rPr>
      </w:pPr>
      <w:r>
        <w:t>Further,</w:t>
      </w:r>
      <w:r w:rsidR="00187ED5" w:rsidRPr="00187ED5">
        <w:t xml:space="preserve"> incitement to commit any </w:t>
      </w:r>
      <w:r w:rsidR="00187ED5" w:rsidRPr="005B6423">
        <w:rPr>
          <w:i/>
        </w:rPr>
        <w:t>Crimes Act 1958</w:t>
      </w:r>
      <w:r w:rsidR="00187ED5" w:rsidRPr="00187ED5">
        <w:t xml:space="preserve"> (Vic) offence (regardless of whether it is motivated by prejudice) carries the same maximum penalty as for the offence incited.</w:t>
      </w:r>
      <w:r>
        <w:rPr>
          <w:rStyle w:val="EndnoteReference"/>
        </w:rPr>
        <w:endnoteReference w:id="269"/>
      </w:r>
      <w:r w:rsidR="00187ED5" w:rsidRPr="00187ED5">
        <w:t xml:space="preserve"> For example, the maximum penalty for incitement to assault would be 5 years imprisonment (the same as the maximum penalty for committing an assault).</w:t>
      </w:r>
      <w:r>
        <w:rPr>
          <w:rStyle w:val="EndnoteReference"/>
        </w:rPr>
        <w:endnoteReference w:id="270"/>
      </w:r>
      <w:r w:rsidR="00187ED5" w:rsidRPr="00187ED5">
        <w:t xml:space="preserve"> </w:t>
      </w:r>
    </w:p>
    <w:p w14:paraId="6A056E8B" w14:textId="6E17A314" w:rsidR="00312D31" w:rsidRDefault="00312D31" w:rsidP="00D040AF">
      <w:pPr>
        <w:pStyle w:val="Heading3"/>
      </w:pPr>
      <w:r>
        <w:t xml:space="preserve">The prejudice-motivated sentencing provision is </w:t>
      </w:r>
      <w:r w:rsidR="00712789">
        <w:t xml:space="preserve">rarely used </w:t>
      </w:r>
    </w:p>
    <w:p w14:paraId="676B3372" w14:textId="7D73173C" w:rsidR="00DD49CE" w:rsidRDefault="003D7DB0" w:rsidP="00105745">
      <w:pPr>
        <w:pStyle w:val="BodyText"/>
        <w:rPr>
          <w:rStyle w:val="Characterclear"/>
        </w:rPr>
      </w:pPr>
      <w:r>
        <w:t>S</w:t>
      </w:r>
      <w:r w:rsidR="00BE3DA1">
        <w:t xml:space="preserve">ince its </w:t>
      </w:r>
      <w:r w:rsidR="00A163C7">
        <w:t>introduction in 2009, s</w:t>
      </w:r>
      <w:r w:rsidR="00066A39">
        <w:t>ection</w:t>
      </w:r>
      <w:r>
        <w:t xml:space="preserve"> 5(2)(daaa) of the </w:t>
      </w:r>
      <w:r w:rsidRPr="005B6423">
        <w:rPr>
          <w:i/>
        </w:rPr>
        <w:t>Sentencing Act</w:t>
      </w:r>
      <w:r w:rsidR="005B6423" w:rsidRPr="005B6423">
        <w:rPr>
          <w:i/>
        </w:rPr>
        <w:t xml:space="preserve"> 1991</w:t>
      </w:r>
      <w:r w:rsidR="005B6423">
        <w:t xml:space="preserve"> (Vic)</w:t>
      </w:r>
      <w:r>
        <w:t xml:space="preserve"> </w:t>
      </w:r>
      <w:r w:rsidR="00A163C7">
        <w:t xml:space="preserve">has rarely been used in </w:t>
      </w:r>
      <w:r w:rsidR="00A163C7" w:rsidRPr="00A163C7">
        <w:rPr>
          <w:rStyle w:val="Characterclear"/>
        </w:rPr>
        <w:t>practice</w:t>
      </w:r>
      <w:r w:rsidR="00105745" w:rsidRPr="00A163C7">
        <w:rPr>
          <w:rStyle w:val="Characterclear"/>
        </w:rPr>
        <w:t xml:space="preserve">. The Commission is only aware of nine judgments which </w:t>
      </w:r>
      <w:r w:rsidR="00CE53DA">
        <w:rPr>
          <w:rStyle w:val="Characterclear"/>
        </w:rPr>
        <w:t xml:space="preserve">have </w:t>
      </w:r>
      <w:r w:rsidR="00105745" w:rsidRPr="00A163C7">
        <w:rPr>
          <w:rStyle w:val="Characterclear"/>
        </w:rPr>
        <w:t xml:space="preserve">considered </w:t>
      </w:r>
      <w:r w:rsidR="00CE53DA">
        <w:rPr>
          <w:rStyle w:val="Characterclear"/>
        </w:rPr>
        <w:t xml:space="preserve">the provision. Of those, conduct was </w:t>
      </w:r>
      <w:r w:rsidR="00105745" w:rsidRPr="00A163C7">
        <w:rPr>
          <w:rStyle w:val="Characterclear"/>
        </w:rPr>
        <w:t xml:space="preserve">found to be partially </w:t>
      </w:r>
      <w:r w:rsidR="00105745" w:rsidRPr="00A163C7">
        <w:rPr>
          <w:rStyle w:val="Characterclear"/>
        </w:rPr>
        <w:lastRenderedPageBreak/>
        <w:t>motivated by prejudice in four matters (two crimes motivated by race and two by homosexuality)</w:t>
      </w:r>
      <w:r w:rsidR="003C79AE">
        <w:rPr>
          <w:rStyle w:val="Characterclear"/>
        </w:rPr>
        <w:t>.</w:t>
      </w:r>
      <w:r w:rsidR="003C79AE">
        <w:rPr>
          <w:rStyle w:val="EndnoteReference"/>
          <w:lang w:eastAsia="en-AU"/>
        </w:rPr>
        <w:endnoteReference w:id="271"/>
      </w:r>
      <w:r w:rsidR="00E5273F">
        <w:rPr>
          <w:rStyle w:val="Characterclear"/>
        </w:rPr>
        <w:t xml:space="preserve"> </w:t>
      </w:r>
    </w:p>
    <w:p w14:paraId="774FE78F" w14:textId="6E73F515" w:rsidR="00E151FC" w:rsidRDefault="00EC18F9" w:rsidP="00105745">
      <w:pPr>
        <w:pStyle w:val="BodyText"/>
        <w:rPr>
          <w:rStyle w:val="Characterclear"/>
        </w:rPr>
      </w:pPr>
      <w:r>
        <w:rPr>
          <w:rStyle w:val="Characterclear"/>
        </w:rPr>
        <w:t>In one</w:t>
      </w:r>
      <w:r w:rsidR="00C63D2E">
        <w:rPr>
          <w:rStyle w:val="Characterclear"/>
        </w:rPr>
        <w:t xml:space="preserve"> decision</w:t>
      </w:r>
      <w:r>
        <w:rPr>
          <w:rStyle w:val="Characterclear"/>
        </w:rPr>
        <w:t>, the court</w:t>
      </w:r>
      <w:r w:rsidR="00C63D2E">
        <w:rPr>
          <w:rStyle w:val="Characterclear"/>
        </w:rPr>
        <w:t xml:space="preserve"> clarified that the sentencing court must be satisfied ‘beyond reasonable doubt’ of the existence of </w:t>
      </w:r>
      <w:r w:rsidR="007B763B">
        <w:rPr>
          <w:rStyle w:val="Characterclear"/>
        </w:rPr>
        <w:t>a hateful or prejudicial motive.</w:t>
      </w:r>
      <w:r w:rsidR="007B763B">
        <w:rPr>
          <w:rStyle w:val="EndnoteReference"/>
          <w:lang w:eastAsia="en-AU"/>
        </w:rPr>
        <w:endnoteReference w:id="272"/>
      </w:r>
      <w:r w:rsidR="00A237DF">
        <w:rPr>
          <w:rStyle w:val="Characterclear"/>
        </w:rPr>
        <w:t xml:space="preserve"> </w:t>
      </w:r>
      <w:r w:rsidR="003B2A92">
        <w:rPr>
          <w:rStyle w:val="Characterclear"/>
        </w:rPr>
        <w:t>One</w:t>
      </w:r>
      <w:r w:rsidR="00C6328B">
        <w:rPr>
          <w:rStyle w:val="Characterclear"/>
        </w:rPr>
        <w:t xml:space="preserve"> </w:t>
      </w:r>
      <w:r w:rsidR="00C6328B" w:rsidRPr="00C6328B">
        <w:rPr>
          <w:rStyle w:val="Characterclear"/>
        </w:rPr>
        <w:t xml:space="preserve">stakeholder </w:t>
      </w:r>
      <w:r w:rsidR="00C6328B">
        <w:rPr>
          <w:rStyle w:val="Characterclear"/>
        </w:rPr>
        <w:t xml:space="preserve">in the Commission’s consultation recommended </w:t>
      </w:r>
      <w:r w:rsidR="003B2A92">
        <w:rPr>
          <w:rStyle w:val="Characterclear"/>
        </w:rPr>
        <w:t xml:space="preserve">changing the burden of proof to the ‘balance of probabilities’ to </w:t>
      </w:r>
      <w:r w:rsidR="00BE0A2B">
        <w:rPr>
          <w:rStyle w:val="Characterclear"/>
        </w:rPr>
        <w:t>support more effective use of the provision.</w:t>
      </w:r>
      <w:r w:rsidR="00500084">
        <w:rPr>
          <w:rStyle w:val="EndnoteReference"/>
          <w:lang w:eastAsia="en-AU"/>
        </w:rPr>
        <w:endnoteReference w:id="273"/>
      </w:r>
      <w:r w:rsidR="003B2A92">
        <w:rPr>
          <w:rStyle w:val="Characterclear"/>
        </w:rPr>
        <w:t xml:space="preserve"> </w:t>
      </w:r>
    </w:p>
    <w:p w14:paraId="626F759D" w14:textId="033E8F75" w:rsidR="00B162B5" w:rsidRDefault="00AC09D8" w:rsidP="00105745">
      <w:pPr>
        <w:pStyle w:val="BodyText"/>
        <w:rPr>
          <w:rStyle w:val="Characterclear"/>
        </w:rPr>
      </w:pPr>
      <w:r>
        <w:rPr>
          <w:rStyle w:val="Characterclear"/>
        </w:rPr>
        <w:t>The Human Rights Law Centre</w:t>
      </w:r>
      <w:r w:rsidR="00B162B5">
        <w:rPr>
          <w:rStyle w:val="Characterclear"/>
        </w:rPr>
        <w:t xml:space="preserve">’s ‘End the Hate’ report explains </w:t>
      </w:r>
      <w:r w:rsidR="00BE0A2B">
        <w:rPr>
          <w:rStyle w:val="Characterclear"/>
        </w:rPr>
        <w:t>other</w:t>
      </w:r>
      <w:r w:rsidR="00B162B5">
        <w:rPr>
          <w:rStyle w:val="Characterclear"/>
        </w:rPr>
        <w:t xml:space="preserve"> difficulties with the use of the sentencing provision: </w:t>
      </w:r>
    </w:p>
    <w:p w14:paraId="1599A130" w14:textId="0A90D2EF" w:rsidR="00F2009F" w:rsidRDefault="005B6423" w:rsidP="0032287C">
      <w:pPr>
        <w:pStyle w:val="Quote"/>
        <w:rPr>
          <w:rStyle w:val="Characteryellowhighlight"/>
        </w:rPr>
      </w:pPr>
      <w:r>
        <w:rPr>
          <w:rStyle w:val="Characterclear"/>
        </w:rPr>
        <w:t>‘</w:t>
      </w:r>
      <w:r w:rsidR="00B162B5">
        <w:rPr>
          <w:rStyle w:val="Characterclear"/>
        </w:rPr>
        <w:t>P</w:t>
      </w:r>
      <w:r w:rsidR="00AC09D8">
        <w:rPr>
          <w:rStyle w:val="Characterclear"/>
        </w:rPr>
        <w:t>rejudice motivation in the courts is difficult</w:t>
      </w:r>
      <w:r w:rsidR="00292494">
        <w:rPr>
          <w:rStyle w:val="Characterclear"/>
        </w:rPr>
        <w:t xml:space="preserve"> as prosecutors have not always raised the provision as a consideration in sentencing and there has been judicial reluctance to find that a crime was motivated by hate or prejudice.</w:t>
      </w:r>
      <w:r w:rsidR="00E5370B">
        <w:rPr>
          <w:rStyle w:val="Characterclear"/>
        </w:rPr>
        <w:t xml:space="preserve"> This is partly the case where there are multiple or complex motivations involved, difficulties in establishing proof ‘beyond reasonable doubt’ and where courts hold the view that prejudice</w:t>
      </w:r>
      <w:r w:rsidR="00780B12">
        <w:rPr>
          <w:rStyle w:val="Characterclear"/>
        </w:rPr>
        <w:t xml:space="preserve"> was the motivation only in the absence of an alternative motive</w:t>
      </w:r>
      <w:r>
        <w:rPr>
          <w:rStyle w:val="Characterclear"/>
        </w:rPr>
        <w:t>’</w:t>
      </w:r>
      <w:r w:rsidR="00780B12">
        <w:rPr>
          <w:rStyle w:val="Characterclear"/>
        </w:rPr>
        <w:t>.</w:t>
      </w:r>
      <w:r w:rsidR="00292494">
        <w:rPr>
          <w:rStyle w:val="EndnoteReference"/>
          <w:lang w:eastAsia="en-AU"/>
        </w:rPr>
        <w:endnoteReference w:id="274"/>
      </w:r>
      <w:r w:rsidR="006379A0">
        <w:rPr>
          <w:rStyle w:val="Characteryellowhighlight"/>
        </w:rPr>
        <w:t xml:space="preserve">      </w:t>
      </w:r>
    </w:p>
    <w:tbl>
      <w:tblPr>
        <w:tblStyle w:val="CustomTablebreakoutbox"/>
        <w:tblW w:w="0" w:type="auto"/>
        <w:tblLook w:val="04A0" w:firstRow="1" w:lastRow="0" w:firstColumn="1" w:lastColumn="0" w:noHBand="0" w:noVBand="1"/>
      </w:tblPr>
      <w:tblGrid>
        <w:gridCol w:w="9061"/>
      </w:tblGrid>
      <w:tr w:rsidR="002F435D" w14:paraId="5B92637D" w14:textId="77777777" w:rsidTr="002F435D">
        <w:tc>
          <w:tcPr>
            <w:tcW w:w="9061" w:type="dxa"/>
          </w:tcPr>
          <w:p w14:paraId="3D6FFFA0" w14:textId="77777777" w:rsidR="002F435D" w:rsidRDefault="002F435D" w:rsidP="00F2009F">
            <w:pPr>
              <w:pStyle w:val="BodyText"/>
              <w:rPr>
                <w:rStyle w:val="Characterbold"/>
              </w:rPr>
            </w:pPr>
            <w:r>
              <w:rPr>
                <w:rStyle w:val="Characterbold"/>
              </w:rPr>
              <w:t xml:space="preserve">Police recording of prejudice-motivated crime </w:t>
            </w:r>
          </w:p>
          <w:p w14:paraId="62B6A6B5" w14:textId="2EBCDA3F" w:rsidR="002F435D" w:rsidRPr="002F435D" w:rsidRDefault="002F435D" w:rsidP="002F435D">
            <w:pPr>
              <w:pStyle w:val="BodyText"/>
            </w:pPr>
            <w:r w:rsidRPr="002F435D">
              <w:t xml:space="preserve">In the 15 years from July 2004 to June 2019, Victoria Police recorded a ‘prejudicially motivated crime’ code </w:t>
            </w:r>
            <w:r w:rsidR="00742C8B">
              <w:t>alongside</w:t>
            </w:r>
            <w:r w:rsidRPr="002F435D">
              <w:t xml:space="preserve"> offences related to: </w:t>
            </w:r>
          </w:p>
          <w:p w14:paraId="1426589B" w14:textId="77777777" w:rsidR="002F435D" w:rsidRPr="002F435D" w:rsidRDefault="002F435D" w:rsidP="002F435D">
            <w:pPr>
              <w:pStyle w:val="ListBullet"/>
              <w:numPr>
                <w:ilvl w:val="0"/>
                <w:numId w:val="3"/>
              </w:numPr>
            </w:pPr>
            <w:r w:rsidRPr="002F435D">
              <w:t>sexual orientation (total of 908 offences recorded)</w:t>
            </w:r>
          </w:p>
          <w:p w14:paraId="1E21E689" w14:textId="77777777" w:rsidR="002F435D" w:rsidRPr="002F435D" w:rsidRDefault="002F435D" w:rsidP="002F435D">
            <w:pPr>
              <w:pStyle w:val="ListBullet"/>
              <w:numPr>
                <w:ilvl w:val="0"/>
                <w:numId w:val="3"/>
              </w:numPr>
              <w:rPr>
                <w:rStyle w:val="Characterclear"/>
              </w:rPr>
            </w:pPr>
            <w:r w:rsidRPr="002F435D">
              <w:rPr>
                <w:rStyle w:val="Characterclear"/>
              </w:rPr>
              <w:t xml:space="preserve">disability </w:t>
            </w:r>
            <w:r w:rsidRPr="002F435D">
              <w:t>(total of 296 offences recorded)</w:t>
            </w:r>
          </w:p>
          <w:p w14:paraId="1595E067" w14:textId="77777777" w:rsidR="002F435D" w:rsidRPr="002F435D" w:rsidRDefault="002F435D" w:rsidP="002F435D">
            <w:pPr>
              <w:pStyle w:val="ListBullet"/>
              <w:numPr>
                <w:ilvl w:val="0"/>
                <w:numId w:val="3"/>
              </w:numPr>
              <w:rPr>
                <w:rStyle w:val="Characterclear"/>
              </w:rPr>
            </w:pPr>
            <w:r w:rsidRPr="002F435D">
              <w:rPr>
                <w:rStyle w:val="Characterclear"/>
              </w:rPr>
              <w:t xml:space="preserve">political beliefs/activity </w:t>
            </w:r>
            <w:r w:rsidRPr="002F435D">
              <w:t>(total of 581 offences recorded)</w:t>
            </w:r>
          </w:p>
          <w:p w14:paraId="31CE7F99" w14:textId="77777777" w:rsidR="002F435D" w:rsidRPr="002F435D" w:rsidRDefault="002F435D" w:rsidP="002F435D">
            <w:pPr>
              <w:pStyle w:val="ListBullet"/>
              <w:numPr>
                <w:ilvl w:val="0"/>
                <w:numId w:val="3"/>
              </w:numPr>
              <w:rPr>
                <w:rStyle w:val="Characterclear"/>
              </w:rPr>
            </w:pPr>
            <w:r w:rsidRPr="002F435D">
              <w:rPr>
                <w:rStyle w:val="Characterclear"/>
              </w:rPr>
              <w:t xml:space="preserve">race/ethnicity </w:t>
            </w:r>
            <w:r w:rsidRPr="002F435D">
              <w:t>(total of 5,369 offences recorded)</w:t>
            </w:r>
          </w:p>
          <w:p w14:paraId="5A01E28D" w14:textId="77777777" w:rsidR="002F435D" w:rsidRPr="002F435D" w:rsidRDefault="002F435D" w:rsidP="002F435D">
            <w:pPr>
              <w:pStyle w:val="ListBullet"/>
              <w:numPr>
                <w:ilvl w:val="0"/>
                <w:numId w:val="3"/>
              </w:numPr>
            </w:pPr>
            <w:r w:rsidRPr="002F435D">
              <w:rPr>
                <w:rStyle w:val="Characterclear"/>
              </w:rPr>
              <w:t xml:space="preserve">religion </w:t>
            </w:r>
            <w:r w:rsidRPr="002F435D">
              <w:t>(total of 1,113 offences recorded).</w:t>
            </w:r>
            <w:r w:rsidRPr="002F435D">
              <w:rPr>
                <w:rStyle w:val="EndnoteReference"/>
              </w:rPr>
              <w:endnoteReference w:id="275"/>
            </w:r>
          </w:p>
          <w:p w14:paraId="155D307D" w14:textId="71E8B98F" w:rsidR="002F435D" w:rsidRPr="002F435D" w:rsidRDefault="002F435D" w:rsidP="00A8542D">
            <w:pPr>
              <w:pStyle w:val="BodyText"/>
            </w:pPr>
            <w:r w:rsidRPr="002F435D">
              <w:t xml:space="preserve">Note: Victoria Police may select multiple codes for an offence so offences may be counted more than once in the figures stated above. </w:t>
            </w:r>
          </w:p>
          <w:p w14:paraId="51A2548C" w14:textId="2F58DCC9" w:rsidR="002F435D" w:rsidRPr="00284177" w:rsidRDefault="002F435D" w:rsidP="00284177">
            <w:pPr>
              <w:pStyle w:val="BodyText"/>
              <w:rPr>
                <w:rStyle w:val="Characterclear"/>
                <w:lang w:eastAsia="en-US"/>
              </w:rPr>
            </w:pPr>
            <w:r w:rsidRPr="00284177">
              <w:rPr>
                <w:rStyle w:val="Characterclear"/>
                <w:lang w:eastAsia="en-US"/>
              </w:rPr>
              <w:t xml:space="preserve">However, in practice, this has not translated to prosecutions under the RRTA or to the adequate use of </w:t>
            </w:r>
            <w:r w:rsidR="00467641" w:rsidRPr="00284177">
              <w:rPr>
                <w:rStyle w:val="Characterclear"/>
                <w:lang w:eastAsia="en-US"/>
              </w:rPr>
              <w:t>s</w:t>
            </w:r>
            <w:r w:rsidR="00066A39">
              <w:rPr>
                <w:rStyle w:val="Characterclear"/>
              </w:rPr>
              <w:t xml:space="preserve">ection </w:t>
            </w:r>
            <w:r w:rsidR="00467641" w:rsidRPr="00284177">
              <w:rPr>
                <w:rStyle w:val="Characterclear"/>
                <w:lang w:eastAsia="en-US"/>
              </w:rPr>
              <w:t xml:space="preserve">5(2)(daaa) by prosecutors in sentencing hearings. </w:t>
            </w:r>
          </w:p>
        </w:tc>
      </w:tr>
    </w:tbl>
    <w:p w14:paraId="40450074" w14:textId="0E52C0C9" w:rsidR="00CC24FD" w:rsidRPr="002F435D" w:rsidRDefault="00F04204" w:rsidP="00F04204">
      <w:pPr>
        <w:pStyle w:val="BodyText"/>
        <w:rPr>
          <w:rStyle w:val="Characterclear"/>
          <w:shd w:val="clear" w:color="auto" w:fill="FFFF00"/>
          <w:lang w:eastAsia="en-US"/>
        </w:rPr>
      </w:pPr>
      <w:r w:rsidRPr="00F04204">
        <w:rPr>
          <w:rStyle w:val="Characterclear"/>
        </w:rPr>
        <w:t xml:space="preserve">Section </w:t>
      </w:r>
      <w:r w:rsidR="005E7D43" w:rsidRPr="00F04204">
        <w:rPr>
          <w:rStyle w:val="Characterclear"/>
        </w:rPr>
        <w:t>5(2)(daaa</w:t>
      </w:r>
      <w:r w:rsidR="005E7D43" w:rsidRPr="00F04204">
        <w:rPr>
          <w:rStyle w:val="Characterclear"/>
          <w:lang w:eastAsia="en-US"/>
        </w:rPr>
        <w:t xml:space="preserve">) </w:t>
      </w:r>
      <w:r w:rsidR="000F52D5" w:rsidRPr="00F04204">
        <w:rPr>
          <w:rStyle w:val="Characterclear"/>
          <w:lang w:eastAsia="en-US"/>
        </w:rPr>
        <w:t xml:space="preserve">explicitly includes ‘partial’ motive, meaning that the prosecution does not need to establish that </w:t>
      </w:r>
      <w:r w:rsidR="00925E06" w:rsidRPr="00F04204">
        <w:rPr>
          <w:rStyle w:val="Characterclear"/>
          <w:lang w:eastAsia="en-US"/>
        </w:rPr>
        <w:t xml:space="preserve">hatred or </w:t>
      </w:r>
      <w:r w:rsidR="000F52D5" w:rsidRPr="00F04204">
        <w:rPr>
          <w:rStyle w:val="Characterclear"/>
          <w:lang w:eastAsia="en-US"/>
        </w:rPr>
        <w:t xml:space="preserve">prejudice was the sole motivation for the offence. </w:t>
      </w:r>
      <w:r w:rsidR="00D8363E" w:rsidRPr="00F04204">
        <w:rPr>
          <w:rStyle w:val="Characterclear"/>
          <w:lang w:eastAsia="en-US"/>
        </w:rPr>
        <w:t>Mason and Dyer explained that ‘the question of the degree to which an offender must be motivated by prejudice is especially important in light of empirical research that suggests that it is more common for hate crime offenders to have mixed motives than it is for them to be motivated by prejudice alone.</w:t>
      </w:r>
      <w:r w:rsidR="00D8363E">
        <w:rPr>
          <w:rStyle w:val="EndnoteReference"/>
          <w:lang w:eastAsia="en-AU"/>
        </w:rPr>
        <w:endnoteReference w:id="276"/>
      </w:r>
      <w:r w:rsidR="00CC24FD">
        <w:rPr>
          <w:rStyle w:val="Characterclear"/>
        </w:rPr>
        <w:t xml:space="preserve"> </w:t>
      </w:r>
    </w:p>
    <w:p w14:paraId="05B58153" w14:textId="3F88B59C" w:rsidR="00085725" w:rsidRDefault="00A66AA1" w:rsidP="00105745">
      <w:pPr>
        <w:pStyle w:val="BodyText"/>
        <w:rPr>
          <w:rStyle w:val="Characterclear"/>
        </w:rPr>
      </w:pPr>
      <w:r>
        <w:rPr>
          <w:rStyle w:val="Characterclear"/>
        </w:rPr>
        <w:t>The</w:t>
      </w:r>
      <w:r w:rsidR="00CC24FD">
        <w:rPr>
          <w:rStyle w:val="Characterclear"/>
        </w:rPr>
        <w:t xml:space="preserve"> Victorian Supreme Court’s decision in </w:t>
      </w:r>
      <w:r w:rsidR="00925E06" w:rsidRPr="00925E06">
        <w:rPr>
          <w:rStyle w:val="Characteritalic"/>
        </w:rPr>
        <w:t>R v Rintoull</w:t>
      </w:r>
      <w:r w:rsidR="00925E06">
        <w:rPr>
          <w:rStyle w:val="Characterclear"/>
        </w:rPr>
        <w:t xml:space="preserve"> [2009] VSC 617 </w:t>
      </w:r>
      <w:r w:rsidR="00CC24FD">
        <w:rPr>
          <w:rStyle w:val="Characterclear"/>
        </w:rPr>
        <w:t xml:space="preserve">demonstrates the </w:t>
      </w:r>
      <w:r w:rsidR="00604F54">
        <w:rPr>
          <w:rStyle w:val="Characterclear"/>
        </w:rPr>
        <w:t>challenge where offenders have mixed motivations.</w:t>
      </w:r>
      <w:r w:rsidR="00604F54">
        <w:rPr>
          <w:rStyle w:val="EndnoteReference"/>
          <w:lang w:eastAsia="en-AU"/>
        </w:rPr>
        <w:endnoteReference w:id="277"/>
      </w:r>
      <w:r w:rsidR="00604F54">
        <w:rPr>
          <w:rStyle w:val="Characterclear"/>
        </w:rPr>
        <w:t xml:space="preserve"> In that case, </w:t>
      </w:r>
      <w:r w:rsidR="005C196F">
        <w:rPr>
          <w:rStyle w:val="Characterclear"/>
        </w:rPr>
        <w:t>two offenders killed a young Sudanese man</w:t>
      </w:r>
      <w:r w:rsidR="008B088B">
        <w:rPr>
          <w:rStyle w:val="Characterclear"/>
        </w:rPr>
        <w:t xml:space="preserve">. </w:t>
      </w:r>
      <w:r w:rsidR="00EE05BB">
        <w:rPr>
          <w:rStyle w:val="Characterclear"/>
        </w:rPr>
        <w:t>Three days before the attack, Rintoull told police that if they would</w:t>
      </w:r>
      <w:r w:rsidR="00326FBE">
        <w:rPr>
          <w:rStyle w:val="Characterclear"/>
        </w:rPr>
        <w:t xml:space="preserve"> not</w:t>
      </w:r>
      <w:r w:rsidR="00EE05BB">
        <w:rPr>
          <w:rStyle w:val="Characterclear"/>
        </w:rPr>
        <w:t xml:space="preserve"> do</w:t>
      </w:r>
      <w:r w:rsidR="0012711C">
        <w:rPr>
          <w:rStyle w:val="Characterclear"/>
        </w:rPr>
        <w:t xml:space="preserve"> something about the Sudanese men causing problems in the area, he would. On the day of the </w:t>
      </w:r>
      <w:r w:rsidR="0070009C">
        <w:rPr>
          <w:rStyle w:val="Characterclear"/>
        </w:rPr>
        <w:t xml:space="preserve">attack, Rintoull spray painted ‘[f]uck da niggas’ on the wall. </w:t>
      </w:r>
      <w:r w:rsidR="0025645D">
        <w:rPr>
          <w:rStyle w:val="Characterclear"/>
        </w:rPr>
        <w:t>He was also overhead saying he was going to ‘take his anger out on some niggers’</w:t>
      </w:r>
      <w:r w:rsidR="009930F8">
        <w:rPr>
          <w:rStyle w:val="Characterclear"/>
        </w:rPr>
        <w:t xml:space="preserve"> and ‘I am going to take my town back, I’m looking to kill the blacks’</w:t>
      </w:r>
      <w:r w:rsidR="00D15F29">
        <w:rPr>
          <w:rStyle w:val="Characterclear"/>
        </w:rPr>
        <w:t>.</w:t>
      </w:r>
      <w:r w:rsidR="00681440">
        <w:rPr>
          <w:rStyle w:val="EndnoteReference"/>
          <w:lang w:eastAsia="en-AU"/>
        </w:rPr>
        <w:endnoteReference w:id="278"/>
      </w:r>
    </w:p>
    <w:p w14:paraId="602B52C6" w14:textId="63D8BC0F" w:rsidR="007753CC" w:rsidRDefault="00D15F29" w:rsidP="007753CC">
      <w:pPr>
        <w:pStyle w:val="BodyText"/>
        <w:rPr>
          <w:rStyle w:val="Characterclear"/>
        </w:rPr>
      </w:pPr>
      <w:r>
        <w:rPr>
          <w:rStyle w:val="Characterclear"/>
        </w:rPr>
        <w:t>Curtain J acknowledged that it could not be denied that there was a ‘racial aspect’ to Rintoull’s ‘derogatory and insult</w:t>
      </w:r>
      <w:r w:rsidR="004E2B52">
        <w:rPr>
          <w:rStyle w:val="Characterclear"/>
        </w:rPr>
        <w:t>ing’ comments.</w:t>
      </w:r>
      <w:r w:rsidR="004E2B52">
        <w:rPr>
          <w:rStyle w:val="EndnoteReference"/>
          <w:lang w:eastAsia="en-AU"/>
        </w:rPr>
        <w:endnoteReference w:id="279"/>
      </w:r>
      <w:r w:rsidR="004E2B52">
        <w:rPr>
          <w:rStyle w:val="Characterclear"/>
        </w:rPr>
        <w:t xml:space="preserve"> However</w:t>
      </w:r>
      <w:r w:rsidR="009A1D46">
        <w:rPr>
          <w:rStyle w:val="Characterclear"/>
        </w:rPr>
        <w:t>, her Honour was not satisfied beyond reasonable doubt that ‘racism per se was a motive for the attack’.</w:t>
      </w:r>
      <w:r w:rsidR="009A1D46">
        <w:rPr>
          <w:rStyle w:val="EndnoteReference"/>
          <w:lang w:eastAsia="en-AU"/>
        </w:rPr>
        <w:endnoteReference w:id="280"/>
      </w:r>
      <w:r w:rsidR="00681440">
        <w:rPr>
          <w:rStyle w:val="Characterclear"/>
        </w:rPr>
        <w:t xml:space="preserve"> </w:t>
      </w:r>
      <w:r w:rsidR="001140C0" w:rsidRPr="001140C0">
        <w:rPr>
          <w:rStyle w:val="Characterclear"/>
        </w:rPr>
        <w:t xml:space="preserve">The Commission </w:t>
      </w:r>
      <w:r w:rsidR="00F662A0">
        <w:rPr>
          <w:rStyle w:val="Characterclear"/>
        </w:rPr>
        <w:t xml:space="preserve">heard </w:t>
      </w:r>
      <w:r w:rsidR="001C4FB2">
        <w:rPr>
          <w:rStyle w:val="Characterclear"/>
        </w:rPr>
        <w:t xml:space="preserve">from community lawyers </w:t>
      </w:r>
      <w:r w:rsidR="00F662A0">
        <w:rPr>
          <w:rStyle w:val="Characterclear"/>
        </w:rPr>
        <w:t xml:space="preserve">that police have been reluctant to raise the sentencing provision since </w:t>
      </w:r>
      <w:r w:rsidR="00681440">
        <w:rPr>
          <w:rStyle w:val="Characterclear"/>
        </w:rPr>
        <w:t>this decision given the difficulties establishing motivation.</w:t>
      </w:r>
      <w:r w:rsidR="00B101D1">
        <w:rPr>
          <w:rStyle w:val="EndnoteReference"/>
          <w:lang w:eastAsia="en-AU"/>
        </w:rPr>
        <w:endnoteReference w:id="281"/>
      </w:r>
      <w:r w:rsidR="00F662A0">
        <w:rPr>
          <w:rStyle w:val="Characterclear"/>
        </w:rPr>
        <w:t xml:space="preserve"> </w:t>
      </w:r>
      <w:r w:rsidR="001140C0">
        <w:rPr>
          <w:rStyle w:val="Characterclear"/>
        </w:rPr>
        <w:t xml:space="preserve"> </w:t>
      </w:r>
      <w:bookmarkEnd w:id="23"/>
    </w:p>
    <w:p w14:paraId="17B85E76" w14:textId="372B74E0" w:rsidR="00A66AA1" w:rsidRDefault="00A66AA1" w:rsidP="007753CC">
      <w:pPr>
        <w:pStyle w:val="BodyText"/>
        <w:rPr>
          <w:lang w:eastAsia="en-AU"/>
        </w:rPr>
      </w:pPr>
      <w:r>
        <w:rPr>
          <w:rStyle w:val="Characterclear"/>
        </w:rPr>
        <w:lastRenderedPageBreak/>
        <w:t xml:space="preserve">Part </w:t>
      </w:r>
      <w:r w:rsidR="00766C6D">
        <w:rPr>
          <w:rStyle w:val="Characterclear"/>
        </w:rPr>
        <w:t xml:space="preserve">6.4 recommends education for police and judicial officers to support more effective use of s 5(2)(daaa) of the Sentencing Act. </w:t>
      </w:r>
    </w:p>
    <w:p w14:paraId="0A86AEF1" w14:textId="0DC4A53C" w:rsidR="0049703E" w:rsidRPr="0049703E" w:rsidRDefault="0049703E" w:rsidP="00E30A7B">
      <w:pPr>
        <w:pStyle w:val="BodyText"/>
      </w:pPr>
    </w:p>
    <w:p w14:paraId="6BF1FBDC" w14:textId="03DABCF4" w:rsidR="0049703E" w:rsidRDefault="0049703E" w:rsidP="002F6675">
      <w:pPr>
        <w:pStyle w:val="Heading1"/>
      </w:pPr>
      <w:bookmarkStart w:id="27" w:name="_Toc25578840"/>
      <w:bookmarkStart w:id="28" w:name="_Toc31392342"/>
      <w:r w:rsidRPr="0049703E">
        <w:lastRenderedPageBreak/>
        <w:t xml:space="preserve">Strengthening </w:t>
      </w:r>
      <w:bookmarkEnd w:id="27"/>
      <w:r w:rsidR="00642E17">
        <w:t>law and enforcement</w:t>
      </w:r>
      <w:bookmarkEnd w:id="28"/>
      <w:r w:rsidRPr="0049703E">
        <w:t xml:space="preserve">  </w:t>
      </w:r>
    </w:p>
    <w:tbl>
      <w:tblPr>
        <w:tblStyle w:val="CustomTablebreakoutbox"/>
        <w:tblW w:w="0" w:type="auto"/>
        <w:tblLook w:val="04A0" w:firstRow="1" w:lastRow="0" w:firstColumn="1" w:lastColumn="0" w:noHBand="0" w:noVBand="1"/>
      </w:tblPr>
      <w:tblGrid>
        <w:gridCol w:w="9061"/>
      </w:tblGrid>
      <w:tr w:rsidR="00181F5A" w14:paraId="1A0DC226" w14:textId="77777777" w:rsidTr="00181F5A">
        <w:tc>
          <w:tcPr>
            <w:tcW w:w="9061" w:type="dxa"/>
          </w:tcPr>
          <w:p w14:paraId="29A6DB86" w14:textId="57615318" w:rsidR="00181F5A" w:rsidRDefault="00181F5A" w:rsidP="00181F5A">
            <w:pPr>
              <w:pStyle w:val="BodyText"/>
              <w:rPr>
                <w:rStyle w:val="Characterbold"/>
              </w:rPr>
            </w:pPr>
            <w:r>
              <w:rPr>
                <w:rStyle w:val="Characterbold"/>
              </w:rPr>
              <w:t xml:space="preserve">Summary </w:t>
            </w:r>
          </w:p>
          <w:p w14:paraId="27ACD392" w14:textId="6AFE17B1" w:rsidR="00841822" w:rsidRDefault="00181F5A" w:rsidP="00181F5A">
            <w:pPr>
              <w:pStyle w:val="BodyText"/>
              <w:rPr>
                <w:rStyle w:val="Characterclear"/>
              </w:rPr>
            </w:pPr>
            <w:r>
              <w:rPr>
                <w:rStyle w:val="Characterclear"/>
              </w:rPr>
              <w:t xml:space="preserve">Part </w:t>
            </w:r>
            <w:r w:rsidR="00407A5F">
              <w:rPr>
                <w:rStyle w:val="Characterclear"/>
              </w:rPr>
              <w:t>5</w:t>
            </w:r>
            <w:r>
              <w:rPr>
                <w:rStyle w:val="Characterclear"/>
              </w:rPr>
              <w:t xml:space="preserve"> of our submission </w:t>
            </w:r>
            <w:r w:rsidR="00E17EEA">
              <w:rPr>
                <w:rStyle w:val="Characterclear"/>
              </w:rPr>
              <w:t xml:space="preserve">sets out </w:t>
            </w:r>
            <w:r w:rsidR="00841822">
              <w:rPr>
                <w:rStyle w:val="Characterclear"/>
              </w:rPr>
              <w:t xml:space="preserve">how the law can be strengthened to provide better redress for hate in </w:t>
            </w:r>
            <w:r w:rsidR="00283A33">
              <w:rPr>
                <w:rStyle w:val="Characterclear"/>
              </w:rPr>
              <w:t>the Victorian</w:t>
            </w:r>
            <w:r w:rsidR="00841822">
              <w:rPr>
                <w:rStyle w:val="Characterclear"/>
              </w:rPr>
              <w:t xml:space="preserve"> community. This includes</w:t>
            </w:r>
            <w:r w:rsidR="007B79FA">
              <w:rPr>
                <w:rStyle w:val="Characterclear"/>
              </w:rPr>
              <w:t xml:space="preserve">: </w:t>
            </w:r>
          </w:p>
          <w:p w14:paraId="01F91E08" w14:textId="19432663" w:rsidR="00FB3FD8" w:rsidRDefault="00FB3FD8" w:rsidP="007B79FA">
            <w:pPr>
              <w:pStyle w:val="BodyText"/>
              <w:rPr>
                <w:rStyle w:val="Characterbold"/>
              </w:rPr>
            </w:pPr>
            <w:r>
              <w:rPr>
                <w:rStyle w:val="Characterbold"/>
              </w:rPr>
              <w:t xml:space="preserve">Strengthening access to the law </w:t>
            </w:r>
          </w:p>
          <w:p w14:paraId="402459B0" w14:textId="79EE1BFD" w:rsidR="00FB3FD8" w:rsidRPr="00FB3FD8" w:rsidRDefault="00F85D26" w:rsidP="007F646E">
            <w:pPr>
              <w:pStyle w:val="ListBullet"/>
              <w:rPr>
                <w:rStyle w:val="Characterbold"/>
                <w:b w:val="0"/>
                <w:lang w:eastAsia="en-AU"/>
              </w:rPr>
            </w:pPr>
            <w:r>
              <w:rPr>
                <w:rStyle w:val="Characterclear"/>
              </w:rPr>
              <w:t xml:space="preserve">Victoria’s </w:t>
            </w:r>
            <w:r w:rsidR="00381A3B">
              <w:rPr>
                <w:rStyle w:val="Characterclear"/>
              </w:rPr>
              <w:t>vilification</w:t>
            </w:r>
            <w:r>
              <w:rPr>
                <w:rStyle w:val="Characterclear"/>
              </w:rPr>
              <w:t xml:space="preserve"> laws</w:t>
            </w:r>
            <w:r w:rsidR="00FB3FD8" w:rsidRPr="00FB3FD8">
              <w:rPr>
                <w:rStyle w:val="Characterclear"/>
              </w:rPr>
              <w:t xml:space="preserve"> </w:t>
            </w:r>
            <w:r w:rsidR="00381A3B">
              <w:rPr>
                <w:rStyle w:val="Characterclear"/>
              </w:rPr>
              <w:t xml:space="preserve">should </w:t>
            </w:r>
            <w:r w:rsidR="00FB3FD8" w:rsidRPr="00FB3FD8">
              <w:rPr>
                <w:rStyle w:val="Characterclear"/>
              </w:rPr>
              <w:t>be incorporated in the EOA</w:t>
            </w:r>
            <w:r w:rsidR="00E12226">
              <w:rPr>
                <w:rStyle w:val="Characterclear"/>
              </w:rPr>
              <w:t xml:space="preserve"> (part 5.1.1).</w:t>
            </w:r>
          </w:p>
          <w:p w14:paraId="03E3D744" w14:textId="62A22883" w:rsidR="007B79FA" w:rsidRPr="007B79FA" w:rsidRDefault="007B79FA" w:rsidP="007B79FA">
            <w:pPr>
              <w:pStyle w:val="BodyText"/>
              <w:rPr>
                <w:rStyle w:val="Characterbold"/>
              </w:rPr>
            </w:pPr>
            <w:r>
              <w:rPr>
                <w:rStyle w:val="Characterbold"/>
              </w:rPr>
              <w:t xml:space="preserve">Strengthening protections </w:t>
            </w:r>
          </w:p>
          <w:p w14:paraId="0FCD8D98" w14:textId="72483381" w:rsidR="009A204B" w:rsidRDefault="00B71BCE" w:rsidP="007F646E">
            <w:pPr>
              <w:pStyle w:val="ListBullet"/>
              <w:rPr>
                <w:rStyle w:val="Characterclear"/>
              </w:rPr>
            </w:pPr>
            <w:r>
              <w:rPr>
                <w:rStyle w:val="Characterclear"/>
              </w:rPr>
              <w:t>The law should protect a broader range of people</w:t>
            </w:r>
            <w:r w:rsidR="00E12226">
              <w:rPr>
                <w:rStyle w:val="Characterclear"/>
              </w:rPr>
              <w:t xml:space="preserve"> (part 5.2.1).</w:t>
            </w:r>
          </w:p>
          <w:p w14:paraId="0579B381" w14:textId="248D3A90" w:rsidR="00DD41AD" w:rsidRDefault="00520ABD" w:rsidP="00DD41AD">
            <w:pPr>
              <w:pStyle w:val="TableHeading1"/>
              <w:rPr>
                <w:rStyle w:val="Characterclear"/>
              </w:rPr>
            </w:pPr>
            <w:r>
              <w:rPr>
                <w:rStyle w:val="Characterclear"/>
              </w:rPr>
              <w:t>Strengthening</w:t>
            </w:r>
            <w:r w:rsidR="00DD41AD">
              <w:rPr>
                <w:rStyle w:val="Characterclear"/>
              </w:rPr>
              <w:t xml:space="preserve"> the law </w:t>
            </w:r>
          </w:p>
          <w:p w14:paraId="458A329B" w14:textId="6EC67458" w:rsidR="00B71BCE" w:rsidRDefault="00B71BCE" w:rsidP="007F646E">
            <w:pPr>
              <w:pStyle w:val="ListBullet"/>
              <w:rPr>
                <w:rStyle w:val="Characterclear"/>
              </w:rPr>
            </w:pPr>
            <w:r>
              <w:rPr>
                <w:rStyle w:val="Characterclear"/>
              </w:rPr>
              <w:t>The threshold for vilification should be lowered</w:t>
            </w:r>
            <w:r w:rsidR="00E12226">
              <w:rPr>
                <w:rStyle w:val="Characterclear"/>
              </w:rPr>
              <w:t xml:space="preserve"> (part 5.3.1). </w:t>
            </w:r>
          </w:p>
          <w:p w14:paraId="5220B73B" w14:textId="77777777" w:rsidR="008C4CD4" w:rsidRDefault="00B71BCE" w:rsidP="007F646E">
            <w:pPr>
              <w:pStyle w:val="ListBullet"/>
              <w:rPr>
                <w:rStyle w:val="Characterclear"/>
              </w:rPr>
            </w:pPr>
            <w:r>
              <w:rPr>
                <w:rStyle w:val="Characterclear"/>
              </w:rPr>
              <w:t>A complementary harm-based</w:t>
            </w:r>
            <w:r w:rsidR="00811735">
              <w:rPr>
                <w:rStyle w:val="Characterclear"/>
              </w:rPr>
              <w:t xml:space="preserve"> civil</w:t>
            </w:r>
            <w:r>
              <w:rPr>
                <w:rStyle w:val="Characterclear"/>
              </w:rPr>
              <w:t xml:space="preserve"> </w:t>
            </w:r>
            <w:r w:rsidR="00591248">
              <w:rPr>
                <w:rStyle w:val="Characterclear"/>
              </w:rPr>
              <w:t xml:space="preserve">provision </w:t>
            </w:r>
            <w:r>
              <w:rPr>
                <w:rStyle w:val="Characterclear"/>
              </w:rPr>
              <w:t>should be introduced</w:t>
            </w:r>
            <w:r w:rsidR="00E12226">
              <w:rPr>
                <w:rStyle w:val="Characterclear"/>
              </w:rPr>
              <w:t xml:space="preserve"> (part 5.3.2).</w:t>
            </w:r>
          </w:p>
          <w:p w14:paraId="748B515C" w14:textId="5E613450" w:rsidR="00E12226" w:rsidRPr="00E12226" w:rsidRDefault="00E12226" w:rsidP="007F646E">
            <w:pPr>
              <w:pStyle w:val="ListBullet"/>
              <w:rPr>
                <w:rStyle w:val="Characterclear"/>
              </w:rPr>
            </w:pPr>
            <w:r w:rsidRPr="00E12226">
              <w:rPr>
                <w:rStyle w:val="Characterclear"/>
              </w:rPr>
              <w:t xml:space="preserve">The </w:t>
            </w:r>
            <w:r w:rsidR="00035D45">
              <w:rPr>
                <w:rStyle w:val="Characterclear"/>
              </w:rPr>
              <w:t>public conduct</w:t>
            </w:r>
            <w:r w:rsidRPr="00E12226">
              <w:rPr>
                <w:rStyle w:val="Characterclear"/>
              </w:rPr>
              <w:t xml:space="preserve"> exception should be narrowed </w:t>
            </w:r>
            <w:r>
              <w:rPr>
                <w:rStyle w:val="Characterclear"/>
              </w:rPr>
              <w:t>(part 5.3.3).</w:t>
            </w:r>
          </w:p>
          <w:p w14:paraId="4981DC69" w14:textId="138A6CFB" w:rsidR="00B71BCE" w:rsidRDefault="00B71BCE" w:rsidP="007F646E">
            <w:pPr>
              <w:pStyle w:val="ListBullet"/>
              <w:rPr>
                <w:rStyle w:val="Characterclear"/>
              </w:rPr>
            </w:pPr>
            <w:r>
              <w:rPr>
                <w:rStyle w:val="Characterclear"/>
              </w:rPr>
              <w:t xml:space="preserve">The </w:t>
            </w:r>
            <w:r w:rsidR="00235733">
              <w:rPr>
                <w:rStyle w:val="Characterclear"/>
              </w:rPr>
              <w:t xml:space="preserve">serious vilification </w:t>
            </w:r>
            <w:r>
              <w:rPr>
                <w:rStyle w:val="Characterclear"/>
              </w:rPr>
              <w:t xml:space="preserve">offences should be </w:t>
            </w:r>
            <w:r w:rsidR="00E12226">
              <w:rPr>
                <w:rStyle w:val="Characterclear"/>
              </w:rPr>
              <w:t>lowered and simplified (part 5.3.4).</w:t>
            </w:r>
            <w:r>
              <w:rPr>
                <w:rStyle w:val="Characterclear"/>
              </w:rPr>
              <w:t xml:space="preserve"> </w:t>
            </w:r>
          </w:p>
          <w:p w14:paraId="08668813" w14:textId="29666A60" w:rsidR="00B13452" w:rsidRDefault="00B13452" w:rsidP="007F646E">
            <w:pPr>
              <w:pStyle w:val="ListBullet"/>
              <w:rPr>
                <w:rStyle w:val="Characterclear"/>
              </w:rPr>
            </w:pPr>
            <w:r>
              <w:rPr>
                <w:rStyle w:val="Characterclear"/>
              </w:rPr>
              <w:t>The definition of prohibited conduct should be broadened</w:t>
            </w:r>
            <w:r w:rsidR="00E12226">
              <w:rPr>
                <w:rStyle w:val="Characterclear"/>
              </w:rPr>
              <w:t xml:space="preserve"> (part 5.3.5).</w:t>
            </w:r>
          </w:p>
          <w:p w14:paraId="4D9D02A2" w14:textId="3DFB4BE9" w:rsidR="00011E09" w:rsidRPr="00011E09" w:rsidRDefault="00011E09" w:rsidP="00011E09">
            <w:pPr>
              <w:pStyle w:val="BodyText"/>
              <w:rPr>
                <w:rStyle w:val="Characterbold"/>
              </w:rPr>
            </w:pPr>
            <w:r>
              <w:rPr>
                <w:rStyle w:val="Characterbold"/>
              </w:rPr>
              <w:t xml:space="preserve">Strengthening </w:t>
            </w:r>
            <w:r w:rsidR="00E1229D">
              <w:rPr>
                <w:rStyle w:val="Characterbold"/>
              </w:rPr>
              <w:t xml:space="preserve">dispute resolution </w:t>
            </w:r>
          </w:p>
          <w:p w14:paraId="392E282D" w14:textId="451B4B59" w:rsidR="00B71BCE" w:rsidRDefault="00B71BCE" w:rsidP="007F646E">
            <w:pPr>
              <w:pStyle w:val="ListBullet"/>
              <w:rPr>
                <w:rStyle w:val="Characterclear"/>
              </w:rPr>
            </w:pPr>
            <w:r>
              <w:rPr>
                <w:rStyle w:val="Characterclear"/>
              </w:rPr>
              <w:t>The Act should allow anonymous representative complaints</w:t>
            </w:r>
            <w:r w:rsidR="00653C0D">
              <w:rPr>
                <w:rStyle w:val="Characterclear"/>
              </w:rPr>
              <w:t xml:space="preserve"> (part 5.4.1).</w:t>
            </w:r>
          </w:p>
          <w:p w14:paraId="711E0DD1" w14:textId="35AB9DCA" w:rsidR="00B71BCE" w:rsidRDefault="00B71BCE" w:rsidP="007F646E">
            <w:pPr>
              <w:pStyle w:val="ListBullet"/>
              <w:rPr>
                <w:rStyle w:val="Characterclear"/>
              </w:rPr>
            </w:pPr>
            <w:r>
              <w:rPr>
                <w:rStyle w:val="Characterclear"/>
              </w:rPr>
              <w:t>The Commission should be empowered to identify respondents</w:t>
            </w:r>
            <w:r w:rsidR="00653C0D">
              <w:rPr>
                <w:rStyle w:val="Characterclear"/>
              </w:rPr>
              <w:t xml:space="preserve"> (part 5.4.2).</w:t>
            </w:r>
          </w:p>
          <w:p w14:paraId="3A848A0E" w14:textId="537884F7" w:rsidR="00E1229D" w:rsidRDefault="00E1229D" w:rsidP="00E1229D">
            <w:pPr>
              <w:pStyle w:val="Heading4"/>
              <w:outlineLvl w:val="3"/>
              <w:rPr>
                <w:rStyle w:val="Characterclear"/>
              </w:rPr>
            </w:pPr>
            <w:r>
              <w:rPr>
                <w:rStyle w:val="Characterclear"/>
              </w:rPr>
              <w:t xml:space="preserve">Strengthening criminal enforcement </w:t>
            </w:r>
          </w:p>
          <w:p w14:paraId="4EFB74A1" w14:textId="6E3735BB" w:rsidR="0070104F" w:rsidRDefault="00B71BCE" w:rsidP="007F646E">
            <w:pPr>
              <w:pStyle w:val="ListBullet"/>
              <w:rPr>
                <w:rStyle w:val="Characterclear"/>
              </w:rPr>
            </w:pPr>
            <w:r>
              <w:rPr>
                <w:rStyle w:val="Characterclear"/>
              </w:rPr>
              <w:t xml:space="preserve">The </w:t>
            </w:r>
            <w:r w:rsidR="00235733">
              <w:rPr>
                <w:rStyle w:val="Characterclear"/>
              </w:rPr>
              <w:t xml:space="preserve">serious vilification </w:t>
            </w:r>
            <w:r w:rsidR="002C51BC">
              <w:rPr>
                <w:rStyle w:val="Characterclear"/>
              </w:rPr>
              <w:t>offences should be moved to the</w:t>
            </w:r>
            <w:r w:rsidR="005B6423">
              <w:rPr>
                <w:rStyle w:val="Characterclear"/>
              </w:rPr>
              <w:t xml:space="preserve"> </w:t>
            </w:r>
            <w:r w:rsidR="005B6423">
              <w:rPr>
                <w:rStyle w:val="Characterclear"/>
                <w:i/>
              </w:rPr>
              <w:t xml:space="preserve">Crimes Act 1958 </w:t>
            </w:r>
            <w:r w:rsidR="005B6423">
              <w:rPr>
                <w:rStyle w:val="Characterclear"/>
              </w:rPr>
              <w:t>(Vic)</w:t>
            </w:r>
            <w:r w:rsidR="00653C0D">
              <w:rPr>
                <w:rStyle w:val="Characterclear"/>
              </w:rPr>
              <w:t xml:space="preserve"> (part 5.5.1).</w:t>
            </w:r>
          </w:p>
          <w:p w14:paraId="7E99DAF4" w14:textId="0376657B" w:rsidR="00185557" w:rsidRDefault="002C51BC" w:rsidP="007F646E">
            <w:pPr>
              <w:pStyle w:val="ListBullet"/>
              <w:rPr>
                <w:rStyle w:val="Characterclear"/>
              </w:rPr>
            </w:pPr>
            <w:r w:rsidRPr="002C51BC">
              <w:rPr>
                <w:lang w:eastAsia="en-AU"/>
              </w:rPr>
              <w:t xml:space="preserve">The penalties for serious vilification should be increased </w:t>
            </w:r>
            <w:r>
              <w:t>(part 5.5.2).</w:t>
            </w:r>
          </w:p>
          <w:p w14:paraId="5100C336" w14:textId="44DE551F" w:rsidR="00B224A3" w:rsidRDefault="00143A5A" w:rsidP="00B224A3">
            <w:pPr>
              <w:pStyle w:val="Heading4"/>
              <w:outlineLvl w:val="3"/>
              <w:rPr>
                <w:rStyle w:val="Characterclear"/>
              </w:rPr>
            </w:pPr>
            <w:r>
              <w:rPr>
                <w:rStyle w:val="Characterclear"/>
              </w:rPr>
              <w:t xml:space="preserve">Shifting the burden of enforcement </w:t>
            </w:r>
          </w:p>
          <w:p w14:paraId="16A6E4A0" w14:textId="0EFF05AA" w:rsidR="002C51BC" w:rsidRPr="007F646E" w:rsidRDefault="002C51BC" w:rsidP="007F646E">
            <w:pPr>
              <w:pStyle w:val="ListBullet"/>
            </w:pPr>
            <w:r w:rsidRPr="007F646E">
              <w:t>The Commission’s functions and powers should apply to vilification (part 5.6.1).</w:t>
            </w:r>
          </w:p>
          <w:p w14:paraId="2C95C007" w14:textId="77777777" w:rsidR="000C6BC0" w:rsidRPr="007F646E" w:rsidRDefault="002C51BC" w:rsidP="007F646E">
            <w:pPr>
              <w:pStyle w:val="ListBullet"/>
            </w:pPr>
            <w:r w:rsidRPr="007F646E">
              <w:t xml:space="preserve">The Commission’s full range of regulatory powers and functions should be reinstated and strengthened (part 5.6.2). </w:t>
            </w:r>
          </w:p>
          <w:p w14:paraId="4671E291" w14:textId="35E1D83C" w:rsidR="002C51BC" w:rsidRPr="000C6BC0" w:rsidRDefault="000242D6" w:rsidP="007F646E">
            <w:pPr>
              <w:pStyle w:val="ListBullet"/>
            </w:pPr>
            <w:r w:rsidRPr="007F646E">
              <w:t>Consideration should be given to ex</w:t>
            </w:r>
            <w:r w:rsidR="000468CE" w:rsidRPr="007F646E">
              <w:t>tending</w:t>
            </w:r>
            <w:r w:rsidRPr="007F646E">
              <w:t xml:space="preserve"> t</w:t>
            </w:r>
            <w:r w:rsidR="002C51BC" w:rsidRPr="007F646E">
              <w:t xml:space="preserve">he positive duty to the </w:t>
            </w:r>
            <w:r w:rsidR="000468CE" w:rsidRPr="007F646E">
              <w:t>prevention</w:t>
            </w:r>
            <w:r w:rsidR="002C51BC" w:rsidRPr="007F646E">
              <w:t xml:space="preserve"> of vilification (part 5.6.3).</w:t>
            </w:r>
          </w:p>
        </w:tc>
      </w:tr>
    </w:tbl>
    <w:p w14:paraId="57DFA124" w14:textId="68CAEB2D" w:rsidR="00E1229D" w:rsidRPr="00E1229D" w:rsidRDefault="00E1229D" w:rsidP="00E1229D">
      <w:pPr>
        <w:pStyle w:val="Heading2"/>
      </w:pPr>
      <w:bookmarkStart w:id="29" w:name="_Toc31392343"/>
      <w:bookmarkStart w:id="30" w:name="_Toc25578842"/>
      <w:r>
        <w:t>Strengthening access to the law</w:t>
      </w:r>
      <w:bookmarkEnd w:id="29"/>
      <w:r>
        <w:t xml:space="preserve"> </w:t>
      </w:r>
    </w:p>
    <w:p w14:paraId="25228A17" w14:textId="32721E40" w:rsidR="000E4866" w:rsidRDefault="00F85D26" w:rsidP="00E1229D">
      <w:pPr>
        <w:pStyle w:val="Heading3"/>
      </w:pPr>
      <w:r>
        <w:t xml:space="preserve">Victoria’s </w:t>
      </w:r>
      <w:r w:rsidR="00381A3B">
        <w:t>vilification</w:t>
      </w:r>
      <w:r>
        <w:t xml:space="preserve"> laws</w:t>
      </w:r>
      <w:r w:rsidR="00175317">
        <w:t xml:space="preserve"> should be incorporated in the </w:t>
      </w:r>
      <w:r w:rsidR="00EB0E75">
        <w:t>EOA</w:t>
      </w:r>
    </w:p>
    <w:p w14:paraId="050BBA79" w14:textId="15994C9A" w:rsidR="00433E9D" w:rsidRDefault="00DC2D4C" w:rsidP="000E4866">
      <w:pPr>
        <w:pStyle w:val="BodyText"/>
      </w:pPr>
      <w:r>
        <w:t xml:space="preserve">The Commission considers that </w:t>
      </w:r>
      <w:r w:rsidR="00F85D26">
        <w:t xml:space="preserve">Victoria’s </w:t>
      </w:r>
      <w:r w:rsidR="00381A3B">
        <w:t>vilification</w:t>
      </w:r>
      <w:r w:rsidR="00F85D26">
        <w:t xml:space="preserve"> laws</w:t>
      </w:r>
      <w:r>
        <w:t xml:space="preserve"> should be incorporated in the EOA, rather than </w:t>
      </w:r>
      <w:r w:rsidR="00F85D26">
        <w:t>in a</w:t>
      </w:r>
      <w:r>
        <w:t xml:space="preserve"> standalone A</w:t>
      </w:r>
      <w:r w:rsidR="003F1A4E">
        <w:t>ct</w:t>
      </w:r>
      <w:r w:rsidR="005B6423">
        <w:t>,</w:t>
      </w:r>
      <w:r w:rsidR="00CA6C57">
        <w:t xml:space="preserve"> such as the RRTA</w:t>
      </w:r>
      <w:r w:rsidR="003F1A4E">
        <w:t xml:space="preserve">. </w:t>
      </w:r>
      <w:r w:rsidR="008037E4">
        <w:t xml:space="preserve">This would make the law more accessible and </w:t>
      </w:r>
      <w:r w:rsidR="003F1A4E">
        <w:t xml:space="preserve">would be consistent with </w:t>
      </w:r>
      <w:r w:rsidR="00FD67B0">
        <w:t>most</w:t>
      </w:r>
      <w:r w:rsidR="001757D5">
        <w:t xml:space="preserve"> other jurisdictions in Australia</w:t>
      </w:r>
      <w:r w:rsidR="00142EFF">
        <w:t xml:space="preserve"> whose </w:t>
      </w:r>
      <w:r w:rsidR="002D4FAC">
        <w:t xml:space="preserve">vilification </w:t>
      </w:r>
      <w:r w:rsidR="00142EFF">
        <w:t xml:space="preserve">protections are included in </w:t>
      </w:r>
      <w:r w:rsidR="002D4FAC">
        <w:t>anti-discrimination laws</w:t>
      </w:r>
      <w:r w:rsidR="001757D5">
        <w:t xml:space="preserve">, including the Commonwealth, </w:t>
      </w:r>
      <w:r w:rsidR="00FD67B0">
        <w:t>NSW, Q</w:t>
      </w:r>
      <w:r w:rsidR="004638C6">
        <w:t>ueens</w:t>
      </w:r>
      <w:r w:rsidR="00FD67B0">
        <w:t>l</w:t>
      </w:r>
      <w:r w:rsidR="004638C6">
        <w:t>an</w:t>
      </w:r>
      <w:r w:rsidR="00FD67B0">
        <w:t xml:space="preserve">d, Tasmania and the ACT. </w:t>
      </w:r>
    </w:p>
    <w:p w14:paraId="042D32C6" w14:textId="62338A1D" w:rsidR="0024793D" w:rsidRDefault="000D148A" w:rsidP="000E4866">
      <w:pPr>
        <w:pStyle w:val="BodyText"/>
      </w:pPr>
      <w:r>
        <w:t>As explained by one participant in the Commission’s consultations, vilification should be considered in the context of a range of other unlawful conduct including discrimination.</w:t>
      </w:r>
      <w:r>
        <w:rPr>
          <w:rStyle w:val="EndnoteReference"/>
        </w:rPr>
        <w:endnoteReference w:id="282"/>
      </w:r>
      <w:r w:rsidR="00433E9D">
        <w:t xml:space="preserve"> As a</w:t>
      </w:r>
      <w:r w:rsidR="003C0391">
        <w:t xml:space="preserve">n </w:t>
      </w:r>
      <w:r w:rsidR="00433E9D">
        <w:t xml:space="preserve">example, there may be circumstances where the same conduct potentially </w:t>
      </w:r>
      <w:r w:rsidR="00B57BCD">
        <w:t xml:space="preserve">constitutes vilification and discrimination or sexual harassment. In these circumstances, the Commission could conciliate complaints together under one </w:t>
      </w:r>
      <w:r w:rsidR="00B57BCD">
        <w:lastRenderedPageBreak/>
        <w:t>law</w:t>
      </w:r>
      <w:r w:rsidR="00AC5C41">
        <w:t xml:space="preserve">. A similar process </w:t>
      </w:r>
      <w:r w:rsidR="002907E1">
        <w:t>c</w:t>
      </w:r>
      <w:r w:rsidR="00AC5C41">
        <w:t xml:space="preserve">ould apply at VCAT. </w:t>
      </w:r>
      <w:r w:rsidR="003C0391">
        <w:t>A single equality framework would also make it easier for complainants to access and navigate the law.</w:t>
      </w:r>
    </w:p>
    <w:p w14:paraId="3D38CD77" w14:textId="734E1437" w:rsidR="004B5CDF" w:rsidRDefault="004B5CDF" w:rsidP="000E4866">
      <w:pPr>
        <w:pStyle w:val="BodyText"/>
      </w:pPr>
      <w:r>
        <w:t>In Victoria, there is greater awareness, understanding and use of the EOA</w:t>
      </w:r>
      <w:r w:rsidR="000F1FAE">
        <w:t xml:space="preserve"> by community members and their advocates and legal representatives. Including vilification protections in the EOA would support better awareness and use of hate laws in </w:t>
      </w:r>
      <w:r w:rsidR="00BC0F77">
        <w:t>Victoria and</w:t>
      </w:r>
      <w:r w:rsidR="00467862">
        <w:t xml:space="preserve"> would ensure a consistent approach to preventing and responding to discrimination, sexual harassment and vilification. </w:t>
      </w:r>
    </w:p>
    <w:p w14:paraId="5C785333" w14:textId="724BDAED" w:rsidR="00F57398" w:rsidRDefault="00F57398" w:rsidP="000E4866">
      <w:pPr>
        <w:pStyle w:val="BodyText"/>
      </w:pPr>
      <w:r>
        <w:t>The Commission acknowledges the important symbolic value the RRTA has played in Victoria since its introduction</w:t>
      </w:r>
      <w:r w:rsidR="005C7E11">
        <w:t xml:space="preserve"> but considers this </w:t>
      </w:r>
      <w:r w:rsidR="00C71330">
        <w:t xml:space="preserve">symbolic value </w:t>
      </w:r>
      <w:r w:rsidR="005C7E11">
        <w:t>to have</w:t>
      </w:r>
      <w:r w:rsidR="005B4A4F">
        <w:t xml:space="preserve"> been</w:t>
      </w:r>
      <w:r w:rsidR="00C71330">
        <w:t xml:space="preserve"> undermined by </w:t>
      </w:r>
      <w:r w:rsidR="005B4A4F">
        <w:t>the</w:t>
      </w:r>
      <w:r w:rsidR="00C71330">
        <w:t xml:space="preserve"> ineffectiveness</w:t>
      </w:r>
      <w:r w:rsidR="005B4A4F">
        <w:t xml:space="preserve"> of the RRTA</w:t>
      </w:r>
      <w:r w:rsidR="005C7E11">
        <w:t xml:space="preserve"> in its current form</w:t>
      </w:r>
      <w:r w:rsidR="00C71330">
        <w:t xml:space="preserve">. </w:t>
      </w:r>
      <w:r w:rsidR="005C7E11" w:rsidRPr="005C7E11">
        <w:t xml:space="preserve">Fundamentally, effectively preventing and responding to vilification is about promoting the full and equal participation of all Victorians in our community. It is also about promoting the benefits of diversity for the whole community.  </w:t>
      </w:r>
    </w:p>
    <w:p w14:paraId="1FE6E53D" w14:textId="713969DA" w:rsidR="005C7E11" w:rsidRDefault="005C7E11" w:rsidP="000E4866">
      <w:pPr>
        <w:pStyle w:val="BodyText"/>
      </w:pPr>
      <w:r>
        <w:t>T</w:t>
      </w:r>
      <w:r w:rsidRPr="005C7E11">
        <w:t xml:space="preserve">he </w:t>
      </w:r>
      <w:r>
        <w:t xml:space="preserve">historical context and </w:t>
      </w:r>
      <w:r w:rsidRPr="005C7E11">
        <w:t>purpose of the RRTA should be captured in a reformed EOA (for example, in the preamble, purposes and objectives of the Act).</w:t>
      </w:r>
    </w:p>
    <w:p w14:paraId="380EAC2D" w14:textId="003716F5" w:rsidR="00466252" w:rsidRDefault="00466252" w:rsidP="000E4866">
      <w:pPr>
        <w:pStyle w:val="BodyText"/>
      </w:pPr>
      <w:r>
        <w:t xml:space="preserve">Incorporating Victoria’s </w:t>
      </w:r>
      <w:r w:rsidR="00381A3B">
        <w:t>vilification</w:t>
      </w:r>
      <w:r>
        <w:t xml:space="preserve"> laws in the EOA would require consequential amendments to the EOA to: </w:t>
      </w:r>
    </w:p>
    <w:p w14:paraId="096DEE23" w14:textId="6CFA06A7" w:rsidR="00466252" w:rsidRDefault="00466252" w:rsidP="00DD66BA">
      <w:pPr>
        <w:pStyle w:val="ListBullet"/>
      </w:pPr>
      <w:r>
        <w:t xml:space="preserve">update the purposes and objectives of the EOA </w:t>
      </w:r>
    </w:p>
    <w:p w14:paraId="54B9DA0E" w14:textId="06A631E8" w:rsidR="00466252" w:rsidRDefault="00466252" w:rsidP="00DD66BA">
      <w:pPr>
        <w:pStyle w:val="ListBullet"/>
      </w:pPr>
      <w:r>
        <w:t xml:space="preserve">extend the Commission’s functions and powers </w:t>
      </w:r>
      <w:r w:rsidR="008A27D7">
        <w:t>to</w:t>
      </w:r>
      <w:r>
        <w:t xml:space="preserve"> vilification </w:t>
      </w:r>
      <w:r w:rsidR="00174A95">
        <w:t>(</w:t>
      </w:r>
      <w:r w:rsidR="00B008AE">
        <w:t>part 5.6)</w:t>
      </w:r>
    </w:p>
    <w:p w14:paraId="0876E27A" w14:textId="62966B75" w:rsidR="00722029" w:rsidRDefault="00722029" w:rsidP="00DD66BA">
      <w:pPr>
        <w:pStyle w:val="ListBullet"/>
      </w:pPr>
      <w:r>
        <w:t xml:space="preserve">update and modernise the </w:t>
      </w:r>
      <w:r w:rsidR="0092306B">
        <w:t xml:space="preserve">protected attributes </w:t>
      </w:r>
      <w:r w:rsidR="00F73BB2">
        <w:t>of ‘sexual orientation’</w:t>
      </w:r>
      <w:r w:rsidR="00090E20">
        <w:t xml:space="preserve">, </w:t>
      </w:r>
      <w:r w:rsidR="00F73BB2">
        <w:t>‘gender identity</w:t>
      </w:r>
      <w:r w:rsidR="005C7E11">
        <w:t>’</w:t>
      </w:r>
      <w:r w:rsidR="00F73BB2">
        <w:t xml:space="preserve">, </w:t>
      </w:r>
      <w:r w:rsidR="00090E20">
        <w:t xml:space="preserve">and ‘gender’, </w:t>
      </w:r>
      <w:r w:rsidR="00F73BB2">
        <w:t xml:space="preserve">and introduce a new attribute to protect </w:t>
      </w:r>
      <w:r w:rsidR="00174A95">
        <w:t>intersex people, in consultation with relevant stakeholders from the LGBTIQ community (</w:t>
      </w:r>
      <w:r w:rsidR="00B008AE">
        <w:t>part 5.2.1).</w:t>
      </w:r>
      <w:r w:rsidR="00174A95">
        <w:t xml:space="preserve"> </w:t>
      </w:r>
    </w:p>
    <w:p w14:paraId="53AFEC23" w14:textId="77777777" w:rsidR="003C0A9C" w:rsidRDefault="00D32FBB" w:rsidP="000E4866">
      <w:pPr>
        <w:pStyle w:val="BodyText"/>
      </w:pPr>
      <w:r>
        <w:t xml:space="preserve">If </w:t>
      </w:r>
      <w:r w:rsidR="00B91FBB">
        <w:t>vilification continues to be regulated in a standalone Act, the Commission considers that the title of the RRTA should be replaced with a title</w:t>
      </w:r>
      <w:r w:rsidR="003C0A9C">
        <w:t xml:space="preserve"> that:</w:t>
      </w:r>
    </w:p>
    <w:p w14:paraId="5838397F" w14:textId="71496E83" w:rsidR="00D32FBB" w:rsidRDefault="003C0A9C" w:rsidP="00805B0C">
      <w:pPr>
        <w:pStyle w:val="ListBullet"/>
      </w:pPr>
      <w:r>
        <w:t>is inclusive of any additional attributes protected by a reformed Act</w:t>
      </w:r>
    </w:p>
    <w:p w14:paraId="628EFB5A" w14:textId="5B7922A9" w:rsidR="00CB19FB" w:rsidRDefault="00D75F65" w:rsidP="00805B0C">
      <w:pPr>
        <w:pStyle w:val="ListBullet"/>
      </w:pPr>
      <w:r>
        <w:t>removes the word ‘tolerance’ to promote respect for and the celebration of diversity</w:t>
      </w:r>
      <w:r w:rsidR="0050268F">
        <w:t xml:space="preserve">, rather than tolerance. </w:t>
      </w:r>
    </w:p>
    <w:p w14:paraId="5133A102" w14:textId="1F924564" w:rsidR="00DD3D31" w:rsidRDefault="00DD3D31" w:rsidP="00DD3D31">
      <w:pPr>
        <w:pStyle w:val="BodyText"/>
      </w:pPr>
      <w:r>
        <w:t xml:space="preserve">As suggested by the Ballarat African Association, we need to </w:t>
      </w:r>
      <w:r w:rsidR="005B6423">
        <w:t>“</w:t>
      </w:r>
      <w:r>
        <w:t>move beyond tolerance to acceptance and to embrace other people’s values</w:t>
      </w:r>
      <w:r w:rsidR="005B6423">
        <w:t>”</w:t>
      </w:r>
      <w:r>
        <w:t>.</w:t>
      </w:r>
      <w:r>
        <w:rPr>
          <w:rStyle w:val="EndnoteReference"/>
        </w:rPr>
        <w:endnoteReference w:id="283"/>
      </w:r>
    </w:p>
    <w:tbl>
      <w:tblPr>
        <w:tblStyle w:val="CustomTablerecommendationsbox"/>
        <w:tblW w:w="0" w:type="auto"/>
        <w:tblLook w:val="04A0" w:firstRow="1" w:lastRow="0" w:firstColumn="1" w:lastColumn="0" w:noHBand="0" w:noVBand="1"/>
      </w:tblPr>
      <w:tblGrid>
        <w:gridCol w:w="9061"/>
      </w:tblGrid>
      <w:tr w:rsidR="00080E5F" w14:paraId="7C79450A" w14:textId="77777777" w:rsidTr="00080E5F">
        <w:tc>
          <w:tcPr>
            <w:tcW w:w="9061" w:type="dxa"/>
          </w:tcPr>
          <w:p w14:paraId="20C991F2" w14:textId="77777777" w:rsidR="00080E5F" w:rsidRDefault="00080E5F" w:rsidP="00C67716">
            <w:pPr>
              <w:pStyle w:val="RecommendationList"/>
              <w:numPr>
                <w:ilvl w:val="1"/>
                <w:numId w:val="34"/>
              </w:numPr>
            </w:pPr>
          </w:p>
          <w:p w14:paraId="1301DAF2" w14:textId="77777777" w:rsidR="00C17A92" w:rsidRPr="00C17A92" w:rsidRDefault="00C17A92" w:rsidP="00C17A92">
            <w:pPr>
              <w:pStyle w:val="BodyText"/>
              <w:rPr>
                <w:rStyle w:val="Characterclear"/>
              </w:rPr>
            </w:pPr>
            <w:r w:rsidRPr="00C17A92">
              <w:t xml:space="preserve">The Victorian Government should incorporate Victoria’s vilification laws in the </w:t>
            </w:r>
            <w:r w:rsidRPr="00C17A92">
              <w:rPr>
                <w:rStyle w:val="Characteritalic"/>
              </w:rPr>
              <w:t xml:space="preserve">Equal Opportunity Act 2010 </w:t>
            </w:r>
            <w:r w:rsidRPr="00C17A92">
              <w:rPr>
                <w:rStyle w:val="Characterclear"/>
              </w:rPr>
              <w:t xml:space="preserve">(Vic). </w:t>
            </w:r>
          </w:p>
          <w:p w14:paraId="5A5EA8A9" w14:textId="316B2554" w:rsidR="0050268F" w:rsidRPr="00F07317" w:rsidRDefault="00C17A92" w:rsidP="006D70B9">
            <w:pPr>
              <w:pStyle w:val="BodyText"/>
            </w:pPr>
            <w:r w:rsidRPr="00C17A92">
              <w:t xml:space="preserve">If vilification continues to be regulated in a standalone Act, the Victorian Government should replace the title of the </w:t>
            </w:r>
            <w:r w:rsidRPr="00C17A92">
              <w:rPr>
                <w:rStyle w:val="Characteritalic"/>
              </w:rPr>
              <w:t>Racial and Religious Tolerance Act 2001</w:t>
            </w:r>
            <w:r w:rsidRPr="00C17A92">
              <w:t xml:space="preserve"> (Vic) with a title that is inclusive of any additional protected attributes and which removes the word ‘tolerance’ to promote respect for diversity.</w:t>
            </w:r>
          </w:p>
        </w:tc>
      </w:tr>
    </w:tbl>
    <w:p w14:paraId="014C8245" w14:textId="7520B22F" w:rsidR="00E1229D" w:rsidRDefault="00E1229D" w:rsidP="00F07317">
      <w:pPr>
        <w:pStyle w:val="Heading2"/>
      </w:pPr>
      <w:bookmarkStart w:id="31" w:name="_Toc31392344"/>
      <w:bookmarkEnd w:id="30"/>
      <w:r>
        <w:t>Strengthening protections</w:t>
      </w:r>
      <w:bookmarkEnd w:id="31"/>
      <w:r>
        <w:t xml:space="preserve"> </w:t>
      </w:r>
    </w:p>
    <w:p w14:paraId="78499ABC" w14:textId="2B7EF6FC" w:rsidR="0049703E" w:rsidRDefault="00175317" w:rsidP="00E1229D">
      <w:pPr>
        <w:pStyle w:val="Heading3"/>
      </w:pPr>
      <w:r>
        <w:t xml:space="preserve">The law should protect </w:t>
      </w:r>
      <w:r w:rsidR="00EB0E75">
        <w:t>a br</w:t>
      </w:r>
      <w:r w:rsidR="00152C5D">
        <w:t>oader range of people</w:t>
      </w:r>
      <w:r>
        <w:t xml:space="preserve"> </w:t>
      </w:r>
    </w:p>
    <w:p w14:paraId="6F37BC85" w14:textId="518D4371" w:rsidR="00EA31B2" w:rsidRDefault="000F39D7" w:rsidP="00EA31B2">
      <w:pPr>
        <w:pStyle w:val="BodyText"/>
      </w:pPr>
      <w:r>
        <w:t>The</w:t>
      </w:r>
      <w:r w:rsidR="00F41833">
        <w:t xml:space="preserve"> RRTA</w:t>
      </w:r>
      <w:r w:rsidR="000224CE">
        <w:t xml:space="preserve"> currently only protects Victorians from vilification because of their race or religion. This is</w:t>
      </w:r>
      <w:r w:rsidR="00326FBE">
        <w:t xml:space="preserve"> despite the fact that the impacts of hate extend to a much broader range of people</w:t>
      </w:r>
      <w:r w:rsidR="00180AEA">
        <w:t xml:space="preserve">. </w:t>
      </w:r>
      <w:r w:rsidR="00772D5D">
        <w:t>As demonstrated in part</w:t>
      </w:r>
      <w:r w:rsidR="00191697">
        <w:t xml:space="preserve"> </w:t>
      </w:r>
      <w:r w:rsidR="002304FD">
        <w:t>3.5</w:t>
      </w:r>
      <w:r w:rsidR="00772D5D">
        <w:t xml:space="preserve">, there is compelling evidence to extend </w:t>
      </w:r>
      <w:r w:rsidR="0049371C">
        <w:t xml:space="preserve">Victoria’s </w:t>
      </w:r>
      <w:r w:rsidR="00381A3B">
        <w:t>vilification</w:t>
      </w:r>
      <w:r w:rsidR="0049371C">
        <w:t xml:space="preserve"> laws to the following protected attributes: </w:t>
      </w:r>
    </w:p>
    <w:p w14:paraId="3B1A428E" w14:textId="6FD07997" w:rsidR="0049371C" w:rsidRDefault="0049371C" w:rsidP="00EA31B2">
      <w:pPr>
        <w:pStyle w:val="ListBullet"/>
      </w:pPr>
      <w:r>
        <w:lastRenderedPageBreak/>
        <w:t xml:space="preserve">sexual orientation </w:t>
      </w:r>
      <w:r w:rsidR="00056874">
        <w:t>(par</w:t>
      </w:r>
      <w:r w:rsidR="002F7B71">
        <w:t>t 3.5.1</w:t>
      </w:r>
      <w:r w:rsidR="00056874">
        <w:t>)</w:t>
      </w:r>
      <w:r w:rsidR="003508B1">
        <w:rPr>
          <w:rStyle w:val="EndnoteReference"/>
        </w:rPr>
        <w:endnoteReference w:id="284"/>
      </w:r>
    </w:p>
    <w:p w14:paraId="036D4D21" w14:textId="472B1E8B" w:rsidR="0049371C" w:rsidRDefault="000623A5" w:rsidP="00EA31B2">
      <w:pPr>
        <w:pStyle w:val="ListBullet"/>
      </w:pPr>
      <w:r>
        <w:t xml:space="preserve">gender identity </w:t>
      </w:r>
      <w:r w:rsidR="00056874" w:rsidRPr="00056874">
        <w:t>(par</w:t>
      </w:r>
      <w:r w:rsidR="002F7B71">
        <w:t>t 3.5.1)</w:t>
      </w:r>
      <w:r w:rsidR="00F43E17">
        <w:rPr>
          <w:rStyle w:val="EndnoteReference"/>
        </w:rPr>
        <w:endnoteReference w:id="285"/>
      </w:r>
    </w:p>
    <w:p w14:paraId="0CD8F907" w14:textId="4615BEF2" w:rsidR="000623A5" w:rsidRDefault="000623A5" w:rsidP="00EA31B2">
      <w:pPr>
        <w:pStyle w:val="ListBullet"/>
      </w:pPr>
      <w:r>
        <w:t xml:space="preserve">sex characteristics </w:t>
      </w:r>
      <w:r w:rsidR="00056874" w:rsidRPr="00056874">
        <w:t>(part</w:t>
      </w:r>
      <w:r w:rsidR="002F7B71">
        <w:t xml:space="preserve"> 3.5.1</w:t>
      </w:r>
      <w:r w:rsidR="00056874" w:rsidRPr="00056874">
        <w:t>)</w:t>
      </w:r>
      <w:r w:rsidR="003508B1">
        <w:rPr>
          <w:rStyle w:val="EndnoteReference"/>
        </w:rPr>
        <w:endnoteReference w:id="286"/>
      </w:r>
    </w:p>
    <w:p w14:paraId="46713873" w14:textId="23083AD6" w:rsidR="000623A5" w:rsidRDefault="000623A5" w:rsidP="00EA31B2">
      <w:pPr>
        <w:pStyle w:val="ListBullet"/>
      </w:pPr>
      <w:r>
        <w:t xml:space="preserve">gender </w:t>
      </w:r>
      <w:r w:rsidR="00056874" w:rsidRPr="00056874">
        <w:t>(part</w:t>
      </w:r>
      <w:r w:rsidR="002F7B71">
        <w:t xml:space="preserve"> 3.5.2</w:t>
      </w:r>
      <w:r w:rsidR="00056874" w:rsidRPr="00056874">
        <w:t>)</w:t>
      </w:r>
      <w:r w:rsidR="00F43E17">
        <w:rPr>
          <w:rStyle w:val="EndnoteReference"/>
        </w:rPr>
        <w:endnoteReference w:id="287"/>
      </w:r>
    </w:p>
    <w:p w14:paraId="21B97EB0" w14:textId="3B46C0C9" w:rsidR="000623A5" w:rsidRDefault="000623A5" w:rsidP="00EA31B2">
      <w:pPr>
        <w:pStyle w:val="ListBullet"/>
      </w:pPr>
      <w:r>
        <w:t>disability</w:t>
      </w:r>
      <w:r w:rsidR="004B48BA">
        <w:rPr>
          <w:rStyle w:val="EndnoteReference"/>
        </w:rPr>
        <w:endnoteReference w:id="288"/>
      </w:r>
      <w:r>
        <w:t xml:space="preserve"> </w:t>
      </w:r>
      <w:r w:rsidR="00056874" w:rsidRPr="00056874">
        <w:t>(part</w:t>
      </w:r>
      <w:r w:rsidR="002F7B71">
        <w:t xml:space="preserve"> 3.5.3</w:t>
      </w:r>
      <w:r w:rsidR="00056874" w:rsidRPr="00056874">
        <w:t>)</w:t>
      </w:r>
    </w:p>
    <w:p w14:paraId="60254882" w14:textId="113B0E0B" w:rsidR="000623A5" w:rsidRDefault="000623A5" w:rsidP="00EA31B2">
      <w:pPr>
        <w:pStyle w:val="ListBullet"/>
      </w:pPr>
      <w:r>
        <w:t>personal association</w:t>
      </w:r>
      <w:r w:rsidR="00056874">
        <w:t xml:space="preserve"> </w:t>
      </w:r>
      <w:r w:rsidR="00056874" w:rsidRPr="00056874">
        <w:t>(part</w:t>
      </w:r>
      <w:r w:rsidR="002F7B71">
        <w:t xml:space="preserve"> 3.5.4</w:t>
      </w:r>
      <w:r w:rsidR="00056874" w:rsidRPr="00056874">
        <w:t>)</w:t>
      </w:r>
      <w:r w:rsidR="00056874">
        <w:t xml:space="preserve">. </w:t>
      </w:r>
    </w:p>
    <w:p w14:paraId="0B1CF540" w14:textId="77777777" w:rsidR="008A69C4" w:rsidRPr="008A69C4" w:rsidRDefault="008A69C4" w:rsidP="008A69C4">
      <w:pPr>
        <w:pStyle w:val="BodyText"/>
      </w:pPr>
      <w:r w:rsidRPr="008A69C4">
        <w:t>Extending protections to the proposed attributes would:</w:t>
      </w:r>
    </w:p>
    <w:p w14:paraId="70F9413C" w14:textId="77777777" w:rsidR="008A69C4" w:rsidRPr="008A69C4" w:rsidRDefault="008A69C4" w:rsidP="008A69C4">
      <w:pPr>
        <w:pStyle w:val="ListBullet"/>
        <w:numPr>
          <w:ilvl w:val="0"/>
          <w:numId w:val="3"/>
        </w:numPr>
      </w:pPr>
      <w:r w:rsidRPr="008A69C4">
        <w:t xml:space="preserve">ensure consistency with best practice jurisdictions in Australia </w:t>
      </w:r>
    </w:p>
    <w:p w14:paraId="2548825A" w14:textId="1FBCD76C" w:rsidR="008A69C4" w:rsidRPr="008A69C4" w:rsidRDefault="00B41A2A" w:rsidP="008A69C4">
      <w:pPr>
        <w:pStyle w:val="ListBullet"/>
        <w:numPr>
          <w:ilvl w:val="0"/>
          <w:numId w:val="3"/>
        </w:numPr>
      </w:pPr>
      <w:r>
        <w:t xml:space="preserve">acknowledge and seek to remedy the profound harm </w:t>
      </w:r>
      <w:r w:rsidR="005C76F5">
        <w:t xml:space="preserve">experienced by </w:t>
      </w:r>
      <w:r w:rsidR="008A69C4" w:rsidRPr="008A69C4">
        <w:t xml:space="preserve">the broad range of people who are targeted by </w:t>
      </w:r>
      <w:r w:rsidR="005C76F5">
        <w:t xml:space="preserve">hate in the Victorian community </w:t>
      </w:r>
    </w:p>
    <w:p w14:paraId="2581F319" w14:textId="5D675310" w:rsidR="00E968A7" w:rsidRPr="00E968A7" w:rsidRDefault="00E968A7" w:rsidP="00E968A7">
      <w:pPr>
        <w:pStyle w:val="ListBullet"/>
        <w:numPr>
          <w:ilvl w:val="0"/>
          <w:numId w:val="3"/>
        </w:numPr>
      </w:pPr>
      <w:r w:rsidRPr="00E968A7">
        <w:t xml:space="preserve">provide more effective redress for people who experience high rates of compounding intersectional forms of hate, such as Muslim </w:t>
      </w:r>
      <w:r w:rsidR="00A84192">
        <w:t>and African women</w:t>
      </w:r>
    </w:p>
    <w:p w14:paraId="3D21D045" w14:textId="78E4CFCF" w:rsidR="008A69C4" w:rsidRDefault="008A69C4" w:rsidP="00E76C10">
      <w:pPr>
        <w:pStyle w:val="ListBullet"/>
        <w:numPr>
          <w:ilvl w:val="0"/>
          <w:numId w:val="3"/>
        </w:numPr>
      </w:pPr>
      <w:r w:rsidRPr="008A69C4">
        <w:t xml:space="preserve">ensure that the Victorian Government sends a strong message about the standards of behaviour expected in the diverse Victorian community. </w:t>
      </w:r>
    </w:p>
    <w:p w14:paraId="39C98FCE" w14:textId="3EB38DFB" w:rsidR="00035D45" w:rsidRDefault="0066368B" w:rsidP="00E76C10">
      <w:pPr>
        <w:pStyle w:val="BodyText"/>
      </w:pPr>
      <w:r>
        <w:t>Importantly, to address the intersectional nature of hate, a person should be able to bring a complaint</w:t>
      </w:r>
      <w:r w:rsidR="00240EE2">
        <w:t>, make an application to VCAT</w:t>
      </w:r>
      <w:r>
        <w:t xml:space="preserve"> </w:t>
      </w:r>
      <w:r w:rsidR="00240EE2">
        <w:t xml:space="preserve">or report a crime to police on the basis of multiple </w:t>
      </w:r>
      <w:r w:rsidR="002F2146">
        <w:t xml:space="preserve">intersecting </w:t>
      </w:r>
      <w:r w:rsidR="00240EE2">
        <w:t>attributes</w:t>
      </w:r>
      <w:r w:rsidR="002F2146">
        <w:t xml:space="preserve">, recognising the way different attributes interact with one another to exacerbate and particularise harm. </w:t>
      </w:r>
    </w:p>
    <w:p w14:paraId="36A7FAF1" w14:textId="3F4AE9D1" w:rsidR="0066368B" w:rsidRDefault="002F2146" w:rsidP="00E76C10">
      <w:pPr>
        <w:pStyle w:val="BodyText"/>
      </w:pPr>
      <w:r>
        <w:t xml:space="preserve">In addition to including additional attributes, the reformed law should acknowledge the intersectional nature of vilification (as well as discrimination and sexual harassment) in its preamble, purposes or objectives. </w:t>
      </w:r>
      <w:r w:rsidR="00240EE2">
        <w:t xml:space="preserve">This would help to acknowledge the compounding impact of </w:t>
      </w:r>
      <w:r w:rsidR="00B126D3">
        <w:t xml:space="preserve">hate for people who are targeted </w:t>
      </w:r>
      <w:r w:rsidR="00AE4334">
        <w:t>on the basis of multiple attributes.</w:t>
      </w:r>
      <w:r w:rsidR="00841BEA">
        <w:rPr>
          <w:rStyle w:val="EndnoteReference"/>
        </w:rPr>
        <w:endnoteReference w:id="289"/>
      </w:r>
      <w:r w:rsidR="00AE4334">
        <w:t xml:space="preserve"> </w:t>
      </w:r>
    </w:p>
    <w:p w14:paraId="2838A435" w14:textId="1C8DEE23" w:rsidR="001B5B8C" w:rsidRDefault="0072455A" w:rsidP="00E76C10">
      <w:pPr>
        <w:pStyle w:val="BodyText"/>
        <w:rPr>
          <w:rStyle w:val="Characterclear"/>
        </w:rPr>
      </w:pPr>
      <w:r w:rsidRPr="00364D3D">
        <w:rPr>
          <w:rStyle w:val="Characterclear"/>
        </w:rPr>
        <w:t xml:space="preserve">The Commission considers that </w:t>
      </w:r>
      <w:r w:rsidR="000409EA" w:rsidRPr="00364D3D">
        <w:rPr>
          <w:rStyle w:val="Characterclear"/>
        </w:rPr>
        <w:t xml:space="preserve">the </w:t>
      </w:r>
      <w:r w:rsidR="00B375F7">
        <w:rPr>
          <w:rStyle w:val="Characterclear"/>
        </w:rPr>
        <w:t xml:space="preserve">‘sex’ </w:t>
      </w:r>
      <w:r w:rsidR="000409EA" w:rsidRPr="00364D3D">
        <w:rPr>
          <w:rStyle w:val="Characterclear"/>
        </w:rPr>
        <w:t xml:space="preserve">inclusive attribute of </w:t>
      </w:r>
      <w:r w:rsidRPr="00364D3D">
        <w:rPr>
          <w:rStyle w:val="Characterclear"/>
        </w:rPr>
        <w:t>‘gender’ is</w:t>
      </w:r>
      <w:r w:rsidR="00B542AB" w:rsidRPr="00364D3D">
        <w:rPr>
          <w:rStyle w:val="Characterclear"/>
        </w:rPr>
        <w:t xml:space="preserve"> the most appropriate attribute to protect women</w:t>
      </w:r>
      <w:r w:rsidR="003164E7" w:rsidRPr="00364D3D">
        <w:rPr>
          <w:rStyle w:val="Characterclear"/>
        </w:rPr>
        <w:t xml:space="preserve"> from vilification</w:t>
      </w:r>
      <w:r w:rsidR="00F43E17">
        <w:rPr>
          <w:rStyle w:val="Characterclear"/>
        </w:rPr>
        <w:t xml:space="preserve"> (even though the EOA does not include this attribute but instead protects ‘sex’)</w:t>
      </w:r>
      <w:r w:rsidR="003164E7" w:rsidRPr="00364D3D">
        <w:rPr>
          <w:rStyle w:val="Characterclear"/>
        </w:rPr>
        <w:t xml:space="preserve">. </w:t>
      </w:r>
      <w:r w:rsidR="00F43E17">
        <w:rPr>
          <w:rStyle w:val="Characterclear"/>
        </w:rPr>
        <w:t>A</w:t>
      </w:r>
      <w:r w:rsidR="000409EA" w:rsidRPr="00364D3D">
        <w:rPr>
          <w:rStyle w:val="Characterclear"/>
        </w:rPr>
        <w:t xml:space="preserve">s noted by the </w:t>
      </w:r>
      <w:r w:rsidR="00AB58FB" w:rsidRPr="00364D3D">
        <w:rPr>
          <w:rStyle w:val="Characterclear"/>
        </w:rPr>
        <w:t xml:space="preserve">Women’s Legal Service Victoria </w:t>
      </w:r>
      <w:r w:rsidR="000D4450" w:rsidRPr="00364D3D">
        <w:rPr>
          <w:rStyle w:val="Characterclear"/>
        </w:rPr>
        <w:t xml:space="preserve">(WLSV) </w:t>
      </w:r>
      <w:r w:rsidR="000409EA" w:rsidRPr="00364D3D">
        <w:rPr>
          <w:rStyle w:val="Characterclear"/>
        </w:rPr>
        <w:t xml:space="preserve">and the </w:t>
      </w:r>
      <w:r w:rsidR="005B6423">
        <w:rPr>
          <w:rStyle w:val="Characterclear"/>
        </w:rPr>
        <w:t xml:space="preserve">Centre Against Sexual Assault </w:t>
      </w:r>
      <w:r w:rsidR="00FF7257">
        <w:rPr>
          <w:rStyle w:val="Characterclear"/>
        </w:rPr>
        <w:t>Forum (the peak body for Victoria’s Centres Against Sexual Assault)</w:t>
      </w:r>
      <w:r w:rsidR="000409EA" w:rsidRPr="00364D3D">
        <w:rPr>
          <w:rStyle w:val="Characterclear"/>
        </w:rPr>
        <w:t xml:space="preserve">, it is important that the law provides context for the inclusion of </w:t>
      </w:r>
      <w:r w:rsidR="00364D3D" w:rsidRPr="00364D3D">
        <w:rPr>
          <w:rStyle w:val="Characterclear"/>
        </w:rPr>
        <w:t>‘gender’ as an attribute to protect women</w:t>
      </w:r>
      <w:r w:rsidR="00AD02D0">
        <w:rPr>
          <w:rStyle w:val="Characterclear"/>
        </w:rPr>
        <w:t>.</w:t>
      </w:r>
      <w:r w:rsidR="0013621B">
        <w:rPr>
          <w:rStyle w:val="EndnoteReference"/>
          <w:lang w:eastAsia="en-AU"/>
        </w:rPr>
        <w:endnoteReference w:id="290"/>
      </w:r>
      <w:r w:rsidR="00AD02D0">
        <w:rPr>
          <w:rStyle w:val="Characterclear"/>
        </w:rPr>
        <w:t xml:space="preserve"> For example, this could be done through the preamble, purposes or objectives of the law or a second reading speech.</w:t>
      </w:r>
      <w:r w:rsidR="00AD02D0">
        <w:rPr>
          <w:rStyle w:val="EndnoteReference"/>
          <w:lang w:eastAsia="en-AU"/>
        </w:rPr>
        <w:endnoteReference w:id="291"/>
      </w:r>
    </w:p>
    <w:p w14:paraId="0C2452A6" w14:textId="3C0CAF46" w:rsidR="00065CE0" w:rsidRPr="00364D3D" w:rsidRDefault="00364D3D" w:rsidP="00F43E17">
      <w:pPr>
        <w:pStyle w:val="BodyText"/>
        <w:rPr>
          <w:rStyle w:val="Characterclear"/>
        </w:rPr>
      </w:pPr>
      <w:r w:rsidRPr="00364D3D">
        <w:rPr>
          <w:rStyle w:val="Characterclear"/>
        </w:rPr>
        <w:t>Significantly, any reform to extend protections to women should be linked to th</w:t>
      </w:r>
      <w:r w:rsidR="00F43E17">
        <w:rPr>
          <w:rStyle w:val="Characterclear"/>
        </w:rPr>
        <w:t xml:space="preserve">e </w:t>
      </w:r>
      <w:r w:rsidRPr="00364D3D">
        <w:rPr>
          <w:rStyle w:val="Characterclear"/>
        </w:rPr>
        <w:t>broader public policy context of violence against women and family violence</w:t>
      </w:r>
      <w:r w:rsidR="00065CE0" w:rsidRPr="00364D3D">
        <w:rPr>
          <w:rStyle w:val="Characterclear"/>
        </w:rPr>
        <w:t>.</w:t>
      </w:r>
      <w:r w:rsidR="00065CE0" w:rsidRPr="00552502">
        <w:rPr>
          <w:rStyle w:val="Charactersuperscript"/>
        </w:rPr>
        <w:endnoteReference w:id="292"/>
      </w:r>
      <w:r w:rsidR="000E36CD" w:rsidRPr="00552502">
        <w:rPr>
          <w:rStyle w:val="Charactersuperscript"/>
        </w:rPr>
        <w:t xml:space="preserve"> </w:t>
      </w:r>
    </w:p>
    <w:p w14:paraId="7B449531" w14:textId="68B9008F" w:rsidR="00286C10" w:rsidRDefault="00091DB1" w:rsidP="00552502">
      <w:pPr>
        <w:pStyle w:val="BodyText"/>
      </w:pPr>
      <w:r>
        <w:t>The proposed additional attributes</w:t>
      </w:r>
      <w:r w:rsidR="008E2AA8">
        <w:t xml:space="preserve"> (</w:t>
      </w:r>
      <w:r>
        <w:t xml:space="preserve">as well as the existing </w:t>
      </w:r>
      <w:r w:rsidR="006F48C3">
        <w:t>attributes of ‘race’ and ‘religious belief or activity’</w:t>
      </w:r>
      <w:r w:rsidR="008E2AA8">
        <w:t>)</w:t>
      </w:r>
      <w:r w:rsidR="006F48C3">
        <w:t xml:space="preserve"> </w:t>
      </w:r>
      <w:r w:rsidR="00056874">
        <w:t xml:space="preserve">should be protected by </w:t>
      </w:r>
      <w:r w:rsidR="00552502">
        <w:t xml:space="preserve">the </w:t>
      </w:r>
      <w:r w:rsidR="00F31AD3">
        <w:t xml:space="preserve">reformed </w:t>
      </w:r>
      <w:r w:rsidR="00381A3B">
        <w:t>vilification</w:t>
      </w:r>
      <w:r w:rsidR="00F31AD3">
        <w:t xml:space="preserve"> laws including</w:t>
      </w:r>
      <w:r w:rsidR="00552502">
        <w:t xml:space="preserve"> </w:t>
      </w:r>
      <w:r w:rsidR="00F31AD3">
        <w:t xml:space="preserve">the reformed </w:t>
      </w:r>
      <w:r w:rsidR="005962D1">
        <w:t xml:space="preserve">civil </w:t>
      </w:r>
      <w:r w:rsidR="00F31AD3">
        <w:t xml:space="preserve">incitement provision </w:t>
      </w:r>
      <w:r w:rsidR="00F31AD3" w:rsidRPr="00F31AD3">
        <w:t>(par</w:t>
      </w:r>
      <w:r w:rsidR="00D719CC">
        <w:t>t 5.3.1)</w:t>
      </w:r>
      <w:r w:rsidR="00552502">
        <w:t xml:space="preserve">; </w:t>
      </w:r>
      <w:r w:rsidR="00F31AD3">
        <w:t xml:space="preserve">complementary harm-based </w:t>
      </w:r>
      <w:r w:rsidR="008B29BD">
        <w:t xml:space="preserve">civil </w:t>
      </w:r>
      <w:r w:rsidR="00F31AD3">
        <w:t xml:space="preserve">provision </w:t>
      </w:r>
      <w:r w:rsidR="00F31AD3" w:rsidRPr="00F31AD3">
        <w:t>(</w:t>
      </w:r>
      <w:r w:rsidR="00D719CC">
        <w:t>part 5.3.2)</w:t>
      </w:r>
      <w:r w:rsidR="00552502">
        <w:t xml:space="preserve"> and </w:t>
      </w:r>
      <w:r w:rsidR="00351827">
        <w:t xml:space="preserve">the reformed criminal offences </w:t>
      </w:r>
      <w:r w:rsidR="00351827" w:rsidRPr="00351827">
        <w:t>(</w:t>
      </w:r>
      <w:r w:rsidR="00D719CC">
        <w:t>part 5.3.4).</w:t>
      </w:r>
      <w:r w:rsidR="00351827">
        <w:t xml:space="preserve"> </w:t>
      </w:r>
      <w:bookmarkStart w:id="32" w:name="_Toc25578843"/>
      <w:r w:rsidR="005D469B" w:rsidRPr="005D469B">
        <w:t xml:space="preserve"> </w:t>
      </w:r>
    </w:p>
    <w:tbl>
      <w:tblPr>
        <w:tblStyle w:val="CustomTablerecommendationsbox"/>
        <w:tblW w:w="0" w:type="auto"/>
        <w:tblLook w:val="04A0" w:firstRow="1" w:lastRow="0" w:firstColumn="1" w:lastColumn="0" w:noHBand="0" w:noVBand="1"/>
      </w:tblPr>
      <w:tblGrid>
        <w:gridCol w:w="9061"/>
      </w:tblGrid>
      <w:tr w:rsidR="0087793B" w14:paraId="6EC250BF" w14:textId="77777777" w:rsidTr="0087793B">
        <w:tc>
          <w:tcPr>
            <w:tcW w:w="9061" w:type="dxa"/>
          </w:tcPr>
          <w:p w14:paraId="63FC5890" w14:textId="77777777" w:rsidR="0087793B" w:rsidRDefault="0087793B" w:rsidP="0087793B">
            <w:pPr>
              <w:pStyle w:val="RecommendationList"/>
            </w:pPr>
          </w:p>
          <w:p w14:paraId="044AC0D1" w14:textId="77777777" w:rsidR="00C17A92" w:rsidRPr="00C17A92" w:rsidRDefault="00C17A92" w:rsidP="00C17A92">
            <w:pPr>
              <w:pStyle w:val="BodyText"/>
            </w:pPr>
            <w:r w:rsidRPr="00C17A92">
              <w:t xml:space="preserve">The Victorian Government should extend the protections under Victoria’s reformed vilification laws to the following attributes: </w:t>
            </w:r>
          </w:p>
          <w:p w14:paraId="42D3B30B" w14:textId="15CE8D12" w:rsidR="00C17A92" w:rsidRPr="00C17A92" w:rsidRDefault="00C17A92" w:rsidP="00C17A92">
            <w:pPr>
              <w:pStyle w:val="ListBullet"/>
              <w:numPr>
                <w:ilvl w:val="0"/>
                <w:numId w:val="3"/>
              </w:numPr>
            </w:pPr>
            <w:r w:rsidRPr="00C17A92">
              <w:t>race</w:t>
            </w:r>
          </w:p>
          <w:p w14:paraId="4E8891C6" w14:textId="3006986C" w:rsidR="00C17A92" w:rsidRPr="00C17A92" w:rsidRDefault="00C17A92" w:rsidP="00C17A92">
            <w:pPr>
              <w:pStyle w:val="ListBullet"/>
              <w:numPr>
                <w:ilvl w:val="0"/>
                <w:numId w:val="3"/>
              </w:numPr>
            </w:pPr>
            <w:r w:rsidRPr="00C17A92">
              <w:t>religious belief or activity</w:t>
            </w:r>
          </w:p>
          <w:p w14:paraId="684D3E88" w14:textId="08123982" w:rsidR="00C17A92" w:rsidRPr="00C17A92" w:rsidRDefault="00C17A92" w:rsidP="00C17A92">
            <w:pPr>
              <w:pStyle w:val="ListBullet"/>
              <w:numPr>
                <w:ilvl w:val="0"/>
                <w:numId w:val="3"/>
              </w:numPr>
            </w:pPr>
            <w:r w:rsidRPr="00C17A92">
              <w:t xml:space="preserve">sexual orientation </w:t>
            </w:r>
          </w:p>
          <w:p w14:paraId="7664CCEE" w14:textId="3E34F4A3" w:rsidR="00C17A92" w:rsidRPr="00C17A92" w:rsidRDefault="00C17A92" w:rsidP="00C17A92">
            <w:pPr>
              <w:pStyle w:val="ListBullet"/>
              <w:numPr>
                <w:ilvl w:val="0"/>
                <w:numId w:val="3"/>
              </w:numPr>
            </w:pPr>
            <w:r w:rsidRPr="00C17A92">
              <w:t>gender identity</w:t>
            </w:r>
          </w:p>
          <w:p w14:paraId="1416CB63" w14:textId="1099E4D7" w:rsidR="00C17A92" w:rsidRPr="00C17A92" w:rsidRDefault="00C17A92" w:rsidP="00C17A92">
            <w:pPr>
              <w:pStyle w:val="ListBullet"/>
              <w:numPr>
                <w:ilvl w:val="0"/>
                <w:numId w:val="3"/>
              </w:numPr>
            </w:pPr>
            <w:r w:rsidRPr="00C17A92">
              <w:lastRenderedPageBreak/>
              <w:t>sex characteristics</w:t>
            </w:r>
          </w:p>
          <w:p w14:paraId="4985516F" w14:textId="7AECB47D" w:rsidR="00C17A92" w:rsidRPr="00C17A92" w:rsidRDefault="00C17A92" w:rsidP="00C17A92">
            <w:pPr>
              <w:pStyle w:val="ListBullet"/>
              <w:numPr>
                <w:ilvl w:val="0"/>
                <w:numId w:val="3"/>
              </w:numPr>
            </w:pPr>
            <w:r w:rsidRPr="00C17A92">
              <w:t>gender</w:t>
            </w:r>
          </w:p>
          <w:p w14:paraId="1A91D935" w14:textId="65D51BF0" w:rsidR="00C17A92" w:rsidRPr="00C17A92" w:rsidRDefault="00C17A92" w:rsidP="00C17A92">
            <w:pPr>
              <w:pStyle w:val="ListBullet"/>
              <w:numPr>
                <w:ilvl w:val="0"/>
                <w:numId w:val="3"/>
              </w:numPr>
            </w:pPr>
            <w:r w:rsidRPr="00C17A92">
              <w:t>disability</w:t>
            </w:r>
          </w:p>
          <w:p w14:paraId="68467D79" w14:textId="77777777" w:rsidR="00C17A92" w:rsidRPr="00C17A92" w:rsidRDefault="00C17A92" w:rsidP="00C17A92">
            <w:pPr>
              <w:pStyle w:val="ListBullet"/>
              <w:numPr>
                <w:ilvl w:val="0"/>
                <w:numId w:val="3"/>
              </w:numPr>
            </w:pPr>
            <w:r w:rsidRPr="00C17A92">
              <w:t xml:space="preserve">personal association. </w:t>
            </w:r>
          </w:p>
          <w:p w14:paraId="4ABB5A7F" w14:textId="71670A25" w:rsidR="00495653" w:rsidRDefault="00495653" w:rsidP="00C17A92">
            <w:pPr>
              <w:pStyle w:val="BodyText"/>
            </w:pPr>
            <w:r>
              <w:t xml:space="preserve">The law should also acknowledge the intersectional nature of vilification and the cumulative impact of </w:t>
            </w:r>
            <w:r w:rsidR="00E53333">
              <w:t>vilification</w:t>
            </w:r>
            <w:r w:rsidR="006A5D3E">
              <w:t xml:space="preserve"> when it occurs because of multiple intersecting attributes. </w:t>
            </w:r>
          </w:p>
          <w:p w14:paraId="73488623" w14:textId="1FEF1FA2" w:rsidR="00C17A92" w:rsidRPr="00C17A92" w:rsidRDefault="00C17A92" w:rsidP="00C17A92">
            <w:pPr>
              <w:pStyle w:val="BodyText"/>
            </w:pPr>
            <w:r w:rsidRPr="00C17A92">
              <w:t xml:space="preserve">All of these attributes should be protected under the reformed civil incitement </w:t>
            </w:r>
            <w:r w:rsidR="009C0669">
              <w:t>provision</w:t>
            </w:r>
            <w:r w:rsidR="006C1F5E">
              <w:t xml:space="preserve"> </w:t>
            </w:r>
            <w:r w:rsidRPr="00C17A92">
              <w:t xml:space="preserve">(recommendations 5 and 6), the proposed complementary </w:t>
            </w:r>
            <w:r w:rsidR="009C0669">
              <w:t xml:space="preserve">civil </w:t>
            </w:r>
            <w:r w:rsidRPr="00C17A92">
              <w:t>harm-based</w:t>
            </w:r>
            <w:r w:rsidR="009C0669">
              <w:t xml:space="preserve"> provision</w:t>
            </w:r>
            <w:r w:rsidRPr="00C17A92">
              <w:t xml:space="preserve"> (recommendation 7) and the reformed </w:t>
            </w:r>
            <w:r w:rsidR="009C0669">
              <w:t xml:space="preserve">criminal </w:t>
            </w:r>
            <w:r w:rsidRPr="00C17A92">
              <w:t>offences (recommendations 9 and 10).</w:t>
            </w:r>
          </w:p>
          <w:p w14:paraId="6A58CB4E" w14:textId="4E27B2E2" w:rsidR="008B4292" w:rsidRDefault="008B4292" w:rsidP="008D06D8">
            <w:pPr>
              <w:pStyle w:val="RecommendationList"/>
            </w:pPr>
          </w:p>
          <w:p w14:paraId="1BE3E767" w14:textId="39B7357C" w:rsidR="008B4292" w:rsidRPr="008D06D8" w:rsidRDefault="008B4292" w:rsidP="008D06D8">
            <w:pPr>
              <w:pStyle w:val="BodyText"/>
            </w:pPr>
            <w:r>
              <w:t>For consistency</w:t>
            </w:r>
            <w:r w:rsidRPr="008B4292">
              <w:t xml:space="preserve"> with the reforms in recommendation 2, the Victorian Government should reform the attributes of ‘sexual orientation’ and ‘gender identity’ and introduce a new attribute of ‘sex characteristics’ under the </w:t>
            </w:r>
            <w:r w:rsidRPr="008B4292">
              <w:rPr>
                <w:rStyle w:val="Characteritalic"/>
              </w:rPr>
              <w:t>Equal Opportunity Act 2010</w:t>
            </w:r>
            <w:r w:rsidRPr="008B4292">
              <w:t xml:space="preserve"> (Vic) for the purposes of discrimination law. </w:t>
            </w:r>
          </w:p>
          <w:p w14:paraId="699B5E66" w14:textId="07B252DC" w:rsidR="00C96C6A" w:rsidRDefault="00C96C6A" w:rsidP="00C67716">
            <w:pPr>
              <w:pStyle w:val="RecommendationList"/>
              <w:numPr>
                <w:ilvl w:val="1"/>
                <w:numId w:val="31"/>
              </w:numPr>
            </w:pPr>
          </w:p>
          <w:p w14:paraId="4B0DE2CB" w14:textId="5D9F01EB" w:rsidR="00C96C6A" w:rsidRPr="0087793B" w:rsidRDefault="00C96C6A" w:rsidP="00E24BC2">
            <w:pPr>
              <w:pStyle w:val="BodyText"/>
            </w:pPr>
            <w:r>
              <w:t xml:space="preserve">The </w:t>
            </w:r>
            <w:r w:rsidRPr="00C96C6A">
              <w:t>Victorian Government should finalise the names and definitions of the attributes relating to ‘sexual orientation’, ‘gender identity’, ‘sex characteristics’ and ‘gender’ in consultation with affected community stakeholders, particularly from the LGBTIQ community, including intersex organisations.</w:t>
            </w:r>
          </w:p>
        </w:tc>
      </w:tr>
    </w:tbl>
    <w:p w14:paraId="57C32C54" w14:textId="33643FC8" w:rsidR="00E1229D" w:rsidRDefault="00E1229D" w:rsidP="00BB574C">
      <w:pPr>
        <w:pStyle w:val="Heading2"/>
      </w:pPr>
      <w:bookmarkStart w:id="33" w:name="_Toc31392345"/>
      <w:bookmarkEnd w:id="32"/>
      <w:r>
        <w:lastRenderedPageBreak/>
        <w:t>Strengthening the law</w:t>
      </w:r>
      <w:bookmarkEnd w:id="33"/>
      <w:r>
        <w:t xml:space="preserve"> </w:t>
      </w:r>
    </w:p>
    <w:p w14:paraId="13443C85" w14:textId="614737CC" w:rsidR="0049703E" w:rsidRDefault="00175317" w:rsidP="00E1229D">
      <w:pPr>
        <w:pStyle w:val="Heading3"/>
      </w:pPr>
      <w:r>
        <w:t>The threshold for vilification should be lowered</w:t>
      </w:r>
      <w:r w:rsidR="006B6431">
        <w:t xml:space="preserve"> </w:t>
      </w:r>
    </w:p>
    <w:p w14:paraId="1E8D191D" w14:textId="6922F4B6" w:rsidR="0049703E" w:rsidRDefault="00B33859" w:rsidP="0035768E">
      <w:pPr>
        <w:pStyle w:val="BodyText"/>
      </w:pPr>
      <w:r>
        <w:t>As</w:t>
      </w:r>
      <w:r w:rsidR="00446B33">
        <w:t xml:space="preserve"> set out in par</w:t>
      </w:r>
      <w:r w:rsidR="00D719CC">
        <w:t>t 4.1.3,</w:t>
      </w:r>
      <w:r w:rsidR="00446B33">
        <w:t xml:space="preserve"> </w:t>
      </w:r>
      <w:r w:rsidR="00446B33" w:rsidRPr="00446B33">
        <w:t xml:space="preserve">the test for vilification under the RRTA </w:t>
      </w:r>
      <w:r>
        <w:t>is</w:t>
      </w:r>
      <w:r w:rsidR="00446B33" w:rsidRPr="00446B33">
        <w:t xml:space="preserve"> too high </w:t>
      </w:r>
      <w:r w:rsidR="00F66724">
        <w:t xml:space="preserve">and difficult to prove. </w:t>
      </w:r>
      <w:r w:rsidR="0035768E">
        <w:t>The Commission considers that it is critical to simplify and lower the test for vilification to ensure that it is accessible and provides effective redress for the significant harm caused to individuals, target communities and broader society.</w:t>
      </w:r>
      <w:r w:rsidR="007E287E">
        <w:t xml:space="preserve"> </w:t>
      </w:r>
    </w:p>
    <w:p w14:paraId="23937A81" w14:textId="5517647F" w:rsidR="0035768E" w:rsidRDefault="00346DC1" w:rsidP="0035768E">
      <w:pPr>
        <w:pStyle w:val="BodyText"/>
      </w:pPr>
      <w:r>
        <w:t>To simplify the law, there should be a single incitement provision</w:t>
      </w:r>
      <w:r w:rsidR="002D6C9D">
        <w:t xml:space="preserve"> that prohibits vilification on the ground of the proposed attributes set out in recommendatio</w:t>
      </w:r>
      <w:r w:rsidR="00AB668B">
        <w:t xml:space="preserve">n 2. </w:t>
      </w:r>
      <w:r w:rsidR="009242C9">
        <w:t>The law should prohibit a spectrum of conduct</w:t>
      </w:r>
      <w:r w:rsidR="00FD54C4">
        <w:t>, retaining an incitement test</w:t>
      </w:r>
      <w:r w:rsidR="009242C9">
        <w:t xml:space="preserve"> aimed at preventing the incitement of hatred against others, while also enacting a complementary, harm-based test (discussed below). </w:t>
      </w:r>
    </w:p>
    <w:p w14:paraId="5CD65616" w14:textId="49298F27" w:rsidR="00E50119" w:rsidRDefault="001F6255" w:rsidP="0035768E">
      <w:pPr>
        <w:pStyle w:val="BodyText"/>
      </w:pPr>
      <w:r>
        <w:t>The</w:t>
      </w:r>
      <w:r w:rsidR="00E50119">
        <w:t xml:space="preserve"> Racial and Religious Tolerance </w:t>
      </w:r>
      <w:r w:rsidR="008A0139">
        <w:t xml:space="preserve">Amendment </w:t>
      </w:r>
      <w:r w:rsidR="00E50119">
        <w:t xml:space="preserve">Bill 2019 proposed </w:t>
      </w:r>
      <w:r w:rsidR="000B3F6F">
        <w:t xml:space="preserve">amending the incitement test by </w:t>
      </w:r>
      <w:r w:rsidR="001412D7">
        <w:t xml:space="preserve">substituting </w:t>
      </w:r>
      <w:r w:rsidR="00032B56">
        <w:t>the word ‘incites’ for the words ‘is likely to incite’</w:t>
      </w:r>
      <w:r w:rsidR="00032B56">
        <w:rPr>
          <w:rStyle w:val="EndnoteReference"/>
        </w:rPr>
        <w:endnoteReference w:id="293"/>
      </w:r>
      <w:r w:rsidR="008A0139">
        <w:t xml:space="preserve"> </w:t>
      </w:r>
      <w:r>
        <w:t>to ensure</w:t>
      </w:r>
      <w:r w:rsidR="00F54BEA">
        <w:t xml:space="preserve"> ‘that the threshold test for vilification does not exceed that for serious vilification’</w:t>
      </w:r>
      <w:r>
        <w:t>.</w:t>
      </w:r>
      <w:r w:rsidR="00F54BEA">
        <w:rPr>
          <w:rStyle w:val="EndnoteReference"/>
        </w:rPr>
        <w:endnoteReference w:id="294"/>
      </w:r>
      <w:r w:rsidR="008A0139">
        <w:t xml:space="preserve"> </w:t>
      </w:r>
      <w:r>
        <w:t>The serious vilification provision</w:t>
      </w:r>
      <w:r w:rsidR="00D7039C">
        <w:t xml:space="preserve"> prohibits conduct </w:t>
      </w:r>
      <w:r w:rsidR="00362B41">
        <w:t>‘</w:t>
      </w:r>
      <w:r w:rsidR="00D7039C">
        <w:t xml:space="preserve">an offender knows </w:t>
      </w:r>
      <w:r w:rsidR="00362B41">
        <w:t>is likely to incite’</w:t>
      </w:r>
      <w:r w:rsidR="00DD1701">
        <w:t xml:space="preserve">. </w:t>
      </w:r>
    </w:p>
    <w:p w14:paraId="358C041E" w14:textId="6B77E971" w:rsidR="00D7039C" w:rsidRDefault="00260EAD" w:rsidP="0035768E">
      <w:pPr>
        <w:pStyle w:val="BodyText"/>
      </w:pPr>
      <w:r>
        <w:t>Amending</w:t>
      </w:r>
      <w:r w:rsidR="00362B41">
        <w:t xml:space="preserve"> the threshold for incitement to </w:t>
      </w:r>
      <w:r w:rsidR="00AE6978">
        <w:t>conduct that is ‘likely to incite’ is an important way of clarifying the existing judicial interpretation of the civil test to include conduct that is ‘capable of inciting’.</w:t>
      </w:r>
      <w:r>
        <w:rPr>
          <w:rStyle w:val="EndnoteReference"/>
        </w:rPr>
        <w:endnoteReference w:id="295"/>
      </w:r>
      <w:r w:rsidR="00DF2ACE">
        <w:t xml:space="preserve"> However, given the established difficulties of proving incitement </w:t>
      </w:r>
      <w:r w:rsidR="00DD1701">
        <w:t xml:space="preserve">– including the effect of the conduct on a potentially hypothetical third party – the Commission considers that it </w:t>
      </w:r>
      <w:r w:rsidR="000A5880">
        <w:t>would be useful</w:t>
      </w:r>
      <w:r w:rsidR="00DD1701">
        <w:t xml:space="preserve"> to </w:t>
      </w:r>
      <w:r w:rsidR="007A4967">
        <w:t xml:space="preserve">reform the civil incitement test so that it also captures conduct that expresses </w:t>
      </w:r>
      <w:r w:rsidR="005F7D7D">
        <w:t>hatred.</w:t>
      </w:r>
      <w:r w:rsidR="007A4967">
        <w:t xml:space="preserve"> </w:t>
      </w:r>
      <w:r w:rsidR="00DF2ACE">
        <w:t xml:space="preserve"> </w:t>
      </w:r>
    </w:p>
    <w:p w14:paraId="7AC9F754" w14:textId="63215089" w:rsidR="002D6C9D" w:rsidRDefault="000A5880" w:rsidP="0035768E">
      <w:pPr>
        <w:pStyle w:val="BodyText"/>
      </w:pPr>
      <w:r>
        <w:lastRenderedPageBreak/>
        <w:t>For example, the</w:t>
      </w:r>
      <w:r w:rsidR="00CC7047">
        <w:t xml:space="preserve"> civil incitement provision </w:t>
      </w:r>
      <w:r>
        <w:t>could</w:t>
      </w:r>
      <w:r w:rsidR="00CC7047">
        <w:t xml:space="preserve"> be modelled on sections 7 and 8 of the RRTA</w:t>
      </w:r>
      <w:r w:rsidR="0080103F">
        <w:t xml:space="preserve">. However, the word ‘incites’ </w:t>
      </w:r>
      <w:r>
        <w:t>c</w:t>
      </w:r>
      <w:r w:rsidR="0080103F">
        <w:t xml:space="preserve">ould be replaced with ‘expresses or is reasonably likely in the circumstances to incite’ </w:t>
      </w:r>
      <w:r w:rsidR="00647064">
        <w:t xml:space="preserve">hatred. </w:t>
      </w:r>
      <w:r w:rsidR="00213576">
        <w:t>For example</w:t>
      </w:r>
      <w:r w:rsidR="00E5128E">
        <w:t xml:space="preserve">: </w:t>
      </w:r>
      <w:r w:rsidR="00213576">
        <w:t xml:space="preserve"> </w:t>
      </w:r>
    </w:p>
    <w:p w14:paraId="247F1AAF" w14:textId="7EB3D912" w:rsidR="00213576" w:rsidRDefault="005B6423" w:rsidP="00213576">
      <w:pPr>
        <w:pStyle w:val="Quote"/>
      </w:pPr>
      <w:r>
        <w:t>‘</w:t>
      </w:r>
      <w:r w:rsidR="00213576">
        <w:t>A person must not engage in conduct that expresses or is reasonably likely in the circumstances to incite hatred, serious contempt for, revulsion or sever</w:t>
      </w:r>
      <w:r w:rsidR="0093587C">
        <w:t>e ridicule of a person or group of persons on the ground of the following protected attributes …</w:t>
      </w:r>
      <w:r>
        <w:t>’</w:t>
      </w:r>
      <w:r w:rsidR="0093587C">
        <w:t xml:space="preserve"> </w:t>
      </w:r>
    </w:p>
    <w:p w14:paraId="05AB5E98" w14:textId="648D57F0" w:rsidR="0093587C" w:rsidRDefault="00326FBE" w:rsidP="0093587C">
      <w:pPr>
        <w:pStyle w:val="BodyText"/>
      </w:pPr>
      <w:r>
        <w:t xml:space="preserve">The ACT Law Reform Advisory Council recommended this approach in its </w:t>
      </w:r>
      <w:r w:rsidR="009B4731">
        <w:t xml:space="preserve">2015 review of the </w:t>
      </w:r>
      <w:r w:rsidR="009B4731" w:rsidRPr="009B4731">
        <w:rPr>
          <w:rStyle w:val="Characteritalic"/>
        </w:rPr>
        <w:t>Discrimination Act 1991</w:t>
      </w:r>
      <w:r w:rsidR="009B4731">
        <w:t xml:space="preserve"> (ACT).</w:t>
      </w:r>
      <w:r w:rsidR="00266ECB">
        <w:rPr>
          <w:rStyle w:val="EndnoteReference"/>
        </w:rPr>
        <w:endnoteReference w:id="296"/>
      </w:r>
      <w:r w:rsidR="009B4731">
        <w:t xml:space="preserve"> The Advisory Council </w:t>
      </w:r>
      <w:r w:rsidR="005B5379">
        <w:t>explained that a variation to a civil incitement test</w:t>
      </w:r>
      <w:r w:rsidR="004B3456">
        <w:t xml:space="preserve"> is for legislation to: </w:t>
      </w:r>
    </w:p>
    <w:p w14:paraId="4C75E4FD" w14:textId="5B26EAFF" w:rsidR="004B3456" w:rsidRDefault="005B6423" w:rsidP="00234670">
      <w:pPr>
        <w:pStyle w:val="Quote"/>
      </w:pPr>
      <w:r>
        <w:t>‘</w:t>
      </w:r>
      <w:r w:rsidR="004B3456" w:rsidRPr="004B3456">
        <w:t>prohibit not incitement, but expression, on the basis that conduct that expresses hatred etc is likely to incite those feelings. This would require a complainant to prove only that the conduct occurred, and was the approach taken in the original draft of the NSW legislation. Because there will be occasions when the conduct does not directly express hatred etc but is, in the circumstances, likely to incite it, both approaches could operate concurrently</w:t>
      </w:r>
      <w:r>
        <w:t>’</w:t>
      </w:r>
      <w:r w:rsidR="004B3456" w:rsidRPr="004B3456">
        <w:t>.</w:t>
      </w:r>
      <w:r w:rsidR="00266ECB">
        <w:rPr>
          <w:rStyle w:val="EndnoteReference"/>
        </w:rPr>
        <w:endnoteReference w:id="297"/>
      </w:r>
    </w:p>
    <w:p w14:paraId="5223FC8B" w14:textId="107BA859" w:rsidR="00542290" w:rsidRPr="0049703E" w:rsidRDefault="00287860" w:rsidP="00287860">
      <w:pPr>
        <w:pStyle w:val="BodyText"/>
      </w:pPr>
      <w:r>
        <w:t xml:space="preserve">This approach would ensure that </w:t>
      </w:r>
      <w:r w:rsidR="00F21FC5">
        <w:t xml:space="preserve">the law captures </w:t>
      </w:r>
      <w:r>
        <w:t xml:space="preserve">conduct that expresses strong negative emotions </w:t>
      </w:r>
      <w:r w:rsidR="000E19EE">
        <w:t>because of a person’s identity</w:t>
      </w:r>
      <w:r w:rsidR="0099394E">
        <w:t xml:space="preserve"> and that is capable of incitement</w:t>
      </w:r>
      <w:r w:rsidR="00F21FC5">
        <w:t>, without requiring proof of incitemen</w:t>
      </w:r>
      <w:r w:rsidR="00F66724">
        <w:t>t</w:t>
      </w:r>
      <w:r w:rsidR="00FD6E8B">
        <w:t xml:space="preserve">. </w:t>
      </w:r>
      <w:r w:rsidR="00011927">
        <w:t>The focus</w:t>
      </w:r>
      <w:r w:rsidR="00022290">
        <w:t xml:space="preserve"> of th</w:t>
      </w:r>
      <w:r w:rsidR="004A4C76">
        <w:t>is</w:t>
      </w:r>
      <w:r w:rsidR="00022290">
        <w:t xml:space="preserve"> test</w:t>
      </w:r>
      <w:r w:rsidR="00011927">
        <w:t xml:space="preserve"> </w:t>
      </w:r>
      <w:r w:rsidR="00022290">
        <w:t>is on the respondent’s conduct</w:t>
      </w:r>
      <w:r w:rsidR="00C4237B">
        <w:t xml:space="preserve"> </w:t>
      </w:r>
      <w:r w:rsidR="00022290">
        <w:t>rather than that of a third party or audience</w:t>
      </w:r>
      <w:r w:rsidR="00542290">
        <w:t xml:space="preserve">, while still being an incitement test. </w:t>
      </w:r>
      <w:r w:rsidR="004A4C76">
        <w:t>The Commission considers it important to retain an incitement test,</w:t>
      </w:r>
      <w:r w:rsidR="0078322C">
        <w:t xml:space="preserve"> as consistent with the requirement in Article 2</w:t>
      </w:r>
      <w:r w:rsidR="00F676CE">
        <w:t>0</w:t>
      </w:r>
      <w:r w:rsidR="0078322C">
        <w:t xml:space="preserve"> of the ICCPR to outlaw vilification of persons on national, rational or religious grounds</w:t>
      </w:r>
      <w:r w:rsidR="0012666C">
        <w:t>. It also has significant</w:t>
      </w:r>
      <w:r w:rsidR="00CB0513">
        <w:t xml:space="preserve"> symbolic value. </w:t>
      </w:r>
    </w:p>
    <w:tbl>
      <w:tblPr>
        <w:tblStyle w:val="CustomTablerecommendationsbox"/>
        <w:tblW w:w="0" w:type="auto"/>
        <w:tblLook w:val="04A0" w:firstRow="1" w:lastRow="0" w:firstColumn="1" w:lastColumn="0" w:noHBand="0" w:noVBand="1"/>
      </w:tblPr>
      <w:tblGrid>
        <w:gridCol w:w="9061"/>
      </w:tblGrid>
      <w:tr w:rsidR="0049703E" w:rsidRPr="0049703E" w14:paraId="7EB20FC0" w14:textId="77777777" w:rsidTr="002F6675">
        <w:tc>
          <w:tcPr>
            <w:tcW w:w="9061" w:type="dxa"/>
          </w:tcPr>
          <w:p w14:paraId="26093279" w14:textId="77777777" w:rsidR="0049703E" w:rsidRPr="0049703E" w:rsidRDefault="0049703E" w:rsidP="001E579A">
            <w:pPr>
              <w:pStyle w:val="RecommendationList"/>
            </w:pPr>
          </w:p>
          <w:p w14:paraId="39153470" w14:textId="495104CB" w:rsidR="00C17A92" w:rsidRPr="00C17A92" w:rsidRDefault="00C17A92" w:rsidP="00C17A92">
            <w:pPr>
              <w:pStyle w:val="BodyText"/>
            </w:pPr>
            <w:r w:rsidRPr="00C17A92">
              <w:t xml:space="preserve">The Victorian Government should simplify the vilification provisions </w:t>
            </w:r>
            <w:r w:rsidR="00CD0962">
              <w:t xml:space="preserve">under sections 7 and 8 of the </w:t>
            </w:r>
            <w:r w:rsidR="00CD0962" w:rsidRPr="00F66724">
              <w:rPr>
                <w:rStyle w:val="Characteritalic"/>
              </w:rPr>
              <w:t>Racial and Religious Tolerance Act 2001</w:t>
            </w:r>
            <w:r w:rsidR="00CD0962">
              <w:t xml:space="preserve"> (Vic) </w:t>
            </w:r>
            <w:r w:rsidRPr="00C17A92">
              <w:t>by introducing a single incitement provision that prohibits vilification o</w:t>
            </w:r>
            <w:r w:rsidR="00063A02">
              <w:t xml:space="preserve">n </w:t>
            </w:r>
            <w:r w:rsidRPr="00C17A92">
              <w:t xml:space="preserve">the ground of the proposed attributes set out in recommendation 2. </w:t>
            </w:r>
          </w:p>
          <w:p w14:paraId="7D897597" w14:textId="77777777" w:rsidR="00C17A92" w:rsidRPr="00C17A92" w:rsidRDefault="00C17A92" w:rsidP="00C67716">
            <w:pPr>
              <w:pStyle w:val="RecommendationList"/>
              <w:numPr>
                <w:ilvl w:val="1"/>
                <w:numId w:val="31"/>
              </w:numPr>
            </w:pPr>
          </w:p>
          <w:p w14:paraId="49E203A1" w14:textId="1562520E" w:rsidR="0049703E" w:rsidRPr="0049703E" w:rsidRDefault="00067C12" w:rsidP="0049703E">
            <w:pPr>
              <w:pStyle w:val="BodyText"/>
            </w:pPr>
            <w:r>
              <w:t xml:space="preserve">The Victorian Government should reform the vilification provision by replacing the word ‘incites’ with the words ‘expresses or is reasonably likely in the circumstances to incite’. </w:t>
            </w:r>
            <w:r w:rsidR="00C21E45">
              <w:t>I</w:t>
            </w:r>
            <w:r w:rsidR="00F66724">
              <w:t>n</w:t>
            </w:r>
            <w:r w:rsidR="00C21E45">
              <w:t xml:space="preserve"> t</w:t>
            </w:r>
            <w:r w:rsidR="00A159DF">
              <w:t>he event that this does not occur, the word</w:t>
            </w:r>
            <w:r w:rsidR="00C21E45">
              <w:t xml:space="preserve"> ‘incites’ </w:t>
            </w:r>
            <w:r w:rsidR="00A159DF">
              <w:t xml:space="preserve">should be replaced </w:t>
            </w:r>
            <w:r w:rsidR="00C21E45">
              <w:t xml:space="preserve">with the words ‘is likely to incite’. </w:t>
            </w:r>
          </w:p>
        </w:tc>
      </w:tr>
    </w:tbl>
    <w:p w14:paraId="526A6288" w14:textId="45ECF48A" w:rsidR="006B6431" w:rsidRDefault="006B6431" w:rsidP="00E1229D">
      <w:pPr>
        <w:pStyle w:val="Heading3"/>
      </w:pPr>
      <w:r>
        <w:t xml:space="preserve">A complementary harm-based </w:t>
      </w:r>
      <w:r w:rsidR="00591248">
        <w:t xml:space="preserve">civil provision </w:t>
      </w:r>
      <w:r>
        <w:t xml:space="preserve">should be introduced </w:t>
      </w:r>
    </w:p>
    <w:p w14:paraId="12A649EF" w14:textId="40AD8059" w:rsidR="009803F1" w:rsidRDefault="0054007C" w:rsidP="00AA02A9">
      <w:pPr>
        <w:pStyle w:val="BodyText"/>
        <w:rPr>
          <w:rStyle w:val="Characterclear"/>
        </w:rPr>
      </w:pPr>
      <w:r>
        <w:rPr>
          <w:rStyle w:val="Characterclear"/>
        </w:rPr>
        <w:t>As set out in par</w:t>
      </w:r>
      <w:r w:rsidR="00AA5F50">
        <w:rPr>
          <w:rStyle w:val="Characterclear"/>
        </w:rPr>
        <w:t xml:space="preserve">t 4.1.3, </w:t>
      </w:r>
      <w:r>
        <w:rPr>
          <w:rStyle w:val="Characterclear"/>
        </w:rPr>
        <w:t xml:space="preserve">Victorian law does not currently protect people </w:t>
      </w:r>
      <w:r w:rsidR="00D919D6">
        <w:rPr>
          <w:rStyle w:val="Characterclear"/>
        </w:rPr>
        <w:t xml:space="preserve">who are targeted by hate conduct unless the conduct incites a third party to serious negative emotions. </w:t>
      </w:r>
      <w:r w:rsidR="00035E27">
        <w:rPr>
          <w:rStyle w:val="Characterclear"/>
        </w:rPr>
        <w:t xml:space="preserve">This means that is currently no legal redress for the profound harm caused to </w:t>
      </w:r>
      <w:r w:rsidR="00D82D55">
        <w:rPr>
          <w:rStyle w:val="Characterclear"/>
        </w:rPr>
        <w:t xml:space="preserve">a significant part of the Victorian community who experience hate. </w:t>
      </w:r>
      <w:r w:rsidR="00537117">
        <w:rPr>
          <w:rStyle w:val="Characterclear"/>
        </w:rPr>
        <w:t>As explained by the President of the Jewish Community Council of Victoria, ‘the requirement to incite a third party doesn’t get to the heart of the harm suffered’.</w:t>
      </w:r>
      <w:r w:rsidR="00537117">
        <w:rPr>
          <w:rStyle w:val="EndnoteReference"/>
          <w:lang w:eastAsia="en-AU"/>
        </w:rPr>
        <w:endnoteReference w:id="298"/>
      </w:r>
    </w:p>
    <w:p w14:paraId="458B53D7" w14:textId="246EAA65" w:rsidR="00AA4FCF" w:rsidRDefault="00AA4FCF" w:rsidP="00AA02A9">
      <w:pPr>
        <w:pStyle w:val="BodyText"/>
        <w:rPr>
          <w:rStyle w:val="Characterclear"/>
        </w:rPr>
      </w:pPr>
      <w:r>
        <w:rPr>
          <w:rStyle w:val="Characterclear"/>
        </w:rPr>
        <w:t>Dr Michael Akindeju from the Ballarat African Association</w:t>
      </w:r>
      <w:r w:rsidR="00592EF4">
        <w:rPr>
          <w:rStyle w:val="Characterclear"/>
        </w:rPr>
        <w:t xml:space="preserve"> told us that: </w:t>
      </w:r>
    </w:p>
    <w:p w14:paraId="26E2160C" w14:textId="38E18AA0" w:rsidR="00AA4FCF" w:rsidRDefault="005B6423" w:rsidP="00AA4FCF">
      <w:pPr>
        <w:pStyle w:val="Quote"/>
        <w:rPr>
          <w:rStyle w:val="Characterclear"/>
        </w:rPr>
      </w:pPr>
      <w:r>
        <w:rPr>
          <w:lang w:val="en-US" w:eastAsia="en-AU"/>
        </w:rPr>
        <w:lastRenderedPageBreak/>
        <w:t>“</w:t>
      </w:r>
      <w:r w:rsidR="00AA4FCF" w:rsidRPr="00AA4FCF">
        <w:rPr>
          <w:lang w:val="en-US" w:eastAsia="en-AU"/>
        </w:rPr>
        <w:t xml:space="preserve">[As the victim/applicant] I can’t tell what the other [third person] might think, feel or react to the vilification they might have heard. But I can tell what the impacts on myself are which sometimes might include isolation, damage to reputation, damage to community standing, loss of employment or relationships, or even suicidal thoughts. I am the one to seek recourse, and therefore only appropriate to base my arguments </w:t>
      </w:r>
      <w:r w:rsidR="00AA4FCF">
        <w:t xml:space="preserve">on </w:t>
      </w:r>
      <w:r w:rsidR="00AA4FCF" w:rsidRPr="00AA4FCF">
        <w:rPr>
          <w:lang w:val="en-US" w:eastAsia="en-AU"/>
        </w:rPr>
        <w:t xml:space="preserve">my experience instead of the </w:t>
      </w:r>
      <w:r w:rsidR="00AA4FCF">
        <w:t xml:space="preserve">impact </w:t>
      </w:r>
      <w:r w:rsidR="00AA4FCF" w:rsidRPr="00AA4FCF">
        <w:rPr>
          <w:lang w:val="en-US" w:eastAsia="en-AU"/>
        </w:rPr>
        <w:t>vilification conduct does to another person</w:t>
      </w:r>
      <w:r>
        <w:rPr>
          <w:lang w:val="en-US" w:eastAsia="en-AU"/>
        </w:rPr>
        <w:t>”</w:t>
      </w:r>
      <w:r w:rsidR="00AA4FCF">
        <w:t>.</w:t>
      </w:r>
      <w:r w:rsidR="00AA4FCF">
        <w:rPr>
          <w:rStyle w:val="EndnoteReference"/>
        </w:rPr>
        <w:endnoteReference w:id="299"/>
      </w:r>
    </w:p>
    <w:p w14:paraId="3F46E5B3" w14:textId="6592F1E4" w:rsidR="00960BCE" w:rsidRPr="00960BCE" w:rsidRDefault="00A77FEA" w:rsidP="00960BCE">
      <w:pPr>
        <w:pStyle w:val="BodyText"/>
        <w:rPr>
          <w:rStyle w:val="Characterclear"/>
        </w:rPr>
      </w:pPr>
      <w:r>
        <w:rPr>
          <w:rStyle w:val="Characterclear"/>
        </w:rPr>
        <w:t>A young</w:t>
      </w:r>
      <w:r w:rsidR="00FA79E4">
        <w:rPr>
          <w:rStyle w:val="Characterclear"/>
        </w:rPr>
        <w:t xml:space="preserve"> </w:t>
      </w:r>
      <w:r w:rsidR="00DF6526">
        <w:rPr>
          <w:rStyle w:val="Characterclear"/>
        </w:rPr>
        <w:t>African community leader</w:t>
      </w:r>
      <w:r w:rsidR="00960BCE" w:rsidRPr="00960BCE">
        <w:rPr>
          <w:rStyle w:val="Characterclear"/>
        </w:rPr>
        <w:t xml:space="preserve"> </w:t>
      </w:r>
      <w:r w:rsidR="00960BCE">
        <w:rPr>
          <w:rStyle w:val="Characterclear"/>
        </w:rPr>
        <w:t xml:space="preserve">also </w:t>
      </w:r>
      <w:r w:rsidR="00960BCE" w:rsidRPr="00960BCE">
        <w:rPr>
          <w:rStyle w:val="Characterclear"/>
        </w:rPr>
        <w:t>spoke about</w:t>
      </w:r>
      <w:r w:rsidR="00960BCE">
        <w:rPr>
          <w:rStyle w:val="Characterclear"/>
        </w:rPr>
        <w:t xml:space="preserve"> how a harm-based test is easier to quantify and satisfy, from the perspective of a complainant</w:t>
      </w:r>
      <w:r w:rsidR="00960BCE" w:rsidRPr="00960BCE">
        <w:rPr>
          <w:rStyle w:val="Characterclear"/>
        </w:rPr>
        <w:t>.</w:t>
      </w:r>
      <w:r w:rsidR="00D84DA4">
        <w:rPr>
          <w:rStyle w:val="EndnoteReference"/>
          <w:lang w:eastAsia="en-AU"/>
        </w:rPr>
        <w:endnoteReference w:id="300"/>
      </w:r>
    </w:p>
    <w:p w14:paraId="15D195B9" w14:textId="76BFFDE5" w:rsidR="009803F1" w:rsidRPr="009803F1" w:rsidRDefault="009803F1" w:rsidP="009803F1">
      <w:pPr>
        <w:pStyle w:val="BodyText"/>
      </w:pPr>
      <w:r w:rsidRPr="009803F1">
        <w:t xml:space="preserve">The Commission considers that a complementary harm-based test should be introduced in Victoria </w:t>
      </w:r>
      <w:r w:rsidR="00F45136">
        <w:t>that:</w:t>
      </w:r>
      <w:r w:rsidRPr="009803F1">
        <w:t xml:space="preserve"> </w:t>
      </w:r>
    </w:p>
    <w:p w14:paraId="0386A08E" w14:textId="10C61246" w:rsidR="009803F1" w:rsidRPr="009803F1" w:rsidRDefault="009803F1" w:rsidP="00C67716">
      <w:pPr>
        <w:pStyle w:val="ListNumber"/>
        <w:numPr>
          <w:ilvl w:val="0"/>
          <w:numId w:val="39"/>
        </w:numPr>
      </w:pPr>
      <w:r w:rsidRPr="009803F1">
        <w:t>assess</w:t>
      </w:r>
      <w:r w:rsidR="00F45136">
        <w:t>es</w:t>
      </w:r>
      <w:r w:rsidRPr="009803F1">
        <w:t xml:space="preserve"> harm objectively from the perspective of the target group</w:t>
      </w:r>
    </w:p>
    <w:p w14:paraId="5ECA2819" w14:textId="77767D33" w:rsidR="009803F1" w:rsidRPr="009803F1" w:rsidRDefault="009803F1" w:rsidP="00C67716">
      <w:pPr>
        <w:pStyle w:val="ListNumber"/>
        <w:numPr>
          <w:ilvl w:val="0"/>
          <w:numId w:val="26"/>
        </w:numPr>
      </w:pPr>
      <w:r w:rsidRPr="009803F1">
        <w:t>protect</w:t>
      </w:r>
      <w:r w:rsidR="00F45136">
        <w:t>s</w:t>
      </w:r>
      <w:r w:rsidRPr="009803F1">
        <w:t xml:space="preserve"> the same attributes proposed for the incitement test</w:t>
      </w:r>
    </w:p>
    <w:p w14:paraId="0C712FFC" w14:textId="4E30F005" w:rsidR="009803F1" w:rsidRPr="009803F1" w:rsidRDefault="009803F1" w:rsidP="00C67716">
      <w:pPr>
        <w:pStyle w:val="ListNumber"/>
        <w:numPr>
          <w:ilvl w:val="0"/>
          <w:numId w:val="26"/>
        </w:numPr>
      </w:pPr>
      <w:r w:rsidRPr="009803F1">
        <w:t>exempt</w:t>
      </w:r>
      <w:r w:rsidR="00F45136">
        <w:t>s</w:t>
      </w:r>
      <w:r w:rsidRPr="009803F1">
        <w:t xml:space="preserve"> private conduct</w:t>
      </w:r>
      <w:r w:rsidR="00F667AC">
        <w:t xml:space="preserve"> (ensuring that the onus is on </w:t>
      </w:r>
      <w:r w:rsidR="00D74359">
        <w:t xml:space="preserve">a respondent to prove that conduct was intended to be in private) </w:t>
      </w:r>
      <w:r w:rsidR="00F667AC">
        <w:t xml:space="preserve"> </w:t>
      </w:r>
    </w:p>
    <w:p w14:paraId="6D4A9569" w14:textId="713E89B0" w:rsidR="009803F1" w:rsidRDefault="009803F1" w:rsidP="00C67716">
      <w:pPr>
        <w:pStyle w:val="ListNumber"/>
        <w:numPr>
          <w:ilvl w:val="0"/>
          <w:numId w:val="26"/>
        </w:numPr>
      </w:pPr>
      <w:r w:rsidRPr="009803F1">
        <w:t>include</w:t>
      </w:r>
      <w:r w:rsidR="00F45136">
        <w:t>s</w:t>
      </w:r>
      <w:r w:rsidRPr="009803F1">
        <w:t xml:space="preserve"> </w:t>
      </w:r>
      <w:r w:rsidR="006760B4">
        <w:t>an exception to</w:t>
      </w:r>
      <w:r w:rsidRPr="009803F1">
        <w:t xml:space="preserve"> balance freedom of expression. </w:t>
      </w:r>
    </w:p>
    <w:p w14:paraId="2519F4F0" w14:textId="084440BE" w:rsidR="00D82D55" w:rsidRDefault="00D82D55" w:rsidP="00D82D55">
      <w:pPr>
        <w:pStyle w:val="BodyText"/>
        <w:rPr>
          <w:rStyle w:val="Characterclear"/>
          <w:lang w:eastAsia="en-GB"/>
        </w:rPr>
      </w:pPr>
      <w:r w:rsidRPr="00D82D55">
        <w:t xml:space="preserve">These elements are discussed in detail below. </w:t>
      </w:r>
    </w:p>
    <w:p w14:paraId="68A82BEF" w14:textId="18065D52" w:rsidR="009A6DBB" w:rsidRPr="009A6DBB" w:rsidRDefault="009A6DBB" w:rsidP="009A6DBB">
      <w:pPr>
        <w:pStyle w:val="BodyText"/>
        <w:rPr>
          <w:lang w:val="en-GB" w:eastAsia="en-AU"/>
        </w:rPr>
      </w:pPr>
      <w:r w:rsidRPr="009A6DBB">
        <w:rPr>
          <w:lang w:val="en-GB" w:eastAsia="en-AU"/>
        </w:rPr>
        <w:t xml:space="preserve">Despite the perception by some people that existing harm-based tests </w:t>
      </w:r>
      <w:r w:rsidR="00467B17">
        <w:t xml:space="preserve">in the Commonwealth and Tasmania </w:t>
      </w:r>
      <w:r w:rsidRPr="009A6DBB">
        <w:rPr>
          <w:lang w:val="en-GB" w:eastAsia="en-AU"/>
        </w:rPr>
        <w:t xml:space="preserve">set the bar too low by using the terms ‘offend’ and ‘insult’, in practice, the tests have been interpreted by courts to: </w:t>
      </w:r>
    </w:p>
    <w:p w14:paraId="16AA6C22" w14:textId="77777777" w:rsidR="009A6DBB" w:rsidRPr="009A6DBB" w:rsidRDefault="009A6DBB" w:rsidP="0023191F">
      <w:pPr>
        <w:pStyle w:val="ListBullet"/>
      </w:pPr>
      <w:r w:rsidRPr="009A6DBB">
        <w:t xml:space="preserve">require ‘serious and profound effects’ </w:t>
      </w:r>
    </w:p>
    <w:p w14:paraId="230314F1" w14:textId="77777777" w:rsidR="009A6DBB" w:rsidRPr="009A6DBB" w:rsidRDefault="009A6DBB" w:rsidP="0023191F">
      <w:pPr>
        <w:pStyle w:val="ListBullet"/>
      </w:pPr>
      <w:r w:rsidRPr="009A6DBB">
        <w:t xml:space="preserve">interpret the term ‘offend’ consistently with the terms ‘insult’, ‘humiliate’ and ‘intimidate’ </w:t>
      </w:r>
    </w:p>
    <w:p w14:paraId="48472B0E" w14:textId="6C7CB8C8" w:rsidR="009A6DBB" w:rsidRPr="009A6DBB" w:rsidRDefault="009A6DBB" w:rsidP="0023191F">
      <w:pPr>
        <w:pStyle w:val="ListBullet"/>
      </w:pPr>
      <w:r w:rsidRPr="009A6DBB">
        <w:t>assess harm objectively from the perspective of an ordinary or reasonable member of the target group</w:t>
      </w:r>
      <w:r w:rsidR="007F30C2">
        <w:t>.</w:t>
      </w:r>
    </w:p>
    <w:p w14:paraId="2290FF4E" w14:textId="714649B6" w:rsidR="009A6DBB" w:rsidRDefault="00467B17" w:rsidP="009A6DBB">
      <w:pPr>
        <w:pStyle w:val="BodyText"/>
        <w:rPr>
          <w:rStyle w:val="Characterclear"/>
        </w:rPr>
      </w:pPr>
      <w:r>
        <w:t>Critically, the</w:t>
      </w:r>
      <w:r w:rsidR="009A6DBB" w:rsidRPr="009A6DBB">
        <w:rPr>
          <w:lang w:eastAsia="en-AU"/>
        </w:rPr>
        <w:t xml:space="preserve"> government should safeguard against any actual or perceived ‘watering down’ of existing harm-based laws in a Victorian context.</w:t>
      </w:r>
    </w:p>
    <w:p w14:paraId="006B2BA4" w14:textId="7D0C6E0A" w:rsidR="00D82D55" w:rsidRDefault="00D82D55" w:rsidP="00D82D55">
      <w:pPr>
        <w:pStyle w:val="BodyText"/>
        <w:rPr>
          <w:rStyle w:val="Characterclear"/>
        </w:rPr>
      </w:pPr>
      <w:r w:rsidRPr="00D82D55">
        <w:rPr>
          <w:rStyle w:val="Characterclear"/>
        </w:rPr>
        <w:t xml:space="preserve">Under a harm-based test, the evidentiary burden on the complainant is not as onerous. The complainant is not required to identify an audience or prove that an ordinary member of that audience was incited to strong negative emotions as a result of the respondent’s conduct. Instead, the complainant’s evidentiary burden focuses on the respondent’s conduct and whether it was reasonably likely to cause harm. </w:t>
      </w:r>
    </w:p>
    <w:p w14:paraId="60E67409" w14:textId="64659BA6" w:rsidR="006126B1" w:rsidRDefault="006126B1" w:rsidP="00D82D55">
      <w:pPr>
        <w:pStyle w:val="BodyText"/>
        <w:rPr>
          <w:rStyle w:val="Characterclear"/>
        </w:rPr>
      </w:pPr>
      <w:r>
        <w:rPr>
          <w:rStyle w:val="Characterclear"/>
        </w:rPr>
        <w:t xml:space="preserve">Professor Luke McNamara explained to the Commission that: </w:t>
      </w:r>
    </w:p>
    <w:p w14:paraId="29111D00" w14:textId="7E0F181D" w:rsidR="006126B1" w:rsidRPr="00D82D55" w:rsidRDefault="005B6423" w:rsidP="006126B1">
      <w:pPr>
        <w:pStyle w:val="Quote"/>
        <w:rPr>
          <w:rStyle w:val="Characterclear"/>
        </w:rPr>
      </w:pPr>
      <w:r>
        <w:rPr>
          <w:lang w:val="en-GB" w:eastAsia="en-AU"/>
        </w:rPr>
        <w:t>“</w:t>
      </w:r>
      <w:r w:rsidR="006126B1" w:rsidRPr="006126B1">
        <w:rPr>
          <w:lang w:val="en-GB" w:eastAsia="en-AU"/>
        </w:rPr>
        <w:t>From a public policy point of view, the harm-based model is more appropriate because it deals with the nature of the social problem – the harm from hate speech. It is also influenced by the challenges that an incitement model creates. The conduct to meet the incitement threshold is a bar that not all complainants can reach. This means that complainants are often without a remedy in a context where there is real evidence of the impact of hate speech on individuals and members of their community</w:t>
      </w:r>
      <w:r>
        <w:rPr>
          <w:lang w:val="en-GB" w:eastAsia="en-AU"/>
        </w:rPr>
        <w:t>”</w:t>
      </w:r>
      <w:r w:rsidR="006126B1" w:rsidRPr="006126B1">
        <w:rPr>
          <w:lang w:val="en-GB" w:eastAsia="en-AU"/>
        </w:rPr>
        <w:t>.</w:t>
      </w:r>
      <w:r w:rsidR="006126B1">
        <w:rPr>
          <w:rStyle w:val="EndnoteReference"/>
          <w:lang w:val="en-GB" w:eastAsia="en-AU"/>
        </w:rPr>
        <w:endnoteReference w:id="301"/>
      </w:r>
    </w:p>
    <w:p w14:paraId="0E9E96A9" w14:textId="34A7CCA2" w:rsidR="00960BCE" w:rsidRDefault="009803F1" w:rsidP="009803F1">
      <w:pPr>
        <w:pStyle w:val="BodyText"/>
      </w:pPr>
      <w:r w:rsidRPr="009803F1">
        <w:t xml:space="preserve">Introducing a complementary harm-based test would </w:t>
      </w:r>
      <w:r w:rsidR="005D1263">
        <w:t xml:space="preserve">be consistent with the law in the Commonwealth and </w:t>
      </w:r>
      <w:r w:rsidR="00207F54">
        <w:t>Tasmania and</w:t>
      </w:r>
      <w:r w:rsidR="005D1263">
        <w:t xml:space="preserve"> would reflect the approach </w:t>
      </w:r>
      <w:r w:rsidR="00207F54">
        <w:t xml:space="preserve">in Tasmania which includes </w:t>
      </w:r>
      <w:r w:rsidR="00F93590">
        <w:t xml:space="preserve">both </w:t>
      </w:r>
      <w:r w:rsidRPr="009803F1">
        <w:t xml:space="preserve">an incitement test </w:t>
      </w:r>
      <w:r w:rsidR="00207F54">
        <w:t xml:space="preserve">and a harm-based test. </w:t>
      </w:r>
    </w:p>
    <w:tbl>
      <w:tblPr>
        <w:tblStyle w:val="CustomTablebreakoutbox"/>
        <w:tblW w:w="0" w:type="auto"/>
        <w:tblLook w:val="04A0" w:firstRow="1" w:lastRow="0" w:firstColumn="1" w:lastColumn="0" w:noHBand="0" w:noVBand="1"/>
      </w:tblPr>
      <w:tblGrid>
        <w:gridCol w:w="9061"/>
      </w:tblGrid>
      <w:tr w:rsidR="00005235" w14:paraId="1DD71974" w14:textId="77777777" w:rsidTr="00005235">
        <w:tc>
          <w:tcPr>
            <w:tcW w:w="9061" w:type="dxa"/>
          </w:tcPr>
          <w:p w14:paraId="0E174979" w14:textId="146B88D3" w:rsidR="00CE5C05" w:rsidRPr="00CE5C05" w:rsidRDefault="00BB76A5" w:rsidP="00CE5C05">
            <w:pPr>
              <w:pStyle w:val="BodyText"/>
              <w:rPr>
                <w:rStyle w:val="Characterclear"/>
                <w:b/>
                <w:lang w:eastAsia="en-US"/>
              </w:rPr>
            </w:pPr>
            <w:r>
              <w:rPr>
                <w:rStyle w:val="Characterbold"/>
              </w:rPr>
              <w:lastRenderedPageBreak/>
              <w:t>Existing harm-based tests in practice</w:t>
            </w:r>
          </w:p>
          <w:p w14:paraId="24DEA64E" w14:textId="6D10F915" w:rsidR="00701230" w:rsidRDefault="00684A63" w:rsidP="006530A6">
            <w:pPr>
              <w:pStyle w:val="BodyText"/>
              <w:rPr>
                <w:rStyle w:val="Characterclear"/>
              </w:rPr>
            </w:pPr>
            <w:r w:rsidRPr="00684A63">
              <w:rPr>
                <w:rStyle w:val="Characterclear"/>
              </w:rPr>
              <w:t xml:space="preserve">From </w:t>
            </w:r>
            <w:r>
              <w:rPr>
                <w:rStyle w:val="Characterclear"/>
              </w:rPr>
              <w:t>2012-2016, the Australian Human Rights Commission</w:t>
            </w:r>
            <w:r w:rsidR="00DF6526">
              <w:rPr>
                <w:rStyle w:val="Characterclear"/>
              </w:rPr>
              <w:t xml:space="preserve"> (AHRC)</w:t>
            </w:r>
            <w:r>
              <w:rPr>
                <w:rStyle w:val="Characterclear"/>
              </w:rPr>
              <w:t xml:space="preserve"> received </w:t>
            </w:r>
            <w:r w:rsidR="000A48E1">
              <w:rPr>
                <w:rStyle w:val="Characterclear"/>
              </w:rPr>
              <w:t>an</w:t>
            </w:r>
            <w:r>
              <w:rPr>
                <w:rStyle w:val="Characterclear"/>
              </w:rPr>
              <w:t xml:space="preserve"> average of 2</w:t>
            </w:r>
            <w:r w:rsidR="00FC68FC">
              <w:rPr>
                <w:rStyle w:val="Characterclear"/>
              </w:rPr>
              <w:t>,</w:t>
            </w:r>
            <w:r>
              <w:rPr>
                <w:rStyle w:val="Characterclear"/>
              </w:rPr>
              <w:t xml:space="preserve">282 complaints each year. Of this total number, 117 complaints </w:t>
            </w:r>
            <w:r w:rsidR="00F35093">
              <w:rPr>
                <w:rStyle w:val="Characterclear"/>
              </w:rPr>
              <w:t xml:space="preserve">per year </w:t>
            </w:r>
            <w:r>
              <w:rPr>
                <w:rStyle w:val="Characterclear"/>
              </w:rPr>
              <w:t xml:space="preserve">(5 per cent) on average alleged a breach of </w:t>
            </w:r>
            <w:r w:rsidR="00F66724">
              <w:rPr>
                <w:rStyle w:val="Characterclear"/>
              </w:rPr>
              <w:t>section</w:t>
            </w:r>
            <w:r>
              <w:rPr>
                <w:rStyle w:val="Characterclear"/>
              </w:rPr>
              <w:t xml:space="preserve"> 18C of the RDA.</w:t>
            </w:r>
            <w:r w:rsidR="009F57E1">
              <w:rPr>
                <w:rStyle w:val="EndnoteReference"/>
                <w:lang w:eastAsia="en-AU"/>
              </w:rPr>
              <w:endnoteReference w:id="302"/>
            </w:r>
            <w:r w:rsidR="00094ED3">
              <w:rPr>
                <w:rStyle w:val="Characterclear"/>
              </w:rPr>
              <w:t xml:space="preserve"> </w:t>
            </w:r>
          </w:p>
          <w:p w14:paraId="680D5205" w14:textId="3376919D" w:rsidR="00A92D5E" w:rsidRDefault="00A92D5E" w:rsidP="006530A6">
            <w:pPr>
              <w:pStyle w:val="BodyText"/>
              <w:rPr>
                <w:rStyle w:val="Characterclear"/>
              </w:rPr>
            </w:pPr>
            <w:r>
              <w:rPr>
                <w:rStyle w:val="Characterclear"/>
              </w:rPr>
              <w:t>The majority of complaints under s</w:t>
            </w:r>
            <w:r w:rsidR="00F66724">
              <w:rPr>
                <w:rStyle w:val="Characterclear"/>
              </w:rPr>
              <w:t>ection</w:t>
            </w:r>
            <w:r>
              <w:rPr>
                <w:rStyle w:val="Characterclear"/>
              </w:rPr>
              <w:t xml:space="preserve"> 18C are resolved at conciliation and result in </w:t>
            </w:r>
            <w:r w:rsidR="00A2307C">
              <w:rPr>
                <w:rStyle w:val="Characterclear"/>
              </w:rPr>
              <w:t>outcomes such as an apology, an agreement to remove online content, changes to policies and procedures, or a financial settlement.</w:t>
            </w:r>
            <w:r w:rsidR="00A2307C">
              <w:rPr>
                <w:rStyle w:val="EndnoteReference"/>
                <w:lang w:eastAsia="en-AU"/>
              </w:rPr>
              <w:endnoteReference w:id="303"/>
            </w:r>
          </w:p>
          <w:p w14:paraId="71AE959B" w14:textId="01784471" w:rsidR="00D46690" w:rsidRDefault="00280599" w:rsidP="006530A6">
            <w:pPr>
              <w:pStyle w:val="BodyText"/>
              <w:rPr>
                <w:rStyle w:val="Characterclear"/>
              </w:rPr>
            </w:pPr>
            <w:r>
              <w:rPr>
                <w:rStyle w:val="Characterclear"/>
              </w:rPr>
              <w:t>In 2015-16, 51 per cent of finalised complaints</w:t>
            </w:r>
            <w:r w:rsidR="00BB76A5">
              <w:rPr>
                <w:rStyle w:val="Characterclear"/>
              </w:rPr>
              <w:t xml:space="preserve"> at the AHRC under s</w:t>
            </w:r>
            <w:r w:rsidR="00EF5639">
              <w:rPr>
                <w:rStyle w:val="Characterclear"/>
              </w:rPr>
              <w:t>ection</w:t>
            </w:r>
            <w:r w:rsidR="00BB76A5">
              <w:rPr>
                <w:rStyle w:val="Characterclear"/>
              </w:rPr>
              <w:t xml:space="preserve"> 18C of the RDA were resolved at conciliation, 29 per cent were withdrawn or discontinued and 20 per cent </w:t>
            </w:r>
            <w:r w:rsidR="00D46690">
              <w:rPr>
                <w:rStyle w:val="Characterclear"/>
              </w:rPr>
              <w:t>were terminated by the AHRC.</w:t>
            </w:r>
            <w:r w:rsidR="00D46690">
              <w:rPr>
                <w:rStyle w:val="EndnoteReference"/>
                <w:lang w:eastAsia="en-AU"/>
              </w:rPr>
              <w:endnoteReference w:id="304"/>
            </w:r>
            <w:r w:rsidR="00457251">
              <w:rPr>
                <w:rStyle w:val="Characterclear"/>
              </w:rPr>
              <w:t xml:space="preserve"> </w:t>
            </w:r>
            <w:r w:rsidR="00D46690">
              <w:rPr>
                <w:rStyle w:val="Characterclear"/>
              </w:rPr>
              <w:t xml:space="preserve">Of all </w:t>
            </w:r>
            <w:r w:rsidR="00457251">
              <w:rPr>
                <w:rStyle w:val="Characterclear"/>
              </w:rPr>
              <w:t xml:space="preserve">finalised complaints </w:t>
            </w:r>
            <w:r w:rsidR="004E69EA">
              <w:rPr>
                <w:rStyle w:val="Characterclear"/>
              </w:rPr>
              <w:t xml:space="preserve">between </w:t>
            </w:r>
            <w:r w:rsidR="00457251">
              <w:rPr>
                <w:rStyle w:val="Characterclear"/>
              </w:rPr>
              <w:t xml:space="preserve"> 2012-2016, </w:t>
            </w:r>
            <w:r w:rsidR="004E69EA">
              <w:rPr>
                <w:rStyle w:val="Characterclear"/>
              </w:rPr>
              <w:t>only 1</w:t>
            </w:r>
            <w:r w:rsidR="00457251">
              <w:rPr>
                <w:rStyle w:val="Characterclear"/>
              </w:rPr>
              <w:t>8 proceeded to court (3 per cent of finalised complaints).</w:t>
            </w:r>
            <w:r w:rsidR="004E69EA">
              <w:rPr>
                <w:rStyle w:val="EndnoteReference"/>
                <w:lang w:eastAsia="en-AU"/>
              </w:rPr>
              <w:endnoteReference w:id="305"/>
            </w:r>
          </w:p>
          <w:p w14:paraId="3B1F46C6" w14:textId="2E4E11F4" w:rsidR="004E69EA" w:rsidRPr="00684A63" w:rsidRDefault="00623CBF" w:rsidP="006530A6">
            <w:pPr>
              <w:pStyle w:val="BodyText"/>
              <w:rPr>
                <w:rStyle w:val="Characterclear"/>
              </w:rPr>
            </w:pPr>
            <w:r>
              <w:rPr>
                <w:rStyle w:val="Characterclear"/>
              </w:rPr>
              <w:t>Complaints</w:t>
            </w:r>
            <w:r w:rsidR="00F232B3">
              <w:rPr>
                <w:rStyle w:val="Characterclear"/>
              </w:rPr>
              <w:t xml:space="preserve"> made to the AHRC in the following two financial years</w:t>
            </w:r>
            <w:r w:rsidR="001A3734">
              <w:rPr>
                <w:rStyle w:val="Characterclear"/>
              </w:rPr>
              <w:t xml:space="preserve"> include</w:t>
            </w:r>
            <w:r w:rsidR="00F232B3">
              <w:rPr>
                <w:rStyle w:val="Characterclear"/>
              </w:rPr>
              <w:t xml:space="preserve"> </w:t>
            </w:r>
            <w:r>
              <w:rPr>
                <w:rStyle w:val="Characterclear"/>
              </w:rPr>
              <w:t>89 complaints in 2017-18</w:t>
            </w:r>
            <w:r w:rsidR="009E1B23">
              <w:rPr>
                <w:rStyle w:val="EndnoteReference"/>
                <w:lang w:eastAsia="en-AU"/>
              </w:rPr>
              <w:endnoteReference w:id="306"/>
            </w:r>
            <w:r>
              <w:rPr>
                <w:rStyle w:val="Characterclear"/>
              </w:rPr>
              <w:t xml:space="preserve"> and 97 complaints in 2018-19.</w:t>
            </w:r>
            <w:r>
              <w:rPr>
                <w:rStyle w:val="EndnoteReference"/>
                <w:lang w:eastAsia="en-AU"/>
              </w:rPr>
              <w:endnoteReference w:id="307"/>
            </w:r>
          </w:p>
          <w:p w14:paraId="5201924A" w14:textId="77777777" w:rsidR="009E1B23" w:rsidRDefault="009E1B23" w:rsidP="006530A6">
            <w:pPr>
              <w:pStyle w:val="BodyText"/>
              <w:rPr>
                <w:rStyle w:val="Characterclear"/>
              </w:rPr>
            </w:pPr>
            <w:r w:rsidRPr="009E1B23">
              <w:rPr>
                <w:rStyle w:val="Characterclear"/>
              </w:rPr>
              <w:t xml:space="preserve">Similarly, </w:t>
            </w:r>
            <w:r>
              <w:rPr>
                <w:rStyle w:val="Characterclear"/>
              </w:rPr>
              <w:t xml:space="preserve">in Tasmania: </w:t>
            </w:r>
          </w:p>
          <w:p w14:paraId="57F6BD12" w14:textId="5B0E80CD" w:rsidR="00701230" w:rsidRDefault="009E1B23" w:rsidP="00FE613C">
            <w:pPr>
              <w:pStyle w:val="ListBullet"/>
              <w:rPr>
                <w:rStyle w:val="Characterclear"/>
              </w:rPr>
            </w:pPr>
            <w:r>
              <w:rPr>
                <w:rStyle w:val="Characterclear"/>
              </w:rPr>
              <w:t>in 201</w:t>
            </w:r>
            <w:r w:rsidR="00FB5365">
              <w:rPr>
                <w:rStyle w:val="Characterclear"/>
              </w:rPr>
              <w:t>7-18</w:t>
            </w:r>
            <w:r>
              <w:rPr>
                <w:rStyle w:val="Characterclear"/>
              </w:rPr>
              <w:t xml:space="preserve">, </w:t>
            </w:r>
            <w:r w:rsidRPr="009E1B23">
              <w:rPr>
                <w:rStyle w:val="Characterclear"/>
              </w:rPr>
              <w:t xml:space="preserve">there were </w:t>
            </w:r>
            <w:r w:rsidR="00FB5365">
              <w:rPr>
                <w:rStyle w:val="Characterclear"/>
              </w:rPr>
              <w:t>87</w:t>
            </w:r>
            <w:r w:rsidRPr="009E1B23">
              <w:rPr>
                <w:rStyle w:val="Characterclear"/>
              </w:rPr>
              <w:t xml:space="preserve"> complaints made under </w:t>
            </w:r>
            <w:r>
              <w:rPr>
                <w:rStyle w:val="Characterclear"/>
              </w:rPr>
              <w:t>the</w:t>
            </w:r>
            <w:r w:rsidRPr="009E1B23">
              <w:rPr>
                <w:rStyle w:val="Characterclear"/>
              </w:rPr>
              <w:t xml:space="preserve"> harm-based test and </w:t>
            </w:r>
            <w:r w:rsidR="00FB5365">
              <w:rPr>
                <w:rStyle w:val="Characterclear"/>
              </w:rPr>
              <w:t>44</w:t>
            </w:r>
            <w:r w:rsidRPr="009E1B23">
              <w:rPr>
                <w:rStyle w:val="Characterclear"/>
              </w:rPr>
              <w:t xml:space="preserve"> complaints made under the incitement test</w:t>
            </w:r>
            <w:r w:rsidR="00FB5365">
              <w:rPr>
                <w:rStyle w:val="EndnoteReference"/>
                <w:lang w:eastAsia="en-AU"/>
              </w:rPr>
              <w:endnoteReference w:id="308"/>
            </w:r>
          </w:p>
          <w:p w14:paraId="458762F6" w14:textId="75C6D8E4" w:rsidR="0058305F" w:rsidRDefault="009E1B23" w:rsidP="00FE613C">
            <w:pPr>
              <w:pStyle w:val="ListBullet"/>
              <w:rPr>
                <w:rStyle w:val="Characterclear"/>
              </w:rPr>
            </w:pPr>
            <w:r w:rsidRPr="009E1B23">
              <w:rPr>
                <w:rStyle w:val="Characterclear"/>
              </w:rPr>
              <w:t>in 201</w:t>
            </w:r>
            <w:r w:rsidR="00FB5365">
              <w:rPr>
                <w:rStyle w:val="Characterclear"/>
              </w:rPr>
              <w:t>8-19</w:t>
            </w:r>
            <w:r w:rsidRPr="009E1B23">
              <w:rPr>
                <w:rStyle w:val="Characterclear"/>
              </w:rPr>
              <w:t xml:space="preserve">, there were 193 complaints made under </w:t>
            </w:r>
            <w:r>
              <w:rPr>
                <w:rStyle w:val="Characterclear"/>
              </w:rPr>
              <w:t>the</w:t>
            </w:r>
            <w:r w:rsidRPr="009E1B23">
              <w:rPr>
                <w:rStyle w:val="Characterclear"/>
              </w:rPr>
              <w:t xml:space="preserve"> harm-based test and 91 complaints made under the incitement tes</w:t>
            </w:r>
            <w:r>
              <w:rPr>
                <w:rStyle w:val="Characterclear"/>
              </w:rPr>
              <w:t>t.</w:t>
            </w:r>
            <w:r w:rsidR="00377A9A">
              <w:rPr>
                <w:rStyle w:val="EndnoteReference"/>
                <w:lang w:eastAsia="en-AU"/>
              </w:rPr>
              <w:endnoteReference w:id="309"/>
            </w:r>
          </w:p>
          <w:p w14:paraId="0929A622" w14:textId="2CA35148" w:rsidR="00B9026C" w:rsidRPr="004A76F2" w:rsidRDefault="00B9026C" w:rsidP="00F66724">
            <w:pPr>
              <w:pStyle w:val="BodyText"/>
              <w:rPr>
                <w:rStyle w:val="Characterclear"/>
              </w:rPr>
            </w:pPr>
            <w:r>
              <w:rPr>
                <w:rStyle w:val="Characterclear"/>
              </w:rPr>
              <w:t xml:space="preserve">The complaint data suggests that a harm-based test does not set the bar too low or give rise to a high volume of complaints. </w:t>
            </w:r>
          </w:p>
        </w:tc>
      </w:tr>
    </w:tbl>
    <w:p w14:paraId="570F1419" w14:textId="127AF063" w:rsidR="007906E3" w:rsidRDefault="00D85E40" w:rsidP="00DE78A7">
      <w:pPr>
        <w:pStyle w:val="BodyText"/>
      </w:pPr>
      <w:r>
        <w:t>As demonstrated in case law, e</w:t>
      </w:r>
      <w:r w:rsidR="00774205">
        <w:t xml:space="preserve">xisting harm-based tests set a high threshold for the </w:t>
      </w:r>
      <w:r w:rsidR="00F96F38">
        <w:t xml:space="preserve">seriousness of prohibited conduct. </w:t>
      </w:r>
      <w:r w:rsidR="007B247B">
        <w:t>Section 18C of the RDA</w:t>
      </w:r>
      <w:r w:rsidR="00325CFD">
        <w:t xml:space="preserve">, which </w:t>
      </w:r>
      <w:r w:rsidR="007B247B">
        <w:t>prohibits conduct that is reasonably likely to ‘offend, insult, humiliate or intimidate’</w:t>
      </w:r>
      <w:r w:rsidR="00325CFD">
        <w:t xml:space="preserve"> </w:t>
      </w:r>
      <w:r w:rsidR="00C21633">
        <w:t xml:space="preserve">was modelled on the prohibition of sexual harassment </w:t>
      </w:r>
      <w:r w:rsidR="0018658D">
        <w:t>under s 28A</w:t>
      </w:r>
      <w:r w:rsidR="00C21633">
        <w:t xml:space="preserve"> the </w:t>
      </w:r>
      <w:r w:rsidR="00C21633" w:rsidRPr="00603252">
        <w:rPr>
          <w:rStyle w:val="Characteritalic"/>
        </w:rPr>
        <w:t>Sex Discrimination Act 1984</w:t>
      </w:r>
      <w:r w:rsidR="00C21633">
        <w:t xml:space="preserve"> (Cth), prohibit</w:t>
      </w:r>
      <w:r w:rsidR="00325CFD">
        <w:t>ing</w:t>
      </w:r>
      <w:r w:rsidR="00C21633">
        <w:t xml:space="preserve"> </w:t>
      </w:r>
      <w:r w:rsidR="00603252">
        <w:t xml:space="preserve">unwelcome sexual conduct that </w:t>
      </w:r>
      <w:r w:rsidR="00F53333">
        <w:t xml:space="preserve">could reasonably </w:t>
      </w:r>
      <w:r w:rsidR="00D96222">
        <w:t>‘</w:t>
      </w:r>
      <w:r w:rsidR="007906E3">
        <w:t>offend, humiliate or intimidate</w:t>
      </w:r>
      <w:r w:rsidR="00D96222">
        <w:t>’</w:t>
      </w:r>
      <w:r w:rsidR="007906E3">
        <w:t xml:space="preserve">. </w:t>
      </w:r>
      <w:r w:rsidR="00D96222">
        <w:t>The same language is used in the prohibition of sexual harassment in Victoria.</w:t>
      </w:r>
      <w:r w:rsidR="00D96222">
        <w:rPr>
          <w:rStyle w:val="EndnoteReference"/>
        </w:rPr>
        <w:endnoteReference w:id="310"/>
      </w:r>
    </w:p>
    <w:p w14:paraId="4DF4D2DD" w14:textId="762F5399" w:rsidR="00E06AF8" w:rsidRDefault="008D1C55" w:rsidP="00DE78A7">
      <w:pPr>
        <w:pStyle w:val="BodyText"/>
      </w:pPr>
      <w:r>
        <w:t xml:space="preserve">In recent years, the terms ‘offend’ and ‘insult’ have been criticised for setting the bar too low. However, </w:t>
      </w:r>
      <w:r w:rsidR="008B4351">
        <w:t xml:space="preserve">the courts have interpreted </w:t>
      </w:r>
      <w:r w:rsidR="003D5FA6">
        <w:t>s</w:t>
      </w:r>
      <w:r w:rsidR="00325CFD">
        <w:t xml:space="preserve">ection </w:t>
      </w:r>
      <w:r w:rsidR="003D5FA6">
        <w:t xml:space="preserve">18C to require </w:t>
      </w:r>
      <w:r w:rsidR="0077589F">
        <w:t xml:space="preserve">‘profound and serious effects, not to be likened to mere </w:t>
      </w:r>
      <w:r w:rsidR="003D5FA6">
        <w:t>slights</w:t>
      </w:r>
      <w:r w:rsidR="00A46E11">
        <w:t>’</w:t>
      </w:r>
      <w:r w:rsidR="00A46E11">
        <w:rPr>
          <w:rStyle w:val="EndnoteReference"/>
        </w:rPr>
        <w:endnoteReference w:id="311"/>
      </w:r>
      <w:r w:rsidR="003D5FA6">
        <w:t xml:space="preserve"> </w:t>
      </w:r>
      <w:r w:rsidR="00385099">
        <w:t xml:space="preserve">and </w:t>
      </w:r>
      <w:r w:rsidR="00E06AF8">
        <w:t xml:space="preserve">to </w:t>
      </w:r>
      <w:r w:rsidR="0084072B">
        <w:t>interpret</w:t>
      </w:r>
      <w:r w:rsidR="00E06AF8">
        <w:t xml:space="preserve"> the term ‘offend’</w:t>
      </w:r>
      <w:r w:rsidR="0084072B" w:rsidRPr="0084072B">
        <w:t xml:space="preserve"> consistently with the </w:t>
      </w:r>
      <w:r w:rsidR="00385099">
        <w:t>words</w:t>
      </w:r>
      <w:r w:rsidR="0084072B" w:rsidRPr="0084072B">
        <w:t xml:space="preserve"> ‘insult’, ‘humiliate’ and ‘intimidate’</w:t>
      </w:r>
      <w:r w:rsidR="0084072B">
        <w:t xml:space="preserve">: </w:t>
      </w:r>
    </w:p>
    <w:p w14:paraId="6AB68352" w14:textId="24CF238F" w:rsidR="00E06AF8" w:rsidRDefault="005B6423" w:rsidP="00D32938">
      <w:pPr>
        <w:pStyle w:val="Quote"/>
      </w:pPr>
      <w:r>
        <w:t>‘</w:t>
      </w:r>
      <w:r w:rsidR="00E06AF8" w:rsidRPr="00E06AF8">
        <w:t>The definitions of ‘insult’ and ‘humiliate’ are closely connected to a loss of or lowering of dignity. The word ‘intimidate’ is apt to describe the silencing consequences of the dignity denying impact of racial prejudice as well as the use of threats of violence. The word ‘offend’ is potentially wider, but given the context, ‘offend’ should be interpreted conformably with the words chosen as its partners</w:t>
      </w:r>
      <w:r>
        <w:t>’</w:t>
      </w:r>
      <w:r w:rsidR="00E06AF8" w:rsidRPr="00E06AF8">
        <w:t>.</w:t>
      </w:r>
      <w:r w:rsidR="007E1CBB">
        <w:rPr>
          <w:rStyle w:val="EndnoteReference"/>
        </w:rPr>
        <w:endnoteReference w:id="312"/>
      </w:r>
    </w:p>
    <w:p w14:paraId="59570BDA" w14:textId="6DD58CD6" w:rsidR="00A815AF" w:rsidRPr="00A815AF" w:rsidRDefault="00042223" w:rsidP="00A815AF">
      <w:pPr>
        <w:pStyle w:val="BodyText"/>
      </w:pPr>
      <w:r>
        <w:t xml:space="preserve">Importantly, </w:t>
      </w:r>
      <w:r w:rsidR="00DF5040">
        <w:t>existing harm-based laws protect</w:t>
      </w:r>
      <w:r w:rsidR="001B2960">
        <w:t xml:space="preserve"> against consequences that are</w:t>
      </w:r>
      <w:r w:rsidR="00E757D3" w:rsidRPr="00E757D3">
        <w:t xml:space="preserve"> ‘more serious than mere personal hurt, harm or fear’.</w:t>
      </w:r>
      <w:r w:rsidR="00E757D3" w:rsidRPr="00E757D3">
        <w:rPr>
          <w:rStyle w:val="EndnoteReference"/>
        </w:rPr>
        <w:endnoteReference w:id="313"/>
      </w:r>
      <w:r w:rsidR="001B2960">
        <w:t xml:space="preserve"> In </w:t>
      </w:r>
      <w:r w:rsidR="001B2960" w:rsidRPr="008913D9">
        <w:rPr>
          <w:rStyle w:val="Characteritalic"/>
        </w:rPr>
        <w:t>Eatock v Bolt</w:t>
      </w:r>
      <w:r w:rsidR="008913D9">
        <w:t xml:space="preserve"> [2011] FCA 1103, the Federal Court acknowledged that although the ordinary meaning of the words ‘offend, insult, humiliate or intimidate’ was ‘potentially quite broad’, the section is directed towards public, not private, purposes.</w:t>
      </w:r>
      <w:r w:rsidR="008913D9">
        <w:rPr>
          <w:rStyle w:val="EndnoteReference"/>
        </w:rPr>
        <w:endnoteReference w:id="314"/>
      </w:r>
      <w:r w:rsidR="009418EA">
        <w:t xml:space="preserve"> </w:t>
      </w:r>
      <w:r w:rsidR="00A815AF" w:rsidRPr="00A815AF">
        <w:t xml:space="preserve">Bromberg J stated: </w:t>
      </w:r>
    </w:p>
    <w:p w14:paraId="4B5B62F2" w14:textId="07299E0A" w:rsidR="008A2C86" w:rsidRDefault="005B6423" w:rsidP="008A2C86">
      <w:pPr>
        <w:pStyle w:val="Quote"/>
      </w:pPr>
      <w:r>
        <w:t>‘</w:t>
      </w:r>
      <w:r w:rsidR="00A815AF" w:rsidRPr="00A815AF">
        <w:t xml:space="preserve">In my view, “offend, insult, humiliate or intimidate” were not intended to extend to personal hurt unaccompanied by some public consequence of the kind </w:t>
      </w:r>
      <w:r w:rsidR="009E4F65">
        <w:t xml:space="preserve">Part IIA </w:t>
      </w:r>
      <w:r w:rsidR="008A1E25">
        <w:t xml:space="preserve">[Prohibition of offensive behaviour based on racial </w:t>
      </w:r>
      <w:r w:rsidR="008A1E25">
        <w:lastRenderedPageBreak/>
        <w:t xml:space="preserve">hatred] </w:t>
      </w:r>
      <w:r w:rsidR="00A815AF" w:rsidRPr="00A815AF">
        <w:t>is directed to avoid. That public consequence need not be significant. It may be slight</w:t>
      </w:r>
      <w:r w:rsidR="008A2C86">
        <w:t xml:space="preserve"> … conduct which invades or harms the dignity of an individual or group, involves a public mischief in the context of an Act which seeks to promote social cohesion</w:t>
      </w:r>
      <w:r>
        <w:t>’</w:t>
      </w:r>
      <w:r w:rsidR="008A2C86">
        <w:t>.</w:t>
      </w:r>
      <w:r w:rsidR="00A815AF" w:rsidRPr="00A815AF">
        <w:rPr>
          <w:rStyle w:val="EndnoteReference"/>
        </w:rPr>
        <w:endnoteReference w:id="315"/>
      </w:r>
    </w:p>
    <w:p w14:paraId="6A2ACD17" w14:textId="56D63F04" w:rsidR="00F359A4" w:rsidRDefault="00FE4475" w:rsidP="00325CFD">
      <w:pPr>
        <w:pStyle w:val="BodyText"/>
      </w:pPr>
      <w:r>
        <w:t xml:space="preserve">Similarly, </w:t>
      </w:r>
      <w:r w:rsidR="001B1DBB">
        <w:t xml:space="preserve">the </w:t>
      </w:r>
      <w:r w:rsidR="00EA625F">
        <w:t xml:space="preserve">Tasmanian Anti-Discrimination Tribunal </w:t>
      </w:r>
      <w:r w:rsidR="00622E8F">
        <w:t xml:space="preserve">has </w:t>
      </w:r>
      <w:r w:rsidR="00EA625F">
        <w:t xml:space="preserve">found that </w:t>
      </w:r>
      <w:r w:rsidR="00E618E0">
        <w:t xml:space="preserve">the equivalent </w:t>
      </w:r>
      <w:r w:rsidR="00EA625F">
        <w:t>s</w:t>
      </w:r>
      <w:r w:rsidR="00325CFD">
        <w:t>ection</w:t>
      </w:r>
      <w:r w:rsidR="00EA625F">
        <w:t xml:space="preserve"> 17</w:t>
      </w:r>
      <w:r w:rsidR="00622E8F">
        <w:t xml:space="preserve"> of the </w:t>
      </w:r>
      <w:r w:rsidR="00622E8F" w:rsidRPr="00E618E0">
        <w:rPr>
          <w:rStyle w:val="Characteritalic"/>
        </w:rPr>
        <w:t>Anti</w:t>
      </w:r>
      <w:r w:rsidR="00E618E0" w:rsidRPr="00E618E0">
        <w:rPr>
          <w:rStyle w:val="Characteritalic"/>
        </w:rPr>
        <w:t>-Discrimination Act 1998</w:t>
      </w:r>
      <w:r w:rsidR="00E618E0">
        <w:t xml:space="preserve"> (Tas)</w:t>
      </w:r>
      <w:r w:rsidR="00325CFD">
        <w:t xml:space="preserve"> ‘</w:t>
      </w:r>
      <w:r w:rsidR="00E71001" w:rsidRPr="00FE4475">
        <w:t>seeks to prevent and redress conduct which is seen as unjust, divisive and anathema to modern society</w:t>
      </w:r>
      <w:r w:rsidR="00325CFD">
        <w:t>’</w:t>
      </w:r>
      <w:r w:rsidR="00E71001" w:rsidRPr="00FE4475">
        <w:t>.</w:t>
      </w:r>
      <w:r w:rsidR="00E71001">
        <w:rPr>
          <w:rStyle w:val="EndnoteReference"/>
        </w:rPr>
        <w:endnoteReference w:id="316"/>
      </w:r>
    </w:p>
    <w:p w14:paraId="3973E14C" w14:textId="0657A8CF" w:rsidR="00D43B02" w:rsidRDefault="00701F6B" w:rsidP="00176E15">
      <w:pPr>
        <w:pStyle w:val="BodyText"/>
      </w:pPr>
      <w:r>
        <w:t xml:space="preserve">Importantly, the Commission </w:t>
      </w:r>
      <w:r w:rsidR="007120C0">
        <w:t xml:space="preserve">considers that </w:t>
      </w:r>
      <w:r w:rsidR="006401AA">
        <w:t xml:space="preserve">a Victorian harm-based test should provide the same level of protection as existing harm-based laws. </w:t>
      </w:r>
      <w:r w:rsidR="00176E15" w:rsidRPr="00176E15">
        <w:t xml:space="preserve">Rather than modifying existing harm-based tests in a Victorian context to codify the high threshold applied in practice, the judicial interpretation of existing tests could be clarified in explanatory materials for an amendment Bill or a note in the legislative provision. </w:t>
      </w:r>
      <w:r w:rsidR="00325CFD">
        <w:t>This would mitigate against any</w:t>
      </w:r>
      <w:r w:rsidR="00325CFD" w:rsidRPr="00325CFD">
        <w:t xml:space="preserve"> </w:t>
      </w:r>
      <w:r w:rsidR="00325CFD" w:rsidRPr="00325CFD">
        <w:rPr>
          <w:rStyle w:val="Characterclear"/>
        </w:rPr>
        <w:t>actual or perceived ‘watering down’ of existing harm-based laws in a Victorian context</w:t>
      </w:r>
      <w:r w:rsidR="00325CFD">
        <w:rPr>
          <w:rStyle w:val="Characterclear"/>
        </w:rPr>
        <w:t xml:space="preserve">. </w:t>
      </w:r>
    </w:p>
    <w:p w14:paraId="596CDC7A" w14:textId="74423148" w:rsidR="008308D6" w:rsidRDefault="00826376" w:rsidP="008308D6">
      <w:pPr>
        <w:pStyle w:val="Heading4"/>
      </w:pPr>
      <w:r>
        <w:t>Harm should be assessed</w:t>
      </w:r>
      <w:r w:rsidR="008308D6">
        <w:t xml:space="preserve"> objectively from the perspective of the target group</w:t>
      </w:r>
    </w:p>
    <w:p w14:paraId="3930D987" w14:textId="50101A20" w:rsidR="006637ED" w:rsidRDefault="00326FBE" w:rsidP="00DF3485">
      <w:pPr>
        <w:pStyle w:val="BodyText"/>
      </w:pPr>
      <w:r>
        <w:t>Courts have interpreted existing harm-based tests</w:t>
      </w:r>
      <w:r w:rsidR="003A384D">
        <w:t xml:space="preserve"> from the perspective of </w:t>
      </w:r>
      <w:r w:rsidR="003B4EEF">
        <w:t xml:space="preserve">a </w:t>
      </w:r>
      <w:r w:rsidR="00BB5045">
        <w:t xml:space="preserve">hypothetical </w:t>
      </w:r>
      <w:r w:rsidR="003B4EEF">
        <w:t xml:space="preserve">reasonable member of the relevant target group. For example, </w:t>
      </w:r>
      <w:r w:rsidR="00C04531">
        <w:t xml:space="preserve">in </w:t>
      </w:r>
      <w:r w:rsidR="00C04531" w:rsidRPr="00C04531">
        <w:rPr>
          <w:rStyle w:val="Characteritalic"/>
        </w:rPr>
        <w:t>Creek v Cairns Post Pty Ltd</w:t>
      </w:r>
      <w:r w:rsidR="00C04531">
        <w:t xml:space="preserve"> (2001) 112 FCR 352, </w:t>
      </w:r>
      <w:r w:rsidR="009223C2">
        <w:t xml:space="preserve">Keifel J </w:t>
      </w:r>
      <w:r w:rsidR="006637ED">
        <w:t>stated</w:t>
      </w:r>
      <w:r w:rsidR="00F044A1">
        <w:t xml:space="preserve"> that the question to be determined is whether the </w:t>
      </w:r>
      <w:r w:rsidR="0090377F">
        <w:t xml:space="preserve">conduct </w:t>
      </w:r>
      <w:r w:rsidR="00F044A1">
        <w:t>can, ‘in the circumstances be regarded as reasonably likely to offend or humiliate a person in the applicant’s position’.</w:t>
      </w:r>
      <w:r w:rsidR="00F044A1">
        <w:rPr>
          <w:rStyle w:val="EndnoteReference"/>
        </w:rPr>
        <w:endnoteReference w:id="317"/>
      </w:r>
      <w:r w:rsidR="00281370">
        <w:t xml:space="preserve"> </w:t>
      </w:r>
      <w:r w:rsidR="00095F7D">
        <w:t>Courts</w:t>
      </w:r>
      <w:r w:rsidR="006637ED">
        <w:t xml:space="preserve"> have </w:t>
      </w:r>
      <w:r w:rsidR="00095F7D">
        <w:t xml:space="preserve">also </w:t>
      </w:r>
      <w:r w:rsidR="006637ED">
        <w:t>said that extreme</w:t>
      </w:r>
      <w:r w:rsidR="00281370">
        <w:t xml:space="preserve">, atypical or intolerant reactions of members of the </w:t>
      </w:r>
      <w:r w:rsidR="0090377F">
        <w:t xml:space="preserve">relevant </w:t>
      </w:r>
      <w:r w:rsidR="00281370">
        <w:t>group should not be taken into account.</w:t>
      </w:r>
      <w:r w:rsidR="00095F7D">
        <w:rPr>
          <w:rStyle w:val="EndnoteReference"/>
        </w:rPr>
        <w:endnoteReference w:id="318"/>
      </w:r>
    </w:p>
    <w:p w14:paraId="1FBB7752" w14:textId="6E1588C6" w:rsidR="00CE3ED0" w:rsidRDefault="00CE3ED0" w:rsidP="00DF3485">
      <w:pPr>
        <w:pStyle w:val="BodyText"/>
      </w:pPr>
      <w:r>
        <w:t xml:space="preserve">As explained by the Human Rights Law Centre: </w:t>
      </w:r>
    </w:p>
    <w:p w14:paraId="4B2D011A" w14:textId="284E0399" w:rsidR="00CE3ED0" w:rsidRDefault="005B6423" w:rsidP="00CE3ED0">
      <w:pPr>
        <w:pStyle w:val="Quote"/>
      </w:pPr>
      <w:r>
        <w:t>‘</w:t>
      </w:r>
      <w:r w:rsidR="00CE3ED0">
        <w:t xml:space="preserve">Assessing conduct against the objective standard or a reasonable person from the relevant group ensures that the specific experiences, values and circumstances of different minority groups, who are most at risk of racial vilification, are considered in assessing the impact. Courts have warned that </w:t>
      </w:r>
      <w:r>
        <w:t>“</w:t>
      </w:r>
      <w:r w:rsidR="00CE3ED0">
        <w:t xml:space="preserve">to import general </w:t>
      </w:r>
      <w:r w:rsidR="00B45581">
        <w:t>community standards into the test … runs a risk of reinforcing the prevailing level of prejudice</w:t>
      </w:r>
      <w:r>
        <w:t>”’</w:t>
      </w:r>
      <w:r w:rsidR="00B45581">
        <w:t>.</w:t>
      </w:r>
      <w:r w:rsidR="00B45581">
        <w:rPr>
          <w:rStyle w:val="EndnoteReference"/>
        </w:rPr>
        <w:endnoteReference w:id="319"/>
      </w:r>
    </w:p>
    <w:p w14:paraId="5FF3D769" w14:textId="5FF8BE74" w:rsidR="004F4C23" w:rsidRPr="00DF3485" w:rsidRDefault="004F4C23" w:rsidP="004F4C23">
      <w:pPr>
        <w:pStyle w:val="BodyText"/>
      </w:pPr>
      <w:r>
        <w:t xml:space="preserve">The Commission endorses this approach for a Victorian harm-based test. </w:t>
      </w:r>
    </w:p>
    <w:p w14:paraId="433E8041" w14:textId="3052CAD7" w:rsidR="008308D6" w:rsidRDefault="008308D6" w:rsidP="008308D6">
      <w:pPr>
        <w:pStyle w:val="Heading4"/>
      </w:pPr>
      <w:r>
        <w:t xml:space="preserve">The test should protect the same attributes </w:t>
      </w:r>
      <w:r w:rsidR="00C97796">
        <w:t>proposed for</w:t>
      </w:r>
      <w:r>
        <w:t xml:space="preserve"> the incitement test</w:t>
      </w:r>
    </w:p>
    <w:p w14:paraId="381D4DC2" w14:textId="78CA596F" w:rsidR="009F2623" w:rsidRDefault="003A5FC7" w:rsidP="009F2623">
      <w:pPr>
        <w:pStyle w:val="BodyText"/>
      </w:pPr>
      <w:r>
        <w:t xml:space="preserve">The </w:t>
      </w:r>
      <w:r w:rsidR="009F2623">
        <w:t>Commission considers that a harm-based test should protect the same attributes as the incitement test</w:t>
      </w:r>
      <w:r>
        <w:t xml:space="preserve"> (part 5.2.1)</w:t>
      </w:r>
      <w:r w:rsidR="009F2623">
        <w:t xml:space="preserve">, including: </w:t>
      </w:r>
    </w:p>
    <w:p w14:paraId="0305C47D" w14:textId="38420E33" w:rsidR="009F2623" w:rsidRDefault="009F2623" w:rsidP="00207804">
      <w:pPr>
        <w:pStyle w:val="ListBullet"/>
      </w:pPr>
      <w:r>
        <w:t xml:space="preserve">race </w:t>
      </w:r>
    </w:p>
    <w:p w14:paraId="0E713A12" w14:textId="38198947" w:rsidR="009F2623" w:rsidRDefault="009F2623" w:rsidP="00207804">
      <w:pPr>
        <w:pStyle w:val="ListBullet"/>
      </w:pPr>
      <w:r>
        <w:t xml:space="preserve">religious belief or activity </w:t>
      </w:r>
      <w:r w:rsidR="009B1FAD">
        <w:t xml:space="preserve">(see discussion </w:t>
      </w:r>
      <w:r w:rsidR="005F0A0A">
        <w:t>below</w:t>
      </w:r>
      <w:r w:rsidR="009B1FAD">
        <w:t>)</w:t>
      </w:r>
    </w:p>
    <w:p w14:paraId="3DAC750B" w14:textId="6F3DCED4" w:rsidR="009F2623" w:rsidRDefault="006C4CF5" w:rsidP="00207804">
      <w:pPr>
        <w:pStyle w:val="ListBullet"/>
      </w:pPr>
      <w:r>
        <w:t xml:space="preserve">sexual orientation </w:t>
      </w:r>
    </w:p>
    <w:p w14:paraId="31347BAD" w14:textId="43D96C9D" w:rsidR="006C4CF5" w:rsidRDefault="009518CE" w:rsidP="00207804">
      <w:pPr>
        <w:pStyle w:val="ListBullet"/>
      </w:pPr>
      <w:r>
        <w:t xml:space="preserve">gender identity </w:t>
      </w:r>
    </w:p>
    <w:p w14:paraId="0728ADF6" w14:textId="13712566" w:rsidR="009518CE" w:rsidRDefault="009518CE" w:rsidP="00207804">
      <w:pPr>
        <w:pStyle w:val="ListBullet"/>
      </w:pPr>
      <w:r>
        <w:t xml:space="preserve">sex characteristics </w:t>
      </w:r>
    </w:p>
    <w:p w14:paraId="76B4873A" w14:textId="385012A4" w:rsidR="009518CE" w:rsidRDefault="00661AF8" w:rsidP="00207804">
      <w:pPr>
        <w:pStyle w:val="ListBullet"/>
      </w:pPr>
      <w:r>
        <w:t>gender</w:t>
      </w:r>
      <w:r w:rsidR="009518CE">
        <w:t xml:space="preserve"> </w:t>
      </w:r>
    </w:p>
    <w:p w14:paraId="382E5BE0" w14:textId="28A2C4E4" w:rsidR="009518CE" w:rsidRDefault="009518CE" w:rsidP="00207804">
      <w:pPr>
        <w:pStyle w:val="ListBullet"/>
      </w:pPr>
      <w:r>
        <w:t>disability</w:t>
      </w:r>
      <w:r w:rsidR="003A5FC7">
        <w:t xml:space="preserve"> </w:t>
      </w:r>
    </w:p>
    <w:p w14:paraId="28E13CED" w14:textId="57EAB6A2" w:rsidR="00C518A6" w:rsidRDefault="00661AF8" w:rsidP="00C518A6">
      <w:pPr>
        <w:pStyle w:val="ListBullet"/>
      </w:pPr>
      <w:r>
        <w:t xml:space="preserve">personal association. </w:t>
      </w:r>
    </w:p>
    <w:p w14:paraId="626D4A3A" w14:textId="12960FA4" w:rsidR="00C518A6" w:rsidRDefault="00C518A6" w:rsidP="00C518A6">
      <w:pPr>
        <w:pStyle w:val="ListBullet"/>
        <w:numPr>
          <w:ilvl w:val="0"/>
          <w:numId w:val="0"/>
        </w:numPr>
        <w:ind w:left="360"/>
      </w:pPr>
    </w:p>
    <w:p w14:paraId="21E2BE54" w14:textId="3C1CEE9D" w:rsidR="00C518A6" w:rsidRDefault="00C518A6" w:rsidP="00C518A6">
      <w:pPr>
        <w:pStyle w:val="ListBullet"/>
        <w:numPr>
          <w:ilvl w:val="0"/>
          <w:numId w:val="0"/>
        </w:numPr>
        <w:ind w:left="360"/>
      </w:pPr>
    </w:p>
    <w:p w14:paraId="3CFAE09E" w14:textId="57A5DBF8" w:rsidR="00C518A6" w:rsidRDefault="00C518A6" w:rsidP="00C518A6">
      <w:pPr>
        <w:pStyle w:val="ListBullet"/>
        <w:numPr>
          <w:ilvl w:val="0"/>
          <w:numId w:val="0"/>
        </w:numPr>
        <w:ind w:left="360"/>
      </w:pPr>
    </w:p>
    <w:p w14:paraId="10F4AFEF" w14:textId="77777777" w:rsidR="00C518A6" w:rsidRPr="00C518A6" w:rsidRDefault="00C518A6" w:rsidP="00C518A6">
      <w:pPr>
        <w:pStyle w:val="ListBullet"/>
        <w:numPr>
          <w:ilvl w:val="0"/>
          <w:numId w:val="0"/>
        </w:numPr>
        <w:ind w:left="360"/>
        <w:rPr>
          <w:rStyle w:val="Characteritalic"/>
          <w:i w:val="0"/>
        </w:rPr>
      </w:pPr>
    </w:p>
    <w:p w14:paraId="3CDD1411" w14:textId="3884576D" w:rsidR="00FB31FF" w:rsidRPr="00FB31FF" w:rsidRDefault="00FB31FF" w:rsidP="00FB31FF">
      <w:pPr>
        <w:pStyle w:val="BodyText"/>
        <w:rPr>
          <w:rStyle w:val="Characteritalic"/>
        </w:rPr>
      </w:pPr>
      <w:r>
        <w:rPr>
          <w:rStyle w:val="Characteritalic"/>
        </w:rPr>
        <w:lastRenderedPageBreak/>
        <w:t>Protecting ‘religious belief or activity’</w:t>
      </w:r>
    </w:p>
    <w:p w14:paraId="61AA919C" w14:textId="2A1F3928" w:rsidR="00FB31FF" w:rsidRPr="00FB31FF" w:rsidRDefault="00FB31FF" w:rsidP="00FB31FF">
      <w:pPr>
        <w:pStyle w:val="BodyText"/>
      </w:pPr>
      <w:r w:rsidRPr="00FB31FF">
        <w:t xml:space="preserve">As set out in part </w:t>
      </w:r>
      <w:r w:rsidR="006A66BA">
        <w:t>3.4,</w:t>
      </w:r>
      <w:r w:rsidRPr="00FB31FF">
        <w:t xml:space="preserve"> </w:t>
      </w:r>
      <w:r w:rsidR="00AF361C">
        <w:t xml:space="preserve">people from </w:t>
      </w:r>
      <w:r w:rsidRPr="00FB31FF">
        <w:t xml:space="preserve">multifaith </w:t>
      </w:r>
      <w:r w:rsidR="00AF361C">
        <w:t>communities</w:t>
      </w:r>
      <w:r w:rsidRPr="00FB31FF">
        <w:t xml:space="preserve"> continue to experience high levels of hate conduct in the Victorian community (in particular, Muslim and Jewish people). </w:t>
      </w:r>
    </w:p>
    <w:p w14:paraId="67A10734" w14:textId="05E1A423" w:rsidR="00FB31FF" w:rsidRPr="00FB31FF" w:rsidRDefault="00FB31FF" w:rsidP="00FB31FF">
      <w:pPr>
        <w:pStyle w:val="BodyText"/>
      </w:pPr>
      <w:r w:rsidRPr="00FB31FF">
        <w:t xml:space="preserve">The Commission considers that the existing attribute of ‘religious belief or activity’ under the RRTA should also apply to the proposed harm-based test to:  </w:t>
      </w:r>
    </w:p>
    <w:p w14:paraId="279E478F" w14:textId="031352B4" w:rsidR="00FB31FF" w:rsidRPr="00FB31FF" w:rsidRDefault="00FB31FF" w:rsidP="00FB31FF">
      <w:pPr>
        <w:pStyle w:val="ListBullet"/>
        <w:numPr>
          <w:ilvl w:val="0"/>
          <w:numId w:val="3"/>
        </w:numPr>
      </w:pPr>
      <w:r w:rsidRPr="00FB31FF">
        <w:t xml:space="preserve">acknowledge and seek to remedy the profound harm experienced by people who experience </w:t>
      </w:r>
      <w:r w:rsidR="00AF361C">
        <w:t xml:space="preserve">religious </w:t>
      </w:r>
      <w:r w:rsidRPr="00FB31FF">
        <w:t>hate</w:t>
      </w:r>
      <w:r w:rsidR="00AF361C">
        <w:t xml:space="preserve"> </w:t>
      </w:r>
      <w:r w:rsidRPr="00FB31FF">
        <w:t xml:space="preserve">including Islamophobia and anti-Semitism </w:t>
      </w:r>
    </w:p>
    <w:p w14:paraId="7E2C017A" w14:textId="77777777" w:rsidR="00FB31FF" w:rsidRPr="00FB31FF" w:rsidRDefault="00FB31FF" w:rsidP="00FB31FF">
      <w:pPr>
        <w:pStyle w:val="ListBullet"/>
        <w:numPr>
          <w:ilvl w:val="0"/>
          <w:numId w:val="3"/>
        </w:numPr>
      </w:pPr>
      <w:r w:rsidRPr="00FB31FF">
        <w:t>ensure consistency with the existing protection of ‘religious belief or activity’ from religious vilification under the RRTA</w:t>
      </w:r>
    </w:p>
    <w:p w14:paraId="79419EED" w14:textId="77777777" w:rsidR="00FB31FF" w:rsidRPr="00FB31FF" w:rsidRDefault="00FB31FF" w:rsidP="00FB31FF">
      <w:pPr>
        <w:pStyle w:val="ListBullet"/>
        <w:numPr>
          <w:ilvl w:val="0"/>
          <w:numId w:val="3"/>
        </w:numPr>
      </w:pPr>
      <w:r w:rsidRPr="00FB31FF">
        <w:t xml:space="preserve">reflect the existing federal protection for some multifaith people under the racial hatred provisions of the RDA, including Jewish and Sikh people </w:t>
      </w:r>
    </w:p>
    <w:p w14:paraId="657AE2CE" w14:textId="77777777" w:rsidR="00FB31FF" w:rsidRPr="00FB31FF" w:rsidRDefault="00FB31FF" w:rsidP="00FB31FF">
      <w:pPr>
        <w:pStyle w:val="ListBullet"/>
        <w:numPr>
          <w:ilvl w:val="0"/>
          <w:numId w:val="3"/>
        </w:numPr>
      </w:pPr>
      <w:r w:rsidRPr="00FB31FF">
        <w:t xml:space="preserve">provide more effective redress for multifaith people who experience high rates of compounding intersectional forms of hate, such as Muslim women. </w:t>
      </w:r>
    </w:p>
    <w:p w14:paraId="503FC15C" w14:textId="330A2DE3" w:rsidR="00CB4E4C" w:rsidRPr="005D7564" w:rsidRDefault="00FB31FF" w:rsidP="00A25253">
      <w:pPr>
        <w:pStyle w:val="BodyText"/>
        <w:rPr>
          <w:rStyle w:val="Characteryellowhighlight"/>
          <w:shd w:val="clear" w:color="auto" w:fill="auto"/>
        </w:rPr>
      </w:pPr>
      <w:r w:rsidRPr="00FB31FF">
        <w:t xml:space="preserve">The Commission acknowledges concerns that harm-based laws should not protect </w:t>
      </w:r>
      <w:r w:rsidR="00AF361C">
        <w:t>‘religious belief or activity’</w:t>
      </w:r>
      <w:r w:rsidRPr="00FB31FF">
        <w:t xml:space="preserve"> because religious expression or criticism of a religion commonly cause offence to adherents of a particular religion.</w:t>
      </w:r>
      <w:r w:rsidRPr="00AF361C">
        <w:rPr>
          <w:rStyle w:val="FootnoteReference"/>
        </w:rPr>
        <w:endnoteReference w:id="320"/>
      </w:r>
      <w:r w:rsidRPr="00AF361C">
        <w:rPr>
          <w:rStyle w:val="FootnoteReference"/>
        </w:rPr>
        <w:t xml:space="preserve"> </w:t>
      </w:r>
      <w:r w:rsidRPr="00FB31FF">
        <w:t xml:space="preserve">However, the Commission considers it is critical to provide legal protection to multifaith people who, as the evidence demonstrates, experience the profound negative impacts of hate conduct (for example, Muslim women who experience high rates of public abuse). </w:t>
      </w:r>
    </w:p>
    <w:p w14:paraId="7F45DF22" w14:textId="77777777" w:rsidR="00FB31FF" w:rsidRPr="00FB31FF" w:rsidRDefault="00FB31FF" w:rsidP="00A25253">
      <w:pPr>
        <w:pStyle w:val="BodyText"/>
      </w:pPr>
      <w:r w:rsidRPr="00A25253">
        <w:t>Any legal protection on the ground of religious belief or activity must be complemented by effective statutory exceptions for conduct engaged in ‘reasonably</w:t>
      </w:r>
      <w:r w:rsidRPr="00FB31FF">
        <w:t xml:space="preserve"> and in good faith’ to balance the right to freedom of expression and safeguard against the unintended consequence of a harm-based test prohibiting mere criticism. </w:t>
      </w:r>
    </w:p>
    <w:p w14:paraId="368E0CB8" w14:textId="5A135410" w:rsidR="00FB31FF" w:rsidRPr="00FB31FF" w:rsidRDefault="00FB31FF" w:rsidP="00FB31FF">
      <w:pPr>
        <w:pStyle w:val="BodyText"/>
      </w:pPr>
      <w:r w:rsidRPr="00FB31FF">
        <w:t>In</w:t>
      </w:r>
      <w:r w:rsidR="00316EDC">
        <w:t xml:space="preserve"> Catch the Fire, </w:t>
      </w:r>
      <w:r w:rsidRPr="00FB31FF">
        <w:t>for the purposes of the public conduct exception, the Court of Appeal found that whether conduct was engaged in ‘reasonably’ must be assessed according to the objective standard of a reasonable person who is a member of an open and just multicultural society.</w:t>
      </w:r>
      <w:r w:rsidRPr="00FB31FF">
        <w:rPr>
          <w:rStyle w:val="EndnoteReference"/>
        </w:rPr>
        <w:endnoteReference w:id="321"/>
      </w:r>
      <w:r w:rsidRPr="00FB31FF">
        <w:t xml:space="preserve"> Justice Nettle commented that: </w:t>
      </w:r>
    </w:p>
    <w:p w14:paraId="028AC1F1" w14:textId="6BA2CB20" w:rsidR="00FB31FF" w:rsidRPr="00FB31FF" w:rsidRDefault="005B6423" w:rsidP="00FB31FF">
      <w:pPr>
        <w:pStyle w:val="Quote"/>
      </w:pPr>
      <w:r>
        <w:t>‘</w:t>
      </w:r>
      <w:r w:rsidR="00FB31FF" w:rsidRPr="00FB31FF">
        <w:t>[T]he standards of an open and just multicultural society allow for different views about religions. They acknowledge that there will be differences in views about other peoples' religions. To a very considerable extent, therefore, they tolerate criticism by the adherents of one religion of the tenets of another religion … It is only when what is said is so ill-informed or misconceived or ignorant and so hurtful as to go beyond the bounds of what tolerance should accommodate that it may be regarded as unreasonable</w:t>
      </w:r>
      <w:r>
        <w:t>’</w:t>
      </w:r>
      <w:r w:rsidR="00FB31FF" w:rsidRPr="00FB31FF">
        <w:t>.</w:t>
      </w:r>
      <w:r w:rsidR="00FB31FF" w:rsidRPr="00FB31FF">
        <w:rPr>
          <w:rStyle w:val="EndnoteReference"/>
        </w:rPr>
        <w:endnoteReference w:id="322"/>
      </w:r>
    </w:p>
    <w:tbl>
      <w:tblPr>
        <w:tblStyle w:val="CustomTablebreakoutbox"/>
        <w:tblW w:w="0" w:type="auto"/>
        <w:tblLook w:val="04A0" w:firstRow="1" w:lastRow="0" w:firstColumn="1" w:lastColumn="0" w:noHBand="0" w:noVBand="1"/>
      </w:tblPr>
      <w:tblGrid>
        <w:gridCol w:w="9061"/>
      </w:tblGrid>
      <w:tr w:rsidR="00FB31FF" w14:paraId="149271B0" w14:textId="77777777" w:rsidTr="000C4112">
        <w:tc>
          <w:tcPr>
            <w:tcW w:w="9061" w:type="dxa"/>
          </w:tcPr>
          <w:p w14:paraId="203EFEE3" w14:textId="77777777" w:rsidR="00FB31FF" w:rsidRPr="00FB31FF" w:rsidRDefault="00FB31FF" w:rsidP="00FB31FF">
            <w:pPr>
              <w:pStyle w:val="BodyText"/>
              <w:rPr>
                <w:rStyle w:val="Characterbold"/>
              </w:rPr>
            </w:pPr>
            <w:r w:rsidRPr="00FB31FF">
              <w:rPr>
                <w:rStyle w:val="Characterbold"/>
              </w:rPr>
              <w:t xml:space="preserve">Existing civil protections for multifaith people </w:t>
            </w:r>
          </w:p>
          <w:p w14:paraId="2BC5171F" w14:textId="07410CA0" w:rsidR="00FB31FF" w:rsidRPr="00FB31FF" w:rsidRDefault="00FB31FF" w:rsidP="00FB31FF">
            <w:pPr>
              <w:pStyle w:val="BodyText"/>
            </w:pPr>
            <w:r w:rsidRPr="00FB31FF">
              <w:t>In Australia, religious vilification is prohibited by civil incitement laws in Victoria, Q</w:t>
            </w:r>
            <w:r w:rsidR="005B6423">
              <w:t>LD</w:t>
            </w:r>
            <w:r w:rsidRPr="00FB31FF">
              <w:t>, the ACT and T</w:t>
            </w:r>
            <w:r w:rsidR="005B6423">
              <w:t>AS</w:t>
            </w:r>
            <w:r w:rsidRPr="00FB31FF">
              <w:t>. In NSW, the definition of ‘race’ for the purposes of racial vilification was amended in 1994 to include ‘ethno-religious’ origin to ‘clarify that ethno-religious groups, such as Jews, Muslims and Sikhs have access to the racial vilification and discrimination provisions of the Act’.</w:t>
            </w:r>
            <w:r w:rsidRPr="00AF361C">
              <w:rPr>
                <w:rStyle w:val="FootnoteReference"/>
              </w:rPr>
              <w:endnoteReference w:id="323"/>
            </w:r>
          </w:p>
          <w:p w14:paraId="4314C3C6" w14:textId="4678A4F1" w:rsidR="00FB31FF" w:rsidRPr="00FB31FF" w:rsidRDefault="00AF361C" w:rsidP="00FB31FF">
            <w:pPr>
              <w:pStyle w:val="BodyText"/>
            </w:pPr>
            <w:r>
              <w:t>T</w:t>
            </w:r>
            <w:r w:rsidR="00FB31FF" w:rsidRPr="00FB31FF">
              <w:t>he definition of ‘race’ for the purposes of section 18C of the RDA includes ‘ethnic origin’ and for the purposes of s</w:t>
            </w:r>
            <w:r>
              <w:t>ection</w:t>
            </w:r>
            <w:r w:rsidR="00FB31FF" w:rsidRPr="00FB31FF">
              <w:t xml:space="preserve"> 17 of the </w:t>
            </w:r>
            <w:r w:rsidR="00FB31FF" w:rsidRPr="00FB31FF">
              <w:rPr>
                <w:rStyle w:val="Characteritalic"/>
              </w:rPr>
              <w:t>Anti-Discrimination Act 1998</w:t>
            </w:r>
            <w:r w:rsidR="00FB31FF" w:rsidRPr="00FB31FF">
              <w:t xml:space="preserve"> (Tas) includes ‘ethnic’ and ‘ethno-religious’ origin. </w:t>
            </w:r>
          </w:p>
          <w:p w14:paraId="43A7B9DF" w14:textId="1A022936" w:rsidR="00FB31FF" w:rsidRPr="00E66331" w:rsidRDefault="00FB31FF" w:rsidP="00FB31FF">
            <w:pPr>
              <w:pStyle w:val="BodyText"/>
              <w:rPr>
                <w:rStyle w:val="Characterbold"/>
                <w:b w:val="0"/>
              </w:rPr>
            </w:pPr>
            <w:r w:rsidRPr="00FB31FF">
              <w:t>The term ‘ethnic origin’ has been interpreted to include Jewish and Sikh people.</w:t>
            </w:r>
            <w:r w:rsidRPr="00AF361C">
              <w:rPr>
                <w:rStyle w:val="FootnoteReference"/>
              </w:rPr>
              <w:endnoteReference w:id="324"/>
            </w:r>
            <w:r w:rsidRPr="00AF361C">
              <w:rPr>
                <w:rStyle w:val="FootnoteReference"/>
              </w:rPr>
              <w:t xml:space="preserve"> </w:t>
            </w:r>
            <w:r w:rsidRPr="00FB31FF">
              <w:t xml:space="preserve"> </w:t>
            </w:r>
          </w:p>
        </w:tc>
      </w:tr>
    </w:tbl>
    <w:p w14:paraId="20B4CC75" w14:textId="23473A71" w:rsidR="00FB31FF" w:rsidRPr="00FB31FF" w:rsidRDefault="00FB31FF" w:rsidP="00FB31FF">
      <w:pPr>
        <w:pStyle w:val="BodyText"/>
      </w:pPr>
      <w:r w:rsidRPr="00FB31FF">
        <w:lastRenderedPageBreak/>
        <w:t xml:space="preserve">In 2018, the Expert Panel for the federal Religious Freedom Review noted </w:t>
      </w:r>
      <w:r w:rsidR="000C35B8">
        <w:t>they heard ‘</w:t>
      </w:r>
      <w:r w:rsidRPr="00FB31FF">
        <w:t>examples about hate speech directed at people of faith, generally directed towards people of minority religions in Australia</w:t>
      </w:r>
      <w:r w:rsidR="000C35B8">
        <w:t>’.</w:t>
      </w:r>
      <w:r w:rsidRPr="00AF361C">
        <w:rPr>
          <w:rStyle w:val="FootnoteReference"/>
        </w:rPr>
        <w:endnoteReference w:id="325"/>
      </w:r>
      <w:r w:rsidR="000C35B8">
        <w:t xml:space="preserve"> Many examples </w:t>
      </w:r>
      <w:r w:rsidRPr="00FB31FF">
        <w:t xml:space="preserve">went ‘beyond questions of vilification’: </w:t>
      </w:r>
    </w:p>
    <w:p w14:paraId="53145F2C" w14:textId="556D0D82" w:rsidR="00FB31FF" w:rsidRPr="00FB31FF" w:rsidRDefault="005B6423" w:rsidP="00FB31FF">
      <w:pPr>
        <w:pStyle w:val="Quote"/>
      </w:pPr>
      <w:r>
        <w:t>‘</w:t>
      </w:r>
      <w:r w:rsidR="00FB31FF" w:rsidRPr="00FB31FF">
        <w:t>More serious incidents involved the forcible removal of items of clothing, mainly religious head coverings; death threats; vandalism; and more extreme forms of verbal abuse. Identifiably religious persons are often singled out</w:t>
      </w:r>
      <w:r>
        <w:t>’</w:t>
      </w:r>
      <w:r w:rsidR="00FB31FF" w:rsidRPr="00FB31FF">
        <w:t xml:space="preserve">. </w:t>
      </w:r>
    </w:p>
    <w:p w14:paraId="3DA87D30" w14:textId="27CFDDFD" w:rsidR="005F0A0A" w:rsidRDefault="00FB31FF" w:rsidP="00FB31FF">
      <w:pPr>
        <w:pStyle w:val="BodyText"/>
      </w:pPr>
      <w:r w:rsidRPr="00FB31FF">
        <w:t>As part of the federal inquiry into freedom of speech</w:t>
      </w:r>
      <w:r w:rsidR="00E66331">
        <w:t xml:space="preserve"> in Australia</w:t>
      </w:r>
      <w:r w:rsidRPr="00FB31FF">
        <w:t>, a number of organisations submitted that section 18C of the RDA should be amended to include religion as a ground for protection.</w:t>
      </w:r>
      <w:r w:rsidRPr="000C35B8">
        <w:rPr>
          <w:rStyle w:val="FootnoteReference"/>
        </w:rPr>
        <w:endnoteReference w:id="326"/>
      </w:r>
    </w:p>
    <w:p w14:paraId="4F862F40" w14:textId="77777777" w:rsidR="005457EE" w:rsidRPr="005457EE" w:rsidRDefault="005457EE" w:rsidP="005457EE">
      <w:pPr>
        <w:pStyle w:val="Heading4"/>
      </w:pPr>
      <w:r w:rsidRPr="005457EE">
        <w:t>The test should exempt private conduct</w:t>
      </w:r>
    </w:p>
    <w:p w14:paraId="69CF9BB0" w14:textId="261FF45A" w:rsidR="005457EE" w:rsidRPr="005457EE" w:rsidRDefault="005457EE" w:rsidP="005457EE">
      <w:pPr>
        <w:pStyle w:val="BodyText"/>
        <w:rPr>
          <w:rStyle w:val="Characterclear"/>
        </w:rPr>
      </w:pPr>
      <w:r w:rsidRPr="005457EE">
        <w:rPr>
          <w:rStyle w:val="Characterclear"/>
        </w:rPr>
        <w:t>The private conduct exception under s</w:t>
      </w:r>
      <w:r w:rsidR="00970C60">
        <w:rPr>
          <w:rStyle w:val="Characterclear"/>
        </w:rPr>
        <w:t>ection</w:t>
      </w:r>
      <w:r w:rsidRPr="005457EE">
        <w:rPr>
          <w:rStyle w:val="Characterclear"/>
        </w:rPr>
        <w:t xml:space="preserve"> 12 of the RRTA should also apply to the proposed harm-based test to ensure that the onus is on a respondent to prove objectively that conduct was intended to be private (rather than requiring an applicant to prove that conduct was done ‘otherwise in private’ as is the case with s 18C of the RDA). The Victorian approach to exempting private conduct has been endorsed by Professors Simon Rice and Neil Rees in the context of criminal reforms in NSW:  </w:t>
      </w:r>
    </w:p>
    <w:p w14:paraId="5C94AF4A" w14:textId="29D7EF48" w:rsidR="005457EE" w:rsidRPr="005457EE" w:rsidRDefault="005B6423" w:rsidP="005457EE">
      <w:pPr>
        <w:pStyle w:val="Quote"/>
        <w:rPr>
          <w:rStyle w:val="Characterclear"/>
        </w:rPr>
      </w:pPr>
      <w:r>
        <w:rPr>
          <w:rStyle w:val="Characterclear"/>
        </w:rPr>
        <w:t>‘</w:t>
      </w:r>
      <w:r w:rsidR="005457EE" w:rsidRPr="005457EE">
        <w:rPr>
          <w:rStyle w:val="Characterclear"/>
        </w:rPr>
        <w:t xml:space="preserve">We propose adoption of the approach in Victoria which has shifted the public/private dividing line in offences of this nature: s 12 </w:t>
      </w:r>
      <w:r w:rsidR="00AD721F">
        <w:rPr>
          <w:rStyle w:val="Characterclear"/>
        </w:rPr>
        <w:t xml:space="preserve">of the RRTA </w:t>
      </w:r>
      <w:r w:rsidR="005457EE" w:rsidRPr="005457EE">
        <w:rPr>
          <w:rStyle w:val="Characterclear"/>
        </w:rPr>
        <w:t>contains an exception to liability when the person concerned can establish, objectively, that his or her conduct was intended to be private</w:t>
      </w:r>
      <w:r>
        <w:rPr>
          <w:rStyle w:val="Characterclear"/>
        </w:rPr>
        <w:t>’</w:t>
      </w:r>
      <w:r w:rsidR="005457EE" w:rsidRPr="005457EE">
        <w:rPr>
          <w:rStyle w:val="Characterclear"/>
        </w:rPr>
        <w:t>.</w:t>
      </w:r>
      <w:r w:rsidR="005457EE" w:rsidRPr="005457EE">
        <w:rPr>
          <w:rStyle w:val="EndnoteReference"/>
        </w:rPr>
        <w:endnoteReference w:id="327"/>
      </w:r>
    </w:p>
    <w:p w14:paraId="4F15897E" w14:textId="282C1278" w:rsidR="005457EE" w:rsidRDefault="005457EE" w:rsidP="005457EE">
      <w:pPr>
        <w:pStyle w:val="BodyText"/>
        <w:rPr>
          <w:rStyle w:val="Characterclear"/>
        </w:rPr>
      </w:pPr>
      <w:r w:rsidRPr="005457EE">
        <w:rPr>
          <w:rStyle w:val="Characterclear"/>
        </w:rPr>
        <w:t xml:space="preserve">Extending the exception for private conduct to the proposed harm-based test will ensure that the burden of proof is not too onerous </w:t>
      </w:r>
      <w:r w:rsidR="0043120F">
        <w:rPr>
          <w:rStyle w:val="Characterclear"/>
        </w:rPr>
        <w:t xml:space="preserve">for complainants or unrepresented applicants in civil matters. </w:t>
      </w:r>
      <w:r w:rsidRPr="005457EE">
        <w:rPr>
          <w:rStyle w:val="Characterclear"/>
        </w:rPr>
        <w:t xml:space="preserve"> </w:t>
      </w:r>
    </w:p>
    <w:p w14:paraId="54939651" w14:textId="5D58F236" w:rsidR="00657C8F" w:rsidRPr="00657C8F" w:rsidRDefault="006944AA" w:rsidP="00657C8F">
      <w:pPr>
        <w:pStyle w:val="BodyText"/>
        <w:rPr>
          <w:rStyle w:val="Characterclear"/>
        </w:rPr>
      </w:pPr>
      <w:r>
        <w:rPr>
          <w:rStyle w:val="Characterclear"/>
        </w:rPr>
        <w:t>Consistent with the existing scope of vilification laws in Victoria,</w:t>
      </w:r>
      <w:r w:rsidR="00657C8F" w:rsidRPr="00657C8F">
        <w:rPr>
          <w:rStyle w:val="Characterclear"/>
        </w:rPr>
        <w:t xml:space="preserve"> the harm-based test should not be limited to specific areas of public life</w:t>
      </w:r>
      <w:r>
        <w:rPr>
          <w:rStyle w:val="Characterclear"/>
        </w:rPr>
        <w:t xml:space="preserve"> (</w:t>
      </w:r>
      <w:r w:rsidR="00657C8F" w:rsidRPr="00657C8F">
        <w:rPr>
          <w:rStyle w:val="Characterclear"/>
        </w:rPr>
        <w:t xml:space="preserve">as is the case with s 17 of the </w:t>
      </w:r>
      <w:r w:rsidR="00657C8F" w:rsidRPr="00657C8F">
        <w:rPr>
          <w:rStyle w:val="Characteritalic"/>
        </w:rPr>
        <w:t>Anti-Discrimination Act 1998</w:t>
      </w:r>
      <w:r w:rsidR="00657C8F" w:rsidRPr="00657C8F">
        <w:rPr>
          <w:rStyle w:val="Characterclear"/>
        </w:rPr>
        <w:t xml:space="preserve"> (Tas)</w:t>
      </w:r>
      <w:r>
        <w:rPr>
          <w:rStyle w:val="Characterclear"/>
        </w:rPr>
        <w:t>)</w:t>
      </w:r>
      <w:r w:rsidR="00657C8F" w:rsidRPr="00657C8F">
        <w:rPr>
          <w:rStyle w:val="Characterclear"/>
        </w:rPr>
        <w:t>.</w:t>
      </w:r>
      <w:r w:rsidR="00657C8F" w:rsidRPr="00657C8F">
        <w:rPr>
          <w:rStyle w:val="EndnoteReference"/>
        </w:rPr>
        <w:endnoteReference w:id="328"/>
      </w:r>
      <w:r w:rsidR="007D16AD">
        <w:rPr>
          <w:rStyle w:val="Characterclear"/>
        </w:rPr>
        <w:t xml:space="preserve"> </w:t>
      </w:r>
      <w:r w:rsidR="00657C8F" w:rsidRPr="00657C8F">
        <w:rPr>
          <w:rStyle w:val="Characterclear"/>
        </w:rPr>
        <w:t xml:space="preserve">This approach is supported by research which demonstrates that hate conduct often occurs in </w:t>
      </w:r>
      <w:r w:rsidR="00114301">
        <w:rPr>
          <w:rStyle w:val="Characterclear"/>
        </w:rPr>
        <w:t xml:space="preserve">a range of </w:t>
      </w:r>
      <w:r w:rsidR="00657C8F" w:rsidRPr="00657C8F">
        <w:rPr>
          <w:rStyle w:val="Characterclear"/>
        </w:rPr>
        <w:t xml:space="preserve">public settings, including on the street, on public transport, in shopping centres, online, at public rallies, or through public graffiti, flyers, posters or stickers. </w:t>
      </w:r>
    </w:p>
    <w:p w14:paraId="54B701CB" w14:textId="479E9543" w:rsidR="00743FC8" w:rsidRPr="00AA6B8C" w:rsidRDefault="00495BC0" w:rsidP="00743FC8">
      <w:pPr>
        <w:pStyle w:val="BodyText"/>
        <w:rPr>
          <w:rStyle w:val="Characterclear"/>
          <w:b/>
          <w:lang w:eastAsia="en-US"/>
        </w:rPr>
      </w:pPr>
      <w:r w:rsidRPr="00495BC0">
        <w:rPr>
          <w:rStyle w:val="Characterbold"/>
        </w:rPr>
        <w:t xml:space="preserve">The test should </w:t>
      </w:r>
      <w:r w:rsidR="00B35A13">
        <w:rPr>
          <w:rStyle w:val="Characterbold"/>
        </w:rPr>
        <w:t xml:space="preserve">include an exception to balance freedom of expression </w:t>
      </w:r>
    </w:p>
    <w:p w14:paraId="7E61A2AD" w14:textId="6553DF4F" w:rsidR="00481B17" w:rsidRPr="0070438B" w:rsidRDefault="006760B4" w:rsidP="006B6431">
      <w:pPr>
        <w:pStyle w:val="BodyText"/>
        <w:rPr>
          <w:rStyle w:val="Characteryellowhighlight"/>
          <w:shd w:val="clear" w:color="auto" w:fill="auto"/>
          <w:lang w:eastAsia="en-AU"/>
        </w:rPr>
      </w:pPr>
      <w:r>
        <w:rPr>
          <w:rStyle w:val="Characterclear"/>
        </w:rPr>
        <w:t>The Commission considers that the harm-based test should include the same public conduct exception that applies to the incitement test to balance freedom of expression (</w:t>
      </w:r>
      <w:r w:rsidR="00BC6662">
        <w:rPr>
          <w:rStyle w:val="Characterclear"/>
        </w:rPr>
        <w:t xml:space="preserve">part 5.3.3). </w:t>
      </w:r>
      <w:r w:rsidR="00E12B35">
        <w:rPr>
          <w:rStyle w:val="Characterclear"/>
        </w:rPr>
        <w:t xml:space="preserve">As set out in part </w:t>
      </w:r>
      <w:r w:rsidR="00E86BCE">
        <w:rPr>
          <w:rStyle w:val="Characterclear"/>
        </w:rPr>
        <w:t>2.3.4, fr</w:t>
      </w:r>
      <w:r w:rsidR="007D16AD">
        <w:rPr>
          <w:rStyle w:val="Characterclear"/>
        </w:rPr>
        <w:t>eedom of expression is a fundamental human right that is protected under international and Victorian law</w:t>
      </w:r>
      <w:r w:rsidR="00E86BCE">
        <w:rPr>
          <w:rStyle w:val="Characterclear"/>
        </w:rPr>
        <w:t xml:space="preserve"> and must be balanced against the human rights of other people in Victoria. </w:t>
      </w:r>
    </w:p>
    <w:tbl>
      <w:tblPr>
        <w:tblStyle w:val="CustomTablerecommendationsbox"/>
        <w:tblW w:w="0" w:type="auto"/>
        <w:tblLook w:val="04A0" w:firstRow="1" w:lastRow="0" w:firstColumn="1" w:lastColumn="0" w:noHBand="0" w:noVBand="1"/>
      </w:tblPr>
      <w:tblGrid>
        <w:gridCol w:w="9061"/>
      </w:tblGrid>
      <w:tr w:rsidR="000B3D3C" w14:paraId="7268DA3E" w14:textId="77777777" w:rsidTr="000B3D3C">
        <w:tc>
          <w:tcPr>
            <w:tcW w:w="9061" w:type="dxa"/>
          </w:tcPr>
          <w:p w14:paraId="3F400EAB" w14:textId="77777777" w:rsidR="001E579A" w:rsidRDefault="001E579A" w:rsidP="001E579A">
            <w:pPr>
              <w:pStyle w:val="RecommendationList"/>
            </w:pPr>
          </w:p>
          <w:p w14:paraId="4E7A8DE5" w14:textId="6EFD0784" w:rsidR="00C17A92" w:rsidRPr="00C17A92" w:rsidRDefault="00C17A92" w:rsidP="00C17A92">
            <w:pPr>
              <w:pStyle w:val="BodyText"/>
            </w:pPr>
            <w:r w:rsidRPr="00C17A92">
              <w:t xml:space="preserve">The Victorian Government should introduce a complementary civil harm-based </w:t>
            </w:r>
            <w:r w:rsidR="00A83056">
              <w:t>provision</w:t>
            </w:r>
            <w:r w:rsidRPr="00C17A92">
              <w:t xml:space="preserve"> that: </w:t>
            </w:r>
          </w:p>
          <w:p w14:paraId="458B6819" w14:textId="77777777" w:rsidR="00C17A92" w:rsidRPr="00C17A92" w:rsidRDefault="00C17A92" w:rsidP="00C67716">
            <w:pPr>
              <w:pStyle w:val="ListNumber"/>
              <w:numPr>
                <w:ilvl w:val="0"/>
                <w:numId w:val="40"/>
              </w:numPr>
            </w:pPr>
            <w:r w:rsidRPr="00C17A92">
              <w:t>assesses harm objectively from the perspective of the target group</w:t>
            </w:r>
          </w:p>
          <w:p w14:paraId="10255C47" w14:textId="77777777" w:rsidR="00C17A92" w:rsidRPr="00C17A92" w:rsidRDefault="00C17A92" w:rsidP="00C67716">
            <w:pPr>
              <w:pStyle w:val="ListNumber"/>
              <w:numPr>
                <w:ilvl w:val="0"/>
                <w:numId w:val="26"/>
              </w:numPr>
            </w:pPr>
            <w:r w:rsidRPr="00C17A92">
              <w:t>protects the same attributes proposed for the incitement test</w:t>
            </w:r>
          </w:p>
          <w:p w14:paraId="0451D76E" w14:textId="77777777" w:rsidR="00C17A92" w:rsidRPr="00C17A92" w:rsidRDefault="00C17A92" w:rsidP="00C67716">
            <w:pPr>
              <w:pStyle w:val="ListNumber"/>
              <w:numPr>
                <w:ilvl w:val="0"/>
                <w:numId w:val="26"/>
              </w:numPr>
            </w:pPr>
            <w:r w:rsidRPr="00C17A92">
              <w:t xml:space="preserve">exempts private conduct </w:t>
            </w:r>
          </w:p>
          <w:p w14:paraId="52C23CF3" w14:textId="5A4ACAC4" w:rsidR="00C17A92" w:rsidRPr="00C17A92" w:rsidRDefault="00C17A92" w:rsidP="00C67716">
            <w:pPr>
              <w:pStyle w:val="ListNumber"/>
              <w:numPr>
                <w:ilvl w:val="0"/>
                <w:numId w:val="26"/>
              </w:numPr>
            </w:pPr>
            <w:r w:rsidRPr="00C17A92">
              <w:t xml:space="preserve">includes </w:t>
            </w:r>
            <w:r w:rsidR="005E77E9">
              <w:t>the same public conduct exception as the civil incitement test</w:t>
            </w:r>
            <w:r w:rsidRPr="00C17A92">
              <w:t xml:space="preserve"> to balance freedom of expression. </w:t>
            </w:r>
          </w:p>
          <w:p w14:paraId="47A3CFD4" w14:textId="0B27C6B7" w:rsidR="003E08B5" w:rsidRPr="000B3D3C" w:rsidRDefault="00C17A92" w:rsidP="003E08B5">
            <w:pPr>
              <w:pStyle w:val="BodyText"/>
              <w:rPr>
                <w:lang w:eastAsia="en-AU"/>
              </w:rPr>
            </w:pPr>
            <w:r w:rsidRPr="00C17A92">
              <w:lastRenderedPageBreak/>
              <w:t xml:space="preserve">Importantly, the Victorian Government should safeguard against any </w:t>
            </w:r>
            <w:r w:rsidRPr="00C17A92">
              <w:rPr>
                <w:rStyle w:val="Characterclear"/>
              </w:rPr>
              <w:t>actual or perceived ‘watering down’ of existing harm-based laws in a Victorian context.</w:t>
            </w:r>
          </w:p>
        </w:tc>
      </w:tr>
    </w:tbl>
    <w:p w14:paraId="026AE595" w14:textId="11A85BA4" w:rsidR="006B6431" w:rsidRDefault="006B6431" w:rsidP="00300940">
      <w:pPr>
        <w:pStyle w:val="Heading3"/>
      </w:pPr>
      <w:r>
        <w:lastRenderedPageBreak/>
        <w:t xml:space="preserve">The </w:t>
      </w:r>
      <w:r w:rsidR="00FC29C8">
        <w:t>‘religious purpose’</w:t>
      </w:r>
      <w:r w:rsidR="00BC4DF1">
        <w:t xml:space="preserve"> </w:t>
      </w:r>
      <w:r>
        <w:t>exception should be narrowed</w:t>
      </w:r>
      <w:r w:rsidRPr="00300940">
        <w:rPr>
          <w:rStyle w:val="Characterclear"/>
          <w:sz w:val="28"/>
        </w:rPr>
        <w:t xml:space="preserve"> </w:t>
      </w:r>
    </w:p>
    <w:p w14:paraId="7FCE1560" w14:textId="190F7D79" w:rsidR="00F319C8" w:rsidRPr="00F319C8" w:rsidRDefault="00F319C8" w:rsidP="00CC2C6F">
      <w:pPr>
        <w:pStyle w:val="BodyText"/>
        <w:rPr>
          <w:rStyle w:val="Characterbold"/>
        </w:rPr>
      </w:pPr>
      <w:r>
        <w:rPr>
          <w:rStyle w:val="Characterbold"/>
        </w:rPr>
        <w:t xml:space="preserve">Narrowing the ‘religious purpose’ exception </w:t>
      </w:r>
    </w:p>
    <w:p w14:paraId="5A069EC1" w14:textId="41E6990D" w:rsidR="008A6CB9" w:rsidRDefault="00CC2C6F" w:rsidP="00CC2C6F">
      <w:pPr>
        <w:pStyle w:val="BodyText"/>
      </w:pPr>
      <w:r>
        <w:t xml:space="preserve">As set out in part </w:t>
      </w:r>
      <w:r w:rsidR="00F9041A">
        <w:t>4.1.4</w:t>
      </w:r>
      <w:r>
        <w:t xml:space="preserve">, </w:t>
      </w:r>
      <w:r w:rsidRPr="00CC2C6F">
        <w:t>the definition of ‘religious purpose’ under the RRTA</w:t>
      </w:r>
      <w:r w:rsidR="00376A2F">
        <w:t>’s public conduct exception</w:t>
      </w:r>
      <w:r w:rsidRPr="00CC2C6F">
        <w:t xml:space="preserve"> is broader than the manifestation of religion under human rights law </w:t>
      </w:r>
      <w:r w:rsidR="00376A2F">
        <w:t xml:space="preserve">which is defined </w:t>
      </w:r>
      <w:r w:rsidRPr="00CC2C6F">
        <w:t>to mean ‘worship, observance, practice and teaching’ as reasonably limited to protect the human rights of others</w:t>
      </w:r>
      <w:r>
        <w:t xml:space="preserve">. </w:t>
      </w:r>
    </w:p>
    <w:p w14:paraId="5867A600" w14:textId="2DEAB89D" w:rsidR="00CC2C6F" w:rsidRPr="00CC2C6F" w:rsidRDefault="001F07AA" w:rsidP="00CC2C6F">
      <w:pPr>
        <w:pStyle w:val="BodyText"/>
      </w:pPr>
      <w:r>
        <w:t>The Commission reiterates that freedom</w:t>
      </w:r>
      <w:r w:rsidR="00BD09FF">
        <w:t xml:space="preserve"> of expression is not absolute and </w:t>
      </w:r>
      <w:r w:rsidR="001B5775">
        <w:t xml:space="preserve">considers that the </w:t>
      </w:r>
      <w:r w:rsidR="00F319C8">
        <w:t>‘</w:t>
      </w:r>
      <w:r w:rsidR="001B5775">
        <w:t>religious purpose</w:t>
      </w:r>
      <w:r w:rsidR="00F319C8">
        <w:t>’</w:t>
      </w:r>
      <w:r w:rsidR="001B5775">
        <w:t xml:space="preserve"> exception unreasonably protects </w:t>
      </w:r>
      <w:r w:rsidR="00925B09">
        <w:t xml:space="preserve">a broad range of </w:t>
      </w:r>
      <w:r w:rsidR="001B5775">
        <w:t xml:space="preserve">‘religious purposes’ </w:t>
      </w:r>
      <w:r w:rsidR="0070703A">
        <w:t xml:space="preserve">above </w:t>
      </w:r>
      <w:r w:rsidR="001B5775">
        <w:t xml:space="preserve">the </w:t>
      </w:r>
      <w:r w:rsidR="008A6CB9">
        <w:t xml:space="preserve">protection of Victorians from hate conduct, </w:t>
      </w:r>
      <w:r w:rsidR="0070703A">
        <w:t xml:space="preserve">which would have </w:t>
      </w:r>
      <w:r w:rsidR="008A6CB9">
        <w:t>particular</w:t>
      </w:r>
      <w:r w:rsidR="0070703A">
        <w:t xml:space="preserve"> consequences for</w:t>
      </w:r>
      <w:r w:rsidR="008A6CB9">
        <w:t xml:space="preserve"> LGBTIQ Victorians</w:t>
      </w:r>
      <w:r w:rsidR="0070703A">
        <w:t xml:space="preserve"> under reformed laws.</w:t>
      </w:r>
      <w:r w:rsidR="00D568D1">
        <w:t xml:space="preserve"> This applies to both the current incitement tests in sections 7 and 8, as well as the recommended harm-based </w:t>
      </w:r>
      <w:r w:rsidR="006A3B60">
        <w:t>test proposed in recommendation 7.</w:t>
      </w:r>
    </w:p>
    <w:p w14:paraId="1E5AD70C" w14:textId="0659FD53" w:rsidR="00E90F32" w:rsidRPr="00E90F32" w:rsidRDefault="00E90F32" w:rsidP="00E90F32">
      <w:pPr>
        <w:pStyle w:val="BodyText"/>
        <w:rPr>
          <w:lang w:eastAsia="en-AU"/>
        </w:rPr>
      </w:pPr>
      <w:r w:rsidRPr="00E90F32">
        <w:rPr>
          <w:rStyle w:val="Characterclear"/>
        </w:rPr>
        <w:t>The right to freedom of religion and belief is protected by international law and the</w:t>
      </w:r>
      <w:r w:rsidR="00925B09">
        <w:rPr>
          <w:rStyle w:val="Characterclear"/>
        </w:rPr>
        <w:t xml:space="preserve"> Charter: </w:t>
      </w:r>
    </w:p>
    <w:tbl>
      <w:tblPr>
        <w:tblStyle w:val="CustomTablebreakoutbox"/>
        <w:tblW w:w="0" w:type="auto"/>
        <w:tblLook w:val="04A0" w:firstRow="1" w:lastRow="0" w:firstColumn="1" w:lastColumn="0" w:noHBand="0" w:noVBand="1"/>
      </w:tblPr>
      <w:tblGrid>
        <w:gridCol w:w="9061"/>
      </w:tblGrid>
      <w:tr w:rsidR="00E90F32" w14:paraId="4C67357B" w14:textId="77777777" w:rsidTr="000C4112">
        <w:tc>
          <w:tcPr>
            <w:tcW w:w="9061" w:type="dxa"/>
          </w:tcPr>
          <w:p w14:paraId="1DF8B151" w14:textId="18BDCC4B" w:rsidR="00E90F32" w:rsidRPr="00E90F32" w:rsidRDefault="00C63EC6" w:rsidP="00E90F32">
            <w:pPr>
              <w:pStyle w:val="BodyText"/>
              <w:rPr>
                <w:rStyle w:val="Characterbold"/>
              </w:rPr>
            </w:pPr>
            <w:r>
              <w:rPr>
                <w:rStyle w:val="Characterbold"/>
              </w:rPr>
              <w:t xml:space="preserve">International law </w:t>
            </w:r>
          </w:p>
          <w:p w14:paraId="73C9C3D4" w14:textId="77777777" w:rsidR="00C63EC6" w:rsidRPr="00C63EC6" w:rsidRDefault="00C63EC6" w:rsidP="00C63EC6">
            <w:pPr>
              <w:pStyle w:val="BodyText"/>
              <w:rPr>
                <w:rStyle w:val="Characterclear"/>
              </w:rPr>
            </w:pPr>
            <w:r w:rsidRPr="00C63EC6">
              <w:rPr>
                <w:rStyle w:val="Characterclear"/>
              </w:rPr>
              <w:t xml:space="preserve">Article 18(1) of the ICCPR states that: </w:t>
            </w:r>
          </w:p>
          <w:p w14:paraId="1E6A8DD6" w14:textId="5199770A" w:rsidR="00C63EC6" w:rsidRPr="00C63EC6" w:rsidRDefault="005B6423" w:rsidP="00C63EC6">
            <w:pPr>
              <w:pStyle w:val="Quote"/>
              <w:rPr>
                <w:rStyle w:val="Characterclear"/>
              </w:rPr>
            </w:pPr>
            <w:r>
              <w:rPr>
                <w:rStyle w:val="Characterclear"/>
              </w:rPr>
              <w:t>‘</w:t>
            </w:r>
            <w:r w:rsidR="00C63EC6" w:rsidRPr="00C63EC6">
              <w:rPr>
                <w:rStyle w:val="Characterclear"/>
              </w:rPr>
              <w:t>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r>
              <w:rPr>
                <w:rStyle w:val="Characterclear"/>
              </w:rPr>
              <w:t>’</w:t>
            </w:r>
            <w:r w:rsidR="00C63EC6" w:rsidRPr="00C63EC6">
              <w:rPr>
                <w:rStyle w:val="Characterclear"/>
              </w:rPr>
              <w:t>.</w:t>
            </w:r>
          </w:p>
          <w:p w14:paraId="78CFFAEB" w14:textId="77777777" w:rsidR="00C63EC6" w:rsidRPr="00C63EC6" w:rsidRDefault="00C63EC6" w:rsidP="00C63EC6">
            <w:pPr>
              <w:pStyle w:val="BodyText"/>
              <w:rPr>
                <w:rStyle w:val="Characterclear"/>
              </w:rPr>
            </w:pPr>
            <w:r w:rsidRPr="00C63EC6">
              <w:rPr>
                <w:rStyle w:val="Characterclear"/>
              </w:rPr>
              <w:t xml:space="preserve">Article 18(3) of the ICCPR confirms that: </w:t>
            </w:r>
          </w:p>
          <w:p w14:paraId="5DDA01B4" w14:textId="496DCE59" w:rsidR="00C63EC6" w:rsidRPr="00C63EC6" w:rsidRDefault="005B6423" w:rsidP="00C63EC6">
            <w:pPr>
              <w:pStyle w:val="Quote"/>
            </w:pPr>
            <w:r>
              <w:t>‘</w:t>
            </w:r>
            <w:r w:rsidR="00C63EC6" w:rsidRPr="00C63EC6">
              <w:t>Freedom to manifest one's religion or beliefs may be subject only to such limitations as are prescribed by law and are necessary to protect public safety, order, health, or morals or the fundamental rights and freedoms of others</w:t>
            </w:r>
            <w:r>
              <w:t>’</w:t>
            </w:r>
            <w:r w:rsidR="00C63EC6" w:rsidRPr="00C63EC6">
              <w:t>.</w:t>
            </w:r>
          </w:p>
          <w:p w14:paraId="41ED0D3E" w14:textId="7E80F16D" w:rsidR="0064145D" w:rsidRPr="0064145D" w:rsidRDefault="0064145D" w:rsidP="00C63EC6">
            <w:pPr>
              <w:pStyle w:val="BodyText"/>
              <w:rPr>
                <w:rStyle w:val="Characterbold"/>
              </w:rPr>
            </w:pPr>
            <w:r>
              <w:rPr>
                <w:rStyle w:val="Characterbold"/>
              </w:rPr>
              <w:t xml:space="preserve">The Charter </w:t>
            </w:r>
          </w:p>
          <w:p w14:paraId="3F57ECD0" w14:textId="7E89390E" w:rsidR="00C63EC6" w:rsidRDefault="008A0305" w:rsidP="00C63EC6">
            <w:pPr>
              <w:pStyle w:val="BodyText"/>
              <w:rPr>
                <w:rStyle w:val="Characterbold"/>
              </w:rPr>
            </w:pPr>
            <w:r>
              <w:t>In Victoria, s</w:t>
            </w:r>
            <w:r w:rsidR="00C63EC6" w:rsidRPr="00C63EC6">
              <w:t xml:space="preserve"> 14 of the Charter protects the right to freedom of thought, conscience, religion and belief and is modelled on article 18 of the ICCPR.</w:t>
            </w:r>
            <w:r w:rsidR="0064145D">
              <w:t xml:space="preserve"> It provides that:</w:t>
            </w:r>
          </w:p>
          <w:p w14:paraId="56843418" w14:textId="77777777" w:rsidR="00E90F32" w:rsidRPr="00E90F32" w:rsidRDefault="00E90F32" w:rsidP="00C67716">
            <w:pPr>
              <w:pStyle w:val="ListNumber"/>
              <w:numPr>
                <w:ilvl w:val="0"/>
                <w:numId w:val="29"/>
              </w:numPr>
              <w:rPr>
                <w:rStyle w:val="Characterclear"/>
              </w:rPr>
            </w:pPr>
            <w:r w:rsidRPr="00E90F32">
              <w:rPr>
                <w:rStyle w:val="Characterclear"/>
              </w:rPr>
              <w:t xml:space="preserve">Every person has the right to freedom of thought, conscience, religion and belief, including: </w:t>
            </w:r>
          </w:p>
          <w:p w14:paraId="28CF6E9D" w14:textId="77777777" w:rsidR="00E90F32" w:rsidRPr="00E90F32" w:rsidRDefault="00E90F32" w:rsidP="00C67716">
            <w:pPr>
              <w:pStyle w:val="ListNumber2"/>
              <w:numPr>
                <w:ilvl w:val="1"/>
                <w:numId w:val="26"/>
              </w:numPr>
              <w:rPr>
                <w:rStyle w:val="Characterclear"/>
              </w:rPr>
            </w:pPr>
            <w:r w:rsidRPr="00E90F32">
              <w:rPr>
                <w:rStyle w:val="Characterclear"/>
              </w:rPr>
              <w:t>the freedom to have or adopt a religion or belief of his or her choice</w:t>
            </w:r>
          </w:p>
          <w:p w14:paraId="38D3341C" w14:textId="77777777" w:rsidR="00E90F32" w:rsidRPr="00E90F32" w:rsidRDefault="00E90F32" w:rsidP="00C67716">
            <w:pPr>
              <w:pStyle w:val="ListNumber2"/>
              <w:numPr>
                <w:ilvl w:val="1"/>
                <w:numId w:val="26"/>
              </w:numPr>
              <w:rPr>
                <w:rStyle w:val="Characterclear"/>
              </w:rPr>
            </w:pPr>
            <w:r w:rsidRPr="00E90F32">
              <w:rPr>
                <w:rStyle w:val="Characterclear"/>
              </w:rPr>
              <w:t xml:space="preserve">the freedom to demonstrate his or her religion or belief in worship, observance, practice and teaching, either individually or as part of a community, in public or in private. </w:t>
            </w:r>
          </w:p>
          <w:p w14:paraId="7F8731DE" w14:textId="77777777" w:rsidR="00E90F32" w:rsidRDefault="00E90F32" w:rsidP="00C67716">
            <w:pPr>
              <w:pStyle w:val="ListNumber"/>
              <w:numPr>
                <w:ilvl w:val="0"/>
                <w:numId w:val="26"/>
              </w:numPr>
              <w:rPr>
                <w:rStyle w:val="Characterclear"/>
              </w:rPr>
            </w:pPr>
            <w:r w:rsidRPr="00E90F32">
              <w:rPr>
                <w:rStyle w:val="Characterclear"/>
              </w:rPr>
              <w:t xml:space="preserve">A person must not be coerced or restrained in a way that limits his or her freedom to have or adopt a religion or belief in worship, observance practice or teaching. </w:t>
            </w:r>
          </w:p>
          <w:p w14:paraId="1982DD0F" w14:textId="27B8DEEA" w:rsidR="00C63EC6" w:rsidRPr="00E90F32" w:rsidRDefault="00C63EC6" w:rsidP="00C63EC6">
            <w:pPr>
              <w:pStyle w:val="ListNumber"/>
              <w:tabs>
                <w:tab w:val="clear" w:pos="360"/>
              </w:tabs>
              <w:ind w:left="0" w:firstLine="0"/>
              <w:rPr>
                <w:rStyle w:val="Characterclear"/>
              </w:rPr>
            </w:pPr>
            <w:r w:rsidRPr="00C63EC6">
              <w:t>Under s 7(2) of the Charter, the right to freedom of religion and belief may be subject to reasonable limits that can be demonstrably justified in a free and democratic society based on human dignity, equality and freedom, taking into account all relevant factors.</w:t>
            </w:r>
          </w:p>
        </w:tc>
      </w:tr>
    </w:tbl>
    <w:p w14:paraId="2E7B8FE5" w14:textId="77777777" w:rsidR="00E90F32" w:rsidRPr="00E90F32" w:rsidRDefault="00E90F32" w:rsidP="00E90F32">
      <w:pPr>
        <w:pStyle w:val="BodyText"/>
        <w:rPr>
          <w:rStyle w:val="Characterclear"/>
        </w:rPr>
      </w:pPr>
      <w:r w:rsidRPr="00E90F32">
        <w:rPr>
          <w:rStyle w:val="Characterclear"/>
        </w:rPr>
        <w:lastRenderedPageBreak/>
        <w:t xml:space="preserve">Significantly, the right to freedom of religion and belief includes two elements: </w:t>
      </w:r>
    </w:p>
    <w:p w14:paraId="554C005C" w14:textId="202F1C46" w:rsidR="00E90F32" w:rsidRPr="00E90F32" w:rsidRDefault="00E90F32" w:rsidP="00C67716">
      <w:pPr>
        <w:pStyle w:val="ListNumber"/>
        <w:numPr>
          <w:ilvl w:val="0"/>
          <w:numId w:val="30"/>
        </w:numPr>
        <w:rPr>
          <w:rStyle w:val="Characterclear"/>
        </w:rPr>
      </w:pPr>
      <w:r w:rsidRPr="00E90F32">
        <w:rPr>
          <w:rStyle w:val="Characterclear"/>
        </w:rPr>
        <w:t xml:space="preserve">the </w:t>
      </w:r>
      <w:r w:rsidRPr="00E90F32">
        <w:rPr>
          <w:rStyle w:val="Characterbold"/>
        </w:rPr>
        <w:t>absolute</w:t>
      </w:r>
      <w:r w:rsidRPr="00E90F32">
        <w:rPr>
          <w:rStyle w:val="Characterclear"/>
        </w:rPr>
        <w:t xml:space="preserve"> right to have or adopt a religion or belief</w:t>
      </w:r>
      <w:r w:rsidR="0026211E">
        <w:rPr>
          <w:rStyle w:val="EndnoteReference"/>
          <w:lang w:eastAsia="en-AU"/>
        </w:rPr>
        <w:endnoteReference w:id="329"/>
      </w:r>
    </w:p>
    <w:p w14:paraId="5FB69DCA" w14:textId="77777777" w:rsidR="00E90F32" w:rsidRPr="00E90F32" w:rsidRDefault="00E90F32" w:rsidP="00C67716">
      <w:pPr>
        <w:pStyle w:val="ListNumber"/>
        <w:numPr>
          <w:ilvl w:val="0"/>
          <w:numId w:val="26"/>
        </w:numPr>
        <w:rPr>
          <w:rStyle w:val="Characterclear"/>
        </w:rPr>
      </w:pPr>
      <w:r w:rsidRPr="00E90F32">
        <w:rPr>
          <w:rStyle w:val="Characterclear"/>
        </w:rPr>
        <w:t xml:space="preserve">the </w:t>
      </w:r>
      <w:r w:rsidRPr="00E90F32">
        <w:rPr>
          <w:rStyle w:val="Characterbold"/>
        </w:rPr>
        <w:t>limited</w:t>
      </w:r>
      <w:r w:rsidRPr="00E90F32">
        <w:rPr>
          <w:rStyle w:val="Characterclear"/>
        </w:rPr>
        <w:t xml:space="preserve"> right to manifest a religious belief in ‘worship, observance, practice and teaching’ (limited by article 18(3) of the ICCPR and s 7(2) of the Charter). </w:t>
      </w:r>
    </w:p>
    <w:p w14:paraId="7BD03C73" w14:textId="77777777" w:rsidR="00E90F32" w:rsidRPr="00E90F32" w:rsidRDefault="00E90F32" w:rsidP="00E90F32">
      <w:pPr>
        <w:pStyle w:val="BodyText"/>
        <w:rPr>
          <w:rStyle w:val="Characterclear"/>
        </w:rPr>
      </w:pPr>
      <w:r w:rsidRPr="00E90F32">
        <w:rPr>
          <w:rStyle w:val="Characterclear"/>
        </w:rPr>
        <w:t xml:space="preserve">The UN Human Rights Committee has provided useful guidance on the scope of the terms ‘worship, observance, practice and teaching’: </w:t>
      </w:r>
    </w:p>
    <w:p w14:paraId="7EAC0175" w14:textId="77777777" w:rsidR="00E90F32" w:rsidRPr="00E90F32" w:rsidRDefault="00E90F32" w:rsidP="00E90F32">
      <w:pPr>
        <w:pStyle w:val="ListBullet"/>
        <w:numPr>
          <w:ilvl w:val="0"/>
          <w:numId w:val="3"/>
        </w:numPr>
        <w:rPr>
          <w:rStyle w:val="Characterclear"/>
        </w:rPr>
      </w:pPr>
      <w:r w:rsidRPr="00E90F32">
        <w:rPr>
          <w:rStyle w:val="Characterclear"/>
        </w:rPr>
        <w:t>‘Worship’ includes ritual and ceremonial acts giving direct expression to belief, and various practices integral to such acts (e.g. building places of worship, use of ritual formulae and objects, display of symbols, observance of holidays and days of rest).</w:t>
      </w:r>
    </w:p>
    <w:p w14:paraId="27C0E51C" w14:textId="77777777" w:rsidR="00E90F32" w:rsidRPr="00E90F32" w:rsidRDefault="00E90F32" w:rsidP="00E90F32">
      <w:pPr>
        <w:pStyle w:val="ListBullet"/>
        <w:numPr>
          <w:ilvl w:val="0"/>
          <w:numId w:val="3"/>
        </w:numPr>
        <w:rPr>
          <w:rStyle w:val="Characterclear"/>
        </w:rPr>
      </w:pPr>
      <w:r w:rsidRPr="00E90F32">
        <w:rPr>
          <w:rStyle w:val="Characterclear"/>
        </w:rPr>
        <w:t xml:space="preserve">‘Observance’ and ‘practice’ include ceremonial acts and customs (e.g. observance of dietary regulations, wearing of distinctive clothing or head coverings, participation in rituals associated with certain stages of life, and use of a particular language customarily spoken by a group). </w:t>
      </w:r>
    </w:p>
    <w:p w14:paraId="2E222389" w14:textId="77777777" w:rsidR="00E90F32" w:rsidRPr="00E90F32" w:rsidRDefault="00E90F32" w:rsidP="00E90F32">
      <w:pPr>
        <w:pStyle w:val="ListBullet"/>
        <w:numPr>
          <w:ilvl w:val="0"/>
          <w:numId w:val="3"/>
        </w:numPr>
        <w:rPr>
          <w:rStyle w:val="Characterclear"/>
        </w:rPr>
      </w:pPr>
      <w:r w:rsidRPr="00E90F32">
        <w:rPr>
          <w:rStyle w:val="Characterclear"/>
        </w:rPr>
        <w:t>‘Teaching’ includes acts integral to the conduct by religious groups of their basic affairs (e.g. freedom to choose their religious leaders, priests and teachers, freedom to establish seminaries or religious schools, and freedom to prepare and distribute religious texts or publications).</w:t>
      </w:r>
      <w:r w:rsidRPr="00E90F32">
        <w:rPr>
          <w:rStyle w:val="EndnoteReference"/>
        </w:rPr>
        <w:endnoteReference w:id="330"/>
      </w:r>
    </w:p>
    <w:p w14:paraId="5868C5F6" w14:textId="37AAADAB" w:rsidR="00F46FC4" w:rsidRDefault="00F46FC4" w:rsidP="00E90F32">
      <w:pPr>
        <w:pStyle w:val="BodyText"/>
        <w:rPr>
          <w:rStyle w:val="Characterclear"/>
        </w:rPr>
      </w:pPr>
      <w:r>
        <w:rPr>
          <w:rStyle w:val="Characterclear"/>
        </w:rPr>
        <w:t>The right to manifest a religious belief could not then exempt transphobi</w:t>
      </w:r>
      <w:r w:rsidR="00DF6526">
        <w:rPr>
          <w:rStyle w:val="Characterclear"/>
        </w:rPr>
        <w:t>c</w:t>
      </w:r>
      <w:r>
        <w:rPr>
          <w:rStyle w:val="Characterclear"/>
        </w:rPr>
        <w:t xml:space="preserve"> verbal abuse by a religious person in a public please under the guise of proselytising or attempting to convert </w:t>
      </w:r>
      <w:r w:rsidR="001479B5">
        <w:rPr>
          <w:rStyle w:val="Characterclear"/>
        </w:rPr>
        <w:t>passers-by</w:t>
      </w:r>
      <w:r>
        <w:rPr>
          <w:rStyle w:val="Characterclear"/>
        </w:rPr>
        <w:t xml:space="preserve">.  </w:t>
      </w:r>
    </w:p>
    <w:p w14:paraId="6EBA19BB" w14:textId="0047AA9C" w:rsidR="00E90F32" w:rsidRPr="00E90F32" w:rsidRDefault="00E90F32" w:rsidP="00E90F32">
      <w:pPr>
        <w:pStyle w:val="BodyText"/>
        <w:rPr>
          <w:rStyle w:val="Characterclear"/>
        </w:rPr>
      </w:pPr>
      <w:r w:rsidRPr="00E90F32">
        <w:rPr>
          <w:rStyle w:val="Characterclear"/>
        </w:rPr>
        <w:t xml:space="preserve">To ensure that the law provides effective redress for vilification, it is critical that the religious purpose exception is confined to purposes that reflect the limited ability for a person to manifest their religion under human rights law. This will ensure that any manifestation of a religious belief effectively balances the fundamental rights and beliefs of other people set out in the Charter, </w:t>
      </w:r>
      <w:r w:rsidR="00925B09">
        <w:rPr>
          <w:rStyle w:val="Characterclear"/>
        </w:rPr>
        <w:t xml:space="preserve">such as: </w:t>
      </w:r>
    </w:p>
    <w:p w14:paraId="747A0867" w14:textId="77777777" w:rsidR="00E90F32" w:rsidRPr="00E90F32" w:rsidRDefault="00E90F32" w:rsidP="00E90F32">
      <w:pPr>
        <w:pStyle w:val="ListBullet"/>
        <w:numPr>
          <w:ilvl w:val="0"/>
          <w:numId w:val="3"/>
        </w:numPr>
        <w:rPr>
          <w:rStyle w:val="Characterclear"/>
        </w:rPr>
      </w:pPr>
      <w:r w:rsidRPr="00E90F32">
        <w:rPr>
          <w:rStyle w:val="Characterclear"/>
        </w:rPr>
        <w:t xml:space="preserve">the right to enjoy all human rights without discrimination (s 8) </w:t>
      </w:r>
    </w:p>
    <w:p w14:paraId="08A13FCC" w14:textId="77777777" w:rsidR="00E90F32" w:rsidRPr="00E90F32" w:rsidRDefault="00E90F32" w:rsidP="00E90F32">
      <w:pPr>
        <w:pStyle w:val="ListBullet"/>
        <w:numPr>
          <w:ilvl w:val="0"/>
          <w:numId w:val="3"/>
        </w:numPr>
        <w:rPr>
          <w:rStyle w:val="Characterclear"/>
        </w:rPr>
      </w:pPr>
      <w:r w:rsidRPr="00E90F32">
        <w:rPr>
          <w:rStyle w:val="Characterclear"/>
        </w:rPr>
        <w:t xml:space="preserve">freedom of thought, conscience, religion and belief (s 14) </w:t>
      </w:r>
    </w:p>
    <w:p w14:paraId="2D1929A3" w14:textId="77777777" w:rsidR="00E90F32" w:rsidRPr="00E90F32" w:rsidRDefault="00E90F32" w:rsidP="00E90F32">
      <w:pPr>
        <w:pStyle w:val="ListBullet"/>
        <w:numPr>
          <w:ilvl w:val="0"/>
          <w:numId w:val="3"/>
        </w:numPr>
        <w:rPr>
          <w:rStyle w:val="Characterclear"/>
        </w:rPr>
      </w:pPr>
      <w:r w:rsidRPr="00E90F32">
        <w:rPr>
          <w:rStyle w:val="Characterclear"/>
        </w:rPr>
        <w:t xml:space="preserve">freedom of expression (s 15) </w:t>
      </w:r>
    </w:p>
    <w:p w14:paraId="395F125B" w14:textId="77777777" w:rsidR="00E90F32" w:rsidRPr="00E90F32" w:rsidRDefault="00E90F32" w:rsidP="00E90F32">
      <w:pPr>
        <w:pStyle w:val="ListBullet"/>
        <w:numPr>
          <w:ilvl w:val="0"/>
          <w:numId w:val="3"/>
        </w:numPr>
        <w:rPr>
          <w:rStyle w:val="Characterclear"/>
        </w:rPr>
      </w:pPr>
      <w:r w:rsidRPr="00E90F32">
        <w:rPr>
          <w:rStyle w:val="Characterclear"/>
        </w:rPr>
        <w:t xml:space="preserve">the right to take part in public life (s 18) </w:t>
      </w:r>
    </w:p>
    <w:p w14:paraId="0F4FF31F" w14:textId="77777777" w:rsidR="00E90F32" w:rsidRPr="00E90F32" w:rsidRDefault="00E90F32" w:rsidP="00E90F32">
      <w:pPr>
        <w:pStyle w:val="ListBullet"/>
        <w:numPr>
          <w:ilvl w:val="0"/>
          <w:numId w:val="3"/>
        </w:numPr>
        <w:rPr>
          <w:rStyle w:val="Characterclear"/>
        </w:rPr>
      </w:pPr>
      <w:r w:rsidRPr="00E90F32">
        <w:rPr>
          <w:rStyle w:val="Characterclear"/>
        </w:rPr>
        <w:t xml:space="preserve">cultural rights (s 19). </w:t>
      </w:r>
    </w:p>
    <w:p w14:paraId="7DCDED71" w14:textId="043A04E3" w:rsidR="00163F53" w:rsidRPr="00E22E00" w:rsidRDefault="00163F53" w:rsidP="00163F53">
      <w:pPr>
        <w:pStyle w:val="Quote"/>
        <w:ind w:left="0"/>
      </w:pPr>
      <w:r>
        <w:t xml:space="preserve">Any review of current exceptions in the RRTA (and EOA) </w:t>
      </w:r>
      <w:r w:rsidR="00A63D1E">
        <w:t xml:space="preserve">– as they apply to the current incitement provisions, as well as a possible harm-based </w:t>
      </w:r>
      <w:r w:rsidR="007E2BB9">
        <w:t xml:space="preserve">provision – </w:t>
      </w:r>
      <w:r>
        <w:t>should ensure the balancing of competing rights and be careful not to broaden the ambit of permitted vilification or discrimination. The concerns of LGBTIQ communities about the impact of overly broad religious exceptions should be addressed in any reform process.</w:t>
      </w:r>
    </w:p>
    <w:tbl>
      <w:tblPr>
        <w:tblStyle w:val="CustomTablerecommendationsbox"/>
        <w:tblW w:w="0" w:type="auto"/>
        <w:tblLook w:val="04A0" w:firstRow="1" w:lastRow="0" w:firstColumn="1" w:lastColumn="0" w:noHBand="0" w:noVBand="1"/>
      </w:tblPr>
      <w:tblGrid>
        <w:gridCol w:w="9061"/>
      </w:tblGrid>
      <w:tr w:rsidR="00641951" w:rsidRPr="0049703E" w14:paraId="58D292B8" w14:textId="77777777" w:rsidTr="000C4112">
        <w:tc>
          <w:tcPr>
            <w:tcW w:w="9061" w:type="dxa"/>
          </w:tcPr>
          <w:p w14:paraId="6AF2FEFA" w14:textId="77777777" w:rsidR="00641951" w:rsidRPr="0049703E" w:rsidRDefault="00641951" w:rsidP="00970C60">
            <w:pPr>
              <w:pStyle w:val="RecommendationList"/>
            </w:pPr>
          </w:p>
          <w:p w14:paraId="3FAFD24C" w14:textId="31446CB8" w:rsidR="00EF7104" w:rsidRDefault="00F3242E" w:rsidP="00F3242E">
            <w:pPr>
              <w:pStyle w:val="BodyText"/>
            </w:pPr>
            <w:r w:rsidRPr="00F3242E">
              <w:t xml:space="preserve">The Victorian Government should narrow the </w:t>
            </w:r>
            <w:r w:rsidR="00EF7104">
              <w:t xml:space="preserve">public conduct exception under </w:t>
            </w:r>
            <w:r w:rsidRPr="00F3242E">
              <w:t xml:space="preserve">section 11 of the </w:t>
            </w:r>
            <w:r w:rsidRPr="00F3242E">
              <w:rPr>
                <w:rStyle w:val="Characteritalic"/>
              </w:rPr>
              <w:t>Racial and Religious Tolerance Act 2001</w:t>
            </w:r>
            <w:r w:rsidRPr="00F3242E">
              <w:t xml:space="preserve"> (Vic) by</w:t>
            </w:r>
            <w:r w:rsidR="00EF7104">
              <w:t xml:space="preserve">: </w:t>
            </w:r>
          </w:p>
          <w:p w14:paraId="6AAFE63F" w14:textId="3C2E3775" w:rsidR="00F3242E" w:rsidRDefault="00F3242E" w:rsidP="003C0C9C">
            <w:pPr>
              <w:pStyle w:val="ListBullet"/>
              <w:rPr>
                <w:rStyle w:val="Characterclear"/>
                <w:lang w:eastAsia="en-US"/>
              </w:rPr>
            </w:pPr>
            <w:r w:rsidRPr="00F3242E">
              <w:t>replacing the definition of ‘religious purpose’ with a definition that reflects the limited ability for a person to manifest a religious belief under human rights law in ‘</w:t>
            </w:r>
            <w:r w:rsidRPr="00F3242E">
              <w:rPr>
                <w:rStyle w:val="Characterclear"/>
              </w:rPr>
              <w:t>worship, observance, practice and teaching’</w:t>
            </w:r>
          </w:p>
          <w:p w14:paraId="6E46FBE1" w14:textId="5AC7B29B" w:rsidR="00EF7104" w:rsidRPr="00F3242E" w:rsidRDefault="00565ECC" w:rsidP="003C0C9C">
            <w:pPr>
              <w:pStyle w:val="ListBullet"/>
              <w:rPr>
                <w:rStyle w:val="Characterclear"/>
                <w:lang w:eastAsia="en-US"/>
              </w:rPr>
            </w:pPr>
            <w:r>
              <w:rPr>
                <w:rStyle w:val="Characterclear"/>
              </w:rPr>
              <w:t xml:space="preserve">including the word ‘genuine’ before </w:t>
            </w:r>
            <w:r w:rsidR="001950A9">
              <w:rPr>
                <w:rStyle w:val="Characterclear"/>
              </w:rPr>
              <w:t xml:space="preserve">the word </w:t>
            </w:r>
            <w:r>
              <w:rPr>
                <w:rStyle w:val="Characterclear"/>
              </w:rPr>
              <w:t>‘purpose</w:t>
            </w:r>
            <w:r w:rsidR="001950A9">
              <w:rPr>
                <w:rStyle w:val="Characterclear"/>
              </w:rPr>
              <w:t xml:space="preserve">’ in section 11(1)(b)(ii). </w:t>
            </w:r>
          </w:p>
          <w:p w14:paraId="072CB2C3" w14:textId="692BDF3F" w:rsidR="001C07A8" w:rsidRPr="00641951" w:rsidRDefault="00F3242E" w:rsidP="00641951">
            <w:pPr>
              <w:pStyle w:val="BodyText"/>
            </w:pPr>
            <w:r w:rsidRPr="00F3242E">
              <w:lastRenderedPageBreak/>
              <w:t xml:space="preserve">The reformed public conduct exception should apply to the reformed civil incitement test (recommendations 5 and 6) and the proposed complementary harm-based test (recommendation 7). </w:t>
            </w:r>
          </w:p>
        </w:tc>
      </w:tr>
    </w:tbl>
    <w:p w14:paraId="1A0F55E6" w14:textId="6CF0122E" w:rsidR="00686029" w:rsidRDefault="00686029" w:rsidP="00AA1D9B">
      <w:pPr>
        <w:pStyle w:val="Heading3"/>
      </w:pPr>
      <w:r w:rsidRPr="00686029">
        <w:lastRenderedPageBreak/>
        <w:t xml:space="preserve">The </w:t>
      </w:r>
      <w:r w:rsidR="00235733">
        <w:t>serious vilification</w:t>
      </w:r>
      <w:r w:rsidR="00235733" w:rsidRPr="00686029">
        <w:t xml:space="preserve"> </w:t>
      </w:r>
      <w:r w:rsidRPr="00686029">
        <w:t xml:space="preserve">offences should be lowered and simplified </w:t>
      </w:r>
    </w:p>
    <w:p w14:paraId="0D2E4F75" w14:textId="0F17386C" w:rsidR="001764D7" w:rsidRDefault="00280941" w:rsidP="00AA1D9B">
      <w:pPr>
        <w:pStyle w:val="BodyText"/>
      </w:pPr>
      <w:r>
        <w:t>As set out in par</w:t>
      </w:r>
      <w:r w:rsidR="00F57FFA">
        <w:t>t 4.1.5,</w:t>
      </w:r>
      <w:r>
        <w:t xml:space="preserve"> </w:t>
      </w:r>
      <w:r w:rsidR="00B9573E">
        <w:t xml:space="preserve">the threshold for the serious vilification under the RRTA is </w:t>
      </w:r>
      <w:r w:rsidR="000754EE">
        <w:t xml:space="preserve">too </w:t>
      </w:r>
      <w:r w:rsidR="00B9573E">
        <w:t xml:space="preserve">complex and too high. </w:t>
      </w:r>
    </w:p>
    <w:p w14:paraId="4F6053C0" w14:textId="7A6C6DA3" w:rsidR="001B3DD7" w:rsidRDefault="001B3DD7" w:rsidP="001B3DD7">
      <w:pPr>
        <w:pStyle w:val="Heading4"/>
      </w:pPr>
      <w:r>
        <w:t xml:space="preserve">Reforming the existing criminal offences </w:t>
      </w:r>
    </w:p>
    <w:p w14:paraId="5A78719D" w14:textId="0770B1E0" w:rsidR="007A04A1" w:rsidRDefault="00095D2A" w:rsidP="007A04A1">
      <w:pPr>
        <w:pStyle w:val="BodyText"/>
      </w:pPr>
      <w:r>
        <w:t>The</w:t>
      </w:r>
      <w:r w:rsidR="001764D7">
        <w:t xml:space="preserve"> RRTA </w:t>
      </w:r>
      <w:r w:rsidR="000754EE">
        <w:t>should</w:t>
      </w:r>
      <w:r w:rsidR="001764D7">
        <w:t xml:space="preserve"> be reformed </w:t>
      </w:r>
      <w:r>
        <w:t>to simplify</w:t>
      </w:r>
      <w:r w:rsidR="009B463F">
        <w:t xml:space="preserve"> the offences and </w:t>
      </w:r>
      <w:r w:rsidR="004862E1">
        <w:t xml:space="preserve">lower the threshold. </w:t>
      </w:r>
      <w:r w:rsidR="007A04A1">
        <w:t xml:space="preserve">However, importantly, criminal offences should only apply to the most extreme conduct that justifies the potential outcome of restricting a person’s liberty. </w:t>
      </w:r>
    </w:p>
    <w:p w14:paraId="62A1B889" w14:textId="0D434BD7" w:rsidR="007A04A1" w:rsidRDefault="007A04A1" w:rsidP="007A04A1">
      <w:pPr>
        <w:pStyle w:val="BodyText"/>
      </w:pPr>
      <w:r>
        <w:t>To simplify the offences, there should be a single offence that prohibits serious vilification on the ground of the proposed attributes set out in recommendatio</w:t>
      </w:r>
      <w:r w:rsidR="008801C6">
        <w:t xml:space="preserve">n 2. </w:t>
      </w:r>
      <w:r w:rsidR="0066782A">
        <w:t xml:space="preserve">Victoria Police also suggested drafting the offence </w:t>
      </w:r>
      <w:r w:rsidR="00582DDA">
        <w:t xml:space="preserve">in a simpler </w:t>
      </w:r>
      <w:r w:rsidR="008801C6">
        <w:t xml:space="preserve">more </w:t>
      </w:r>
      <w:r w:rsidR="00582DDA">
        <w:t xml:space="preserve">accessible way </w:t>
      </w:r>
      <w:r w:rsidR="008801C6">
        <w:t>similar to</w:t>
      </w:r>
      <w:r w:rsidR="00582DDA">
        <w:t xml:space="preserve"> summary offences that are </w:t>
      </w:r>
      <w:r w:rsidR="000C3227">
        <w:t>commonly used</w:t>
      </w:r>
      <w:r w:rsidR="00582DDA">
        <w:t>.</w:t>
      </w:r>
      <w:r w:rsidR="00582DDA">
        <w:rPr>
          <w:rStyle w:val="EndnoteReference"/>
        </w:rPr>
        <w:endnoteReference w:id="331"/>
      </w:r>
    </w:p>
    <w:p w14:paraId="2199C572" w14:textId="15A6FCA6" w:rsidR="007A04A1" w:rsidRDefault="007A04A1" w:rsidP="00AA1D9B">
      <w:pPr>
        <w:pStyle w:val="BodyText"/>
      </w:pPr>
      <w:r>
        <w:t>To lower the threshold for the criminal offences</w:t>
      </w:r>
      <w:r w:rsidR="00C36F77">
        <w:t>, the Commission considers that:</w:t>
      </w:r>
    </w:p>
    <w:p w14:paraId="6DD24671" w14:textId="61FF7E55" w:rsidR="00CE55F7" w:rsidRPr="00436419" w:rsidRDefault="00CE55F7" w:rsidP="00436419">
      <w:pPr>
        <w:pStyle w:val="ListBullet"/>
      </w:pPr>
      <w:r w:rsidRPr="00436419">
        <w:t xml:space="preserve">the fault element should be amended to ‘intentionally </w:t>
      </w:r>
      <w:r w:rsidRPr="00436419">
        <w:rPr>
          <w:rStyle w:val="Characteritalic"/>
          <w:i w:val="0"/>
        </w:rPr>
        <w:t>or recklessly’</w:t>
      </w:r>
    </w:p>
    <w:p w14:paraId="36E54B7F" w14:textId="791533D0" w:rsidR="00CE55F7" w:rsidRPr="00436419" w:rsidRDefault="00CE55F7" w:rsidP="00436419">
      <w:pPr>
        <w:pStyle w:val="ListBullet"/>
      </w:pPr>
      <w:r w:rsidRPr="00436419">
        <w:t>the subjective test of conduct that ‘the offender knows is likely to incite’ should be replaced with an objective test of conduct that ‘is likely to incite’</w:t>
      </w:r>
    </w:p>
    <w:p w14:paraId="158E1717" w14:textId="7F40CC24" w:rsidR="00CE55F7" w:rsidRPr="00436419" w:rsidRDefault="00CE55F7" w:rsidP="00436419">
      <w:pPr>
        <w:pStyle w:val="ListBullet"/>
      </w:pPr>
      <w:r w:rsidRPr="00436419">
        <w:t xml:space="preserve">the offence should prohibit threats </w:t>
      </w:r>
      <w:r w:rsidRPr="00436419">
        <w:rPr>
          <w:rStyle w:val="Characteritalic"/>
          <w:i w:val="0"/>
        </w:rPr>
        <w:t>or</w:t>
      </w:r>
      <w:r w:rsidRPr="00436419">
        <w:t xml:space="preserve"> incitement (rather than threats </w:t>
      </w:r>
      <w:r w:rsidRPr="00436419">
        <w:rPr>
          <w:rStyle w:val="Characteritalic"/>
          <w:i w:val="0"/>
        </w:rPr>
        <w:t xml:space="preserve">and </w:t>
      </w:r>
      <w:r w:rsidRPr="00436419">
        <w:t>incitement</w:t>
      </w:r>
      <w:r w:rsidR="00C36F77" w:rsidRPr="00436419">
        <w:t xml:space="preserve"> in the existing criminal offences</w:t>
      </w:r>
      <w:r w:rsidRPr="00436419">
        <w:t>)</w:t>
      </w:r>
      <w:r w:rsidR="00C36F77" w:rsidRPr="00436419">
        <w:t xml:space="preserve">. </w:t>
      </w:r>
    </w:p>
    <w:p w14:paraId="07187991" w14:textId="77777777" w:rsidR="00CE55F7" w:rsidRPr="00CE55F7" w:rsidRDefault="00CE55F7" w:rsidP="00CE55F7">
      <w:pPr>
        <w:pStyle w:val="BodyText"/>
      </w:pPr>
      <w:r w:rsidRPr="00CE55F7">
        <w:t xml:space="preserve">For example, the offence could provide that:  </w:t>
      </w:r>
    </w:p>
    <w:p w14:paraId="50FC6998" w14:textId="617DCFA1" w:rsidR="00CE55F7" w:rsidRPr="00CE55F7" w:rsidRDefault="00CE55F7" w:rsidP="00040098">
      <w:pPr>
        <w:pStyle w:val="Quote"/>
      </w:pPr>
      <w:r w:rsidRPr="00CE55F7">
        <w:t xml:space="preserve">A person must not, intentionally or recklessly, engage in conduct that: </w:t>
      </w:r>
    </w:p>
    <w:p w14:paraId="7E6BD5B7" w14:textId="16B11374" w:rsidR="00CE55F7" w:rsidRDefault="00CE55F7" w:rsidP="00D14135">
      <w:pPr>
        <w:pStyle w:val="Quote"/>
        <w:numPr>
          <w:ilvl w:val="4"/>
          <w:numId w:val="13"/>
        </w:numPr>
      </w:pPr>
      <w:r w:rsidRPr="00CE55F7">
        <w:t xml:space="preserve">is likely to incite hatred, serious contempt for, revulsion or severe ridicule; or </w:t>
      </w:r>
    </w:p>
    <w:p w14:paraId="09F2C418" w14:textId="43AEA213" w:rsidR="00CE55F7" w:rsidRPr="00CE55F7" w:rsidRDefault="00CE55F7" w:rsidP="00D14135">
      <w:pPr>
        <w:pStyle w:val="Quote"/>
        <w:numPr>
          <w:ilvl w:val="4"/>
          <w:numId w:val="13"/>
        </w:numPr>
      </w:pPr>
      <w:r w:rsidRPr="00CE55F7">
        <w:t>threatens violence or property damage</w:t>
      </w:r>
    </w:p>
    <w:p w14:paraId="38459C62" w14:textId="64BF8CB0" w:rsidR="00E57EC9" w:rsidRDefault="00CE55F7" w:rsidP="00E57EC9">
      <w:pPr>
        <w:pStyle w:val="Quote"/>
      </w:pPr>
      <w:r w:rsidRPr="00CE55F7">
        <w:t>towards another person or group of people on the ground of the following attributes</w:t>
      </w:r>
      <w:r w:rsidR="00040098">
        <w:t xml:space="preserve"> … </w:t>
      </w:r>
    </w:p>
    <w:p w14:paraId="1890448B" w14:textId="18E1C8D9" w:rsidR="00CE55F7" w:rsidRDefault="00CE55F7" w:rsidP="00CE55F7">
      <w:pPr>
        <w:pStyle w:val="BodyText"/>
      </w:pPr>
      <w:r w:rsidRPr="00CE55F7">
        <w:t>The criminal offence should include an exception for ‘private conduct’ modelled on the private conduct exception under s</w:t>
      </w:r>
      <w:r w:rsidR="000C3227">
        <w:t>ection</w:t>
      </w:r>
      <w:r w:rsidRPr="00CE55F7">
        <w:t xml:space="preserve"> 12 of the RRTA. This will provide consistency with the civil </w:t>
      </w:r>
      <w:r w:rsidR="001E7E08">
        <w:t>provisions</w:t>
      </w:r>
      <w:r w:rsidRPr="00CE55F7">
        <w:t xml:space="preserve"> and ensure that the onus is on the alleged offender to prove objectively that conduct was intended to be private.</w:t>
      </w:r>
      <w:r w:rsidR="00134E9F">
        <w:t xml:space="preserve"> </w:t>
      </w:r>
      <w:r w:rsidR="002F5AE7">
        <w:t>Notably</w:t>
      </w:r>
      <w:r w:rsidR="00D25D60">
        <w:t xml:space="preserve">, </w:t>
      </w:r>
      <w:r w:rsidR="002F5AE7">
        <w:t xml:space="preserve">in 2013 </w:t>
      </w:r>
      <w:r w:rsidR="00D25D60">
        <w:t xml:space="preserve">the Standing Committee on Law and Justice recommended that the NSW Government </w:t>
      </w:r>
      <w:r w:rsidR="004D437A">
        <w:t>consider including</w:t>
      </w:r>
      <w:r w:rsidR="002F5AE7">
        <w:t xml:space="preserve"> </w:t>
      </w:r>
      <w:r w:rsidR="004D437A">
        <w:t>a private conduct exception</w:t>
      </w:r>
      <w:r w:rsidR="002F5AE7">
        <w:t xml:space="preserve"> modelled on s</w:t>
      </w:r>
      <w:r w:rsidR="000C3227">
        <w:t>ection</w:t>
      </w:r>
      <w:r w:rsidR="002F5AE7">
        <w:t xml:space="preserve"> 12 of the RRTA.</w:t>
      </w:r>
      <w:r w:rsidR="00B9166D">
        <w:rPr>
          <w:rStyle w:val="EndnoteReference"/>
        </w:rPr>
        <w:endnoteReference w:id="332"/>
      </w:r>
    </w:p>
    <w:tbl>
      <w:tblPr>
        <w:tblStyle w:val="CustomTablebreakoutbox"/>
        <w:tblW w:w="0" w:type="auto"/>
        <w:tblLook w:val="04A0" w:firstRow="1" w:lastRow="0" w:firstColumn="1" w:lastColumn="0" w:noHBand="0" w:noVBand="1"/>
      </w:tblPr>
      <w:tblGrid>
        <w:gridCol w:w="9061"/>
      </w:tblGrid>
      <w:tr w:rsidR="00AB34B6" w14:paraId="4592AFB1" w14:textId="77777777" w:rsidTr="00AB34B6">
        <w:tc>
          <w:tcPr>
            <w:tcW w:w="9061" w:type="dxa"/>
          </w:tcPr>
          <w:p w14:paraId="4250ABAD" w14:textId="77777777" w:rsidR="00AB34B6" w:rsidRDefault="00AB34B6" w:rsidP="00CE55F7">
            <w:pPr>
              <w:pStyle w:val="BodyText"/>
              <w:rPr>
                <w:rStyle w:val="Characterbold"/>
              </w:rPr>
            </w:pPr>
            <w:r>
              <w:rPr>
                <w:rStyle w:val="Characterbold"/>
              </w:rPr>
              <w:t xml:space="preserve">NSW reforms </w:t>
            </w:r>
          </w:p>
          <w:p w14:paraId="794B9358" w14:textId="77777777" w:rsidR="00403715" w:rsidRDefault="00AB34B6" w:rsidP="00403715">
            <w:pPr>
              <w:pStyle w:val="BodyText"/>
              <w:rPr>
                <w:rStyle w:val="Characterclear"/>
              </w:rPr>
            </w:pPr>
            <w:r w:rsidRPr="00AB34B6">
              <w:rPr>
                <w:rStyle w:val="Characterclear"/>
              </w:rPr>
              <w:t>In June</w:t>
            </w:r>
            <w:r>
              <w:rPr>
                <w:rStyle w:val="Characterclear"/>
              </w:rPr>
              <w:t xml:space="preserve"> 2018, the NSW Parliament passed the Crimes Amendment (Publicly Threatening and Inciting Violence) Bill</w:t>
            </w:r>
            <w:r w:rsidR="003B0BD4">
              <w:rPr>
                <w:rStyle w:val="Characterclear"/>
              </w:rPr>
              <w:t xml:space="preserve"> 2018</w:t>
            </w:r>
            <w:r>
              <w:rPr>
                <w:rStyle w:val="Characterclear"/>
              </w:rPr>
              <w:t xml:space="preserve">. Following </w:t>
            </w:r>
            <w:r w:rsidR="002640D8">
              <w:rPr>
                <w:rStyle w:val="Characterclear"/>
              </w:rPr>
              <w:t xml:space="preserve">an Inquiry by the Standing Committee on Law and Justice on racial vilification law in NSW, </w:t>
            </w:r>
            <w:r w:rsidR="00717892">
              <w:rPr>
                <w:rStyle w:val="Characterclear"/>
              </w:rPr>
              <w:t>the bill</w:t>
            </w:r>
            <w:r w:rsidR="002640D8">
              <w:rPr>
                <w:rStyle w:val="Characterclear"/>
              </w:rPr>
              <w:t xml:space="preserve"> </w:t>
            </w:r>
            <w:r w:rsidR="0064244F">
              <w:rPr>
                <w:rStyle w:val="Characterclear"/>
              </w:rPr>
              <w:t>substantially reformed NSW’s criminal vilification offence</w:t>
            </w:r>
            <w:r w:rsidR="00717892">
              <w:rPr>
                <w:rStyle w:val="Characterclear"/>
              </w:rPr>
              <w:t>s</w:t>
            </w:r>
            <w:r w:rsidR="0064244F">
              <w:rPr>
                <w:rStyle w:val="Characterclear"/>
              </w:rPr>
              <w:t xml:space="preserve"> </w:t>
            </w:r>
            <w:r w:rsidR="003E24BA">
              <w:rPr>
                <w:rStyle w:val="Characterclear"/>
              </w:rPr>
              <w:t xml:space="preserve">(which were drafted in similar terms to the serious vilification offences in Victoria). </w:t>
            </w:r>
          </w:p>
          <w:p w14:paraId="392C9DCC" w14:textId="23B25F05" w:rsidR="003E24BA" w:rsidRDefault="006A4AC3" w:rsidP="00AB34B6">
            <w:pPr>
              <w:pStyle w:val="BodyText"/>
              <w:rPr>
                <w:rStyle w:val="Characterclear"/>
              </w:rPr>
            </w:pPr>
            <w:r>
              <w:rPr>
                <w:rStyle w:val="Characterclear"/>
              </w:rPr>
              <w:t xml:space="preserve">The reforms made a number of changes to the offence such as:  </w:t>
            </w:r>
          </w:p>
          <w:p w14:paraId="3629DD2B" w14:textId="6A81FE30" w:rsidR="0021522D" w:rsidRDefault="0021522D" w:rsidP="00436419">
            <w:pPr>
              <w:pStyle w:val="ListBullet"/>
              <w:rPr>
                <w:rStyle w:val="Characterclear"/>
              </w:rPr>
            </w:pPr>
            <w:r>
              <w:rPr>
                <w:rStyle w:val="Characterclear"/>
              </w:rPr>
              <w:t>mov</w:t>
            </w:r>
            <w:r w:rsidR="006A4AC3">
              <w:rPr>
                <w:rStyle w:val="Characterclear"/>
              </w:rPr>
              <w:t>ing</w:t>
            </w:r>
            <w:r>
              <w:rPr>
                <w:rStyle w:val="Characterclear"/>
              </w:rPr>
              <w:t xml:space="preserve"> the offences from anti-discrimination law to the </w:t>
            </w:r>
            <w:r w:rsidRPr="005B6423">
              <w:rPr>
                <w:rStyle w:val="Characterclear"/>
                <w:i/>
              </w:rPr>
              <w:t>Crimes Act</w:t>
            </w:r>
            <w:r w:rsidR="005B6423" w:rsidRPr="005B6423">
              <w:rPr>
                <w:rStyle w:val="Characterclear"/>
                <w:i/>
              </w:rPr>
              <w:t xml:space="preserve"> 1900</w:t>
            </w:r>
            <w:r w:rsidR="005B6423">
              <w:rPr>
                <w:rStyle w:val="Characterclear"/>
              </w:rPr>
              <w:t xml:space="preserve"> (NSW)</w:t>
            </w:r>
          </w:p>
          <w:p w14:paraId="2ECEF9D1" w14:textId="43F2435A" w:rsidR="003E24BA" w:rsidRDefault="00712CC9" w:rsidP="00436419">
            <w:pPr>
              <w:pStyle w:val="ListBullet"/>
              <w:rPr>
                <w:rStyle w:val="Characterclear"/>
              </w:rPr>
            </w:pPr>
            <w:r>
              <w:rPr>
                <w:rStyle w:val="Characterclear"/>
              </w:rPr>
              <w:lastRenderedPageBreak/>
              <w:t xml:space="preserve">providing that recklessness is sufficient to establish intent </w:t>
            </w:r>
          </w:p>
          <w:p w14:paraId="5C34BE46" w14:textId="681F6E17" w:rsidR="00BA6AE6" w:rsidRDefault="00921A99" w:rsidP="00436419">
            <w:pPr>
              <w:pStyle w:val="ListBullet"/>
              <w:rPr>
                <w:rStyle w:val="Characterclear"/>
              </w:rPr>
            </w:pPr>
            <w:r>
              <w:rPr>
                <w:rStyle w:val="Characterclear"/>
              </w:rPr>
              <w:t>prohibit</w:t>
            </w:r>
            <w:r w:rsidR="006A4AC3">
              <w:rPr>
                <w:rStyle w:val="Characterclear"/>
              </w:rPr>
              <w:t>ing</w:t>
            </w:r>
            <w:r>
              <w:rPr>
                <w:rStyle w:val="Characterclear"/>
              </w:rPr>
              <w:t xml:space="preserve"> conduct that threatens </w:t>
            </w:r>
            <w:r w:rsidRPr="00921A99">
              <w:rPr>
                <w:rStyle w:val="Characteritalic"/>
              </w:rPr>
              <w:t>or</w:t>
            </w:r>
            <w:r>
              <w:rPr>
                <w:rStyle w:val="Characterclear"/>
              </w:rPr>
              <w:t xml:space="preserve"> incites violence</w:t>
            </w:r>
          </w:p>
          <w:p w14:paraId="3A495B5E" w14:textId="0A23A767" w:rsidR="005453B3" w:rsidRDefault="0076199B" w:rsidP="00436419">
            <w:pPr>
              <w:pStyle w:val="ListBullet"/>
              <w:rPr>
                <w:rStyle w:val="Characterclear"/>
              </w:rPr>
            </w:pPr>
            <w:r>
              <w:rPr>
                <w:rStyle w:val="Characterclear"/>
              </w:rPr>
              <w:t>extend</w:t>
            </w:r>
            <w:r w:rsidR="006A4AC3">
              <w:rPr>
                <w:rStyle w:val="Characterclear"/>
              </w:rPr>
              <w:t>ing</w:t>
            </w:r>
            <w:r>
              <w:rPr>
                <w:rStyle w:val="Characterclear"/>
              </w:rPr>
              <w:t xml:space="preserve"> protections</w:t>
            </w:r>
            <w:r w:rsidR="008E7F8F">
              <w:rPr>
                <w:rStyle w:val="Characterclear"/>
              </w:rPr>
              <w:t xml:space="preserve"> from ‘race’ </w:t>
            </w:r>
            <w:r w:rsidR="00CF5C66">
              <w:rPr>
                <w:rStyle w:val="Characterclear"/>
              </w:rPr>
              <w:t xml:space="preserve">and ‘HIV/AIDS status’ </w:t>
            </w:r>
            <w:r w:rsidR="008E7F8F">
              <w:rPr>
                <w:rStyle w:val="Characterclear"/>
              </w:rPr>
              <w:t>to also include ‘religious belief or affiliation’, ‘sexual orientation’, ‘gender identity’</w:t>
            </w:r>
            <w:r w:rsidR="00CF5C66">
              <w:rPr>
                <w:rStyle w:val="Characterclear"/>
              </w:rPr>
              <w:t xml:space="preserve"> and</w:t>
            </w:r>
            <w:r w:rsidR="008E7F8F">
              <w:rPr>
                <w:rStyle w:val="Characterclear"/>
              </w:rPr>
              <w:t xml:space="preserve"> </w:t>
            </w:r>
            <w:r w:rsidR="004718E8">
              <w:rPr>
                <w:rStyle w:val="Characterclear"/>
              </w:rPr>
              <w:t>‘intersex status’</w:t>
            </w:r>
            <w:r w:rsidR="00CF5C66">
              <w:rPr>
                <w:rStyle w:val="Characterclear"/>
              </w:rPr>
              <w:t>.</w:t>
            </w:r>
          </w:p>
          <w:p w14:paraId="77C73A1B" w14:textId="549C347B" w:rsidR="00403715" w:rsidRDefault="00213152" w:rsidP="00436419">
            <w:pPr>
              <w:pStyle w:val="ListBullet"/>
              <w:rPr>
                <w:rStyle w:val="Characterclear"/>
              </w:rPr>
            </w:pPr>
            <w:r>
              <w:rPr>
                <w:rStyle w:val="Characterclear"/>
              </w:rPr>
              <w:t>increas</w:t>
            </w:r>
            <w:r w:rsidR="006A4AC3">
              <w:rPr>
                <w:rStyle w:val="Characterclear"/>
              </w:rPr>
              <w:t>ing</w:t>
            </w:r>
            <w:r>
              <w:rPr>
                <w:rStyle w:val="Characterclear"/>
              </w:rPr>
              <w:t xml:space="preserve"> the penalties to $11,000 and/or imprisonment for three years for an individual or $55,000 for a corporatio</w:t>
            </w:r>
            <w:r w:rsidR="006A4AC3">
              <w:rPr>
                <w:rStyle w:val="Characterclear"/>
              </w:rPr>
              <w:t>n.</w:t>
            </w:r>
            <w:r w:rsidR="006A4AC3">
              <w:rPr>
                <w:rStyle w:val="EndnoteReference"/>
                <w:lang w:eastAsia="en-AU"/>
              </w:rPr>
              <w:endnoteReference w:id="333"/>
            </w:r>
          </w:p>
          <w:p w14:paraId="4E20F981" w14:textId="38DD2B48" w:rsidR="006A4AC3" w:rsidRPr="006A4AC3" w:rsidRDefault="006A4AC3" w:rsidP="006A4AC3">
            <w:pPr>
              <w:pStyle w:val="BodyText"/>
              <w:rPr>
                <w:rStyle w:val="Characterclear"/>
              </w:rPr>
            </w:pPr>
            <w:r>
              <w:rPr>
                <w:rStyle w:val="Characterclear"/>
              </w:rPr>
              <w:t>T</w:t>
            </w:r>
            <w:r w:rsidRPr="006A4AC3">
              <w:rPr>
                <w:rStyle w:val="Characterclear"/>
              </w:rPr>
              <w:t xml:space="preserve">he result was a new offence located in the </w:t>
            </w:r>
            <w:r w:rsidRPr="005B6423">
              <w:rPr>
                <w:rStyle w:val="Characterclear"/>
                <w:i/>
              </w:rPr>
              <w:t>Crimes Act 1900</w:t>
            </w:r>
            <w:r w:rsidR="005B6423">
              <w:rPr>
                <w:rStyle w:val="Characterclear"/>
              </w:rPr>
              <w:t xml:space="preserve"> (NSW)</w:t>
            </w:r>
            <w:r w:rsidRPr="006A4AC3">
              <w:rPr>
                <w:rStyle w:val="Characterclear"/>
              </w:rPr>
              <w:t xml:space="preserve"> providing that: </w:t>
            </w:r>
          </w:p>
          <w:p w14:paraId="36CCAAF0" w14:textId="461CDC8F" w:rsidR="00D20D11" w:rsidRDefault="005B6423" w:rsidP="006A4AC3">
            <w:pPr>
              <w:pStyle w:val="Quote"/>
              <w:rPr>
                <w:rStyle w:val="Characterclear"/>
              </w:rPr>
            </w:pPr>
            <w:r>
              <w:rPr>
                <w:rStyle w:val="Characterclear"/>
              </w:rPr>
              <w:t>‘</w:t>
            </w:r>
            <w:r w:rsidR="006A4AC3">
              <w:rPr>
                <w:rStyle w:val="Characterclear"/>
              </w:rPr>
              <w:t>A</w:t>
            </w:r>
            <w:r w:rsidR="006A4AC3" w:rsidRPr="006A4AC3">
              <w:rPr>
                <w:rStyle w:val="Characterclear"/>
              </w:rPr>
              <w:t xml:space="preserve"> person who, by a public act, intentionally or recklessly threatens or incites violence towards another person or a group of persons on any of the following grounds is guilty of an offence (s 93Z</w:t>
            </w:r>
            <w:r w:rsidR="006A4AC3">
              <w:rPr>
                <w:rStyle w:val="Characterclear"/>
              </w:rPr>
              <w:t>)</w:t>
            </w:r>
            <w:r>
              <w:rPr>
                <w:rStyle w:val="Characterclear"/>
              </w:rPr>
              <w:t>’</w:t>
            </w:r>
            <w:r w:rsidR="006A4AC3">
              <w:rPr>
                <w:rStyle w:val="Characterclear"/>
              </w:rPr>
              <w:t xml:space="preserve">. </w:t>
            </w:r>
          </w:p>
          <w:p w14:paraId="30F5E1B5" w14:textId="494D145F" w:rsidR="00EE70A0" w:rsidRPr="003C4350" w:rsidRDefault="000D0ADB" w:rsidP="000C3227">
            <w:pPr>
              <w:pStyle w:val="BodyText"/>
              <w:rPr>
                <w:rStyle w:val="Characterclear"/>
              </w:rPr>
            </w:pPr>
            <w:r w:rsidRPr="00814314">
              <w:rPr>
                <w:rStyle w:val="Characterclear"/>
              </w:rPr>
              <w:t xml:space="preserve">The </w:t>
            </w:r>
            <w:r w:rsidR="005210B5" w:rsidRPr="00814314">
              <w:rPr>
                <w:rStyle w:val="Characterclear"/>
              </w:rPr>
              <w:t xml:space="preserve">new </w:t>
            </w:r>
            <w:r w:rsidRPr="00814314">
              <w:rPr>
                <w:rStyle w:val="Characterclear"/>
              </w:rPr>
              <w:t>offence also provides that</w:t>
            </w:r>
            <w:r w:rsidR="00EE70A0" w:rsidRPr="00814314">
              <w:rPr>
                <w:rStyle w:val="Characterclear"/>
              </w:rPr>
              <w:t xml:space="preserve"> in determining whether an alleged offender committed an offence</w:t>
            </w:r>
            <w:r w:rsidR="000C3227">
              <w:rPr>
                <w:rStyle w:val="Characterclear"/>
              </w:rPr>
              <w:t xml:space="preserve"> </w:t>
            </w:r>
            <w:r w:rsidR="00EE70A0" w:rsidRPr="003C4350">
              <w:rPr>
                <w:rStyle w:val="Characterclear"/>
              </w:rPr>
              <w:t xml:space="preserve">it is irrelevant whether or not, in response to the alleged offender’s act, any person formed a state of mind or carried out any act of violence. </w:t>
            </w:r>
          </w:p>
          <w:p w14:paraId="1F0608F7" w14:textId="7A641972" w:rsidR="00AC4CE4" w:rsidRPr="00AB34B6" w:rsidRDefault="00AC4CE4" w:rsidP="00AC4CE4">
            <w:pPr>
              <w:pStyle w:val="BodyText"/>
              <w:rPr>
                <w:rStyle w:val="Characterclear"/>
              </w:rPr>
            </w:pPr>
            <w:r>
              <w:rPr>
                <w:rStyle w:val="Characterclear"/>
              </w:rPr>
              <w:t>The reforms were well received by advocacy organisations in NSW.</w:t>
            </w:r>
            <w:r>
              <w:rPr>
                <w:rStyle w:val="EndnoteReference"/>
                <w:lang w:eastAsia="en-AU"/>
              </w:rPr>
              <w:endnoteReference w:id="334"/>
            </w:r>
            <w:r>
              <w:rPr>
                <w:rStyle w:val="Characterclear"/>
              </w:rPr>
              <w:t xml:space="preserve"> However, some stakeholders </w:t>
            </w:r>
            <w:r w:rsidR="0055228F">
              <w:rPr>
                <w:rStyle w:val="Characterclear"/>
              </w:rPr>
              <w:t xml:space="preserve">argued that the reforms were incomplete because they did not consider the civil provisions and </w:t>
            </w:r>
            <w:r w:rsidR="006C70CD">
              <w:rPr>
                <w:rStyle w:val="Characterclear"/>
              </w:rPr>
              <w:t>that the attribute of ‘sex’ was not protected.</w:t>
            </w:r>
            <w:r w:rsidR="006C70CD">
              <w:rPr>
                <w:rStyle w:val="EndnoteReference"/>
                <w:lang w:eastAsia="en-AU"/>
              </w:rPr>
              <w:endnoteReference w:id="335"/>
            </w:r>
          </w:p>
        </w:tc>
      </w:tr>
    </w:tbl>
    <w:p w14:paraId="54119191" w14:textId="62C74D86" w:rsidR="00976855" w:rsidRPr="003C4350" w:rsidRDefault="001B3DD7" w:rsidP="003C4350">
      <w:pPr>
        <w:pStyle w:val="Heading4"/>
        <w:rPr>
          <w:rStyle w:val="Characterbold"/>
          <w:b/>
        </w:rPr>
      </w:pPr>
      <w:r w:rsidRPr="003C4350">
        <w:rPr>
          <w:rStyle w:val="Characterbold"/>
          <w:b/>
        </w:rPr>
        <w:lastRenderedPageBreak/>
        <w:t xml:space="preserve">Consideration </w:t>
      </w:r>
      <w:r w:rsidR="004D340C" w:rsidRPr="003C4350">
        <w:rPr>
          <w:rStyle w:val="Characterbold"/>
          <w:b/>
        </w:rPr>
        <w:t xml:space="preserve">of </w:t>
      </w:r>
      <w:r w:rsidR="003C4350" w:rsidRPr="003C4350">
        <w:rPr>
          <w:rStyle w:val="Characterbold"/>
          <w:b/>
        </w:rPr>
        <w:t>complementary offences</w:t>
      </w:r>
      <w:r w:rsidR="004D340C" w:rsidRPr="003C4350">
        <w:rPr>
          <w:rStyle w:val="Characterbold"/>
          <w:b/>
        </w:rPr>
        <w:t xml:space="preserve">  </w:t>
      </w:r>
    </w:p>
    <w:p w14:paraId="6DE9CB28" w14:textId="5BA013E7" w:rsidR="008B4C91" w:rsidRDefault="00040182" w:rsidP="008B4C91">
      <w:pPr>
        <w:pStyle w:val="Heading5"/>
      </w:pPr>
      <w:r>
        <w:t xml:space="preserve">Possessing, distributing or displaying </w:t>
      </w:r>
      <w:r w:rsidR="00D529CC">
        <w:t xml:space="preserve">material </w:t>
      </w:r>
    </w:p>
    <w:p w14:paraId="1DA79E9C" w14:textId="5E8BA635" w:rsidR="00D529CC" w:rsidRDefault="002551A0" w:rsidP="00CE55F7">
      <w:pPr>
        <w:pStyle w:val="BodyText"/>
      </w:pPr>
      <w:r>
        <w:t>As set out in part</w:t>
      </w:r>
      <w:r w:rsidR="00C36C3F">
        <w:t xml:space="preserve"> </w:t>
      </w:r>
      <w:r w:rsidR="00A52FC2">
        <w:t xml:space="preserve">3.1, </w:t>
      </w:r>
      <w:r w:rsidR="00E60FAF">
        <w:t xml:space="preserve">one of </w:t>
      </w:r>
      <w:r w:rsidR="00A52FC2">
        <w:t>the ways hate manifests</w:t>
      </w:r>
      <w:r w:rsidR="00D5064D">
        <w:t xml:space="preserve"> in our community is distributing or displaying materials and symbols of hate, </w:t>
      </w:r>
      <w:r w:rsidR="005C4FBB">
        <w:t>through</w:t>
      </w:r>
      <w:r w:rsidR="00AC0ACD">
        <w:t xml:space="preserve"> </w:t>
      </w:r>
      <w:r w:rsidR="005C4FBB">
        <w:t xml:space="preserve">mediums such as </w:t>
      </w:r>
      <w:r w:rsidR="00AC0ACD">
        <w:t>publications, graffiti, flyers, posters</w:t>
      </w:r>
      <w:r w:rsidR="005C4FBB">
        <w:t xml:space="preserve">, </w:t>
      </w:r>
      <w:r w:rsidR="00AC0ACD">
        <w:t>stickers</w:t>
      </w:r>
      <w:r w:rsidR="005C4FBB">
        <w:t xml:space="preserve"> or flags. </w:t>
      </w:r>
      <w:r w:rsidR="00E424D5">
        <w:t xml:space="preserve">In Victoria, this type of conduct can be captured by the RRTA if it meets the threshold for incitement </w:t>
      </w:r>
      <w:r w:rsidR="001A1445">
        <w:t xml:space="preserve">– that is, if the conduct is capable of inciting other people to hatred because of race or religion. </w:t>
      </w:r>
    </w:p>
    <w:p w14:paraId="13D4B2B5" w14:textId="218947F9" w:rsidR="00A6132E" w:rsidRDefault="00494637" w:rsidP="00CE55F7">
      <w:pPr>
        <w:pStyle w:val="BodyText"/>
      </w:pPr>
      <w:r>
        <w:t xml:space="preserve">The Commission’s recommended reforms to the law will support the ability for a person to </w:t>
      </w:r>
      <w:r w:rsidR="003565FC">
        <w:t xml:space="preserve">more effectively </w:t>
      </w:r>
      <w:r>
        <w:t xml:space="preserve">seek redress for </w:t>
      </w:r>
      <w:r w:rsidR="00735CE2">
        <w:t xml:space="preserve">the possession, </w:t>
      </w:r>
      <w:r w:rsidR="003565FC">
        <w:t xml:space="preserve">distribution or display of hateful material </w:t>
      </w:r>
      <w:r w:rsidR="000C3227">
        <w:t>(such as</w:t>
      </w:r>
      <w:r w:rsidR="002900F0">
        <w:t xml:space="preserve"> </w:t>
      </w:r>
      <w:r w:rsidR="0029165E">
        <w:t>the swastika</w:t>
      </w:r>
      <w:r w:rsidR="000C3227">
        <w:t xml:space="preserve">) </w:t>
      </w:r>
      <w:r w:rsidR="003565FC">
        <w:t xml:space="preserve">and for police to prosecute this type of conduct. </w:t>
      </w:r>
      <w:r w:rsidR="002F5BC2">
        <w:t xml:space="preserve">However, in cases where the distribution or display of hateful material is not capable of inciting hatred in other people, alternative offences may be </w:t>
      </w:r>
      <w:r w:rsidR="003573A5">
        <w:t xml:space="preserve">a more effective way of combatting hate. </w:t>
      </w:r>
    </w:p>
    <w:p w14:paraId="7DB410F3" w14:textId="63A42F7F" w:rsidR="001149A5" w:rsidRDefault="003573A5" w:rsidP="00CE55F7">
      <w:pPr>
        <w:pStyle w:val="BodyText"/>
      </w:pPr>
      <w:r>
        <w:t>For example, the Racial and Religious Vilification Bill 1992 (Vic</w:t>
      </w:r>
      <w:r w:rsidR="00295344">
        <w:t>)</w:t>
      </w:r>
      <w:r w:rsidR="00AF2FB0">
        <w:t>,</w:t>
      </w:r>
      <w:r w:rsidR="00295344">
        <w:t xml:space="preserve"> which lapsed before being passed by the Victorian parliament,</w:t>
      </w:r>
      <w:r>
        <w:t xml:space="preserve"> </w:t>
      </w:r>
      <w:r w:rsidR="001149A5">
        <w:t xml:space="preserve">included offences for the </w:t>
      </w:r>
      <w:r w:rsidR="000D78C4">
        <w:t xml:space="preserve">possession, </w:t>
      </w:r>
      <w:r w:rsidR="001149A5">
        <w:t>distribution or display of threatening or vilifying material</w:t>
      </w:r>
      <w:r w:rsidR="000518A2">
        <w:t xml:space="preserve"> that is intended to ‘create, promote or increase’ hatred or to ‘intimidate’</w:t>
      </w:r>
      <w:r w:rsidR="001149A5">
        <w:t xml:space="preserve">. This included: </w:t>
      </w:r>
    </w:p>
    <w:p w14:paraId="55A7BBCB" w14:textId="77777777" w:rsidR="001149A5" w:rsidRDefault="001149A5" w:rsidP="005B6423">
      <w:pPr>
        <w:pStyle w:val="ListBullet"/>
      </w:pPr>
      <w:r>
        <w:t xml:space="preserve">Clause 6(1): A person must not publish, distribute or display written or pictorial material that is threatening or vilifying with the intention of thereby creating, promoting or increasing hatred of any group of persons on the ground of their race or religion. </w:t>
      </w:r>
    </w:p>
    <w:p w14:paraId="4CF50BFE" w14:textId="48B6622E" w:rsidR="003573A5" w:rsidRDefault="001149A5" w:rsidP="005B6423">
      <w:pPr>
        <w:pStyle w:val="ListBullet"/>
      </w:pPr>
      <w:r>
        <w:t>Clause 6(2): A person must not publish, distribute or display written or pictorial material that is threatening or vilifying with the intention of thereby</w:t>
      </w:r>
      <w:r w:rsidR="000518A2">
        <w:t xml:space="preserve"> intimidating any group of persons on the ground of their race or religion.</w:t>
      </w:r>
    </w:p>
    <w:p w14:paraId="17E16165" w14:textId="240248E7" w:rsidR="00735CE2" w:rsidRDefault="00735CE2" w:rsidP="005B6423">
      <w:pPr>
        <w:pStyle w:val="ListBullet"/>
      </w:pPr>
      <w:r>
        <w:t xml:space="preserve">Clause 7: A person must not possess written or pictorial material that is threatening or vilifying with the intention of publishing, distributing or displaying it and </w:t>
      </w:r>
      <w:r w:rsidR="00F56A11">
        <w:t xml:space="preserve">thereby: </w:t>
      </w:r>
    </w:p>
    <w:p w14:paraId="06B38935" w14:textId="4820C61A" w:rsidR="00F56A11" w:rsidRPr="005B6423" w:rsidRDefault="00F56A11" w:rsidP="005B6423">
      <w:pPr>
        <w:pStyle w:val="TableListNumber2"/>
        <w:rPr>
          <w:sz w:val="24"/>
        </w:rPr>
      </w:pPr>
      <w:r w:rsidRPr="005B6423">
        <w:rPr>
          <w:sz w:val="24"/>
        </w:rPr>
        <w:t>creating, promoting or increasing hatred of any group of persons on the ground of their race or religion; or</w:t>
      </w:r>
    </w:p>
    <w:p w14:paraId="2C5C9BD4" w14:textId="1ACB453C" w:rsidR="00F56A11" w:rsidRPr="005B6423" w:rsidRDefault="00F56A11" w:rsidP="005B6423">
      <w:pPr>
        <w:pStyle w:val="TableListNumber2"/>
        <w:rPr>
          <w:sz w:val="24"/>
        </w:rPr>
      </w:pPr>
      <w:r w:rsidRPr="005B6423">
        <w:rPr>
          <w:sz w:val="24"/>
        </w:rPr>
        <w:lastRenderedPageBreak/>
        <w:t>intimidating any group of persons on the ground of their race or religion.</w:t>
      </w:r>
    </w:p>
    <w:p w14:paraId="6FA487C1" w14:textId="30496FB9" w:rsidR="007F25D1" w:rsidRDefault="007F25D1" w:rsidP="00CE55F7">
      <w:pPr>
        <w:pStyle w:val="BodyText"/>
      </w:pPr>
      <w:r>
        <w:t xml:space="preserve">The Bill also </w:t>
      </w:r>
      <w:r w:rsidR="00684CA6">
        <w:t xml:space="preserve">included the power for a municipal council to remove written or pictorial material that, in the opinion of the council, was likely to create, promote or increase hatred or any group of persons on the ground of their race or religion, or to intimidate any group of persons on the ground of their race or religion (clause 8). </w:t>
      </w:r>
    </w:p>
    <w:p w14:paraId="5B23EF75" w14:textId="61935F88" w:rsidR="00E60FAF" w:rsidRDefault="00F56A11" w:rsidP="00CE55F7">
      <w:pPr>
        <w:pStyle w:val="BodyText"/>
      </w:pPr>
      <w:r>
        <w:t xml:space="preserve">Western Australia also </w:t>
      </w:r>
      <w:r w:rsidR="006A6297">
        <w:t xml:space="preserve">has a range of criminal offences that </w:t>
      </w:r>
      <w:r w:rsidR="00D3607D">
        <w:t xml:space="preserve">could address the possession, distribution or display of hateful material including: </w:t>
      </w:r>
    </w:p>
    <w:p w14:paraId="1F42ACAC" w14:textId="0E0281AA" w:rsidR="00D3607D" w:rsidRDefault="00D3607D" w:rsidP="00C56F10">
      <w:pPr>
        <w:pStyle w:val="ListBullet"/>
      </w:pPr>
      <w:r>
        <w:t>possession of material for dissemination with intent to incite racial animosity or racist harassment</w:t>
      </w:r>
      <w:r w:rsidR="00C63F18">
        <w:rPr>
          <w:rStyle w:val="EndnoteReference"/>
        </w:rPr>
        <w:endnoteReference w:id="336"/>
      </w:r>
    </w:p>
    <w:p w14:paraId="11351015" w14:textId="2CEBA2A3" w:rsidR="00C63F18" w:rsidRDefault="00C63F18" w:rsidP="00C56F10">
      <w:pPr>
        <w:pStyle w:val="ListBullet"/>
      </w:pPr>
      <w:r>
        <w:t xml:space="preserve">possession of material for dissemination </w:t>
      </w:r>
      <w:r w:rsidR="00081394">
        <w:t>that is likely to incite racial animosity or racist harassment</w:t>
      </w:r>
      <w:r w:rsidR="00081394">
        <w:rPr>
          <w:rStyle w:val="EndnoteReference"/>
        </w:rPr>
        <w:endnoteReference w:id="337"/>
      </w:r>
    </w:p>
    <w:p w14:paraId="5744B896" w14:textId="38BE2529" w:rsidR="000F606E" w:rsidRDefault="00081394" w:rsidP="00C56F10">
      <w:pPr>
        <w:pStyle w:val="ListBullet"/>
      </w:pPr>
      <w:r>
        <w:t xml:space="preserve">conduct </w:t>
      </w:r>
      <w:r w:rsidR="00E36227">
        <w:t xml:space="preserve">intended </w:t>
      </w:r>
      <w:r>
        <w:t>to racially harass</w:t>
      </w:r>
      <w:r>
        <w:rPr>
          <w:rStyle w:val="EndnoteReference"/>
        </w:rPr>
        <w:endnoteReference w:id="338"/>
      </w:r>
      <w:r w:rsidR="00432D0C">
        <w:t xml:space="preserve"> and </w:t>
      </w:r>
      <w:r w:rsidR="00E36227">
        <w:t>likely to racially harass</w:t>
      </w:r>
      <w:r w:rsidR="00432D0C">
        <w:t xml:space="preserve"> (which do not require proof of incitement)</w:t>
      </w:r>
      <w:r w:rsidR="00E36227">
        <w:t>.</w:t>
      </w:r>
      <w:r w:rsidR="00E36227">
        <w:rPr>
          <w:rStyle w:val="EndnoteReference"/>
        </w:rPr>
        <w:endnoteReference w:id="339"/>
      </w:r>
      <w:r>
        <w:t xml:space="preserve"> </w:t>
      </w:r>
    </w:p>
    <w:p w14:paraId="0B585156" w14:textId="318DCC81" w:rsidR="000F606E" w:rsidRDefault="006B2D43" w:rsidP="005F3E54">
      <w:pPr>
        <w:pStyle w:val="BodyText"/>
      </w:pPr>
      <w:r>
        <w:t>I</w:t>
      </w:r>
      <w:r w:rsidR="005F3E54">
        <w:t>n</w:t>
      </w:r>
      <w:r>
        <w:t xml:space="preserve"> considering enacting similar offences, the Victorian Government should be careful to ensure that only the most egregious and harmful forms of hate material </w:t>
      </w:r>
      <w:r w:rsidR="0044396D">
        <w:t xml:space="preserve">are captured. </w:t>
      </w:r>
    </w:p>
    <w:p w14:paraId="2F364E41" w14:textId="4E7CB2ED" w:rsidR="00D529CC" w:rsidRDefault="007A3D71" w:rsidP="00E36227">
      <w:pPr>
        <w:pStyle w:val="Heading5"/>
        <w:numPr>
          <w:ilvl w:val="0"/>
          <w:numId w:val="0"/>
        </w:numPr>
      </w:pPr>
      <w:r>
        <w:t xml:space="preserve">Causing a person to have a reasonable fear </w:t>
      </w:r>
    </w:p>
    <w:p w14:paraId="752CA38F" w14:textId="6F2AEAD3" w:rsidR="00E61D7C" w:rsidRDefault="001E2256" w:rsidP="00CE55F7">
      <w:pPr>
        <w:pStyle w:val="BodyText"/>
      </w:pPr>
      <w:r>
        <w:t xml:space="preserve">In the Inquiry into Racial Vilification Law in NSW, </w:t>
      </w:r>
      <w:r w:rsidR="00EF5E52">
        <w:t>Professor</w:t>
      </w:r>
      <w:r w:rsidR="001A3160">
        <w:t>s</w:t>
      </w:r>
      <w:r w:rsidR="00EF5E52">
        <w:t xml:space="preserve"> Simon Rice and Neil Rees </w:t>
      </w:r>
      <w:r w:rsidR="001B79FC">
        <w:t>recommended introducing a criminal offence that prohibits</w:t>
      </w:r>
      <w:r w:rsidR="00FD7069">
        <w:t xml:space="preserve"> an act that: </w:t>
      </w:r>
    </w:p>
    <w:p w14:paraId="1D48A873" w14:textId="62EB03D7" w:rsidR="001B79FC" w:rsidRDefault="005B6423" w:rsidP="001B79FC">
      <w:pPr>
        <w:pStyle w:val="Quote"/>
      </w:pPr>
      <w:r>
        <w:t>‘</w:t>
      </w:r>
      <w:r w:rsidR="00B11955">
        <w:t>is intended, or is reasonably likely, to cause a person to have a reasonable fear in the circumstances</w:t>
      </w:r>
      <w:r w:rsidR="00CC34F9">
        <w:t xml:space="preserve"> for their own safety or security of property, or for the safety or security of property of their family or associates</w:t>
      </w:r>
      <w:r>
        <w:t>’</w:t>
      </w:r>
      <w:r w:rsidR="00CC34F9">
        <w:t>.</w:t>
      </w:r>
      <w:r w:rsidR="003B1022">
        <w:rPr>
          <w:rStyle w:val="EndnoteReference"/>
        </w:rPr>
        <w:endnoteReference w:id="340"/>
      </w:r>
    </w:p>
    <w:p w14:paraId="21F5FE09" w14:textId="1AEAD688" w:rsidR="007537D8" w:rsidRDefault="007537D8" w:rsidP="00CE55F7">
      <w:pPr>
        <w:pStyle w:val="BodyText"/>
      </w:pPr>
      <w:r>
        <w:t>As explained by the professors, ‘the proposed offence requires proof either of intent to generate fear in another person or that a reasonable person would be aware of the likelihood that fear would be caused. The alternative to intent – a reasonable person’s awareness of the likelihood – ensures that a perpetrator of racial vilification is not able to rely on their own lack of awareness, insight or wilful blindness as to the effect of their conduct, or on a belief that what they said was true’.</w:t>
      </w:r>
      <w:r>
        <w:rPr>
          <w:rStyle w:val="EndnoteReference"/>
        </w:rPr>
        <w:endnoteReference w:id="341"/>
      </w:r>
    </w:p>
    <w:p w14:paraId="29F3FABB" w14:textId="2FA2541F" w:rsidR="00CE55F7" w:rsidRDefault="000F11E1" w:rsidP="00CE55F7">
      <w:pPr>
        <w:pStyle w:val="BodyText"/>
      </w:pPr>
      <w:r>
        <w:t xml:space="preserve">The intention of the ‘reasonable fear’ test is to </w:t>
      </w:r>
      <w:r w:rsidR="005873D4">
        <w:t xml:space="preserve">shift the focus away from incitement of a third party to the objective harm that results from an offender’s conduct. </w:t>
      </w:r>
    </w:p>
    <w:tbl>
      <w:tblPr>
        <w:tblStyle w:val="CustomTablerecommendationsbox"/>
        <w:tblW w:w="0" w:type="auto"/>
        <w:tblLook w:val="04A0" w:firstRow="1" w:lastRow="0" w:firstColumn="1" w:lastColumn="0" w:noHBand="0" w:noVBand="1"/>
      </w:tblPr>
      <w:tblGrid>
        <w:gridCol w:w="9061"/>
      </w:tblGrid>
      <w:tr w:rsidR="004D3B9C" w14:paraId="7A0D981B" w14:textId="77777777" w:rsidTr="004D3B9C">
        <w:tc>
          <w:tcPr>
            <w:tcW w:w="9061" w:type="dxa"/>
          </w:tcPr>
          <w:p w14:paraId="334E9DBF" w14:textId="77777777" w:rsidR="004D3B9C" w:rsidRDefault="004D3B9C" w:rsidP="00F62D74">
            <w:pPr>
              <w:pStyle w:val="RecommendationList"/>
            </w:pPr>
          </w:p>
          <w:p w14:paraId="38DB93EB" w14:textId="19CA7B72" w:rsidR="007105B7" w:rsidRPr="007105B7" w:rsidRDefault="007105B7" w:rsidP="007105B7">
            <w:pPr>
              <w:pStyle w:val="BodyText"/>
              <w:rPr>
                <w:rStyle w:val="Characterclear"/>
              </w:rPr>
            </w:pPr>
            <w:r w:rsidRPr="007105B7">
              <w:t xml:space="preserve">The Victorian Government should introduce a single </w:t>
            </w:r>
            <w:r w:rsidR="00575F3A">
              <w:t xml:space="preserve">criminal </w:t>
            </w:r>
            <w:r w:rsidRPr="007105B7">
              <w:t xml:space="preserve">offence for serious vilification that is modelled on the offences for serious vilification under section 24 and 25 of the </w:t>
            </w:r>
            <w:r w:rsidRPr="007105B7">
              <w:rPr>
                <w:rStyle w:val="Characteritalic"/>
              </w:rPr>
              <w:t>Racial and Religious Tolerance Act 2001</w:t>
            </w:r>
            <w:r w:rsidRPr="007105B7">
              <w:rPr>
                <w:rStyle w:val="Characterclear"/>
              </w:rPr>
              <w:t xml:space="preserve"> </w:t>
            </w:r>
            <w:r w:rsidR="00397ED8">
              <w:rPr>
                <w:rStyle w:val="Characterclear"/>
              </w:rPr>
              <w:t xml:space="preserve">(Vic) </w:t>
            </w:r>
            <w:r w:rsidRPr="007105B7">
              <w:rPr>
                <w:rStyle w:val="Characterclear"/>
              </w:rPr>
              <w:t xml:space="preserve">with the following modifications: </w:t>
            </w:r>
          </w:p>
          <w:p w14:paraId="5AC66CD2" w14:textId="77777777" w:rsidR="007105B7" w:rsidRPr="007105B7" w:rsidRDefault="007105B7" w:rsidP="008C2DB6">
            <w:pPr>
              <w:pStyle w:val="ListBullet"/>
            </w:pPr>
            <w:r w:rsidRPr="007105B7">
              <w:t xml:space="preserve">the fault element should be amended to ‘intentionally </w:t>
            </w:r>
            <w:r w:rsidRPr="007105B7">
              <w:rPr>
                <w:rStyle w:val="Characteritalic"/>
              </w:rPr>
              <w:t>or recklessly’</w:t>
            </w:r>
          </w:p>
          <w:p w14:paraId="094994F3" w14:textId="77777777" w:rsidR="007105B7" w:rsidRPr="007105B7" w:rsidRDefault="007105B7" w:rsidP="008C2DB6">
            <w:pPr>
              <w:pStyle w:val="ListBullet"/>
            </w:pPr>
            <w:r w:rsidRPr="007105B7">
              <w:t>the subjective test of conduct that ‘the offender knows is likely to incite’ should be replaced with an objective test of conduct that ‘is likely to incite’</w:t>
            </w:r>
          </w:p>
          <w:p w14:paraId="66E3EDE4" w14:textId="77777777" w:rsidR="007105B7" w:rsidRPr="007105B7" w:rsidRDefault="007105B7" w:rsidP="008C2DB6">
            <w:pPr>
              <w:pStyle w:val="ListBullet"/>
            </w:pPr>
            <w:r w:rsidRPr="007105B7">
              <w:t xml:space="preserve">the offence should prohibit threats </w:t>
            </w:r>
            <w:r w:rsidRPr="007105B7">
              <w:rPr>
                <w:rStyle w:val="Characteritalic"/>
              </w:rPr>
              <w:t>or</w:t>
            </w:r>
            <w:r w:rsidRPr="007105B7">
              <w:t xml:space="preserve"> incitement (rather than threats </w:t>
            </w:r>
            <w:r w:rsidRPr="007105B7">
              <w:rPr>
                <w:rStyle w:val="Characteritalic"/>
              </w:rPr>
              <w:t xml:space="preserve">and </w:t>
            </w:r>
            <w:r w:rsidRPr="007105B7">
              <w:t xml:space="preserve">incitement in the existing criminal offences). </w:t>
            </w:r>
          </w:p>
          <w:p w14:paraId="512A25D5" w14:textId="77777777" w:rsidR="007105B7" w:rsidRPr="007105B7" w:rsidRDefault="007105B7" w:rsidP="007105B7">
            <w:pPr>
              <w:pStyle w:val="BodyText"/>
              <w:rPr>
                <w:rStyle w:val="Characterclear"/>
              </w:rPr>
            </w:pPr>
            <w:r w:rsidRPr="007105B7">
              <w:rPr>
                <w:rStyle w:val="Characterclear"/>
              </w:rPr>
              <w:t>The offence should protect the same attributes set out in recommendation 2.</w:t>
            </w:r>
          </w:p>
          <w:p w14:paraId="58FA4CB2" w14:textId="77777777" w:rsidR="007105B7" w:rsidRPr="007105B7" w:rsidRDefault="007105B7" w:rsidP="007105B7">
            <w:pPr>
              <w:pStyle w:val="BodyText"/>
              <w:rPr>
                <w:rStyle w:val="Characterclear"/>
              </w:rPr>
            </w:pPr>
            <w:r w:rsidRPr="007105B7">
              <w:rPr>
                <w:rStyle w:val="Characterclear"/>
              </w:rPr>
              <w:t xml:space="preserve">The offence should include an exception for ‘private conduct’ modelled on section 12 of the </w:t>
            </w:r>
            <w:r w:rsidRPr="007105B7">
              <w:rPr>
                <w:rStyle w:val="Characteritalic"/>
              </w:rPr>
              <w:t xml:space="preserve">Racial and Religious Tolerance Act 2001 </w:t>
            </w:r>
            <w:r w:rsidRPr="007105B7">
              <w:rPr>
                <w:rStyle w:val="Characterclear"/>
              </w:rPr>
              <w:t>(Vic).</w:t>
            </w:r>
          </w:p>
          <w:p w14:paraId="6C203C07" w14:textId="77777777" w:rsidR="00B761A7" w:rsidRDefault="00B761A7" w:rsidP="00F62D74">
            <w:pPr>
              <w:pStyle w:val="RecommendationList"/>
              <w:rPr>
                <w:rStyle w:val="Characteryellowhighlight"/>
              </w:rPr>
            </w:pPr>
          </w:p>
          <w:p w14:paraId="597B0441" w14:textId="77777777" w:rsidR="00F62D74" w:rsidRPr="00F62D74" w:rsidRDefault="00F62D74" w:rsidP="00F62D74">
            <w:pPr>
              <w:pStyle w:val="BodyText"/>
              <w:rPr>
                <w:rStyle w:val="Characterclear"/>
              </w:rPr>
            </w:pPr>
            <w:r w:rsidRPr="00F62D74">
              <w:rPr>
                <w:rStyle w:val="Characterclear"/>
              </w:rPr>
              <w:t xml:space="preserve">The Victorian Government should consider introducing complementary offences to criminalise: </w:t>
            </w:r>
          </w:p>
          <w:p w14:paraId="5F5F27A0" w14:textId="77777777" w:rsidR="00F62D74" w:rsidRPr="00F62D74" w:rsidRDefault="00F62D74" w:rsidP="00F62D74">
            <w:pPr>
              <w:pStyle w:val="ListBullet"/>
              <w:numPr>
                <w:ilvl w:val="0"/>
                <w:numId w:val="3"/>
              </w:numPr>
              <w:rPr>
                <w:rStyle w:val="Characterclear"/>
              </w:rPr>
            </w:pPr>
            <w:r w:rsidRPr="00F62D74">
              <w:rPr>
                <w:rStyle w:val="Characterclear"/>
              </w:rPr>
              <w:t xml:space="preserve">the possession, distribution or display of hateful material; and </w:t>
            </w:r>
          </w:p>
          <w:p w14:paraId="0D511133" w14:textId="051D5FBE" w:rsidR="00C446DB" w:rsidRPr="00F62D74" w:rsidRDefault="00F62D74" w:rsidP="00F62D74">
            <w:pPr>
              <w:pStyle w:val="ListBullet"/>
              <w:numPr>
                <w:ilvl w:val="0"/>
                <w:numId w:val="3"/>
              </w:numPr>
              <w:rPr>
                <w:rStyle w:val="Characteryellowhighlight"/>
                <w:shd w:val="clear" w:color="auto" w:fill="auto"/>
                <w:lang w:eastAsia="en-AU"/>
              </w:rPr>
            </w:pPr>
            <w:r w:rsidRPr="00F62D74">
              <w:rPr>
                <w:rStyle w:val="Characterclear"/>
              </w:rPr>
              <w:t>hate conduct that is intended or is reasonably likely to cause a person to have a reasonable fear for their safety or security of property.</w:t>
            </w:r>
            <w:r w:rsidR="00FC553C">
              <w:rPr>
                <w:rStyle w:val="Characterclear"/>
              </w:rPr>
              <w:t xml:space="preserve"> </w:t>
            </w:r>
          </w:p>
        </w:tc>
      </w:tr>
    </w:tbl>
    <w:p w14:paraId="0A28EC2D" w14:textId="77777777" w:rsidR="0060487F" w:rsidRPr="0060487F" w:rsidRDefault="0060487F" w:rsidP="00C446DB">
      <w:pPr>
        <w:pStyle w:val="Heading3"/>
      </w:pPr>
      <w:r w:rsidRPr="0060487F">
        <w:lastRenderedPageBreak/>
        <w:t>The definition of prohibited conduct should be broadened</w:t>
      </w:r>
    </w:p>
    <w:p w14:paraId="3A198F6D" w14:textId="0066A7CE" w:rsidR="00EF3345" w:rsidRDefault="0060487F" w:rsidP="0060487F">
      <w:pPr>
        <w:pStyle w:val="BodyText"/>
        <w:rPr>
          <w:rStyle w:val="Characterclear"/>
        </w:rPr>
      </w:pPr>
      <w:r w:rsidRPr="0060487F">
        <w:rPr>
          <w:rStyle w:val="Characterclear"/>
        </w:rPr>
        <w:t>In line</w:t>
      </w:r>
      <w:r>
        <w:rPr>
          <w:rStyle w:val="Characterclear"/>
        </w:rPr>
        <w:t xml:space="preserve"> with recent reforms to the criminal vilification offences in NSW, the Commission considers that the definition of prohibited conduct for the purposes of civil and criminal </w:t>
      </w:r>
      <w:r w:rsidR="00964221">
        <w:rPr>
          <w:rStyle w:val="Characterclear"/>
        </w:rPr>
        <w:t>vilification</w:t>
      </w:r>
      <w:r>
        <w:rPr>
          <w:rStyle w:val="Characterclear"/>
        </w:rPr>
        <w:t xml:space="preserve"> laws in Victoria should be </w:t>
      </w:r>
      <w:r w:rsidR="00B13452">
        <w:rPr>
          <w:rStyle w:val="Characterclear"/>
        </w:rPr>
        <w:t>broadened.</w:t>
      </w:r>
      <w:r w:rsidR="00866816">
        <w:rPr>
          <w:rStyle w:val="Characterclear"/>
        </w:rPr>
        <w:t xml:space="preserve"> This will help to clarify that prohibited conduct includes any form of communication, conduct or distribution or dissemination of </w:t>
      </w:r>
      <w:r w:rsidR="00A555CF">
        <w:rPr>
          <w:rStyle w:val="Characterclear"/>
        </w:rPr>
        <w:t xml:space="preserve">material to the public. It will also clarify that conduct will constitute public conduct even if it occurs on private land. </w:t>
      </w:r>
    </w:p>
    <w:p w14:paraId="11AFDE99" w14:textId="0226993E" w:rsidR="00B13452" w:rsidRDefault="00B13452" w:rsidP="0060487F">
      <w:pPr>
        <w:pStyle w:val="BodyText"/>
        <w:rPr>
          <w:rStyle w:val="Characterclear"/>
        </w:rPr>
      </w:pPr>
      <w:r>
        <w:rPr>
          <w:rStyle w:val="Characterclear"/>
        </w:rPr>
        <w:t xml:space="preserve">In particular, </w:t>
      </w:r>
      <w:r w:rsidR="00EF3345">
        <w:rPr>
          <w:rStyle w:val="Characterclear"/>
        </w:rPr>
        <w:t xml:space="preserve">the term ‘conduct’ under </w:t>
      </w:r>
      <w:r>
        <w:rPr>
          <w:rStyle w:val="Characterclear"/>
        </w:rPr>
        <w:t>Victoria</w:t>
      </w:r>
      <w:r w:rsidR="00EF3345">
        <w:rPr>
          <w:rStyle w:val="Characterclear"/>
        </w:rPr>
        <w:t>n law</w:t>
      </w:r>
      <w:r>
        <w:rPr>
          <w:rStyle w:val="Characterclear"/>
        </w:rPr>
        <w:t xml:space="preserve"> should adopt the </w:t>
      </w:r>
      <w:r w:rsidR="00EF3345">
        <w:rPr>
          <w:rStyle w:val="Characterclear"/>
        </w:rPr>
        <w:t xml:space="preserve">definition of ‘public act’ under s 93Z(5) of the </w:t>
      </w:r>
      <w:r w:rsidR="00EF3345" w:rsidRPr="00EF3345">
        <w:rPr>
          <w:rStyle w:val="Characteritalic"/>
        </w:rPr>
        <w:t xml:space="preserve">Crimes Act 1900 </w:t>
      </w:r>
      <w:r w:rsidR="00EF3345">
        <w:rPr>
          <w:rStyle w:val="Characterclear"/>
        </w:rPr>
        <w:t xml:space="preserve">(NSW) to include: </w:t>
      </w:r>
    </w:p>
    <w:p w14:paraId="1F4B6A4B" w14:textId="77777777" w:rsidR="009A5985" w:rsidRPr="009A5985" w:rsidRDefault="009A5985" w:rsidP="008C2DB6">
      <w:pPr>
        <w:pStyle w:val="ListBullet"/>
        <w:rPr>
          <w:lang w:eastAsia="en-AU"/>
        </w:rPr>
      </w:pPr>
      <w:r w:rsidRPr="009A5985">
        <w:rPr>
          <w:lang w:eastAsia="en-AU"/>
        </w:rPr>
        <w:t xml:space="preserve">‘any form of communication (including speaking, writing, displaying notices, playing of recorded material, broadcasting and communicating through social media and other electronic methods) to the public </w:t>
      </w:r>
    </w:p>
    <w:p w14:paraId="2B397426" w14:textId="77777777" w:rsidR="009A5985" w:rsidRPr="009A5985" w:rsidRDefault="009A5985" w:rsidP="008C2DB6">
      <w:pPr>
        <w:pStyle w:val="ListBullet"/>
        <w:rPr>
          <w:lang w:eastAsia="en-AU"/>
        </w:rPr>
      </w:pPr>
      <w:r w:rsidRPr="009A5985">
        <w:rPr>
          <w:lang w:eastAsia="en-AU"/>
        </w:rPr>
        <w:t xml:space="preserve">any conduct (including actions and gestures and the wearing or display of clothing, signs, flags, emblems and insignia) observable by the public; and </w:t>
      </w:r>
    </w:p>
    <w:p w14:paraId="5629926C" w14:textId="77777777" w:rsidR="009A5985" w:rsidRPr="009A5985" w:rsidRDefault="009A5985" w:rsidP="008C2DB6">
      <w:pPr>
        <w:pStyle w:val="ListBullet"/>
        <w:rPr>
          <w:lang w:eastAsia="en-AU"/>
        </w:rPr>
      </w:pPr>
      <w:r w:rsidRPr="009A5985">
        <w:rPr>
          <w:lang w:eastAsia="en-AU"/>
        </w:rPr>
        <w:t>the distribution or dissemination of any matter to the public.</w:t>
      </w:r>
    </w:p>
    <w:p w14:paraId="1DD1818B" w14:textId="07AC5860" w:rsidR="00EF3345" w:rsidRDefault="009A5985" w:rsidP="009A5985">
      <w:pPr>
        <w:pStyle w:val="BodyText"/>
        <w:rPr>
          <w:lang w:eastAsia="en-AU"/>
        </w:rPr>
      </w:pPr>
      <w:r w:rsidRPr="009A5985">
        <w:rPr>
          <w:lang w:eastAsia="en-AU"/>
        </w:rPr>
        <w:t>For the avoidance of doubt, an act may be a public act even if it occurs on private land’.</w:t>
      </w:r>
    </w:p>
    <w:tbl>
      <w:tblPr>
        <w:tblStyle w:val="CustomTablerecommendationsbox"/>
        <w:tblW w:w="0" w:type="auto"/>
        <w:tblLook w:val="04A0" w:firstRow="1" w:lastRow="0" w:firstColumn="1" w:lastColumn="0" w:noHBand="0" w:noVBand="1"/>
      </w:tblPr>
      <w:tblGrid>
        <w:gridCol w:w="9061"/>
      </w:tblGrid>
      <w:tr w:rsidR="009A5985" w14:paraId="48ACF444" w14:textId="77777777" w:rsidTr="009A5985">
        <w:tc>
          <w:tcPr>
            <w:tcW w:w="9061" w:type="dxa"/>
          </w:tcPr>
          <w:p w14:paraId="2F1A98C2" w14:textId="77777777" w:rsidR="004D3B9C" w:rsidRDefault="004D3B9C" w:rsidP="003D3FCB">
            <w:pPr>
              <w:pStyle w:val="RecommendationList"/>
              <w:rPr>
                <w:lang w:eastAsia="en-AU"/>
              </w:rPr>
            </w:pPr>
          </w:p>
          <w:p w14:paraId="6F206419" w14:textId="34BDD2E9" w:rsidR="009A5985" w:rsidRPr="009A5985" w:rsidRDefault="00A2506D" w:rsidP="004D3B9C">
            <w:pPr>
              <w:pStyle w:val="BodyText"/>
            </w:pPr>
            <w:r w:rsidRPr="00A2506D">
              <w:t xml:space="preserve">The Victorian Government should adopt the definition of ‘public act’ under section 93Z(5) of the </w:t>
            </w:r>
            <w:r w:rsidRPr="00A2506D">
              <w:rPr>
                <w:rStyle w:val="Characteritalic"/>
              </w:rPr>
              <w:t>Crimes Act 1900</w:t>
            </w:r>
            <w:r w:rsidRPr="00A2506D">
              <w:t xml:space="preserve"> (NSW) for the purposes of all of the civil provisions and criminal offences in Victoria’s reformed vilification laws</w:t>
            </w:r>
            <w:r w:rsidR="00397ED8">
              <w:t xml:space="preserve"> to clarify the broad scope of conduct covered by the Act.</w:t>
            </w:r>
          </w:p>
        </w:tc>
      </w:tr>
    </w:tbl>
    <w:p w14:paraId="58BE31AE" w14:textId="3C9D9B21" w:rsidR="00E1229D" w:rsidRDefault="00E1229D" w:rsidP="00DE55D5">
      <w:pPr>
        <w:pStyle w:val="Heading2"/>
      </w:pPr>
      <w:bookmarkStart w:id="34" w:name="_Toc31392346"/>
      <w:r>
        <w:t>Strengthening dispute resolution</w:t>
      </w:r>
      <w:bookmarkEnd w:id="34"/>
      <w:r>
        <w:t xml:space="preserve">  </w:t>
      </w:r>
    </w:p>
    <w:p w14:paraId="221BB85B" w14:textId="77777777" w:rsidR="00E06C44" w:rsidRPr="00E06C44" w:rsidRDefault="00E06C44" w:rsidP="00E06C44">
      <w:pPr>
        <w:pStyle w:val="Heading3"/>
      </w:pPr>
      <w:r w:rsidRPr="00E06C44">
        <w:t xml:space="preserve">The Commission should be empowered to identify respondents </w:t>
      </w:r>
    </w:p>
    <w:p w14:paraId="1C7C5281" w14:textId="33B6C16E" w:rsidR="00E06C44" w:rsidRPr="00E06C44" w:rsidRDefault="00E06C44" w:rsidP="00E06C44">
      <w:pPr>
        <w:pStyle w:val="BodyText"/>
      </w:pPr>
      <w:r w:rsidRPr="00E06C44">
        <w:t>To enable the Commission to identify unknown respondents, the Commission should be empowered to direct a person to provide information or produce a document that is relevant to a complaint. As set out in par</w:t>
      </w:r>
      <w:r w:rsidR="00CA39E3">
        <w:t>t 4.2.1,</w:t>
      </w:r>
      <w:r w:rsidRPr="00E06C44">
        <w:t xml:space="preserve"> this would bring Victoria in line with all other Australian jurisdictions with a mechanism for resolving vilification complaints.</w:t>
      </w:r>
    </w:p>
    <w:p w14:paraId="6875D15D" w14:textId="77777777" w:rsidR="00E06C44" w:rsidRPr="00E06C44" w:rsidRDefault="00E06C44" w:rsidP="00E06C44">
      <w:pPr>
        <w:pStyle w:val="BodyText"/>
      </w:pPr>
      <w:r w:rsidRPr="00E06C44">
        <w:t>The Commission should also be empowered to enforce a direction for information or documents by filing the direction with VCAT. The direction would then be enforceable as if it were a VCAT order. This is the approach in Queensland which empowers the commission to enforce a direction by filing it with a court of competent jurisdiction.</w:t>
      </w:r>
      <w:r w:rsidRPr="00E06C44">
        <w:rPr>
          <w:rStyle w:val="EndnoteReference"/>
        </w:rPr>
        <w:endnoteReference w:id="342"/>
      </w:r>
    </w:p>
    <w:p w14:paraId="0AEDC6F6" w14:textId="77777777" w:rsidR="00E06C44" w:rsidRPr="00E06C44" w:rsidRDefault="00E06C44" w:rsidP="00E06C44">
      <w:pPr>
        <w:pStyle w:val="BodyText"/>
      </w:pPr>
      <w:r w:rsidRPr="00E06C44">
        <w:t xml:space="preserve">Empowering the Commission to identify respondents would address a key barrier to reporting vilification, support the more effective resolution of disputes, and improve redress for people who experience hate in the community. </w:t>
      </w:r>
    </w:p>
    <w:tbl>
      <w:tblPr>
        <w:tblStyle w:val="CustomTablerecommendationsbox"/>
        <w:tblW w:w="0" w:type="auto"/>
        <w:tblLook w:val="04A0" w:firstRow="1" w:lastRow="0" w:firstColumn="1" w:lastColumn="0" w:noHBand="0" w:noVBand="1"/>
      </w:tblPr>
      <w:tblGrid>
        <w:gridCol w:w="9061"/>
      </w:tblGrid>
      <w:tr w:rsidR="00E06C44" w14:paraId="756080BB" w14:textId="77777777" w:rsidTr="002B156B">
        <w:tc>
          <w:tcPr>
            <w:tcW w:w="9061" w:type="dxa"/>
          </w:tcPr>
          <w:p w14:paraId="5EF68D9A" w14:textId="77777777" w:rsidR="00E06C44" w:rsidRPr="00E06C44" w:rsidRDefault="00E06C44" w:rsidP="00C67716">
            <w:pPr>
              <w:pStyle w:val="RecommendationList"/>
              <w:numPr>
                <w:ilvl w:val="1"/>
                <w:numId w:val="31"/>
              </w:numPr>
            </w:pPr>
          </w:p>
          <w:p w14:paraId="33A33CAA" w14:textId="77777777" w:rsidR="00E06C44" w:rsidRPr="00E06C44" w:rsidRDefault="00E06C44" w:rsidP="00E06C44">
            <w:pPr>
              <w:pStyle w:val="BodyText"/>
            </w:pPr>
            <w:r w:rsidRPr="00E06C44">
              <w:t xml:space="preserve">The Victorian Government should empower the Victorian Equal Opportunity and Human Rights Commission to: </w:t>
            </w:r>
          </w:p>
          <w:p w14:paraId="185B18EE" w14:textId="77777777" w:rsidR="00E06C44" w:rsidRPr="00E06C44" w:rsidRDefault="00E06C44" w:rsidP="00E06C44">
            <w:pPr>
              <w:pStyle w:val="ListBullet"/>
              <w:numPr>
                <w:ilvl w:val="0"/>
                <w:numId w:val="3"/>
              </w:numPr>
            </w:pPr>
            <w:r w:rsidRPr="00E06C44">
              <w:t xml:space="preserve">direct a person (including natural and non-natural persons) to provide information or produce a document that is relevant to a complaint </w:t>
            </w:r>
          </w:p>
          <w:p w14:paraId="79D82DC3" w14:textId="77777777" w:rsidR="00E06C44" w:rsidRPr="00E06C44" w:rsidRDefault="00E06C44" w:rsidP="00E06C44">
            <w:pPr>
              <w:pStyle w:val="ListBullet"/>
              <w:numPr>
                <w:ilvl w:val="0"/>
                <w:numId w:val="3"/>
              </w:numPr>
            </w:pPr>
            <w:r w:rsidRPr="00E06C44">
              <w:t>enforce a direction by filing it with the Victorian Civil and Administrative Tribunal (which would then be enforceable as if it were an order of the Tribunal).</w:t>
            </w:r>
          </w:p>
        </w:tc>
      </w:tr>
    </w:tbl>
    <w:p w14:paraId="11F0A483" w14:textId="79995F93" w:rsidR="0049703E" w:rsidRPr="0049703E" w:rsidRDefault="003551E1" w:rsidP="00E06C44">
      <w:pPr>
        <w:pStyle w:val="Heading3"/>
      </w:pPr>
      <w:r>
        <w:t xml:space="preserve">The Act should allow </w:t>
      </w:r>
      <w:r w:rsidR="00E12226">
        <w:t xml:space="preserve">anonymous </w:t>
      </w:r>
      <w:r w:rsidR="00152C5D">
        <w:t>representative complaints</w:t>
      </w:r>
      <w:r>
        <w:t xml:space="preserve"> </w:t>
      </w:r>
    </w:p>
    <w:p w14:paraId="062F700C" w14:textId="17759F4C" w:rsidR="0063008F" w:rsidRDefault="00412A91" w:rsidP="0049703E">
      <w:pPr>
        <w:pStyle w:val="BodyText"/>
      </w:pPr>
      <w:r>
        <w:t xml:space="preserve">As set out in </w:t>
      </w:r>
      <w:r w:rsidR="00F214B9">
        <w:t>part</w:t>
      </w:r>
      <w:r w:rsidR="00E06C44">
        <w:t xml:space="preserve"> 4.2.2, </w:t>
      </w:r>
      <w:r>
        <w:t xml:space="preserve">the </w:t>
      </w:r>
      <w:r w:rsidR="00327A10">
        <w:t xml:space="preserve">RRTA does not currently allow a representative body to bring a dispute to the Commission on behalf of an anonymous complainant. </w:t>
      </w:r>
    </w:p>
    <w:p w14:paraId="67D9E2F6" w14:textId="25F42ADE" w:rsidR="00351D2B" w:rsidRPr="00351D2B" w:rsidRDefault="0063008F" w:rsidP="00351D2B">
      <w:pPr>
        <w:pStyle w:val="BodyText"/>
      </w:pPr>
      <w:r>
        <w:t xml:space="preserve">The Commission considers that the </w:t>
      </w:r>
      <w:r w:rsidR="007E5EE8">
        <w:t>Act</w:t>
      </w:r>
      <w:r>
        <w:t xml:space="preserve"> should be amended to allow </w:t>
      </w:r>
      <w:r w:rsidR="00F8788E">
        <w:t>representative complaints without the need to name individual complainants</w:t>
      </w:r>
      <w:r w:rsidR="00351D2B">
        <w:t xml:space="preserve"> or for individual </w:t>
      </w:r>
      <w:r w:rsidR="00351D2B" w:rsidRPr="00351D2B">
        <w:t>consent for the application to be made by the representative. If the Commission is satisfied that the representative body has sufficient interest in the application and identifies systemic issues affecting a broad section of a workforce</w:t>
      </w:r>
      <w:r w:rsidR="00351D2B">
        <w:t>,</w:t>
      </w:r>
      <w:r w:rsidR="00351D2B" w:rsidRPr="00351D2B">
        <w:t xml:space="preserve"> for example, then this should be sufficient to seek and offer dispute resolution. </w:t>
      </w:r>
    </w:p>
    <w:p w14:paraId="2A29962E" w14:textId="3D8C7878" w:rsidR="00672998" w:rsidRDefault="00F8788E" w:rsidP="0049703E">
      <w:pPr>
        <w:pStyle w:val="BodyText"/>
      </w:pPr>
      <w:r>
        <w:t xml:space="preserve">This would help to </w:t>
      </w:r>
      <w:r w:rsidR="0063008F">
        <w:t xml:space="preserve">strengthen enforcement of the </w:t>
      </w:r>
      <w:r w:rsidR="002A71D5">
        <w:t>A</w:t>
      </w:r>
      <w:r w:rsidR="0063008F">
        <w:t>ct, encourage reporting</w:t>
      </w:r>
      <w:r w:rsidR="00EA2831">
        <w:t>, alleviate the fear of victimisation</w:t>
      </w:r>
      <w:r w:rsidR="0063008F">
        <w:t xml:space="preserve"> and improve redress for people who experience vilification</w:t>
      </w:r>
      <w:r>
        <w:t xml:space="preserve">. </w:t>
      </w:r>
    </w:p>
    <w:p w14:paraId="354D2E99" w14:textId="42101655" w:rsidR="0049703E" w:rsidRDefault="00F8788E" w:rsidP="00F8788E">
      <w:pPr>
        <w:pStyle w:val="BodyText"/>
      </w:pPr>
      <w:r>
        <w:t xml:space="preserve">For example, </w:t>
      </w:r>
      <w:r w:rsidR="00413EEF">
        <w:t xml:space="preserve">under s 46PB of the </w:t>
      </w:r>
      <w:r w:rsidR="00413EEF" w:rsidRPr="00EA2831">
        <w:rPr>
          <w:rStyle w:val="Characteritalic"/>
        </w:rPr>
        <w:t>Australian Human Rights Commission Act 1986</w:t>
      </w:r>
      <w:r w:rsidR="00413EEF">
        <w:t xml:space="preserve"> (Cth), a representative complaint can be made to the Australian Human Rights Commission that </w:t>
      </w:r>
      <w:r w:rsidR="00EA2831">
        <w:t xml:space="preserve">‘describes or otherwise identifies the class members’ without </w:t>
      </w:r>
      <w:r w:rsidR="0083167A">
        <w:t xml:space="preserve">the need to name individual complainants. </w:t>
      </w:r>
    </w:p>
    <w:tbl>
      <w:tblPr>
        <w:tblStyle w:val="CustomTablerecommendationsbox"/>
        <w:tblW w:w="0" w:type="auto"/>
        <w:tblLook w:val="04A0" w:firstRow="1" w:lastRow="0" w:firstColumn="1" w:lastColumn="0" w:noHBand="0" w:noVBand="1"/>
      </w:tblPr>
      <w:tblGrid>
        <w:gridCol w:w="9061"/>
      </w:tblGrid>
      <w:tr w:rsidR="0083167A" w14:paraId="08473CE5" w14:textId="77777777" w:rsidTr="0083167A">
        <w:tc>
          <w:tcPr>
            <w:tcW w:w="9061" w:type="dxa"/>
          </w:tcPr>
          <w:p w14:paraId="0643BEAE" w14:textId="77777777" w:rsidR="0083167A" w:rsidRDefault="0083167A" w:rsidP="0083167A">
            <w:pPr>
              <w:pStyle w:val="RecommendationList"/>
            </w:pPr>
          </w:p>
          <w:p w14:paraId="4AE0B16D" w14:textId="268A470D" w:rsidR="00AF314A" w:rsidRDefault="005A583D" w:rsidP="0083167A">
            <w:pPr>
              <w:pStyle w:val="BodyText"/>
            </w:pPr>
            <w:r w:rsidRPr="005A583D">
              <w:t>The Victorian Government should amend s</w:t>
            </w:r>
            <w:r w:rsidR="00397ED8">
              <w:t>ection</w:t>
            </w:r>
            <w:r w:rsidRPr="005A583D">
              <w:t xml:space="preserve"> 20 of the </w:t>
            </w:r>
            <w:r w:rsidRPr="005A583D">
              <w:rPr>
                <w:rStyle w:val="Characteritalic"/>
              </w:rPr>
              <w:t>Racial and Religious Tolerance Act 2001</w:t>
            </w:r>
            <w:r w:rsidRPr="005A583D">
              <w:t xml:space="preserve"> (Vic) to enable a representative complaint to be made without the need to name an individual complainant.</w:t>
            </w:r>
          </w:p>
          <w:p w14:paraId="24D130BB" w14:textId="1FEC9733" w:rsidR="00AF314A" w:rsidRPr="0083167A" w:rsidRDefault="00AF314A" w:rsidP="0083167A">
            <w:pPr>
              <w:pStyle w:val="BodyText"/>
            </w:pPr>
            <w:r w:rsidRPr="00AF314A">
              <w:t xml:space="preserve">For consistency, amendments to section 114 of the </w:t>
            </w:r>
            <w:r w:rsidRPr="00AF314A">
              <w:rPr>
                <w:rStyle w:val="Characteritalic"/>
              </w:rPr>
              <w:t>Equal Opportunity Act 2010</w:t>
            </w:r>
            <w:r w:rsidRPr="00AF314A">
              <w:t xml:space="preserve"> (Vic) should be made to enable a representative complaint to be made without the need to name an individual complainant or for individual consent for the purposes of discrimination law.</w:t>
            </w:r>
          </w:p>
        </w:tc>
      </w:tr>
    </w:tbl>
    <w:p w14:paraId="112D3F52" w14:textId="2C4A4DB0" w:rsidR="00E1229D" w:rsidRDefault="00E1229D" w:rsidP="00262EB5">
      <w:pPr>
        <w:pStyle w:val="Heading2"/>
      </w:pPr>
      <w:bookmarkStart w:id="35" w:name="_Toc31392347"/>
      <w:r>
        <w:t>Strengthening criminal enforcement</w:t>
      </w:r>
      <w:bookmarkEnd w:id="35"/>
      <w:r>
        <w:t xml:space="preserve"> </w:t>
      </w:r>
    </w:p>
    <w:p w14:paraId="635ACEBD" w14:textId="6DB2B5B6" w:rsidR="00E3167B" w:rsidRPr="00E3167B" w:rsidRDefault="00E3167B" w:rsidP="00E1229D">
      <w:pPr>
        <w:pStyle w:val="Heading3"/>
      </w:pPr>
      <w:r w:rsidRPr="00E3167B">
        <w:t xml:space="preserve">The </w:t>
      </w:r>
      <w:r w:rsidR="00235733">
        <w:t xml:space="preserve">serious vilification </w:t>
      </w:r>
      <w:r w:rsidR="00930375">
        <w:t>offences should be moved to the Crimes Act</w:t>
      </w:r>
      <w:r w:rsidRPr="00E3167B">
        <w:t xml:space="preserve"> </w:t>
      </w:r>
    </w:p>
    <w:p w14:paraId="76B48E6D" w14:textId="4C2C0C3D" w:rsidR="00BE7381" w:rsidRDefault="00BE7381" w:rsidP="00E3167B">
      <w:pPr>
        <w:pStyle w:val="BodyText"/>
      </w:pPr>
      <w:r>
        <w:t>As set out in par</w:t>
      </w:r>
      <w:r w:rsidR="00254019">
        <w:t>t 4.2.4,</w:t>
      </w:r>
      <w:r>
        <w:t xml:space="preserve"> Victoria Police has identified th</w:t>
      </w:r>
      <w:r w:rsidR="00FB6DB0">
        <w:t xml:space="preserve">at the location of the serious vilification offences in the RRTA is a barrier to prosecution. Victoria Police </w:t>
      </w:r>
      <w:r w:rsidR="00480903">
        <w:t xml:space="preserve">suggested that moving the </w:t>
      </w:r>
      <w:r w:rsidR="00D64358">
        <w:t>offences</w:t>
      </w:r>
      <w:r w:rsidR="00480903">
        <w:t xml:space="preserve"> to the </w:t>
      </w:r>
      <w:r w:rsidR="00480903" w:rsidRPr="00480903">
        <w:rPr>
          <w:rStyle w:val="Characteritalic"/>
        </w:rPr>
        <w:t>Crimes Act 1958</w:t>
      </w:r>
      <w:r w:rsidR="00480903">
        <w:t xml:space="preserve"> (Vic) would </w:t>
      </w:r>
      <w:r w:rsidR="00D64358">
        <w:t xml:space="preserve">increase visibility of the offences and </w:t>
      </w:r>
      <w:r w:rsidR="00480903">
        <w:t xml:space="preserve">make it clear to police that </w:t>
      </w:r>
      <w:r w:rsidR="00D64358">
        <w:t>serious vilification is a crime.</w:t>
      </w:r>
      <w:r w:rsidR="00D64358">
        <w:rPr>
          <w:rStyle w:val="EndnoteReference"/>
        </w:rPr>
        <w:endnoteReference w:id="343"/>
      </w:r>
      <w:r w:rsidR="002A71D5">
        <w:t xml:space="preserve"> This position was consistently supported by the stakeholders we consulted with.</w:t>
      </w:r>
    </w:p>
    <w:p w14:paraId="0E86B073" w14:textId="0C035B67" w:rsidR="003A0A47" w:rsidRDefault="003A0A47" w:rsidP="00E3167B">
      <w:pPr>
        <w:pStyle w:val="BodyText"/>
      </w:pPr>
      <w:r>
        <w:t>In line with reforms in NSW (</w:t>
      </w:r>
      <w:r w:rsidR="00DB1EA4">
        <w:t xml:space="preserve">part </w:t>
      </w:r>
      <w:r w:rsidR="008A7DA0">
        <w:t>5.3.4</w:t>
      </w:r>
      <w:r>
        <w:t xml:space="preserve">), </w:t>
      </w:r>
      <w:r w:rsidR="00E002B0">
        <w:t xml:space="preserve">the </w:t>
      </w:r>
      <w:r w:rsidR="00DC0486">
        <w:t xml:space="preserve">reformed </w:t>
      </w:r>
      <w:r w:rsidR="00E002B0">
        <w:t xml:space="preserve">serious vilification offences should be moved to the </w:t>
      </w:r>
      <w:r w:rsidR="00E002B0" w:rsidRPr="00E002B0">
        <w:rPr>
          <w:rStyle w:val="Characteritalic"/>
        </w:rPr>
        <w:t>Crimes Act 1958</w:t>
      </w:r>
      <w:r w:rsidR="00E002B0" w:rsidRPr="00E002B0">
        <w:t xml:space="preserve"> (Vic)</w:t>
      </w:r>
      <w:r w:rsidR="00DC0486">
        <w:t xml:space="preserve"> to support the more effective prosecution of hate crime. </w:t>
      </w:r>
      <w:r w:rsidR="008D0C89">
        <w:t xml:space="preserve">Importantly, </w:t>
      </w:r>
      <w:r w:rsidR="008A7DA0">
        <w:t>the criminal offences</w:t>
      </w:r>
      <w:r w:rsidR="008D0C89">
        <w:t xml:space="preserve"> need to ‘look, read and feel like a criminal offence rather than a civil hate speech provision’.</w:t>
      </w:r>
      <w:r w:rsidR="008D0C89">
        <w:rPr>
          <w:rStyle w:val="EndnoteReference"/>
        </w:rPr>
        <w:endnoteReference w:id="344"/>
      </w:r>
      <w:r w:rsidR="00772BAA">
        <w:t xml:space="preserve"> </w:t>
      </w:r>
    </w:p>
    <w:p w14:paraId="5726259A" w14:textId="208B8BDB" w:rsidR="00743F04" w:rsidRDefault="005364D5" w:rsidP="00E3167B">
      <w:pPr>
        <w:pStyle w:val="BodyText"/>
      </w:pPr>
      <w:r>
        <w:lastRenderedPageBreak/>
        <w:t>The Commission also considers that the EOA should</w:t>
      </w:r>
      <w:r w:rsidR="00D4295C">
        <w:t xml:space="preserve"> include a reference to: </w:t>
      </w:r>
    </w:p>
    <w:p w14:paraId="3F8B1696" w14:textId="659E8320" w:rsidR="00743F04" w:rsidRDefault="00AB26A3" w:rsidP="003951A1">
      <w:pPr>
        <w:pStyle w:val="ListBullet"/>
      </w:pPr>
      <w:r>
        <w:t xml:space="preserve">the offences in the </w:t>
      </w:r>
      <w:r w:rsidRPr="00AB26A3">
        <w:rPr>
          <w:rStyle w:val="Characteritalic"/>
        </w:rPr>
        <w:t>Crimes Act 1958</w:t>
      </w:r>
      <w:r w:rsidRPr="00AB26A3">
        <w:t xml:space="preserve"> (Vic)</w:t>
      </w:r>
    </w:p>
    <w:p w14:paraId="5CAD7A83" w14:textId="48EBA7BD" w:rsidR="00D4295C" w:rsidRDefault="00D4295C" w:rsidP="003951A1">
      <w:pPr>
        <w:pStyle w:val="ListBullet"/>
      </w:pPr>
      <w:r>
        <w:t xml:space="preserve">the ability for the Commission and Victoria Police to cross-refer matters. </w:t>
      </w:r>
    </w:p>
    <w:p w14:paraId="5E473A69" w14:textId="6A9A05E4" w:rsidR="00BE7381" w:rsidRDefault="001D4928" w:rsidP="00E3167B">
      <w:pPr>
        <w:pStyle w:val="BodyText"/>
      </w:pPr>
      <w:r>
        <w:t>This would support greater community awareness of the serious vilification offences and</w:t>
      </w:r>
      <w:r w:rsidR="00EC59D3">
        <w:t xml:space="preserve"> promote the ability for the Commission to make a soft referral to Victoria Police </w:t>
      </w:r>
      <w:r w:rsidR="00963204">
        <w:t xml:space="preserve">on behalf of a person who experiences hate crime in appropriate circumstances. </w:t>
      </w:r>
    </w:p>
    <w:tbl>
      <w:tblPr>
        <w:tblStyle w:val="CustomTablerecommendationsbox"/>
        <w:tblW w:w="0" w:type="auto"/>
        <w:tblLook w:val="04A0" w:firstRow="1" w:lastRow="0" w:firstColumn="1" w:lastColumn="0" w:noHBand="0" w:noVBand="1"/>
      </w:tblPr>
      <w:tblGrid>
        <w:gridCol w:w="9061"/>
      </w:tblGrid>
      <w:tr w:rsidR="009E57C0" w14:paraId="7BA640ED" w14:textId="77777777" w:rsidTr="009E57C0">
        <w:tc>
          <w:tcPr>
            <w:tcW w:w="9061" w:type="dxa"/>
          </w:tcPr>
          <w:p w14:paraId="0BC9BC13" w14:textId="77777777" w:rsidR="009E57C0" w:rsidRDefault="009E57C0" w:rsidP="009E57C0">
            <w:pPr>
              <w:pStyle w:val="RecommendationList"/>
            </w:pPr>
          </w:p>
          <w:p w14:paraId="032352E3" w14:textId="77777777" w:rsidR="005A583D" w:rsidRPr="005A583D" w:rsidRDefault="005A583D" w:rsidP="005A583D">
            <w:pPr>
              <w:pStyle w:val="BodyText"/>
            </w:pPr>
            <w:r w:rsidRPr="005A583D">
              <w:t xml:space="preserve">The Victorian Government should move the serious vilification offences from the </w:t>
            </w:r>
            <w:r w:rsidRPr="005A583D">
              <w:rPr>
                <w:rStyle w:val="Characteritalic"/>
              </w:rPr>
              <w:t>Racial and Religious Tolerance Act 2001</w:t>
            </w:r>
            <w:r w:rsidRPr="005A583D">
              <w:t xml:space="preserve"> (Vic) to the </w:t>
            </w:r>
            <w:r w:rsidRPr="005A583D">
              <w:rPr>
                <w:rStyle w:val="Characteritalic"/>
              </w:rPr>
              <w:t>Crimes Act 1958</w:t>
            </w:r>
            <w:r w:rsidRPr="005A583D">
              <w:t xml:space="preserve"> (Vic). </w:t>
            </w:r>
          </w:p>
          <w:p w14:paraId="7D2F6FF4" w14:textId="77777777" w:rsidR="005A583D" w:rsidRPr="005A583D" w:rsidRDefault="005A583D" w:rsidP="005A583D">
            <w:pPr>
              <w:pStyle w:val="BodyText"/>
            </w:pPr>
            <w:r w:rsidRPr="005A583D">
              <w:t xml:space="preserve">The </w:t>
            </w:r>
            <w:r w:rsidRPr="005A583D">
              <w:rPr>
                <w:rStyle w:val="Characteritalic"/>
              </w:rPr>
              <w:t>Equal Opportunity Act 2010</w:t>
            </w:r>
            <w:r w:rsidRPr="005A583D">
              <w:t xml:space="preserve"> (Vic) should include a reference to: </w:t>
            </w:r>
          </w:p>
          <w:p w14:paraId="1FE6EB44" w14:textId="77777777" w:rsidR="005A583D" w:rsidRPr="005A583D" w:rsidRDefault="005A583D" w:rsidP="005A583D">
            <w:pPr>
              <w:pStyle w:val="ListBullet"/>
              <w:numPr>
                <w:ilvl w:val="0"/>
                <w:numId w:val="3"/>
              </w:numPr>
            </w:pPr>
            <w:r w:rsidRPr="005A583D">
              <w:t xml:space="preserve">the offences in the </w:t>
            </w:r>
            <w:r w:rsidRPr="005A583D">
              <w:rPr>
                <w:rStyle w:val="Characteritalic"/>
              </w:rPr>
              <w:t>Crimes Act 1958</w:t>
            </w:r>
            <w:r w:rsidRPr="005A583D">
              <w:t xml:space="preserve"> (Vic)</w:t>
            </w:r>
          </w:p>
          <w:p w14:paraId="78DC5169" w14:textId="77777777" w:rsidR="005A583D" w:rsidRPr="005A583D" w:rsidRDefault="005A583D" w:rsidP="005A583D">
            <w:pPr>
              <w:pStyle w:val="ListBullet"/>
              <w:numPr>
                <w:ilvl w:val="0"/>
                <w:numId w:val="3"/>
              </w:numPr>
            </w:pPr>
            <w:r w:rsidRPr="005A583D">
              <w:t>the ability for the Commission and Victoria Police to cross-refer matters.</w:t>
            </w:r>
          </w:p>
          <w:p w14:paraId="6713BF7E" w14:textId="11264972" w:rsidR="003117C3" w:rsidRPr="009E57C0" w:rsidRDefault="005A583D" w:rsidP="008A0D47">
            <w:pPr>
              <w:pStyle w:val="BodyText"/>
            </w:pPr>
            <w:r w:rsidRPr="005A583D">
              <w:t>Alternatively, if Victoria’s vilification laws remain in a standalone Act, the relevant Act should refer to the same matters listed above.</w:t>
            </w:r>
          </w:p>
        </w:tc>
      </w:tr>
    </w:tbl>
    <w:p w14:paraId="36F06CD2" w14:textId="78A056C8" w:rsidR="00721010" w:rsidRPr="00143A5A" w:rsidRDefault="00930375" w:rsidP="00143A5A">
      <w:pPr>
        <w:pStyle w:val="Heading3"/>
        <w:rPr>
          <w:rStyle w:val="Characterclear"/>
          <w:sz w:val="28"/>
        </w:rPr>
      </w:pPr>
      <w:r w:rsidRPr="00143A5A">
        <w:rPr>
          <w:rStyle w:val="Characterclear"/>
          <w:sz w:val="28"/>
        </w:rPr>
        <w:t xml:space="preserve">The penalties for serious vilification should be increased </w:t>
      </w:r>
    </w:p>
    <w:p w14:paraId="3D8B73CE" w14:textId="0338F778" w:rsidR="0049703E" w:rsidRPr="0049703E" w:rsidRDefault="000F2BCB" w:rsidP="00143A5A">
      <w:pPr>
        <w:pStyle w:val="BodyText"/>
      </w:pPr>
      <w:r>
        <w:t>As set out in part</w:t>
      </w:r>
      <w:r w:rsidR="00772BAA">
        <w:t xml:space="preserve"> </w:t>
      </w:r>
      <w:r w:rsidR="007520A0">
        <w:t>4.3.1</w:t>
      </w:r>
      <w:r>
        <w:t xml:space="preserve">, the penalties for serious racial and religious vilification under the RRTA are out of step with penalties for comparative offences in Australia and alternative offences used by police to prosecute hate crimes. </w:t>
      </w:r>
      <w:r w:rsidR="003B6ED3" w:rsidRPr="00CE55F7">
        <w:t xml:space="preserve">The </w:t>
      </w:r>
      <w:r>
        <w:t xml:space="preserve">Commission considers that the </w:t>
      </w:r>
      <w:r w:rsidR="003B6ED3" w:rsidRPr="00CE55F7">
        <w:t>penal</w:t>
      </w:r>
      <w:r w:rsidR="00143A5A">
        <w:t>ties</w:t>
      </w:r>
      <w:r w:rsidR="003B6ED3" w:rsidRPr="00CE55F7">
        <w:t xml:space="preserve"> for </w:t>
      </w:r>
      <w:r>
        <w:t xml:space="preserve">serious vilification </w:t>
      </w:r>
      <w:r w:rsidR="003B6ED3" w:rsidRPr="00CE55F7">
        <w:t xml:space="preserve">should be increased in line with comparable offences in Victoria and other </w:t>
      </w:r>
      <w:r w:rsidR="00143A5A">
        <w:t xml:space="preserve">Australian </w:t>
      </w:r>
      <w:r w:rsidR="003B6ED3" w:rsidRPr="00CE55F7">
        <w:t>jurisdictions.</w:t>
      </w:r>
    </w:p>
    <w:tbl>
      <w:tblPr>
        <w:tblStyle w:val="CustomTablerecommendationsbox"/>
        <w:tblW w:w="0" w:type="auto"/>
        <w:tblLook w:val="04A0" w:firstRow="1" w:lastRow="0" w:firstColumn="1" w:lastColumn="0" w:noHBand="0" w:noVBand="1"/>
      </w:tblPr>
      <w:tblGrid>
        <w:gridCol w:w="9061"/>
      </w:tblGrid>
      <w:tr w:rsidR="0049703E" w:rsidRPr="0049703E" w14:paraId="3E2C28C2" w14:textId="77777777" w:rsidTr="002F6675">
        <w:tc>
          <w:tcPr>
            <w:tcW w:w="9061" w:type="dxa"/>
          </w:tcPr>
          <w:p w14:paraId="29E6867F" w14:textId="77777777" w:rsidR="0049703E" w:rsidRPr="0049703E" w:rsidRDefault="0049703E" w:rsidP="00943E04">
            <w:pPr>
              <w:pStyle w:val="RecommendationList"/>
            </w:pPr>
          </w:p>
          <w:p w14:paraId="0BC275C1" w14:textId="1E3CD56B" w:rsidR="0049703E" w:rsidRPr="0049703E" w:rsidRDefault="00943E04" w:rsidP="0049703E">
            <w:pPr>
              <w:pStyle w:val="BodyText"/>
            </w:pPr>
            <w:r>
              <w:t xml:space="preserve">The Victorian Government should increase the penalties for serious vilification in line with comparable offences in Victoria and other Australian jurisdictions. </w:t>
            </w:r>
            <w:r w:rsidR="0049703E" w:rsidRPr="0049703E">
              <w:t xml:space="preserve"> </w:t>
            </w:r>
          </w:p>
        </w:tc>
      </w:tr>
    </w:tbl>
    <w:p w14:paraId="05085135" w14:textId="6FEF492D" w:rsidR="0049703E" w:rsidRDefault="00143A5A" w:rsidP="00A65ADF">
      <w:pPr>
        <w:pStyle w:val="Heading2"/>
      </w:pPr>
      <w:bookmarkStart w:id="36" w:name="_Toc31392348"/>
      <w:r>
        <w:t>Shifting the burden of enforcement</w:t>
      </w:r>
      <w:bookmarkEnd w:id="36"/>
      <w:r>
        <w:t xml:space="preserve"> </w:t>
      </w:r>
    </w:p>
    <w:p w14:paraId="49AC8E16" w14:textId="669AF5E5" w:rsidR="004E59A1" w:rsidRDefault="004F5149" w:rsidP="004F5149">
      <w:pPr>
        <w:pStyle w:val="BodyText"/>
      </w:pPr>
      <w:r>
        <w:t>As set out in part</w:t>
      </w:r>
      <w:r w:rsidR="00423EBC">
        <w:t xml:space="preserve"> 4.2.3,</w:t>
      </w:r>
      <w:r>
        <w:t xml:space="preserve"> the burden of enforcement under the RRTA is on individuals who experience vilification. </w:t>
      </w:r>
      <w:r w:rsidR="00BB0854">
        <w:t xml:space="preserve">The Commission considers that </w:t>
      </w:r>
      <w:r w:rsidR="006E203C">
        <w:t xml:space="preserve">the burden </w:t>
      </w:r>
      <w:r w:rsidR="00CD62C8">
        <w:t xml:space="preserve">of enforcement </w:t>
      </w:r>
      <w:r w:rsidR="00625E52">
        <w:t>should be shifted</w:t>
      </w:r>
      <w:r w:rsidR="004E59A1">
        <w:t xml:space="preserve"> from individuals by: </w:t>
      </w:r>
    </w:p>
    <w:p w14:paraId="345A2C69" w14:textId="201C3AE9" w:rsidR="00390A62" w:rsidRDefault="00DE408A" w:rsidP="00390A62">
      <w:pPr>
        <w:pStyle w:val="ListBullet"/>
        <w:numPr>
          <w:ilvl w:val="0"/>
          <w:numId w:val="3"/>
        </w:numPr>
      </w:pPr>
      <w:r>
        <w:t xml:space="preserve">extending </w:t>
      </w:r>
      <w:r w:rsidR="00390A62" w:rsidRPr="00390A62">
        <w:t>the Commission’s functions and powers to the regulation of vilification (part</w:t>
      </w:r>
      <w:r w:rsidR="00423EBC">
        <w:t xml:space="preserve"> 5.6.1)</w:t>
      </w:r>
    </w:p>
    <w:p w14:paraId="638AA1D1" w14:textId="76A96564" w:rsidR="00DE408A" w:rsidRDefault="00DE408A" w:rsidP="00390A62">
      <w:pPr>
        <w:pStyle w:val="ListBullet"/>
        <w:numPr>
          <w:ilvl w:val="0"/>
          <w:numId w:val="3"/>
        </w:numPr>
      </w:pPr>
      <w:r>
        <w:t xml:space="preserve">reinstating and strengthening the Commission’s full range of regulatory powers and functions </w:t>
      </w:r>
      <w:r w:rsidRPr="00DE408A">
        <w:t>(part</w:t>
      </w:r>
      <w:r w:rsidR="00423EBC">
        <w:t xml:space="preserve"> 5.6.2)</w:t>
      </w:r>
    </w:p>
    <w:p w14:paraId="111A1279" w14:textId="2C1DB943" w:rsidR="006E1784" w:rsidRDefault="00DE408A" w:rsidP="006E1784">
      <w:pPr>
        <w:pStyle w:val="ListBullet"/>
        <w:numPr>
          <w:ilvl w:val="0"/>
          <w:numId w:val="3"/>
        </w:numPr>
      </w:pPr>
      <w:r>
        <w:t xml:space="preserve">extending </w:t>
      </w:r>
      <w:r w:rsidR="006E1784" w:rsidRPr="006E1784">
        <w:t xml:space="preserve">the positive duty under the EOA to </w:t>
      </w:r>
      <w:r w:rsidR="00700E2F">
        <w:t xml:space="preserve">the regulation of vilification </w:t>
      </w:r>
      <w:r w:rsidR="006E1784" w:rsidRPr="006E1784">
        <w:t>(par</w:t>
      </w:r>
      <w:r w:rsidR="00423EBC">
        <w:t xml:space="preserve">t 5.6.3). </w:t>
      </w:r>
    </w:p>
    <w:p w14:paraId="3A2BD583" w14:textId="03939A89" w:rsidR="00134E7E" w:rsidRDefault="00134E7E" w:rsidP="00134E7E">
      <w:pPr>
        <w:pStyle w:val="BodyText"/>
      </w:pPr>
      <w:r>
        <w:t>Empowering the Commission with strengthened functions and powers was supported by all stakeholders in the Commission’s consultations</w:t>
      </w:r>
      <w:r w:rsidR="00A73161">
        <w:t xml:space="preserve"> as an important way to address systemic hate in the community. </w:t>
      </w:r>
    </w:p>
    <w:p w14:paraId="21063F0F" w14:textId="56912D47" w:rsidR="004F5149" w:rsidRDefault="00FF002B" w:rsidP="00FF002B">
      <w:pPr>
        <w:pStyle w:val="Heading3"/>
      </w:pPr>
      <w:r>
        <w:lastRenderedPageBreak/>
        <w:t xml:space="preserve">The Commission’s functions and powers should apply to vilification </w:t>
      </w:r>
    </w:p>
    <w:p w14:paraId="2E4301D6" w14:textId="3AD6AA0D" w:rsidR="00713272" w:rsidRDefault="00261A4D" w:rsidP="00713272">
      <w:pPr>
        <w:pStyle w:val="BodyText"/>
      </w:pPr>
      <w:r>
        <w:t>The Commission has a limited range of functions that apply to vilification including an education function, dispute resolution function and reporting functions.</w:t>
      </w:r>
      <w:r>
        <w:rPr>
          <w:rStyle w:val="EndnoteReference"/>
        </w:rPr>
        <w:endnoteReference w:id="345"/>
      </w:r>
      <w:r w:rsidR="0085331B">
        <w:t xml:space="preserve"> </w:t>
      </w:r>
      <w:r w:rsidR="00B870F5">
        <w:t>The Commission also provides information about the RRTA as part of its</w:t>
      </w:r>
      <w:r w:rsidR="000D2CD3">
        <w:t xml:space="preserve"> Enquiry Line. </w:t>
      </w:r>
    </w:p>
    <w:p w14:paraId="58467A41" w14:textId="5B3EBF7C" w:rsidR="000D2CD3" w:rsidRDefault="003623E5" w:rsidP="00713272">
      <w:pPr>
        <w:pStyle w:val="BodyText"/>
      </w:pPr>
      <w:r>
        <w:t xml:space="preserve">The Commission considers that the full range of its functions </w:t>
      </w:r>
      <w:r w:rsidR="00F435A9">
        <w:t>under the EOA should apply to vilification. This includes the Commission’s</w:t>
      </w:r>
      <w:r w:rsidR="003C1D5A">
        <w:t xml:space="preserve"> functions to: </w:t>
      </w:r>
    </w:p>
    <w:p w14:paraId="3898228F" w14:textId="1A212741" w:rsidR="00F435A9" w:rsidRDefault="003C1D5A" w:rsidP="004D6176">
      <w:pPr>
        <w:pStyle w:val="ListBullet"/>
      </w:pPr>
      <w:r>
        <w:t>issue practice guidelines</w:t>
      </w:r>
      <w:r w:rsidR="006B09A1">
        <w:rPr>
          <w:rStyle w:val="EndnoteReference"/>
        </w:rPr>
        <w:endnoteReference w:id="346"/>
      </w:r>
    </w:p>
    <w:p w14:paraId="252EC5B9" w14:textId="02B46C79" w:rsidR="003C1D5A" w:rsidRDefault="003C1D5A" w:rsidP="004D6176">
      <w:pPr>
        <w:pStyle w:val="ListBullet"/>
      </w:pPr>
      <w:r>
        <w:t>undertake research</w:t>
      </w:r>
      <w:r w:rsidR="00CA2E09">
        <w:rPr>
          <w:rStyle w:val="EndnoteReference"/>
        </w:rPr>
        <w:endnoteReference w:id="347"/>
      </w:r>
      <w:r>
        <w:t xml:space="preserve"> </w:t>
      </w:r>
    </w:p>
    <w:p w14:paraId="096A275E" w14:textId="30797347" w:rsidR="003C1D5A" w:rsidRDefault="003C1D5A" w:rsidP="004D6176">
      <w:pPr>
        <w:pStyle w:val="ListBullet"/>
      </w:pPr>
      <w:r>
        <w:t>conduct legal interventions</w:t>
      </w:r>
      <w:r w:rsidR="00CA2E09">
        <w:rPr>
          <w:rStyle w:val="EndnoteReference"/>
        </w:rPr>
        <w:endnoteReference w:id="348"/>
      </w:r>
    </w:p>
    <w:p w14:paraId="63B7C792" w14:textId="0BCA4F3E" w:rsidR="003C1D5A" w:rsidRDefault="003C1D5A" w:rsidP="004D6176">
      <w:pPr>
        <w:pStyle w:val="ListBullet"/>
      </w:pPr>
      <w:r>
        <w:t>undertake compliance reviews</w:t>
      </w:r>
      <w:r w:rsidR="00CA2E09">
        <w:rPr>
          <w:rStyle w:val="EndnoteReference"/>
        </w:rPr>
        <w:endnoteReference w:id="349"/>
      </w:r>
      <w:r>
        <w:t xml:space="preserve"> </w:t>
      </w:r>
    </w:p>
    <w:p w14:paraId="13477177" w14:textId="6F363AA0" w:rsidR="003C1D5A" w:rsidRDefault="003C1D5A" w:rsidP="004D6176">
      <w:pPr>
        <w:pStyle w:val="ListBullet"/>
      </w:pPr>
      <w:r>
        <w:t>prepare action plans</w:t>
      </w:r>
      <w:r w:rsidR="00840758">
        <w:rPr>
          <w:rStyle w:val="EndnoteReference"/>
        </w:rPr>
        <w:endnoteReference w:id="350"/>
      </w:r>
    </w:p>
    <w:p w14:paraId="04AA5092" w14:textId="70571776" w:rsidR="003C1D5A" w:rsidRDefault="003C1D5A" w:rsidP="004D6176">
      <w:pPr>
        <w:pStyle w:val="ListBullet"/>
      </w:pPr>
      <w:r>
        <w:t>conduct investigations.</w:t>
      </w:r>
      <w:r w:rsidR="00840758">
        <w:rPr>
          <w:rStyle w:val="EndnoteReference"/>
        </w:rPr>
        <w:endnoteReference w:id="351"/>
      </w:r>
    </w:p>
    <w:p w14:paraId="5F369F55" w14:textId="4DE27C29" w:rsidR="00F60F54" w:rsidRDefault="005727D5" w:rsidP="00D54DFA">
      <w:pPr>
        <w:pStyle w:val="BodyText"/>
      </w:pPr>
      <w:r>
        <w:t xml:space="preserve">Extending the Commission’s full range of functions to vilification would be a practical and effective way of shifting the burden of enforcement </w:t>
      </w:r>
      <w:r w:rsidR="00042ACB">
        <w:t xml:space="preserve">in part </w:t>
      </w:r>
      <w:r>
        <w:t>from individuals to the Commission</w:t>
      </w:r>
      <w:r w:rsidR="008F75D3">
        <w:t xml:space="preserve">. </w:t>
      </w:r>
      <w:r w:rsidR="00795CEB">
        <w:t>It would</w:t>
      </w:r>
      <w:r>
        <w:t xml:space="preserve"> ensure that the Commission has the </w:t>
      </w:r>
      <w:r w:rsidR="008F75D3">
        <w:t>ability to</w:t>
      </w:r>
      <w:r w:rsidR="007638D1">
        <w:t xml:space="preserve"> proactively support </w:t>
      </w:r>
      <w:r w:rsidR="00E71097">
        <w:t>a better understanding of and compliance with the law</w:t>
      </w:r>
      <w:r w:rsidR="007638D1">
        <w:t xml:space="preserve">, undertake research to better understand </w:t>
      </w:r>
      <w:r w:rsidR="00776847">
        <w:t xml:space="preserve">vilification in the community, and take action </w:t>
      </w:r>
      <w:r w:rsidR="00D54DFA">
        <w:t>if required</w:t>
      </w:r>
      <w:r w:rsidR="00300C92">
        <w:t xml:space="preserve">. </w:t>
      </w:r>
    </w:p>
    <w:p w14:paraId="651D200D" w14:textId="593C693A" w:rsidR="007B3625" w:rsidRDefault="007B3625" w:rsidP="007B3625">
      <w:pPr>
        <w:pStyle w:val="Heading3"/>
      </w:pPr>
      <w:r>
        <w:t xml:space="preserve">The Commission’s full range of regulatory powers and functions should be reinstated and strengthened </w:t>
      </w:r>
    </w:p>
    <w:p w14:paraId="5C8C90C8" w14:textId="2ED8AE9D" w:rsidR="00D70393" w:rsidRDefault="00496D1F" w:rsidP="00D54DFA">
      <w:pPr>
        <w:pStyle w:val="BodyText"/>
      </w:pPr>
      <w:r>
        <w:t xml:space="preserve">In order for </w:t>
      </w:r>
      <w:r w:rsidR="009A3DF8">
        <w:t xml:space="preserve">equal opportunity and </w:t>
      </w:r>
      <w:r w:rsidR="00D5419C">
        <w:t xml:space="preserve">vilification laws to be effective, the Commission, as </w:t>
      </w:r>
      <w:r w:rsidR="00866BB3">
        <w:t xml:space="preserve">the regulator </w:t>
      </w:r>
      <w:r w:rsidR="004801C6">
        <w:t>of both laws</w:t>
      </w:r>
      <w:r w:rsidR="0066404B">
        <w:t xml:space="preserve">, requires </w:t>
      </w:r>
      <w:r w:rsidR="00780B4C">
        <w:t>sufficient</w:t>
      </w:r>
      <w:r w:rsidR="0066404B">
        <w:t xml:space="preserve"> powers to</w:t>
      </w:r>
      <w:r w:rsidR="000661DB">
        <w:t xml:space="preserve"> </w:t>
      </w:r>
      <w:r w:rsidR="00D505EC">
        <w:t>enforce them.</w:t>
      </w:r>
      <w:r w:rsidR="00D505EC">
        <w:rPr>
          <w:rStyle w:val="EndnoteReference"/>
        </w:rPr>
        <w:endnoteReference w:id="352"/>
      </w:r>
      <w:r w:rsidR="00D505EC">
        <w:t xml:space="preserve"> </w:t>
      </w:r>
      <w:r w:rsidR="00D70393">
        <w:t xml:space="preserve">Importantly, the Commission considers that </w:t>
      </w:r>
      <w:r w:rsidR="00CC1371">
        <w:t>t</w:t>
      </w:r>
      <w:r w:rsidR="00E10A2A">
        <w:t xml:space="preserve">he </w:t>
      </w:r>
      <w:r w:rsidR="00CC1371">
        <w:t xml:space="preserve">full range of </w:t>
      </w:r>
      <w:r w:rsidR="00E10A2A">
        <w:t xml:space="preserve">its </w:t>
      </w:r>
      <w:r w:rsidR="00CC1371">
        <w:t xml:space="preserve">regulatory powers and functions under the EOA </w:t>
      </w:r>
      <w:r w:rsidR="00E10A2A">
        <w:t>should be reinstated</w:t>
      </w:r>
      <w:r w:rsidR="00D06FC3">
        <w:t xml:space="preserve"> and strengthened</w:t>
      </w:r>
      <w:r w:rsidR="007B3625">
        <w:t xml:space="preserve"> to effectively regulate </w:t>
      </w:r>
      <w:r w:rsidR="00A232B5">
        <w:t>discrimination, sexual harassment, victimisation and vilification</w:t>
      </w:r>
      <w:r w:rsidR="008B0483">
        <w:t xml:space="preserve">. </w:t>
      </w:r>
    </w:p>
    <w:tbl>
      <w:tblPr>
        <w:tblStyle w:val="CustomTablebreakoutbox"/>
        <w:tblW w:w="0" w:type="auto"/>
        <w:tblLook w:val="04A0" w:firstRow="1" w:lastRow="0" w:firstColumn="1" w:lastColumn="0" w:noHBand="0" w:noVBand="1"/>
      </w:tblPr>
      <w:tblGrid>
        <w:gridCol w:w="9061"/>
      </w:tblGrid>
      <w:tr w:rsidR="00632A43" w14:paraId="4BF16BEC" w14:textId="77777777" w:rsidTr="00632A43">
        <w:tc>
          <w:tcPr>
            <w:tcW w:w="9061" w:type="dxa"/>
          </w:tcPr>
          <w:p w14:paraId="36B55D5D" w14:textId="77777777" w:rsidR="00632A43" w:rsidRDefault="00632A43" w:rsidP="00D54DFA">
            <w:pPr>
              <w:pStyle w:val="BodyText"/>
              <w:rPr>
                <w:rStyle w:val="Characterbold"/>
              </w:rPr>
            </w:pPr>
            <w:r>
              <w:rPr>
                <w:rStyle w:val="Characterbold"/>
              </w:rPr>
              <w:t xml:space="preserve">The evolution of the Commission’s powers and functions under the EOA </w:t>
            </w:r>
          </w:p>
          <w:p w14:paraId="66758C2A" w14:textId="485A486B" w:rsidR="004C0C80" w:rsidRDefault="00632A43" w:rsidP="00D54DFA">
            <w:pPr>
              <w:pStyle w:val="BodyText"/>
              <w:rPr>
                <w:rStyle w:val="Characterclear"/>
              </w:rPr>
            </w:pPr>
            <w:r>
              <w:rPr>
                <w:rStyle w:val="Characterclear"/>
              </w:rPr>
              <w:t xml:space="preserve">In 2008, former public advocate for Victoria, Julian Gardner, made recommendations to reform the </w:t>
            </w:r>
            <w:r w:rsidRPr="00423F50">
              <w:rPr>
                <w:rStyle w:val="Characteritalic"/>
              </w:rPr>
              <w:t>Equal Opportunity Act 1995</w:t>
            </w:r>
            <w:r>
              <w:rPr>
                <w:rStyle w:val="Characterclear"/>
              </w:rPr>
              <w:t xml:space="preserve"> (the predecessor to the current Act).</w:t>
            </w:r>
            <w:r w:rsidR="00FE3557">
              <w:rPr>
                <w:rStyle w:val="EndnoteReference"/>
                <w:lang w:eastAsia="en-AU"/>
              </w:rPr>
              <w:endnoteReference w:id="353"/>
            </w:r>
            <w:r>
              <w:rPr>
                <w:rStyle w:val="Characterclear"/>
              </w:rPr>
              <w:t xml:space="preserve"> </w:t>
            </w:r>
            <w:r w:rsidR="004C0C80">
              <w:rPr>
                <w:rStyle w:val="Characterclear"/>
              </w:rPr>
              <w:t>Gardner considered that the ideal regulatory model is one that is less reliant on individuals making complaints and equips the regulator</w:t>
            </w:r>
            <w:r w:rsidR="00A8324D">
              <w:rPr>
                <w:rStyle w:val="Characterclear"/>
              </w:rPr>
              <w:t xml:space="preserve"> with broad tools to facilitate and enforce </w:t>
            </w:r>
            <w:r w:rsidR="00FF7ADE">
              <w:rPr>
                <w:rStyle w:val="Characterclear"/>
              </w:rPr>
              <w:t>compliance and</w:t>
            </w:r>
            <w:r w:rsidR="00A8324D">
              <w:rPr>
                <w:rStyle w:val="Characterclear"/>
              </w:rPr>
              <w:t xml:space="preserve"> address systemic issues.</w:t>
            </w:r>
          </w:p>
          <w:p w14:paraId="6DF297DE" w14:textId="00138888" w:rsidR="00093A8D" w:rsidRDefault="00E36E9E" w:rsidP="00D54DFA">
            <w:pPr>
              <w:pStyle w:val="BodyText"/>
              <w:rPr>
                <w:rStyle w:val="Characterclear"/>
              </w:rPr>
            </w:pPr>
            <w:r>
              <w:rPr>
                <w:rStyle w:val="Characterclear"/>
              </w:rPr>
              <w:t>In 2010, the EOA 2010 was introduced and implemented many of the reforms recommended by Gardner, including introducing a positive duty requiring duty holders to proactively eliminate discrimination, sexual harassment and victimisation.</w:t>
            </w:r>
            <w:r w:rsidR="00FE3557">
              <w:rPr>
                <w:rStyle w:val="EndnoteReference"/>
                <w:lang w:eastAsia="en-AU"/>
              </w:rPr>
              <w:endnoteReference w:id="354"/>
            </w:r>
            <w:r>
              <w:rPr>
                <w:rStyle w:val="Characterclear"/>
              </w:rPr>
              <w:t xml:space="preserve"> Alongside the positive duty, were additional functions and powers </w:t>
            </w:r>
            <w:r w:rsidR="00661557">
              <w:rPr>
                <w:rStyle w:val="Characterclear"/>
              </w:rPr>
              <w:t>to</w:t>
            </w:r>
            <w:r>
              <w:rPr>
                <w:rStyle w:val="Characterclear"/>
              </w:rPr>
              <w:t xml:space="preserve"> enable the Commission to enforce the Act and address systemic issues by: </w:t>
            </w:r>
          </w:p>
          <w:p w14:paraId="1E14D52E" w14:textId="77777777" w:rsidR="00E36E9E" w:rsidRDefault="00E36E9E" w:rsidP="00780B4C">
            <w:pPr>
              <w:pStyle w:val="ListBullet"/>
              <w:rPr>
                <w:rStyle w:val="Characterclear"/>
              </w:rPr>
            </w:pPr>
            <w:r>
              <w:rPr>
                <w:rStyle w:val="Characterclear"/>
              </w:rPr>
              <w:t>allowing the Commission to conduct investigations and public inquiries</w:t>
            </w:r>
          </w:p>
          <w:p w14:paraId="4E860D79" w14:textId="77777777" w:rsidR="00E36E9E" w:rsidRDefault="00E36E9E" w:rsidP="00780B4C">
            <w:pPr>
              <w:pStyle w:val="ListBullet"/>
              <w:rPr>
                <w:rStyle w:val="Characterclear"/>
              </w:rPr>
            </w:pPr>
            <w:r>
              <w:rPr>
                <w:rStyle w:val="Characterclear"/>
              </w:rPr>
              <w:t>introducing enforcement mechanisms, such as the power for the Commission to issue compliance notices and enforceable undertakings</w:t>
            </w:r>
          </w:p>
          <w:p w14:paraId="2678D913" w14:textId="6DC7068F" w:rsidR="00E36E9E" w:rsidRDefault="00E36E9E" w:rsidP="00780B4C">
            <w:pPr>
              <w:pStyle w:val="ListBullet"/>
              <w:rPr>
                <w:rStyle w:val="Characterclear"/>
              </w:rPr>
            </w:pPr>
            <w:r>
              <w:rPr>
                <w:rStyle w:val="Characterclear"/>
              </w:rPr>
              <w:t>strengthening the Commission’s powers to compel information, documents and attendance in the context of an investigation or public inquiry.</w:t>
            </w:r>
          </w:p>
          <w:p w14:paraId="4BE28411" w14:textId="1F526195" w:rsidR="00E36E9E" w:rsidRPr="00632A43" w:rsidRDefault="00E36E9E" w:rsidP="00780B4C">
            <w:pPr>
              <w:pStyle w:val="ListBullet"/>
              <w:numPr>
                <w:ilvl w:val="0"/>
                <w:numId w:val="0"/>
              </w:numPr>
              <w:rPr>
                <w:rStyle w:val="Characterclear"/>
              </w:rPr>
            </w:pPr>
            <w:r>
              <w:rPr>
                <w:rStyle w:val="Characterclear"/>
              </w:rPr>
              <w:t xml:space="preserve">However, </w:t>
            </w:r>
            <w:r w:rsidR="00727AF9">
              <w:rPr>
                <w:rStyle w:val="Characterclear"/>
              </w:rPr>
              <w:t>before the 2010</w:t>
            </w:r>
            <w:r w:rsidR="007E5EE8">
              <w:rPr>
                <w:rStyle w:val="Characterclear"/>
              </w:rPr>
              <w:t xml:space="preserve"> EOA</w:t>
            </w:r>
            <w:r w:rsidR="00727AF9">
              <w:rPr>
                <w:rStyle w:val="Characterclear"/>
              </w:rPr>
              <w:t xml:space="preserve"> commenced, it was amended to remove the public inquiry </w:t>
            </w:r>
            <w:r w:rsidR="0062469B">
              <w:rPr>
                <w:rStyle w:val="Characterclear"/>
              </w:rPr>
              <w:t xml:space="preserve">power, prevent the Commission from conducting an investigation if the matter could reasonably be expected to be </w:t>
            </w:r>
            <w:r w:rsidR="00DE0463">
              <w:rPr>
                <w:rStyle w:val="Characterclear"/>
              </w:rPr>
              <w:t xml:space="preserve">resolved by disputed resolution or </w:t>
            </w:r>
            <w:r w:rsidR="00DE0463">
              <w:rPr>
                <w:rStyle w:val="Characterclear"/>
              </w:rPr>
              <w:lastRenderedPageBreak/>
              <w:t>VCAT, require the Commission to apply to VCAT for an order to compel attendance, information and documents, and remove the ability of the Commission to enter into enforceable undertaking and issue compliance notices.</w:t>
            </w:r>
            <w:r w:rsidR="000777D0">
              <w:rPr>
                <w:rStyle w:val="EndnoteReference"/>
                <w:lang w:eastAsia="en-AU"/>
              </w:rPr>
              <w:endnoteReference w:id="355"/>
            </w:r>
          </w:p>
        </w:tc>
      </w:tr>
    </w:tbl>
    <w:p w14:paraId="7235DC14" w14:textId="4262FF7E" w:rsidR="00632A43" w:rsidRDefault="00423F50" w:rsidP="00D54DFA">
      <w:pPr>
        <w:pStyle w:val="BodyText"/>
      </w:pPr>
      <w:r>
        <w:lastRenderedPageBreak/>
        <w:t>The</w:t>
      </w:r>
      <w:r w:rsidR="00AF445D">
        <w:t xml:space="preserve"> Commission considers that it should </w:t>
      </w:r>
      <w:r w:rsidR="00F36C29">
        <w:t xml:space="preserve">have </w:t>
      </w:r>
      <w:r w:rsidR="00786018">
        <w:t xml:space="preserve">the powers and functions to: </w:t>
      </w:r>
    </w:p>
    <w:p w14:paraId="3151DC3E" w14:textId="77777777" w:rsidR="000E2FA4" w:rsidRPr="000E2FA4" w:rsidRDefault="000E2FA4" w:rsidP="00C67716">
      <w:pPr>
        <w:pStyle w:val="ListNumber"/>
        <w:numPr>
          <w:ilvl w:val="0"/>
          <w:numId w:val="33"/>
        </w:numPr>
      </w:pPr>
      <w:r w:rsidRPr="000E2FA4">
        <w:t xml:space="preserve">undertake own-motion public inquiries </w:t>
      </w:r>
    </w:p>
    <w:p w14:paraId="2C7AFE75" w14:textId="77777777" w:rsidR="000E2FA4" w:rsidRPr="000E2FA4" w:rsidRDefault="000E2FA4" w:rsidP="00C67716">
      <w:pPr>
        <w:pStyle w:val="ListNumber"/>
        <w:numPr>
          <w:ilvl w:val="0"/>
          <w:numId w:val="26"/>
        </w:numPr>
      </w:pPr>
      <w:r w:rsidRPr="000E2FA4">
        <w:t xml:space="preserve">investigate any serious matter that indicates a possible contravention of the Act: </w:t>
      </w:r>
    </w:p>
    <w:p w14:paraId="0580905F" w14:textId="2CE0D4D2" w:rsidR="000E2FA4" w:rsidRPr="000E2FA4" w:rsidRDefault="000E2FA4" w:rsidP="00C67716">
      <w:pPr>
        <w:pStyle w:val="ListNumber2"/>
        <w:numPr>
          <w:ilvl w:val="1"/>
          <w:numId w:val="26"/>
        </w:numPr>
      </w:pPr>
      <w:r w:rsidRPr="000E2FA4">
        <w:t xml:space="preserve">without the need for a reasonable expectation that the matter cannot be resolved by dispute resolution or the </w:t>
      </w:r>
      <w:r w:rsidR="007E5EE8">
        <w:t>VCAT</w:t>
      </w:r>
    </w:p>
    <w:p w14:paraId="302F3307" w14:textId="77777777" w:rsidR="000E2FA4" w:rsidRPr="000E2FA4" w:rsidRDefault="000E2FA4" w:rsidP="00C67716">
      <w:pPr>
        <w:pStyle w:val="ListNumber2"/>
        <w:numPr>
          <w:ilvl w:val="1"/>
          <w:numId w:val="26"/>
        </w:numPr>
      </w:pPr>
      <w:r w:rsidRPr="000E2FA4">
        <w:t>with the introduction of a ‘reasonable expectation’ that the matter relates to a class or group of persons</w:t>
      </w:r>
    </w:p>
    <w:p w14:paraId="1DC554F5" w14:textId="77777777" w:rsidR="000E2FA4" w:rsidRPr="000E2FA4" w:rsidRDefault="000E2FA4" w:rsidP="00C67716">
      <w:pPr>
        <w:pStyle w:val="ListNumber"/>
        <w:numPr>
          <w:ilvl w:val="0"/>
          <w:numId w:val="26"/>
        </w:numPr>
      </w:pPr>
      <w:r w:rsidRPr="000E2FA4">
        <w:t>compel attendance, information and documents for any purposes of an investigation or public inquiry without the need for an order from VCAT</w:t>
      </w:r>
    </w:p>
    <w:p w14:paraId="3659046F" w14:textId="298830F6" w:rsidR="000E2FA4" w:rsidRPr="000E2FA4" w:rsidRDefault="000E2FA4" w:rsidP="00C67716">
      <w:pPr>
        <w:pStyle w:val="ListNumber"/>
        <w:numPr>
          <w:ilvl w:val="0"/>
          <w:numId w:val="26"/>
        </w:numPr>
      </w:pPr>
      <w:r w:rsidRPr="000E2FA4">
        <w:t>seek enforceable undertakings and issue compliance notices as potential outcomes of an investigation or a public inquiry.</w:t>
      </w:r>
      <w:r w:rsidR="002C4040">
        <w:rPr>
          <w:rStyle w:val="EndnoteReference"/>
        </w:rPr>
        <w:endnoteReference w:id="356"/>
      </w:r>
    </w:p>
    <w:p w14:paraId="3294DD3F" w14:textId="001E54A4" w:rsidR="00383277" w:rsidRPr="00383277" w:rsidRDefault="00383277" w:rsidP="00383277">
      <w:pPr>
        <w:pStyle w:val="BodyText"/>
        <w:rPr>
          <w:lang w:val="en-GB"/>
        </w:rPr>
      </w:pPr>
      <w:r w:rsidRPr="00383277">
        <w:rPr>
          <w:lang w:val="en-GB"/>
        </w:rPr>
        <w:t xml:space="preserve">These reinstated </w:t>
      </w:r>
      <w:r w:rsidR="00786018">
        <w:t xml:space="preserve">and strengthened </w:t>
      </w:r>
      <w:r w:rsidRPr="00383277">
        <w:rPr>
          <w:lang w:val="en-GB"/>
        </w:rPr>
        <w:t xml:space="preserve">powers </w:t>
      </w:r>
      <w:r w:rsidR="00786018">
        <w:t xml:space="preserve">and functions </w:t>
      </w:r>
      <w:r w:rsidR="000777D0">
        <w:t xml:space="preserve">under the EOA </w:t>
      </w:r>
      <w:r w:rsidRPr="00383277">
        <w:rPr>
          <w:lang w:val="en-GB"/>
        </w:rPr>
        <w:t xml:space="preserve">should apply to the regulation of vilification </w:t>
      </w:r>
      <w:r w:rsidR="00786018">
        <w:t xml:space="preserve">and will ensure that the burden </w:t>
      </w:r>
      <w:r w:rsidR="00790E43">
        <w:t xml:space="preserve">of enforcement </w:t>
      </w:r>
      <w:r w:rsidR="00786018">
        <w:t xml:space="preserve">is shifted </w:t>
      </w:r>
      <w:r w:rsidR="00790E43">
        <w:t xml:space="preserve">in part </w:t>
      </w:r>
      <w:r w:rsidR="00786018">
        <w:t xml:space="preserve">from individual complainants </w:t>
      </w:r>
      <w:r w:rsidR="00790E43">
        <w:t xml:space="preserve">to Victoria’s human rights regulator. </w:t>
      </w:r>
      <w:r w:rsidRPr="00383277">
        <w:rPr>
          <w:lang w:val="en-GB"/>
        </w:rPr>
        <w:t xml:space="preserve"> </w:t>
      </w:r>
    </w:p>
    <w:tbl>
      <w:tblPr>
        <w:tblStyle w:val="CustomTablerecommendationsbox"/>
        <w:tblW w:w="0" w:type="auto"/>
        <w:tblLook w:val="04A0" w:firstRow="1" w:lastRow="0" w:firstColumn="1" w:lastColumn="0" w:noHBand="0" w:noVBand="1"/>
      </w:tblPr>
      <w:tblGrid>
        <w:gridCol w:w="9061"/>
      </w:tblGrid>
      <w:tr w:rsidR="00A30AB3" w14:paraId="4DD02283" w14:textId="77777777" w:rsidTr="00A30AB3">
        <w:tc>
          <w:tcPr>
            <w:tcW w:w="9061" w:type="dxa"/>
          </w:tcPr>
          <w:p w14:paraId="546EB10F" w14:textId="77777777" w:rsidR="00A30AB3" w:rsidRDefault="00A30AB3" w:rsidP="00A30AB3">
            <w:pPr>
              <w:pStyle w:val="RecommendationList"/>
            </w:pPr>
          </w:p>
          <w:p w14:paraId="7E17C3C3" w14:textId="77777777" w:rsidR="005B1225" w:rsidRPr="005B1225" w:rsidRDefault="005B1225" w:rsidP="005B1225">
            <w:pPr>
              <w:pStyle w:val="BodyText"/>
            </w:pPr>
            <w:r w:rsidRPr="005B1225">
              <w:t xml:space="preserve">The Victorian Government should amend the </w:t>
            </w:r>
            <w:r w:rsidRPr="007E5EE8">
              <w:rPr>
                <w:i/>
              </w:rPr>
              <w:t>Equal Opportunity Act 2010</w:t>
            </w:r>
            <w:r w:rsidRPr="005B1225">
              <w:t xml:space="preserve"> (Vic) to extend the full range of the Victorian Equal Opportunity and Human Rights Commission’s functions and powers to the regulation of vilification, including to issue practice guidelines, undertake research, conduct legal interventions, undertake compliance reviews, prepare action plans and conduct investigations. </w:t>
            </w:r>
          </w:p>
          <w:p w14:paraId="4FDC9A18" w14:textId="77777777" w:rsidR="002947E9" w:rsidRDefault="002947E9" w:rsidP="002947E9">
            <w:pPr>
              <w:pStyle w:val="RecommendationList"/>
            </w:pPr>
          </w:p>
          <w:p w14:paraId="5C096468" w14:textId="77777777" w:rsidR="005B1225" w:rsidRPr="005B1225" w:rsidRDefault="005B1225" w:rsidP="005B1225">
            <w:pPr>
              <w:pStyle w:val="BodyText"/>
            </w:pPr>
            <w:r w:rsidRPr="005B1225">
              <w:t xml:space="preserve">The Victorian Government should amend the </w:t>
            </w:r>
            <w:r w:rsidRPr="005B1225">
              <w:rPr>
                <w:rStyle w:val="Characteritalic"/>
              </w:rPr>
              <w:t>Equal Opportunity Act 2010</w:t>
            </w:r>
            <w:r w:rsidRPr="005B1225">
              <w:t xml:space="preserve"> (Vic) to reinstate and strengthen the Victorian Equal Opportunity and Human Rights Commission’s functions and powers, including to: </w:t>
            </w:r>
          </w:p>
          <w:p w14:paraId="6F5DC74A" w14:textId="77777777" w:rsidR="005B1225" w:rsidRPr="005B1225" w:rsidRDefault="005B1225" w:rsidP="00C67716">
            <w:pPr>
              <w:pStyle w:val="ListNumber"/>
              <w:numPr>
                <w:ilvl w:val="0"/>
                <w:numId w:val="36"/>
              </w:numPr>
            </w:pPr>
            <w:r w:rsidRPr="005B1225">
              <w:t xml:space="preserve">undertake own-motion public inquiries </w:t>
            </w:r>
          </w:p>
          <w:p w14:paraId="7BB35618" w14:textId="77777777" w:rsidR="005B1225" w:rsidRPr="005B1225" w:rsidRDefault="005B1225" w:rsidP="00C67716">
            <w:pPr>
              <w:pStyle w:val="ListNumber"/>
              <w:numPr>
                <w:ilvl w:val="0"/>
                <w:numId w:val="26"/>
              </w:numPr>
            </w:pPr>
            <w:r w:rsidRPr="005B1225">
              <w:t xml:space="preserve">investigate any serious matter that indicates a possible contravention of the Act: </w:t>
            </w:r>
          </w:p>
          <w:p w14:paraId="29FACC6F" w14:textId="77777777" w:rsidR="005B1225" w:rsidRPr="005B1225" w:rsidRDefault="005B1225" w:rsidP="00C67716">
            <w:pPr>
              <w:pStyle w:val="ListNumber2"/>
              <w:numPr>
                <w:ilvl w:val="1"/>
                <w:numId w:val="26"/>
              </w:numPr>
            </w:pPr>
            <w:r w:rsidRPr="005B1225">
              <w:t>without the need for a reasonable expectation that the matter cannot be resolved by dispute resolution or the Victorian Civil and Administrative Tribunal (VCAT)</w:t>
            </w:r>
          </w:p>
          <w:p w14:paraId="15817F97" w14:textId="77777777" w:rsidR="005B1225" w:rsidRPr="005B1225" w:rsidRDefault="005B1225" w:rsidP="00C67716">
            <w:pPr>
              <w:pStyle w:val="ListNumber2"/>
              <w:numPr>
                <w:ilvl w:val="1"/>
                <w:numId w:val="26"/>
              </w:numPr>
            </w:pPr>
            <w:r w:rsidRPr="005B1225">
              <w:t>with the introduction of a ‘reasonable expectation’ that the matter relates to a class or group of persons</w:t>
            </w:r>
          </w:p>
          <w:p w14:paraId="24087F5A" w14:textId="77777777" w:rsidR="005B1225" w:rsidRPr="005B1225" w:rsidRDefault="005B1225" w:rsidP="00C67716">
            <w:pPr>
              <w:pStyle w:val="ListNumber"/>
              <w:numPr>
                <w:ilvl w:val="0"/>
                <w:numId w:val="26"/>
              </w:numPr>
            </w:pPr>
            <w:r w:rsidRPr="005B1225">
              <w:t>compel attendance, information and documents for any purposes of an investigation or public inquiry without the need for an order from VCAT</w:t>
            </w:r>
          </w:p>
          <w:p w14:paraId="750A5BB6" w14:textId="77777777" w:rsidR="005B1225" w:rsidRPr="005B1225" w:rsidRDefault="005B1225" w:rsidP="00C67716">
            <w:pPr>
              <w:pStyle w:val="ListNumber"/>
              <w:numPr>
                <w:ilvl w:val="0"/>
                <w:numId w:val="26"/>
              </w:numPr>
            </w:pPr>
            <w:r w:rsidRPr="005B1225">
              <w:t xml:space="preserve">seek enforceable undertakings and issue compliance notices as potential outcomes of an investigation or a public inquiry. </w:t>
            </w:r>
          </w:p>
          <w:p w14:paraId="3026712A" w14:textId="4EEEC111" w:rsidR="008830C0" w:rsidRPr="00A30AB3" w:rsidRDefault="005B1225" w:rsidP="008830C0">
            <w:pPr>
              <w:pStyle w:val="BodyText"/>
            </w:pPr>
            <w:r w:rsidRPr="005B1225">
              <w:t xml:space="preserve">These reinstated functions and powers should also apply to the regulation of vilification under the </w:t>
            </w:r>
            <w:r w:rsidRPr="005B1225">
              <w:rPr>
                <w:rStyle w:val="Characteritalic"/>
              </w:rPr>
              <w:t>Equal Opportunity Act 2010</w:t>
            </w:r>
            <w:r w:rsidRPr="005B1225">
              <w:t xml:space="preserve"> (Vic) (see recommendation 1). </w:t>
            </w:r>
          </w:p>
        </w:tc>
      </w:tr>
    </w:tbl>
    <w:p w14:paraId="4C313D25" w14:textId="482E9A5B" w:rsidR="00390A62" w:rsidRDefault="00390A62" w:rsidP="00390A62">
      <w:pPr>
        <w:pStyle w:val="Heading3"/>
      </w:pPr>
      <w:r w:rsidRPr="00390A62">
        <w:t xml:space="preserve">The positive duty should apply to the prevention of vilification </w:t>
      </w:r>
    </w:p>
    <w:p w14:paraId="460BAC2F" w14:textId="592002DC" w:rsidR="00A04F6F" w:rsidRDefault="0073321F" w:rsidP="00390A62">
      <w:pPr>
        <w:pStyle w:val="BodyText"/>
      </w:pPr>
      <w:r>
        <w:t xml:space="preserve">Under </w:t>
      </w:r>
      <w:r w:rsidR="001D1A01">
        <w:t>s</w:t>
      </w:r>
      <w:r w:rsidR="00440000">
        <w:t>ection</w:t>
      </w:r>
      <w:r w:rsidR="001D1A01">
        <w:t xml:space="preserve"> 15 of </w:t>
      </w:r>
      <w:r>
        <w:t xml:space="preserve">the EOA, relevant duty holders have a ‘positive duty’ to take </w:t>
      </w:r>
      <w:r w:rsidR="001D1A01">
        <w:t>‘reasonable and proportionate measures’ to eliminate discrimination, sexual harassment and victimisation</w:t>
      </w:r>
      <w:r w:rsidR="006C74C6">
        <w:t xml:space="preserve">. </w:t>
      </w:r>
      <w:r w:rsidR="00A04F6F">
        <w:t xml:space="preserve">The positive duty requires duty holders to </w:t>
      </w:r>
      <w:r w:rsidR="002112DD">
        <w:t xml:space="preserve">take </w:t>
      </w:r>
      <w:r w:rsidR="002112DD">
        <w:lastRenderedPageBreak/>
        <w:t xml:space="preserve">proactive steps to prevent unlawful conduct before it occurs. </w:t>
      </w:r>
      <w:r w:rsidR="009329A7">
        <w:t xml:space="preserve">It also encourages compliance with the Act, even in the absence of an individual complaint. </w:t>
      </w:r>
    </w:p>
    <w:p w14:paraId="59DE87B4" w14:textId="4B620A74" w:rsidR="0010164F" w:rsidRDefault="0010164F" w:rsidP="00390A62">
      <w:pPr>
        <w:pStyle w:val="BodyText"/>
      </w:pPr>
      <w:r>
        <w:t xml:space="preserve">The Commission can encourage and facilitate compliance with the positive duty through </w:t>
      </w:r>
      <w:r w:rsidR="000B37D1">
        <w:t xml:space="preserve">our education, research and investigation functions. For example, the Commission undertook an investigation into mental health </w:t>
      </w:r>
      <w:r w:rsidR="00270512">
        <w:t>discrimination in the travel insurance industry, which considered insurers’ compliance with the positive duty.</w:t>
      </w:r>
      <w:r w:rsidR="00270512">
        <w:rPr>
          <w:rStyle w:val="EndnoteReference"/>
        </w:rPr>
        <w:endnoteReference w:id="357"/>
      </w:r>
      <w:r w:rsidR="00124056">
        <w:t xml:space="preserve"> </w:t>
      </w:r>
    </w:p>
    <w:p w14:paraId="713F5D71" w14:textId="22F6CC81" w:rsidR="00034E65" w:rsidRDefault="002F5D20" w:rsidP="00034E65">
      <w:pPr>
        <w:pStyle w:val="BodyText"/>
      </w:pPr>
      <w:r>
        <w:t xml:space="preserve">The positive duty currently applies </w:t>
      </w:r>
      <w:r w:rsidR="00034E65" w:rsidRPr="00034E65">
        <w:t xml:space="preserve">to everyone who already has responsibilities under the </w:t>
      </w:r>
      <w:r w:rsidR="00034E65">
        <w:t xml:space="preserve">EOA, </w:t>
      </w:r>
      <w:r w:rsidR="009432DE">
        <w:t>including</w:t>
      </w:r>
      <w:r w:rsidR="00034E65">
        <w:t xml:space="preserve"> </w:t>
      </w:r>
      <w:r w:rsidR="00034E65" w:rsidRPr="00034E65">
        <w:t>employers and people who provide accommodation, education, and goods and services. It also applies to clubs and sporting organisations, to government, and to people in business and the community sector.</w:t>
      </w:r>
    </w:p>
    <w:p w14:paraId="71103ABD" w14:textId="0E671C2D" w:rsidR="003B76FE" w:rsidRDefault="003B76FE" w:rsidP="00034E65">
      <w:pPr>
        <w:pStyle w:val="BodyText"/>
      </w:pPr>
      <w:r>
        <w:t xml:space="preserve">A key question that arises if the positive duty is extended to vilification is who the positive duty will apply to. </w:t>
      </w:r>
      <w:r w:rsidR="00B45C4E">
        <w:t xml:space="preserve">Unlike discrimination and sexual harassment, </w:t>
      </w:r>
      <w:r w:rsidR="006A1D22">
        <w:t>the prohibition of vilification under the RRTA applies to everyone in Victoria</w:t>
      </w:r>
      <w:r w:rsidR="007B387B">
        <w:t xml:space="preserve"> and</w:t>
      </w:r>
      <w:r w:rsidR="006A1D22">
        <w:t xml:space="preserve"> is not limited</w:t>
      </w:r>
      <w:r w:rsidR="00691941">
        <w:t xml:space="preserve"> to specified duty holders. </w:t>
      </w:r>
      <w:r w:rsidR="00294FEF">
        <w:t>In theory, the positive duty could apply to all ‘persons’ (including natural persons, unincorporated associations and corporations)</w:t>
      </w:r>
      <w:r w:rsidR="00DA4C81">
        <w:t xml:space="preserve"> in Victoria</w:t>
      </w:r>
      <w:r w:rsidR="00294FEF">
        <w:t xml:space="preserve">. </w:t>
      </w:r>
      <w:r w:rsidR="00A2494E">
        <w:t>However,</w:t>
      </w:r>
      <w:r w:rsidR="0076218C">
        <w:t xml:space="preserve"> </w:t>
      </w:r>
      <w:r w:rsidR="00A2494E">
        <w:t xml:space="preserve">it </w:t>
      </w:r>
      <w:r w:rsidR="00963204">
        <w:t xml:space="preserve">may </w:t>
      </w:r>
      <w:r w:rsidR="00A2494E">
        <w:t>be impractical to place a legal d</w:t>
      </w:r>
      <w:r w:rsidR="005E6074">
        <w:t xml:space="preserve">uty on every Victorian to take positive steps </w:t>
      </w:r>
      <w:r w:rsidR="00853DE0">
        <w:t xml:space="preserve">to </w:t>
      </w:r>
      <w:r w:rsidR="0076218C">
        <w:t xml:space="preserve">prevent vilification </w:t>
      </w:r>
      <w:r w:rsidR="00415B9F">
        <w:t xml:space="preserve">from occurring in the community. </w:t>
      </w:r>
    </w:p>
    <w:p w14:paraId="427B5061" w14:textId="28C9F07E" w:rsidR="00F11CC8" w:rsidRDefault="00415B9F" w:rsidP="00F11CC8">
      <w:pPr>
        <w:pStyle w:val="BodyText"/>
      </w:pPr>
      <w:r>
        <w:t xml:space="preserve">The alternative is </w:t>
      </w:r>
      <w:r w:rsidR="00600252">
        <w:t xml:space="preserve">to </w:t>
      </w:r>
      <w:r>
        <w:t>restrict the positive duty</w:t>
      </w:r>
      <w:r w:rsidR="00600252">
        <w:t xml:space="preserve">, for the purposes of vilification, to </w:t>
      </w:r>
      <w:r w:rsidR="00E55C5A">
        <w:t xml:space="preserve">the </w:t>
      </w:r>
      <w:r w:rsidR="00413947">
        <w:t xml:space="preserve">same group of duty holders that the positive duty currently applies to </w:t>
      </w:r>
      <w:r w:rsidR="00360253">
        <w:t>–</w:t>
      </w:r>
      <w:r w:rsidR="00413947">
        <w:t xml:space="preserve"> </w:t>
      </w:r>
      <w:r w:rsidR="00360253">
        <w:t xml:space="preserve">that is, any person who has </w:t>
      </w:r>
      <w:r w:rsidR="00187932">
        <w:t xml:space="preserve">a duty </w:t>
      </w:r>
      <w:r w:rsidR="00187F45">
        <w:t xml:space="preserve">not to engage in discrimination, sexual harassment or victimisation under the EOA. </w:t>
      </w:r>
      <w:r w:rsidR="00EC1665">
        <w:t xml:space="preserve">In a practical sense, this would restrict the duty to organisations that have the ability to </w:t>
      </w:r>
      <w:r w:rsidR="00796977">
        <w:t xml:space="preserve">take proactive steps to better prevent and respond to vilification in the community – such as employers, </w:t>
      </w:r>
      <w:r w:rsidR="00B15561">
        <w:t>service providers, public transport agencies</w:t>
      </w:r>
      <w:r w:rsidR="009F6B38">
        <w:t xml:space="preserve">, </w:t>
      </w:r>
      <w:r w:rsidR="00B15561">
        <w:t>social media platforms</w:t>
      </w:r>
      <w:r w:rsidR="009F6B38">
        <w:t xml:space="preserve"> and police (who have limited duties as service providers under the EOA)</w:t>
      </w:r>
      <w:r w:rsidR="00B15561">
        <w:t>.</w:t>
      </w:r>
      <w:r w:rsidR="006755FA">
        <w:rPr>
          <w:rStyle w:val="EndnoteReference"/>
        </w:rPr>
        <w:endnoteReference w:id="358"/>
      </w:r>
    </w:p>
    <w:p w14:paraId="1507A59D" w14:textId="05CBF238" w:rsidR="008C6652" w:rsidRDefault="00B51706" w:rsidP="00F11CC8">
      <w:pPr>
        <w:pStyle w:val="BodyText"/>
      </w:pPr>
      <w:r>
        <w:t>Under the positive duty o</w:t>
      </w:r>
      <w:r w:rsidR="008C6652" w:rsidRPr="008C6652">
        <w:t xml:space="preserve">rganisations </w:t>
      </w:r>
      <w:r>
        <w:t>would</w:t>
      </w:r>
      <w:r w:rsidR="008C6652" w:rsidRPr="008C6652">
        <w:t xml:space="preserve"> be required to proactively prevent cultures of vilification in their organisation and counter passive bystandership, for example, by establishing relevant policies, complaint handling and grievance procedures and educating staff about their obligations under the law. What is considered ‘reasonable’ and ‘proportionate in discharging the position duty </w:t>
      </w:r>
      <w:r w:rsidR="00A16DB8">
        <w:t>w</w:t>
      </w:r>
      <w:r w:rsidR="008C6652" w:rsidRPr="008C6652">
        <w:t>ould depend on the size, nature and circumstances of the business or operations, the resources, business and operational priorities and the practicability and cost of the measures (as is currently the case under section 15(6) of the EOA).</w:t>
      </w:r>
    </w:p>
    <w:p w14:paraId="5856C56D" w14:textId="47A723A1" w:rsidR="00DE1246" w:rsidRDefault="00481BF6" w:rsidP="00F11CC8">
      <w:pPr>
        <w:pStyle w:val="BodyText"/>
      </w:pPr>
      <w:r>
        <w:t>If accompanied by appropriate enforcement powers (recommendation</w:t>
      </w:r>
      <w:r w:rsidR="00F36C29">
        <w:t xml:space="preserve"> 17</w:t>
      </w:r>
      <w:r>
        <w:t xml:space="preserve">), </w:t>
      </w:r>
      <w:r w:rsidR="00C37FDE">
        <w:t xml:space="preserve">the positive duty </w:t>
      </w:r>
      <w:r w:rsidR="00495EBC">
        <w:t xml:space="preserve">could help to </w:t>
      </w:r>
      <w:r w:rsidR="0027036C">
        <w:t>drive</w:t>
      </w:r>
      <w:r w:rsidR="00495EBC">
        <w:t xml:space="preserve"> systemic change and alleviate the burden on individuals</w:t>
      </w:r>
      <w:r w:rsidR="0027036C">
        <w:t xml:space="preserve"> who experience vilification. </w:t>
      </w:r>
      <w:r w:rsidR="00C124A3">
        <w:t xml:space="preserve">It would also ensure that key organisations turn their minds to </w:t>
      </w:r>
      <w:r w:rsidR="00D06CC4">
        <w:t>practical and innovat</w:t>
      </w:r>
      <w:r w:rsidR="002F54DB">
        <w:t>iv</w:t>
      </w:r>
      <w:r w:rsidR="00D06CC4">
        <w:t>e ways of tackling hate in the community</w:t>
      </w:r>
      <w:r w:rsidR="002F54DB">
        <w:t xml:space="preserve">, rather than just responding to </w:t>
      </w:r>
      <w:r w:rsidR="00B41928">
        <w:t>hate when it happens</w:t>
      </w:r>
      <w:r w:rsidR="008C6652">
        <w:t>.</w:t>
      </w:r>
      <w:r w:rsidR="005F1946">
        <w:t xml:space="preserve"> </w:t>
      </w:r>
    </w:p>
    <w:tbl>
      <w:tblPr>
        <w:tblStyle w:val="CustomTablerecommendationsbox"/>
        <w:tblW w:w="0" w:type="auto"/>
        <w:tblLook w:val="04A0" w:firstRow="1" w:lastRow="0" w:firstColumn="1" w:lastColumn="0" w:noHBand="0" w:noVBand="1"/>
      </w:tblPr>
      <w:tblGrid>
        <w:gridCol w:w="9061"/>
      </w:tblGrid>
      <w:tr w:rsidR="00B41928" w14:paraId="24C57FAB" w14:textId="77777777" w:rsidTr="00B41928">
        <w:tc>
          <w:tcPr>
            <w:tcW w:w="9061" w:type="dxa"/>
          </w:tcPr>
          <w:p w14:paraId="1E002E8C" w14:textId="77777777" w:rsidR="00B41928" w:rsidRDefault="00B41928" w:rsidP="00B41928">
            <w:pPr>
              <w:pStyle w:val="RecommendationList"/>
            </w:pPr>
          </w:p>
          <w:p w14:paraId="4DD94F56" w14:textId="2C8BBE01" w:rsidR="00B41928" w:rsidRPr="00B41928" w:rsidRDefault="0099511B" w:rsidP="00B41928">
            <w:pPr>
              <w:pStyle w:val="BodyText"/>
            </w:pPr>
            <w:r w:rsidRPr="0099511B">
              <w:t xml:space="preserve">The Victorian Government should </w:t>
            </w:r>
            <w:r w:rsidR="00EE6F51">
              <w:t xml:space="preserve">consider </w:t>
            </w:r>
            <w:r w:rsidRPr="0099511B">
              <w:t>extend</w:t>
            </w:r>
            <w:r w:rsidR="00EE6F51">
              <w:t>ing</w:t>
            </w:r>
            <w:r w:rsidRPr="0099511B">
              <w:t xml:space="preserve"> the positive duty under section 15 of the </w:t>
            </w:r>
            <w:r w:rsidRPr="0099511B">
              <w:rPr>
                <w:rStyle w:val="Characteritalic"/>
              </w:rPr>
              <w:t>Equal Opportunity Act 2010</w:t>
            </w:r>
            <w:r w:rsidRPr="0099511B">
              <w:t xml:space="preserve"> (Vic) to vilification, accompanied by strengthened functions and powers for the Victorian Equal Opportunity and Human Rights Commission to effectively regulate vilification (see recommendation 17). </w:t>
            </w:r>
          </w:p>
        </w:tc>
      </w:tr>
    </w:tbl>
    <w:p w14:paraId="7F8BEB38" w14:textId="77777777" w:rsidR="00143A5A" w:rsidRDefault="00143A5A" w:rsidP="00C65EF2">
      <w:pPr>
        <w:pStyle w:val="BodyText"/>
      </w:pPr>
    </w:p>
    <w:p w14:paraId="095D78B6" w14:textId="535333ED" w:rsidR="0049703E" w:rsidRDefault="00841822" w:rsidP="002157F3">
      <w:pPr>
        <w:pStyle w:val="Heading1"/>
      </w:pPr>
      <w:bookmarkStart w:id="37" w:name="_Toc31392349"/>
      <w:r>
        <w:lastRenderedPageBreak/>
        <w:t>Strengthening the policy response</w:t>
      </w:r>
      <w:bookmarkEnd w:id="37"/>
      <w:r>
        <w:t xml:space="preserve"> </w:t>
      </w:r>
    </w:p>
    <w:tbl>
      <w:tblPr>
        <w:tblStyle w:val="CustomTablebreakoutbox"/>
        <w:tblW w:w="0" w:type="auto"/>
        <w:tblLook w:val="04A0" w:firstRow="1" w:lastRow="0" w:firstColumn="1" w:lastColumn="0" w:noHBand="0" w:noVBand="1"/>
      </w:tblPr>
      <w:tblGrid>
        <w:gridCol w:w="9061"/>
      </w:tblGrid>
      <w:tr w:rsidR="001C73E5" w14:paraId="2C5E303F" w14:textId="77777777" w:rsidTr="001C73E5">
        <w:tc>
          <w:tcPr>
            <w:tcW w:w="9061" w:type="dxa"/>
          </w:tcPr>
          <w:p w14:paraId="333EB099" w14:textId="77777777" w:rsidR="001C73E5" w:rsidRDefault="001C73E5" w:rsidP="001C73E5">
            <w:pPr>
              <w:pStyle w:val="BodyText"/>
              <w:rPr>
                <w:rStyle w:val="Characterbold"/>
              </w:rPr>
            </w:pPr>
            <w:r>
              <w:rPr>
                <w:rStyle w:val="Characterbold"/>
              </w:rPr>
              <w:t>Summary</w:t>
            </w:r>
          </w:p>
          <w:p w14:paraId="2449509F" w14:textId="10F11269" w:rsidR="00763305" w:rsidRDefault="00763305" w:rsidP="001C73E5">
            <w:pPr>
              <w:pStyle w:val="BodyText"/>
              <w:rPr>
                <w:rStyle w:val="Characterclear"/>
              </w:rPr>
            </w:pPr>
            <w:r>
              <w:rPr>
                <w:rStyle w:val="Characterclear"/>
              </w:rPr>
              <w:t xml:space="preserve">Part </w:t>
            </w:r>
            <w:r w:rsidR="00C63EA9">
              <w:rPr>
                <w:rStyle w:val="Characterclear"/>
              </w:rPr>
              <w:t>6</w:t>
            </w:r>
            <w:r>
              <w:rPr>
                <w:rStyle w:val="Characterclear"/>
              </w:rPr>
              <w:t xml:space="preserve"> of our submission </w:t>
            </w:r>
            <w:r w:rsidR="00402D8A">
              <w:rPr>
                <w:rStyle w:val="Characterclear"/>
              </w:rPr>
              <w:t>sets out how the policy response to hate in the Victorian community can be strengthened to complement law reform. This includes</w:t>
            </w:r>
            <w:r w:rsidR="001F7BAE">
              <w:rPr>
                <w:rStyle w:val="Characterclear"/>
              </w:rPr>
              <w:t>:</w:t>
            </w:r>
          </w:p>
          <w:p w14:paraId="3A53169A" w14:textId="77F860FD" w:rsidR="0080718B" w:rsidRDefault="0080718B" w:rsidP="00A16DB8">
            <w:pPr>
              <w:pStyle w:val="ListBullet"/>
              <w:rPr>
                <w:rStyle w:val="Characterclear"/>
              </w:rPr>
            </w:pPr>
            <w:r>
              <w:rPr>
                <w:rStyle w:val="Characterclear"/>
              </w:rPr>
              <w:t xml:space="preserve">empowering target communities (part </w:t>
            </w:r>
            <w:r w:rsidR="00605699">
              <w:rPr>
                <w:rStyle w:val="Characterclear"/>
              </w:rPr>
              <w:t>6.1</w:t>
            </w:r>
            <w:r>
              <w:rPr>
                <w:rStyle w:val="Characterclear"/>
              </w:rPr>
              <w:t xml:space="preserve">) </w:t>
            </w:r>
          </w:p>
          <w:p w14:paraId="2A3537DD" w14:textId="79A48B18" w:rsidR="008361DB" w:rsidRDefault="008361DB" w:rsidP="00A16DB8">
            <w:pPr>
              <w:pStyle w:val="ListBullet"/>
              <w:rPr>
                <w:rStyle w:val="Characterclear"/>
              </w:rPr>
            </w:pPr>
            <w:r>
              <w:rPr>
                <w:rStyle w:val="Characterclear"/>
              </w:rPr>
              <w:t xml:space="preserve">addressing the barriers to reporting (part </w:t>
            </w:r>
            <w:r w:rsidR="00605699">
              <w:rPr>
                <w:rStyle w:val="Characterclear"/>
              </w:rPr>
              <w:t>6.2</w:t>
            </w:r>
            <w:r>
              <w:rPr>
                <w:rStyle w:val="Characterclear"/>
              </w:rPr>
              <w:t xml:space="preserve">) </w:t>
            </w:r>
          </w:p>
          <w:p w14:paraId="7DF494EC" w14:textId="35720738" w:rsidR="00402D8A" w:rsidRDefault="006E056A" w:rsidP="00A16DB8">
            <w:pPr>
              <w:pStyle w:val="ListBullet"/>
              <w:rPr>
                <w:rStyle w:val="Characterclear"/>
              </w:rPr>
            </w:pPr>
            <w:r>
              <w:rPr>
                <w:rStyle w:val="Characterclear"/>
              </w:rPr>
              <w:t>promoting the celebration of diversity</w:t>
            </w:r>
            <w:r w:rsidR="00F02023">
              <w:rPr>
                <w:rStyle w:val="Characterclear"/>
              </w:rPr>
              <w:t xml:space="preserve"> (part </w:t>
            </w:r>
            <w:r w:rsidR="00605699">
              <w:rPr>
                <w:rStyle w:val="Characterclear"/>
              </w:rPr>
              <w:t>6.3</w:t>
            </w:r>
            <w:r w:rsidR="00F02023">
              <w:rPr>
                <w:rStyle w:val="Characterclear"/>
              </w:rPr>
              <w:t>)</w:t>
            </w:r>
          </w:p>
          <w:p w14:paraId="2E804264" w14:textId="184F10DA" w:rsidR="00F02023" w:rsidRDefault="00026D27" w:rsidP="00A16DB8">
            <w:pPr>
              <w:pStyle w:val="ListBullet"/>
              <w:rPr>
                <w:rStyle w:val="Characterclear"/>
              </w:rPr>
            </w:pPr>
            <w:r>
              <w:rPr>
                <w:rStyle w:val="Characterclear"/>
              </w:rPr>
              <w:t>improving the</w:t>
            </w:r>
            <w:r w:rsidR="006E056A">
              <w:rPr>
                <w:rStyle w:val="Characterclear"/>
              </w:rPr>
              <w:t xml:space="preserve"> response to hate</w:t>
            </w:r>
            <w:r w:rsidR="0004375D">
              <w:rPr>
                <w:rStyle w:val="Characterclear"/>
              </w:rPr>
              <w:t xml:space="preserve"> </w:t>
            </w:r>
            <w:r w:rsidR="00F02023">
              <w:rPr>
                <w:rStyle w:val="Characterclear"/>
              </w:rPr>
              <w:t xml:space="preserve">(part </w:t>
            </w:r>
            <w:r w:rsidR="00605699">
              <w:rPr>
                <w:rStyle w:val="Characterclear"/>
              </w:rPr>
              <w:t>6.4</w:t>
            </w:r>
            <w:r w:rsidR="00F02023">
              <w:rPr>
                <w:rStyle w:val="Characterclear"/>
              </w:rPr>
              <w:t>)</w:t>
            </w:r>
          </w:p>
          <w:p w14:paraId="46D31F22" w14:textId="7A891BFC" w:rsidR="00F02023" w:rsidRPr="00763305" w:rsidRDefault="00F02023" w:rsidP="00A16DB8">
            <w:pPr>
              <w:pStyle w:val="ListBullet"/>
              <w:rPr>
                <w:rStyle w:val="Characterclear"/>
              </w:rPr>
            </w:pPr>
            <w:r>
              <w:rPr>
                <w:rStyle w:val="Characterclear"/>
              </w:rPr>
              <w:t>strengthening researc</w:t>
            </w:r>
            <w:r w:rsidR="008361DB">
              <w:rPr>
                <w:rStyle w:val="Characterclear"/>
              </w:rPr>
              <w:t xml:space="preserve">h, </w:t>
            </w:r>
            <w:r>
              <w:rPr>
                <w:rStyle w:val="Characterclear"/>
              </w:rPr>
              <w:t>data</w:t>
            </w:r>
            <w:r w:rsidR="003C2A38">
              <w:rPr>
                <w:rStyle w:val="Characterclear"/>
              </w:rPr>
              <w:t xml:space="preserve"> </w:t>
            </w:r>
            <w:r>
              <w:rPr>
                <w:rStyle w:val="Characterclear"/>
              </w:rPr>
              <w:t xml:space="preserve">and reporting (part </w:t>
            </w:r>
            <w:r w:rsidR="00605699">
              <w:rPr>
                <w:rStyle w:val="Characterclear"/>
              </w:rPr>
              <w:t>6.5</w:t>
            </w:r>
            <w:r>
              <w:rPr>
                <w:rStyle w:val="Characterclear"/>
              </w:rPr>
              <w:t xml:space="preserve">). </w:t>
            </w:r>
          </w:p>
        </w:tc>
      </w:tr>
    </w:tbl>
    <w:p w14:paraId="5F0D0E9A" w14:textId="2FDC29A6" w:rsidR="007A3E3D" w:rsidRDefault="00B16B87" w:rsidP="008F69D9">
      <w:pPr>
        <w:pStyle w:val="BodyText"/>
      </w:pPr>
      <w:r>
        <w:t>Our submission makes recommendation</w:t>
      </w:r>
      <w:r w:rsidR="00545067">
        <w:t>s</w:t>
      </w:r>
      <w:r>
        <w:t xml:space="preserve"> to</w:t>
      </w:r>
      <w:r w:rsidR="00306B02">
        <w:t xml:space="preserve"> </w:t>
      </w:r>
      <w:r w:rsidR="00AE4BE6">
        <w:t xml:space="preserve">reform </w:t>
      </w:r>
      <w:r w:rsidR="007001DC">
        <w:t>the RRTA</w:t>
      </w:r>
      <w:r w:rsidR="00EF02E5">
        <w:t xml:space="preserve"> to ensure that the law is accessible</w:t>
      </w:r>
      <w:r w:rsidR="00B601F7">
        <w:t xml:space="preserve">, </w:t>
      </w:r>
      <w:r w:rsidR="00EF02E5">
        <w:t>provides effective redress for hate</w:t>
      </w:r>
      <w:r w:rsidR="00B601F7">
        <w:t xml:space="preserve"> and </w:t>
      </w:r>
      <w:r w:rsidR="005D0CD9">
        <w:t xml:space="preserve">can be adequately and effectively enforced. </w:t>
      </w:r>
      <w:r w:rsidR="007001DC">
        <w:t xml:space="preserve">However, </w:t>
      </w:r>
      <w:r w:rsidR="00B601F7">
        <w:t xml:space="preserve">the law alone is not enough to drive social change. </w:t>
      </w:r>
      <w:r w:rsidR="00A22745">
        <w:t>A</w:t>
      </w:r>
      <w:r w:rsidR="007A3E3D">
        <w:t xml:space="preserve"> strong</w:t>
      </w:r>
      <w:r w:rsidR="00A22745">
        <w:t xml:space="preserve"> policy response to hate in the Victorian community</w:t>
      </w:r>
      <w:r w:rsidR="00CD590E">
        <w:t xml:space="preserve"> can complement law reform and provide a holistic approach to an entrenched social problem. </w:t>
      </w:r>
    </w:p>
    <w:p w14:paraId="6A837E4A" w14:textId="5022CF3E" w:rsidR="009D015E" w:rsidRDefault="00674722" w:rsidP="008F69D9">
      <w:pPr>
        <w:pStyle w:val="Heading2"/>
      </w:pPr>
      <w:bookmarkStart w:id="38" w:name="_Toc31392350"/>
      <w:r>
        <w:t>Empowering target communities</w:t>
      </w:r>
      <w:bookmarkEnd w:id="38"/>
      <w:r>
        <w:t xml:space="preserve"> </w:t>
      </w:r>
    </w:p>
    <w:p w14:paraId="5777C4C2" w14:textId="065F4524" w:rsidR="00B70232" w:rsidRDefault="00884BDC" w:rsidP="00F02023">
      <w:pPr>
        <w:pStyle w:val="BodyText"/>
      </w:pPr>
      <w:r>
        <w:t>Our</w:t>
      </w:r>
      <w:r w:rsidR="00681B82">
        <w:t xml:space="preserve"> consultation</w:t>
      </w:r>
      <w:r w:rsidR="00486353">
        <w:t>s</w:t>
      </w:r>
      <w:r w:rsidR="00681B82">
        <w:t xml:space="preserve"> identified that there is limited </w:t>
      </w:r>
      <w:r w:rsidR="00F328E2">
        <w:t xml:space="preserve">community </w:t>
      </w:r>
      <w:r w:rsidR="00681B82">
        <w:t>awareness of the RRTA.</w:t>
      </w:r>
      <w:r w:rsidR="000A5C9C">
        <w:t xml:space="preserve"> This </w:t>
      </w:r>
      <w:r w:rsidR="00847910">
        <w:t>acts as a significant barrier to multifaith and multicultural communities understanding and exercising their rights under the RRTA</w:t>
      </w:r>
      <w:r w:rsidR="00B70232">
        <w:t xml:space="preserve">. As a result, there is a demonstrated </w:t>
      </w:r>
      <w:r w:rsidR="00CC680D">
        <w:t xml:space="preserve">need for </w:t>
      </w:r>
      <w:r w:rsidR="00746283">
        <w:t xml:space="preserve">information and education on </w:t>
      </w:r>
      <w:r w:rsidR="00B70232">
        <w:t xml:space="preserve">the RRTA – including </w:t>
      </w:r>
      <w:r w:rsidR="009A72D5">
        <w:t xml:space="preserve">what the law says, who it applies to and what to do if </w:t>
      </w:r>
      <w:r w:rsidR="00972643">
        <w:t>someone experiences hate</w:t>
      </w:r>
      <w:r w:rsidR="00A5778A">
        <w:t xml:space="preserve">. </w:t>
      </w:r>
      <w:r w:rsidR="008159A4">
        <w:t>There is also a need for information in different languages to increase access</w:t>
      </w:r>
      <w:r>
        <w:t xml:space="preserve"> to the law</w:t>
      </w:r>
      <w:r w:rsidR="008159A4">
        <w:t>.</w:t>
      </w:r>
      <w:r w:rsidR="008159A4">
        <w:rPr>
          <w:rStyle w:val="EndnoteReference"/>
        </w:rPr>
        <w:endnoteReference w:id="359"/>
      </w:r>
    </w:p>
    <w:p w14:paraId="435A7B8D" w14:textId="52F7469B" w:rsidR="00746283" w:rsidRDefault="00116598" w:rsidP="00E96BFD">
      <w:pPr>
        <w:pStyle w:val="Quote"/>
        <w:ind w:left="0"/>
      </w:pPr>
      <w:r>
        <w:t>Information</w:t>
      </w:r>
      <w:r w:rsidR="00884BDC">
        <w:t xml:space="preserve"> and education </w:t>
      </w:r>
      <w:r w:rsidR="00A5778A">
        <w:t xml:space="preserve">will be particularly critical following any reforms to the law, including extending legal protections to other groups of people, including LGBTIQ people, women and people with a disability. </w:t>
      </w:r>
      <w:r w:rsidR="00884BDC">
        <w:t xml:space="preserve">It is critical that people </w:t>
      </w:r>
      <w:r>
        <w:t xml:space="preserve">who are protected by the law are aware of their rights and know how to exercise them. </w:t>
      </w:r>
      <w:r w:rsidR="00E96BFD">
        <w:t>As explained simply by a participant in the Commission’s survey, ‘p</w:t>
      </w:r>
      <w:r w:rsidR="00E96BFD" w:rsidRPr="00E96BFD">
        <w:t>eople need to be educated on how to report and where to go</w:t>
      </w:r>
      <w:r w:rsidR="00E96BFD">
        <w:t>’.</w:t>
      </w:r>
    </w:p>
    <w:p w14:paraId="30110704" w14:textId="1816E5B6" w:rsidR="00AD63AC" w:rsidRDefault="00FC1DEF" w:rsidP="008029D0">
      <w:pPr>
        <w:pStyle w:val="BodyText"/>
      </w:pPr>
      <w:r>
        <w:t>As set out in part</w:t>
      </w:r>
      <w:r w:rsidR="004A6FB2">
        <w:t xml:space="preserve"> 2.1.2,</w:t>
      </w:r>
      <w:r>
        <w:t xml:space="preserve"> the Commission has worked to increase public awareness of the RRTA</w:t>
      </w:r>
      <w:r w:rsidR="00734B04">
        <w:t>, including</w:t>
      </w:r>
      <w:r>
        <w:t xml:space="preserve"> through our Reducing Racism project</w:t>
      </w:r>
      <w:r w:rsidR="00734B04">
        <w:t xml:space="preserve"> and Community Reporting Tool. However, we know that more work needs to be done to ensure that th</w:t>
      </w:r>
      <w:r w:rsidR="000E1C86">
        <w:t>at the law is visible and accessible in the Victorian community</w:t>
      </w:r>
      <w:r w:rsidR="008029D0">
        <w:t>.</w:t>
      </w:r>
    </w:p>
    <w:p w14:paraId="3468F398" w14:textId="689298E1" w:rsidR="00464967" w:rsidRDefault="00DD1D7F" w:rsidP="00464967">
      <w:pPr>
        <w:pStyle w:val="BodyText"/>
        <w:rPr>
          <w:rStyle w:val="Characterclear"/>
          <w:lang w:eastAsia="en-US"/>
        </w:rPr>
      </w:pPr>
      <w:r>
        <w:t xml:space="preserve">Importantly, </w:t>
      </w:r>
      <w:r w:rsidR="00161593">
        <w:t>information and education</w:t>
      </w:r>
      <w:r>
        <w:t xml:space="preserve"> </w:t>
      </w:r>
      <w:r w:rsidR="0073165A">
        <w:t xml:space="preserve">should be developed </w:t>
      </w:r>
      <w:r w:rsidR="00BB2193">
        <w:t>in partnership with</w:t>
      </w:r>
      <w:r w:rsidR="00D27FBA">
        <w:t>, and where possible, implemented by</w:t>
      </w:r>
      <w:r w:rsidR="0073165A">
        <w:t xml:space="preserve"> the communities who are protected by Victoria’s reformed vilification laws. </w:t>
      </w:r>
      <w:r w:rsidR="00D27FBA">
        <w:t>As explained by</w:t>
      </w:r>
      <w:r w:rsidR="00697E91">
        <w:t xml:space="preserve"> </w:t>
      </w:r>
      <w:r w:rsidR="00DF6526">
        <w:t>a young African community leader</w:t>
      </w:r>
      <w:r w:rsidR="00D27FBA">
        <w:rPr>
          <w:rStyle w:val="Characterclear"/>
        </w:rPr>
        <w:t xml:space="preserve">, </w:t>
      </w:r>
      <w:r w:rsidR="00464967">
        <w:rPr>
          <w:rStyle w:val="Characterclear"/>
        </w:rPr>
        <w:t xml:space="preserve">education should be community-led, noting that </w:t>
      </w:r>
      <w:r w:rsidR="007E5EE8">
        <w:rPr>
          <w:rStyle w:val="Characterclear"/>
        </w:rPr>
        <w:t>“</w:t>
      </w:r>
      <w:r w:rsidR="00464967">
        <w:rPr>
          <w:rStyle w:val="Characterclear"/>
        </w:rPr>
        <w:t>when you provide education to a group, the educators should be from that group</w:t>
      </w:r>
      <w:r w:rsidR="007E5EE8">
        <w:rPr>
          <w:rStyle w:val="Characterclear"/>
        </w:rPr>
        <w:t>”</w:t>
      </w:r>
      <w:r w:rsidR="00464967" w:rsidRPr="00464967">
        <w:rPr>
          <w:rStyle w:val="Characterclear"/>
        </w:rPr>
        <w:t>.</w:t>
      </w:r>
      <w:r w:rsidR="00464967" w:rsidRPr="00464967">
        <w:rPr>
          <w:rStyle w:val="EndnoteReference"/>
        </w:rPr>
        <w:endnoteReference w:id="360"/>
      </w:r>
      <w:r w:rsidR="0057767D">
        <w:rPr>
          <w:rStyle w:val="Characterclear"/>
        </w:rPr>
        <w:t xml:space="preserve"> </w:t>
      </w:r>
      <w:r w:rsidR="00E605E3">
        <w:rPr>
          <w:rStyle w:val="Characterclear"/>
        </w:rPr>
        <w:t xml:space="preserve">He </w:t>
      </w:r>
      <w:r w:rsidR="00011817">
        <w:rPr>
          <w:rStyle w:val="Characterclear"/>
        </w:rPr>
        <w:t>further explained</w:t>
      </w:r>
      <w:r w:rsidR="0057767D">
        <w:rPr>
          <w:rStyle w:val="Characterclear"/>
        </w:rPr>
        <w:t xml:space="preserve">: </w:t>
      </w:r>
    </w:p>
    <w:p w14:paraId="286AD049" w14:textId="3461E3C7" w:rsidR="0057767D" w:rsidRPr="00464967" w:rsidRDefault="007E5EE8" w:rsidP="0057767D">
      <w:pPr>
        <w:pStyle w:val="Quote"/>
        <w:rPr>
          <w:rStyle w:val="Characterclear"/>
        </w:rPr>
      </w:pPr>
      <w:r>
        <w:rPr>
          <w:rStyle w:val="Characterclear"/>
        </w:rPr>
        <w:t>“</w:t>
      </w:r>
      <w:r w:rsidR="0057767D">
        <w:rPr>
          <w:rStyle w:val="Characterclear"/>
        </w:rPr>
        <w:t>Co-designing and educating from within communities works because there is a shared understanding – knowing each other’s story helps people develop trust and guide them to where they need to be</w:t>
      </w:r>
      <w:r>
        <w:rPr>
          <w:rStyle w:val="Characterclear"/>
        </w:rPr>
        <w:t>”</w:t>
      </w:r>
      <w:r w:rsidR="0057767D">
        <w:rPr>
          <w:rStyle w:val="Characterclear"/>
        </w:rPr>
        <w:t>.</w:t>
      </w:r>
      <w:r w:rsidR="0057767D">
        <w:rPr>
          <w:rStyle w:val="EndnoteReference"/>
          <w:lang w:eastAsia="en-AU"/>
        </w:rPr>
        <w:endnoteReference w:id="361"/>
      </w:r>
    </w:p>
    <w:p w14:paraId="38720C8A" w14:textId="52D121AC" w:rsidR="00DF6526" w:rsidRDefault="00383A69" w:rsidP="00F02023">
      <w:pPr>
        <w:pStyle w:val="BodyText"/>
      </w:pPr>
      <w:r>
        <w:t xml:space="preserve">The Commission also heard that </w:t>
      </w:r>
      <w:r w:rsidR="0080718B">
        <w:t xml:space="preserve">some communities may be reluctant to approach police, legal services or government agencies due to distrust. Instead, some </w:t>
      </w:r>
      <w:r>
        <w:t>people</w:t>
      </w:r>
      <w:r w:rsidR="0080718B">
        <w:t xml:space="preserve"> prefer to approach community leaders or organisations for help. For this reason, relevant community organisations indicated that they need more support </w:t>
      </w:r>
      <w:r w:rsidR="000808CE">
        <w:t xml:space="preserve">to help their </w:t>
      </w:r>
      <w:r w:rsidR="000808CE">
        <w:lastRenderedPageBreak/>
        <w:t>communities</w:t>
      </w:r>
      <w:r w:rsidR="0080718B">
        <w:t xml:space="preserve"> to understand the law, make effective referrals and support people who experience vilification through a complaints process where necessary.</w:t>
      </w:r>
      <w:r w:rsidR="006F753B">
        <w:rPr>
          <w:rStyle w:val="EndnoteReference"/>
        </w:rPr>
        <w:endnoteReference w:id="362"/>
      </w:r>
      <w:r w:rsidR="002A71D5">
        <w:t xml:space="preserve"> </w:t>
      </w:r>
    </w:p>
    <w:p w14:paraId="650BF292" w14:textId="431266F7" w:rsidR="002A71D5" w:rsidRDefault="00DF6526" w:rsidP="00F02023">
      <w:pPr>
        <w:pStyle w:val="BodyText"/>
      </w:pPr>
      <w:r>
        <w:t>Further i</w:t>
      </w:r>
      <w:r w:rsidR="002A71D5">
        <w:t xml:space="preserve">nvestment </w:t>
      </w:r>
      <w:r>
        <w:t xml:space="preserve">to enable the delivery of education and the promotion of Victoria’s reformed vilification laws is required. Education should be carried out by both the Commission, other key bodies and community organisations </w:t>
      </w:r>
      <w:r w:rsidR="002B3399">
        <w:t xml:space="preserve">to strengthen the link between the law and targeted communities. </w:t>
      </w:r>
    </w:p>
    <w:tbl>
      <w:tblPr>
        <w:tblStyle w:val="CustomTablerecommendationsbox"/>
        <w:tblW w:w="0" w:type="auto"/>
        <w:tblLook w:val="04A0" w:firstRow="1" w:lastRow="0" w:firstColumn="1" w:lastColumn="0" w:noHBand="0" w:noVBand="1"/>
      </w:tblPr>
      <w:tblGrid>
        <w:gridCol w:w="9061"/>
      </w:tblGrid>
      <w:tr w:rsidR="00D12560" w14:paraId="5A610002" w14:textId="77777777" w:rsidTr="00D12560">
        <w:tc>
          <w:tcPr>
            <w:tcW w:w="9061" w:type="dxa"/>
          </w:tcPr>
          <w:p w14:paraId="73673463" w14:textId="77777777" w:rsidR="00D12560" w:rsidRDefault="00D12560" w:rsidP="00D12560">
            <w:pPr>
              <w:pStyle w:val="RecommendationList"/>
            </w:pPr>
          </w:p>
          <w:p w14:paraId="60DCA559" w14:textId="12D7D17C" w:rsidR="00783FB7" w:rsidRDefault="00D12560" w:rsidP="00CA34D3">
            <w:pPr>
              <w:pStyle w:val="BodyText"/>
            </w:pPr>
            <w:r>
              <w:t xml:space="preserve">The Victorian Government </w:t>
            </w:r>
            <w:r w:rsidR="00F639F1">
              <w:t xml:space="preserve">should </w:t>
            </w:r>
            <w:r>
              <w:t>fund the Victorian Equal Opportunity and Human Rights Commission</w:t>
            </w:r>
            <w:r w:rsidR="00D11A7B">
              <w:t xml:space="preserve"> and other relevant organisations</w:t>
            </w:r>
            <w:r>
              <w:t xml:space="preserve"> to</w:t>
            </w:r>
            <w:r w:rsidR="00783FB7">
              <w:t xml:space="preserve">: </w:t>
            </w:r>
          </w:p>
          <w:p w14:paraId="2D513001" w14:textId="398BE201" w:rsidR="00EC146D" w:rsidRDefault="00EC146D" w:rsidP="00011817">
            <w:pPr>
              <w:pStyle w:val="ListBullet"/>
            </w:pPr>
            <w:r>
              <w:t xml:space="preserve">provide education </w:t>
            </w:r>
            <w:r w:rsidR="00B339D7">
              <w:t xml:space="preserve">and support </w:t>
            </w:r>
            <w:r>
              <w:t xml:space="preserve">to </w:t>
            </w:r>
            <w:r w:rsidR="001F2D7C">
              <w:t xml:space="preserve">relevant </w:t>
            </w:r>
            <w:r>
              <w:t xml:space="preserve">community organisations to </w:t>
            </w:r>
            <w:r w:rsidR="00375941">
              <w:t xml:space="preserve">equip them </w:t>
            </w:r>
            <w:r w:rsidR="001F2D7C">
              <w:t>to better</w:t>
            </w:r>
            <w:r w:rsidR="00375941">
              <w:t xml:space="preserve"> support </w:t>
            </w:r>
            <w:r w:rsidR="00B339D7">
              <w:t xml:space="preserve">their </w:t>
            </w:r>
            <w:r w:rsidR="00375941">
              <w:t xml:space="preserve">communities </w:t>
            </w:r>
            <w:r>
              <w:t xml:space="preserve">to understand </w:t>
            </w:r>
            <w:r w:rsidR="00375941">
              <w:t>and exercise their rights</w:t>
            </w:r>
          </w:p>
          <w:p w14:paraId="7C761DC5" w14:textId="5B6A7050" w:rsidR="00D11A7B" w:rsidRPr="00CA34D3" w:rsidRDefault="004A7AD4" w:rsidP="00011817">
            <w:pPr>
              <w:pStyle w:val="ListBullet"/>
            </w:pPr>
            <w:r>
              <w:t xml:space="preserve">develop </w:t>
            </w:r>
            <w:r w:rsidR="00420CC8">
              <w:t xml:space="preserve">targeted </w:t>
            </w:r>
            <w:r>
              <w:t xml:space="preserve">educational resources </w:t>
            </w:r>
            <w:r w:rsidR="00BC570A">
              <w:t xml:space="preserve">(in partnership with relevant community organisations) on what the law says, who it applies to and options for redress for communities who will be protected by Victoria’s reformed vilification laws. </w:t>
            </w:r>
            <w:r w:rsidR="00D11A7B" w:rsidRPr="00747F92">
              <w:t xml:space="preserve"> </w:t>
            </w:r>
          </w:p>
        </w:tc>
      </w:tr>
    </w:tbl>
    <w:p w14:paraId="484146B0" w14:textId="3CD710B8" w:rsidR="00DD15B1" w:rsidRDefault="00DD15B1" w:rsidP="00655EEF">
      <w:pPr>
        <w:pStyle w:val="Heading2"/>
      </w:pPr>
      <w:bookmarkStart w:id="39" w:name="_Toc31392351"/>
      <w:r>
        <w:t>Addressing the barriers to reporting</w:t>
      </w:r>
      <w:bookmarkEnd w:id="39"/>
      <w:r>
        <w:t xml:space="preserve"> </w:t>
      </w:r>
    </w:p>
    <w:p w14:paraId="1F5216EF" w14:textId="0F7A3633" w:rsidR="0068685E" w:rsidRDefault="0068685E" w:rsidP="004C4DD5">
      <w:pPr>
        <w:pStyle w:val="BodyText"/>
      </w:pPr>
      <w:r>
        <w:t>As set out in par</w:t>
      </w:r>
      <w:r w:rsidR="00937DD5">
        <w:t>t 4.1.2</w:t>
      </w:r>
      <w:r>
        <w:t xml:space="preserve">, </w:t>
      </w:r>
      <w:r w:rsidR="004A6F54">
        <w:t xml:space="preserve">there are a range of reasons why people </w:t>
      </w:r>
      <w:r w:rsidR="00BD7AEB">
        <w:t>don’t</w:t>
      </w:r>
      <w:r w:rsidR="004A6F54">
        <w:t xml:space="preserve"> report hate conduct or crime. Th</w:t>
      </w:r>
      <w:r w:rsidR="009E22B3">
        <w:t>ese</w:t>
      </w:r>
      <w:r w:rsidR="004A6F54">
        <w:t xml:space="preserve"> include a lack of awareness of the la</w:t>
      </w:r>
      <w:r w:rsidR="000F5E0D">
        <w:t>w</w:t>
      </w:r>
      <w:r w:rsidR="004A6F54">
        <w:t xml:space="preserve">, </w:t>
      </w:r>
      <w:r w:rsidR="000F5E0D">
        <w:t xml:space="preserve">not knowing where to go to make a report, </w:t>
      </w:r>
      <w:r w:rsidR="00A74913">
        <w:t xml:space="preserve">different cultural perspectives, a reluctance to engage with the criminal justice system, a fear of victimisation, the complex legal tests for vilification, the inability for the Commission to identify unknown respondents, </w:t>
      </w:r>
      <w:r w:rsidR="005B322D">
        <w:t xml:space="preserve">and the inability to make a representative complaint without identifying a named complainant. </w:t>
      </w:r>
    </w:p>
    <w:p w14:paraId="1FF6221E" w14:textId="534268B5" w:rsidR="004C4DD5" w:rsidRDefault="005A2004" w:rsidP="004C4DD5">
      <w:pPr>
        <w:pStyle w:val="BodyText"/>
      </w:pPr>
      <w:r>
        <w:t xml:space="preserve">As </w:t>
      </w:r>
      <w:r w:rsidR="007B54B5">
        <w:t>recommended earlier</w:t>
      </w:r>
      <w:r>
        <w:t xml:space="preserve"> in this submission, there are some changes to the law that will help to address the </w:t>
      </w:r>
      <w:r w:rsidR="007B54B5">
        <w:t xml:space="preserve">legislative </w:t>
      </w:r>
      <w:r>
        <w:t xml:space="preserve">barriers to reporting. </w:t>
      </w:r>
      <w:r w:rsidR="004C4DD5">
        <w:t xml:space="preserve">Strengthening community awareness of the law and options for redress will </w:t>
      </w:r>
      <w:r w:rsidR="00D16ABA">
        <w:t xml:space="preserve">also </w:t>
      </w:r>
      <w:r w:rsidR="004C4DD5">
        <w:t>help to address the barriers to using the RRTA, by ensuring that communities who are targeted by hate understand and know how to exercise their rights</w:t>
      </w:r>
      <w:r w:rsidR="00285FB4">
        <w:t xml:space="preserve"> (part</w:t>
      </w:r>
      <w:r w:rsidR="00C0463E">
        <w:t xml:space="preserve"> 6.1). </w:t>
      </w:r>
    </w:p>
    <w:p w14:paraId="3BA16706" w14:textId="0308F570" w:rsidR="004E7C7F" w:rsidRDefault="001B5879" w:rsidP="00DD15B1">
      <w:pPr>
        <w:pStyle w:val="BodyText"/>
        <w:rPr>
          <w:rStyle w:val="Characterclear"/>
        </w:rPr>
      </w:pPr>
      <w:r w:rsidRPr="001B5879">
        <w:rPr>
          <w:rStyle w:val="Characterclear"/>
        </w:rPr>
        <w:t xml:space="preserve">Another way </w:t>
      </w:r>
      <w:r>
        <w:rPr>
          <w:rStyle w:val="Characterclear"/>
        </w:rPr>
        <w:t xml:space="preserve">to encourage </w:t>
      </w:r>
      <w:r w:rsidR="00BB79B9">
        <w:rPr>
          <w:rStyle w:val="Characterclear"/>
        </w:rPr>
        <w:t xml:space="preserve">and support </w:t>
      </w:r>
      <w:r>
        <w:rPr>
          <w:rStyle w:val="Characterclear"/>
        </w:rPr>
        <w:t xml:space="preserve">reporting </w:t>
      </w:r>
      <w:r w:rsidR="00BB79B9">
        <w:rPr>
          <w:rStyle w:val="Characterclear"/>
        </w:rPr>
        <w:t>by diverse communities</w:t>
      </w:r>
      <w:r>
        <w:rPr>
          <w:rStyle w:val="Characterclear"/>
        </w:rPr>
        <w:t xml:space="preserve"> is to </w:t>
      </w:r>
      <w:r w:rsidR="008E23D8">
        <w:rPr>
          <w:rStyle w:val="Characterclear"/>
        </w:rPr>
        <w:t xml:space="preserve">develop simple, accessible and informal reporting tools for people who choose not to make a formal report to the Commission, VCAT or Victoria Police. </w:t>
      </w:r>
      <w:r w:rsidR="00426883" w:rsidRPr="00426883">
        <w:t xml:space="preserve">For example, one respondent </w:t>
      </w:r>
      <w:r w:rsidR="00500BCE">
        <w:t xml:space="preserve">to the Commission’s survey </w:t>
      </w:r>
      <w:r w:rsidR="00426883" w:rsidRPr="00426883">
        <w:t>said that ‘reporting avenues/mechanisms need to be simplified, made more accessible and marketed better’ and another said that ‘simple web-based reporting system would be good’.</w:t>
      </w:r>
    </w:p>
    <w:p w14:paraId="31391142" w14:textId="5295D2C9" w:rsidR="004C4DD5" w:rsidRDefault="00500BCE" w:rsidP="00DD15B1">
      <w:pPr>
        <w:pStyle w:val="BodyText"/>
        <w:rPr>
          <w:rStyle w:val="Characterclear"/>
        </w:rPr>
      </w:pPr>
      <w:r>
        <w:rPr>
          <w:rStyle w:val="Characterclear"/>
        </w:rPr>
        <w:t>In</w:t>
      </w:r>
      <w:r w:rsidR="00C82189">
        <w:rPr>
          <w:rStyle w:val="Characterclear"/>
        </w:rPr>
        <w:t xml:space="preserve"> 2019, in partnership with Code for Australia, the Commission developed a Community Reporting Tool that provides new pathways for people to access the Commission. The tool is a simple form that is embedded on the websites of participating community organisations and local councils. The tool allows people visiting those websites to share their experiences of discrimination and vilification. These reports are secure, confidential and delivered directly to the Commission. </w:t>
      </w:r>
    </w:p>
    <w:p w14:paraId="3B25DA98" w14:textId="66DF34C4" w:rsidR="004E7C7F" w:rsidRDefault="00936858" w:rsidP="00DD15B1">
      <w:pPr>
        <w:pStyle w:val="BodyText"/>
        <w:rPr>
          <w:rStyle w:val="Characterclear"/>
        </w:rPr>
      </w:pPr>
      <w:r>
        <w:rPr>
          <w:rStyle w:val="Characterclear"/>
        </w:rPr>
        <w:t xml:space="preserve">The Community Reporting Tool </w:t>
      </w:r>
      <w:r w:rsidR="009C38D7">
        <w:rPr>
          <w:rStyle w:val="Characterclear"/>
        </w:rPr>
        <w:t xml:space="preserve">and other online reporting tools </w:t>
      </w:r>
      <w:r>
        <w:rPr>
          <w:rStyle w:val="Characterclear"/>
        </w:rPr>
        <w:t>should be</w:t>
      </w:r>
      <w:r w:rsidR="009C38D7">
        <w:rPr>
          <w:rStyle w:val="Characterclear"/>
        </w:rPr>
        <w:t xml:space="preserve"> tested and</w:t>
      </w:r>
      <w:r w:rsidR="00E54074">
        <w:rPr>
          <w:rStyle w:val="Characterclear"/>
        </w:rPr>
        <w:t xml:space="preserve"> </w:t>
      </w:r>
      <w:r>
        <w:rPr>
          <w:rStyle w:val="Characterclear"/>
        </w:rPr>
        <w:t>promot</w:t>
      </w:r>
      <w:r w:rsidR="009C38D7">
        <w:rPr>
          <w:rStyle w:val="Characterclear"/>
        </w:rPr>
        <w:t>ed</w:t>
      </w:r>
      <w:r w:rsidR="00392CFE">
        <w:rPr>
          <w:rStyle w:val="Characterclear"/>
        </w:rPr>
        <w:t xml:space="preserve"> to</w:t>
      </w:r>
      <w:r>
        <w:rPr>
          <w:rStyle w:val="Characterclear"/>
        </w:rPr>
        <w:t xml:space="preserve"> any new communities who will </w:t>
      </w:r>
      <w:r w:rsidR="00E54074">
        <w:rPr>
          <w:rStyle w:val="Characterclear"/>
        </w:rPr>
        <w:t xml:space="preserve">be </w:t>
      </w:r>
      <w:r>
        <w:rPr>
          <w:rStyle w:val="Characterclear"/>
        </w:rPr>
        <w:t xml:space="preserve">protected by Victoria’s reformed vilification laws. </w:t>
      </w:r>
      <w:r w:rsidR="00E54074" w:rsidRPr="00E54074">
        <w:rPr>
          <w:rStyle w:val="Characterclear"/>
        </w:rPr>
        <w:t>The Community Reporting Tool is an effective way to address the barriers to reporting and to ensure that there are alternative pathways to formal reporting.</w:t>
      </w:r>
    </w:p>
    <w:p w14:paraId="11C4335D" w14:textId="3FF75E47" w:rsidR="00E57922" w:rsidRDefault="00E57922" w:rsidP="00DD15B1">
      <w:pPr>
        <w:pStyle w:val="BodyText"/>
        <w:rPr>
          <w:rStyle w:val="Characterclear"/>
        </w:rPr>
      </w:pPr>
      <w:r>
        <w:rPr>
          <w:rStyle w:val="Characterclear"/>
        </w:rPr>
        <w:t xml:space="preserve">The Commission also </w:t>
      </w:r>
      <w:r w:rsidR="002D2F3C">
        <w:rPr>
          <w:rStyle w:val="Characterclear"/>
        </w:rPr>
        <w:t>recognises the benefit of</w:t>
      </w:r>
      <w:r>
        <w:rPr>
          <w:rStyle w:val="Characterclear"/>
        </w:rPr>
        <w:t xml:space="preserve"> other reporting </w:t>
      </w:r>
      <w:r w:rsidR="00F841A4">
        <w:rPr>
          <w:rStyle w:val="Characterclear"/>
        </w:rPr>
        <w:t xml:space="preserve">mechanisms that have been </w:t>
      </w:r>
      <w:r w:rsidR="002D2F3C">
        <w:rPr>
          <w:rStyle w:val="Characterclear"/>
        </w:rPr>
        <w:t xml:space="preserve">proactively </w:t>
      </w:r>
      <w:r w:rsidR="00F841A4">
        <w:rPr>
          <w:rStyle w:val="Characterclear"/>
        </w:rPr>
        <w:t xml:space="preserve">developed by communities in Australia, including the </w:t>
      </w:r>
      <w:r w:rsidR="00BD2043">
        <w:rPr>
          <w:rStyle w:val="Characterclear"/>
        </w:rPr>
        <w:lastRenderedPageBreak/>
        <w:t xml:space="preserve">Islamophobia Register, </w:t>
      </w:r>
      <w:r w:rsidR="00812953">
        <w:rPr>
          <w:rStyle w:val="Characterclear"/>
        </w:rPr>
        <w:t>anti-Semitism reporting mechanisms</w:t>
      </w:r>
      <w:r w:rsidR="00FD42B5">
        <w:rPr>
          <w:rStyle w:val="EndnoteReference"/>
          <w:lang w:eastAsia="en-AU"/>
        </w:rPr>
        <w:endnoteReference w:id="363"/>
      </w:r>
      <w:r w:rsidR="00812953">
        <w:rPr>
          <w:rStyle w:val="Characterclear"/>
        </w:rPr>
        <w:t xml:space="preserve">, and most recently, </w:t>
      </w:r>
      <w:r w:rsidR="002D2F3C">
        <w:rPr>
          <w:rStyle w:val="Characterclear"/>
        </w:rPr>
        <w:t>a</w:t>
      </w:r>
      <w:r w:rsidR="00AC3B6A">
        <w:rPr>
          <w:rStyle w:val="Characterclear"/>
        </w:rPr>
        <w:t>n internal</w:t>
      </w:r>
      <w:r w:rsidR="002D2F3C">
        <w:rPr>
          <w:rStyle w:val="Characterclear"/>
        </w:rPr>
        <w:t xml:space="preserve"> register to record hate incidents in the African community.</w:t>
      </w:r>
      <w:r w:rsidR="002D2F3C">
        <w:rPr>
          <w:rStyle w:val="EndnoteReference"/>
          <w:lang w:eastAsia="en-AU"/>
        </w:rPr>
        <w:endnoteReference w:id="364"/>
      </w:r>
    </w:p>
    <w:p w14:paraId="2FB117E1" w14:textId="1ABDFF90" w:rsidR="00674722" w:rsidRDefault="003822D0" w:rsidP="00545067">
      <w:pPr>
        <w:pStyle w:val="Heading2"/>
      </w:pPr>
      <w:bookmarkStart w:id="40" w:name="_Toc31392352"/>
      <w:r>
        <w:t>Promoting the celebration of diversity</w:t>
      </w:r>
      <w:bookmarkEnd w:id="40"/>
    </w:p>
    <w:p w14:paraId="0269DC2C" w14:textId="1F37415C" w:rsidR="00483430" w:rsidRDefault="00687D96" w:rsidP="00674722">
      <w:pPr>
        <w:pStyle w:val="BodyText"/>
      </w:pPr>
      <w:r>
        <w:t xml:space="preserve">As set out in part </w:t>
      </w:r>
      <w:r w:rsidR="007E30DE">
        <w:t>3.1,</w:t>
      </w:r>
      <w:r>
        <w:t xml:space="preserve"> negative attitudes towards people because of their identity continue to persist in Australia and can underpin hate conduct in the community. For this reason, </w:t>
      </w:r>
      <w:r w:rsidR="009E0E43">
        <w:t xml:space="preserve">it is important to </w:t>
      </w:r>
      <w:r w:rsidR="00483430">
        <w:t xml:space="preserve">continue to </w:t>
      </w:r>
      <w:r w:rsidR="009E0E43">
        <w:t xml:space="preserve">promote respect for and the celebration of diversity in the Victorian community as a </w:t>
      </w:r>
      <w:r w:rsidR="00EA1EC1">
        <w:t xml:space="preserve">key preventative </w:t>
      </w:r>
      <w:r w:rsidR="009E0E43">
        <w:t xml:space="preserve">mechanism </w:t>
      </w:r>
      <w:r w:rsidR="00EA1EC1">
        <w:t>to reduce</w:t>
      </w:r>
      <w:r w:rsidR="009E0E43">
        <w:t xml:space="preserve"> </w:t>
      </w:r>
      <w:r w:rsidR="00EA1EC1">
        <w:t>hate</w:t>
      </w:r>
      <w:r w:rsidR="009E0E43">
        <w:t xml:space="preserve">. </w:t>
      </w:r>
    </w:p>
    <w:p w14:paraId="7C9E16DC" w14:textId="2F1F74C6" w:rsidR="00483430" w:rsidRDefault="00D8499F" w:rsidP="00674722">
      <w:pPr>
        <w:pStyle w:val="BodyText"/>
      </w:pPr>
      <w:r w:rsidRPr="00D8499F">
        <w:t>As one participant in the Commission’s online survey said, there should be ‘more awareness in the community to remove misconceptions/stereotypes about particular races/religions’. The Ballarat African Association also noted the importance of promoting a positive image of diverse communities in Victoria.</w:t>
      </w:r>
      <w:r w:rsidRPr="00D8499F">
        <w:rPr>
          <w:rStyle w:val="EndnoteReference"/>
        </w:rPr>
        <w:endnoteReference w:id="365"/>
      </w:r>
      <w:r w:rsidR="00030D28">
        <w:t xml:space="preserve"> Similarly</w:t>
      </w:r>
      <w:r w:rsidR="00892E95">
        <w:t xml:space="preserve">, </w:t>
      </w:r>
      <w:r w:rsidR="00CD5E17">
        <w:t>during our roundtables on serious harm</w:t>
      </w:r>
      <w:r w:rsidR="002B7517">
        <w:t>,</w:t>
      </w:r>
      <w:r w:rsidR="002C6A47">
        <w:t xml:space="preserve"> </w:t>
      </w:r>
      <w:r w:rsidR="00892E95">
        <w:t xml:space="preserve">religious leaders raised concerns about the </w:t>
      </w:r>
      <w:r w:rsidR="006D14AF">
        <w:t>negative portrayal</w:t>
      </w:r>
      <w:r w:rsidR="00892E95">
        <w:t xml:space="preserve"> of </w:t>
      </w:r>
      <w:r w:rsidR="006D14AF">
        <w:t>religion</w:t>
      </w:r>
      <w:r w:rsidR="00892E95">
        <w:t xml:space="preserve"> and religious communities in the media</w:t>
      </w:r>
      <w:r w:rsidR="0012593D">
        <w:t xml:space="preserve">, </w:t>
      </w:r>
      <w:r w:rsidR="002C6A47">
        <w:t xml:space="preserve">the </w:t>
      </w:r>
      <w:r w:rsidR="0012593D">
        <w:t xml:space="preserve">absence of religious minority representation </w:t>
      </w:r>
      <w:r w:rsidR="00483155">
        <w:t>and</w:t>
      </w:r>
      <w:r w:rsidR="006D14AF">
        <w:t xml:space="preserve"> a</w:t>
      </w:r>
      <w:r w:rsidR="00483155">
        <w:t xml:space="preserve"> </w:t>
      </w:r>
      <w:r w:rsidR="006D14AF">
        <w:t>lack</w:t>
      </w:r>
      <w:r w:rsidR="00483155">
        <w:t xml:space="preserve"> of ‘</w:t>
      </w:r>
      <w:r w:rsidR="00AE70AC">
        <w:t>religious literacy</w:t>
      </w:r>
      <w:r w:rsidR="0073305D">
        <w:t xml:space="preserve">’ </w:t>
      </w:r>
      <w:r w:rsidR="0012593D">
        <w:t xml:space="preserve">by mainstream media </w:t>
      </w:r>
      <w:r w:rsidR="0073305D">
        <w:t>contri</w:t>
      </w:r>
      <w:r w:rsidR="005A7AA9">
        <w:t xml:space="preserve">buting to </w:t>
      </w:r>
      <w:r w:rsidR="005C39E8">
        <w:t>a culture hate</w:t>
      </w:r>
      <w:r w:rsidR="000664E4">
        <w:t xml:space="preserve"> and </w:t>
      </w:r>
      <w:r w:rsidR="0012593D">
        <w:t>bigotry</w:t>
      </w:r>
      <w:r w:rsidR="000664E4">
        <w:t>.</w:t>
      </w:r>
    </w:p>
    <w:p w14:paraId="65BFC755" w14:textId="2F7066E1" w:rsidR="00674722" w:rsidRDefault="00D8499F" w:rsidP="00674722">
      <w:pPr>
        <w:pStyle w:val="BodyText"/>
      </w:pPr>
      <w:r>
        <w:t xml:space="preserve">To complement any reforms to Victoria’s vilification laws, the </w:t>
      </w:r>
      <w:r w:rsidR="00F12282">
        <w:t xml:space="preserve">Commission considers that it would beneficial to run a public awareness to promote diversity and social cohesion in Victoria, and to </w:t>
      </w:r>
      <w:r w:rsidR="00B544C6">
        <w:t xml:space="preserve">increase understanding and respect for communities who are covered by reformed laws. </w:t>
      </w:r>
      <w:r w:rsidR="00514693">
        <w:t xml:space="preserve">This would help to combat negative attitudes in the community and ensure that the Victorian Government is sending a strong message about the benefits of diversity for the whole community. </w:t>
      </w:r>
    </w:p>
    <w:tbl>
      <w:tblPr>
        <w:tblStyle w:val="CustomTablerecommendationsbox"/>
        <w:tblW w:w="0" w:type="auto"/>
        <w:tblLook w:val="04A0" w:firstRow="1" w:lastRow="0" w:firstColumn="1" w:lastColumn="0" w:noHBand="0" w:noVBand="1"/>
      </w:tblPr>
      <w:tblGrid>
        <w:gridCol w:w="9061"/>
      </w:tblGrid>
      <w:tr w:rsidR="00674722" w14:paraId="31C4728C" w14:textId="77777777" w:rsidTr="00674722">
        <w:tc>
          <w:tcPr>
            <w:tcW w:w="9061" w:type="dxa"/>
          </w:tcPr>
          <w:p w14:paraId="614A60C9" w14:textId="77777777" w:rsidR="00674722" w:rsidRDefault="00674722" w:rsidP="00674722">
            <w:pPr>
              <w:pStyle w:val="RecommendationList"/>
            </w:pPr>
          </w:p>
          <w:p w14:paraId="1FE86702" w14:textId="3F7F8EB0" w:rsidR="00674722" w:rsidRPr="00674722" w:rsidRDefault="00674722" w:rsidP="00674722">
            <w:pPr>
              <w:pStyle w:val="BodyText"/>
            </w:pPr>
            <w:r>
              <w:t xml:space="preserve">The Victorian Government should fund a public awareness campaign to </w:t>
            </w:r>
            <w:r w:rsidRPr="00674722">
              <w:t>promote diversity and social cohesion in Victoria</w:t>
            </w:r>
            <w:r w:rsidR="00315BC1">
              <w:t>, and to increase understanding and respect for communities who are disproportionately targeted by hate conduct and crime in the community.</w:t>
            </w:r>
          </w:p>
        </w:tc>
      </w:tr>
    </w:tbl>
    <w:p w14:paraId="41FF7A4B" w14:textId="36BAEC26" w:rsidR="00F02023" w:rsidRDefault="006B381B" w:rsidP="00674722">
      <w:pPr>
        <w:pStyle w:val="Heading2"/>
      </w:pPr>
      <w:bookmarkStart w:id="41" w:name="_Toc31392353"/>
      <w:r>
        <w:t>Improving the</w:t>
      </w:r>
      <w:r w:rsidR="006E056A">
        <w:t xml:space="preserve"> response</w:t>
      </w:r>
      <w:r w:rsidR="003822D0">
        <w:t xml:space="preserve"> to hate</w:t>
      </w:r>
      <w:bookmarkEnd w:id="41"/>
    </w:p>
    <w:p w14:paraId="6E49C539" w14:textId="42B28CF5" w:rsidR="00C80E4C" w:rsidRDefault="00962A98" w:rsidP="00F02023">
      <w:pPr>
        <w:pStyle w:val="BodyText"/>
      </w:pPr>
      <w:r>
        <w:t xml:space="preserve">To effectively </w:t>
      </w:r>
      <w:r w:rsidR="00141A7C">
        <w:t>respond to</w:t>
      </w:r>
      <w:r>
        <w:t xml:space="preserve"> hate in our community, it</w:t>
      </w:r>
      <w:r w:rsidR="0048274F">
        <w:t xml:space="preserve"> is important that </w:t>
      </w:r>
      <w:r w:rsidR="008D529D">
        <w:t xml:space="preserve">key stakeholders – including </w:t>
      </w:r>
      <w:r w:rsidR="00BC4648">
        <w:t>law enforcers,</w:t>
      </w:r>
      <w:r w:rsidR="00F51208">
        <w:t xml:space="preserve"> courts and tribunals</w:t>
      </w:r>
      <w:r w:rsidR="00954D0C">
        <w:t xml:space="preserve"> </w:t>
      </w:r>
      <w:r w:rsidR="008D529D">
        <w:t xml:space="preserve">- </w:t>
      </w:r>
      <w:r w:rsidR="0048274F">
        <w:t xml:space="preserve">are equipped with </w:t>
      </w:r>
      <w:r>
        <w:t>a</w:t>
      </w:r>
      <w:r w:rsidR="00F51208">
        <w:t xml:space="preserve"> clear </w:t>
      </w:r>
      <w:r w:rsidR="00582B11">
        <w:t>understanding</w:t>
      </w:r>
      <w:r>
        <w:t xml:space="preserve"> of </w:t>
      </w:r>
      <w:r w:rsidR="008D529D">
        <w:t>the law</w:t>
      </w:r>
      <w:r w:rsidR="00C80E4C">
        <w:t xml:space="preserve">, the nature of the problem and how to effectively and sensitively respond to </w:t>
      </w:r>
      <w:r w:rsidR="00141A7C">
        <w:t xml:space="preserve">incidents of hate conduct and crime. </w:t>
      </w:r>
      <w:r w:rsidR="00582B11">
        <w:t xml:space="preserve"> </w:t>
      </w:r>
    </w:p>
    <w:p w14:paraId="1AB20D8A" w14:textId="6E5E19A4" w:rsidR="008D529D" w:rsidRDefault="005E6150" w:rsidP="00F02023">
      <w:pPr>
        <w:pStyle w:val="BodyText"/>
      </w:pPr>
      <w:r>
        <w:t xml:space="preserve">Stakeholders </w:t>
      </w:r>
      <w:r w:rsidR="00AA42FF">
        <w:t xml:space="preserve">including </w:t>
      </w:r>
      <w:r w:rsidR="00376100">
        <w:t xml:space="preserve">community organisations, </w:t>
      </w:r>
      <w:r w:rsidR="00AA42FF">
        <w:t>police</w:t>
      </w:r>
      <w:r>
        <w:t>, prosecutors</w:t>
      </w:r>
      <w:r w:rsidR="000423B6">
        <w:t xml:space="preserve"> and judicial officers have the greatest contact with communities who experience hate and should be </w:t>
      </w:r>
      <w:r w:rsidR="005F1298">
        <w:t xml:space="preserve">provided with education to best support the communities they serve. </w:t>
      </w:r>
      <w:r w:rsidR="00DF20E4">
        <w:t xml:space="preserve">Others such as educators, service providers (e.g. security guards) and </w:t>
      </w:r>
      <w:r w:rsidR="00B66287">
        <w:t xml:space="preserve">employers should also be educated on the law and </w:t>
      </w:r>
      <w:r w:rsidR="00B160A7">
        <w:t>being an ‘active bystander’ who can</w:t>
      </w:r>
      <w:r w:rsidR="003913D9">
        <w:t xml:space="preserve"> prevent,</w:t>
      </w:r>
      <w:r w:rsidR="00B160A7">
        <w:t xml:space="preserve"> de-</w:t>
      </w:r>
      <w:r w:rsidR="001854C0">
        <w:t>escalate</w:t>
      </w:r>
      <w:r w:rsidR="003913D9">
        <w:t xml:space="preserve">, </w:t>
      </w:r>
      <w:r w:rsidR="001854C0">
        <w:t>intervene in and report when a</w:t>
      </w:r>
      <w:r w:rsidR="00B160A7">
        <w:t xml:space="preserve"> </w:t>
      </w:r>
      <w:r w:rsidR="001854C0">
        <w:t xml:space="preserve">situation arises. </w:t>
      </w:r>
    </w:p>
    <w:p w14:paraId="123C3C0E" w14:textId="7EA131E6" w:rsidR="00330B48" w:rsidRDefault="000F62C7" w:rsidP="000548AD">
      <w:pPr>
        <w:pStyle w:val="BodyText"/>
      </w:pPr>
      <w:r>
        <w:t xml:space="preserve">Importantly, education should not only focus on the </w:t>
      </w:r>
      <w:r w:rsidR="000548AD">
        <w:t>practical application of the law but on the impact of hate for the people who experience it. For example, one participant in the Commission’s online survey considered that there was a need for a</w:t>
      </w:r>
      <w:r w:rsidR="00330B48" w:rsidRPr="00330B48">
        <w:rPr>
          <w:lang w:val="en-GB"/>
        </w:rPr>
        <w:t xml:space="preserve"> </w:t>
      </w:r>
      <w:r w:rsidR="000548AD">
        <w:t>‘</w:t>
      </w:r>
      <w:r w:rsidR="00330B48" w:rsidRPr="00330B48">
        <w:rPr>
          <w:lang w:val="en-GB"/>
        </w:rPr>
        <w:t>greater understanding by authorities and those in power of the effects that racism and hate have on the mental state of those who experience it</w:t>
      </w:r>
      <w:r w:rsidR="000548AD">
        <w:t>’</w:t>
      </w:r>
      <w:r w:rsidR="00330B48">
        <w:t>.</w:t>
      </w:r>
    </w:p>
    <w:p w14:paraId="7BE95ECE" w14:textId="11D8F0DE" w:rsidR="002833EA" w:rsidRDefault="00C23642" w:rsidP="00C23642">
      <w:pPr>
        <w:pStyle w:val="Heading3"/>
      </w:pPr>
      <w:r>
        <w:lastRenderedPageBreak/>
        <w:t xml:space="preserve">Education and training for police </w:t>
      </w:r>
    </w:p>
    <w:p w14:paraId="7385EEA8" w14:textId="77777777" w:rsidR="00544E3E" w:rsidRDefault="00A94BC5" w:rsidP="002833EA">
      <w:pPr>
        <w:pStyle w:val="BodyText"/>
      </w:pPr>
      <w:r>
        <w:t>Police are often first responders to hate crime and play a critical role in identifying, recording and responding to hate crime. In 2010, Victoria Police became the first police force in Australia to develop a specific strategy for combatting hate crimes.</w:t>
      </w:r>
      <w:r>
        <w:rPr>
          <w:rStyle w:val="EndnoteReference"/>
        </w:rPr>
        <w:endnoteReference w:id="366"/>
      </w:r>
      <w:r w:rsidR="00EA4E35">
        <w:t xml:space="preserve"> </w:t>
      </w:r>
      <w:r w:rsidR="008476E1">
        <w:t>The</w:t>
      </w:r>
      <w:r w:rsidR="00312C99">
        <w:t xml:space="preserve"> strategy aimed to better identify, record and reduce hate crime</w:t>
      </w:r>
      <w:r w:rsidR="008476E1">
        <w:t xml:space="preserve"> recognising the unique needs and vulnerabilities that arise for people who experience hate crime</w:t>
      </w:r>
      <w:r w:rsidR="00312C99">
        <w:t>.</w:t>
      </w:r>
      <w:r w:rsidR="00312C99">
        <w:rPr>
          <w:rStyle w:val="EndnoteReference"/>
        </w:rPr>
        <w:endnoteReference w:id="367"/>
      </w:r>
      <w:r w:rsidR="0012131E">
        <w:t xml:space="preserve"> </w:t>
      </w:r>
    </w:p>
    <w:p w14:paraId="47950894" w14:textId="6254819A" w:rsidR="002833EA" w:rsidRDefault="00544E3E" w:rsidP="002833EA">
      <w:pPr>
        <w:pStyle w:val="BodyText"/>
      </w:pPr>
      <w:r>
        <w:t>A review of the strategy identified that</w:t>
      </w:r>
      <w:r w:rsidR="005C5C15">
        <w:t xml:space="preserve"> </w:t>
      </w:r>
      <w:r>
        <w:t>it</w:t>
      </w:r>
      <w:r w:rsidR="005C5C15">
        <w:t xml:space="preserve"> </w:t>
      </w:r>
      <w:r w:rsidR="008476E1">
        <w:t xml:space="preserve">has </w:t>
      </w:r>
      <w:r w:rsidR="005C5C15">
        <w:t xml:space="preserve">had </w:t>
      </w:r>
      <w:r w:rsidR="00646175">
        <w:t>a limited effect</w:t>
      </w:r>
      <w:r w:rsidR="00646175">
        <w:rPr>
          <w:rStyle w:val="EndnoteReference"/>
        </w:rPr>
        <w:endnoteReference w:id="368"/>
      </w:r>
      <w:r w:rsidR="000372C5">
        <w:t xml:space="preserve"> </w:t>
      </w:r>
      <w:r>
        <w:t>which</w:t>
      </w:r>
      <w:r w:rsidR="000372C5">
        <w:t xml:space="preserve"> </w:t>
      </w:r>
      <w:r w:rsidR="004A600E">
        <w:t>is compounded by</w:t>
      </w:r>
      <w:r w:rsidR="000372C5">
        <w:t xml:space="preserve"> longstanding issues that marginalised communities </w:t>
      </w:r>
      <w:r w:rsidR="004A600E">
        <w:t>have raised about being under-protected and over-policed, including young South Sudanese Victorians,</w:t>
      </w:r>
      <w:r w:rsidR="004A600E">
        <w:rPr>
          <w:rStyle w:val="EndnoteReference"/>
        </w:rPr>
        <w:endnoteReference w:id="369"/>
      </w:r>
      <w:r w:rsidR="00AA6EBB">
        <w:t xml:space="preserve"> </w:t>
      </w:r>
      <w:r w:rsidR="002B5B20">
        <w:t>LGBTIQ people</w:t>
      </w:r>
      <w:r w:rsidR="002B5B20">
        <w:rPr>
          <w:rStyle w:val="EndnoteReference"/>
        </w:rPr>
        <w:endnoteReference w:id="370"/>
      </w:r>
      <w:r w:rsidR="00675079">
        <w:t xml:space="preserve"> and Aboriginal Victorians.</w:t>
      </w:r>
      <w:r w:rsidR="00675079">
        <w:rPr>
          <w:rStyle w:val="EndnoteReference"/>
        </w:rPr>
        <w:endnoteReference w:id="371"/>
      </w:r>
    </w:p>
    <w:p w14:paraId="17225E35" w14:textId="0FE71CF2" w:rsidR="004222CA" w:rsidRPr="00991343" w:rsidRDefault="004222CA" w:rsidP="00991343">
      <w:pPr>
        <w:pStyle w:val="BodyText"/>
      </w:pPr>
      <w:r>
        <w:t>For example, one participant in the Commission’s online survey said</w:t>
      </w:r>
      <w:r w:rsidR="005C5BCC">
        <w:t>,</w:t>
      </w:r>
      <w:r w:rsidR="00991343">
        <w:t xml:space="preserve"> </w:t>
      </w:r>
      <w:r w:rsidR="007E5EE8">
        <w:t>“</w:t>
      </w:r>
      <w:r w:rsidR="00991343">
        <w:t>a</w:t>
      </w:r>
      <w:r w:rsidRPr="00330B48">
        <w:rPr>
          <w:lang w:val="en-GB"/>
        </w:rPr>
        <w:t>fter learning about persistent organisational homophobia within Vic Police, I don't think I would report anything to them unless I was physically assaulted</w:t>
      </w:r>
      <w:r w:rsidR="007E5EE8">
        <w:t>”</w:t>
      </w:r>
      <w:r w:rsidRPr="00330B48">
        <w:rPr>
          <w:lang w:val="en-GB"/>
        </w:rPr>
        <w:t>.</w:t>
      </w:r>
    </w:p>
    <w:p w14:paraId="0DA04A9F" w14:textId="00C11AAC" w:rsidR="005446F2" w:rsidRDefault="005446F2" w:rsidP="005446F2">
      <w:pPr>
        <w:pStyle w:val="BodyText"/>
      </w:pPr>
      <w:r>
        <w:t xml:space="preserve">The Victorian Aboriginal Legal Service told us that </w:t>
      </w:r>
      <w:r w:rsidR="00342502">
        <w:t>there needs to be greater awareness of criminal offences by police and the importance of using them, noting that police sometimes treat hate crime as a civil rather than criminal issue.</w:t>
      </w:r>
      <w:r w:rsidR="002F7003">
        <w:rPr>
          <w:rStyle w:val="EndnoteReference"/>
        </w:rPr>
        <w:endnoteReference w:id="372"/>
      </w:r>
      <w:r w:rsidR="004E062B">
        <w:t xml:space="preserve"> </w:t>
      </w:r>
    </w:p>
    <w:p w14:paraId="492909B6" w14:textId="23CCCDF0" w:rsidR="002E77AD" w:rsidRDefault="0091179A" w:rsidP="0091179A">
      <w:pPr>
        <w:pStyle w:val="BodyText"/>
        <w:rPr>
          <w:rStyle w:val="Characterclear"/>
        </w:rPr>
      </w:pPr>
      <w:r>
        <w:t xml:space="preserve">As set out in part </w:t>
      </w:r>
      <w:r w:rsidR="00341B7D">
        <w:t>4.3.2,</w:t>
      </w:r>
      <w:r>
        <w:t xml:space="preserve"> </w:t>
      </w:r>
      <w:r w:rsidR="00341B7D">
        <w:t>police</w:t>
      </w:r>
      <w:r>
        <w:t xml:space="preserve"> </w:t>
      </w:r>
      <w:r w:rsidR="008652B1">
        <w:t xml:space="preserve">record </w:t>
      </w:r>
      <w:r w:rsidR="00F60EAC">
        <w:t>some</w:t>
      </w:r>
      <w:r w:rsidR="008652B1">
        <w:t xml:space="preserve"> offences</w:t>
      </w:r>
      <w:r w:rsidR="00F0645C">
        <w:t xml:space="preserve"> </w:t>
      </w:r>
      <w:r w:rsidR="00F60EAC">
        <w:t xml:space="preserve">as </w:t>
      </w:r>
      <w:r w:rsidR="00F0645C">
        <w:t xml:space="preserve">prejudicially motivated by sexual orientation, disability, political belief or activity, race or ethnicity or religion. </w:t>
      </w:r>
      <w:r w:rsidRPr="0091179A">
        <w:rPr>
          <w:rStyle w:val="Characterclear"/>
        </w:rPr>
        <w:t xml:space="preserve">However, in practice, this has not translated to prosecutions under the RRTA or to the adequate use of s5(2)(daaa) </w:t>
      </w:r>
      <w:r w:rsidR="00F0645C">
        <w:rPr>
          <w:rStyle w:val="Characterclear"/>
        </w:rPr>
        <w:t xml:space="preserve">of the </w:t>
      </w:r>
      <w:r w:rsidR="00F0645C" w:rsidRPr="007E5EE8">
        <w:rPr>
          <w:rStyle w:val="Characterclear"/>
          <w:i/>
        </w:rPr>
        <w:t>Sentencing Act</w:t>
      </w:r>
      <w:r w:rsidR="007E5EE8">
        <w:rPr>
          <w:rStyle w:val="Characterclear"/>
          <w:i/>
        </w:rPr>
        <w:t xml:space="preserve"> 1991 </w:t>
      </w:r>
      <w:r w:rsidR="007E5EE8">
        <w:rPr>
          <w:rStyle w:val="Characterclear"/>
        </w:rPr>
        <w:t>(Vic)</w:t>
      </w:r>
      <w:r w:rsidR="00F0645C">
        <w:rPr>
          <w:rStyle w:val="Characterclear"/>
        </w:rPr>
        <w:t xml:space="preserve"> </w:t>
      </w:r>
      <w:r w:rsidRPr="0091179A">
        <w:rPr>
          <w:rStyle w:val="Characterclear"/>
        </w:rPr>
        <w:t>by prosecutors in sentencing hearings.</w:t>
      </w:r>
      <w:r w:rsidR="002E77AD">
        <w:rPr>
          <w:rStyle w:val="Characterclear"/>
        </w:rPr>
        <w:t xml:space="preserve"> As explained by Victoria Police, </w:t>
      </w:r>
      <w:r w:rsidR="00296A3E">
        <w:rPr>
          <w:rStyle w:val="Characterclear"/>
        </w:rPr>
        <w:t xml:space="preserve">although an offence may be recorded as being prejudice-motivated, a victim’s attribute isn’t necessarily listed on the charge. </w:t>
      </w:r>
    </w:p>
    <w:p w14:paraId="60329ABA" w14:textId="74710E71" w:rsidR="0062440A" w:rsidRDefault="00C7549E" w:rsidP="0091179A">
      <w:pPr>
        <w:pStyle w:val="BodyText"/>
        <w:rPr>
          <w:rStyle w:val="Characterclear"/>
        </w:rPr>
      </w:pPr>
      <w:r>
        <w:rPr>
          <w:rStyle w:val="Characterclear"/>
        </w:rPr>
        <w:t xml:space="preserve">Following </w:t>
      </w:r>
      <w:r w:rsidR="00687D96">
        <w:rPr>
          <w:rStyle w:val="Characterclear"/>
        </w:rPr>
        <w:t xml:space="preserve">the </w:t>
      </w:r>
      <w:r>
        <w:rPr>
          <w:rStyle w:val="Characterclear"/>
        </w:rPr>
        <w:t xml:space="preserve">review of Victoria’s Police hate crime strategy, </w:t>
      </w:r>
      <w:r w:rsidR="00790674">
        <w:rPr>
          <w:rStyle w:val="Characterclear"/>
        </w:rPr>
        <w:t xml:space="preserve">Mason </w:t>
      </w:r>
      <w:r w:rsidR="00790674" w:rsidRPr="00341B7D">
        <w:rPr>
          <w:rStyle w:val="Characterclear"/>
        </w:rPr>
        <w:t>et al</w:t>
      </w:r>
      <w:r w:rsidR="00790674">
        <w:rPr>
          <w:rStyle w:val="Characterclear"/>
        </w:rPr>
        <w:t xml:space="preserve"> recommended that education and training for Victoria Police </w:t>
      </w:r>
      <w:r w:rsidR="00304A51">
        <w:rPr>
          <w:rStyle w:val="Characterclear"/>
        </w:rPr>
        <w:t xml:space="preserve">on hate crime should: </w:t>
      </w:r>
    </w:p>
    <w:p w14:paraId="0D9A7B4A" w14:textId="7EAC752C" w:rsidR="00304A51" w:rsidRDefault="00304A51" w:rsidP="00392CFE">
      <w:pPr>
        <w:pStyle w:val="ListBullet"/>
        <w:rPr>
          <w:rStyle w:val="Characterclear"/>
        </w:rPr>
      </w:pPr>
      <w:r>
        <w:rPr>
          <w:rStyle w:val="Characterclear"/>
        </w:rPr>
        <w:t>highlight the importance of hate crime prevention and policing</w:t>
      </w:r>
    </w:p>
    <w:p w14:paraId="39180A80" w14:textId="26F3A4F1" w:rsidR="003A028F" w:rsidRDefault="003A028F" w:rsidP="00392CFE">
      <w:pPr>
        <w:pStyle w:val="ListBullet"/>
        <w:rPr>
          <w:rStyle w:val="Characterclear"/>
        </w:rPr>
      </w:pPr>
      <w:r>
        <w:rPr>
          <w:rStyle w:val="Characterclear"/>
        </w:rPr>
        <w:t>be engaging and connected with the personal experiences of officers</w:t>
      </w:r>
    </w:p>
    <w:p w14:paraId="6C0B6A32" w14:textId="5B2578E7" w:rsidR="003A028F" w:rsidRDefault="003A028F" w:rsidP="00392CFE">
      <w:pPr>
        <w:pStyle w:val="ListBullet"/>
        <w:rPr>
          <w:rStyle w:val="Characterclear"/>
        </w:rPr>
      </w:pPr>
      <w:r>
        <w:rPr>
          <w:rStyle w:val="Characterclear"/>
        </w:rPr>
        <w:t xml:space="preserve">reinforce victim-centric approaches already being promoted in the workforce </w:t>
      </w:r>
    </w:p>
    <w:p w14:paraId="6660F6A3" w14:textId="5F452FED" w:rsidR="00296A3E" w:rsidRDefault="003A028F" w:rsidP="00392CFE">
      <w:pPr>
        <w:pStyle w:val="ListBullet"/>
        <w:rPr>
          <w:rStyle w:val="Characterclear"/>
        </w:rPr>
      </w:pPr>
      <w:r>
        <w:rPr>
          <w:rStyle w:val="Characterclear"/>
        </w:rPr>
        <w:t xml:space="preserve">be clear that </w:t>
      </w:r>
      <w:r w:rsidR="00C7549E">
        <w:rPr>
          <w:rStyle w:val="Characterclear"/>
        </w:rPr>
        <w:t>this practice is operationalised within larger performance indicators around human rights principles and community trust.</w:t>
      </w:r>
      <w:r w:rsidR="00C7549E">
        <w:rPr>
          <w:rStyle w:val="EndnoteReference"/>
          <w:lang w:eastAsia="en-AU"/>
        </w:rPr>
        <w:endnoteReference w:id="373"/>
      </w:r>
    </w:p>
    <w:p w14:paraId="7C4C7055" w14:textId="36674C75" w:rsidR="00BF431F" w:rsidRDefault="005169B7" w:rsidP="00BF431F">
      <w:pPr>
        <w:pStyle w:val="BodyText"/>
        <w:rPr>
          <w:rStyle w:val="Characterclear"/>
        </w:rPr>
      </w:pPr>
      <w:r>
        <w:rPr>
          <w:rStyle w:val="Characterclear"/>
        </w:rPr>
        <w:t>Education</w:t>
      </w:r>
      <w:r w:rsidR="00BF431F">
        <w:rPr>
          <w:rStyle w:val="Characterclear"/>
        </w:rPr>
        <w:t xml:space="preserve"> and training for police is critical to ensure that police effectively identify, record and respond to hate crime</w:t>
      </w:r>
      <w:r w:rsidR="00C34E21">
        <w:rPr>
          <w:rStyle w:val="Characterclear"/>
        </w:rPr>
        <w:t xml:space="preserve"> and reduce the barriers to reporting hate crime</w:t>
      </w:r>
      <w:r>
        <w:rPr>
          <w:rStyle w:val="Characterclear"/>
        </w:rPr>
        <w:t xml:space="preserve">. </w:t>
      </w:r>
      <w:r w:rsidR="00C34E21">
        <w:rPr>
          <w:rStyle w:val="Characterclear"/>
        </w:rPr>
        <w:t xml:space="preserve"> </w:t>
      </w:r>
    </w:p>
    <w:p w14:paraId="520986D0" w14:textId="7034295C" w:rsidR="00BF431F" w:rsidRDefault="00C23642" w:rsidP="00C23642">
      <w:pPr>
        <w:pStyle w:val="Heading3"/>
      </w:pPr>
      <w:r>
        <w:t>Education and training for prosecutors</w:t>
      </w:r>
      <w:r w:rsidR="004E062B">
        <w:t xml:space="preserve"> and judicial officers</w:t>
      </w:r>
    </w:p>
    <w:p w14:paraId="2E2DCECD" w14:textId="1F7C17B7" w:rsidR="00133B9B" w:rsidRDefault="008673FF" w:rsidP="00BF431F">
      <w:pPr>
        <w:pStyle w:val="BodyText"/>
      </w:pPr>
      <w:r>
        <w:t xml:space="preserve">As set out in </w:t>
      </w:r>
      <w:r w:rsidR="00A1382D">
        <w:t>parts 4.2.4 and 4.3.1,</w:t>
      </w:r>
      <w:r>
        <w:t xml:space="preserve"> there are a range of barriers to prosecuting</w:t>
      </w:r>
      <w:r w:rsidR="00554B18">
        <w:t xml:space="preserve"> hate crime</w:t>
      </w:r>
      <w:r w:rsidR="0092349A">
        <w:t xml:space="preserve"> under the RRTA</w:t>
      </w:r>
      <w:r w:rsidR="00554B18">
        <w:t xml:space="preserve"> or </w:t>
      </w:r>
      <w:r>
        <w:t>raising</w:t>
      </w:r>
      <w:r w:rsidR="00554B18">
        <w:t xml:space="preserve"> prejudice-motivation as an aggravating factor in sentencing hearings.</w:t>
      </w:r>
      <w:r w:rsidR="00711F1B">
        <w:rPr>
          <w:rStyle w:val="EndnoteReference"/>
        </w:rPr>
        <w:endnoteReference w:id="374"/>
      </w:r>
      <w:r w:rsidR="00AB2A11">
        <w:t xml:space="preserve"> </w:t>
      </w:r>
      <w:r w:rsidR="000C355F">
        <w:t xml:space="preserve">This includes a lack of awareness </w:t>
      </w:r>
      <w:r w:rsidR="00D53126">
        <w:t>and familiarity with the RRTA</w:t>
      </w:r>
      <w:r w:rsidR="00133B9B">
        <w:t>, and the complexity of the criminal offences for serious vilification</w:t>
      </w:r>
      <w:r w:rsidR="00D53126">
        <w:t xml:space="preserve">. </w:t>
      </w:r>
    </w:p>
    <w:p w14:paraId="7F591A55" w14:textId="1077F4DB" w:rsidR="00BF431F" w:rsidRDefault="005169B7" w:rsidP="00BF431F">
      <w:pPr>
        <w:pStyle w:val="BodyText"/>
      </w:pPr>
      <w:r>
        <w:t>Targeted education and training for prosecutors will help to ensure that prosecutors are aware of, understand and more effectively prosecute hate crime</w:t>
      </w:r>
      <w:r w:rsidR="00C949D7">
        <w:t xml:space="preserve"> under the RRTA</w:t>
      </w:r>
      <w:r w:rsidR="00404D5C">
        <w:t>. This includes supporting a better understanding of the nature</w:t>
      </w:r>
      <w:r w:rsidR="00884590">
        <w:t xml:space="preserve"> </w:t>
      </w:r>
      <w:r w:rsidR="00404D5C">
        <w:t>and impact of hate crime</w:t>
      </w:r>
      <w:r w:rsidR="000C1D05">
        <w:t xml:space="preserve"> to </w:t>
      </w:r>
      <w:r w:rsidR="0092349A">
        <w:t>support</w:t>
      </w:r>
      <w:r w:rsidR="000C1D05">
        <w:t xml:space="preserve"> p</w:t>
      </w:r>
      <w:r w:rsidR="0092349A">
        <w:t>rosecutors</w:t>
      </w:r>
      <w:r w:rsidR="000C1D05">
        <w:t xml:space="preserve"> </w:t>
      </w:r>
      <w:r w:rsidR="0092349A">
        <w:t xml:space="preserve">to </w:t>
      </w:r>
      <w:r w:rsidR="000C1D05">
        <w:t>deal with hate crime sensitively</w:t>
      </w:r>
      <w:r w:rsidR="0092349A">
        <w:t>.</w:t>
      </w:r>
      <w:r w:rsidR="000C1D05">
        <w:t xml:space="preserve"> </w:t>
      </w:r>
    </w:p>
    <w:p w14:paraId="14EAA1B0" w14:textId="529319D4" w:rsidR="00DD0365" w:rsidRPr="002833EA" w:rsidRDefault="004E062B" w:rsidP="002833EA">
      <w:pPr>
        <w:pStyle w:val="BodyText"/>
      </w:pPr>
      <w:r w:rsidRPr="004E062B">
        <w:t xml:space="preserve">Targeted education and training for judicial officers will help to ensure that courts and tribunals are equipped with a working knowledge of Victoria’s reformed vilification laws and the prejudice-motivated sentencing provision, as well as an understanding of the nature and impact of hate crime for targeted communities in Victoria.  </w:t>
      </w:r>
      <w:r w:rsidR="0046082D">
        <w:t xml:space="preserve"> </w:t>
      </w:r>
    </w:p>
    <w:tbl>
      <w:tblPr>
        <w:tblStyle w:val="CustomTablerecommendationsbox"/>
        <w:tblW w:w="0" w:type="auto"/>
        <w:tblLook w:val="04A0" w:firstRow="1" w:lastRow="0" w:firstColumn="1" w:lastColumn="0" w:noHBand="0" w:noVBand="1"/>
      </w:tblPr>
      <w:tblGrid>
        <w:gridCol w:w="9061"/>
      </w:tblGrid>
      <w:tr w:rsidR="00153DDD" w14:paraId="3C19032B" w14:textId="77777777" w:rsidTr="00153DDD">
        <w:tc>
          <w:tcPr>
            <w:tcW w:w="9061" w:type="dxa"/>
          </w:tcPr>
          <w:p w14:paraId="4B6DDF98" w14:textId="77777777" w:rsidR="00153DDD" w:rsidRDefault="00153DDD" w:rsidP="00153DDD">
            <w:pPr>
              <w:pStyle w:val="RecommendationList"/>
            </w:pPr>
          </w:p>
          <w:p w14:paraId="45009001" w14:textId="77777777" w:rsidR="00BE693C" w:rsidRDefault="00153DDD" w:rsidP="00153DDD">
            <w:pPr>
              <w:pStyle w:val="BodyText"/>
            </w:pPr>
            <w:r>
              <w:t>The Victorian Government should fund tailored education and training for</w:t>
            </w:r>
            <w:r w:rsidR="00BE693C">
              <w:t xml:space="preserve">: </w:t>
            </w:r>
          </w:p>
          <w:p w14:paraId="7033CC68" w14:textId="77777777" w:rsidR="002A4F6A" w:rsidRDefault="00CA043C" w:rsidP="002A4F6A">
            <w:pPr>
              <w:pStyle w:val="ListBullet"/>
            </w:pPr>
            <w:r>
              <w:t>p</w:t>
            </w:r>
            <w:r w:rsidR="00180D55">
              <w:t>olice</w:t>
            </w:r>
            <w:r>
              <w:t xml:space="preserve"> and prosecutors </w:t>
            </w:r>
            <w:r w:rsidR="00180D55">
              <w:t xml:space="preserve">on: </w:t>
            </w:r>
          </w:p>
          <w:p w14:paraId="616E3434" w14:textId="77777777" w:rsidR="002A4F6A" w:rsidRDefault="00FA2EF3" w:rsidP="00C67716">
            <w:pPr>
              <w:pStyle w:val="ListBullet"/>
              <w:numPr>
                <w:ilvl w:val="0"/>
                <w:numId w:val="43"/>
              </w:numPr>
            </w:pPr>
            <w:r>
              <w:t xml:space="preserve">Victoria’s reformed vilification laws </w:t>
            </w:r>
          </w:p>
          <w:p w14:paraId="3401993F" w14:textId="77777777" w:rsidR="002A4F6A" w:rsidRDefault="00BF63C9" w:rsidP="00C67716">
            <w:pPr>
              <w:pStyle w:val="ListBullet"/>
              <w:numPr>
                <w:ilvl w:val="0"/>
                <w:numId w:val="43"/>
              </w:numPr>
            </w:pPr>
            <w:r>
              <w:t xml:space="preserve">section 5(2)(daaa) of the </w:t>
            </w:r>
            <w:r w:rsidRPr="00BF63C9">
              <w:rPr>
                <w:rStyle w:val="Characteritalic"/>
              </w:rPr>
              <w:t>Sentencing Act 1991</w:t>
            </w:r>
            <w:r>
              <w:t xml:space="preserve"> (Vic)</w:t>
            </w:r>
            <w:r w:rsidR="003F1ACB">
              <w:t xml:space="preserve"> </w:t>
            </w:r>
          </w:p>
          <w:p w14:paraId="7231958C" w14:textId="77777777" w:rsidR="002A4F6A" w:rsidRDefault="00385DB7" w:rsidP="00C67716">
            <w:pPr>
              <w:pStyle w:val="ListBullet"/>
              <w:numPr>
                <w:ilvl w:val="0"/>
                <w:numId w:val="43"/>
              </w:numPr>
            </w:pPr>
            <w:r>
              <w:t>identifying, recording and responding</w:t>
            </w:r>
            <w:r w:rsidR="008757EE">
              <w:t xml:space="preserve"> to hate crime </w:t>
            </w:r>
          </w:p>
          <w:p w14:paraId="496CCD12" w14:textId="7FDA3BB5" w:rsidR="005E12BE" w:rsidRDefault="00BF63C9" w:rsidP="00C67716">
            <w:pPr>
              <w:pStyle w:val="ListBullet"/>
              <w:numPr>
                <w:ilvl w:val="0"/>
                <w:numId w:val="43"/>
              </w:numPr>
            </w:pPr>
            <w:r>
              <w:t xml:space="preserve">the </w:t>
            </w:r>
            <w:r w:rsidR="003F1ACB">
              <w:t xml:space="preserve">nature and </w:t>
            </w:r>
            <w:r>
              <w:t>impact of hate crime</w:t>
            </w:r>
            <w:r w:rsidR="003F1ACB">
              <w:t xml:space="preserve"> </w:t>
            </w:r>
          </w:p>
          <w:p w14:paraId="47199940" w14:textId="65FD267D" w:rsidR="00654317" w:rsidRPr="00153DDD" w:rsidRDefault="00654317" w:rsidP="00161FFA">
            <w:pPr>
              <w:pStyle w:val="ListBullet"/>
            </w:pPr>
            <w:r>
              <w:t xml:space="preserve">judicial officers on Victoria’s reformed vilification laws, </w:t>
            </w:r>
            <w:r w:rsidRPr="00654317">
              <w:t xml:space="preserve">section 5(2)(daaa) of the </w:t>
            </w:r>
            <w:r w:rsidRPr="00654317">
              <w:rPr>
                <w:rStyle w:val="Characteritalic"/>
              </w:rPr>
              <w:t>Sentencing Act 1991</w:t>
            </w:r>
            <w:r w:rsidRPr="00654317">
              <w:t xml:space="preserve"> (Vic) </w:t>
            </w:r>
            <w:r>
              <w:t>and the nature and impact of hate crime.</w:t>
            </w:r>
          </w:p>
        </w:tc>
      </w:tr>
    </w:tbl>
    <w:p w14:paraId="43D13382" w14:textId="7FFEC326" w:rsidR="00F02023" w:rsidRPr="00F02023" w:rsidRDefault="00F02023" w:rsidP="00F02023">
      <w:pPr>
        <w:pStyle w:val="Heading2"/>
      </w:pPr>
      <w:bookmarkStart w:id="42" w:name="_Toc31392354"/>
      <w:r>
        <w:t>Strengthening</w:t>
      </w:r>
      <w:r w:rsidR="00A46E07">
        <w:t xml:space="preserve"> research,</w:t>
      </w:r>
      <w:r>
        <w:t xml:space="preserve"> data and reporting</w:t>
      </w:r>
      <w:bookmarkEnd w:id="42"/>
    </w:p>
    <w:p w14:paraId="52E42DD8" w14:textId="01A4531F" w:rsidR="00A1788F" w:rsidRDefault="00D965D0" w:rsidP="00A46E07">
      <w:pPr>
        <w:pStyle w:val="BodyText"/>
      </w:pPr>
      <w:r>
        <w:t>Th</w:t>
      </w:r>
      <w:r w:rsidR="00080BFE">
        <w:t>rough our consultations, the</w:t>
      </w:r>
      <w:r>
        <w:t xml:space="preserve"> Commission understands that there is a need for: </w:t>
      </w:r>
    </w:p>
    <w:p w14:paraId="57DE73FB" w14:textId="09042D27" w:rsidR="009029B0" w:rsidRDefault="009029B0" w:rsidP="00F931D8">
      <w:pPr>
        <w:pStyle w:val="ListBullet"/>
      </w:pPr>
      <w:r>
        <w:t xml:space="preserve">ongoing research </w:t>
      </w:r>
      <w:r w:rsidR="006001C3">
        <w:t>on hate conduct and crime</w:t>
      </w:r>
      <w:r w:rsidR="00DB522D">
        <w:t xml:space="preserve"> (part 6.5.1)</w:t>
      </w:r>
    </w:p>
    <w:p w14:paraId="757572CA" w14:textId="2096E66F" w:rsidR="00A210DF" w:rsidRDefault="00A210DF" w:rsidP="00F931D8">
      <w:pPr>
        <w:pStyle w:val="ListBullet"/>
      </w:pPr>
      <w:r>
        <w:t>more effective data collection</w:t>
      </w:r>
      <w:r w:rsidR="007C290C">
        <w:t xml:space="preserve">, monitoring and reporting </w:t>
      </w:r>
      <w:r w:rsidR="00DB522D">
        <w:t>(part 6.5.2)</w:t>
      </w:r>
    </w:p>
    <w:p w14:paraId="0779A511" w14:textId="0DB6EA42" w:rsidR="00A1788F" w:rsidRDefault="004824EA" w:rsidP="00A210DF">
      <w:pPr>
        <w:pStyle w:val="Heading3"/>
      </w:pPr>
      <w:r>
        <w:t xml:space="preserve">Research </w:t>
      </w:r>
    </w:p>
    <w:p w14:paraId="50D412EE" w14:textId="3A6721E5" w:rsidR="00A46E07" w:rsidRDefault="00A46E07" w:rsidP="00A46E07">
      <w:pPr>
        <w:pStyle w:val="BodyText"/>
      </w:pPr>
      <w:r>
        <w:t>The Commission understands that there are gaps in research related to hate conduct and crime in Australia, including in relation to communities who may be protected by Victoria’s reformed vilification laws</w:t>
      </w:r>
      <w:r w:rsidR="00372AD4">
        <w:t xml:space="preserve"> (such as people with a disability) </w:t>
      </w:r>
      <w:r>
        <w:rPr>
          <w:rStyle w:val="EndnoteReference"/>
        </w:rPr>
        <w:endnoteReference w:id="375"/>
      </w:r>
      <w:r>
        <w:t xml:space="preserve"> and emerging issues </w:t>
      </w:r>
      <w:r w:rsidR="00784E97">
        <w:t>such as</w:t>
      </w:r>
      <w:r>
        <w:t xml:space="preserve"> online hate.</w:t>
      </w:r>
      <w:r>
        <w:rPr>
          <w:rStyle w:val="EndnoteReference"/>
        </w:rPr>
        <w:endnoteReference w:id="376"/>
      </w:r>
      <w:r>
        <w:t xml:space="preserve"> Research is a critical way of understanding hate conduct and crime</w:t>
      </w:r>
      <w:r w:rsidR="00784E97">
        <w:t xml:space="preserve"> </w:t>
      </w:r>
      <w:r>
        <w:t xml:space="preserve">and informing an effective response to hate in the community. </w:t>
      </w:r>
    </w:p>
    <w:p w14:paraId="2C9940CC" w14:textId="2A37FEA2" w:rsidR="004824EA" w:rsidRDefault="004824EA" w:rsidP="004824EA">
      <w:pPr>
        <w:pStyle w:val="Heading3"/>
      </w:pPr>
      <w:r>
        <w:t>Data collection</w:t>
      </w:r>
      <w:r w:rsidR="007C290C">
        <w:t>, monitoring and reporting</w:t>
      </w:r>
    </w:p>
    <w:p w14:paraId="633AC86A" w14:textId="41F9C36C" w:rsidR="007C290C" w:rsidRDefault="00B461E3" w:rsidP="00862EC2">
      <w:pPr>
        <w:pStyle w:val="BodyText"/>
        <w:rPr>
          <w:rStyle w:val="Characterclear"/>
        </w:rPr>
      </w:pPr>
      <w:r>
        <w:rPr>
          <w:rStyle w:val="Characterclear"/>
        </w:rPr>
        <w:t xml:space="preserve">In order </w:t>
      </w:r>
      <w:r w:rsidR="007C290C">
        <w:rPr>
          <w:rStyle w:val="Characterclear"/>
        </w:rPr>
        <w:t xml:space="preserve">to </w:t>
      </w:r>
      <w:r w:rsidR="000871BE">
        <w:rPr>
          <w:rStyle w:val="Characterclear"/>
        </w:rPr>
        <w:t>develop the most effective response</w:t>
      </w:r>
      <w:r w:rsidR="007C290C">
        <w:rPr>
          <w:rStyle w:val="Characterclear"/>
        </w:rPr>
        <w:t xml:space="preserve"> to hate in the Victorian community, it is critical to understand the nature and prevalence of the problem through effective data collection, monitoring and reporting. </w:t>
      </w:r>
      <w:r w:rsidR="000871BE">
        <w:rPr>
          <w:rStyle w:val="Characterclear"/>
        </w:rPr>
        <w:t>This includes</w:t>
      </w:r>
      <w:r w:rsidR="00E85AE8">
        <w:rPr>
          <w:rStyle w:val="Characterclear"/>
        </w:rPr>
        <w:t xml:space="preserve"> having the flexibility to</w:t>
      </w:r>
      <w:r w:rsidR="000871BE">
        <w:rPr>
          <w:rStyle w:val="Characterclear"/>
        </w:rPr>
        <w:t xml:space="preserve"> identify emerging </w:t>
      </w:r>
      <w:r w:rsidR="00E85AE8">
        <w:rPr>
          <w:rStyle w:val="Characterclear"/>
        </w:rPr>
        <w:t>issues</w:t>
      </w:r>
      <w:r w:rsidR="00C36CEE">
        <w:rPr>
          <w:rStyle w:val="Characterclear"/>
        </w:rPr>
        <w:t>,</w:t>
      </w:r>
      <w:r w:rsidR="00E85AE8">
        <w:rPr>
          <w:rStyle w:val="Characterclear"/>
        </w:rPr>
        <w:t xml:space="preserve"> such as online hate</w:t>
      </w:r>
      <w:r w:rsidR="00C36CEE">
        <w:rPr>
          <w:rStyle w:val="Characterclear"/>
        </w:rPr>
        <w:t>, and design</w:t>
      </w:r>
      <w:r w:rsidR="00AE644A">
        <w:rPr>
          <w:rStyle w:val="Characterclear"/>
        </w:rPr>
        <w:t>ing</w:t>
      </w:r>
      <w:r w:rsidR="00C36CEE">
        <w:rPr>
          <w:rStyle w:val="Characterclear"/>
        </w:rPr>
        <w:t xml:space="preserve"> appropriate responses</w:t>
      </w:r>
      <w:r w:rsidR="00E85AE8">
        <w:rPr>
          <w:rStyle w:val="Characterclear"/>
        </w:rPr>
        <w:t xml:space="preserve">. </w:t>
      </w:r>
    </w:p>
    <w:p w14:paraId="7BB0CB01" w14:textId="139EEA22" w:rsidR="00E85AE8" w:rsidRDefault="00346B01" w:rsidP="00862EC2">
      <w:pPr>
        <w:pStyle w:val="BodyText"/>
        <w:rPr>
          <w:rStyle w:val="Characterclear"/>
        </w:rPr>
      </w:pPr>
      <w:r>
        <w:rPr>
          <w:rStyle w:val="Characterclear"/>
        </w:rPr>
        <w:t>As set out in this submission, there are a number of different agencies and organisations that collect data on hate in the Victorian community. Th</w:t>
      </w:r>
      <w:r w:rsidR="009E22B3">
        <w:rPr>
          <w:rStyle w:val="Characterclear"/>
        </w:rPr>
        <w:t>ese</w:t>
      </w:r>
      <w:r>
        <w:rPr>
          <w:rStyle w:val="Characterclear"/>
        </w:rPr>
        <w:t xml:space="preserve"> include: </w:t>
      </w:r>
    </w:p>
    <w:p w14:paraId="7C13558C" w14:textId="1829EE13" w:rsidR="00346B01" w:rsidRDefault="00346B01" w:rsidP="00AE644A">
      <w:pPr>
        <w:pStyle w:val="ListBullet"/>
        <w:rPr>
          <w:rStyle w:val="Characterclear"/>
        </w:rPr>
      </w:pPr>
      <w:r>
        <w:rPr>
          <w:rStyle w:val="Characterclear"/>
        </w:rPr>
        <w:t>the Commission’s complaint data under the RRTA</w:t>
      </w:r>
      <w:r w:rsidR="007A7C1D">
        <w:rPr>
          <w:rStyle w:val="Characterclear"/>
        </w:rPr>
        <w:t xml:space="preserve"> </w:t>
      </w:r>
      <w:r w:rsidR="00EB4AC4">
        <w:rPr>
          <w:rStyle w:val="Characterclear"/>
        </w:rPr>
        <w:t xml:space="preserve">(part 2.4.1) </w:t>
      </w:r>
      <w:r w:rsidR="007A7C1D">
        <w:rPr>
          <w:rStyle w:val="Characterclear"/>
        </w:rPr>
        <w:t>and reports under the Community Reporting Tool</w:t>
      </w:r>
      <w:r w:rsidR="0028663A">
        <w:rPr>
          <w:rStyle w:val="Characterclear"/>
        </w:rPr>
        <w:t xml:space="preserve"> (part </w:t>
      </w:r>
      <w:r w:rsidR="00D40081">
        <w:rPr>
          <w:rStyle w:val="Characterclear"/>
        </w:rPr>
        <w:t>2.1</w:t>
      </w:r>
      <w:r w:rsidR="00EB4AC4">
        <w:rPr>
          <w:rStyle w:val="Characterclear"/>
        </w:rPr>
        <w:t>.2</w:t>
      </w:r>
      <w:r w:rsidR="0028663A">
        <w:rPr>
          <w:rStyle w:val="Characterclear"/>
        </w:rPr>
        <w:t>)</w:t>
      </w:r>
    </w:p>
    <w:p w14:paraId="11A0BE87" w14:textId="7EB77509" w:rsidR="00346B01" w:rsidRDefault="00346B01" w:rsidP="00AE644A">
      <w:pPr>
        <w:pStyle w:val="ListBullet"/>
        <w:rPr>
          <w:rStyle w:val="Characterclear"/>
        </w:rPr>
      </w:pPr>
      <w:r>
        <w:rPr>
          <w:rStyle w:val="Characterclear"/>
        </w:rPr>
        <w:t xml:space="preserve">Victoria Police’s data on </w:t>
      </w:r>
      <w:r w:rsidR="009C5084">
        <w:rPr>
          <w:rStyle w:val="Characterclear"/>
        </w:rPr>
        <w:t xml:space="preserve">reports of serious vilification, offenders processed under the RRTA and recording of prejudice-motivated crime (part </w:t>
      </w:r>
      <w:r w:rsidR="00D40081">
        <w:rPr>
          <w:rStyle w:val="Characterclear"/>
        </w:rPr>
        <w:t>4.1.1</w:t>
      </w:r>
      <w:r w:rsidR="009C5084">
        <w:rPr>
          <w:rStyle w:val="Characterclear"/>
        </w:rPr>
        <w:t>)</w:t>
      </w:r>
    </w:p>
    <w:p w14:paraId="3E10C4DD" w14:textId="04B57C87" w:rsidR="00D52EED" w:rsidRDefault="007E5EE8" w:rsidP="00AE644A">
      <w:pPr>
        <w:pStyle w:val="ListBullet"/>
        <w:rPr>
          <w:rStyle w:val="Characterclear"/>
        </w:rPr>
      </w:pPr>
      <w:r>
        <w:rPr>
          <w:rStyle w:val="Characterclear"/>
        </w:rPr>
        <w:t>T</w:t>
      </w:r>
      <w:r w:rsidR="00D52EED">
        <w:rPr>
          <w:rStyle w:val="Characterclear"/>
        </w:rPr>
        <w:t>he</w:t>
      </w:r>
      <w:r>
        <w:rPr>
          <w:rStyle w:val="Characterclear"/>
        </w:rPr>
        <w:t xml:space="preserve"> VCAT</w:t>
      </w:r>
      <w:r w:rsidR="00D52EED">
        <w:rPr>
          <w:rStyle w:val="Characterclear"/>
        </w:rPr>
        <w:t xml:space="preserve">’s data on </w:t>
      </w:r>
      <w:r w:rsidR="00374A41">
        <w:rPr>
          <w:rStyle w:val="Characterclear"/>
        </w:rPr>
        <w:t xml:space="preserve">matters that are resolved or finalised under the RRTA (part </w:t>
      </w:r>
      <w:r w:rsidR="00D40081">
        <w:rPr>
          <w:rStyle w:val="Characterclear"/>
        </w:rPr>
        <w:t>4.1.1</w:t>
      </w:r>
      <w:r w:rsidR="00374A41">
        <w:rPr>
          <w:rStyle w:val="Characterclear"/>
        </w:rPr>
        <w:t>)</w:t>
      </w:r>
    </w:p>
    <w:p w14:paraId="0DFDB4AD" w14:textId="0C34AE2A" w:rsidR="00D52EED" w:rsidRPr="00346B01" w:rsidRDefault="00B42ED3" w:rsidP="00AE644A">
      <w:pPr>
        <w:pStyle w:val="ListBullet"/>
        <w:rPr>
          <w:rStyle w:val="Characterclear"/>
        </w:rPr>
      </w:pPr>
      <w:r>
        <w:rPr>
          <w:rStyle w:val="Characterclear"/>
        </w:rPr>
        <w:t>data collect</w:t>
      </w:r>
      <w:r w:rsidR="005D65FD">
        <w:rPr>
          <w:rStyle w:val="Characterclear"/>
        </w:rPr>
        <w:t>ed</w:t>
      </w:r>
      <w:r>
        <w:rPr>
          <w:rStyle w:val="Characterclear"/>
        </w:rPr>
        <w:t xml:space="preserve"> by </w:t>
      </w:r>
      <w:r w:rsidR="00943DCA">
        <w:rPr>
          <w:rStyle w:val="Characterclear"/>
        </w:rPr>
        <w:t xml:space="preserve">state and national religious and other </w:t>
      </w:r>
      <w:r w:rsidR="0028663A">
        <w:rPr>
          <w:rStyle w:val="Characterclear"/>
        </w:rPr>
        <w:t xml:space="preserve">communities including the </w:t>
      </w:r>
      <w:r>
        <w:rPr>
          <w:rStyle w:val="Characterclear"/>
        </w:rPr>
        <w:t>Jewish, Muslim and African communities</w:t>
      </w:r>
      <w:r w:rsidR="0028663A">
        <w:rPr>
          <w:rStyle w:val="Characterclear"/>
        </w:rPr>
        <w:t xml:space="preserve"> in Australia</w:t>
      </w:r>
      <w:r w:rsidR="00374A41">
        <w:rPr>
          <w:rStyle w:val="Characterclear"/>
        </w:rPr>
        <w:t xml:space="preserve"> (part </w:t>
      </w:r>
      <w:r w:rsidR="002A0117">
        <w:rPr>
          <w:rStyle w:val="Characterclear"/>
        </w:rPr>
        <w:t>6.2</w:t>
      </w:r>
      <w:r w:rsidR="005D65FD">
        <w:rPr>
          <w:rStyle w:val="Characterclear"/>
        </w:rPr>
        <w:t xml:space="preserve">). </w:t>
      </w:r>
    </w:p>
    <w:p w14:paraId="4F91889C" w14:textId="72D129DB" w:rsidR="008A1E86" w:rsidRDefault="00616D89" w:rsidP="00862EC2">
      <w:pPr>
        <w:pStyle w:val="BodyText"/>
        <w:rPr>
          <w:rStyle w:val="Characterclear"/>
        </w:rPr>
      </w:pPr>
      <w:r>
        <w:rPr>
          <w:rStyle w:val="Characterclear"/>
        </w:rPr>
        <w:t>Further, research as suc</w:t>
      </w:r>
      <w:r w:rsidR="00D91FED">
        <w:rPr>
          <w:rStyle w:val="Characterclear"/>
        </w:rPr>
        <w:t>h as the annual Scanlon Foundation report</w:t>
      </w:r>
      <w:r w:rsidR="00596346">
        <w:rPr>
          <w:rStyle w:val="Characterclear"/>
        </w:rPr>
        <w:t xml:space="preserve">, </w:t>
      </w:r>
      <w:r w:rsidR="00E742D5">
        <w:rPr>
          <w:rStyle w:val="Characterclear"/>
        </w:rPr>
        <w:t xml:space="preserve">contributes valuable </w:t>
      </w:r>
      <w:r w:rsidR="0036704A">
        <w:rPr>
          <w:rStyle w:val="Characterclear"/>
        </w:rPr>
        <w:t xml:space="preserve">prevalence </w:t>
      </w:r>
      <w:r w:rsidR="00E742D5">
        <w:rPr>
          <w:rStyle w:val="Characterclear"/>
        </w:rPr>
        <w:t>data</w:t>
      </w:r>
      <w:r w:rsidR="00FA15D4">
        <w:rPr>
          <w:rStyle w:val="Characterclear"/>
        </w:rPr>
        <w:t xml:space="preserve">. </w:t>
      </w:r>
      <w:r w:rsidR="00A20FA2">
        <w:rPr>
          <w:rStyle w:val="Characterclear"/>
        </w:rPr>
        <w:t xml:space="preserve">Despite efforts to collect data on hate in the Victorian community, </w:t>
      </w:r>
      <w:r w:rsidR="000221D4">
        <w:rPr>
          <w:rStyle w:val="Characterclear"/>
        </w:rPr>
        <w:t xml:space="preserve">there is a lack of an integrated coordinated approach to data collection in Victoria and nationally. </w:t>
      </w:r>
      <w:r w:rsidR="008A1E86">
        <w:rPr>
          <w:rStyle w:val="Characterclear"/>
        </w:rPr>
        <w:t>This includes a lack of consistent categories and definitions</w:t>
      </w:r>
      <w:r w:rsidR="005960CF">
        <w:rPr>
          <w:rStyle w:val="Characterclear"/>
        </w:rPr>
        <w:t xml:space="preserve"> for hate crime</w:t>
      </w:r>
      <w:r w:rsidR="008A1E86">
        <w:rPr>
          <w:rStyle w:val="Characterclear"/>
        </w:rPr>
        <w:t>, which makes it difficult to integrate</w:t>
      </w:r>
      <w:r w:rsidR="00B131FD">
        <w:rPr>
          <w:rStyle w:val="Characterclear"/>
        </w:rPr>
        <w:t xml:space="preserve">, compare and analyse </w:t>
      </w:r>
      <w:r w:rsidR="008A1E86">
        <w:rPr>
          <w:rStyle w:val="Characterclear"/>
        </w:rPr>
        <w:t>data.</w:t>
      </w:r>
      <w:r w:rsidR="0093641F">
        <w:rPr>
          <w:rStyle w:val="EndnoteReference"/>
          <w:lang w:eastAsia="en-AU"/>
        </w:rPr>
        <w:endnoteReference w:id="377"/>
      </w:r>
    </w:p>
    <w:p w14:paraId="00CD14B0" w14:textId="380F0E99" w:rsidR="007E1697" w:rsidRDefault="00FF6F70" w:rsidP="00862EC2">
      <w:pPr>
        <w:pStyle w:val="BodyText"/>
        <w:rPr>
          <w:rStyle w:val="Characterclear"/>
        </w:rPr>
      </w:pPr>
      <w:r>
        <w:rPr>
          <w:rStyle w:val="Characterclear"/>
        </w:rPr>
        <w:t xml:space="preserve">As explained by </w:t>
      </w:r>
      <w:r w:rsidR="00346467">
        <w:rPr>
          <w:rStyle w:val="Characterclear"/>
        </w:rPr>
        <w:t xml:space="preserve">Matteo Vergani from the Centre for Resilient and Inclusive Societies, there is a need to connect different data collection initiatives </w:t>
      </w:r>
      <w:r w:rsidR="005F2659">
        <w:rPr>
          <w:rStyle w:val="Characterclear"/>
        </w:rPr>
        <w:t xml:space="preserve">in Australia and create </w:t>
      </w:r>
      <w:r w:rsidR="005F2659">
        <w:rPr>
          <w:rStyle w:val="Characterclear"/>
        </w:rPr>
        <w:lastRenderedPageBreak/>
        <w:t>platforms for other communities to collect data.</w:t>
      </w:r>
      <w:r w:rsidR="005F2659">
        <w:rPr>
          <w:rStyle w:val="EndnoteReference"/>
          <w:lang w:eastAsia="en-AU"/>
        </w:rPr>
        <w:endnoteReference w:id="378"/>
      </w:r>
      <w:r w:rsidR="00346467">
        <w:rPr>
          <w:rStyle w:val="Characterclear"/>
        </w:rPr>
        <w:t xml:space="preserve"> </w:t>
      </w:r>
      <w:r w:rsidR="007E1697">
        <w:rPr>
          <w:rStyle w:val="Characterclear"/>
        </w:rPr>
        <w:t xml:space="preserve">For some communities, such as the Jewish community, there is a more systematic approach to collecting data, which means that the data </w:t>
      </w:r>
      <w:r w:rsidR="008B6D6C">
        <w:rPr>
          <w:rStyle w:val="Characterclear"/>
        </w:rPr>
        <w:t xml:space="preserve">on nature and prevalence </w:t>
      </w:r>
      <w:r w:rsidR="007E1697">
        <w:rPr>
          <w:rStyle w:val="Characterclear"/>
        </w:rPr>
        <w:t>is more reliable</w:t>
      </w:r>
      <w:r w:rsidR="008B6D6C">
        <w:rPr>
          <w:rStyle w:val="Characterclear"/>
        </w:rPr>
        <w:t>.</w:t>
      </w:r>
      <w:r w:rsidR="008B6D6C">
        <w:rPr>
          <w:rStyle w:val="EndnoteReference"/>
          <w:lang w:eastAsia="en-AU"/>
        </w:rPr>
        <w:endnoteReference w:id="379"/>
      </w:r>
      <w:r w:rsidR="006004F1">
        <w:rPr>
          <w:rStyle w:val="Characterclear"/>
        </w:rPr>
        <w:t xml:space="preserve"> For other communities, limitations on data collection </w:t>
      </w:r>
      <w:r w:rsidR="00123BEB">
        <w:rPr>
          <w:rStyle w:val="Characterclear"/>
        </w:rPr>
        <w:t xml:space="preserve">practices and a lack of resources </w:t>
      </w:r>
      <w:r w:rsidR="006004F1">
        <w:rPr>
          <w:rStyle w:val="Characterclear"/>
        </w:rPr>
        <w:t xml:space="preserve">meant that data is not as reliable. </w:t>
      </w:r>
    </w:p>
    <w:p w14:paraId="0A301B3C" w14:textId="6FFC3C8D" w:rsidR="00BF085F" w:rsidRDefault="00191D34" w:rsidP="00862EC2">
      <w:pPr>
        <w:pStyle w:val="BodyText"/>
        <w:rPr>
          <w:rStyle w:val="Characterclear"/>
        </w:rPr>
      </w:pPr>
      <w:r>
        <w:rPr>
          <w:rStyle w:val="Characterclear"/>
        </w:rPr>
        <w:t xml:space="preserve">The Commission also heard that </w:t>
      </w:r>
      <w:r w:rsidR="00655522">
        <w:rPr>
          <w:rStyle w:val="Characterclear"/>
        </w:rPr>
        <w:t xml:space="preserve">data collected by Victoria Police is not </w:t>
      </w:r>
      <w:r w:rsidR="0081275F">
        <w:rPr>
          <w:rStyle w:val="Characterclear"/>
        </w:rPr>
        <w:t>effective</w:t>
      </w:r>
      <w:r w:rsidR="00694386">
        <w:rPr>
          <w:rStyle w:val="Characterclear"/>
        </w:rPr>
        <w:t xml:space="preserve"> because p</w:t>
      </w:r>
      <w:r w:rsidR="00655522">
        <w:rPr>
          <w:rStyle w:val="Characterclear"/>
        </w:rPr>
        <w:t xml:space="preserve">olice don’t record and define hate crime in a consistent </w:t>
      </w:r>
      <w:r w:rsidR="00DA360B">
        <w:rPr>
          <w:rStyle w:val="Characterclear"/>
        </w:rPr>
        <w:t>way,</w:t>
      </w:r>
      <w:r w:rsidR="00BE4F26">
        <w:rPr>
          <w:rStyle w:val="Characterclear"/>
        </w:rPr>
        <w:t xml:space="preserve"> and</w:t>
      </w:r>
      <w:r w:rsidR="00A833D6">
        <w:rPr>
          <w:rStyle w:val="Characterclear"/>
        </w:rPr>
        <w:t xml:space="preserve"> it is not clear </w:t>
      </w:r>
      <w:r w:rsidR="00372671">
        <w:rPr>
          <w:rStyle w:val="Characterclear"/>
        </w:rPr>
        <w:t>when and where</w:t>
      </w:r>
      <w:r w:rsidR="00A833D6">
        <w:rPr>
          <w:rStyle w:val="Characterclear"/>
        </w:rPr>
        <w:t xml:space="preserve"> hate crime incidents happen</w:t>
      </w:r>
      <w:r w:rsidR="00372671">
        <w:rPr>
          <w:rStyle w:val="Characterclear"/>
        </w:rPr>
        <w:t xml:space="preserve"> – with an inability to identify whether there is more hate crime in some geographic areas.</w:t>
      </w:r>
      <w:r w:rsidR="0081275F">
        <w:rPr>
          <w:rStyle w:val="EndnoteReference"/>
          <w:lang w:eastAsia="en-AU"/>
        </w:rPr>
        <w:endnoteReference w:id="380"/>
      </w:r>
      <w:r w:rsidR="00123BEB">
        <w:rPr>
          <w:rStyle w:val="Characterclear"/>
        </w:rPr>
        <w:t xml:space="preserve"> </w:t>
      </w:r>
    </w:p>
    <w:p w14:paraId="554CBAC1" w14:textId="284F48EB" w:rsidR="006F4DF3" w:rsidRDefault="009E5BC6" w:rsidP="00862EC2">
      <w:pPr>
        <w:pStyle w:val="BodyText"/>
        <w:rPr>
          <w:rStyle w:val="Characterclear"/>
        </w:rPr>
      </w:pPr>
      <w:r>
        <w:rPr>
          <w:rStyle w:val="Characterclear"/>
        </w:rPr>
        <w:t>Other jurisdictions,</w:t>
      </w:r>
      <w:r w:rsidR="006F4DF3">
        <w:rPr>
          <w:rStyle w:val="Characterclear"/>
        </w:rPr>
        <w:t xml:space="preserve"> such as the United Kingdom, make it mandatory for police to record a crime as a hate crime if the victim believes it is </w:t>
      </w:r>
      <w:r w:rsidR="00104EC8">
        <w:rPr>
          <w:rStyle w:val="Characterclear"/>
        </w:rPr>
        <w:t>a hate crime</w:t>
      </w:r>
      <w:r w:rsidR="006F4DF3">
        <w:rPr>
          <w:rStyle w:val="EndnoteReference"/>
          <w:lang w:eastAsia="en-AU"/>
        </w:rPr>
        <w:endnoteReference w:id="381"/>
      </w:r>
      <w:r w:rsidR="00946FC9">
        <w:rPr>
          <w:rStyle w:val="Characterclear"/>
        </w:rPr>
        <w:t xml:space="preserve"> a</w:t>
      </w:r>
      <w:r w:rsidR="00C9001E">
        <w:rPr>
          <w:rStyle w:val="Characterclear"/>
        </w:rPr>
        <w:t>nd enable self-reporting</w:t>
      </w:r>
      <w:r w:rsidR="000002E3">
        <w:rPr>
          <w:rStyle w:val="Characterclear"/>
        </w:rPr>
        <w:t xml:space="preserve"> </w:t>
      </w:r>
      <w:r w:rsidR="00C9001E">
        <w:rPr>
          <w:rStyle w:val="Characterclear"/>
        </w:rPr>
        <w:t>into a joined up national register through an</w:t>
      </w:r>
      <w:r w:rsidR="000002E3">
        <w:rPr>
          <w:rStyle w:val="Characterclear"/>
        </w:rPr>
        <w:t xml:space="preserve"> on</w:t>
      </w:r>
      <w:r w:rsidR="00D86C91">
        <w:rPr>
          <w:rStyle w:val="Characterclear"/>
        </w:rPr>
        <w:t>l</w:t>
      </w:r>
      <w:r w:rsidR="000002E3">
        <w:rPr>
          <w:rStyle w:val="Characterclear"/>
        </w:rPr>
        <w:t>ine reporting too</w:t>
      </w:r>
      <w:r w:rsidR="00D86C91">
        <w:rPr>
          <w:rStyle w:val="Characterclear"/>
        </w:rPr>
        <w:t>l</w:t>
      </w:r>
      <w:r w:rsidR="000002E3">
        <w:rPr>
          <w:rStyle w:val="Characterclear"/>
        </w:rPr>
        <w:t>, True Vision</w:t>
      </w:r>
      <w:r w:rsidR="00D86C91">
        <w:rPr>
          <w:rStyle w:val="Characterclear"/>
        </w:rPr>
        <w:t>.</w:t>
      </w:r>
      <w:r w:rsidR="006F4DF3">
        <w:rPr>
          <w:rStyle w:val="Characterclear"/>
        </w:rPr>
        <w:t xml:space="preserve"> </w:t>
      </w:r>
      <w:r w:rsidR="00104EC8">
        <w:rPr>
          <w:rStyle w:val="Characterclear"/>
        </w:rPr>
        <w:t>In the United Kingdom,</w:t>
      </w:r>
      <w:r w:rsidR="006F4DF3">
        <w:rPr>
          <w:rStyle w:val="Characterclear"/>
        </w:rPr>
        <w:t xml:space="preserve"> government agencies </w:t>
      </w:r>
      <w:r w:rsidR="00104EC8">
        <w:rPr>
          <w:rStyle w:val="Characterclear"/>
        </w:rPr>
        <w:t xml:space="preserve">also </w:t>
      </w:r>
      <w:r w:rsidR="006F4DF3">
        <w:rPr>
          <w:rStyle w:val="Characterclear"/>
        </w:rPr>
        <w:t>produce regulator reports on hate crime data.</w:t>
      </w:r>
      <w:r w:rsidR="006F4DF3">
        <w:rPr>
          <w:rStyle w:val="EndnoteReference"/>
          <w:lang w:eastAsia="en-AU"/>
        </w:rPr>
        <w:endnoteReference w:id="382"/>
      </w:r>
    </w:p>
    <w:p w14:paraId="74E22434" w14:textId="5FF47A4C" w:rsidR="004824EA" w:rsidRPr="004824EA" w:rsidRDefault="004C41D5" w:rsidP="004824EA">
      <w:pPr>
        <w:pStyle w:val="BodyText"/>
        <w:rPr>
          <w:lang w:eastAsia="en-AU"/>
        </w:rPr>
      </w:pPr>
      <w:r>
        <w:rPr>
          <w:rStyle w:val="Characterclear"/>
        </w:rPr>
        <w:t>Significantly, there is limited monitoring or reporting of hate conduct and crime in Victoria, which limits the ability</w:t>
      </w:r>
      <w:r w:rsidR="0045077E">
        <w:rPr>
          <w:rStyle w:val="Characterclear"/>
        </w:rPr>
        <w:t xml:space="preserve"> to understand and respond to hate in the community.</w:t>
      </w:r>
      <w:r w:rsidR="006D04E2">
        <w:rPr>
          <w:rStyle w:val="Characterclear"/>
        </w:rPr>
        <w:t xml:space="preserve"> The Commission also supports</w:t>
      </w:r>
      <w:r w:rsidR="0090644D">
        <w:rPr>
          <w:rStyle w:val="Characterclear"/>
        </w:rPr>
        <w:t xml:space="preserve"> calls</w:t>
      </w:r>
      <w:r w:rsidR="009E0179">
        <w:rPr>
          <w:rStyle w:val="Characterclear"/>
        </w:rPr>
        <w:t xml:space="preserve"> from</w:t>
      </w:r>
      <w:r w:rsidR="0090644D">
        <w:rPr>
          <w:rStyle w:val="Characterclear"/>
        </w:rPr>
        <w:t xml:space="preserve"> the Australian Human Rights Commission for</w:t>
      </w:r>
      <w:r w:rsidR="006D04E2">
        <w:rPr>
          <w:rStyle w:val="Characterclear"/>
        </w:rPr>
        <w:t xml:space="preserve"> </w:t>
      </w:r>
      <w:r w:rsidR="00666DD6">
        <w:rPr>
          <w:rStyle w:val="Characterclear"/>
        </w:rPr>
        <w:t>federal</w:t>
      </w:r>
      <w:r w:rsidR="0049236B">
        <w:rPr>
          <w:rStyle w:val="Characterclear"/>
        </w:rPr>
        <w:t xml:space="preserve"> investment in quantitative research </w:t>
      </w:r>
      <w:r w:rsidR="003265B9">
        <w:rPr>
          <w:rStyle w:val="Characterclear"/>
        </w:rPr>
        <w:t>on the nature and pre</w:t>
      </w:r>
      <w:r w:rsidR="000C5000">
        <w:rPr>
          <w:rStyle w:val="Characterclear"/>
        </w:rPr>
        <w:t>valence</w:t>
      </w:r>
      <w:r w:rsidR="003265B9">
        <w:rPr>
          <w:rStyle w:val="Characterclear"/>
        </w:rPr>
        <w:t xml:space="preserve"> of serious harms, </w:t>
      </w:r>
      <w:r w:rsidR="000C5000">
        <w:rPr>
          <w:rStyle w:val="Characterclear"/>
        </w:rPr>
        <w:t>including</w:t>
      </w:r>
      <w:r w:rsidR="003265B9">
        <w:rPr>
          <w:rStyle w:val="Characterclear"/>
        </w:rPr>
        <w:t xml:space="preserve"> hate conduct and discrimination, which could </w:t>
      </w:r>
      <w:r w:rsidR="000C5000">
        <w:rPr>
          <w:rStyle w:val="Characterclear"/>
        </w:rPr>
        <w:t>include</w:t>
      </w:r>
      <w:r w:rsidR="003265B9">
        <w:rPr>
          <w:rStyle w:val="Characterclear"/>
        </w:rPr>
        <w:t xml:space="preserve"> </w:t>
      </w:r>
      <w:r w:rsidR="000C5000">
        <w:rPr>
          <w:rStyle w:val="Characterclear"/>
        </w:rPr>
        <w:t xml:space="preserve">the creation of </w:t>
      </w:r>
      <w:r w:rsidR="006D04E2">
        <w:rPr>
          <w:rStyle w:val="Characterclear"/>
        </w:rPr>
        <w:t xml:space="preserve">a national </w:t>
      </w:r>
      <w:r w:rsidR="00AC1657">
        <w:rPr>
          <w:rStyle w:val="Characterclear"/>
        </w:rPr>
        <w:t>data register</w:t>
      </w:r>
      <w:r w:rsidR="00AE72E8">
        <w:rPr>
          <w:rStyle w:val="Characterclear"/>
        </w:rPr>
        <w:t xml:space="preserve"> to be</w:t>
      </w:r>
      <w:r w:rsidR="00AC1657">
        <w:rPr>
          <w:rStyle w:val="Characterclear"/>
        </w:rPr>
        <w:t xml:space="preserve"> </w:t>
      </w:r>
      <w:r w:rsidR="00AE72E8">
        <w:rPr>
          <w:rStyle w:val="Characterclear"/>
        </w:rPr>
        <w:t xml:space="preserve">overseen by </w:t>
      </w:r>
      <w:r w:rsidR="006D04E2">
        <w:rPr>
          <w:rStyle w:val="Characterclear"/>
        </w:rPr>
        <w:t>an independent body</w:t>
      </w:r>
      <w:r w:rsidR="004625AB">
        <w:rPr>
          <w:rStyle w:val="Characterclear"/>
        </w:rPr>
        <w:t>, working closely with state</w:t>
      </w:r>
      <w:r w:rsidR="00123E1E">
        <w:rPr>
          <w:rStyle w:val="Characterclear"/>
        </w:rPr>
        <w:t xml:space="preserve"> and federal</w:t>
      </w:r>
      <w:r w:rsidR="004625AB">
        <w:rPr>
          <w:rStyle w:val="Characterclear"/>
        </w:rPr>
        <w:t xml:space="preserve"> agencies and communities. </w:t>
      </w:r>
    </w:p>
    <w:tbl>
      <w:tblPr>
        <w:tblStyle w:val="CustomTablerecommendationsbox"/>
        <w:tblW w:w="0" w:type="auto"/>
        <w:tblLook w:val="04A0" w:firstRow="1" w:lastRow="0" w:firstColumn="1" w:lastColumn="0" w:noHBand="0" w:noVBand="1"/>
      </w:tblPr>
      <w:tblGrid>
        <w:gridCol w:w="9061"/>
      </w:tblGrid>
      <w:tr w:rsidR="00183CEB" w14:paraId="3F8D1410" w14:textId="77777777" w:rsidTr="00183CEB">
        <w:tc>
          <w:tcPr>
            <w:tcW w:w="9061" w:type="dxa"/>
          </w:tcPr>
          <w:p w14:paraId="7FE5126E" w14:textId="77777777" w:rsidR="00183CEB" w:rsidRDefault="00183CEB" w:rsidP="00183CEB">
            <w:pPr>
              <w:pStyle w:val="RecommendationList"/>
            </w:pPr>
          </w:p>
          <w:p w14:paraId="21F10F0B" w14:textId="41CD1A88" w:rsidR="00F25CC4" w:rsidRDefault="00183CEB" w:rsidP="00183CEB">
            <w:pPr>
              <w:pStyle w:val="BodyText"/>
            </w:pPr>
            <w:r>
              <w:t>The Victorian Government should fund</w:t>
            </w:r>
            <w:r w:rsidR="00147AB9">
              <w:t xml:space="preserve"> ongoing research </w:t>
            </w:r>
            <w:r w:rsidR="00217108">
              <w:t xml:space="preserve">on hate conduct and crime in Victoria, including emerging issues such as online hate. </w:t>
            </w:r>
          </w:p>
          <w:p w14:paraId="5E9DAE51" w14:textId="77777777" w:rsidR="00D632C1" w:rsidRDefault="00D632C1" w:rsidP="00217108">
            <w:pPr>
              <w:pStyle w:val="RecommendationList"/>
            </w:pPr>
          </w:p>
          <w:p w14:paraId="73D4A363" w14:textId="57E2AB1D" w:rsidR="00F70EE5" w:rsidRPr="00F70EE5" w:rsidRDefault="00217108" w:rsidP="00F70EE5">
            <w:pPr>
              <w:pStyle w:val="BodyText"/>
            </w:pPr>
            <w:r>
              <w:t xml:space="preserve">The Victorian Government should </w:t>
            </w:r>
            <w:r w:rsidR="000B023B">
              <w:t>work in partnership</w:t>
            </w:r>
            <w:r w:rsidR="003C39D4">
              <w:t xml:space="preserve"> with </w:t>
            </w:r>
            <w:r w:rsidR="00E47CE4">
              <w:t xml:space="preserve">relevant </w:t>
            </w:r>
            <w:r w:rsidR="000B023B">
              <w:t xml:space="preserve">government </w:t>
            </w:r>
            <w:r w:rsidR="00E47CE4">
              <w:t xml:space="preserve">agencies in Victoria </w:t>
            </w:r>
            <w:r w:rsidR="00294DAC">
              <w:t xml:space="preserve">– including the Victorian Equal Opportunity and Human Rights Commission, Victoria Police, the Crime Statistic Agency and the Victorian Civil and Administrative Tribunal - </w:t>
            </w:r>
            <w:r w:rsidR="00E47CE4">
              <w:t xml:space="preserve">to develop a comprehensive strategy for </w:t>
            </w:r>
            <w:r w:rsidR="005A67F6">
              <w:t xml:space="preserve">collecting, monitoring and reporting </w:t>
            </w:r>
            <w:r w:rsidR="00D65FD6">
              <w:t xml:space="preserve">government </w:t>
            </w:r>
            <w:r w:rsidR="005A67F6">
              <w:t xml:space="preserve">data on </w:t>
            </w:r>
            <w:r w:rsidR="000B023B">
              <w:t xml:space="preserve">hate conduct and crime in Victoria. </w:t>
            </w:r>
          </w:p>
        </w:tc>
      </w:tr>
    </w:tbl>
    <w:p w14:paraId="16FEBEAC" w14:textId="77777777" w:rsidR="00CB4D7D" w:rsidRDefault="00CB4D7D" w:rsidP="00A54A66">
      <w:pPr>
        <w:pStyle w:val="BodyText"/>
      </w:pPr>
    </w:p>
    <w:p w14:paraId="53EDEDD7" w14:textId="77777777" w:rsidR="009C64C1" w:rsidRDefault="009C64C1" w:rsidP="00A54A66">
      <w:pPr>
        <w:pStyle w:val="BodyText"/>
      </w:pPr>
    </w:p>
    <w:p w14:paraId="5B09FD64" w14:textId="0B158EA6" w:rsidR="009C64C1" w:rsidRDefault="00FA06D4" w:rsidP="00DF38C8">
      <w:pPr>
        <w:pStyle w:val="AppendixHeading1"/>
        <w:numPr>
          <w:ilvl w:val="0"/>
          <w:numId w:val="0"/>
        </w:numPr>
      </w:pPr>
      <w:bookmarkStart w:id="43" w:name="_Toc31392355"/>
      <w:r>
        <w:lastRenderedPageBreak/>
        <w:t>Appendix A</w:t>
      </w:r>
      <w:r w:rsidR="00B51FCD">
        <w:t xml:space="preserve">: </w:t>
      </w:r>
      <w:r w:rsidR="00C518A6">
        <w:t>Acknowledgment of s</w:t>
      </w:r>
      <w:r w:rsidR="00DF38C8">
        <w:t>takeholders</w:t>
      </w:r>
      <w:bookmarkEnd w:id="43"/>
      <w:r w:rsidR="00DF38C8">
        <w:t xml:space="preserve"> </w:t>
      </w:r>
    </w:p>
    <w:p w14:paraId="49D967D2" w14:textId="741C2985" w:rsidR="00FA06D4" w:rsidRDefault="00DF38C8" w:rsidP="00FA06D4">
      <w:pPr>
        <w:pStyle w:val="BodyText"/>
        <w:rPr>
          <w:lang w:eastAsia="en-AU"/>
        </w:rPr>
      </w:pPr>
      <w:r>
        <w:t xml:space="preserve">We acknowledge and thank the many </w:t>
      </w:r>
      <w:r w:rsidR="008B7A41">
        <w:t>organisations</w:t>
      </w:r>
      <w:r>
        <w:t xml:space="preserve">, community members, academics and advocates who helped inform this submission. We particularly acknowledge the generosity and courage of community members who shared </w:t>
      </w:r>
      <w:r w:rsidR="00BE4F26">
        <w:t xml:space="preserve">with us </w:t>
      </w:r>
      <w:r>
        <w:t xml:space="preserve">their </w:t>
      </w:r>
      <w:r w:rsidR="008B7A41">
        <w:t xml:space="preserve">personal </w:t>
      </w:r>
      <w:r>
        <w:t>stories of vilification</w:t>
      </w:r>
      <w:r w:rsidR="008B7A41">
        <w:t>,</w:t>
      </w:r>
      <w:r>
        <w:t xml:space="preserve"> </w:t>
      </w:r>
      <w:r w:rsidR="008B7A41">
        <w:t xml:space="preserve">and in doing so, have </w:t>
      </w:r>
      <w:r>
        <w:t xml:space="preserve">enriched our understanding of </w:t>
      </w:r>
      <w:r w:rsidR="00BE4F26">
        <w:t>hate conduct and its serious impact on individuals and communities</w:t>
      </w:r>
      <w:r>
        <w:t xml:space="preserve">.  </w:t>
      </w:r>
    </w:p>
    <w:p w14:paraId="0D35A441" w14:textId="6C3FA1FF" w:rsidR="009A31D7" w:rsidRPr="001C099C" w:rsidRDefault="009A31D7" w:rsidP="001C099C">
      <w:pPr>
        <w:pStyle w:val="BodyText"/>
        <w:rPr>
          <w:rStyle w:val="Characterbold"/>
        </w:rPr>
      </w:pPr>
      <w:r w:rsidRPr="001C099C">
        <w:rPr>
          <w:rStyle w:val="Characterbold"/>
        </w:rPr>
        <w:t xml:space="preserve">Organisations </w:t>
      </w:r>
    </w:p>
    <w:p w14:paraId="4D58351B" w14:textId="07CAE165" w:rsidR="00DF38C8" w:rsidRPr="00DF38C8" w:rsidRDefault="00DF38C8" w:rsidP="001C099C">
      <w:pPr>
        <w:pStyle w:val="BodyText"/>
      </w:pPr>
      <w:r w:rsidRPr="00DF38C8">
        <w:t>African Australian Community Leadership Forum </w:t>
      </w:r>
    </w:p>
    <w:p w14:paraId="4BFA327C" w14:textId="77777777" w:rsidR="00DF38C8" w:rsidRPr="00DF38C8" w:rsidRDefault="00DF38C8" w:rsidP="001C099C">
      <w:pPr>
        <w:pStyle w:val="BodyText"/>
      </w:pPr>
      <w:r w:rsidRPr="00DF38C8">
        <w:t>Australian Multicultural Foundation </w:t>
      </w:r>
    </w:p>
    <w:p w14:paraId="586FAB8B" w14:textId="77777777" w:rsidR="00DF38C8" w:rsidRPr="00DF38C8" w:rsidRDefault="00DF38C8" w:rsidP="001C099C">
      <w:pPr>
        <w:pStyle w:val="BodyText"/>
      </w:pPr>
      <w:r w:rsidRPr="00DF38C8">
        <w:t>Australian Muslim Women’s Centre for Human Rights </w:t>
      </w:r>
    </w:p>
    <w:p w14:paraId="4F14CDEF" w14:textId="77777777" w:rsidR="00DF38C8" w:rsidRPr="00DF38C8" w:rsidRDefault="00DF38C8" w:rsidP="001C099C">
      <w:pPr>
        <w:pStyle w:val="BodyText"/>
      </w:pPr>
      <w:r w:rsidRPr="00DF38C8">
        <w:t>Ballarat African Association </w:t>
      </w:r>
    </w:p>
    <w:p w14:paraId="1C1F9286" w14:textId="2BA67CDA" w:rsidR="00DF38C8" w:rsidRPr="00DF38C8" w:rsidRDefault="00DF38C8" w:rsidP="001C099C">
      <w:pPr>
        <w:pStyle w:val="BodyText"/>
      </w:pPr>
      <w:r w:rsidRPr="00DF38C8">
        <w:t>Disability Discrimination Legal service </w:t>
      </w:r>
    </w:p>
    <w:p w14:paraId="7255B6C3" w14:textId="77777777" w:rsidR="00DF38C8" w:rsidRPr="00DF38C8" w:rsidRDefault="00DF38C8" w:rsidP="001C099C">
      <w:pPr>
        <w:pStyle w:val="BodyText"/>
      </w:pPr>
      <w:r w:rsidRPr="00DF38C8">
        <w:t>Ethnic Communities Council of Victoria </w:t>
      </w:r>
    </w:p>
    <w:p w14:paraId="5D515E15" w14:textId="77777777" w:rsidR="00DF38C8" w:rsidRPr="00DF38C8" w:rsidRDefault="00DF38C8" w:rsidP="001C099C">
      <w:pPr>
        <w:pStyle w:val="BodyText"/>
      </w:pPr>
      <w:r w:rsidRPr="00DF38C8">
        <w:t>Federation of Community Legal Centres </w:t>
      </w:r>
    </w:p>
    <w:p w14:paraId="15934697" w14:textId="77777777" w:rsidR="00DF38C8" w:rsidRPr="00DF38C8" w:rsidRDefault="00DF38C8" w:rsidP="001C099C">
      <w:pPr>
        <w:pStyle w:val="BodyText"/>
      </w:pPr>
      <w:r w:rsidRPr="00DF38C8">
        <w:t>Human Rights Law Centre </w:t>
      </w:r>
    </w:p>
    <w:p w14:paraId="4E07C51A" w14:textId="77777777" w:rsidR="00DF38C8" w:rsidRPr="00DF38C8" w:rsidRDefault="00DF38C8" w:rsidP="001C099C">
      <w:pPr>
        <w:pStyle w:val="BodyText"/>
      </w:pPr>
      <w:r w:rsidRPr="00DF38C8">
        <w:t>Intersex Human Rights Australia </w:t>
      </w:r>
    </w:p>
    <w:p w14:paraId="1B2163C5" w14:textId="77777777" w:rsidR="00DF38C8" w:rsidRPr="00DF38C8" w:rsidRDefault="00DF38C8" w:rsidP="001C099C">
      <w:pPr>
        <w:pStyle w:val="BodyText"/>
      </w:pPr>
      <w:r w:rsidRPr="00DF38C8">
        <w:t>Islamic Council of Victoria </w:t>
      </w:r>
    </w:p>
    <w:p w14:paraId="6AFD3090" w14:textId="77777777" w:rsidR="00DF38C8" w:rsidRPr="00DF38C8" w:rsidRDefault="00DF38C8" w:rsidP="001C099C">
      <w:pPr>
        <w:pStyle w:val="BodyText"/>
      </w:pPr>
      <w:r w:rsidRPr="00DF38C8">
        <w:t>Jewish Christian Muslim Association of Australian  </w:t>
      </w:r>
    </w:p>
    <w:p w14:paraId="0E3D06C4" w14:textId="77777777" w:rsidR="00DF38C8" w:rsidRPr="00DF38C8" w:rsidRDefault="00DF38C8" w:rsidP="001C099C">
      <w:pPr>
        <w:pStyle w:val="BodyText"/>
      </w:pPr>
      <w:r w:rsidRPr="00DF38C8">
        <w:t>Jewish Community Council of Victoria </w:t>
      </w:r>
    </w:p>
    <w:p w14:paraId="563949D2" w14:textId="77777777" w:rsidR="00DF38C8" w:rsidRPr="00DF38C8" w:rsidRDefault="00DF38C8" w:rsidP="001C099C">
      <w:pPr>
        <w:pStyle w:val="BodyText"/>
      </w:pPr>
      <w:r w:rsidRPr="00DF38C8">
        <w:t>Law Institute of Victoria </w:t>
      </w:r>
    </w:p>
    <w:p w14:paraId="6ED1D51A" w14:textId="77777777" w:rsidR="00DF38C8" w:rsidRPr="00DF38C8" w:rsidRDefault="00DF38C8" w:rsidP="001C099C">
      <w:pPr>
        <w:pStyle w:val="BodyText"/>
      </w:pPr>
      <w:r w:rsidRPr="00DF38C8">
        <w:t>Liberty Victoria </w:t>
      </w:r>
    </w:p>
    <w:p w14:paraId="02E94228" w14:textId="77777777" w:rsidR="00DF38C8" w:rsidRPr="00DF38C8" w:rsidRDefault="00DF38C8" w:rsidP="001C099C">
      <w:pPr>
        <w:pStyle w:val="BodyText"/>
      </w:pPr>
      <w:r w:rsidRPr="00DF38C8">
        <w:t>Life Works </w:t>
      </w:r>
    </w:p>
    <w:p w14:paraId="499BA7D0" w14:textId="77777777" w:rsidR="00DF38C8" w:rsidRPr="00DF38C8" w:rsidRDefault="00DF38C8" w:rsidP="001C099C">
      <w:pPr>
        <w:pStyle w:val="BodyText"/>
      </w:pPr>
      <w:r w:rsidRPr="00DF38C8">
        <w:t>Melbourne Employment Forum </w:t>
      </w:r>
    </w:p>
    <w:p w14:paraId="57226A19" w14:textId="77777777" w:rsidR="00DF38C8" w:rsidRPr="00DF38C8" w:rsidRDefault="00DF38C8" w:rsidP="001C099C">
      <w:pPr>
        <w:pStyle w:val="BodyText"/>
      </w:pPr>
      <w:r w:rsidRPr="00DF38C8">
        <w:t>Pantjan Society of Victoria </w:t>
      </w:r>
    </w:p>
    <w:p w14:paraId="5E4D3658" w14:textId="77777777" w:rsidR="00DF38C8" w:rsidRPr="00DF38C8" w:rsidRDefault="00DF38C8" w:rsidP="001C099C">
      <w:pPr>
        <w:pStyle w:val="BodyText"/>
      </w:pPr>
      <w:r w:rsidRPr="00DF38C8">
        <w:t>St Kilda Legal Service (LGBTIQ Legal Service) </w:t>
      </w:r>
    </w:p>
    <w:p w14:paraId="532AB212" w14:textId="30584212" w:rsidR="00DF38C8" w:rsidRDefault="00DF38C8" w:rsidP="001C099C">
      <w:pPr>
        <w:pStyle w:val="BodyText"/>
      </w:pPr>
      <w:r w:rsidRPr="00DF38C8">
        <w:t>Thorne Harbour Health </w:t>
      </w:r>
    </w:p>
    <w:p w14:paraId="44EB784B" w14:textId="58BF4F27" w:rsidR="009A31D7" w:rsidRPr="00DF38C8" w:rsidRDefault="009A31D7" w:rsidP="001C099C">
      <w:pPr>
        <w:pStyle w:val="BodyText"/>
      </w:pPr>
      <w:r w:rsidRPr="009A31D7">
        <w:t>Victorian CASA Forum</w:t>
      </w:r>
    </w:p>
    <w:p w14:paraId="27FE5028" w14:textId="77777777" w:rsidR="00DF38C8" w:rsidRPr="00DF38C8" w:rsidRDefault="00DF38C8" w:rsidP="001C099C">
      <w:pPr>
        <w:pStyle w:val="BodyText"/>
      </w:pPr>
      <w:r w:rsidRPr="00DF38C8">
        <w:t>Victoria Legal Aid </w:t>
      </w:r>
    </w:p>
    <w:p w14:paraId="1090266D" w14:textId="77777777" w:rsidR="00DF38C8" w:rsidRPr="00DF38C8" w:rsidRDefault="00DF38C8" w:rsidP="001C099C">
      <w:pPr>
        <w:pStyle w:val="BodyText"/>
      </w:pPr>
      <w:r w:rsidRPr="00DF38C8">
        <w:t>Victorian Aboriginal Legal Service </w:t>
      </w:r>
    </w:p>
    <w:p w14:paraId="051ED940" w14:textId="2D589973" w:rsidR="00DF38C8" w:rsidRPr="00DF38C8" w:rsidRDefault="00DF38C8" w:rsidP="001C099C">
      <w:pPr>
        <w:pStyle w:val="BodyText"/>
      </w:pPr>
      <w:r w:rsidRPr="00DF38C8">
        <w:t xml:space="preserve">Victorian Advocacy League for </w:t>
      </w:r>
      <w:r w:rsidR="009A31D7" w:rsidRPr="00DF38C8">
        <w:t>Intellectual</w:t>
      </w:r>
      <w:r w:rsidRPr="00DF38C8">
        <w:t xml:space="preserve"> Disability  </w:t>
      </w:r>
    </w:p>
    <w:p w14:paraId="0B8121D4" w14:textId="77777777" w:rsidR="00DF38C8" w:rsidRPr="00DF38C8" w:rsidRDefault="00DF38C8" w:rsidP="001C099C">
      <w:pPr>
        <w:pStyle w:val="BodyText"/>
      </w:pPr>
      <w:r w:rsidRPr="00DF38C8">
        <w:t>Victorian Council of Social Service </w:t>
      </w:r>
    </w:p>
    <w:p w14:paraId="73FB709E" w14:textId="77777777" w:rsidR="00DF38C8" w:rsidRPr="00DF38C8" w:rsidRDefault="00DF38C8" w:rsidP="001C099C">
      <w:pPr>
        <w:pStyle w:val="BodyText"/>
      </w:pPr>
      <w:r w:rsidRPr="00DF38C8">
        <w:t>Victorian Mental Illness Awareness Council </w:t>
      </w:r>
    </w:p>
    <w:p w14:paraId="101C5CDB" w14:textId="77777777" w:rsidR="00DF38C8" w:rsidRPr="00DF38C8" w:rsidRDefault="00DF38C8" w:rsidP="001C099C">
      <w:pPr>
        <w:pStyle w:val="BodyText"/>
      </w:pPr>
      <w:r w:rsidRPr="00DF38C8">
        <w:t>Victorian Multicultural Commission </w:t>
      </w:r>
    </w:p>
    <w:p w14:paraId="2B22EFFD" w14:textId="77777777" w:rsidR="00DF38C8" w:rsidRPr="00DF38C8" w:rsidRDefault="00DF38C8" w:rsidP="001C099C">
      <w:pPr>
        <w:pStyle w:val="BodyText"/>
      </w:pPr>
      <w:r w:rsidRPr="00DF38C8">
        <w:t>Women’s Health Victoria </w:t>
      </w:r>
    </w:p>
    <w:p w14:paraId="765D79C0" w14:textId="77777777" w:rsidR="00DF38C8" w:rsidRPr="00DF38C8" w:rsidRDefault="00DF38C8" w:rsidP="001C099C">
      <w:pPr>
        <w:pStyle w:val="BodyText"/>
      </w:pPr>
      <w:r w:rsidRPr="00DF38C8">
        <w:t>Women’s Legal Service Victoria </w:t>
      </w:r>
    </w:p>
    <w:p w14:paraId="7B14A778" w14:textId="77777777" w:rsidR="00DF38C8" w:rsidRPr="00DF38C8" w:rsidRDefault="00DF38C8" w:rsidP="001C099C">
      <w:pPr>
        <w:pStyle w:val="BodyText"/>
      </w:pPr>
      <w:r w:rsidRPr="00DF38C8">
        <w:t>Zoe Belle Gender Collective </w:t>
      </w:r>
    </w:p>
    <w:p w14:paraId="47654A26" w14:textId="77777777" w:rsidR="00DF38C8" w:rsidRPr="00DF38C8" w:rsidRDefault="00DF38C8" w:rsidP="00DF38C8">
      <w:pPr>
        <w:pStyle w:val="BodyText"/>
      </w:pPr>
      <w:r w:rsidRPr="00DF38C8">
        <w:lastRenderedPageBreak/>
        <w:t>  </w:t>
      </w:r>
    </w:p>
    <w:p w14:paraId="3B31CE56" w14:textId="77777777" w:rsidR="00397ED8" w:rsidRDefault="00397ED8" w:rsidP="00DF38C8">
      <w:pPr>
        <w:pStyle w:val="BodyText"/>
      </w:pPr>
    </w:p>
    <w:p w14:paraId="4CFD27A6" w14:textId="77777777" w:rsidR="00397ED8" w:rsidRDefault="00397ED8" w:rsidP="00DF38C8">
      <w:pPr>
        <w:pStyle w:val="BodyText"/>
      </w:pPr>
      <w:r>
        <w:br w:type="page"/>
      </w:r>
    </w:p>
    <w:p w14:paraId="3A25E60B" w14:textId="36D76B7B" w:rsidR="00397ED8" w:rsidRPr="00C61EC2" w:rsidRDefault="00397ED8" w:rsidP="00C61EC2">
      <w:pPr>
        <w:spacing w:after="200" w:line="276" w:lineRule="auto"/>
        <w:rPr>
          <w:rFonts w:ascii="Arial" w:eastAsiaTheme="minorHAnsi" w:hAnsi="Arial" w:cstheme="minorBidi"/>
          <w:szCs w:val="20"/>
          <w:lang w:eastAsia="en-US"/>
        </w:rPr>
        <w:sectPr w:rsidR="00397ED8" w:rsidRPr="00C61EC2" w:rsidSect="00086633">
          <w:footerReference w:type="first" r:id="rId22"/>
          <w:endnotePr>
            <w:numFmt w:val="decimal"/>
          </w:endnotePr>
          <w:pgSz w:w="11907" w:h="16839" w:code="9"/>
          <w:pgMar w:top="1134" w:right="1418" w:bottom="1134" w:left="1418" w:header="720" w:footer="720" w:gutter="0"/>
          <w:cols w:space="720"/>
          <w:docGrid w:linePitch="360"/>
        </w:sectPr>
      </w:pPr>
      <w:r>
        <w:lastRenderedPageBreak/>
        <w:br w:type="page"/>
      </w:r>
    </w:p>
    <w:bookmarkEnd w:id="2"/>
    <w:p w14:paraId="71456218" w14:textId="77777777" w:rsidR="00B64CF7" w:rsidRDefault="00B64CF7" w:rsidP="00B64CF7">
      <w:pPr>
        <w:pStyle w:val="BodyText"/>
      </w:pPr>
      <w:r>
        <w:rPr>
          <w:noProof/>
          <w:lang w:eastAsia="en-GB"/>
        </w:rPr>
        <w:lastRenderedPageBreak/>
        <w:drawing>
          <wp:inline distT="0" distB="0" distL="0" distR="0" wp14:anchorId="136B6436" wp14:editId="19F01F65">
            <wp:extent cx="2156460" cy="586740"/>
            <wp:effectExtent l="0" t="0" r="0" b="3810"/>
            <wp:docPr id="13" name="Picture 13"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14:paraId="0DD11434" w14:textId="77777777" w:rsidR="00B64CF7" w:rsidRDefault="00B64CF7" w:rsidP="00B64CF7">
      <w:pPr>
        <w:pStyle w:val="BodyText"/>
      </w:pPr>
    </w:p>
    <w:p w14:paraId="2900CE82" w14:textId="77777777" w:rsidR="00B64CF7" w:rsidRDefault="00B64CF7" w:rsidP="00B64CF7">
      <w:pPr>
        <w:pStyle w:val="BodyText"/>
      </w:pPr>
      <w:r w:rsidRPr="00902D12">
        <w:rPr>
          <w:rStyle w:val="Characterbold"/>
        </w:rPr>
        <w:t>Contact us</w:t>
      </w:r>
    </w:p>
    <w:p w14:paraId="399D90F7" w14:textId="3201510E" w:rsidR="00F3582C" w:rsidRDefault="00B64CF7" w:rsidP="00C518A6">
      <w:pPr>
        <w:pStyle w:val="BodyText"/>
        <w:spacing w:before="120" w:line="260" w:lineRule="atLeast"/>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23" w:history="1">
        <w:r w:rsidRPr="000B6AEF">
          <w:rPr>
            <w:rStyle w:val="Hyperlink"/>
          </w:rPr>
          <w:t>enquiries@veohrc.vic.gov.au</w:t>
        </w:r>
      </w:hyperlink>
      <w:r>
        <w:br/>
        <w:t>Website</w:t>
      </w:r>
      <w:r>
        <w:tab/>
      </w:r>
      <w:r>
        <w:tab/>
      </w:r>
      <w:r>
        <w:tab/>
      </w:r>
      <w:hyperlink r:id="rId24" w:history="1">
        <w:r w:rsidRPr="00AF44F2">
          <w:rPr>
            <w:rStyle w:val="Hyperlink"/>
          </w:rPr>
          <w:t>humanrightscommission.vic.gov.au</w:t>
        </w:r>
      </w:hyperlink>
      <w:r>
        <w:br/>
        <w:t>Follow us on Twitter</w:t>
      </w:r>
      <w:r>
        <w:tab/>
      </w:r>
      <w:r>
        <w:tab/>
      </w:r>
      <w:hyperlink r:id="rId25" w:history="1">
        <w:r w:rsidRPr="000B6AEF">
          <w:rPr>
            <w:rStyle w:val="Hyperlink"/>
          </w:rPr>
          <w:t>w</w:t>
        </w:r>
      </w:hyperlink>
      <w:hyperlink r:id="rId26" w:history="1">
        <w:r w:rsidR="00C518A6" w:rsidRPr="00F77069">
          <w:rPr>
            <w:rStyle w:val="Hyperlink"/>
          </w:rPr>
          <w:t>ww.twitter.com/VEOHRC</w:t>
        </w:r>
      </w:hyperlink>
      <w:r>
        <w:br/>
        <w:t>Find us at</w:t>
      </w:r>
      <w:r>
        <w:tab/>
      </w:r>
      <w:r>
        <w:tab/>
      </w:r>
      <w:r>
        <w:tab/>
      </w:r>
      <w:hyperlink r:id="rId27" w:history="1">
        <w:r w:rsidR="00C518A6" w:rsidRPr="00C80FCF">
          <w:rPr>
            <w:rStyle w:val="Hyperlink"/>
          </w:rPr>
          <w:t>www.facebook.com/VEOHRC</w:t>
        </w:r>
      </w:hyperlink>
    </w:p>
    <w:p w14:paraId="6CCF3848" w14:textId="77777777" w:rsidR="00F43C28" w:rsidRDefault="00F43C28" w:rsidP="00F43C28">
      <w:pPr>
        <w:pStyle w:val="Heading1non-numbered"/>
      </w:pPr>
      <w:r w:rsidRPr="00F43C28">
        <w:t>humanrightscommission.vic.gov.au</w:t>
      </w:r>
      <w:bookmarkEnd w:id="0"/>
    </w:p>
    <w:sectPr w:rsidR="00F43C28" w:rsidSect="00086633">
      <w:footerReference w:type="first" r:id="rId28"/>
      <w:endnotePr>
        <w:numFmt w:val="decimal"/>
      </w:endnotePr>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8A2F6" w14:textId="77777777" w:rsidR="00B7364D" w:rsidRDefault="00B7364D" w:rsidP="00E12845">
      <w:r>
        <w:separator/>
      </w:r>
    </w:p>
  </w:endnote>
  <w:endnote w:type="continuationSeparator" w:id="0">
    <w:p w14:paraId="245D8EF7" w14:textId="77777777" w:rsidR="00B7364D" w:rsidRDefault="00B7364D" w:rsidP="00E12845">
      <w:r>
        <w:continuationSeparator/>
      </w:r>
    </w:p>
  </w:endnote>
  <w:endnote w:type="continuationNotice" w:id="1">
    <w:p w14:paraId="730B08B6" w14:textId="77777777" w:rsidR="00B7364D" w:rsidRDefault="00B7364D"/>
  </w:endnote>
  <w:endnote w:id="2">
    <w:p w14:paraId="7CDCF0BC" w14:textId="77777777" w:rsidR="00407A5F" w:rsidRPr="002C6D65" w:rsidRDefault="00407A5F" w:rsidP="00A41980">
      <w:pPr>
        <w:pStyle w:val="EndnoteText"/>
        <w:rPr>
          <w:rFonts w:cs="Arial"/>
        </w:rPr>
      </w:pPr>
      <w:r>
        <w:rPr>
          <w:rStyle w:val="EndnoteReference"/>
        </w:rPr>
        <w:endnoteRef/>
      </w:r>
      <w:r>
        <w:t xml:space="preserve"> </w:t>
      </w:r>
      <w:r w:rsidRPr="002C6D65">
        <w:rPr>
          <w:rStyle w:val="Characteritalic"/>
          <w:rFonts w:cs="Arial"/>
        </w:rPr>
        <w:t>Cottrell v Smith</w:t>
      </w:r>
      <w:r w:rsidRPr="002C6D65">
        <w:rPr>
          <w:rFonts w:cs="Arial"/>
        </w:rPr>
        <w:t xml:space="preserve"> [2019] VCC 2142, 19.</w:t>
      </w:r>
    </w:p>
  </w:endnote>
  <w:endnote w:id="3">
    <w:p w14:paraId="0B42A89F" w14:textId="3240EA16" w:rsidR="00407A5F" w:rsidRPr="002C6D65" w:rsidRDefault="00407A5F">
      <w:pPr>
        <w:pStyle w:val="EndnoteText"/>
        <w:rPr>
          <w:rFonts w:cs="Arial"/>
          <w:lang w:eastAsia="en-AU"/>
        </w:rPr>
      </w:pPr>
      <w:r w:rsidRPr="002C6D65">
        <w:rPr>
          <w:rStyle w:val="EndnoteReference"/>
          <w:rFonts w:cs="Arial"/>
        </w:rPr>
        <w:endnoteRef/>
      </w:r>
      <w:r w:rsidRPr="002C6D65">
        <w:rPr>
          <w:rFonts w:cs="Arial"/>
        </w:rPr>
        <w:t xml:space="preserve"> Derya Iner, </w:t>
      </w:r>
      <w:r w:rsidRPr="002C6D65">
        <w:rPr>
          <w:rStyle w:val="Characteritalic"/>
          <w:rFonts w:cs="Arial"/>
        </w:rPr>
        <w:t>Islamophobia in Australia Report II (2017-2018)</w:t>
      </w:r>
      <w:r w:rsidRPr="002C6D65">
        <w:rPr>
          <w:rFonts w:cs="Arial"/>
        </w:rPr>
        <w:t xml:space="preserve">, (Charles Sturt University and ISRA, 2019); David Graham &amp; Andrew Markus, </w:t>
      </w:r>
      <w:r w:rsidRPr="002C6D65">
        <w:rPr>
          <w:rStyle w:val="Characteritalic"/>
          <w:rFonts w:cs="Arial"/>
        </w:rPr>
        <w:t xml:space="preserve">GEN17 Australian Jewish Community Survey: Preliminary Findings </w:t>
      </w:r>
      <w:r w:rsidRPr="002C6D65">
        <w:rPr>
          <w:rFonts w:cs="Arial"/>
        </w:rPr>
        <w:t xml:space="preserve">(2018) 6 &lt; </w:t>
      </w:r>
      <w:hyperlink r:id="rId1" w:history="1">
        <w:r w:rsidRPr="002C6D65">
          <w:rPr>
            <w:rStyle w:val="Hyperlink"/>
            <w:rFonts w:cs="Arial"/>
          </w:rPr>
          <w:t>https://www.monash.edu/__data/assets/pdf_file/0009/1531791/gen17-initial-findings-report-online-version-final-22_3.pdf</w:t>
        </w:r>
      </w:hyperlink>
      <w:r w:rsidRPr="002C6D65">
        <w:rPr>
          <w:rFonts w:cs="Arial"/>
        </w:rPr>
        <w:t>&gt;</w:t>
      </w:r>
      <w:r w:rsidRPr="002C6D65">
        <w:rPr>
          <w:rStyle w:val="Characterclear"/>
          <w:rFonts w:cs="Arial"/>
          <w:sz w:val="20"/>
        </w:rPr>
        <w:t xml:space="preserve">; </w:t>
      </w:r>
      <w:r w:rsidRPr="002C6D65">
        <w:rPr>
          <w:rFonts w:cs="Arial"/>
        </w:rPr>
        <w:t xml:space="preserve">Executive Council of Australian Jewry, </w:t>
      </w:r>
      <w:r w:rsidRPr="002C6D65">
        <w:rPr>
          <w:rStyle w:val="Characteritalic"/>
          <w:rFonts w:cs="Arial"/>
        </w:rPr>
        <w:t>Report on Antisemitism in Australia 2019</w:t>
      </w:r>
      <w:r w:rsidRPr="002C6D65">
        <w:rPr>
          <w:rFonts w:cs="Arial"/>
        </w:rPr>
        <w:t>, (Report, 24 November 2019).</w:t>
      </w:r>
    </w:p>
  </w:endnote>
  <w:endnote w:id="4">
    <w:p w14:paraId="72E37E53" w14:textId="77777777" w:rsidR="00407A5F" w:rsidRPr="002C6D65" w:rsidRDefault="00407A5F" w:rsidP="00E4419B">
      <w:pPr>
        <w:pStyle w:val="EndnoteText"/>
        <w:rPr>
          <w:rFonts w:cs="Arial"/>
        </w:rPr>
      </w:pPr>
      <w:r w:rsidRPr="002C6D65">
        <w:rPr>
          <w:rStyle w:val="EndnoteReference"/>
          <w:rFonts w:cs="Arial"/>
        </w:rPr>
        <w:endnoteRef/>
      </w:r>
      <w:r w:rsidRPr="002C6D65">
        <w:rPr>
          <w:rFonts w:cs="Arial"/>
        </w:rPr>
        <w:t xml:space="preserve"> ‘White supremacist concert in Melbourne cannot be stopped, Premier says’ </w:t>
      </w:r>
      <w:r w:rsidRPr="002C6D65">
        <w:rPr>
          <w:rFonts w:cs="Arial"/>
          <w:i/>
        </w:rPr>
        <w:t xml:space="preserve">ABC News </w:t>
      </w:r>
      <w:r w:rsidRPr="002C6D65">
        <w:rPr>
          <w:rFonts w:cs="Arial"/>
        </w:rPr>
        <w:t>(online, 8 October 2019) &lt;</w:t>
      </w:r>
      <w:hyperlink r:id="rId2" w:history="1">
        <w:r w:rsidRPr="002C6D65">
          <w:rPr>
            <w:rStyle w:val="Hyperlink"/>
            <w:rFonts w:cs="Arial"/>
          </w:rPr>
          <w:t>https://www.abc.net.au/news/2019-10-08/white-supremacist-neo-nazi-concert-in-melbourne-to-go-ahead/11582120</w:t>
        </w:r>
      </w:hyperlink>
      <w:r w:rsidRPr="002C6D65">
        <w:rPr>
          <w:rFonts w:cs="Arial"/>
        </w:rPr>
        <w:t>&gt;</w:t>
      </w:r>
    </w:p>
  </w:endnote>
  <w:endnote w:id="5">
    <w:p w14:paraId="1C722DE4" w14:textId="20FC89DE" w:rsidR="00407A5F" w:rsidRPr="002C6D65" w:rsidRDefault="00407A5F" w:rsidP="00E4419B">
      <w:pPr>
        <w:pStyle w:val="EndnoteText"/>
        <w:rPr>
          <w:rFonts w:cs="Arial"/>
        </w:rPr>
      </w:pPr>
      <w:r w:rsidRPr="002C6D65">
        <w:rPr>
          <w:rStyle w:val="EndnoteReference"/>
          <w:rFonts w:cs="Arial"/>
        </w:rPr>
        <w:endnoteRef/>
      </w:r>
      <w:r w:rsidRPr="002C6D65">
        <w:rPr>
          <w:rFonts w:cs="Arial"/>
        </w:rPr>
        <w:t xml:space="preserve"> ‘Anti-Semitic bullying at Melbourne school prompts call for more Holocaust education’ </w:t>
      </w:r>
      <w:r w:rsidRPr="002C6D65">
        <w:rPr>
          <w:rFonts w:cs="Arial"/>
          <w:i/>
        </w:rPr>
        <w:t xml:space="preserve">SBS News </w:t>
      </w:r>
      <w:r w:rsidRPr="002C6D65">
        <w:rPr>
          <w:rFonts w:cs="Arial"/>
        </w:rPr>
        <w:t>(online, 4 October 2019) &lt;</w:t>
      </w:r>
      <w:hyperlink r:id="rId3" w:history="1">
        <w:r w:rsidRPr="002C6D65">
          <w:rPr>
            <w:rStyle w:val="Hyperlink"/>
            <w:rFonts w:cs="Arial"/>
          </w:rPr>
          <w:t>https://www.sbs.com.au/news/anti-semitic-bullying-at-melbourne-schools-prompts-call-for-more-holocaust-education</w:t>
        </w:r>
      </w:hyperlink>
      <w:r w:rsidRPr="002C6D65">
        <w:rPr>
          <w:rFonts w:cs="Arial"/>
        </w:rPr>
        <w:t>&gt;; Amy Greenbank ‘Islamophobic abuse mostly directed at women wearing headscarves while shopping, study finds’ ABC News (online, 19 December 2019) &lt;</w:t>
      </w:r>
      <w:hyperlink r:id="rId4" w:history="1">
        <w:r w:rsidRPr="002C6D65">
          <w:rPr>
            <w:rStyle w:val="Hyperlink"/>
            <w:rFonts w:cs="Arial"/>
          </w:rPr>
          <w:t>https://www.abc.net.au/news/2019-11-18/muslim-women-enduring-most-islamophobia-in-australia/11708376</w:t>
        </w:r>
      </w:hyperlink>
      <w:r w:rsidRPr="002C6D65">
        <w:rPr>
          <w:rFonts w:cs="Arial"/>
        </w:rPr>
        <w:t>&gt;</w:t>
      </w:r>
      <w:r>
        <w:rPr>
          <w:rFonts w:cs="Arial"/>
        </w:rPr>
        <w:t>.</w:t>
      </w:r>
    </w:p>
  </w:endnote>
  <w:endnote w:id="6">
    <w:p w14:paraId="1F881042" w14:textId="687052C2" w:rsidR="00407A5F" w:rsidRPr="002C6D65" w:rsidRDefault="00407A5F">
      <w:pPr>
        <w:pStyle w:val="EndnoteText"/>
        <w:rPr>
          <w:rFonts w:cs="Arial"/>
        </w:rPr>
      </w:pPr>
      <w:r w:rsidRPr="002C6D65">
        <w:rPr>
          <w:rStyle w:val="EndnoteReference"/>
          <w:rFonts w:cs="Arial"/>
        </w:rPr>
        <w:endnoteRef/>
      </w:r>
      <w:r w:rsidRPr="002C6D65">
        <w:rPr>
          <w:rFonts w:cs="Arial"/>
        </w:rPr>
        <w:t xml:space="preserve"> Sean Wales and Leonie Thorne ‘Nazi flag take down amid calls to strengthen anti-vilification laws’ ABC News (online, 16 January 2020) &lt;</w:t>
      </w:r>
      <w:hyperlink r:id="rId5" w:history="1">
        <w:r w:rsidRPr="002C6D65">
          <w:rPr>
            <w:rStyle w:val="Hyperlink"/>
            <w:rFonts w:cs="Arial"/>
          </w:rPr>
          <w:t>https://www.abc.net.au/news/2020-01-14/nazi-flag-flown-in-north-west-victorian-town-of-beulah/11866096</w:t>
        </w:r>
      </w:hyperlink>
      <w:r w:rsidRPr="002C6D65">
        <w:rPr>
          <w:rFonts w:cs="Arial"/>
        </w:rPr>
        <w:t>&gt;</w:t>
      </w:r>
      <w:r>
        <w:rPr>
          <w:rFonts w:cs="Arial"/>
        </w:rPr>
        <w:t>.</w:t>
      </w:r>
    </w:p>
  </w:endnote>
  <w:endnote w:id="7">
    <w:p w14:paraId="6357417E" w14:textId="26880B41" w:rsidR="00407A5F" w:rsidRPr="002C6D65" w:rsidRDefault="00407A5F" w:rsidP="00E4419B">
      <w:pPr>
        <w:pStyle w:val="EndnoteText"/>
        <w:rPr>
          <w:rFonts w:cs="Arial"/>
        </w:rPr>
      </w:pPr>
      <w:r w:rsidRPr="002C6D65">
        <w:rPr>
          <w:rStyle w:val="EndnoteReference"/>
          <w:rFonts w:cs="Arial"/>
        </w:rPr>
        <w:endnoteRef/>
      </w:r>
      <w:r w:rsidRPr="002C6D65">
        <w:rPr>
          <w:rFonts w:cs="Arial"/>
        </w:rPr>
        <w:t xml:space="preserve"> Luke Henriques-Gomes ‘South Sudanese -Australians report racial abuse intensified after “African gangs” claims’ </w:t>
      </w:r>
      <w:r w:rsidRPr="002C6D65">
        <w:rPr>
          <w:rFonts w:cs="Arial"/>
          <w:i/>
        </w:rPr>
        <w:t xml:space="preserve">The Guardian </w:t>
      </w:r>
      <w:r w:rsidRPr="002C6D65">
        <w:rPr>
          <w:rFonts w:cs="Arial"/>
        </w:rPr>
        <w:t>(online, 4 November 2018) &lt;</w:t>
      </w:r>
      <w:hyperlink r:id="rId6" w:history="1">
        <w:r w:rsidRPr="002C6D65">
          <w:rPr>
            <w:rStyle w:val="Hyperlink"/>
            <w:rFonts w:cs="Arial"/>
          </w:rPr>
          <w:t>https://www.theguardian.com/world/2018/nov/04/south-sudanese-australians-report-abuse-intensified-after-african-gangs-claims</w:t>
        </w:r>
      </w:hyperlink>
      <w:r w:rsidRPr="002C6D65">
        <w:rPr>
          <w:rFonts w:cs="Arial"/>
        </w:rPr>
        <w:t>&gt;</w:t>
      </w:r>
      <w:r>
        <w:rPr>
          <w:rFonts w:cs="Arial"/>
        </w:rPr>
        <w:t>.</w:t>
      </w:r>
      <w:r w:rsidRPr="002C6D65">
        <w:rPr>
          <w:rFonts w:cs="Arial"/>
        </w:rPr>
        <w:t xml:space="preserve"> </w:t>
      </w:r>
    </w:p>
  </w:endnote>
  <w:endnote w:id="8">
    <w:p w14:paraId="7954EF82" w14:textId="1C929FA8"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Due to the inability for stakeholders to attend focus groups at a busy time of the year, the Commission cancelled scheduled focus groups with Aboriginal and Torres Strait Islander stakeholders and stakeholders from the gender equality and violence against women sectors. We instead undertook interviews with these stakeholders.</w:t>
      </w:r>
    </w:p>
  </w:endnote>
  <w:endnote w:id="9">
    <w:p w14:paraId="377D9304" w14:textId="53EE66BB" w:rsidR="00407A5F" w:rsidRPr="002C6D65" w:rsidRDefault="00407A5F">
      <w:pPr>
        <w:pStyle w:val="EndnoteText"/>
        <w:rPr>
          <w:rStyle w:val="Characteritalic"/>
          <w:rFonts w:cs="Arial"/>
        </w:rPr>
      </w:pPr>
      <w:r w:rsidRPr="002C6D65">
        <w:rPr>
          <w:rStyle w:val="EndnoteReference"/>
          <w:rFonts w:cs="Arial"/>
        </w:rPr>
        <w:endnoteRef/>
      </w:r>
      <w:r w:rsidRPr="002C6D65">
        <w:rPr>
          <w:rFonts w:cs="Arial"/>
        </w:rPr>
        <w:t xml:space="preserve"> Victorian Equal Opportunity and Human Rights Commission, </w:t>
      </w:r>
      <w:r w:rsidRPr="002C6D65">
        <w:rPr>
          <w:rStyle w:val="Characteritalic"/>
          <w:rFonts w:cs="Arial"/>
        </w:rPr>
        <w:t>Victorian Discrimination Law: 2</w:t>
      </w:r>
      <w:r w:rsidRPr="002C6D65">
        <w:rPr>
          <w:rStyle w:val="Characteritalic"/>
          <w:rFonts w:cs="Arial"/>
          <w:vertAlign w:val="superscript"/>
        </w:rPr>
        <w:t>nd</w:t>
      </w:r>
      <w:r w:rsidRPr="002C6D65">
        <w:rPr>
          <w:rStyle w:val="Characteritalic"/>
          <w:rFonts w:cs="Arial"/>
        </w:rPr>
        <w:t xml:space="preserve"> Edition </w:t>
      </w:r>
      <w:r w:rsidRPr="002C6D65">
        <w:rPr>
          <w:rFonts w:cs="Arial"/>
        </w:rPr>
        <w:t xml:space="preserve">(Victorian Equal Opportunity and Human Rights Commission, 2019) &lt; </w:t>
      </w:r>
      <w:hyperlink r:id="rId7" w:history="1">
        <w:r w:rsidRPr="002C6D65">
          <w:rPr>
            <w:rStyle w:val="Hyperlink"/>
            <w:rFonts w:cs="Arial"/>
          </w:rPr>
          <w:t>https://www.humanrightscommission.vic.gov.au/home/our-resources-and-publications/victorian-discrimination-law</w:t>
        </w:r>
      </w:hyperlink>
      <w:r w:rsidRPr="002C6D65">
        <w:rPr>
          <w:rFonts w:cs="Arial"/>
        </w:rPr>
        <w:t>&gt;</w:t>
      </w:r>
      <w:r>
        <w:rPr>
          <w:rFonts w:cs="Arial"/>
        </w:rPr>
        <w:t>.</w:t>
      </w:r>
      <w:r w:rsidRPr="002C6D65">
        <w:rPr>
          <w:rFonts w:cs="Arial"/>
        </w:rPr>
        <w:t xml:space="preserve"> </w:t>
      </w:r>
    </w:p>
  </w:endnote>
  <w:endnote w:id="10">
    <w:p w14:paraId="6ED950BA" w14:textId="6A474582" w:rsidR="00407A5F" w:rsidRPr="002C6D65" w:rsidRDefault="00407A5F">
      <w:pPr>
        <w:pStyle w:val="EndnoteText"/>
        <w:rPr>
          <w:rFonts w:cs="Arial"/>
        </w:rPr>
      </w:pPr>
      <w:r w:rsidRPr="002C6D65">
        <w:rPr>
          <w:rStyle w:val="EndnoteReference"/>
          <w:rFonts w:cs="Arial"/>
        </w:rPr>
        <w:endnoteRef/>
      </w:r>
      <w:r w:rsidRPr="002C6D65">
        <w:rPr>
          <w:rFonts w:cs="Arial"/>
        </w:rPr>
        <w:t xml:space="preserve"> UN Committee on the Elimination of Racial Discrimination, </w:t>
      </w:r>
      <w:r w:rsidRPr="002C6D65">
        <w:rPr>
          <w:rStyle w:val="Characteritalic"/>
          <w:rFonts w:cs="Arial"/>
        </w:rPr>
        <w:t>General Recommendation 35, Combating racist hate speech</w:t>
      </w:r>
      <w:r w:rsidRPr="002C6D65">
        <w:rPr>
          <w:rFonts w:cs="Arial"/>
        </w:rPr>
        <w:t>, UN Doc CERD/C/GC/35, 26 September 2013, 13.</w:t>
      </w:r>
    </w:p>
  </w:endnote>
  <w:endnote w:id="11">
    <w:p w14:paraId="11CA3E3A" w14:textId="77777777"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Explanatory Memorandum, Racial and Religious Tolerance Bill 2001, 6. </w:t>
      </w:r>
    </w:p>
  </w:endnote>
  <w:endnote w:id="12">
    <w:p w14:paraId="1CB6810D" w14:textId="401DE10E" w:rsidR="00407A5F" w:rsidRPr="002C6D65" w:rsidRDefault="00407A5F" w:rsidP="009046B1">
      <w:pPr>
        <w:pStyle w:val="EndnoteText"/>
        <w:rPr>
          <w:rFonts w:cs="Arial"/>
        </w:rPr>
      </w:pPr>
      <w:r w:rsidRPr="002C6D65">
        <w:rPr>
          <w:rStyle w:val="EndnoteReference"/>
          <w:rFonts w:cs="Arial"/>
        </w:rPr>
        <w:endnoteRef/>
      </w:r>
      <w:r w:rsidRPr="002C6D65">
        <w:rPr>
          <w:rFonts w:cs="Arial"/>
        </w:rPr>
        <w:t xml:space="preserve"> UN Committee on the Elimination of Racial Discrimination, </w:t>
      </w:r>
      <w:r w:rsidRPr="002C6D65">
        <w:rPr>
          <w:rStyle w:val="Characteritalic"/>
          <w:rFonts w:cs="Arial"/>
        </w:rPr>
        <w:t>General Recommendation 35, Combating racist hate speech</w:t>
      </w:r>
      <w:r w:rsidRPr="002C6D65">
        <w:rPr>
          <w:rFonts w:cs="Arial"/>
        </w:rPr>
        <w:t>, UN Doc CERD/C/GC/35, 26 September 2013, 25.</w:t>
      </w:r>
    </w:p>
  </w:endnote>
  <w:endnote w:id="13">
    <w:p w14:paraId="151C9987" w14:textId="384DFB9E" w:rsidR="00407A5F" w:rsidRPr="002C6D65" w:rsidRDefault="00407A5F">
      <w:pPr>
        <w:pStyle w:val="EndnoteText"/>
        <w:rPr>
          <w:rFonts w:cs="Arial"/>
        </w:rPr>
      </w:pPr>
      <w:r w:rsidRPr="002C6D65">
        <w:rPr>
          <w:rStyle w:val="EndnoteReference"/>
          <w:rFonts w:cs="Arial"/>
        </w:rPr>
        <w:endnoteRef/>
      </w:r>
      <w:r w:rsidRPr="002C6D65">
        <w:rPr>
          <w:rFonts w:cs="Arial"/>
        </w:rPr>
        <w:t xml:space="preserve"> Explanatory Memorandum, Charter of Human Rights and Responsibilities Bill (2006), 13. </w:t>
      </w:r>
    </w:p>
  </w:endnote>
  <w:endnote w:id="14">
    <w:p w14:paraId="380F5FF2" w14:textId="77777777" w:rsidR="00407A5F" w:rsidRPr="002C6D65" w:rsidRDefault="00407A5F" w:rsidP="00BB02F0">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Cottrell v Smith</w:t>
      </w:r>
      <w:r w:rsidRPr="002C6D65">
        <w:rPr>
          <w:rFonts w:cs="Arial"/>
        </w:rPr>
        <w:t xml:space="preserve"> [2019] VCC 2142, 95-98.</w:t>
      </w:r>
    </w:p>
  </w:endnote>
  <w:endnote w:id="15">
    <w:p w14:paraId="0386A4E0" w14:textId="19BC3F43" w:rsidR="00407A5F" w:rsidRPr="002C6D65" w:rsidRDefault="00407A5F">
      <w:pPr>
        <w:pStyle w:val="EndnoteText"/>
        <w:rPr>
          <w:rFonts w:cs="Arial"/>
        </w:rPr>
      </w:pPr>
      <w:r w:rsidRPr="002C6D65">
        <w:rPr>
          <w:rStyle w:val="EndnoteReference"/>
          <w:rFonts w:cs="Arial"/>
        </w:rPr>
        <w:endnoteRef/>
      </w:r>
      <w:r w:rsidRPr="002C6D65">
        <w:rPr>
          <w:rFonts w:cs="Arial"/>
        </w:rPr>
        <w:t xml:space="preserve"> Explanatory Memorandum, Racial and Religious Tolerance Bill (2001), cl 24. </w:t>
      </w:r>
    </w:p>
  </w:endnote>
  <w:endnote w:id="16">
    <w:p w14:paraId="771DF8C9" w14:textId="41D4C4EF"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and Religious Tolerance Act 2001</w:t>
      </w:r>
      <w:r w:rsidRPr="002C6D65">
        <w:rPr>
          <w:rFonts w:cs="Arial"/>
        </w:rPr>
        <w:t xml:space="preserve"> (Vic), ss 24(4) and 25(4). </w:t>
      </w:r>
    </w:p>
  </w:endnote>
  <w:endnote w:id="17">
    <w:p w14:paraId="0EA717D4" w14:textId="77777777" w:rsidR="00407A5F" w:rsidRPr="002C6D65" w:rsidRDefault="00407A5F" w:rsidP="00FE6FE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and Religious Tolerance Act 2001</w:t>
      </w:r>
      <w:r w:rsidRPr="002C6D65">
        <w:rPr>
          <w:rFonts w:cs="Arial"/>
        </w:rPr>
        <w:t xml:space="preserve"> (Vic), s 26.</w:t>
      </w:r>
    </w:p>
  </w:endnote>
  <w:endnote w:id="18">
    <w:p w14:paraId="701CB152" w14:textId="11711B93"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Cottrell v Smith</w:t>
      </w:r>
      <w:r w:rsidRPr="002C6D65">
        <w:rPr>
          <w:rFonts w:cs="Arial"/>
        </w:rPr>
        <w:t xml:space="preserve"> [2019] VCC 2142, 64, 19.</w:t>
      </w:r>
    </w:p>
  </w:endnote>
  <w:endnote w:id="19">
    <w:p w14:paraId="3FB88926" w14:textId="4DAB031B"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Cottrell v Smith</w:t>
      </w:r>
      <w:r w:rsidRPr="002C6D65">
        <w:rPr>
          <w:rFonts w:cs="Arial"/>
        </w:rPr>
        <w:t xml:space="preserve"> [2019] VCC 2142, 64.</w:t>
      </w:r>
    </w:p>
  </w:endnote>
  <w:endnote w:id="20">
    <w:p w14:paraId="65711CE2" w14:textId="4C083ABC" w:rsidR="00407A5F" w:rsidRPr="002C6D65" w:rsidRDefault="00407A5F">
      <w:pPr>
        <w:pStyle w:val="EndnoteText"/>
        <w:rPr>
          <w:rFonts w:cs="Arial"/>
        </w:rPr>
      </w:pPr>
      <w:r w:rsidRPr="002C6D65">
        <w:rPr>
          <w:rStyle w:val="EndnoteReference"/>
          <w:rFonts w:cs="Arial"/>
        </w:rPr>
        <w:endnoteRef/>
      </w:r>
      <w:r w:rsidRPr="002C6D65">
        <w:rPr>
          <w:rFonts w:cs="Arial"/>
        </w:rPr>
        <w:t xml:space="preserve"> Judicial College of Victoria, </w:t>
      </w:r>
      <w:r w:rsidRPr="002C6D65">
        <w:rPr>
          <w:rStyle w:val="Characteritalic"/>
          <w:rFonts w:cs="Arial"/>
        </w:rPr>
        <w:t>Victorian Sentencing Manual</w:t>
      </w:r>
      <w:r w:rsidRPr="002C6D65">
        <w:rPr>
          <w:rFonts w:cs="Arial"/>
        </w:rPr>
        <w:t xml:space="preserve">, Part 5.2.5 (Hate crimes), 81 &lt; </w:t>
      </w:r>
      <w:hyperlink r:id="rId8" w:history="1">
        <w:r w:rsidRPr="002C6D65">
          <w:rPr>
            <w:rStyle w:val="Hyperlink"/>
            <w:rFonts w:cs="Arial"/>
          </w:rPr>
          <w:t>https://resources.judicialcollege.vic.edu.au/article/669236</w:t>
        </w:r>
      </w:hyperlink>
      <w:r w:rsidRPr="002C6D65">
        <w:rPr>
          <w:rFonts w:cs="Arial"/>
        </w:rPr>
        <w:t>&gt;</w:t>
      </w:r>
      <w:r>
        <w:rPr>
          <w:rFonts w:cs="Arial"/>
        </w:rPr>
        <w:t>.</w:t>
      </w:r>
      <w:r w:rsidRPr="002C6D65">
        <w:rPr>
          <w:rFonts w:cs="Arial"/>
        </w:rPr>
        <w:t xml:space="preserve"> </w:t>
      </w:r>
    </w:p>
  </w:endnote>
  <w:endnote w:id="21">
    <w:p w14:paraId="51DC876C" w14:textId="6B126008"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 </w:t>
      </w:r>
      <w:r w:rsidRPr="002C6D65">
        <w:rPr>
          <w:rStyle w:val="Characteritalic"/>
          <w:rFonts w:cs="Arial"/>
        </w:rPr>
        <w:t>Parliamentary Debates</w:t>
      </w:r>
      <w:r w:rsidRPr="002C6D65">
        <w:rPr>
          <w:rFonts w:cs="Arial"/>
        </w:rPr>
        <w:t xml:space="preserve">, Legislative Assembly, 17 September 2009, 3358 (Rob Hull, Attorney-General). </w:t>
      </w:r>
    </w:p>
  </w:endnote>
  <w:endnote w:id="22">
    <w:p w14:paraId="05BCB8F7" w14:textId="21818145"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Discrimination Act 1975</w:t>
      </w:r>
      <w:r w:rsidRPr="002C6D65">
        <w:rPr>
          <w:rFonts w:cs="Arial"/>
        </w:rPr>
        <w:t xml:space="preserve"> (Cth), s 18C.</w:t>
      </w:r>
    </w:p>
  </w:endnote>
  <w:endnote w:id="23">
    <w:p w14:paraId="43A7CB9E" w14:textId="43168A93" w:rsidR="00407A5F" w:rsidRPr="002C6D65" w:rsidRDefault="00407A5F">
      <w:pPr>
        <w:pStyle w:val="EndnoteText"/>
        <w:rPr>
          <w:rFonts w:cs="Arial"/>
        </w:rPr>
      </w:pPr>
      <w:r w:rsidRPr="002C6D65">
        <w:rPr>
          <w:rStyle w:val="EndnoteReference"/>
          <w:rFonts w:cs="Arial"/>
        </w:rPr>
        <w:endnoteRef/>
      </w:r>
      <w:r w:rsidRPr="002C6D65">
        <w:rPr>
          <w:rFonts w:cs="Arial"/>
        </w:rPr>
        <w:t xml:space="preserve"> See Commonwealth Attorney-General, ‘Religious Freedom Bills – Second Exposure Drafts’ (2020) &lt;</w:t>
      </w:r>
      <w:hyperlink r:id="rId9" w:history="1">
        <w:r w:rsidRPr="002C6D65">
          <w:rPr>
            <w:rStyle w:val="Hyperlink"/>
            <w:rFonts w:cs="Arial"/>
          </w:rPr>
          <w:t>https://www.ag.gov.au/Consultations/Pages/religious-freedom-bills-second-exposure-drafts.aspx</w:t>
        </w:r>
      </w:hyperlink>
      <w:r w:rsidRPr="002C6D65">
        <w:rPr>
          <w:rStyle w:val="Hyperlink"/>
          <w:rFonts w:cs="Arial"/>
        </w:rPr>
        <w:t>&gt;</w:t>
      </w:r>
      <w:r w:rsidRPr="002C6D65">
        <w:rPr>
          <w:rFonts w:cs="Arial"/>
        </w:rPr>
        <w:t xml:space="preserve"> (accessed 10 January 2020). </w:t>
      </w:r>
    </w:p>
  </w:endnote>
  <w:endnote w:id="24">
    <w:p w14:paraId="1C4832A6" w14:textId="41D9C254"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Victorian Equal Opportunity and Human Rights Commission, Submission to Commonwealth Attorney-General, (</w:t>
      </w:r>
      <w:r w:rsidRPr="002C6D65">
        <w:rPr>
          <w:rStyle w:val="Characteritalic"/>
          <w:rFonts w:cs="Arial"/>
        </w:rPr>
        <w:t>Religious Freedom Bills Exposure Draft</w:t>
      </w:r>
      <w:r w:rsidRPr="002C6D65">
        <w:rPr>
          <w:rFonts w:cs="Arial"/>
        </w:rPr>
        <w:t xml:space="preserve">, 2 October 2019) &lt; </w:t>
      </w:r>
      <w:hyperlink r:id="rId10" w:history="1">
        <w:r w:rsidRPr="002C6D65">
          <w:rPr>
            <w:rStyle w:val="Hyperlink"/>
            <w:rFonts w:cs="Arial"/>
          </w:rPr>
          <w:t>https://www.humanrightscommission.vic.gov.au/policy-submissions/item/1840-submission-on-the-draft-religious-discrimination-bill-oct-19</w:t>
        </w:r>
      </w:hyperlink>
      <w:r w:rsidRPr="002C6D65">
        <w:rPr>
          <w:rFonts w:cs="Arial"/>
        </w:rPr>
        <w:t xml:space="preserve">&gt;. </w:t>
      </w:r>
    </w:p>
  </w:endnote>
  <w:endnote w:id="25">
    <w:p w14:paraId="21771E5A" w14:textId="7AFF474F"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i w:val="0"/>
        </w:rPr>
        <w:t xml:space="preserve">Religious Discrimination Bill Second Exposure Draft 2019 </w:t>
      </w:r>
      <w:r w:rsidRPr="002C6D65">
        <w:rPr>
          <w:rFonts w:cs="Arial"/>
        </w:rPr>
        <w:t>(Cth)</w:t>
      </w:r>
    </w:p>
  </w:endnote>
  <w:endnote w:id="26">
    <w:p w14:paraId="7A36A25F" w14:textId="1A0383AE" w:rsidR="00407A5F" w:rsidRPr="002C6D65" w:rsidRDefault="00407A5F">
      <w:pPr>
        <w:pStyle w:val="EndnoteText"/>
        <w:rPr>
          <w:rStyle w:val="Characteritalic"/>
          <w:rFonts w:cs="Arial"/>
        </w:rPr>
      </w:pPr>
      <w:r w:rsidRPr="002C6D65">
        <w:rPr>
          <w:rStyle w:val="EndnoteReference"/>
          <w:rFonts w:cs="Arial"/>
        </w:rPr>
        <w:endnoteRef/>
      </w:r>
      <w:r w:rsidRPr="002C6D65">
        <w:rPr>
          <w:rFonts w:cs="Arial"/>
        </w:rPr>
        <w:t xml:space="preserve"> </w:t>
      </w:r>
      <w:r w:rsidRPr="002C6D65">
        <w:rPr>
          <w:rStyle w:val="Characteritalic"/>
          <w:rFonts w:cs="Arial"/>
          <w:i w:val="0"/>
        </w:rPr>
        <w:t>Religious Discrimination Bill Second Exposure Draft 2019</w:t>
      </w:r>
      <w:r w:rsidRPr="002C6D65">
        <w:rPr>
          <w:rStyle w:val="Characteritalic"/>
          <w:rFonts w:cs="Arial"/>
        </w:rPr>
        <w:t xml:space="preserve"> </w:t>
      </w:r>
      <w:r w:rsidRPr="002C6D65">
        <w:rPr>
          <w:rFonts w:cs="Arial"/>
        </w:rPr>
        <w:t>(Cth) cl 42(2).</w:t>
      </w:r>
    </w:p>
  </w:endnote>
  <w:endnote w:id="27">
    <w:p w14:paraId="21E8A519" w14:textId="77777777" w:rsidR="00407A5F" w:rsidRPr="002C6D65" w:rsidRDefault="00407A5F" w:rsidP="00000739">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and Religious Tolerance Act 2001</w:t>
      </w:r>
      <w:r w:rsidRPr="002C6D65">
        <w:rPr>
          <w:rFonts w:cs="Arial"/>
        </w:rPr>
        <w:t xml:space="preserve"> (Vic), s 19(1). </w:t>
      </w:r>
    </w:p>
  </w:endnote>
  <w:endnote w:id="28">
    <w:p w14:paraId="75127D1B" w14:textId="77777777" w:rsidR="00407A5F" w:rsidRPr="002C6D65" w:rsidRDefault="00407A5F" w:rsidP="00000739">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and Religious Tolerance Act 2001</w:t>
      </w:r>
      <w:r w:rsidRPr="002C6D65">
        <w:rPr>
          <w:rFonts w:cs="Arial"/>
        </w:rPr>
        <w:t xml:space="preserve"> (Vic), s 20. </w:t>
      </w:r>
    </w:p>
  </w:endnote>
  <w:endnote w:id="29">
    <w:p w14:paraId="40A4CAFF" w14:textId="26F52AAF" w:rsidR="00407A5F" w:rsidRPr="002C6D65" w:rsidRDefault="00407A5F" w:rsidP="00000739">
      <w:pPr>
        <w:pStyle w:val="EndnoteText"/>
        <w:rPr>
          <w:rFonts w:cs="Arial"/>
        </w:rPr>
      </w:pPr>
      <w:r w:rsidRPr="002C6D65">
        <w:rPr>
          <w:rStyle w:val="EndnoteReference"/>
          <w:rFonts w:cs="Arial"/>
        </w:rPr>
        <w:endnoteRef/>
      </w:r>
      <w:r w:rsidRPr="002C6D65">
        <w:rPr>
          <w:rFonts w:cs="Arial"/>
        </w:rPr>
        <w:t xml:space="preserve"> See </w:t>
      </w:r>
      <w:r w:rsidRPr="002C6D65">
        <w:rPr>
          <w:rStyle w:val="Characteritalic"/>
          <w:rFonts w:cs="Arial"/>
        </w:rPr>
        <w:t>Racial and Religious Tolerance Act 2001</w:t>
      </w:r>
      <w:r w:rsidRPr="002C6D65">
        <w:rPr>
          <w:rFonts w:cs="Arial"/>
        </w:rPr>
        <w:t xml:space="preserve"> (Vic), s 21 and s 3 (definition of ‘person’) read in conjunction with section 38 of the Interpretation of Legislation Act 1984 (Vic) (definition of ‘person’). However, for clarity, it should be made clear in the explanatory memorandum to the legislation that the law is intended to extend beyond natural persons and unincorporated associations, including to bodies politic and corporations.  </w:t>
      </w:r>
    </w:p>
  </w:endnote>
  <w:endnote w:id="30">
    <w:p w14:paraId="4CA4BAB1" w14:textId="209BB4D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and Religious Tolerance Act 2001</w:t>
      </w:r>
      <w:r w:rsidRPr="002C6D65">
        <w:rPr>
          <w:rFonts w:cs="Arial"/>
        </w:rPr>
        <w:t xml:space="preserve"> (Vic), s 23. </w:t>
      </w:r>
    </w:p>
  </w:endnote>
  <w:endnote w:id="31">
    <w:p w14:paraId="5A0D38C3" w14:textId="268C7E42"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and Religious Tolerance Act 2001</w:t>
      </w:r>
      <w:r w:rsidRPr="002C6D65">
        <w:rPr>
          <w:rFonts w:cs="Arial"/>
        </w:rPr>
        <w:t xml:space="preserve"> (Vic), s 23C.</w:t>
      </w:r>
    </w:p>
  </w:endnote>
  <w:endnote w:id="32">
    <w:p w14:paraId="332840D3" w14:textId="77777777" w:rsidR="00407A5F" w:rsidRPr="002C6D65" w:rsidRDefault="00407A5F" w:rsidP="005C15E5">
      <w:pPr>
        <w:pStyle w:val="EndnoteText"/>
        <w:rPr>
          <w:rFonts w:cs="Arial"/>
        </w:rPr>
      </w:pPr>
      <w:r w:rsidRPr="002C6D65">
        <w:rPr>
          <w:rStyle w:val="EndnoteReference"/>
          <w:rFonts w:cs="Arial"/>
        </w:rPr>
        <w:endnoteRef/>
      </w:r>
      <w:r w:rsidRPr="002C6D65">
        <w:rPr>
          <w:rFonts w:cs="Arial"/>
        </w:rPr>
        <w:t xml:space="preserve"> Data provided by the Victorian Civil and Administrative Tribunal on 18 December 2019 in response to a data request by VEOHRC.</w:t>
      </w:r>
    </w:p>
  </w:endnote>
  <w:endnote w:id="33">
    <w:p w14:paraId="2A4BADB4" w14:textId="77777777" w:rsidR="00407A5F" w:rsidRPr="002C6D65" w:rsidRDefault="00407A5F" w:rsidP="005C15E5">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Khalil v Sturgess</w:t>
      </w:r>
      <w:r w:rsidRPr="002C6D65">
        <w:rPr>
          <w:rFonts w:cs="Arial"/>
        </w:rPr>
        <w:t xml:space="preserve"> [2005] VCAT 2446; and </w:t>
      </w:r>
      <w:r w:rsidRPr="002C6D65">
        <w:rPr>
          <w:rStyle w:val="Characteritalic"/>
          <w:rFonts w:cs="Arial"/>
        </w:rPr>
        <w:t>Ordo Templi Orientis v Legg</w:t>
      </w:r>
      <w:r w:rsidRPr="002C6D65">
        <w:rPr>
          <w:rFonts w:cs="Arial"/>
        </w:rPr>
        <w:t xml:space="preserve"> [2007] VCAT 1484. </w:t>
      </w:r>
    </w:p>
  </w:endnote>
  <w:endnote w:id="34">
    <w:p w14:paraId="34539E12" w14:textId="77777777" w:rsidR="00407A5F" w:rsidRPr="002C6D65" w:rsidRDefault="00407A5F" w:rsidP="005C15E5">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Khalil v Sturgess</w:t>
      </w:r>
      <w:r w:rsidRPr="002C6D65">
        <w:rPr>
          <w:rFonts w:cs="Arial"/>
        </w:rPr>
        <w:t xml:space="preserve"> [2005] VCAT 2446, 58. </w:t>
      </w:r>
    </w:p>
  </w:endnote>
  <w:endnote w:id="35">
    <w:p w14:paraId="06E3DD8D" w14:textId="77777777" w:rsidR="00407A5F" w:rsidRPr="002C6D65" w:rsidRDefault="00407A5F" w:rsidP="005C15E5">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Ordo Templi Orientis v Legg</w:t>
      </w:r>
      <w:r w:rsidRPr="002C6D65">
        <w:rPr>
          <w:rFonts w:cs="Arial"/>
        </w:rPr>
        <w:t xml:space="preserve"> [2007] VCAT 1484. </w:t>
      </w:r>
    </w:p>
  </w:endnote>
  <w:endnote w:id="36">
    <w:p w14:paraId="2903BBE1" w14:textId="1C3E4A36" w:rsidR="00407A5F" w:rsidRPr="002C6D65" w:rsidRDefault="00407A5F">
      <w:pPr>
        <w:pStyle w:val="EndnoteText"/>
        <w:rPr>
          <w:rFonts w:cs="Arial"/>
        </w:rPr>
      </w:pPr>
      <w:r w:rsidRPr="002C6D65">
        <w:rPr>
          <w:rStyle w:val="EndnoteReference"/>
          <w:rFonts w:cs="Arial"/>
        </w:rPr>
        <w:endnoteRef/>
      </w:r>
      <w:r w:rsidRPr="002C6D65">
        <w:rPr>
          <w:rFonts w:cs="Arial"/>
        </w:rPr>
        <w:t xml:space="preserve"> See Victoria Police, ‘Prejudice and racial and religious vilification’, (webpage,  </w:t>
      </w:r>
      <w:hyperlink r:id="rId11" w:history="1">
        <w:r w:rsidRPr="002C6D65">
          <w:rPr>
            <w:rStyle w:val="Hyperlink"/>
            <w:rFonts w:cs="Arial"/>
          </w:rPr>
          <w:t>https://www.police.vic.gov.au/prejudice-and-racial-and-religious-vilification</w:t>
        </w:r>
      </w:hyperlink>
      <w:r w:rsidRPr="002C6D65">
        <w:rPr>
          <w:rFonts w:cs="Arial"/>
        </w:rPr>
        <w:t xml:space="preserve"> (accessed 9 January 2020). </w:t>
      </w:r>
    </w:p>
  </w:endnote>
  <w:endnote w:id="37">
    <w:p w14:paraId="259DCF42" w14:textId="5FAC826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i/>
        </w:rPr>
        <w:t xml:space="preserve">Racial Discrimination Act 1975 </w:t>
      </w:r>
      <w:r w:rsidRPr="002C6D65">
        <w:rPr>
          <w:rFonts w:cs="Arial"/>
        </w:rPr>
        <w:t>(Cth).</w:t>
      </w:r>
    </w:p>
  </w:endnote>
  <w:endnote w:id="38">
    <w:p w14:paraId="6477EB14" w14:textId="77777777" w:rsidR="00407A5F" w:rsidRPr="002C6D65" w:rsidRDefault="00407A5F" w:rsidP="006F39C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Racial and Religious Tolerance Act 2001 </w:t>
      </w:r>
      <w:r w:rsidRPr="002C6D65">
        <w:rPr>
          <w:rFonts w:cs="Arial"/>
        </w:rPr>
        <w:t xml:space="preserve">(Vic), ss 7, 8, 24 and 25. </w:t>
      </w:r>
    </w:p>
  </w:endnote>
  <w:endnote w:id="39">
    <w:p w14:paraId="764DC21C" w14:textId="29C0DCC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Racial and Religious Tolerance Act 2001 </w:t>
      </w:r>
      <w:r w:rsidRPr="002C6D65">
        <w:rPr>
          <w:rFonts w:cs="Arial"/>
        </w:rPr>
        <w:t>(Vic) s 15.</w:t>
      </w:r>
    </w:p>
  </w:endnote>
  <w:endnote w:id="40">
    <w:p w14:paraId="18625AB7" w14:textId="3D15B059" w:rsidR="00407A5F" w:rsidRPr="002C6D65" w:rsidRDefault="00407A5F">
      <w:pPr>
        <w:pStyle w:val="EndnoteText"/>
        <w:rPr>
          <w:rFonts w:cs="Arial"/>
        </w:rPr>
      </w:pPr>
      <w:r w:rsidRPr="002C6D65">
        <w:rPr>
          <w:rStyle w:val="EndnoteReference"/>
          <w:rFonts w:cs="Arial"/>
        </w:rPr>
        <w:endnoteRef/>
      </w:r>
      <w:r w:rsidRPr="002C6D65">
        <w:rPr>
          <w:rFonts w:cs="Arial"/>
        </w:rPr>
        <w:t xml:space="preserve"> Australian Human Rights Commission, </w:t>
      </w:r>
      <w:r w:rsidRPr="002C6D65">
        <w:rPr>
          <w:rStyle w:val="Characteritalic"/>
          <w:rFonts w:cs="Arial"/>
        </w:rPr>
        <w:t>Federal Discrimination Law Resource</w:t>
      </w:r>
      <w:r w:rsidRPr="002C6D65">
        <w:rPr>
          <w:rFonts w:cs="Arial"/>
        </w:rPr>
        <w:t xml:space="preserve"> (2016), 385.</w:t>
      </w:r>
    </w:p>
  </w:endnote>
  <w:endnote w:id="41">
    <w:p w14:paraId="5514BA0D" w14:textId="6D6247B5" w:rsidR="00407A5F" w:rsidRPr="002C6D65" w:rsidRDefault="00407A5F">
      <w:pPr>
        <w:pStyle w:val="EndnoteText"/>
        <w:rPr>
          <w:rFonts w:cs="Arial"/>
        </w:rPr>
      </w:pPr>
      <w:r w:rsidRPr="002C6D65">
        <w:rPr>
          <w:rStyle w:val="EndnoteReference"/>
          <w:rFonts w:cs="Arial"/>
        </w:rPr>
        <w:endnoteRef/>
      </w:r>
      <w:r w:rsidRPr="002C6D65">
        <w:rPr>
          <w:rFonts w:cs="Arial"/>
        </w:rPr>
        <w:t xml:space="preserve"> eSafety, ‘Key Issues’ (eSafety Commission, 28 January 2020) &lt;</w:t>
      </w:r>
      <w:hyperlink r:id="rId12" w:history="1">
        <w:r w:rsidRPr="002C6D65">
          <w:rPr>
            <w:rStyle w:val="Hyperlink"/>
            <w:rFonts w:cs="Arial"/>
          </w:rPr>
          <w:t>https://www.esafety.gov.au/key-issues</w:t>
        </w:r>
      </w:hyperlink>
      <w:r w:rsidRPr="002C6D65">
        <w:rPr>
          <w:rFonts w:cs="Arial"/>
        </w:rPr>
        <w:t xml:space="preserve">&gt;; eSafety, ‘Women’ (eSafety Commission, 28 January 2020)  </w:t>
      </w:r>
      <w:hyperlink r:id="rId13" w:history="1">
        <w:r w:rsidRPr="002C6D65">
          <w:rPr>
            <w:rStyle w:val="Hyperlink"/>
            <w:rFonts w:cs="Arial"/>
          </w:rPr>
          <w:t>https://www.esafety.gov.au/women</w:t>
        </w:r>
      </w:hyperlink>
      <w:r w:rsidRPr="002C6D65">
        <w:rPr>
          <w:rFonts w:cs="Arial"/>
        </w:rPr>
        <w:t xml:space="preserve">. </w:t>
      </w:r>
    </w:p>
  </w:endnote>
  <w:endnote w:id="42">
    <w:p w14:paraId="1BF93B58" w14:textId="5DA2FEB9" w:rsidR="00407A5F" w:rsidRPr="002C6D65" w:rsidRDefault="00407A5F">
      <w:pPr>
        <w:pStyle w:val="EndnoteText"/>
        <w:rPr>
          <w:rFonts w:cs="Arial"/>
        </w:rPr>
      </w:pPr>
      <w:r w:rsidRPr="002C6D65">
        <w:rPr>
          <w:rStyle w:val="EndnoteReference"/>
          <w:rFonts w:cs="Arial"/>
        </w:rPr>
        <w:endnoteRef/>
      </w:r>
      <w:r w:rsidRPr="002C6D65">
        <w:rPr>
          <w:rFonts w:cs="Arial"/>
        </w:rPr>
        <w:t xml:space="preserve"> Department of Communications and the Arts, </w:t>
      </w:r>
      <w:r w:rsidRPr="002C6D65">
        <w:rPr>
          <w:rStyle w:val="Characteritalic"/>
          <w:rFonts w:cs="Arial"/>
        </w:rPr>
        <w:t>Online Safety Legislative Reform: Discussion Paper</w:t>
      </w:r>
      <w:r w:rsidRPr="002C6D65">
        <w:rPr>
          <w:rFonts w:cs="Arial"/>
        </w:rPr>
        <w:t xml:space="preserve">, (December 2019), 32-33. </w:t>
      </w:r>
    </w:p>
  </w:endnote>
  <w:endnote w:id="43">
    <w:p w14:paraId="75167732" w14:textId="6543DD45"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Enhancing Online Safety Act 2015</w:t>
      </w:r>
      <w:r w:rsidRPr="002C6D65">
        <w:rPr>
          <w:rFonts w:cs="Arial"/>
        </w:rPr>
        <w:t xml:space="preserve"> (Cth), s 5(1)(b). </w:t>
      </w:r>
    </w:p>
  </w:endnote>
  <w:endnote w:id="44">
    <w:p w14:paraId="3B767D99" w14:textId="7E2CDCCA" w:rsidR="00407A5F" w:rsidRPr="002C6D65" w:rsidRDefault="00407A5F">
      <w:pPr>
        <w:pStyle w:val="EndnoteText"/>
        <w:rPr>
          <w:rFonts w:cs="Arial"/>
        </w:rPr>
      </w:pPr>
      <w:r w:rsidRPr="002C6D65">
        <w:rPr>
          <w:rStyle w:val="EndnoteReference"/>
          <w:rFonts w:cs="Arial"/>
        </w:rPr>
        <w:endnoteRef/>
      </w:r>
      <w:r w:rsidRPr="002C6D65">
        <w:rPr>
          <w:rFonts w:cs="Arial"/>
        </w:rPr>
        <w:t xml:space="preserve"> eSafety, ‘Our legislative functions’ (eSafety Commission, 28 January 2020) &lt;</w:t>
      </w:r>
      <w:hyperlink r:id="rId14" w:history="1">
        <w:r w:rsidRPr="002C6D65">
          <w:rPr>
            <w:rStyle w:val="Hyperlink"/>
            <w:rFonts w:cs="Arial"/>
          </w:rPr>
          <w:t>https://www.esafety.gov.au/about-us/who-we-are/our-legislative-functions</w:t>
        </w:r>
      </w:hyperlink>
      <w:r w:rsidRPr="002C6D65">
        <w:rPr>
          <w:rFonts w:cs="Arial"/>
        </w:rPr>
        <w:t xml:space="preserve">&gt;     </w:t>
      </w:r>
    </w:p>
  </w:endnote>
  <w:endnote w:id="45">
    <w:p w14:paraId="30295D6C" w14:textId="2B2B568F" w:rsidR="00407A5F" w:rsidRPr="002C6D65" w:rsidRDefault="00407A5F">
      <w:pPr>
        <w:pStyle w:val="EndnoteText"/>
        <w:rPr>
          <w:rFonts w:cs="Arial"/>
        </w:rPr>
      </w:pPr>
      <w:r w:rsidRPr="002C6D65">
        <w:rPr>
          <w:rStyle w:val="EndnoteReference"/>
          <w:rFonts w:cs="Arial"/>
        </w:rPr>
        <w:endnoteRef/>
      </w:r>
      <w:r w:rsidRPr="002C6D65">
        <w:rPr>
          <w:rFonts w:cs="Arial"/>
        </w:rPr>
        <w:t xml:space="preserve"> Douglas, Michael. "‘Their Evil Lies in the Grapevine Effect’: Assessment of Damages in Defamation by Social Media." (2015) 20(4) </w:t>
      </w:r>
      <w:r w:rsidRPr="002C6D65">
        <w:rPr>
          <w:rStyle w:val="Characteritalic"/>
          <w:rFonts w:cs="Arial"/>
        </w:rPr>
        <w:t>Media and Arts Law Review 20,</w:t>
      </w:r>
      <w:r w:rsidRPr="002C6D65">
        <w:rPr>
          <w:rFonts w:cs="Arial"/>
        </w:rPr>
        <w:t xml:space="preserve"> 367.</w:t>
      </w:r>
    </w:p>
  </w:endnote>
  <w:endnote w:id="46">
    <w:p w14:paraId="15C0C293" w14:textId="199A77D8" w:rsidR="00407A5F" w:rsidRPr="002C6D65" w:rsidRDefault="00407A5F">
      <w:pPr>
        <w:pStyle w:val="EndnoteText"/>
        <w:rPr>
          <w:rStyle w:val="Characteritalic"/>
          <w:rFonts w:cs="Arial"/>
        </w:rPr>
      </w:pPr>
      <w:r w:rsidRPr="002C6D65">
        <w:rPr>
          <w:rStyle w:val="EndnoteReference"/>
          <w:rFonts w:cs="Arial"/>
        </w:rPr>
        <w:endnoteRef/>
      </w:r>
      <w:r w:rsidRPr="002C6D65">
        <w:rPr>
          <w:rFonts w:cs="Arial"/>
        </w:rPr>
        <w:t xml:space="preserve"> See, for example, </w:t>
      </w:r>
      <w:r w:rsidRPr="002C6D65">
        <w:rPr>
          <w:rFonts w:cs="Arial"/>
          <w:lang w:val="en-GB"/>
        </w:rPr>
        <w:t> New Zealand’s scheme arising from the </w:t>
      </w:r>
      <w:r w:rsidRPr="002C6D65">
        <w:rPr>
          <w:rStyle w:val="Characteritalic"/>
          <w:rFonts w:cs="Arial"/>
        </w:rPr>
        <w:t>Harmful Digital Communications Act 2015</w:t>
      </w:r>
      <w:r w:rsidRPr="002C6D65">
        <w:rPr>
          <w:rFonts w:cs="Arial"/>
          <w:lang w:val="en-GB"/>
        </w:rPr>
        <w:t> (NZ)</w:t>
      </w:r>
      <w:r w:rsidRPr="002C6D65">
        <w:rPr>
          <w:rFonts w:cs="Arial"/>
        </w:rPr>
        <w:t>,</w:t>
      </w:r>
      <w:r w:rsidRPr="002C6D65">
        <w:rPr>
          <w:rFonts w:cs="Arial"/>
          <w:lang w:val="en-GB"/>
        </w:rPr>
        <w:t xml:space="preserve"> the Netzwerkdurchsetzungsgesetz (Netzdg) law, in Germany</w:t>
      </w:r>
      <w:r w:rsidRPr="002C6D65">
        <w:rPr>
          <w:rFonts w:cs="Arial"/>
        </w:rPr>
        <w:t xml:space="preserve">, </w:t>
      </w:r>
      <w:r w:rsidRPr="002C6D65">
        <w:rPr>
          <w:rFonts w:cs="Arial"/>
          <w:lang w:val="en-GB"/>
        </w:rPr>
        <w:t>and</w:t>
      </w:r>
      <w:r w:rsidRPr="002C6D65">
        <w:rPr>
          <w:rFonts w:cs="Arial"/>
        </w:rPr>
        <w:t xml:space="preserve"> </w:t>
      </w:r>
      <w:r w:rsidRPr="002C6D65">
        <w:rPr>
          <w:rFonts w:cs="Arial"/>
          <w:lang w:val="en-GB"/>
        </w:rPr>
        <w:t>the Online Harms white paper, proposing a statutory duty of care in the United Kingdom</w:t>
      </w:r>
      <w:r w:rsidRPr="002C6D65">
        <w:rPr>
          <w:rFonts w:cs="Arial"/>
        </w:rPr>
        <w:t xml:space="preserve">: HM Government, </w:t>
      </w:r>
      <w:r w:rsidRPr="002C6D65">
        <w:rPr>
          <w:rStyle w:val="Characteritalic"/>
          <w:rFonts w:cs="Arial"/>
        </w:rPr>
        <w:t>Online Harms White Paper</w:t>
      </w:r>
      <w:r w:rsidRPr="002C6D65">
        <w:rPr>
          <w:rFonts w:cs="Arial"/>
        </w:rPr>
        <w:t xml:space="preserve">, (April 2019) &lt; </w:t>
      </w:r>
      <w:hyperlink r:id="rId15" w:history="1">
        <w:r w:rsidRPr="002C6D65">
          <w:rPr>
            <w:rStyle w:val="Hyperlink"/>
            <w:rFonts w:cs="Arial"/>
          </w:rPr>
          <w:t>https://assets.publishing.service.gov.uk/government/uploads/system/uploads/attachment_data/file/793360/Online_Harms_White_Paper.pdf</w:t>
        </w:r>
      </w:hyperlink>
      <w:r w:rsidRPr="002C6D65">
        <w:rPr>
          <w:rFonts w:cs="Arial"/>
        </w:rPr>
        <w:t xml:space="preserve">&gt;; William Erickson and Olivia Knodt ‘Germany’s NetzDG: A key test for combatting online hate’ (2018) 2018/9, </w:t>
      </w:r>
      <w:r w:rsidRPr="002C6D65">
        <w:rPr>
          <w:rStyle w:val="Characteritalic"/>
          <w:rFonts w:cs="Arial"/>
        </w:rPr>
        <w:t>CEPS Policy Insight</w:t>
      </w:r>
      <w:r w:rsidRPr="002C6D65">
        <w:rPr>
          <w:rFonts w:cs="Arial"/>
        </w:rPr>
        <w:t>, 1.</w:t>
      </w:r>
    </w:p>
  </w:endnote>
  <w:endnote w:id="47">
    <w:p w14:paraId="145552B3" w14:textId="34649691" w:rsidR="00407A5F" w:rsidRPr="002C6D65" w:rsidRDefault="00407A5F">
      <w:pPr>
        <w:pStyle w:val="EndnoteText"/>
        <w:rPr>
          <w:rFonts w:cs="Arial"/>
        </w:rPr>
      </w:pPr>
      <w:r w:rsidRPr="002C6D65">
        <w:rPr>
          <w:rStyle w:val="EndnoteReference"/>
          <w:rFonts w:cs="Arial"/>
        </w:rPr>
        <w:endnoteRef/>
      </w:r>
      <w:r w:rsidRPr="002C6D65">
        <w:rPr>
          <w:rFonts w:cs="Arial"/>
        </w:rPr>
        <w:t xml:space="preserve"> For example, see Sean Wales and Leonie Thorne, above n 5. </w:t>
      </w:r>
    </w:p>
  </w:endnote>
  <w:endnote w:id="48">
    <w:p w14:paraId="2A500528" w14:textId="0D1EC480" w:rsidR="00407A5F" w:rsidRPr="002C6D65" w:rsidRDefault="00407A5F" w:rsidP="00EB76BC">
      <w:pPr>
        <w:pStyle w:val="EndnoteText"/>
        <w:rPr>
          <w:rFonts w:cs="Arial"/>
        </w:rPr>
      </w:pPr>
      <w:r w:rsidRPr="002C6D65">
        <w:rPr>
          <w:rStyle w:val="EndnoteReference"/>
          <w:rFonts w:cs="Arial"/>
        </w:rPr>
        <w:endnoteRef/>
      </w:r>
      <w:r w:rsidRPr="002C6D65">
        <w:rPr>
          <w:rFonts w:cs="Arial"/>
        </w:rPr>
        <w:t xml:space="preserve"> Andrew Markus, </w:t>
      </w:r>
      <w:r w:rsidRPr="002C6D65">
        <w:rPr>
          <w:rStyle w:val="Characteritalic"/>
          <w:rFonts w:cs="Arial"/>
        </w:rPr>
        <w:t>Mapping Social Cohesion: 2019</w:t>
      </w:r>
      <w:r w:rsidRPr="002C6D65">
        <w:rPr>
          <w:rFonts w:cs="Arial"/>
        </w:rPr>
        <w:t xml:space="preserve"> (Scanlon Foundation, 2019) 60 &lt; </w:t>
      </w:r>
      <w:hyperlink r:id="rId16" w:history="1">
        <w:r w:rsidRPr="002C6D65">
          <w:rPr>
            <w:rStyle w:val="Hyperlink"/>
            <w:rFonts w:cs="Arial"/>
          </w:rPr>
          <w:t>https://scanloninstitute.org.au/sites/default/files/2019-11/Mapping%20Social%20Cohesion%202019.pdf</w:t>
        </w:r>
      </w:hyperlink>
      <w:r w:rsidRPr="002C6D65">
        <w:rPr>
          <w:rFonts w:cs="Arial"/>
        </w:rPr>
        <w:t>&gt;</w:t>
      </w:r>
      <w:r>
        <w:rPr>
          <w:rFonts w:cs="Arial"/>
        </w:rPr>
        <w:t>.</w:t>
      </w:r>
    </w:p>
  </w:endnote>
  <w:endnote w:id="49">
    <w:p w14:paraId="425ACC46" w14:textId="3375B657" w:rsidR="00407A5F" w:rsidRPr="002C6D65" w:rsidRDefault="00407A5F" w:rsidP="00EB76BC">
      <w:pPr>
        <w:pStyle w:val="EndnoteText"/>
        <w:rPr>
          <w:rFonts w:cs="Arial"/>
        </w:rPr>
      </w:pPr>
      <w:r w:rsidRPr="002C6D65">
        <w:rPr>
          <w:rStyle w:val="EndnoteReference"/>
          <w:rFonts w:cs="Arial"/>
        </w:rPr>
        <w:endnoteRef/>
      </w:r>
      <w:r w:rsidRPr="002C6D65">
        <w:rPr>
          <w:rFonts w:cs="Arial"/>
        </w:rPr>
        <w:t xml:space="preserve"> Id.</w:t>
      </w:r>
    </w:p>
  </w:endnote>
  <w:endnote w:id="50">
    <w:p w14:paraId="3C08A024" w14:textId="017BB449" w:rsidR="00407A5F" w:rsidRPr="002C6D65" w:rsidRDefault="00407A5F">
      <w:pPr>
        <w:pStyle w:val="EndnoteText"/>
        <w:rPr>
          <w:rFonts w:cs="Arial"/>
        </w:rPr>
      </w:pPr>
      <w:r w:rsidRPr="002C6D65">
        <w:rPr>
          <w:rStyle w:val="EndnoteReference"/>
          <w:rFonts w:cs="Arial"/>
        </w:rPr>
        <w:endnoteRef/>
      </w:r>
      <w:r w:rsidRPr="002C6D65">
        <w:rPr>
          <w:rFonts w:cs="Arial"/>
        </w:rPr>
        <w:t xml:space="preserve"> Tanya D’Souza, Laura Griffin, Nicole Shackelton, and Danielle Walt, ‘Harming women with words: The failure of Australian law to prohibit gendered hate speech’, (2018) 41(3) </w:t>
      </w:r>
      <w:r w:rsidRPr="002C6D65">
        <w:rPr>
          <w:rStyle w:val="Characteritalic"/>
          <w:rFonts w:cs="Arial"/>
        </w:rPr>
        <w:t>UNSW Law Journal</w:t>
      </w:r>
      <w:r w:rsidRPr="002C6D65">
        <w:rPr>
          <w:rFonts w:cs="Arial"/>
        </w:rPr>
        <w:t>, 939.</w:t>
      </w:r>
    </w:p>
  </w:endnote>
  <w:endnote w:id="51">
    <w:p w14:paraId="5F3B6C87" w14:textId="2F5270B7" w:rsidR="00407A5F" w:rsidRPr="002C6D65" w:rsidRDefault="00407A5F">
      <w:pPr>
        <w:pStyle w:val="EndnoteText"/>
        <w:rPr>
          <w:rFonts w:cs="Arial"/>
        </w:rPr>
      </w:pPr>
      <w:r w:rsidRPr="002C6D65">
        <w:rPr>
          <w:rStyle w:val="EndnoteReference"/>
          <w:rFonts w:cs="Arial"/>
        </w:rPr>
        <w:endnoteRef/>
      </w:r>
      <w:r w:rsidRPr="002C6D65">
        <w:rPr>
          <w:rFonts w:cs="Arial"/>
        </w:rPr>
        <w:t xml:space="preserve"> Australia Institute (2019), Trolls and polls – the economic costs of online harassment and cyberhate’ &lt; </w:t>
      </w:r>
      <w:hyperlink r:id="rId17" w:tgtFrame="_blank" w:history="1">
        <w:r w:rsidRPr="002C6D65">
          <w:rPr>
            <w:rStyle w:val="Hyperlink"/>
            <w:rFonts w:cs="Arial"/>
          </w:rPr>
          <w:t>https://www.tai.org.au/sites/default/files/P530%20Trolls%20and%20polls%20-%20surveying%20economic%20costs%20of%20cyberhate%20%255bWEB%255d_1.pdf</w:t>
        </w:r>
      </w:hyperlink>
      <w:r w:rsidRPr="002C6D65">
        <w:rPr>
          <w:rFonts w:cs="Arial"/>
        </w:rPr>
        <w:t>&gt;; Amnesty International, Australia: Poll Reveals Alarming Impact of Online Abuse Against Women (7 February 2018), available at </w:t>
      </w:r>
      <w:hyperlink r:id="rId18" w:tgtFrame="_blank" w:history="1">
        <w:r w:rsidRPr="002C6D65">
          <w:rPr>
            <w:rStyle w:val="Hyperlink"/>
            <w:rFonts w:cs="Arial"/>
          </w:rPr>
          <w:t>https://www.amnesty.org.au/australia-poll-reveals-alarming-impact-online-abuse-women/</w:t>
        </w:r>
      </w:hyperlink>
      <w:r w:rsidRPr="002C6D65">
        <w:rPr>
          <w:rFonts w:cs="Arial"/>
        </w:rPr>
        <w:t>.</w:t>
      </w:r>
    </w:p>
  </w:endnote>
  <w:endnote w:id="52">
    <w:p w14:paraId="1CB3C43A" w14:textId="44405B54" w:rsidR="00407A5F" w:rsidRPr="002C6D65" w:rsidRDefault="00407A5F">
      <w:pPr>
        <w:pStyle w:val="EndnoteText"/>
        <w:rPr>
          <w:rFonts w:cs="Arial"/>
        </w:rPr>
      </w:pPr>
      <w:r w:rsidRPr="002C6D65">
        <w:rPr>
          <w:rStyle w:val="EndnoteReference"/>
          <w:rFonts w:cs="Arial"/>
        </w:rPr>
        <w:endnoteRef/>
      </w:r>
      <w:r w:rsidRPr="002C6D65">
        <w:rPr>
          <w:rFonts w:cs="Arial"/>
        </w:rPr>
        <w:t xml:space="preserve"> Advisory Committee, </w:t>
      </w:r>
      <w:r w:rsidRPr="002C6D65">
        <w:rPr>
          <w:rStyle w:val="Characteritalic"/>
          <w:rFonts w:cs="Arial"/>
        </w:rPr>
        <w:t>Report into Racial Vilification in Victoria</w:t>
      </w:r>
      <w:r w:rsidRPr="002C6D65">
        <w:rPr>
          <w:rFonts w:cs="Arial"/>
        </w:rPr>
        <w:t xml:space="preserve">, (Report of the Committee to advise the Attorney-General on racism in Victoria, March 1992). </w:t>
      </w:r>
    </w:p>
  </w:endnote>
  <w:endnote w:id="53">
    <w:p w14:paraId="50D83339" w14:textId="57358F1E" w:rsidR="00407A5F" w:rsidRPr="002C6D65" w:rsidRDefault="00407A5F" w:rsidP="00C36527">
      <w:pPr>
        <w:pStyle w:val="EndnoteText"/>
        <w:rPr>
          <w:rFonts w:cs="Arial"/>
        </w:rPr>
      </w:pPr>
      <w:r w:rsidRPr="002C6D65">
        <w:rPr>
          <w:rStyle w:val="EndnoteReference"/>
          <w:rFonts w:cs="Arial"/>
        </w:rPr>
        <w:endnoteRef/>
      </w:r>
      <w:r w:rsidRPr="002C6D65">
        <w:rPr>
          <w:rFonts w:cs="Arial"/>
        </w:rPr>
        <w:t xml:space="preserve"> Interview with the Islamic Council of Victoria, (Victorian Equal Opportunity and Human Rights Commission staff, Teleconference, 10 December 2019).</w:t>
      </w:r>
    </w:p>
  </w:endnote>
  <w:endnote w:id="54">
    <w:p w14:paraId="722EC4AA" w14:textId="4A2BA767"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55">
    <w:p w14:paraId="64C1448E" w14:textId="193EB2A9"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Australian Communications and Media Authority, </w:t>
      </w:r>
      <w:r w:rsidRPr="002C6D65">
        <w:rPr>
          <w:rStyle w:val="Characteritalic"/>
          <w:rFonts w:cs="Arial"/>
        </w:rPr>
        <w:t>Communications Report 2017-18</w:t>
      </w:r>
      <w:r w:rsidRPr="002C6D65">
        <w:rPr>
          <w:rFonts w:cs="Arial"/>
        </w:rPr>
        <w:t xml:space="preserve"> (Report, 2019), 5 &lt;</w:t>
      </w:r>
      <w:hyperlink r:id="rId19" w:history="1">
        <w:r w:rsidRPr="002C6D65">
          <w:rPr>
            <w:rStyle w:val="Hyperlink"/>
            <w:rFonts w:cs="Arial"/>
          </w:rPr>
          <w:t>https://www.acma.gov.au/sites/default/files/2019-08/Communications%20report%202017-18.pdf</w:t>
        </w:r>
      </w:hyperlink>
      <w:r w:rsidRPr="002C6D65">
        <w:rPr>
          <w:rFonts w:cs="Arial"/>
        </w:rPr>
        <w:t>&gt;</w:t>
      </w:r>
      <w:r>
        <w:rPr>
          <w:rFonts w:cs="Arial"/>
        </w:rPr>
        <w:t>.</w:t>
      </w:r>
      <w:r w:rsidRPr="002C6D65">
        <w:rPr>
          <w:rFonts w:cs="Arial"/>
        </w:rPr>
        <w:t xml:space="preserve"> </w:t>
      </w:r>
    </w:p>
  </w:endnote>
  <w:endnote w:id="56">
    <w:p w14:paraId="656FDD71" w14:textId="77777777"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For example, </w:t>
      </w:r>
      <w:r w:rsidRPr="002C6D65">
        <w:rPr>
          <w:rStyle w:val="Characteritalic"/>
          <w:rFonts w:cs="Arial"/>
        </w:rPr>
        <w:t>Clarke v Nationwide News Pty Ltd trading as the Sunday Times</w:t>
      </w:r>
      <w:r w:rsidRPr="002C6D65">
        <w:rPr>
          <w:rFonts w:cs="Arial"/>
        </w:rPr>
        <w:t xml:space="preserve"> (No 2) FCA 990. </w:t>
      </w:r>
    </w:p>
  </w:endnote>
  <w:endnote w:id="57">
    <w:p w14:paraId="0F8F1A6F" w14:textId="1B55EDD1"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For example, see Amnesty International Australia above n 50. </w:t>
      </w:r>
    </w:p>
  </w:endnote>
  <w:endnote w:id="58">
    <w:p w14:paraId="7FF5DAC1" w14:textId="03B321A3"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 xml:space="preserve">Australia Institute above n 50. </w:t>
      </w:r>
      <w:r w:rsidRPr="002C6D65">
        <w:rPr>
          <w:rFonts w:cs="Arial"/>
        </w:rPr>
        <w:t>Gorman unpacks the gendered elements of online hate speech</w:t>
      </w:r>
      <w:r w:rsidRPr="002C6D65">
        <w:rPr>
          <w:rFonts w:cs="Arial"/>
          <w:lang w:val="en-GB"/>
        </w:rPr>
        <w:t>: </w:t>
      </w:r>
      <w:r w:rsidRPr="002C6D65">
        <w:rPr>
          <w:rFonts w:cs="Arial"/>
        </w:rPr>
        <w:t>Ginger Gorman,</w:t>
      </w:r>
      <w:r w:rsidRPr="002C6D65">
        <w:rPr>
          <w:rFonts w:cs="Arial"/>
          <w:lang w:val="en-GB"/>
        </w:rPr>
        <w:t> </w:t>
      </w:r>
      <w:r w:rsidRPr="002C6D65">
        <w:rPr>
          <w:rStyle w:val="Characteritalic"/>
          <w:rFonts w:cs="Arial"/>
        </w:rPr>
        <w:t>Troll Hunting: Inside the world of online hate and its human fallout</w:t>
      </w:r>
      <w:r w:rsidRPr="002C6D65">
        <w:rPr>
          <w:rFonts w:cs="Arial"/>
          <w:lang w:val="en-GB"/>
        </w:rPr>
        <w:t xml:space="preserve">. </w:t>
      </w:r>
      <w:r w:rsidRPr="002C6D65">
        <w:rPr>
          <w:rFonts w:cs="Arial"/>
        </w:rPr>
        <w:t>(</w:t>
      </w:r>
      <w:r w:rsidRPr="002C6D65">
        <w:rPr>
          <w:rFonts w:cs="Arial"/>
          <w:lang w:val="en-GB"/>
        </w:rPr>
        <w:t>Hardie Grant Publishing, 2019</w:t>
      </w:r>
      <w:r w:rsidRPr="002C6D65">
        <w:rPr>
          <w:rFonts w:cs="Arial"/>
        </w:rPr>
        <w:t>)</w:t>
      </w:r>
      <w:r w:rsidRPr="002C6D65">
        <w:rPr>
          <w:rFonts w:cs="Arial"/>
          <w:lang w:val="en-GB"/>
        </w:rPr>
        <w:t>.</w:t>
      </w:r>
      <w:r w:rsidRPr="002C6D65">
        <w:rPr>
          <w:rFonts w:cs="Arial"/>
        </w:rPr>
        <w:t> </w:t>
      </w:r>
    </w:p>
  </w:endnote>
  <w:endnote w:id="59">
    <w:p w14:paraId="15D6146E" w14:textId="66F2507C"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Sharing intimate images without consent is unlawful under section 44B the </w:t>
      </w:r>
      <w:r w:rsidRPr="002C6D65">
        <w:rPr>
          <w:rStyle w:val="Characteritalic"/>
          <w:rFonts w:cs="Arial"/>
        </w:rPr>
        <w:t>Enhancing Online Safety Act 2015</w:t>
      </w:r>
      <w:r w:rsidRPr="002C6D65">
        <w:rPr>
          <w:rFonts w:cs="Arial"/>
        </w:rPr>
        <w:t> (Cth) and under section 41DA of the </w:t>
      </w:r>
      <w:r w:rsidRPr="002C6D65">
        <w:rPr>
          <w:rStyle w:val="Characteritalic"/>
          <w:rFonts w:cs="Arial"/>
        </w:rPr>
        <w:t>Summary Offences Act 1966</w:t>
      </w:r>
      <w:r w:rsidRPr="002C6D65">
        <w:rPr>
          <w:rFonts w:cs="Arial"/>
        </w:rPr>
        <w:t> (Vic). Research by the eSafety Commissioner revealed that 1 in 10 Australian adults had experienced image-based abuse: eSafety Commissioner, </w:t>
      </w:r>
      <w:r w:rsidRPr="002C6D65">
        <w:rPr>
          <w:rStyle w:val="Characteritalic"/>
          <w:rFonts w:cs="Arial"/>
        </w:rPr>
        <w:t>Image-based abuse: National survey – Summary Report</w:t>
      </w:r>
      <w:r w:rsidRPr="002C6D65">
        <w:rPr>
          <w:rFonts w:cs="Arial"/>
        </w:rPr>
        <w:t> (eSafety Commissioner, October 2017) 2 &lt;</w:t>
      </w:r>
      <w:r w:rsidRPr="002C6D65">
        <w:rPr>
          <w:rFonts w:cs="Arial"/>
          <w:lang w:val="en-GB"/>
        </w:rPr>
        <w:t> </w:t>
      </w:r>
      <w:hyperlink r:id="rId20" w:tgtFrame="_blank" w:history="1">
        <w:r w:rsidRPr="002C6D65">
          <w:rPr>
            <w:rStyle w:val="Hyperlink"/>
            <w:rFonts w:cs="Arial"/>
            <w:lang w:val="en-GB"/>
          </w:rPr>
          <w:t>https://www.esafety.gov.au/sites/default/files/2019-07/Image-based-abuse-national-survey-summary-report-2017.pdf</w:t>
        </w:r>
      </w:hyperlink>
      <w:r w:rsidRPr="002C6D65">
        <w:rPr>
          <w:rFonts w:cs="Arial"/>
          <w:lang w:val="en-GB"/>
        </w:rPr>
        <w:t xml:space="preserve">&gt;; </w:t>
      </w:r>
      <w:r w:rsidRPr="002C6D65">
        <w:rPr>
          <w:rFonts w:cs="Arial"/>
        </w:rPr>
        <w:t xml:space="preserve">Nicola </w:t>
      </w:r>
      <w:r w:rsidRPr="002C6D65">
        <w:rPr>
          <w:rFonts w:cs="Arial"/>
          <w:lang w:val="en-GB"/>
        </w:rPr>
        <w:t xml:space="preserve">Henry, </w:t>
      </w:r>
      <w:r w:rsidRPr="002C6D65">
        <w:rPr>
          <w:rFonts w:cs="Arial"/>
        </w:rPr>
        <w:t>Anastasia Powell and Asher Flynn,</w:t>
      </w:r>
      <w:r w:rsidRPr="002C6D65">
        <w:rPr>
          <w:rFonts w:cs="Arial"/>
          <w:lang w:val="en-GB"/>
        </w:rPr>
        <w:t xml:space="preserve"> </w:t>
      </w:r>
      <w:r w:rsidRPr="002C6D65">
        <w:rPr>
          <w:rStyle w:val="Characteritalic"/>
          <w:rFonts w:cs="Arial"/>
        </w:rPr>
        <w:t>Not Just ‘Revenge Pornography’: Australians’ Experiences of Image-Based Abuse. A Summary Report</w:t>
      </w:r>
      <w:r w:rsidRPr="002C6D65">
        <w:rPr>
          <w:rFonts w:cs="Arial"/>
          <w:lang w:val="en-GB"/>
        </w:rPr>
        <w:t xml:space="preserve">. </w:t>
      </w:r>
      <w:r w:rsidRPr="002C6D65">
        <w:rPr>
          <w:rFonts w:cs="Arial"/>
        </w:rPr>
        <w:t xml:space="preserve">(Report, </w:t>
      </w:r>
      <w:r w:rsidRPr="002C6D65">
        <w:rPr>
          <w:rFonts w:cs="Arial"/>
          <w:lang w:val="en-GB"/>
        </w:rPr>
        <w:t>Melbourne: RMIT University</w:t>
      </w:r>
      <w:r w:rsidRPr="002C6D65">
        <w:rPr>
          <w:rFonts w:cs="Arial"/>
        </w:rPr>
        <w:t>, 2017). </w:t>
      </w:r>
    </w:p>
  </w:endnote>
  <w:endnote w:id="60">
    <w:p w14:paraId="50DA6C3E" w14:textId="32FF780C"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 </w:t>
      </w:r>
      <w:r w:rsidRPr="002C6D65">
        <w:rPr>
          <w:rFonts w:cs="Arial"/>
        </w:rPr>
        <w:t xml:space="preserve">David </w:t>
      </w:r>
      <w:r w:rsidRPr="002C6D65">
        <w:rPr>
          <w:rFonts w:cs="Arial"/>
          <w:lang w:val="en-GB"/>
        </w:rPr>
        <w:t>Douglas</w:t>
      </w:r>
      <w:r w:rsidRPr="002C6D65">
        <w:rPr>
          <w:rFonts w:cs="Arial"/>
        </w:rPr>
        <w:t>, ‘</w:t>
      </w:r>
      <w:r w:rsidRPr="002C6D65">
        <w:rPr>
          <w:rFonts w:cs="Arial"/>
          <w:lang w:val="en-GB"/>
        </w:rPr>
        <w:t>Doxing: a conceptual analysis.</w:t>
      </w:r>
      <w:r w:rsidRPr="002C6D65">
        <w:rPr>
          <w:rFonts w:cs="Arial"/>
        </w:rPr>
        <w:t>’ (2016) 18(3)</w:t>
      </w:r>
      <w:r w:rsidRPr="002C6D65">
        <w:rPr>
          <w:rFonts w:cs="Arial"/>
          <w:lang w:val="en-GB"/>
        </w:rPr>
        <w:t> </w:t>
      </w:r>
      <w:r w:rsidRPr="002C6D65">
        <w:rPr>
          <w:rStyle w:val="Characteritalic"/>
          <w:rFonts w:cs="Arial"/>
        </w:rPr>
        <w:t>Ethics and information technology</w:t>
      </w:r>
      <w:r w:rsidRPr="002C6D65">
        <w:rPr>
          <w:rFonts w:cs="Arial"/>
          <w:lang w:val="en-GB"/>
        </w:rPr>
        <w:t>: 199-210.</w:t>
      </w:r>
    </w:p>
  </w:endnote>
  <w:endnote w:id="61">
    <w:p w14:paraId="66776DC6" w14:textId="4B490AC8"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James Phillips and </w:t>
      </w:r>
      <w:r w:rsidRPr="002C6D65">
        <w:rPr>
          <w:rFonts w:cs="Arial"/>
          <w:lang w:val="en-GB"/>
        </w:rPr>
        <w:t>Leon Mann</w:t>
      </w:r>
      <w:r w:rsidRPr="002C6D65">
        <w:rPr>
          <w:rFonts w:cs="Arial"/>
        </w:rPr>
        <w:t>, ‘</w:t>
      </w:r>
      <w:r w:rsidRPr="002C6D65">
        <w:rPr>
          <w:rFonts w:cs="Arial"/>
          <w:lang w:val="en-GB"/>
        </w:rPr>
        <w:t>Suicide baiting in the internet era.</w:t>
      </w:r>
      <w:r w:rsidRPr="002C6D65">
        <w:rPr>
          <w:rFonts w:cs="Arial"/>
        </w:rPr>
        <w:t>’</w:t>
      </w:r>
      <w:r w:rsidRPr="002C6D65">
        <w:rPr>
          <w:rFonts w:cs="Arial"/>
          <w:lang w:val="en-GB"/>
        </w:rPr>
        <w:t> </w:t>
      </w:r>
      <w:r w:rsidRPr="002C6D65">
        <w:rPr>
          <w:rFonts w:cs="Arial"/>
        </w:rPr>
        <w:t>(2019) 92, 29</w:t>
      </w:r>
      <w:r w:rsidRPr="002C6D65">
        <w:rPr>
          <w:rFonts w:cs="Arial"/>
          <w:lang w:val="en-GB"/>
        </w:rPr>
        <w:t>.</w:t>
      </w:r>
    </w:p>
  </w:endnote>
  <w:endnote w:id="62">
    <w:p w14:paraId="285D19FF" w14:textId="14257542" w:rsidR="00407A5F" w:rsidRPr="002C6D65" w:rsidRDefault="00407A5F">
      <w:pPr>
        <w:pStyle w:val="EndnoteText"/>
        <w:rPr>
          <w:rFonts w:cs="Arial"/>
        </w:rPr>
      </w:pPr>
      <w:r w:rsidRPr="002C6D65">
        <w:rPr>
          <w:rStyle w:val="EndnoteReference"/>
          <w:rFonts w:cs="Arial"/>
        </w:rPr>
        <w:endnoteRef/>
      </w:r>
      <w:r w:rsidRPr="002C6D65">
        <w:rPr>
          <w:rFonts w:cs="Arial"/>
        </w:rPr>
        <w:t xml:space="preserve"> For example, see Christopher Mims, ‘It’s Hard to Spot the Terrorists Among the Trolls’ </w:t>
      </w:r>
      <w:r w:rsidRPr="002C6D65">
        <w:rPr>
          <w:rStyle w:val="Characteritalic"/>
          <w:rFonts w:cs="Arial"/>
        </w:rPr>
        <w:t>The Wall Street Journal</w:t>
      </w:r>
      <w:r w:rsidRPr="002C6D65">
        <w:rPr>
          <w:rFonts w:cs="Arial"/>
        </w:rPr>
        <w:t> (online, 15 March 2019) &lt;</w:t>
      </w:r>
      <w:r w:rsidRPr="002C6D65">
        <w:rPr>
          <w:rFonts w:cs="Arial"/>
          <w:lang w:val="en-GB"/>
        </w:rPr>
        <w:t> </w:t>
      </w:r>
      <w:hyperlink r:id="rId21" w:tgtFrame="_blank" w:history="1">
        <w:r w:rsidRPr="002C6D65">
          <w:rPr>
            <w:rStyle w:val="Hyperlink"/>
            <w:rFonts w:cs="Arial"/>
            <w:lang w:val="en-GB"/>
          </w:rPr>
          <w:t>https://www.wsj.com/articles/its-hard-to-spot-the-terrorists-among-the-trolls-11552685615</w:t>
        </w:r>
      </w:hyperlink>
      <w:r w:rsidRPr="002C6D65">
        <w:rPr>
          <w:rFonts w:cs="Arial"/>
          <w:lang w:val="en-GB"/>
        </w:rPr>
        <w:t>&gt;</w:t>
      </w:r>
    </w:p>
  </w:endnote>
  <w:endnote w:id="63">
    <w:p w14:paraId="4242CB4A" w14:textId="5052FEA4" w:rsidR="00407A5F" w:rsidRPr="002C6D65" w:rsidRDefault="00407A5F">
      <w:pPr>
        <w:pStyle w:val="EndnoteText"/>
        <w:rPr>
          <w:rFonts w:cs="Arial"/>
        </w:rPr>
      </w:pPr>
      <w:r w:rsidRPr="002C6D65">
        <w:rPr>
          <w:rStyle w:val="EndnoteReference"/>
          <w:rFonts w:cs="Arial"/>
        </w:rPr>
        <w:endnoteRef/>
      </w:r>
      <w:r w:rsidRPr="002C6D65">
        <w:rPr>
          <w:rFonts w:cs="Arial"/>
        </w:rPr>
        <w:t xml:space="preserve"> Tommi Grondahl, Luca Pajola, Mika Juuti, Mauro Conti and N Asokan, ‘”All you need is ‘love’”: Evading hate speech detection’ (Proceedings of the 11</w:t>
      </w:r>
      <w:r w:rsidRPr="002C6D65">
        <w:rPr>
          <w:rFonts w:cs="Arial"/>
          <w:vertAlign w:val="superscript"/>
        </w:rPr>
        <w:t>th</w:t>
      </w:r>
      <w:r w:rsidRPr="002C6D65">
        <w:rPr>
          <w:rFonts w:cs="Arial"/>
        </w:rPr>
        <w:t xml:space="preserve"> ACM Workshop on Artificial Intelligence and Security, January 2018).</w:t>
      </w:r>
    </w:p>
  </w:endnote>
  <w:endnote w:id="64">
    <w:p w14:paraId="0EBB2A50" w14:textId="782CEAB4"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Focus group with LGBTIQ stakeholders (Victorian Equal Opportunity and Human Rights Commission, 3 December 2019). </w:t>
      </w:r>
    </w:p>
  </w:endnote>
  <w:endnote w:id="65">
    <w:p w14:paraId="5EAF2F72" w14:textId="7556DD8D"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multicultural and multifaith Victorians (Victorian Equal Opportunity and Human Rights Commission, 26 November 2019).</w:t>
      </w:r>
    </w:p>
  </w:endnote>
  <w:endnote w:id="66">
    <w:p w14:paraId="3D52E953" w14:textId="49D97929"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Ginger Gorman, </w:t>
      </w:r>
      <w:r w:rsidRPr="002C6D65">
        <w:rPr>
          <w:rStyle w:val="Characteritalic"/>
          <w:rFonts w:cs="Arial"/>
        </w:rPr>
        <w:t>Troll Hunting: Inside the world of online hate and its human fallout</w:t>
      </w:r>
      <w:r w:rsidRPr="002C6D65">
        <w:rPr>
          <w:rFonts w:cs="Arial"/>
        </w:rPr>
        <w:t>. (Hardie Grant Publishing, 2019)</w:t>
      </w:r>
      <w:r w:rsidRPr="002C6D65">
        <w:rPr>
          <w:rFonts w:cs="Arial"/>
          <w:lang w:val="en-GB"/>
        </w:rPr>
        <w:t xml:space="preserve">. See also, a 6-week study by the Pew Research Centre found that approximately two-thirds of all tweets with URL links were likely posted by fake accounts (“bots”): Pew Research Center, </w:t>
      </w:r>
      <w:r w:rsidRPr="002C6D65">
        <w:rPr>
          <w:rStyle w:val="Characteritalic"/>
          <w:rFonts w:cs="Arial"/>
        </w:rPr>
        <w:t>5 things to know about bots on Twitter</w:t>
      </w:r>
      <w:r w:rsidRPr="002C6D65">
        <w:rPr>
          <w:rFonts w:cs="Arial"/>
          <w:lang w:val="en-GB"/>
        </w:rPr>
        <w:t>. (</w:t>
      </w:r>
      <w:r w:rsidRPr="002C6D65">
        <w:rPr>
          <w:rFonts w:cs="Arial"/>
        </w:rPr>
        <w:t>Report, 9 April 2018) &lt;</w:t>
      </w:r>
      <w:hyperlink r:id="rId22" w:history="1">
        <w:r w:rsidRPr="002C6D65">
          <w:rPr>
            <w:rStyle w:val="Hyperlink"/>
            <w:rFonts w:cs="Arial"/>
            <w:lang w:val="en-GB"/>
          </w:rPr>
          <w:t>http://www.pewresearch.org/fact-tank/2018/04/09/5-things-to-know-about-bots-on-twitter/</w:t>
        </w:r>
      </w:hyperlink>
      <w:r w:rsidRPr="002C6D65">
        <w:rPr>
          <w:rFonts w:cs="Arial"/>
          <w:lang w:val="en-GB"/>
        </w:rPr>
        <w:t>. This has been further raised in the Commission’s consultations with legal and academic stakeholders. A comprehensive metanalysis on cyberracism found that sophisticated strategies included the use of reframing issues to reinforce white oppression, using humour to mainstream racism, the use of power and privilege in debates, the trivialisation and denial of racism, the denigration of outgroups, the reframing the meaning of news stories, and creating moral panic about an outgroup: </w:t>
      </w:r>
      <w:r w:rsidRPr="002C6D65">
        <w:rPr>
          <w:rFonts w:cs="Arial"/>
        </w:rPr>
        <w:t xml:space="preserve">Ana-Maria Bliuc, </w:t>
      </w:r>
      <w:r w:rsidRPr="002C6D65">
        <w:rPr>
          <w:rFonts w:cs="Arial"/>
          <w:lang w:val="en-GB"/>
        </w:rPr>
        <w:t>Nicholas Faulkner, Andrew Jakubowicz, and Craig McGarty</w:t>
      </w:r>
      <w:r w:rsidRPr="002C6D65">
        <w:rPr>
          <w:rFonts w:cs="Arial"/>
        </w:rPr>
        <w:t>,</w:t>
      </w:r>
      <w:r w:rsidRPr="002C6D65">
        <w:rPr>
          <w:rFonts w:cs="Arial"/>
          <w:lang w:val="en-GB"/>
        </w:rPr>
        <w:t xml:space="preserve"> </w:t>
      </w:r>
      <w:r w:rsidRPr="002C6D65">
        <w:rPr>
          <w:rFonts w:cs="Arial"/>
        </w:rPr>
        <w:t>‘</w:t>
      </w:r>
      <w:r w:rsidRPr="002C6D65">
        <w:rPr>
          <w:rFonts w:cs="Arial"/>
          <w:lang w:val="en-GB"/>
        </w:rPr>
        <w:t>Online networks of racial hate: A systematic review of 10 years of research on cyber-racism</w:t>
      </w:r>
      <w:r w:rsidRPr="002C6D65">
        <w:rPr>
          <w:rFonts w:cs="Arial"/>
        </w:rPr>
        <w:t>’</w:t>
      </w:r>
      <w:r w:rsidRPr="002C6D65">
        <w:rPr>
          <w:rFonts w:cs="Arial"/>
          <w:lang w:val="en-GB"/>
        </w:rPr>
        <w:t> </w:t>
      </w:r>
      <w:r w:rsidRPr="002C6D65">
        <w:rPr>
          <w:rFonts w:cs="Arial"/>
        </w:rPr>
        <w:t xml:space="preserve">(2018) 87 </w:t>
      </w:r>
      <w:r w:rsidRPr="002C6D65">
        <w:rPr>
          <w:rStyle w:val="Characteritalic"/>
          <w:rFonts w:cs="Arial"/>
        </w:rPr>
        <w:t>Computers in Human Behavior</w:t>
      </w:r>
      <w:r w:rsidRPr="002C6D65">
        <w:rPr>
          <w:rFonts w:cs="Arial"/>
          <w:lang w:val="en-GB"/>
        </w:rPr>
        <w:t> </w:t>
      </w:r>
      <w:r w:rsidRPr="002C6D65">
        <w:rPr>
          <w:rFonts w:cs="Arial"/>
        </w:rPr>
        <w:t>, 75, 76-77.</w:t>
      </w:r>
      <w:r w:rsidRPr="002C6D65">
        <w:rPr>
          <w:rFonts w:cs="Arial"/>
          <w:lang w:val="en-GB"/>
        </w:rPr>
        <w:t>  </w:t>
      </w:r>
      <w:r w:rsidRPr="002C6D65">
        <w:rPr>
          <w:rFonts w:cs="Arial"/>
        </w:rPr>
        <w:t> </w:t>
      </w:r>
    </w:p>
  </w:endnote>
  <w:endnote w:id="67">
    <w:p w14:paraId="24ECA365" w14:textId="20CA1460"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Professor Andrew Jakubowicz, (Victorian Equal Opportunity and Human Rights Commission staff, Teleconference, 10 December 2019).</w:t>
      </w:r>
    </w:p>
  </w:endnote>
  <w:endnote w:id="68">
    <w:p w14:paraId="30CDD9B7" w14:textId="46A91A34" w:rsidR="00407A5F" w:rsidRPr="002C6D65" w:rsidRDefault="00407A5F" w:rsidP="0049703E">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eSafety Commissioner &amp; the Department of Education and Training, </w:t>
      </w:r>
      <w:r w:rsidRPr="002C6D65">
        <w:rPr>
          <w:rStyle w:val="Characteritalic"/>
          <w:rFonts w:cs="Arial"/>
        </w:rPr>
        <w:t>Online hate, bullying and violence</w:t>
      </w:r>
      <w:r w:rsidRPr="002C6D65">
        <w:rPr>
          <w:rFonts w:cs="Arial"/>
          <w:lang w:val="en-GB"/>
        </w:rPr>
        <w:t>, 2016 (</w:t>
      </w:r>
      <w:r w:rsidRPr="002C6D65">
        <w:rPr>
          <w:rFonts w:cs="Arial"/>
        </w:rPr>
        <w:t>Report, 2016</w:t>
      </w:r>
      <w:r w:rsidRPr="002C6D65">
        <w:rPr>
          <w:rFonts w:cs="Arial"/>
          <w:lang w:val="en-GB"/>
        </w:rPr>
        <w:t>) &lt;</w:t>
      </w:r>
      <w:hyperlink r:id="rId23" w:tgtFrame="_blank" w:history="1">
        <w:r w:rsidRPr="002C6D65">
          <w:rPr>
            <w:rStyle w:val="Hyperlink"/>
            <w:rFonts w:cs="Arial"/>
            <w:lang w:val="en-GB"/>
          </w:rPr>
          <w:t>https://www.esafety.gov.au/about-us/research/young-people-social-cohesion/online-hate-bullying-violence</w:t>
        </w:r>
      </w:hyperlink>
      <w:r w:rsidRPr="002C6D65">
        <w:rPr>
          <w:rFonts w:cs="Arial"/>
          <w:lang w:val="en-GB"/>
        </w:rPr>
        <w:t>&gt;</w:t>
      </w:r>
      <w:r>
        <w:rPr>
          <w:rFonts w:cs="Arial"/>
          <w:lang w:val="en-GB"/>
        </w:rPr>
        <w:t>.</w:t>
      </w:r>
    </w:p>
  </w:endnote>
  <w:endnote w:id="69">
    <w:p w14:paraId="6EDB5F5D" w14:textId="3205EFF6" w:rsidR="00407A5F" w:rsidRPr="002C6D65" w:rsidRDefault="00407A5F" w:rsidP="004C2C5B">
      <w:pPr>
        <w:pStyle w:val="EndnoteText"/>
        <w:rPr>
          <w:rFonts w:cs="Arial"/>
        </w:rPr>
      </w:pPr>
      <w:r w:rsidRPr="002C6D65">
        <w:rPr>
          <w:rStyle w:val="EndnoteReference"/>
          <w:rFonts w:cs="Arial"/>
        </w:rPr>
        <w:endnoteRef/>
      </w:r>
      <w:r w:rsidRPr="002C6D65">
        <w:rPr>
          <w:rFonts w:cs="Arial"/>
        </w:rPr>
        <w:t xml:space="preserve"> Victorian Equal Opportunity and Human Rights Commission, </w:t>
      </w:r>
      <w:r w:rsidRPr="002C6D65">
        <w:rPr>
          <w:rStyle w:val="Characteritalic"/>
          <w:rFonts w:cs="Arial"/>
        </w:rPr>
        <w:t>Multicultural and Multifaith Engagement and Action Plan 2018-2022</w:t>
      </w:r>
      <w:r w:rsidRPr="002C6D65">
        <w:rPr>
          <w:rFonts w:cs="Arial"/>
        </w:rPr>
        <w:t xml:space="preserve"> (2018) &lt; </w:t>
      </w:r>
      <w:hyperlink r:id="rId24" w:history="1">
        <w:r w:rsidRPr="002C6D65">
          <w:rPr>
            <w:rStyle w:val="Hyperlink"/>
            <w:rFonts w:cs="Arial"/>
          </w:rPr>
          <w:t>https://www.humanrightscommission.vic.gov.au/home/about-us/action-plans/item/download/9045_6f472685b931abd99794f22200055bdd</w:t>
        </w:r>
      </w:hyperlink>
      <w:r w:rsidRPr="002C6D65">
        <w:rPr>
          <w:rFonts w:cs="Arial"/>
        </w:rPr>
        <w:t>&gt;</w:t>
      </w:r>
      <w:r>
        <w:rPr>
          <w:rFonts w:cs="Arial"/>
        </w:rPr>
        <w:t>.</w:t>
      </w:r>
    </w:p>
  </w:endnote>
  <w:endnote w:id="70">
    <w:p w14:paraId="69C41AC6" w14:textId="15FCFA79" w:rsidR="00407A5F" w:rsidRPr="002C6D65" w:rsidRDefault="00407A5F">
      <w:pPr>
        <w:pStyle w:val="EndnoteText"/>
        <w:rPr>
          <w:rFonts w:cs="Arial"/>
        </w:rPr>
      </w:pPr>
      <w:r w:rsidRPr="002C6D65">
        <w:rPr>
          <w:rStyle w:val="EndnoteReference"/>
          <w:rFonts w:cs="Arial"/>
        </w:rPr>
        <w:endnoteRef/>
      </w:r>
      <w:r w:rsidRPr="002C6D65">
        <w:rPr>
          <w:rFonts w:cs="Arial"/>
        </w:rPr>
        <w:t xml:space="preserve"> Alison Markwick, Zahid Ansari, Darren Clinch, John McNeil, ‘Experiences of racism among Aboriginal and Torres Strait Islander adults living in the Australian state of Victoria: a cross-sectional population-based study’ (2019) 19(1) </w:t>
      </w:r>
      <w:r w:rsidRPr="002C6D65">
        <w:rPr>
          <w:rStyle w:val="Characteritalic"/>
          <w:rFonts w:cs="Arial"/>
        </w:rPr>
        <w:t>BMC public health</w:t>
      </w:r>
      <w:r w:rsidRPr="002C6D65">
        <w:rPr>
          <w:rFonts w:cs="Arial"/>
        </w:rPr>
        <w:t>, 309.</w:t>
      </w:r>
    </w:p>
  </w:endnote>
  <w:endnote w:id="71">
    <w:p w14:paraId="4190C96E" w14:textId="4D6297CC" w:rsidR="00407A5F" w:rsidRPr="002C6D65" w:rsidRDefault="00407A5F">
      <w:pPr>
        <w:pStyle w:val="EndnoteText"/>
        <w:rPr>
          <w:rFonts w:cs="Arial"/>
        </w:rPr>
      </w:pPr>
      <w:r w:rsidRPr="002C6D65">
        <w:rPr>
          <w:rStyle w:val="EndnoteReference"/>
          <w:rFonts w:cs="Arial"/>
        </w:rPr>
        <w:endnoteRef/>
      </w:r>
      <w:r w:rsidRPr="002C6D65">
        <w:rPr>
          <w:rFonts w:cs="Arial"/>
        </w:rPr>
        <w:t xml:space="preserve"> Angeline Ferdinand, Yin Paradies, Margaret Kelaher, </w:t>
      </w:r>
      <w:r w:rsidRPr="002C6D65">
        <w:rPr>
          <w:rStyle w:val="Characteritalic"/>
          <w:rFonts w:cs="Arial"/>
        </w:rPr>
        <w:t>Mental health impacts of racial discrimination in Victorian Aboriginal communities</w:t>
      </w:r>
      <w:r w:rsidRPr="002C6D65">
        <w:rPr>
          <w:rFonts w:cs="Arial"/>
          <w:lang w:val="en-GB"/>
        </w:rPr>
        <w:t>.</w:t>
      </w:r>
      <w:r w:rsidRPr="002C6D65">
        <w:rPr>
          <w:rFonts w:cs="Arial"/>
        </w:rPr>
        <w:t xml:space="preserve"> (Report, </w:t>
      </w:r>
      <w:r w:rsidRPr="002C6D65">
        <w:rPr>
          <w:rFonts w:cs="Arial"/>
          <w:lang w:val="en-GB"/>
        </w:rPr>
        <w:t xml:space="preserve">Lowitja Institute, </w:t>
      </w:r>
      <w:r w:rsidRPr="002C6D65">
        <w:rPr>
          <w:rFonts w:cs="Arial"/>
        </w:rPr>
        <w:t>2013) 9-10.</w:t>
      </w:r>
    </w:p>
  </w:endnote>
  <w:endnote w:id="72">
    <w:p w14:paraId="076246D5" w14:textId="22B2B861"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Australian Bureau of Statistics, </w:t>
      </w:r>
      <w:r w:rsidRPr="002C6D65">
        <w:rPr>
          <w:rStyle w:val="Characteritalic"/>
          <w:rFonts w:cs="Arial"/>
        </w:rPr>
        <w:t>National Aboriginal and Torres Strait Islander Social Survey</w:t>
      </w:r>
      <w:r w:rsidRPr="002C6D65">
        <w:rPr>
          <w:rFonts w:cs="Arial"/>
        </w:rPr>
        <w:t>, 2014-15, (2017) Table 14, &lt;</w:t>
      </w:r>
      <w:hyperlink r:id="rId25" w:history="1">
        <w:r w:rsidRPr="002C6D65">
          <w:rPr>
            <w:rStyle w:val="Hyperlink"/>
            <w:rFonts w:cs="Arial"/>
          </w:rPr>
          <w:t>https://www.abs.gov.au/AUSSTATS/abs@.nsf/DetailsPage/4714.02014-15?OpenDocument</w:t>
        </w:r>
      </w:hyperlink>
      <w:r w:rsidRPr="002C6D65">
        <w:rPr>
          <w:rFonts w:cs="Arial"/>
        </w:rPr>
        <w:t>&gt;.</w:t>
      </w:r>
    </w:p>
  </w:endnote>
  <w:endnote w:id="73">
    <w:p w14:paraId="1FD35DC7" w14:textId="63E6104E"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 xml:space="preserve">Katherine Gelber and Luke Mcnamara, </w:t>
      </w:r>
      <w:r w:rsidRPr="002C6D65">
        <w:rPr>
          <w:rFonts w:cs="Arial"/>
        </w:rPr>
        <w:t>‘</w:t>
      </w:r>
      <w:r w:rsidRPr="002C6D65">
        <w:rPr>
          <w:rFonts w:cs="Arial"/>
          <w:lang w:val="en-GB"/>
        </w:rPr>
        <w:t>Anti-vilification laws and public racism in Australia: Mapping the gaps between the harms occasioned and the remedies provided</w:t>
      </w:r>
      <w:r w:rsidRPr="002C6D65">
        <w:rPr>
          <w:rFonts w:cs="Arial"/>
        </w:rPr>
        <w:t>’</w:t>
      </w:r>
      <w:r w:rsidRPr="002C6D65">
        <w:rPr>
          <w:rFonts w:cs="Arial"/>
          <w:lang w:val="en-GB"/>
        </w:rPr>
        <w:t xml:space="preserve"> (2016)</w:t>
      </w:r>
      <w:r w:rsidRPr="002C6D65">
        <w:rPr>
          <w:rFonts w:cs="Arial"/>
        </w:rPr>
        <w:t xml:space="preserve"> 39 </w:t>
      </w:r>
      <w:r w:rsidRPr="002C6D65">
        <w:rPr>
          <w:rStyle w:val="Characteritalic"/>
          <w:rFonts w:cs="Arial"/>
        </w:rPr>
        <w:t>UNSWLJ</w:t>
      </w:r>
      <w:r w:rsidRPr="002C6D65">
        <w:rPr>
          <w:rFonts w:cs="Arial"/>
        </w:rPr>
        <w:t>,</w:t>
      </w:r>
      <w:r w:rsidRPr="002C6D65">
        <w:rPr>
          <w:rFonts w:cs="Arial"/>
          <w:lang w:val="en-GB"/>
        </w:rPr>
        <w:t> </w:t>
      </w:r>
      <w:r w:rsidRPr="002C6D65">
        <w:rPr>
          <w:rFonts w:cs="Arial"/>
        </w:rPr>
        <w:t>501.</w:t>
      </w:r>
    </w:p>
  </w:endnote>
  <w:endnote w:id="74">
    <w:p w14:paraId="7D6CF902" w14:textId="33B81F08" w:rsidR="00407A5F" w:rsidRPr="002C6D65" w:rsidRDefault="00407A5F" w:rsidP="00247B6D">
      <w:pPr>
        <w:pStyle w:val="EndnoteText"/>
        <w:rPr>
          <w:rFonts w:cs="Arial"/>
        </w:rPr>
      </w:pPr>
      <w:r w:rsidRPr="002C6D65">
        <w:rPr>
          <w:rStyle w:val="EndnoteReference"/>
          <w:rFonts w:cs="Arial"/>
        </w:rPr>
        <w:endnoteRef/>
      </w:r>
      <w:r w:rsidRPr="002C6D65">
        <w:rPr>
          <w:rFonts w:cs="Arial"/>
        </w:rPr>
        <w:t xml:space="preserve"> Ibid.</w:t>
      </w:r>
    </w:p>
  </w:endnote>
  <w:endnote w:id="75">
    <w:p w14:paraId="5118F337" w14:textId="2703FAEE" w:rsidR="00407A5F" w:rsidRPr="002C6D65" w:rsidRDefault="00407A5F">
      <w:pPr>
        <w:pStyle w:val="EndnoteText"/>
        <w:rPr>
          <w:rFonts w:cs="Arial"/>
        </w:rPr>
      </w:pPr>
      <w:r w:rsidRPr="002C6D65">
        <w:rPr>
          <w:rStyle w:val="EndnoteReference"/>
          <w:rFonts w:cs="Arial"/>
        </w:rPr>
        <w:endnoteRef/>
      </w:r>
      <w:r w:rsidRPr="002C6D65">
        <w:rPr>
          <w:rFonts w:cs="Arial"/>
        </w:rPr>
        <w:t xml:space="preserve"> Jormey Temple, Margaret Kelaher, and Yin Paradies, ‘</w:t>
      </w:r>
      <w:r w:rsidRPr="002C6D65">
        <w:rPr>
          <w:rFonts w:cs="Arial"/>
          <w:lang w:val="en-GB"/>
        </w:rPr>
        <w:t>Prevalence and context of racism experienced by older Aboriginal and Torres Strait Islanders.</w:t>
      </w:r>
      <w:r w:rsidRPr="002C6D65">
        <w:rPr>
          <w:rFonts w:cs="Arial"/>
        </w:rPr>
        <w:t>’ (2019) 38(1)</w:t>
      </w:r>
      <w:r w:rsidRPr="002C6D65">
        <w:rPr>
          <w:rStyle w:val="Characteritalic"/>
          <w:rFonts w:cs="Arial"/>
        </w:rPr>
        <w:t> Australasian Journal on Ageing</w:t>
      </w:r>
      <w:r w:rsidRPr="002C6D65">
        <w:rPr>
          <w:rFonts w:cs="Arial"/>
          <w:lang w:val="en-GB"/>
        </w:rPr>
        <w:t>,</w:t>
      </w:r>
      <w:r w:rsidRPr="002C6D65">
        <w:rPr>
          <w:rFonts w:cs="Arial"/>
        </w:rPr>
        <w:t xml:space="preserve"> </w:t>
      </w:r>
      <w:r w:rsidRPr="002C6D65">
        <w:rPr>
          <w:rFonts w:cs="Arial"/>
          <w:lang w:val="en-GB"/>
        </w:rPr>
        <w:t>39.</w:t>
      </w:r>
    </w:p>
  </w:endnote>
  <w:endnote w:id="76">
    <w:p w14:paraId="6C5641BA" w14:textId="77777777" w:rsidR="00407A5F" w:rsidRPr="002C6D65" w:rsidRDefault="00407A5F" w:rsidP="00B76D1E">
      <w:pPr>
        <w:pStyle w:val="EndnoteText"/>
        <w:rPr>
          <w:rFonts w:cs="Arial"/>
        </w:rPr>
      </w:pPr>
      <w:r w:rsidRPr="002C6D65">
        <w:rPr>
          <w:rStyle w:val="EndnoteReference"/>
          <w:rFonts w:cs="Arial"/>
        </w:rPr>
        <w:endnoteRef/>
      </w:r>
      <w:r w:rsidRPr="002C6D65">
        <w:rPr>
          <w:rFonts w:cs="Arial"/>
        </w:rPr>
        <w:t xml:space="preserve"> Information provided by the Victorian Aboriginal Legal Service on 9 December 2019.</w:t>
      </w:r>
    </w:p>
  </w:endnote>
  <w:endnote w:id="77">
    <w:p w14:paraId="4CA18275" w14:textId="65FDE9AD"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and Equal Opportunities Commission, </w:t>
      </w:r>
      <w:r w:rsidRPr="002C6D65">
        <w:rPr>
          <w:rStyle w:val="Characteritalic"/>
          <w:rFonts w:cs="Arial"/>
        </w:rPr>
        <w:t>Racist Violence: Report of the National Inquiry into Racist Violence in Australia</w:t>
      </w:r>
      <w:r w:rsidRPr="002C6D65">
        <w:rPr>
          <w:rFonts w:cs="Arial"/>
        </w:rPr>
        <w:t xml:space="preserve"> (AGPS, Canberra, 1991).</w:t>
      </w:r>
    </w:p>
  </w:endnote>
  <w:endnote w:id="78">
    <w:p w14:paraId="24C0E40C" w14:textId="1035630A" w:rsidR="00407A5F" w:rsidRPr="002C6D65" w:rsidRDefault="00407A5F">
      <w:pPr>
        <w:pStyle w:val="EndnoteText"/>
        <w:rPr>
          <w:rFonts w:cs="Arial"/>
        </w:rPr>
      </w:pPr>
      <w:r w:rsidRPr="002C6D65">
        <w:rPr>
          <w:rStyle w:val="EndnoteReference"/>
          <w:rFonts w:cs="Arial"/>
        </w:rPr>
        <w:endnoteRef/>
      </w:r>
      <w:r w:rsidRPr="002C6D65">
        <w:rPr>
          <w:rFonts w:cs="Arial"/>
        </w:rPr>
        <w:t xml:space="preserve"> On 11 and 27 June 2019, the Commission and the Australian Human Rights Commission held two roundtables in Sydney and Melbourne with religious leaders on serious harms experienced by religious communities. Leaders representing a wide variety of religious organisations, as well as academic researchers with relevant expertise, participated in these roundtables. A position paper based on these roundtables will be published in early 2020.</w:t>
      </w:r>
    </w:p>
  </w:endnote>
  <w:endnote w:id="79">
    <w:p w14:paraId="15D1EDA2" w14:textId="6F5752A8" w:rsidR="00407A5F" w:rsidRPr="002C6D65" w:rsidRDefault="00407A5F">
      <w:pPr>
        <w:pStyle w:val="EndnoteText"/>
        <w:rPr>
          <w:rFonts w:cs="Arial"/>
        </w:rPr>
      </w:pPr>
      <w:r w:rsidRPr="002C6D65">
        <w:rPr>
          <w:rStyle w:val="EndnoteReference"/>
          <w:rFonts w:cs="Arial"/>
        </w:rPr>
        <w:endnoteRef/>
      </w:r>
      <w:r w:rsidRPr="002C6D65">
        <w:rPr>
          <w:rFonts w:cs="Arial"/>
        </w:rPr>
        <w:t xml:space="preserve"> Derya </w:t>
      </w:r>
      <w:r w:rsidRPr="002C6D65">
        <w:rPr>
          <w:rFonts w:cs="Arial"/>
          <w:lang w:val="en-GB"/>
        </w:rPr>
        <w:t xml:space="preserve">Iner, </w:t>
      </w:r>
      <w:r w:rsidRPr="002C6D65">
        <w:rPr>
          <w:rStyle w:val="Characteritalic"/>
          <w:rFonts w:cs="Arial"/>
        </w:rPr>
        <w:t>Islamophobia in Australia Report II (2017-2018)</w:t>
      </w:r>
      <w:r w:rsidRPr="002C6D65">
        <w:rPr>
          <w:rFonts w:cs="Arial"/>
        </w:rPr>
        <w:t>,</w:t>
      </w:r>
      <w:r w:rsidRPr="002C6D65">
        <w:rPr>
          <w:rFonts w:cs="Arial"/>
          <w:lang w:val="en-GB"/>
        </w:rPr>
        <w:t xml:space="preserve"> </w:t>
      </w:r>
      <w:r w:rsidRPr="002C6D65">
        <w:rPr>
          <w:rFonts w:cs="Arial"/>
        </w:rPr>
        <w:t>(</w:t>
      </w:r>
      <w:r w:rsidRPr="002C6D65">
        <w:rPr>
          <w:rFonts w:cs="Arial"/>
          <w:lang w:val="en-GB"/>
        </w:rPr>
        <w:t>Charles Sturt University and ISRA, 2019</w:t>
      </w:r>
      <w:r w:rsidRPr="002C6D65">
        <w:rPr>
          <w:rFonts w:cs="Arial"/>
        </w:rPr>
        <w:t>)</w:t>
      </w:r>
      <w:r w:rsidRPr="002C6D65">
        <w:rPr>
          <w:rFonts w:cs="Arial"/>
          <w:lang w:val="en-GB"/>
        </w:rPr>
        <w:t xml:space="preserve"> </w:t>
      </w:r>
      <w:r w:rsidRPr="002C6D65">
        <w:rPr>
          <w:rFonts w:cs="Arial"/>
        </w:rPr>
        <w:t>14.</w:t>
      </w:r>
    </w:p>
  </w:endnote>
  <w:endnote w:id="80">
    <w:p w14:paraId="22CCC51A" w14:textId="5893FE08" w:rsidR="00407A5F" w:rsidRPr="002C6D65" w:rsidRDefault="00407A5F">
      <w:pPr>
        <w:pStyle w:val="EndnoteText"/>
        <w:rPr>
          <w:rFonts w:cs="Arial"/>
        </w:rPr>
      </w:pPr>
      <w:r w:rsidRPr="002C6D65">
        <w:rPr>
          <w:rStyle w:val="EndnoteReference"/>
          <w:rFonts w:cs="Arial"/>
        </w:rPr>
        <w:endnoteRef/>
      </w:r>
      <w:r w:rsidRPr="002C6D65">
        <w:rPr>
          <w:rFonts w:cs="Arial"/>
        </w:rPr>
        <w:t xml:space="preserve"> Ibid</w:t>
      </w:r>
      <w:r w:rsidRPr="002C6D65">
        <w:rPr>
          <w:rFonts w:cs="Arial"/>
          <w:lang w:val="en-GB"/>
        </w:rPr>
        <w:t xml:space="preserve"> </w:t>
      </w:r>
      <w:r w:rsidRPr="002C6D65">
        <w:rPr>
          <w:rFonts w:cs="Arial"/>
        </w:rPr>
        <w:t>14.</w:t>
      </w:r>
    </w:p>
  </w:endnote>
  <w:endnote w:id="81">
    <w:p w14:paraId="500C846F" w14:textId="19BCB0F0" w:rsidR="00407A5F" w:rsidRPr="002C6D65" w:rsidRDefault="00407A5F">
      <w:pPr>
        <w:pStyle w:val="EndnoteText"/>
        <w:rPr>
          <w:rFonts w:cs="Arial"/>
        </w:rPr>
      </w:pPr>
      <w:r w:rsidRPr="002C6D65">
        <w:rPr>
          <w:rStyle w:val="EndnoteReference"/>
          <w:rFonts w:cs="Arial"/>
        </w:rPr>
        <w:endnoteRef/>
      </w:r>
      <w:r w:rsidRPr="002C6D65">
        <w:rPr>
          <w:rFonts w:cs="Arial"/>
        </w:rPr>
        <w:t xml:space="preserve"> Ibid</w:t>
      </w:r>
      <w:r w:rsidRPr="002C6D65">
        <w:rPr>
          <w:rFonts w:cs="Arial"/>
          <w:lang w:val="en-GB"/>
        </w:rPr>
        <w:t xml:space="preserve"> </w:t>
      </w:r>
      <w:r w:rsidRPr="002C6D65">
        <w:rPr>
          <w:rFonts w:cs="Arial"/>
        </w:rPr>
        <w:t xml:space="preserve">5. </w:t>
      </w:r>
    </w:p>
  </w:endnote>
  <w:endnote w:id="82">
    <w:p w14:paraId="31F2424B" w14:textId="5A4F9178" w:rsidR="00407A5F" w:rsidRPr="002C6D65" w:rsidRDefault="00407A5F">
      <w:pPr>
        <w:pStyle w:val="EndnoteText"/>
        <w:rPr>
          <w:rFonts w:cs="Arial"/>
        </w:rPr>
      </w:pPr>
      <w:r w:rsidRPr="002C6D65">
        <w:rPr>
          <w:rStyle w:val="EndnoteReference"/>
          <w:rFonts w:cs="Arial"/>
        </w:rPr>
        <w:endnoteRef/>
      </w:r>
      <w:r w:rsidRPr="002C6D65">
        <w:rPr>
          <w:rFonts w:cs="Arial"/>
        </w:rPr>
        <w:t xml:space="preserve"> Id. </w:t>
      </w:r>
    </w:p>
  </w:endnote>
  <w:endnote w:id="83">
    <w:p w14:paraId="1B14DBF2" w14:textId="63F93C34" w:rsidR="00407A5F" w:rsidRPr="002C6D65" w:rsidRDefault="00407A5F" w:rsidP="009A5CF5">
      <w:pPr>
        <w:pStyle w:val="EndnoteText"/>
        <w:rPr>
          <w:rFonts w:cs="Arial"/>
        </w:rPr>
      </w:pPr>
      <w:r w:rsidRPr="002C6D65">
        <w:rPr>
          <w:rStyle w:val="EndnoteReference"/>
          <w:rFonts w:cs="Arial"/>
        </w:rPr>
        <w:endnoteRef/>
      </w:r>
      <w:r w:rsidRPr="002C6D65">
        <w:rPr>
          <w:rFonts w:cs="Arial"/>
        </w:rPr>
        <w:t xml:space="preserve"> Ibid 4.</w:t>
      </w:r>
    </w:p>
  </w:endnote>
  <w:endnote w:id="84">
    <w:p w14:paraId="095E3B23" w14:textId="3A50B604"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85">
    <w:p w14:paraId="42BE4920" w14:textId="03F9D534"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86">
    <w:p w14:paraId="1011AF60" w14:textId="4E72FB11"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87">
    <w:p w14:paraId="4C01AF46" w14:textId="07C5A2A2" w:rsidR="00407A5F" w:rsidRPr="002C6D65" w:rsidRDefault="00407A5F">
      <w:pPr>
        <w:pStyle w:val="EndnoteText"/>
        <w:rPr>
          <w:rFonts w:cs="Arial"/>
        </w:rPr>
      </w:pPr>
      <w:r w:rsidRPr="002C6D65">
        <w:rPr>
          <w:rStyle w:val="EndnoteReference"/>
          <w:rFonts w:cs="Arial"/>
        </w:rPr>
        <w:endnoteRef/>
      </w:r>
      <w:r w:rsidRPr="002C6D65">
        <w:rPr>
          <w:rFonts w:cs="Arial"/>
        </w:rPr>
        <w:t xml:space="preserve"> Ibid 6.</w:t>
      </w:r>
    </w:p>
  </w:endnote>
  <w:endnote w:id="88">
    <w:p w14:paraId="62059206" w14:textId="0F3752E2" w:rsidR="00407A5F" w:rsidRPr="002C6D65" w:rsidRDefault="00407A5F">
      <w:pPr>
        <w:pStyle w:val="EndnoteText"/>
        <w:rPr>
          <w:rFonts w:cs="Arial"/>
        </w:rPr>
      </w:pPr>
      <w:r w:rsidRPr="002C6D65">
        <w:rPr>
          <w:rStyle w:val="EndnoteReference"/>
          <w:rFonts w:cs="Arial"/>
        </w:rPr>
        <w:endnoteRef/>
      </w:r>
      <w:r w:rsidRPr="002C6D65">
        <w:rPr>
          <w:rFonts w:cs="Arial"/>
        </w:rPr>
        <w:t xml:space="preserve"> Ibid 5. </w:t>
      </w:r>
    </w:p>
  </w:endnote>
  <w:endnote w:id="89">
    <w:p w14:paraId="6BEE0AF8" w14:textId="1AD7A66A" w:rsidR="00407A5F" w:rsidRPr="002C6D65" w:rsidRDefault="00407A5F">
      <w:pPr>
        <w:pStyle w:val="EndnoteText"/>
        <w:rPr>
          <w:rFonts w:cs="Arial"/>
        </w:rPr>
      </w:pPr>
      <w:r w:rsidRPr="002C6D65">
        <w:rPr>
          <w:rStyle w:val="EndnoteReference"/>
          <w:rFonts w:cs="Arial"/>
        </w:rPr>
        <w:endnoteRef/>
      </w:r>
      <w:r w:rsidRPr="002C6D65">
        <w:rPr>
          <w:rFonts w:cs="Arial"/>
        </w:rPr>
        <w:t xml:space="preserve"> Ibid 6. </w:t>
      </w:r>
    </w:p>
  </w:endnote>
  <w:endnote w:id="90">
    <w:p w14:paraId="5CA366DD" w14:textId="63930838" w:rsidR="00407A5F" w:rsidRPr="002C6D65" w:rsidRDefault="00407A5F">
      <w:pPr>
        <w:pStyle w:val="EndnoteText"/>
        <w:rPr>
          <w:rFonts w:cs="Arial"/>
        </w:rPr>
      </w:pPr>
      <w:r w:rsidRPr="002C6D65">
        <w:rPr>
          <w:rStyle w:val="EndnoteReference"/>
          <w:rFonts w:cs="Arial"/>
        </w:rPr>
        <w:endnoteRef/>
      </w:r>
      <w:r w:rsidRPr="002C6D65">
        <w:rPr>
          <w:rFonts w:cs="Arial"/>
        </w:rPr>
        <w:t xml:space="preserve"> Ibid 9.</w:t>
      </w:r>
    </w:p>
  </w:endnote>
  <w:endnote w:id="91">
    <w:p w14:paraId="703A4FFC" w14:textId="7460D69C"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92">
    <w:p w14:paraId="33BBCFEB" w14:textId="256BCD0B"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93">
    <w:p w14:paraId="1A5F8030" w14:textId="717761DD"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94">
    <w:p w14:paraId="4D0192B5" w14:textId="335406D1"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95">
    <w:p w14:paraId="17B94B92" w14:textId="24696519" w:rsidR="00407A5F" w:rsidRPr="002C6D65" w:rsidRDefault="00407A5F">
      <w:pPr>
        <w:pStyle w:val="EndnoteText"/>
        <w:rPr>
          <w:rFonts w:cs="Arial"/>
        </w:rPr>
      </w:pPr>
      <w:r w:rsidRPr="002C6D65">
        <w:rPr>
          <w:rStyle w:val="EndnoteReference"/>
          <w:rFonts w:cs="Arial"/>
        </w:rPr>
        <w:endnoteRef/>
      </w:r>
      <w:r w:rsidRPr="002C6D65">
        <w:rPr>
          <w:rFonts w:cs="Arial"/>
        </w:rPr>
        <w:t xml:space="preserve"> Andrew Oboler, </w:t>
      </w:r>
      <w:r w:rsidRPr="002C6D65">
        <w:rPr>
          <w:rStyle w:val="Characteritalic"/>
          <w:rFonts w:cs="Arial"/>
        </w:rPr>
        <w:t>Spotlight on Anti-Muslim Internet Hate - Interim Report</w:t>
      </w:r>
      <w:r w:rsidRPr="002C6D65">
        <w:rPr>
          <w:rFonts w:cs="Arial"/>
        </w:rPr>
        <w:t>. (Online Hate Prevention Institute Report, 2015) &lt;</w:t>
      </w:r>
      <w:hyperlink r:id="rId26" w:history="1">
        <w:r w:rsidRPr="002C6D65">
          <w:rPr>
            <w:rStyle w:val="Hyperlink"/>
            <w:rFonts w:cs="Arial"/>
          </w:rPr>
          <w:t>http://ohpi.org.au/anti-muslim-hate-interim-report/</w:t>
        </w:r>
      </w:hyperlink>
      <w:r w:rsidRPr="002C6D65">
        <w:rPr>
          <w:rFonts w:cs="Arial"/>
        </w:rPr>
        <w:t xml:space="preserve">&gt;    </w:t>
      </w:r>
    </w:p>
  </w:endnote>
  <w:endnote w:id="96">
    <w:p w14:paraId="48448C49" w14:textId="400268A9" w:rsidR="00407A5F" w:rsidRPr="002C6D65" w:rsidRDefault="00407A5F">
      <w:pPr>
        <w:pStyle w:val="EndnoteText"/>
        <w:rPr>
          <w:rFonts w:cs="Arial"/>
        </w:rPr>
      </w:pPr>
      <w:r w:rsidRPr="002C6D65">
        <w:rPr>
          <w:rStyle w:val="EndnoteReference"/>
          <w:rFonts w:cs="Arial"/>
        </w:rPr>
        <w:endnoteRef/>
      </w:r>
      <w:r w:rsidRPr="002C6D65">
        <w:rPr>
          <w:rFonts w:cs="Arial"/>
        </w:rPr>
        <w:t xml:space="preserve"> Executive Council of Australian Jewry, </w:t>
      </w:r>
      <w:r>
        <w:rPr>
          <w:rStyle w:val="Characteritalic"/>
          <w:rFonts w:cs="Arial"/>
          <w:i w:val="0"/>
        </w:rPr>
        <w:t>above n 2</w:t>
      </w:r>
      <w:r w:rsidRPr="002C6D65">
        <w:rPr>
          <w:rFonts w:cs="Arial"/>
        </w:rPr>
        <w:t xml:space="preserve"> 7. </w:t>
      </w:r>
    </w:p>
  </w:endnote>
  <w:endnote w:id="97">
    <w:p w14:paraId="7F3F9A63" w14:textId="69D40F94" w:rsidR="00407A5F" w:rsidRPr="002C6D65" w:rsidRDefault="00407A5F">
      <w:pPr>
        <w:pStyle w:val="EndnoteText"/>
        <w:rPr>
          <w:rFonts w:cs="Arial"/>
        </w:rPr>
      </w:pPr>
      <w:r w:rsidRPr="002C6D65">
        <w:rPr>
          <w:rStyle w:val="EndnoteReference"/>
          <w:rFonts w:cs="Arial"/>
        </w:rPr>
        <w:endnoteRef/>
      </w:r>
      <w:r w:rsidRPr="002C6D65">
        <w:rPr>
          <w:rFonts w:cs="Arial"/>
        </w:rPr>
        <w:t xml:space="preserve"> Ibid 26. </w:t>
      </w:r>
    </w:p>
  </w:endnote>
  <w:endnote w:id="98">
    <w:p w14:paraId="44B4C225" w14:textId="0CB7B6A6" w:rsidR="00407A5F" w:rsidRPr="002C6D65" w:rsidRDefault="00407A5F">
      <w:pPr>
        <w:pStyle w:val="EndnoteText"/>
        <w:rPr>
          <w:rFonts w:cs="Arial"/>
        </w:rPr>
      </w:pPr>
      <w:r w:rsidRPr="002C6D65">
        <w:rPr>
          <w:rStyle w:val="EndnoteReference"/>
          <w:rFonts w:cs="Arial"/>
        </w:rPr>
        <w:endnoteRef/>
      </w:r>
      <w:r w:rsidRPr="002C6D65">
        <w:rPr>
          <w:rFonts w:cs="Arial"/>
        </w:rPr>
        <w:t xml:space="preserve"> Ibid 7.</w:t>
      </w:r>
    </w:p>
  </w:endnote>
  <w:endnote w:id="99">
    <w:p w14:paraId="3D5EC081" w14:textId="101552DB"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00">
    <w:p w14:paraId="697D4654" w14:textId="75134E9D"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01">
    <w:p w14:paraId="3F6159C5" w14:textId="1B9779BD" w:rsidR="00407A5F" w:rsidRPr="002C6D65" w:rsidRDefault="00407A5F">
      <w:pPr>
        <w:pStyle w:val="EndnoteText"/>
        <w:rPr>
          <w:rStyle w:val="Characterclear"/>
          <w:rFonts w:cs="Arial"/>
          <w:sz w:val="20"/>
        </w:rPr>
      </w:pPr>
      <w:r w:rsidRPr="002C6D65">
        <w:rPr>
          <w:rStyle w:val="EndnoteReference"/>
          <w:rFonts w:cs="Arial"/>
        </w:rPr>
        <w:endnoteRef/>
      </w:r>
      <w:r w:rsidRPr="002C6D65">
        <w:rPr>
          <w:rFonts w:cs="Arial"/>
        </w:rPr>
        <w:t xml:space="preserve"> David Graham &amp; Andrew Markus, </w:t>
      </w:r>
      <w:r w:rsidRPr="002C6D65">
        <w:rPr>
          <w:rStyle w:val="Characteritalic"/>
          <w:rFonts w:cs="Arial"/>
        </w:rPr>
        <w:t xml:space="preserve">GEN17 Australian Jewish Community Survey: Preliminary Findings </w:t>
      </w:r>
      <w:r w:rsidRPr="002C6D65">
        <w:rPr>
          <w:rFonts w:cs="Arial"/>
        </w:rPr>
        <w:t xml:space="preserve">(2018) 6 &lt; </w:t>
      </w:r>
      <w:hyperlink r:id="rId27" w:history="1">
        <w:r w:rsidRPr="002C6D65">
          <w:rPr>
            <w:rStyle w:val="Hyperlink"/>
            <w:rFonts w:cs="Arial"/>
          </w:rPr>
          <w:t>https://www.monash.edu/__data/assets/pdf_file/0009/1531791/gen17-initial-findings-report-online-version-final-22_3.pdf</w:t>
        </w:r>
      </w:hyperlink>
      <w:r w:rsidRPr="002C6D65">
        <w:rPr>
          <w:rFonts w:cs="Arial"/>
        </w:rPr>
        <w:t>&gt;</w:t>
      </w:r>
    </w:p>
  </w:endnote>
  <w:endnote w:id="102">
    <w:p w14:paraId="57DA71F4" w14:textId="72F3FE4B" w:rsidR="00407A5F" w:rsidRPr="002C6D65" w:rsidRDefault="00407A5F">
      <w:pPr>
        <w:pStyle w:val="EndnoteText"/>
        <w:rPr>
          <w:rFonts w:cs="Arial"/>
        </w:rPr>
      </w:pPr>
      <w:r w:rsidRPr="002C6D65">
        <w:rPr>
          <w:rStyle w:val="EndnoteReference"/>
          <w:rFonts w:cs="Arial"/>
        </w:rPr>
        <w:endnoteRef/>
      </w:r>
      <w:r w:rsidRPr="002C6D65">
        <w:rPr>
          <w:rFonts w:cs="Arial"/>
        </w:rPr>
        <w:t xml:space="preserve"> Executive Council of Australian Jewry</w:t>
      </w:r>
      <w:r>
        <w:rPr>
          <w:rFonts w:cs="Arial"/>
        </w:rPr>
        <w:t xml:space="preserve"> above n 2</w:t>
      </w:r>
      <w:r w:rsidRPr="002C6D65">
        <w:rPr>
          <w:rFonts w:cs="Arial"/>
        </w:rPr>
        <w:t xml:space="preserve"> 33-64. </w:t>
      </w:r>
    </w:p>
  </w:endnote>
  <w:endnote w:id="103">
    <w:p w14:paraId="12403C51" w14:textId="77777777" w:rsidR="00407A5F" w:rsidRPr="002C6D65" w:rsidRDefault="00407A5F" w:rsidP="00B264F1">
      <w:pPr>
        <w:pStyle w:val="EndnoteText"/>
        <w:rPr>
          <w:rFonts w:cs="Arial"/>
        </w:rPr>
      </w:pPr>
      <w:r w:rsidRPr="002C6D65">
        <w:rPr>
          <w:rStyle w:val="EndnoteReference"/>
          <w:rFonts w:cs="Arial"/>
        </w:rPr>
        <w:endnoteRef/>
      </w:r>
      <w:r w:rsidRPr="002C6D65">
        <w:rPr>
          <w:rFonts w:cs="Arial"/>
        </w:rPr>
        <w:t xml:space="preserve"> Centre for Multicultural Youth, ‘</w:t>
      </w:r>
      <w:r w:rsidRPr="002C6D65">
        <w:rPr>
          <w:rFonts w:cs="Arial"/>
          <w:i/>
        </w:rPr>
        <w:t xml:space="preserve">Don’t drag me into this’, Growing up South Sudanese in Victoria </w:t>
      </w:r>
      <w:r w:rsidRPr="002C6D65">
        <w:rPr>
          <w:rFonts w:cs="Arial"/>
        </w:rPr>
        <w:t xml:space="preserve">(Report, October 2018), 4 &lt; </w:t>
      </w:r>
      <w:hyperlink r:id="rId28" w:history="1">
        <w:r w:rsidRPr="002C6D65">
          <w:rPr>
            <w:rStyle w:val="Hyperlink"/>
            <w:rFonts w:cs="Arial"/>
          </w:rPr>
          <w:t>https://www.cmy.net.au/sites/default/files/publication-documents/Don%27t%20Drag%20Me%20Into%20This%20-%20Research%20Report%20Oct%202018%20FINAL.pdf</w:t>
        </w:r>
      </w:hyperlink>
      <w:r w:rsidRPr="002C6D65">
        <w:rPr>
          <w:rFonts w:cs="Arial"/>
        </w:rPr>
        <w:t xml:space="preserve">&gt; </w:t>
      </w:r>
    </w:p>
  </w:endnote>
  <w:endnote w:id="104">
    <w:p w14:paraId="4556A8E5" w14:textId="77777777" w:rsidR="00407A5F" w:rsidRPr="002C6D65" w:rsidRDefault="00407A5F" w:rsidP="00B264F1">
      <w:pPr>
        <w:pStyle w:val="EndnoteText"/>
        <w:rPr>
          <w:rFonts w:cs="Arial"/>
        </w:rPr>
      </w:pPr>
      <w:r w:rsidRPr="002C6D65">
        <w:rPr>
          <w:rStyle w:val="EndnoteReference"/>
          <w:rFonts w:cs="Arial"/>
        </w:rPr>
        <w:endnoteRef/>
      </w:r>
      <w:r w:rsidRPr="002C6D65">
        <w:rPr>
          <w:rFonts w:cs="Arial"/>
        </w:rPr>
        <w:t xml:space="preserve"> Id.</w:t>
      </w:r>
    </w:p>
  </w:endnote>
  <w:endnote w:id="105">
    <w:p w14:paraId="013122B9" w14:textId="77777777" w:rsidR="00407A5F" w:rsidRPr="002C6D65" w:rsidRDefault="00407A5F" w:rsidP="00B264F1">
      <w:pPr>
        <w:pStyle w:val="EndnoteText"/>
        <w:rPr>
          <w:rFonts w:cs="Arial"/>
        </w:rPr>
      </w:pPr>
      <w:r w:rsidRPr="002C6D65">
        <w:rPr>
          <w:rStyle w:val="EndnoteReference"/>
          <w:rFonts w:cs="Arial"/>
        </w:rPr>
        <w:endnoteRef/>
      </w:r>
      <w:r w:rsidRPr="002C6D65">
        <w:rPr>
          <w:rFonts w:cs="Arial"/>
        </w:rPr>
        <w:t xml:space="preserve"> Interview with the Ballarat African Association (Victorian Equal Opportunity and Human Rights staff, Teleconference, 29 November 2019).</w:t>
      </w:r>
    </w:p>
  </w:endnote>
  <w:endnote w:id="106">
    <w:p w14:paraId="452B164D" w14:textId="63CE3243" w:rsidR="00407A5F" w:rsidRPr="002C6D65" w:rsidRDefault="00407A5F" w:rsidP="00B264F1">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107">
    <w:p w14:paraId="245B70A0" w14:textId="3A4CE259"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African Ambassador Barry Berih (Victorian Equal Opportunity and Human Rights Commission, in-person interview, 3 December 2019).</w:t>
      </w:r>
    </w:p>
  </w:endnote>
  <w:endnote w:id="108">
    <w:p w14:paraId="3A7670BE" w14:textId="77777777" w:rsidR="00407A5F" w:rsidRPr="002C6D65" w:rsidRDefault="00407A5F" w:rsidP="00932399">
      <w:pPr>
        <w:pStyle w:val="EndnoteText"/>
        <w:rPr>
          <w:rFonts w:cs="Arial"/>
        </w:rPr>
      </w:pPr>
      <w:r w:rsidRPr="002C6D65">
        <w:rPr>
          <w:rStyle w:val="EndnoteReference"/>
          <w:rFonts w:cs="Arial"/>
        </w:rPr>
        <w:endnoteRef/>
      </w:r>
      <w:r w:rsidRPr="002C6D65">
        <w:rPr>
          <w:rFonts w:cs="Arial"/>
        </w:rPr>
        <w:t xml:space="preserve"> Victorian Equal Opportunity and Human Rights Commission, </w:t>
      </w:r>
      <w:r w:rsidRPr="002C6D65">
        <w:rPr>
          <w:rStyle w:val="Characteritalic"/>
          <w:rFonts w:cs="Arial"/>
        </w:rPr>
        <w:t>Reporting Racism: What you say matters</w:t>
      </w:r>
      <w:r w:rsidRPr="002C6D65">
        <w:rPr>
          <w:rFonts w:cs="Arial"/>
        </w:rPr>
        <w:t xml:space="preserve"> (2013) &lt;</w:t>
      </w:r>
      <w:hyperlink r:id="rId29" w:history="1">
        <w:r w:rsidRPr="002C6D65">
          <w:rPr>
            <w:rStyle w:val="Hyperlink"/>
            <w:rFonts w:cs="Arial"/>
          </w:rPr>
          <w:t>https://www.humanrightscommission.vic.gov.au/media/k2/attachments/Reporting_Racism_Web_low_res.pdf</w:t>
        </w:r>
      </w:hyperlink>
      <w:r w:rsidRPr="002C6D65">
        <w:rPr>
          <w:rFonts w:cs="Arial"/>
        </w:rPr>
        <w:t>&gt;</w:t>
      </w:r>
    </w:p>
  </w:endnote>
  <w:endnote w:id="109">
    <w:p w14:paraId="6CD007E1" w14:textId="77777777" w:rsidR="00407A5F" w:rsidRPr="002C6D65" w:rsidRDefault="00407A5F" w:rsidP="00932399">
      <w:pPr>
        <w:pStyle w:val="EndnoteText"/>
        <w:rPr>
          <w:rFonts w:cs="Arial"/>
        </w:rPr>
      </w:pPr>
      <w:r w:rsidRPr="002C6D65">
        <w:rPr>
          <w:rStyle w:val="EndnoteReference"/>
          <w:rFonts w:cs="Arial"/>
        </w:rPr>
        <w:endnoteRef/>
      </w:r>
      <w:r w:rsidRPr="002C6D65">
        <w:rPr>
          <w:rFonts w:cs="Arial"/>
        </w:rPr>
        <w:t xml:space="preserve"> Participants were able to give more than one answer, indicating they could have personally experienced or witnessed racism, or seen or received racist materials.</w:t>
      </w:r>
    </w:p>
  </w:endnote>
  <w:endnote w:id="110">
    <w:p w14:paraId="52E45462" w14:textId="5DF06F39"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1977</w:t>
      </w:r>
      <w:r w:rsidRPr="002C6D65">
        <w:rPr>
          <w:rFonts w:cs="Arial"/>
        </w:rPr>
        <w:t xml:space="preserve"> (NSW), s 49ZT; </w:t>
      </w:r>
      <w:r w:rsidRPr="002C6D65">
        <w:rPr>
          <w:rStyle w:val="Characteritalic"/>
          <w:rFonts w:cs="Arial"/>
        </w:rPr>
        <w:t>Discrimination Act 1991</w:t>
      </w:r>
      <w:r w:rsidRPr="002C6D65">
        <w:rPr>
          <w:rFonts w:cs="Arial"/>
        </w:rPr>
        <w:t xml:space="preserve"> (ACT), s 67A(1); </w:t>
      </w:r>
      <w:r w:rsidRPr="002C6D65">
        <w:rPr>
          <w:rStyle w:val="Characteritalic"/>
          <w:rFonts w:cs="Arial"/>
        </w:rPr>
        <w:t>Anti-Discrimination Act 1991</w:t>
      </w:r>
      <w:r w:rsidRPr="002C6D65">
        <w:rPr>
          <w:rFonts w:cs="Arial"/>
        </w:rPr>
        <w:t xml:space="preserve"> (Qld), s 124A(1); and </w:t>
      </w:r>
      <w:r w:rsidRPr="002C6D65">
        <w:rPr>
          <w:rStyle w:val="Characteritalic"/>
          <w:rFonts w:cs="Arial"/>
        </w:rPr>
        <w:t>Anti-Discrimination Act 1998</w:t>
      </w:r>
      <w:r w:rsidRPr="002C6D65">
        <w:rPr>
          <w:rFonts w:cs="Arial"/>
        </w:rPr>
        <w:t xml:space="preserve"> (Tas), ss 17(1) and 19.</w:t>
      </w:r>
    </w:p>
  </w:endnote>
  <w:endnote w:id="111">
    <w:p w14:paraId="3E9FE275" w14:textId="5B3DB624"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1977</w:t>
      </w:r>
      <w:r w:rsidRPr="002C6D65">
        <w:rPr>
          <w:rFonts w:cs="Arial"/>
        </w:rPr>
        <w:t xml:space="preserve"> (NSW), s 38S; </w:t>
      </w:r>
      <w:r w:rsidRPr="002C6D65">
        <w:rPr>
          <w:rStyle w:val="Characteritalic"/>
          <w:rFonts w:cs="Arial"/>
        </w:rPr>
        <w:t>Discrimination Act 1991</w:t>
      </w:r>
      <w:r w:rsidRPr="002C6D65">
        <w:rPr>
          <w:rFonts w:cs="Arial"/>
        </w:rPr>
        <w:t xml:space="preserve"> (ACT), s 67A(1); Anti-</w:t>
      </w:r>
      <w:r w:rsidRPr="002C6D65">
        <w:rPr>
          <w:rStyle w:val="Characteritalic"/>
          <w:rFonts w:cs="Arial"/>
        </w:rPr>
        <w:t>Discrimination Act 1991</w:t>
      </w:r>
      <w:r w:rsidRPr="002C6D65">
        <w:rPr>
          <w:rFonts w:cs="Arial"/>
        </w:rPr>
        <w:t xml:space="preserve"> (Qld), s 124A(1); and </w:t>
      </w:r>
      <w:r w:rsidRPr="002C6D65">
        <w:rPr>
          <w:rStyle w:val="Characteritalic"/>
          <w:rFonts w:cs="Arial"/>
        </w:rPr>
        <w:t>Anti-Discrimination Act 1998</w:t>
      </w:r>
      <w:r w:rsidRPr="002C6D65">
        <w:rPr>
          <w:rFonts w:cs="Arial"/>
        </w:rPr>
        <w:t xml:space="preserve"> (Tas), ss 17(1) and 19.</w:t>
      </w:r>
    </w:p>
  </w:endnote>
  <w:endnote w:id="112">
    <w:p w14:paraId="095D4FD3" w14:textId="152C0F00"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Discrimination Act 1991</w:t>
      </w:r>
      <w:r w:rsidRPr="002C6D65">
        <w:rPr>
          <w:rFonts w:cs="Arial"/>
        </w:rPr>
        <w:t xml:space="preserve"> (ACT), s 67A(1); and </w:t>
      </w:r>
      <w:r w:rsidRPr="002C6D65">
        <w:rPr>
          <w:rStyle w:val="Characteritalic"/>
          <w:rFonts w:cs="Arial"/>
        </w:rPr>
        <w:t>Anti-Discrimination Act</w:t>
      </w:r>
      <w:r w:rsidRPr="002C6D65">
        <w:rPr>
          <w:rFonts w:cs="Arial"/>
        </w:rPr>
        <w:t xml:space="preserve"> 1998 (Tas), ss 17 and 19.</w:t>
      </w:r>
    </w:p>
  </w:endnote>
  <w:endnote w:id="113">
    <w:p w14:paraId="43A3CC46" w14:textId="2A1D168D"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1998</w:t>
      </w:r>
      <w:r w:rsidRPr="002C6D65">
        <w:rPr>
          <w:rFonts w:cs="Arial"/>
        </w:rPr>
        <w:t xml:space="preserve"> (Tas), s 17(1). </w:t>
      </w:r>
    </w:p>
  </w:endnote>
  <w:endnote w:id="114">
    <w:p w14:paraId="72F10A00" w14:textId="192D416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Discrimination Act 1991</w:t>
      </w:r>
      <w:r w:rsidRPr="002C6D65">
        <w:rPr>
          <w:rFonts w:cs="Arial"/>
        </w:rPr>
        <w:t xml:space="preserve"> (ACT), s 67A(1); </w:t>
      </w:r>
      <w:r w:rsidRPr="002C6D65">
        <w:rPr>
          <w:rStyle w:val="Characteritalic"/>
          <w:rFonts w:cs="Arial"/>
        </w:rPr>
        <w:t>Anti-Discrimination Act 1998</w:t>
      </w:r>
      <w:r w:rsidRPr="002C6D65">
        <w:rPr>
          <w:rFonts w:cs="Arial"/>
        </w:rPr>
        <w:t xml:space="preserve"> (Tas), ss 17 and 19.</w:t>
      </w:r>
    </w:p>
  </w:endnote>
  <w:endnote w:id="115">
    <w:p w14:paraId="7D91CEEE" w14:textId="0160523D"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Discrimination Act 1991</w:t>
      </w:r>
      <w:r w:rsidRPr="002C6D65">
        <w:rPr>
          <w:rFonts w:cs="Arial"/>
        </w:rPr>
        <w:t xml:space="preserve"> (ACT), ss 67A(1)(c) and </w:t>
      </w:r>
      <w:r w:rsidRPr="002C6D65">
        <w:rPr>
          <w:rStyle w:val="Characteritalic"/>
          <w:rFonts w:cs="Arial"/>
        </w:rPr>
        <w:t>Anti-Discrimination Act 1977</w:t>
      </w:r>
      <w:r w:rsidRPr="002C6D65">
        <w:rPr>
          <w:rFonts w:cs="Arial"/>
        </w:rPr>
        <w:t xml:space="preserve"> (NSW) ss 49ZXA-49ZXB. </w:t>
      </w:r>
    </w:p>
  </w:endnote>
  <w:endnote w:id="116">
    <w:p w14:paraId="1B2C0697" w14:textId="6BE1FE47"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1998</w:t>
      </w:r>
      <w:r w:rsidRPr="002C6D65">
        <w:rPr>
          <w:rFonts w:cs="Arial"/>
        </w:rPr>
        <w:t xml:space="preserve"> (Tas), s 17(1).</w:t>
      </w:r>
    </w:p>
  </w:endnote>
  <w:endnote w:id="117">
    <w:p w14:paraId="668B96D5" w14:textId="0841E6B1" w:rsidR="00407A5F" w:rsidRPr="002C6D65" w:rsidRDefault="00407A5F">
      <w:pPr>
        <w:pStyle w:val="EndnoteText"/>
        <w:rPr>
          <w:rFonts w:cs="Arial"/>
        </w:rPr>
      </w:pPr>
      <w:r w:rsidRPr="002C6D65">
        <w:rPr>
          <w:rStyle w:val="EndnoteReference"/>
          <w:rFonts w:cs="Arial"/>
        </w:rPr>
        <w:endnoteRef/>
      </w:r>
      <w:r w:rsidRPr="002C6D65">
        <w:rPr>
          <w:rFonts w:cs="Arial"/>
        </w:rPr>
        <w:t xml:space="preserve"> Racial Discrimination Act 1975 (Cth) s 18C; </w:t>
      </w:r>
      <w:r w:rsidRPr="002C6D65">
        <w:rPr>
          <w:rStyle w:val="Characteritalic"/>
          <w:rFonts w:cs="Arial"/>
        </w:rPr>
        <w:t>Discrimination Act 1991</w:t>
      </w:r>
      <w:r w:rsidRPr="002C6D65">
        <w:rPr>
          <w:rFonts w:cs="Arial"/>
        </w:rPr>
        <w:t xml:space="preserve"> (ACT) s 67A(1); </w:t>
      </w:r>
      <w:r w:rsidRPr="002C6D65">
        <w:rPr>
          <w:rStyle w:val="Characteritalic"/>
          <w:rFonts w:cs="Arial"/>
        </w:rPr>
        <w:t>Anti-Discrimination Act 1977</w:t>
      </w:r>
      <w:r w:rsidRPr="002C6D65">
        <w:rPr>
          <w:rFonts w:cs="Arial"/>
        </w:rPr>
        <w:t xml:space="preserve"> (NSW) s 20C; </w:t>
      </w:r>
      <w:r w:rsidRPr="002C6D65">
        <w:rPr>
          <w:rStyle w:val="Characteritalic"/>
          <w:rFonts w:cs="Arial"/>
        </w:rPr>
        <w:t>Anti-Discrimination Act 1991</w:t>
      </w:r>
      <w:r w:rsidRPr="002C6D65">
        <w:rPr>
          <w:rFonts w:cs="Arial"/>
        </w:rPr>
        <w:t xml:space="preserve"> (Qld), s 124A(1); </w:t>
      </w:r>
      <w:r w:rsidRPr="002C6D65">
        <w:rPr>
          <w:rStyle w:val="Characteritalic"/>
          <w:rFonts w:cs="Arial"/>
        </w:rPr>
        <w:t>Anti-Discrimination Act 1998</w:t>
      </w:r>
      <w:r w:rsidRPr="002C6D65">
        <w:rPr>
          <w:rFonts w:cs="Arial"/>
        </w:rPr>
        <w:t xml:space="preserve"> (Tas), ss 17(1) and 19; </w:t>
      </w:r>
      <w:r w:rsidRPr="002C6D65">
        <w:rPr>
          <w:rStyle w:val="Characteritalic"/>
          <w:rFonts w:cs="Arial"/>
        </w:rPr>
        <w:t>Anti-Discrimination Act 1991</w:t>
      </w:r>
      <w:r w:rsidRPr="002C6D65">
        <w:rPr>
          <w:rFonts w:cs="Arial"/>
        </w:rPr>
        <w:t xml:space="preserve"> (Qld), s 124A(1); </w:t>
      </w:r>
      <w:r w:rsidRPr="002C6D65">
        <w:rPr>
          <w:rStyle w:val="Characteritalic"/>
          <w:rFonts w:cs="Arial"/>
        </w:rPr>
        <w:t>Equal Opportunity Act 1984</w:t>
      </w:r>
      <w:r w:rsidRPr="002C6D65">
        <w:rPr>
          <w:rFonts w:cs="Arial"/>
        </w:rPr>
        <w:t xml:space="preserve"> (WA) ss 49A-49C.</w:t>
      </w:r>
    </w:p>
  </w:endnote>
  <w:endnote w:id="118">
    <w:p w14:paraId="0BA406B1" w14:textId="3F2BE772"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Discrimination Act 1991</w:t>
      </w:r>
      <w:r w:rsidRPr="002C6D65">
        <w:rPr>
          <w:rFonts w:cs="Arial"/>
        </w:rPr>
        <w:t xml:space="preserve"> (ACT) s 67A(1); </w:t>
      </w:r>
      <w:r w:rsidRPr="002C6D65">
        <w:rPr>
          <w:rStyle w:val="Characteritalic"/>
          <w:rFonts w:cs="Arial"/>
        </w:rPr>
        <w:t>Anti-Discrimination Act 1977</w:t>
      </w:r>
      <w:r w:rsidRPr="002C6D65">
        <w:rPr>
          <w:rFonts w:cs="Arial"/>
        </w:rPr>
        <w:t xml:space="preserve"> (NSW) s 20C; </w:t>
      </w:r>
      <w:r w:rsidRPr="002C6D65">
        <w:rPr>
          <w:rStyle w:val="Characteritalic"/>
          <w:rFonts w:cs="Arial"/>
        </w:rPr>
        <w:t>Anti-Discrimination Act 1998</w:t>
      </w:r>
      <w:r w:rsidRPr="002C6D65">
        <w:rPr>
          <w:rFonts w:cs="Arial"/>
        </w:rPr>
        <w:t xml:space="preserve"> (Tas), ss 17(1) and 19.</w:t>
      </w:r>
    </w:p>
  </w:endnote>
  <w:endnote w:id="119">
    <w:p w14:paraId="67731354" w14:textId="1354B098"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w:t>
      </w:r>
      <w:r w:rsidRPr="002C6D65">
        <w:rPr>
          <w:rFonts w:cs="Arial"/>
          <w:i/>
        </w:rPr>
        <w:t>End the Hate: Responding to hate speech and violence against the LGBTI community</w:t>
      </w:r>
      <w:r w:rsidRPr="002C6D65">
        <w:rPr>
          <w:rFonts w:cs="Arial"/>
        </w:rPr>
        <w:t>, (Report, 13 December 2018).</w:t>
      </w:r>
    </w:p>
  </w:endnote>
  <w:endnote w:id="120">
    <w:p w14:paraId="1DE472E6" w14:textId="188897EA" w:rsidR="00407A5F" w:rsidRPr="002C6D65" w:rsidRDefault="00407A5F">
      <w:pPr>
        <w:pStyle w:val="EndnoteText"/>
        <w:rPr>
          <w:rFonts w:cs="Arial"/>
        </w:rPr>
      </w:pPr>
      <w:r w:rsidRPr="002C6D65">
        <w:rPr>
          <w:rStyle w:val="EndnoteReference"/>
          <w:rFonts w:cs="Arial"/>
        </w:rPr>
        <w:endnoteRef/>
      </w:r>
      <w:r w:rsidRPr="002C6D65">
        <w:rPr>
          <w:rFonts w:cs="Arial"/>
        </w:rPr>
        <w:t xml:space="preserve"> William Leonard &amp; Bianca Fileborn, </w:t>
      </w:r>
      <w:r w:rsidRPr="002C6D65">
        <w:rPr>
          <w:rStyle w:val="Characteritalic"/>
          <w:rFonts w:cs="Arial"/>
        </w:rPr>
        <w:t>Policing for Same Sex Attracted and Sex and Gender Diverse Young Victorians</w:t>
      </w:r>
      <w:r w:rsidRPr="002C6D65">
        <w:rPr>
          <w:rFonts w:cs="Arial"/>
        </w:rPr>
        <w:t xml:space="preserve"> (Report, Australian Research Centre in Sex, Health and Society, 2018), v.</w:t>
      </w:r>
    </w:p>
  </w:endnote>
  <w:endnote w:id="121">
    <w:p w14:paraId="4DFCFDC7" w14:textId="29263226" w:rsidR="00407A5F" w:rsidRPr="002C6D65" w:rsidRDefault="00407A5F">
      <w:pPr>
        <w:pStyle w:val="EndnoteText"/>
        <w:rPr>
          <w:rFonts w:cs="Arial"/>
        </w:rPr>
      </w:pPr>
      <w:r w:rsidRPr="002C6D65">
        <w:rPr>
          <w:rStyle w:val="EndnoteReference"/>
          <w:rFonts w:cs="Arial"/>
        </w:rPr>
        <w:endnoteRef/>
      </w:r>
      <w:r w:rsidRPr="002C6D65">
        <w:rPr>
          <w:rFonts w:cs="Arial"/>
        </w:rPr>
        <w:t xml:space="preserve"> Bianca Fileborn, Australian Research Centre in Sex, Health and Society, LGBTIQ+ experiences of public harassment (Report, 2016) (cited in Human Rights Law Centre, </w:t>
      </w:r>
      <w:r w:rsidRPr="002C6D65">
        <w:rPr>
          <w:rStyle w:val="Characteritalic"/>
          <w:rFonts w:cs="Arial"/>
        </w:rPr>
        <w:t>End the Hate, Responding to prejudice motivated speech and violence against the LGBTI community</w:t>
      </w:r>
      <w:r w:rsidRPr="002C6D65">
        <w:rPr>
          <w:rFonts w:cs="Arial"/>
        </w:rPr>
        <w:t xml:space="preserve"> (Report, 2018) 8). </w:t>
      </w:r>
    </w:p>
  </w:endnote>
  <w:endnote w:id="122">
    <w:p w14:paraId="554D3265" w14:textId="0C7F11B6" w:rsidR="00407A5F" w:rsidRPr="002C6D65" w:rsidRDefault="00407A5F" w:rsidP="00183D9E">
      <w:pPr>
        <w:pStyle w:val="EndnoteText"/>
        <w:rPr>
          <w:rFonts w:cs="Arial"/>
        </w:rPr>
      </w:pPr>
      <w:r w:rsidRPr="002C6D65">
        <w:rPr>
          <w:rStyle w:val="EndnoteReference"/>
          <w:rFonts w:cs="Arial"/>
        </w:rPr>
        <w:endnoteRef/>
      </w:r>
      <w:r w:rsidRPr="002C6D65">
        <w:rPr>
          <w:rFonts w:cs="Arial"/>
        </w:rPr>
        <w:t xml:space="preserve"> Australian Human Rights Commission, </w:t>
      </w:r>
      <w:r w:rsidRPr="002C6D65">
        <w:rPr>
          <w:rStyle w:val="Characteritalic"/>
          <w:rFonts w:cs="Arial"/>
        </w:rPr>
        <w:t>Resilient Individuals: Sexual Orientation, Gender Identity and Intersex Rights: National Consultation Report</w:t>
      </w:r>
      <w:r w:rsidRPr="002C6D65">
        <w:rPr>
          <w:rFonts w:cs="Arial"/>
        </w:rPr>
        <w:t xml:space="preserve"> (Report, 2015), 16.</w:t>
      </w:r>
    </w:p>
  </w:endnote>
  <w:endnote w:id="123">
    <w:p w14:paraId="2AF18987" w14:textId="33D75855" w:rsidR="00407A5F" w:rsidRPr="002C6D65" w:rsidRDefault="00407A5F" w:rsidP="002A3824">
      <w:pPr>
        <w:pStyle w:val="EndnoteText"/>
        <w:rPr>
          <w:rFonts w:cs="Arial"/>
        </w:rPr>
      </w:pPr>
      <w:r w:rsidRPr="002C6D65">
        <w:rPr>
          <w:rStyle w:val="EndnoteReference"/>
          <w:rFonts w:cs="Arial"/>
        </w:rPr>
        <w:endnoteRef/>
      </w:r>
      <w:r w:rsidRPr="002C6D65">
        <w:rPr>
          <w:rFonts w:cs="Arial"/>
        </w:rPr>
        <w:t xml:space="preserve"> Kerry Robinson, Peter Bansel, Nida Denson, Georgia Ovenden, and Cristyn Davies, </w:t>
      </w:r>
      <w:r w:rsidRPr="002C6D65">
        <w:rPr>
          <w:rStyle w:val="Characteritalic"/>
          <w:rFonts w:cs="Arial"/>
        </w:rPr>
        <w:t>Growing Up Queer: Issues Facing Young Australians Who Are Gender Variant and Sexually Diverse</w:t>
      </w:r>
      <w:r w:rsidRPr="002C6D65">
        <w:rPr>
          <w:rFonts w:cs="Arial"/>
        </w:rPr>
        <w:t xml:space="preserve"> (Young and Well Research Cooperative, 2014), 49.</w:t>
      </w:r>
    </w:p>
  </w:endnote>
  <w:endnote w:id="124">
    <w:p w14:paraId="559EB6B0" w14:textId="789AF486" w:rsidR="00407A5F" w:rsidRPr="002C6D65" w:rsidRDefault="00407A5F" w:rsidP="00C25D36">
      <w:pPr>
        <w:pStyle w:val="EndnoteText"/>
        <w:rPr>
          <w:rFonts w:cs="Arial"/>
        </w:rPr>
      </w:pPr>
      <w:r w:rsidRPr="002C6D65">
        <w:rPr>
          <w:rStyle w:val="EndnoteReference"/>
          <w:rFonts w:cs="Arial"/>
        </w:rPr>
        <w:endnoteRef/>
      </w:r>
      <w:r w:rsidRPr="002C6D65">
        <w:rPr>
          <w:rFonts w:cs="Arial"/>
        </w:rPr>
        <w:t xml:space="preserve"> Australian Human Rights Commission, ‘Face the Facts, Lesbian, Gay, Bisexual, Trans and Intersex People’, &lt;</w:t>
      </w:r>
      <w:hyperlink r:id="rId30" w:history="1">
        <w:r w:rsidRPr="002C6D65">
          <w:rPr>
            <w:rStyle w:val="Hyperlink"/>
            <w:rFonts w:cs="Arial"/>
          </w:rPr>
          <w:t>https://www.humanrights.gov.au/our-work/education/face-facts-lesbian-gay-bisexual-trans-and-intersex-people</w:t>
        </w:r>
      </w:hyperlink>
      <w:r w:rsidRPr="002C6D65">
        <w:rPr>
          <w:rStyle w:val="Hyperlink"/>
          <w:rFonts w:cs="Arial"/>
        </w:rPr>
        <w:t>&gt;</w:t>
      </w:r>
      <w:r w:rsidRPr="002C6D65">
        <w:rPr>
          <w:rFonts w:cs="Arial"/>
        </w:rPr>
        <w:t xml:space="preserve">. </w:t>
      </w:r>
    </w:p>
  </w:endnote>
  <w:endnote w:id="125">
    <w:p w14:paraId="04F7C040" w14:textId="77777777" w:rsidR="00407A5F" w:rsidRPr="002C6D65" w:rsidRDefault="00407A5F" w:rsidP="00DF160E">
      <w:pPr>
        <w:pStyle w:val="EndnoteText"/>
        <w:rPr>
          <w:rFonts w:cs="Arial"/>
        </w:rPr>
      </w:pPr>
      <w:r w:rsidRPr="002C6D65">
        <w:rPr>
          <w:rStyle w:val="EndnoteReference"/>
          <w:rFonts w:cs="Arial"/>
        </w:rPr>
        <w:endnoteRef/>
      </w:r>
      <w:r w:rsidRPr="002C6D65">
        <w:rPr>
          <w:rFonts w:cs="Arial"/>
        </w:rPr>
        <w:t xml:space="preserve"> Interview with Tony Briffa from Intersex Human Rights Australia, (Victorian Equal Opportunity and Human Rights Commission, teleconference, 9 December 2019).</w:t>
      </w:r>
    </w:p>
  </w:endnote>
  <w:endnote w:id="126">
    <w:p w14:paraId="53EC3977" w14:textId="649CCA22"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Equal Opportunity Act 2010 </w:t>
      </w:r>
      <w:r w:rsidRPr="002C6D65">
        <w:rPr>
          <w:rFonts w:cs="Arial"/>
        </w:rPr>
        <w:t xml:space="preserve">(Vic), part 6. </w:t>
      </w:r>
    </w:p>
  </w:endnote>
  <w:endnote w:id="127">
    <w:p w14:paraId="5EAE6176" w14:textId="4BEEA457" w:rsidR="00407A5F" w:rsidRPr="002C6D65" w:rsidRDefault="00407A5F" w:rsidP="007E5EE8">
      <w:pPr>
        <w:pStyle w:val="EndnoteText"/>
        <w:rPr>
          <w:rFonts w:cs="Arial"/>
        </w:rPr>
      </w:pPr>
      <w:r w:rsidRPr="002C6D65">
        <w:rPr>
          <w:rStyle w:val="EndnoteReference"/>
          <w:rFonts w:cs="Arial"/>
        </w:rPr>
        <w:endnoteRef/>
      </w:r>
      <w:r w:rsidRPr="002C6D65">
        <w:rPr>
          <w:rFonts w:cs="Arial"/>
        </w:rPr>
        <w:t xml:space="preserve"> Interview with Dr Laura Griffin and Nicole Shackleton, (Victorian Equal Opportunity and Human Rights Commission staff, Teleconference, 4 December 2019). D’Souza et al, above n 49.</w:t>
      </w:r>
    </w:p>
  </w:endnote>
  <w:endnote w:id="128">
    <w:p w14:paraId="157CE935" w14:textId="58B02FA3" w:rsidR="00407A5F" w:rsidRPr="002C6D65" w:rsidRDefault="00407A5F">
      <w:pPr>
        <w:pStyle w:val="EndnoteText"/>
        <w:rPr>
          <w:rFonts w:cs="Arial"/>
        </w:rPr>
      </w:pPr>
      <w:r w:rsidRPr="002C6D65">
        <w:rPr>
          <w:rStyle w:val="EndnoteReference"/>
          <w:rFonts w:cs="Arial"/>
        </w:rPr>
        <w:endnoteRef/>
      </w:r>
      <w:r w:rsidRPr="002C6D65">
        <w:rPr>
          <w:rFonts w:cs="Arial"/>
        </w:rPr>
        <w:t xml:space="preserve"> For example, see Amnesty International Australia, ‘Poll Reveals Alarming Impact of Online Abuse Against Women’ </w:t>
      </w:r>
      <w:r w:rsidRPr="002C6D65">
        <w:rPr>
          <w:rStyle w:val="Characteritalic"/>
          <w:rFonts w:cs="Arial"/>
        </w:rPr>
        <w:t>Amnesty International Australia</w:t>
      </w:r>
      <w:r w:rsidRPr="002C6D65">
        <w:rPr>
          <w:rFonts w:cs="Arial"/>
        </w:rPr>
        <w:t xml:space="preserve"> (online, 7 February 2018), &lt;</w:t>
      </w:r>
      <w:hyperlink r:id="rId31" w:history="1">
        <w:r w:rsidRPr="002C6D65">
          <w:rPr>
            <w:rStyle w:val="Hyperlink"/>
            <w:rFonts w:cs="Arial"/>
          </w:rPr>
          <w:t>https://www.amnesty.org.au/australia-poll-reveals-alarming-impact-online-abuse-women/</w:t>
        </w:r>
      </w:hyperlink>
      <w:r w:rsidRPr="002C6D65">
        <w:rPr>
          <w:rFonts w:cs="Arial"/>
        </w:rPr>
        <w:t>&gt;.</w:t>
      </w:r>
    </w:p>
  </w:endnote>
  <w:endnote w:id="129">
    <w:p w14:paraId="642FBB7F" w14:textId="3313A139" w:rsidR="00407A5F" w:rsidRPr="002C6D65" w:rsidRDefault="00407A5F">
      <w:pPr>
        <w:pStyle w:val="EndnoteText"/>
        <w:rPr>
          <w:rFonts w:cs="Arial"/>
        </w:rPr>
      </w:pPr>
      <w:r w:rsidRPr="002C6D65">
        <w:rPr>
          <w:rStyle w:val="EndnoteReference"/>
          <w:rFonts w:cs="Arial"/>
        </w:rPr>
        <w:endnoteRef/>
      </w:r>
      <w:r w:rsidRPr="002C6D65">
        <w:rPr>
          <w:rFonts w:cs="Arial"/>
        </w:rPr>
        <w:t xml:space="preserve"> Australian Human Rights Commission, </w:t>
      </w:r>
      <w:r w:rsidRPr="002C6D65">
        <w:rPr>
          <w:rStyle w:val="Characteritalic"/>
          <w:rFonts w:cs="Arial"/>
        </w:rPr>
        <w:t>Everyone’s business: Fourth national survey on sexual harassment in Australian workplaces</w:t>
      </w:r>
      <w:r w:rsidRPr="002C6D65">
        <w:rPr>
          <w:rFonts w:cs="Arial"/>
        </w:rPr>
        <w:t xml:space="preserve"> (Report, 2018), 18.</w:t>
      </w:r>
    </w:p>
  </w:endnote>
  <w:endnote w:id="130">
    <w:p w14:paraId="09D4D314" w14:textId="033164B3" w:rsidR="00407A5F" w:rsidRPr="002C6D65" w:rsidRDefault="00407A5F">
      <w:pPr>
        <w:pStyle w:val="EndnoteText"/>
        <w:rPr>
          <w:rFonts w:cs="Arial"/>
        </w:rPr>
      </w:pPr>
      <w:r w:rsidRPr="002C6D65">
        <w:rPr>
          <w:rStyle w:val="EndnoteReference"/>
          <w:rFonts w:cs="Arial"/>
        </w:rPr>
        <w:endnoteRef/>
      </w:r>
      <w:r w:rsidRPr="002C6D65">
        <w:rPr>
          <w:rFonts w:cs="Arial"/>
        </w:rPr>
        <w:t xml:space="preserve"> Ibid 19.</w:t>
      </w:r>
    </w:p>
  </w:endnote>
  <w:endnote w:id="131">
    <w:p w14:paraId="51622E4E" w14:textId="65AB7FA0" w:rsidR="00407A5F" w:rsidRPr="002C6D65" w:rsidRDefault="00407A5F">
      <w:pPr>
        <w:pStyle w:val="EndnoteText"/>
        <w:rPr>
          <w:rFonts w:cs="Arial"/>
        </w:rPr>
      </w:pPr>
      <w:r w:rsidRPr="002C6D65">
        <w:rPr>
          <w:rStyle w:val="EndnoteReference"/>
          <w:rFonts w:cs="Arial"/>
        </w:rPr>
        <w:endnoteRef/>
      </w:r>
      <w:r w:rsidRPr="002C6D65">
        <w:rPr>
          <w:rFonts w:cs="Arial"/>
        </w:rPr>
        <w:t xml:space="preserve"> Ibid 20.</w:t>
      </w:r>
    </w:p>
  </w:endnote>
  <w:endnote w:id="132">
    <w:p w14:paraId="2E8AF829" w14:textId="094484A4" w:rsidR="00407A5F" w:rsidRPr="002C6D65" w:rsidRDefault="00407A5F">
      <w:pPr>
        <w:pStyle w:val="EndnoteText"/>
        <w:rPr>
          <w:rFonts w:cs="Arial"/>
        </w:rPr>
      </w:pPr>
      <w:r w:rsidRPr="002C6D65">
        <w:rPr>
          <w:rStyle w:val="EndnoteReference"/>
          <w:rFonts w:cs="Arial"/>
        </w:rPr>
        <w:endnoteRef/>
      </w:r>
      <w:r w:rsidRPr="002C6D65">
        <w:rPr>
          <w:rFonts w:cs="Arial"/>
        </w:rPr>
        <w:t xml:space="preserve"> Ibid 21.</w:t>
      </w:r>
    </w:p>
  </w:endnote>
  <w:endnote w:id="133">
    <w:p w14:paraId="4A904FFC" w14:textId="59095BC0"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the Women’s Legal Service Victoria, (Victorian Equal Opportunity and Human Rights Commission staff, in-person interview, 10 December 2019).</w:t>
      </w:r>
    </w:p>
  </w:endnote>
  <w:endnote w:id="134">
    <w:p w14:paraId="1B9CBBEC" w14:textId="77777777" w:rsidR="00407A5F" w:rsidRPr="002C6D65" w:rsidRDefault="00407A5F" w:rsidP="00D8481E">
      <w:pPr>
        <w:pStyle w:val="EndnoteText"/>
        <w:rPr>
          <w:rFonts w:cs="Arial"/>
        </w:rPr>
      </w:pPr>
      <w:r w:rsidRPr="002C6D65">
        <w:rPr>
          <w:rStyle w:val="EndnoteReference"/>
          <w:rFonts w:cs="Arial"/>
        </w:rPr>
        <w:endnoteRef/>
      </w:r>
      <w:r w:rsidRPr="002C6D65">
        <w:rPr>
          <w:rFonts w:cs="Arial"/>
        </w:rPr>
        <w:t xml:space="preserve"> Id.</w:t>
      </w:r>
    </w:p>
  </w:endnote>
  <w:endnote w:id="135">
    <w:p w14:paraId="51ABF99A" w14:textId="11CED48A"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36">
    <w:p w14:paraId="34EBEFCF" w14:textId="1652B3E6" w:rsidR="00407A5F" w:rsidRPr="002C6D65" w:rsidRDefault="00407A5F">
      <w:pPr>
        <w:pStyle w:val="EndnoteText"/>
        <w:rPr>
          <w:rFonts w:cs="Arial"/>
        </w:rPr>
      </w:pPr>
      <w:r w:rsidRPr="002C6D65">
        <w:rPr>
          <w:rStyle w:val="EndnoteReference"/>
          <w:rFonts w:cs="Arial"/>
        </w:rPr>
        <w:endnoteRef/>
      </w:r>
      <w:r w:rsidRPr="002C6D65">
        <w:rPr>
          <w:rFonts w:cs="Arial"/>
        </w:rPr>
        <w:t xml:space="preserve"> Derya above n 72, 5.</w:t>
      </w:r>
    </w:p>
  </w:endnote>
  <w:endnote w:id="137">
    <w:p w14:paraId="09C00A7F" w14:textId="77B56845" w:rsidR="00407A5F" w:rsidRPr="002C6D65" w:rsidRDefault="00407A5F">
      <w:pPr>
        <w:pStyle w:val="EndnoteText"/>
        <w:rPr>
          <w:rFonts w:cs="Arial"/>
        </w:rPr>
      </w:pPr>
      <w:r w:rsidRPr="002C6D65">
        <w:rPr>
          <w:rStyle w:val="EndnoteReference"/>
          <w:rFonts w:cs="Arial"/>
        </w:rPr>
        <w:endnoteRef/>
      </w:r>
      <w:r w:rsidRPr="002C6D65">
        <w:rPr>
          <w:rFonts w:cs="Arial"/>
        </w:rPr>
        <w:t xml:space="preserve"> For example, see Amnesty International Australia, ‘Poll Reveals Alarming Impact of Online Abuse Against Women’ </w:t>
      </w:r>
      <w:r w:rsidRPr="002C6D65">
        <w:rPr>
          <w:rStyle w:val="Characteritalic"/>
          <w:rFonts w:cs="Arial"/>
        </w:rPr>
        <w:t>Amnesty International Australia</w:t>
      </w:r>
      <w:r w:rsidRPr="002C6D65">
        <w:rPr>
          <w:rFonts w:cs="Arial"/>
        </w:rPr>
        <w:t xml:space="preserve"> (online, 7 February 2018), &lt;</w:t>
      </w:r>
      <w:hyperlink r:id="rId32" w:history="1">
        <w:r w:rsidRPr="002C6D65">
          <w:rPr>
            <w:rStyle w:val="Hyperlink"/>
            <w:rFonts w:cs="Arial"/>
          </w:rPr>
          <w:t>https://www.amnesty.org.au/australia-poll-reveals-alarming-impact-online-abuse-women/</w:t>
        </w:r>
      </w:hyperlink>
      <w:r w:rsidRPr="002C6D65">
        <w:rPr>
          <w:rFonts w:cs="Arial"/>
        </w:rPr>
        <w:t xml:space="preserve">&gt;. See also: Senate Legal and Constitutional Affairs References Committee, Parliament of Australia, </w:t>
      </w:r>
      <w:r w:rsidRPr="002C6D65">
        <w:rPr>
          <w:rStyle w:val="Characteritalic"/>
          <w:rFonts w:cs="Arial"/>
        </w:rPr>
        <w:t>Adequacy of Existing Offences in the Commonwealth Criminal Code and of State and Territory Criminal Laws to Capture Cyberbullying</w:t>
      </w:r>
      <w:r w:rsidRPr="002C6D65">
        <w:rPr>
          <w:rFonts w:cs="Arial"/>
        </w:rPr>
        <w:t xml:space="preserve"> (2018)</w:t>
      </w:r>
    </w:p>
  </w:endnote>
  <w:endnote w:id="138">
    <w:p w14:paraId="0AA38075" w14:textId="522FEC98"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 see also April Kailahi, Semisi Kailahi and Tatjana Bosevska, </w:t>
      </w:r>
      <w:r w:rsidRPr="002C6D65">
        <w:rPr>
          <w:rStyle w:val="Characteritalic"/>
          <w:rFonts w:cs="Arial"/>
        </w:rPr>
        <w:t>Resilient Women Project: Muslim Women and their Experience of Prejudice</w:t>
      </w:r>
      <w:r w:rsidRPr="002C6D65">
        <w:rPr>
          <w:rFonts w:cs="Arial"/>
        </w:rPr>
        <w:t xml:space="preserve"> (Uniting Church in Australia Report, 2019).</w:t>
      </w:r>
    </w:p>
  </w:endnote>
  <w:endnote w:id="139">
    <w:p w14:paraId="6F2F4D2F" w14:textId="2D39AB44" w:rsidR="00407A5F" w:rsidRPr="002C6D65" w:rsidRDefault="00407A5F">
      <w:pPr>
        <w:pStyle w:val="EndnoteText"/>
        <w:rPr>
          <w:rFonts w:cs="Arial"/>
        </w:rPr>
      </w:pPr>
      <w:r w:rsidRPr="002C6D65">
        <w:rPr>
          <w:rStyle w:val="EndnoteReference"/>
          <w:rFonts w:cs="Arial"/>
        </w:rPr>
        <w:endnoteRef/>
      </w:r>
      <w:r w:rsidRPr="002C6D65">
        <w:rPr>
          <w:rFonts w:cs="Arial"/>
        </w:rPr>
        <w:t xml:space="preserve"> D’Souza et al above n 46. For example, the Personal Safety 2016 survey consistently showed that women experienced unsafety at higher rates than males: Australian Bureau of Statistics. </w:t>
      </w:r>
      <w:r w:rsidRPr="002C6D65">
        <w:rPr>
          <w:rStyle w:val="Characteritalic"/>
          <w:rFonts w:cs="Arial"/>
        </w:rPr>
        <w:t>Personal Safety, Australia, 2016</w:t>
      </w:r>
      <w:r w:rsidRPr="002C6D65">
        <w:rPr>
          <w:rFonts w:cs="Arial"/>
        </w:rPr>
        <w:t xml:space="preserve"> (cat. no. 4906.0) (2017) &lt; </w:t>
      </w:r>
      <w:hyperlink r:id="rId33" w:history="1">
        <w:r w:rsidRPr="002C6D65">
          <w:rPr>
            <w:rStyle w:val="Hyperlink"/>
            <w:rFonts w:cs="Arial"/>
          </w:rPr>
          <w:t>https://www.abs.gov.au/ausstats/abs@.nsf/Lookup/by%20Subject/4906.0~2016~Main%20Features~Feelings%20of%20General%20Safety~10005</w:t>
        </w:r>
      </w:hyperlink>
      <w:r w:rsidRPr="002C6D65">
        <w:rPr>
          <w:rFonts w:cs="Arial"/>
        </w:rPr>
        <w:t xml:space="preserve">&gt; </w:t>
      </w:r>
    </w:p>
  </w:endnote>
  <w:endnote w:id="140">
    <w:p w14:paraId="6794FDB6" w14:textId="2B5A5A96" w:rsidR="00407A5F" w:rsidRPr="002C6D65" w:rsidRDefault="00407A5F">
      <w:pPr>
        <w:pStyle w:val="EndnoteText"/>
        <w:rPr>
          <w:rFonts w:cs="Arial"/>
        </w:rPr>
      </w:pPr>
      <w:r w:rsidRPr="002C6D65">
        <w:rPr>
          <w:rStyle w:val="EndnoteReference"/>
          <w:rFonts w:cs="Arial"/>
        </w:rPr>
        <w:endnoteRef/>
      </w:r>
      <w:r w:rsidRPr="002C6D65">
        <w:rPr>
          <w:rFonts w:cs="Arial"/>
        </w:rPr>
        <w:t xml:space="preserve"> Research by Mandikos and Vario highlights the derogatory language used to describe people with a disability: Bridget Cullen Mandikos and Amber Vario, ‘”Sticks and Stones’: the Lack of Disability Vilification Law in Australia’ (2010) 35(2) </w:t>
      </w:r>
      <w:r w:rsidRPr="002C6D65">
        <w:rPr>
          <w:rStyle w:val="Characteritalic"/>
          <w:rFonts w:cs="Arial"/>
        </w:rPr>
        <w:t>Alternative Law Journal</w:t>
      </w:r>
      <w:r w:rsidRPr="002C6D65">
        <w:rPr>
          <w:rFonts w:cs="Arial"/>
        </w:rPr>
        <w:t xml:space="preserve"> 72.</w:t>
      </w:r>
    </w:p>
  </w:endnote>
  <w:endnote w:id="141">
    <w:p w14:paraId="454C171D" w14:textId="69133C6B"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the disability sector (Victorian Equal Opportunity and Human Rights Commission, 2 December 2019). </w:t>
      </w:r>
    </w:p>
  </w:endnote>
  <w:endnote w:id="142">
    <w:p w14:paraId="7DAFBCEA" w14:textId="39EE3CF1"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43">
    <w:p w14:paraId="4738B68B" w14:textId="4EA3D468"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44">
    <w:p w14:paraId="5AF00807" w14:textId="456B7C4F"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VALID (Victorian Equal Opportunity Human Rights Commission, teleconference, 16 December 2019).</w:t>
      </w:r>
    </w:p>
  </w:endnote>
  <w:endnote w:id="145">
    <w:p w14:paraId="236FE9E2" w14:textId="22B3F36C"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46">
    <w:p w14:paraId="4637BE16" w14:textId="70397ED6" w:rsidR="00407A5F" w:rsidRPr="002C6D65" w:rsidRDefault="00407A5F" w:rsidP="00104E8D">
      <w:pPr>
        <w:pStyle w:val="EndnoteText"/>
        <w:rPr>
          <w:rFonts w:cs="Arial"/>
        </w:rPr>
      </w:pPr>
      <w:r w:rsidRPr="002C6D65">
        <w:rPr>
          <w:rStyle w:val="EndnoteReference"/>
          <w:rFonts w:cs="Arial"/>
        </w:rPr>
        <w:endnoteRef/>
      </w:r>
      <w:r w:rsidRPr="002C6D65">
        <w:rPr>
          <w:rFonts w:cs="Arial"/>
        </w:rPr>
        <w:t xml:space="preserve"> Disability Discrimination Legal Service, </w:t>
      </w:r>
      <w:r w:rsidRPr="002C6D65">
        <w:rPr>
          <w:rStyle w:val="Characteritalic"/>
          <w:rFonts w:cs="Arial"/>
        </w:rPr>
        <w:t>Disability Vilification</w:t>
      </w:r>
      <w:r w:rsidRPr="002C6D65">
        <w:rPr>
          <w:rFonts w:cs="Arial"/>
        </w:rPr>
        <w:t>, (Law Reform Submission to the VLRC, 2014) 21.</w:t>
      </w:r>
    </w:p>
  </w:endnote>
  <w:endnote w:id="147">
    <w:p w14:paraId="5F2CDEB8" w14:textId="36554A38" w:rsidR="00407A5F" w:rsidRPr="002C6D65" w:rsidRDefault="00407A5F">
      <w:pPr>
        <w:pStyle w:val="EndnoteText"/>
        <w:rPr>
          <w:rFonts w:cs="Arial"/>
        </w:rPr>
      </w:pPr>
      <w:r w:rsidRPr="002C6D65">
        <w:rPr>
          <w:rStyle w:val="EndnoteReference"/>
          <w:rFonts w:cs="Arial"/>
        </w:rPr>
        <w:endnoteRef/>
      </w:r>
      <w:r w:rsidRPr="002C6D65">
        <w:rPr>
          <w:rFonts w:cs="Arial"/>
        </w:rPr>
        <w:t xml:space="preserve"> Ibid 31.</w:t>
      </w:r>
    </w:p>
  </w:endnote>
  <w:endnote w:id="148">
    <w:p w14:paraId="7354D93C" w14:textId="70C69208" w:rsidR="00407A5F" w:rsidRPr="002C6D65" w:rsidRDefault="00407A5F">
      <w:pPr>
        <w:pStyle w:val="EndnoteText"/>
        <w:rPr>
          <w:rFonts w:cs="Arial"/>
        </w:rPr>
      </w:pPr>
      <w:r w:rsidRPr="002C6D65">
        <w:rPr>
          <w:rStyle w:val="EndnoteReference"/>
          <w:rFonts w:cs="Arial"/>
        </w:rPr>
        <w:endnoteRef/>
      </w:r>
      <w:r w:rsidRPr="002C6D65">
        <w:rPr>
          <w:rFonts w:cs="Arial"/>
        </w:rPr>
        <w:t xml:space="preserve"> Ibid 13.</w:t>
      </w:r>
    </w:p>
  </w:endnote>
  <w:endnote w:id="149">
    <w:p w14:paraId="3FC6849C" w14:textId="0522E76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Equal Opportunity Tasmania, </w:t>
      </w:r>
      <w:r w:rsidRPr="002C6D65">
        <w:rPr>
          <w:rFonts w:cs="Arial"/>
          <w:i/>
          <w:lang w:val="en-GB"/>
        </w:rPr>
        <w:t>Annual Report 2018-2019</w:t>
      </w:r>
      <w:r w:rsidRPr="002C6D65">
        <w:rPr>
          <w:rFonts w:cs="Arial"/>
          <w:lang w:val="en-GB"/>
        </w:rPr>
        <w:t xml:space="preserve"> (Report, 2019) 23-24</w:t>
      </w:r>
      <w:r w:rsidRPr="002C6D65">
        <w:rPr>
          <w:rFonts w:cs="Arial"/>
        </w:rPr>
        <w:t>.</w:t>
      </w:r>
    </w:p>
  </w:endnote>
  <w:endnote w:id="150">
    <w:p w14:paraId="72E44D44" w14:textId="4DB5D37D"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Id.</w:t>
      </w:r>
    </w:p>
  </w:endnote>
  <w:endnote w:id="151">
    <w:p w14:paraId="6DDC1342" w14:textId="4B42AFAE"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Victorian Equal Opportunity and Human Rights Commission, </w:t>
      </w:r>
      <w:r w:rsidRPr="002C6D65">
        <w:rPr>
          <w:rFonts w:cs="Arial"/>
          <w:i/>
        </w:rPr>
        <w:t>Annual Report 2018-2019</w:t>
      </w:r>
      <w:r w:rsidRPr="002C6D65">
        <w:rPr>
          <w:rFonts w:cs="Arial"/>
        </w:rPr>
        <w:t>, (October, 2019) 13.</w:t>
      </w:r>
    </w:p>
  </w:endnote>
  <w:endnote w:id="152">
    <w:p w14:paraId="33260085" w14:textId="4602A6A0"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LTGBTIQ stakeholders above n 63.</w:t>
      </w:r>
    </w:p>
  </w:endnote>
  <w:endnote w:id="153">
    <w:p w14:paraId="46C11B2C" w14:textId="77777777" w:rsidR="00407A5F" w:rsidRPr="002C6D65" w:rsidRDefault="00407A5F" w:rsidP="007179A5">
      <w:pPr>
        <w:pStyle w:val="EndnoteText"/>
        <w:rPr>
          <w:rFonts w:cs="Arial"/>
        </w:rPr>
      </w:pPr>
      <w:r w:rsidRPr="002C6D65">
        <w:rPr>
          <w:rStyle w:val="EndnoteReference"/>
          <w:rFonts w:cs="Arial"/>
        </w:rPr>
        <w:endnoteRef/>
      </w:r>
      <w:r w:rsidRPr="002C6D65">
        <w:rPr>
          <w:rFonts w:cs="Arial"/>
        </w:rPr>
        <w:t xml:space="preserve"> Second Reading Speech, Sentencing Amendment Bill 2009, 17 September 2009, Attorney General Rob Hulls, 3358.</w:t>
      </w:r>
    </w:p>
  </w:endnote>
  <w:endnote w:id="154">
    <w:p w14:paraId="48B2AD23" w14:textId="6D1AE5A4" w:rsidR="00407A5F" w:rsidRPr="002C6D65" w:rsidRDefault="00407A5F" w:rsidP="00CB1717">
      <w:pPr>
        <w:pStyle w:val="EndnoteText"/>
        <w:rPr>
          <w:rFonts w:cs="Arial"/>
        </w:rPr>
      </w:pPr>
      <w:r w:rsidRPr="002C6D65">
        <w:rPr>
          <w:rStyle w:val="EndnoteReference"/>
          <w:rFonts w:cs="Arial"/>
        </w:rPr>
        <w:endnoteRef/>
      </w:r>
      <w:r w:rsidRPr="002C6D65">
        <w:rPr>
          <w:rFonts w:cs="Arial"/>
        </w:rPr>
        <w:t xml:space="preserve"> For example, Victorian Government, </w:t>
      </w:r>
      <w:r w:rsidRPr="002C6D65">
        <w:rPr>
          <w:rStyle w:val="Characteritalic"/>
          <w:rFonts w:cs="Arial"/>
        </w:rPr>
        <w:t>Racism in Victoria and what it means for the health of Victorians</w:t>
      </w:r>
      <w:r w:rsidRPr="002C6D65">
        <w:rPr>
          <w:rFonts w:cs="Arial"/>
        </w:rPr>
        <w:t xml:space="preserve">, (Report, 2017),1. </w:t>
      </w:r>
    </w:p>
  </w:endnote>
  <w:endnote w:id="155">
    <w:p w14:paraId="2B3BE5B6" w14:textId="0E8CF9F2" w:rsidR="00407A5F" w:rsidRPr="002C6D65" w:rsidRDefault="00407A5F">
      <w:pPr>
        <w:pStyle w:val="EndnoteText"/>
        <w:rPr>
          <w:rFonts w:cs="Arial"/>
        </w:rPr>
      </w:pPr>
      <w:r w:rsidRPr="002C6D65">
        <w:rPr>
          <w:rStyle w:val="EndnoteReference"/>
          <w:rFonts w:cs="Arial"/>
        </w:rPr>
        <w:endnoteRef/>
      </w:r>
      <w:r w:rsidRPr="002C6D65">
        <w:rPr>
          <w:rFonts w:cs="Arial"/>
        </w:rPr>
        <w:t xml:space="preserve"> Nikki Marczak, ‘Turning back the tide of antisemitic abuse of Jewish school students’, ABC Religion and Ethics (online, 25 November 2019) &lt;</w:t>
      </w:r>
      <w:hyperlink r:id="rId34" w:history="1">
        <w:r w:rsidRPr="002C6D65">
          <w:rPr>
            <w:rStyle w:val="Hyperlink"/>
            <w:rFonts w:cs="Arial"/>
          </w:rPr>
          <w:t>https://www.abc.net.au/religion/turning-back-the-tide-of-antisemitic-abuse-of-jewish-school-stu/11734352</w:t>
        </w:r>
      </w:hyperlink>
      <w:r w:rsidRPr="002C6D65">
        <w:rPr>
          <w:rFonts w:cs="Arial"/>
        </w:rPr>
        <w:t>&gt;</w:t>
      </w:r>
      <w:r>
        <w:rPr>
          <w:rFonts w:cs="Arial"/>
        </w:rPr>
        <w:t>.</w:t>
      </w:r>
      <w:r w:rsidRPr="002C6D65">
        <w:rPr>
          <w:rFonts w:cs="Arial"/>
        </w:rPr>
        <w:t xml:space="preserve"> </w:t>
      </w:r>
    </w:p>
  </w:endnote>
  <w:endnote w:id="156">
    <w:p w14:paraId="616EAF75" w14:textId="56FC97C4"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Royal Commission into Aboriginal Deaths in Custody</w:t>
      </w:r>
      <w:r w:rsidRPr="002C6D65">
        <w:rPr>
          <w:rFonts w:cs="Arial"/>
        </w:rPr>
        <w:t xml:space="preserve"> (Final Report, 1991) vol 2, [16.5.27].</w:t>
      </w:r>
    </w:p>
    <w:p w14:paraId="694C83B8" w14:textId="7987527E" w:rsidR="00407A5F" w:rsidRPr="002C6D65" w:rsidRDefault="00407A5F">
      <w:pPr>
        <w:pStyle w:val="EndnoteText"/>
        <w:rPr>
          <w:rFonts w:cs="Arial"/>
        </w:rPr>
      </w:pPr>
      <w:r w:rsidRPr="002C6D65">
        <w:rPr>
          <w:rFonts w:cs="Arial"/>
        </w:rPr>
        <w:t xml:space="preserve"> Davi Macedo, Lisa Smithers, Rachel Roberts, Yin Paradies, and Lisa Jamieson, ‘The effects of racism on the socio-emotional wellbeing of Aboriginal Australian children’(2019) 18 </w:t>
      </w:r>
      <w:r w:rsidRPr="002C6D65">
        <w:rPr>
          <w:rStyle w:val="Characteritalic"/>
          <w:rFonts w:cs="Arial"/>
        </w:rPr>
        <w:t>International Journal for Equity in Health</w:t>
      </w:r>
      <w:r w:rsidRPr="002C6D65">
        <w:rPr>
          <w:rFonts w:cs="Arial"/>
        </w:rPr>
        <w:t xml:space="preserve"> 132.</w:t>
      </w:r>
    </w:p>
  </w:endnote>
  <w:endnote w:id="157">
    <w:p w14:paraId="2298C739" w14:textId="0DC7212A" w:rsidR="00407A5F" w:rsidRPr="002C6D65" w:rsidRDefault="00407A5F">
      <w:pPr>
        <w:pStyle w:val="EndnoteText"/>
        <w:rPr>
          <w:rFonts w:cs="Arial"/>
        </w:rPr>
      </w:pPr>
      <w:r w:rsidRPr="002C6D65">
        <w:rPr>
          <w:rStyle w:val="EndnoteReference"/>
          <w:rFonts w:cs="Arial"/>
        </w:rPr>
        <w:endnoteRef/>
      </w:r>
      <w:r w:rsidRPr="002C6D65">
        <w:rPr>
          <w:rFonts w:cs="Arial"/>
        </w:rPr>
        <w:t xml:space="preserve"> Katherine Gelber and Luke Mcnamara, ‘Anti-vilification laws and public racism in Australia: Mapping the gaps between the harms occasioned and the remedies provided’ (2016) 39 </w:t>
      </w:r>
      <w:r w:rsidRPr="002C6D65">
        <w:rPr>
          <w:rStyle w:val="Characteritalic"/>
          <w:rFonts w:cs="Arial"/>
        </w:rPr>
        <w:t>UNSWLJ</w:t>
      </w:r>
      <w:r w:rsidRPr="002C6D65">
        <w:rPr>
          <w:rFonts w:cs="Arial"/>
        </w:rPr>
        <w:t xml:space="preserve">, 501. </w:t>
      </w:r>
    </w:p>
  </w:endnote>
  <w:endnote w:id="158">
    <w:p w14:paraId="08B2EE15" w14:textId="1727C04D" w:rsidR="00407A5F" w:rsidRPr="002C6D65" w:rsidRDefault="00407A5F" w:rsidP="004A6FBB">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Racial and Religious Tolerance Act 2001 (Vic), Preamble.</w:t>
      </w:r>
    </w:p>
  </w:endnote>
  <w:endnote w:id="159">
    <w:p w14:paraId="2310FA41" w14:textId="3F30D818" w:rsidR="00407A5F" w:rsidRPr="002C6D65" w:rsidRDefault="00407A5F" w:rsidP="00C830EF">
      <w:pPr>
        <w:pStyle w:val="EndnoteText"/>
        <w:rPr>
          <w:rFonts w:cs="Arial"/>
        </w:rPr>
      </w:pPr>
      <w:r w:rsidRPr="002C6D65">
        <w:rPr>
          <w:rStyle w:val="EndnoteReference"/>
          <w:rFonts w:cs="Arial"/>
        </w:rPr>
        <w:endnoteRef/>
      </w:r>
      <w:r w:rsidRPr="002C6D65">
        <w:rPr>
          <w:rFonts w:cs="Arial"/>
        </w:rPr>
        <w:t xml:space="preserve"> Griffin and Shackleton above n 126; Tanya D’Souza et al, above n 49.</w:t>
      </w:r>
    </w:p>
  </w:endnote>
  <w:endnote w:id="160">
    <w:p w14:paraId="662A37CD" w14:textId="4614BA4E" w:rsidR="00407A5F" w:rsidRPr="002C6D65" w:rsidRDefault="00407A5F">
      <w:pPr>
        <w:pStyle w:val="EndnoteText"/>
        <w:rPr>
          <w:rFonts w:cs="Arial"/>
        </w:rPr>
      </w:pPr>
      <w:r w:rsidRPr="002C6D65">
        <w:rPr>
          <w:rStyle w:val="EndnoteReference"/>
          <w:rFonts w:cs="Arial"/>
        </w:rPr>
        <w:endnoteRef/>
      </w:r>
      <w:r w:rsidRPr="002C6D65">
        <w:rPr>
          <w:rFonts w:cs="Arial"/>
        </w:rPr>
        <w:t xml:space="preserve"> Richard Delgado, ‘Words that Wound: A Tort Action for Racial Insults, Epithets and Name Calling’ in Mari J Matsuda (ed), Words that Wound: Critical Race Theory, Assaultive Speech and the First Amendments (New York: Routledge, 2018) 89, 92–3.</w:t>
      </w:r>
    </w:p>
  </w:endnote>
  <w:endnote w:id="161">
    <w:p w14:paraId="3AF69ABD" w14:textId="706D587B"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Victorian Government, </w:t>
      </w:r>
      <w:r w:rsidRPr="002C6D65">
        <w:rPr>
          <w:rFonts w:cs="Arial"/>
          <w:i/>
        </w:rPr>
        <w:t>Racism in Victoria and what it means for the health of Victorians</w:t>
      </w:r>
      <w:r w:rsidRPr="002C6D65">
        <w:rPr>
          <w:rFonts w:cs="Arial"/>
        </w:rPr>
        <w:t>, 2017, 18.</w:t>
      </w:r>
    </w:p>
  </w:endnote>
  <w:endnote w:id="162">
    <w:p w14:paraId="2B3C2144" w14:textId="2D31508F" w:rsidR="00407A5F" w:rsidRPr="002C6D65" w:rsidRDefault="00407A5F">
      <w:pPr>
        <w:pStyle w:val="EndnoteText"/>
        <w:rPr>
          <w:rFonts w:cs="Arial"/>
        </w:rPr>
      </w:pPr>
      <w:r w:rsidRPr="002C6D65">
        <w:rPr>
          <w:rStyle w:val="EndnoteReference"/>
          <w:rFonts w:cs="Arial"/>
        </w:rPr>
        <w:endnoteRef/>
      </w:r>
      <w:r w:rsidRPr="002C6D65">
        <w:rPr>
          <w:rFonts w:cs="Arial"/>
        </w:rPr>
        <w:t xml:space="preserve"> Yin Paradies, A systematic review of empirical research on self-reported racism and health, International Journal Of Epidemiology, 35(4), 888-901.</w:t>
      </w:r>
    </w:p>
  </w:endnote>
  <w:endnote w:id="163">
    <w:p w14:paraId="4D033782" w14:textId="7E8DB92C" w:rsidR="00407A5F" w:rsidRPr="002C6D65" w:rsidRDefault="00407A5F">
      <w:pPr>
        <w:pStyle w:val="EndnoteText"/>
        <w:rPr>
          <w:rFonts w:cs="Arial"/>
        </w:rPr>
      </w:pPr>
      <w:r w:rsidRPr="002C6D65">
        <w:rPr>
          <w:rStyle w:val="EndnoteReference"/>
          <w:rFonts w:cs="Arial"/>
        </w:rPr>
        <w:endnoteRef/>
      </w:r>
      <w:r w:rsidRPr="002C6D65">
        <w:rPr>
          <w:rFonts w:cs="Arial"/>
        </w:rPr>
        <w:t xml:space="preserve"> Angeline Ferdinand, Paradies and Kehaler, above n 70, 1. </w:t>
      </w:r>
    </w:p>
  </w:endnote>
  <w:endnote w:id="164">
    <w:p w14:paraId="7B0C414D" w14:textId="63B44C21"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65">
    <w:p w14:paraId="1742FA74" w14:textId="62FAB1E7" w:rsidR="00407A5F" w:rsidRPr="002C6D65" w:rsidRDefault="00407A5F">
      <w:pPr>
        <w:pStyle w:val="EndnoteText"/>
        <w:rPr>
          <w:rFonts w:cs="Arial"/>
        </w:rPr>
      </w:pPr>
      <w:r w:rsidRPr="002C6D65">
        <w:rPr>
          <w:rStyle w:val="EndnoteReference"/>
          <w:rFonts w:cs="Arial"/>
        </w:rPr>
        <w:endnoteRef/>
      </w:r>
      <w:r w:rsidRPr="002C6D65">
        <w:rPr>
          <w:rFonts w:cs="Arial"/>
        </w:rPr>
        <w:t xml:space="preserve"> Australian Bureau of Statistics, National Aboriginal and Torres Strait Islander Social Survey, 2014-15, Summary Results for States and Territories.</w:t>
      </w:r>
    </w:p>
  </w:endnote>
  <w:endnote w:id="166">
    <w:p w14:paraId="00E7E36E" w14:textId="18FD8D44" w:rsidR="00407A5F" w:rsidRPr="002C6D65" w:rsidRDefault="00407A5F">
      <w:pPr>
        <w:pStyle w:val="EndnoteText"/>
        <w:rPr>
          <w:rFonts w:cs="Arial"/>
        </w:rPr>
      </w:pPr>
      <w:r w:rsidRPr="002C6D65">
        <w:rPr>
          <w:rStyle w:val="EndnoteReference"/>
          <w:rFonts w:cs="Arial"/>
        </w:rPr>
        <w:endnoteRef/>
      </w:r>
      <w:r w:rsidRPr="002C6D65">
        <w:rPr>
          <w:rFonts w:cs="Arial"/>
        </w:rPr>
        <w:t xml:space="preserve"> Angeline Ferdinand, Paradies and Kehaler, above n 70, 2. </w:t>
      </w:r>
    </w:p>
  </w:endnote>
  <w:endnote w:id="167">
    <w:p w14:paraId="65FB879E" w14:textId="07A46289" w:rsidR="00407A5F" w:rsidRPr="002C6D65" w:rsidRDefault="00407A5F">
      <w:pPr>
        <w:pStyle w:val="EndnoteText"/>
        <w:rPr>
          <w:rFonts w:cs="Arial"/>
        </w:rPr>
      </w:pPr>
      <w:r w:rsidRPr="002C6D65">
        <w:rPr>
          <w:rStyle w:val="EndnoteReference"/>
          <w:rFonts w:cs="Arial"/>
        </w:rPr>
        <w:endnoteRef/>
      </w:r>
      <w:r w:rsidRPr="002C6D65">
        <w:rPr>
          <w:rFonts w:cs="Arial"/>
        </w:rPr>
        <w:t xml:space="preserve"> Amanuel Elias and Yin Paradies, ‘Estimating the mental health costs of racial discrimination,’ (2016) 16(1)</w:t>
      </w:r>
      <w:r w:rsidRPr="002C6D65">
        <w:rPr>
          <w:rStyle w:val="Characteritalic"/>
          <w:rFonts w:cs="Arial"/>
        </w:rPr>
        <w:t>BMC Public Health</w:t>
      </w:r>
      <w:r w:rsidRPr="002C6D65">
        <w:rPr>
          <w:rFonts w:cs="Arial"/>
        </w:rPr>
        <w:t>, 7.</w:t>
      </w:r>
    </w:p>
  </w:endnote>
  <w:endnote w:id="168">
    <w:p w14:paraId="6638DD1C" w14:textId="4CF3402C" w:rsidR="00407A5F" w:rsidRPr="002C6D65" w:rsidRDefault="00407A5F">
      <w:pPr>
        <w:pStyle w:val="EndnoteText"/>
        <w:rPr>
          <w:rFonts w:cs="Arial"/>
        </w:rPr>
      </w:pPr>
      <w:r w:rsidRPr="002C6D65">
        <w:rPr>
          <w:rStyle w:val="EndnoteReference"/>
          <w:rFonts w:cs="Arial"/>
        </w:rPr>
        <w:endnoteRef/>
      </w:r>
      <w:r w:rsidRPr="002C6D65">
        <w:rPr>
          <w:rFonts w:cs="Arial"/>
        </w:rPr>
        <w:t xml:space="preserve"> Gelber and McNamara above n 72.</w:t>
      </w:r>
    </w:p>
  </w:endnote>
  <w:endnote w:id="169">
    <w:p w14:paraId="5DCE7DE0" w14:textId="073A7549"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70">
    <w:p w14:paraId="7A9FF3F7" w14:textId="11397A7B" w:rsidR="00407A5F" w:rsidRPr="002C6D65" w:rsidRDefault="00407A5F" w:rsidP="000E53C0">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171">
    <w:p w14:paraId="5CA32C95" w14:textId="32D3E1B8" w:rsidR="00407A5F" w:rsidRPr="002C6D65" w:rsidRDefault="00407A5F">
      <w:pPr>
        <w:pStyle w:val="EndnoteText"/>
        <w:rPr>
          <w:rFonts w:cs="Arial"/>
        </w:rPr>
      </w:pPr>
      <w:r w:rsidRPr="002C6D65">
        <w:rPr>
          <w:rStyle w:val="EndnoteReference"/>
          <w:rFonts w:cs="Arial"/>
        </w:rPr>
        <w:endnoteRef/>
      </w:r>
      <w:r w:rsidRPr="002C6D65">
        <w:rPr>
          <w:rFonts w:cs="Arial"/>
        </w:rPr>
        <w:t xml:space="preserve"> Centre for Multicultural Youth above n 102.</w:t>
      </w:r>
    </w:p>
  </w:endnote>
  <w:endnote w:id="172">
    <w:p w14:paraId="415AA08B" w14:textId="18EF2B0E" w:rsidR="00407A5F" w:rsidRPr="002C6D65" w:rsidRDefault="00407A5F" w:rsidP="005D6968">
      <w:pPr>
        <w:pStyle w:val="FootnoteText"/>
        <w:spacing w:after="0"/>
        <w:rPr>
          <w:rFonts w:cs="Arial"/>
          <w:sz w:val="20"/>
        </w:rPr>
      </w:pPr>
      <w:r w:rsidRPr="002C6D65">
        <w:rPr>
          <w:rStyle w:val="Charactersuperscript"/>
          <w:rFonts w:cs="Arial"/>
          <w:sz w:val="20"/>
        </w:rPr>
        <w:endnoteRef/>
      </w:r>
      <w:r w:rsidRPr="002C6D65">
        <w:rPr>
          <w:rFonts w:cs="Arial"/>
          <w:sz w:val="20"/>
        </w:rPr>
        <w:t xml:space="preserve"> Berih above n 106.</w:t>
      </w:r>
    </w:p>
  </w:endnote>
  <w:endnote w:id="173">
    <w:p w14:paraId="6BC3FBCB" w14:textId="0E50A0E1" w:rsidR="00407A5F" w:rsidRPr="002C6D65" w:rsidRDefault="00407A5F" w:rsidP="005D6968">
      <w:pPr>
        <w:pStyle w:val="FootnoteText"/>
        <w:spacing w:after="0"/>
        <w:rPr>
          <w:rFonts w:cs="Arial"/>
          <w:sz w:val="20"/>
        </w:rPr>
      </w:pPr>
      <w:r w:rsidRPr="002C6D65">
        <w:rPr>
          <w:rStyle w:val="EndnoteReference"/>
          <w:rFonts w:cs="Arial"/>
          <w:sz w:val="20"/>
        </w:rPr>
        <w:endnoteRef/>
      </w:r>
      <w:r w:rsidRPr="002C6D65">
        <w:rPr>
          <w:rFonts w:cs="Arial"/>
          <w:sz w:val="20"/>
        </w:rPr>
        <w:t xml:space="preserve"> Human Rights Law Centre above n 11</w:t>
      </w:r>
      <w:r>
        <w:rPr>
          <w:rFonts w:cs="Arial"/>
          <w:sz w:val="20"/>
        </w:rPr>
        <w:t>8</w:t>
      </w:r>
      <w:r w:rsidRPr="002C6D65">
        <w:rPr>
          <w:rFonts w:cs="Arial"/>
          <w:sz w:val="20"/>
        </w:rPr>
        <w:t>, 14.</w:t>
      </w:r>
    </w:p>
  </w:endnote>
  <w:endnote w:id="174">
    <w:p w14:paraId="6F0FD6E8" w14:textId="36F62CB4" w:rsidR="00407A5F" w:rsidRPr="002C6D65" w:rsidRDefault="00407A5F" w:rsidP="005D6968">
      <w:pPr>
        <w:pStyle w:val="FootnoteText"/>
        <w:spacing w:after="0"/>
        <w:rPr>
          <w:rFonts w:cs="Arial"/>
          <w:sz w:val="20"/>
        </w:rPr>
      </w:pPr>
      <w:r w:rsidRPr="002C6D65">
        <w:rPr>
          <w:rStyle w:val="EndnoteReference"/>
          <w:rFonts w:cs="Arial"/>
          <w:sz w:val="20"/>
        </w:rPr>
        <w:endnoteRef/>
      </w:r>
      <w:r w:rsidRPr="002C6D65">
        <w:rPr>
          <w:rFonts w:cs="Arial"/>
          <w:sz w:val="20"/>
        </w:rPr>
        <w:t xml:space="preserve"> Id.</w:t>
      </w:r>
    </w:p>
  </w:endnote>
  <w:endnote w:id="175">
    <w:p w14:paraId="320C9704" w14:textId="0373A26C" w:rsidR="00407A5F" w:rsidRPr="002C6D65" w:rsidRDefault="00407A5F">
      <w:pPr>
        <w:pStyle w:val="EndnoteText"/>
        <w:rPr>
          <w:rFonts w:cs="Arial"/>
        </w:rPr>
      </w:pPr>
      <w:r w:rsidRPr="002C6D65">
        <w:rPr>
          <w:rStyle w:val="EndnoteReference"/>
          <w:rFonts w:cs="Arial"/>
        </w:rPr>
        <w:endnoteRef/>
      </w:r>
      <w:r w:rsidRPr="002C6D65">
        <w:rPr>
          <w:rFonts w:cs="Arial"/>
        </w:rPr>
        <w:t xml:space="preserve"> Beyond Blue, </w:t>
      </w:r>
      <w:r w:rsidRPr="002C6D65">
        <w:rPr>
          <w:rStyle w:val="Characteritalic"/>
          <w:rFonts w:cs="Arial"/>
        </w:rPr>
        <w:t>In my shoes: Experiences of discrimination, depression and anxiety among gay, lesbian, bisexual, trans and intersex people</w:t>
      </w:r>
      <w:r w:rsidRPr="002C6D65">
        <w:rPr>
          <w:rFonts w:cs="Arial"/>
        </w:rPr>
        <w:t xml:space="preserve"> (Report, 2012).</w:t>
      </w:r>
    </w:p>
  </w:endnote>
  <w:endnote w:id="176">
    <w:p w14:paraId="72C47515" w14:textId="28F2EC4C" w:rsidR="00407A5F" w:rsidRPr="002C6D65" w:rsidRDefault="00407A5F">
      <w:pPr>
        <w:pStyle w:val="EndnoteText"/>
        <w:rPr>
          <w:rFonts w:cs="Arial"/>
        </w:rPr>
      </w:pPr>
      <w:r w:rsidRPr="002C6D65">
        <w:rPr>
          <w:rStyle w:val="EndnoteReference"/>
          <w:rFonts w:cs="Arial"/>
        </w:rPr>
        <w:endnoteRef/>
      </w:r>
      <w:r w:rsidRPr="002C6D65">
        <w:rPr>
          <w:rFonts w:cs="Arial"/>
        </w:rPr>
        <w:t xml:space="preserve"> Sarah </w:t>
      </w:r>
      <w:r w:rsidRPr="002C6D65">
        <w:rPr>
          <w:rFonts w:cs="Arial"/>
          <w:lang w:val="en-GB"/>
        </w:rPr>
        <w:t>Swannell,</w:t>
      </w:r>
      <w:r w:rsidRPr="002C6D65">
        <w:rPr>
          <w:rFonts w:cs="Arial"/>
        </w:rPr>
        <w:t xml:space="preserve"> Graham Martin, and Andrew Page, ‘</w:t>
      </w:r>
      <w:r w:rsidRPr="002C6D65">
        <w:rPr>
          <w:rFonts w:cs="Arial"/>
          <w:lang w:val="en-GB"/>
        </w:rPr>
        <w:t>Suicidal ideation, suicide attempts and non-suicidal self-injury among lesbian, gay, bisexual and heterosexual adults: Findings from an Australian national study</w:t>
      </w:r>
      <w:r w:rsidRPr="002C6D65">
        <w:rPr>
          <w:rFonts w:cs="Arial"/>
        </w:rPr>
        <w:t>’ (2016) 50(2)</w:t>
      </w:r>
      <w:r w:rsidRPr="002C6D65">
        <w:rPr>
          <w:rFonts w:cs="Arial"/>
          <w:lang w:val="en-GB"/>
        </w:rPr>
        <w:t> </w:t>
      </w:r>
      <w:r w:rsidRPr="002C6D65">
        <w:rPr>
          <w:rStyle w:val="Characteritalic"/>
          <w:rFonts w:cs="Arial"/>
        </w:rPr>
        <w:t>Australian &amp; New Zealand Journal of Psychiatry</w:t>
      </w:r>
      <w:r w:rsidRPr="002C6D65">
        <w:rPr>
          <w:rFonts w:cs="Arial"/>
          <w:lang w:val="en-GB"/>
        </w:rPr>
        <w:t>,</w:t>
      </w:r>
      <w:r w:rsidRPr="002C6D65">
        <w:rPr>
          <w:rFonts w:cs="Arial"/>
        </w:rPr>
        <w:t xml:space="preserve"> </w:t>
      </w:r>
      <w:r w:rsidRPr="002C6D65">
        <w:rPr>
          <w:rFonts w:cs="Arial"/>
          <w:lang w:val="en-GB"/>
        </w:rPr>
        <w:t>145</w:t>
      </w:r>
      <w:r w:rsidRPr="002C6D65">
        <w:rPr>
          <w:rFonts w:cs="Arial"/>
        </w:rPr>
        <w:t>.</w:t>
      </w:r>
    </w:p>
  </w:endnote>
  <w:endnote w:id="177">
    <w:p w14:paraId="70D3BC2B" w14:textId="110842BE" w:rsidR="00407A5F" w:rsidRPr="002C6D65" w:rsidRDefault="00407A5F">
      <w:pPr>
        <w:pStyle w:val="EndnoteText"/>
        <w:rPr>
          <w:rFonts w:cs="Arial"/>
        </w:rPr>
      </w:pPr>
      <w:r w:rsidRPr="002C6D65">
        <w:rPr>
          <w:rStyle w:val="EndnoteReference"/>
          <w:rFonts w:cs="Arial"/>
        </w:rPr>
        <w:endnoteRef/>
      </w:r>
      <w:r w:rsidRPr="002C6D65">
        <w:rPr>
          <w:rFonts w:cs="Arial"/>
        </w:rPr>
        <w:t xml:space="preserve"> William Leonard, Marian Pitts, Anne Mitchell, Anthony Lyons, Anthony Smith, Sunil Patel, Murray Couch, and Anna Barrett, </w:t>
      </w:r>
      <w:r w:rsidRPr="002C6D65">
        <w:rPr>
          <w:rStyle w:val="Characteritalic"/>
          <w:rFonts w:cs="Arial"/>
        </w:rPr>
        <w:t>Private Lives 2: The second national survey of the health and wellbeing of GLBT Australians</w:t>
      </w:r>
      <w:r w:rsidRPr="002C6D65">
        <w:rPr>
          <w:rFonts w:cs="Arial"/>
        </w:rPr>
        <w:t xml:space="preserve"> (Report, 2012) VIII.</w:t>
      </w:r>
    </w:p>
  </w:endnote>
  <w:endnote w:id="178">
    <w:p w14:paraId="5807C97E" w14:textId="115546BA"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79">
    <w:p w14:paraId="794D07D1" w14:textId="5EDE5ADC" w:rsidR="00407A5F" w:rsidRPr="002C6D65" w:rsidRDefault="00407A5F">
      <w:pPr>
        <w:pStyle w:val="EndnoteText"/>
        <w:rPr>
          <w:rFonts w:cs="Arial"/>
        </w:rPr>
      </w:pPr>
      <w:r w:rsidRPr="002C6D65">
        <w:rPr>
          <w:rStyle w:val="EndnoteReference"/>
          <w:rFonts w:cs="Arial"/>
        </w:rPr>
        <w:endnoteRef/>
      </w:r>
      <w:r w:rsidRPr="002C6D65">
        <w:rPr>
          <w:rFonts w:cs="Arial"/>
        </w:rPr>
        <w:t xml:space="preserve"> Strauss, Cook, Winter, Watson, Toussaint and Lin, Telethon Kids Institute, </w:t>
      </w:r>
      <w:r w:rsidRPr="002C6D65">
        <w:rPr>
          <w:rFonts w:cs="Arial"/>
          <w:i/>
        </w:rPr>
        <w:t>Trans Pathways: The mental health experiences and care pathways of trans young people</w:t>
      </w:r>
      <w:r w:rsidRPr="002C6D65">
        <w:rPr>
          <w:rFonts w:cs="Arial"/>
        </w:rPr>
        <w:t xml:space="preserve"> (2017) (cited in Human Rights Law Centre, above n 11</w:t>
      </w:r>
      <w:r>
        <w:rPr>
          <w:rFonts w:cs="Arial"/>
        </w:rPr>
        <w:t>8</w:t>
      </w:r>
      <w:r w:rsidRPr="002C6D65">
        <w:rPr>
          <w:rFonts w:cs="Arial"/>
        </w:rPr>
        <w:t xml:space="preserve">, 14). </w:t>
      </w:r>
    </w:p>
  </w:endnote>
  <w:endnote w:id="180">
    <w:p w14:paraId="33594261" w14:textId="1EF20771"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above n 118.</w:t>
      </w:r>
    </w:p>
  </w:endnote>
  <w:endnote w:id="181">
    <w:p w14:paraId="0A9A8EAB" w14:textId="02E0A98A" w:rsidR="00407A5F" w:rsidRPr="002C6D65" w:rsidRDefault="00407A5F">
      <w:pPr>
        <w:pStyle w:val="EndnoteText"/>
        <w:rPr>
          <w:rFonts w:cs="Arial"/>
        </w:rPr>
      </w:pPr>
      <w:r w:rsidRPr="002C6D65">
        <w:rPr>
          <w:rStyle w:val="EndnoteReference"/>
          <w:rFonts w:cs="Arial"/>
        </w:rPr>
        <w:endnoteRef/>
      </w:r>
      <w:r w:rsidRPr="002C6D65">
        <w:rPr>
          <w:rFonts w:cs="Arial"/>
        </w:rPr>
        <w:t xml:space="preserve"> Sally Rugg, ‘The campaign against Safe Schools was never about concern for kids’ the Sydney Morning Herald (online, 17 April 2017) &lt;</w:t>
      </w:r>
      <w:hyperlink r:id="rId35" w:history="1">
        <w:r w:rsidRPr="002C6D65">
          <w:rPr>
            <w:rStyle w:val="Hyperlink"/>
            <w:rFonts w:cs="Arial"/>
          </w:rPr>
          <w:t>https://www.smh.com.au/opinion/the-campaign-against-safe-schools-was-never-about-concern-for-kids-20170417-gvm9lm.html</w:t>
        </w:r>
      </w:hyperlink>
      <w:r w:rsidRPr="002C6D65">
        <w:rPr>
          <w:rFonts w:cs="Arial"/>
        </w:rPr>
        <w:t xml:space="preserve">&gt; </w:t>
      </w:r>
    </w:p>
  </w:endnote>
  <w:endnote w:id="182">
    <w:p w14:paraId="768B6663" w14:textId="305F085A" w:rsidR="00407A5F" w:rsidRPr="002C6D65" w:rsidRDefault="00407A5F">
      <w:pPr>
        <w:pStyle w:val="EndnoteText"/>
        <w:rPr>
          <w:rFonts w:cs="Arial"/>
        </w:rPr>
      </w:pPr>
      <w:r w:rsidRPr="002C6D65">
        <w:rPr>
          <w:rStyle w:val="EndnoteReference"/>
          <w:rFonts w:cs="Arial"/>
        </w:rPr>
        <w:endnoteRef/>
      </w:r>
      <w:r w:rsidRPr="002C6D65">
        <w:rPr>
          <w:rFonts w:cs="Arial"/>
        </w:rPr>
        <w:t xml:space="preserve"> For overview of debates around reforms, see: Bianca Fileborn, Hannah McCann, Matthew Mitchell, Priya Kunjan ‘Victorian changes to gender on birth certificate will not increase sexual violence. Here’s why’ The Conversation (online, 22 August 2019) &lt;</w:t>
      </w:r>
      <w:hyperlink r:id="rId36" w:history="1">
        <w:r w:rsidRPr="002C6D65">
          <w:rPr>
            <w:rStyle w:val="Hyperlink"/>
            <w:rFonts w:cs="Arial"/>
          </w:rPr>
          <w:t>https://theconversation.com/victorian-changes-to-gender-on-birth-certificate-will-not-increase-sexual-violence-heres-why-122125</w:t>
        </w:r>
      </w:hyperlink>
      <w:r w:rsidRPr="002C6D65">
        <w:rPr>
          <w:rFonts w:cs="Arial"/>
        </w:rPr>
        <w:t>&gt;</w:t>
      </w:r>
    </w:p>
  </w:endnote>
  <w:endnote w:id="183">
    <w:p w14:paraId="313AA049" w14:textId="3FAA0A7F" w:rsidR="00407A5F" w:rsidRPr="002C6D65" w:rsidRDefault="00407A5F">
      <w:pPr>
        <w:pStyle w:val="EndnoteText"/>
        <w:rPr>
          <w:rFonts w:cs="Arial"/>
        </w:rPr>
      </w:pPr>
      <w:r w:rsidRPr="002C6D65">
        <w:rPr>
          <w:rStyle w:val="EndnoteReference"/>
          <w:rFonts w:cs="Arial"/>
        </w:rPr>
        <w:endnoteRef/>
      </w:r>
      <w:r w:rsidRPr="002C6D65">
        <w:rPr>
          <w:rFonts w:cs="Arial"/>
        </w:rPr>
        <w:t xml:space="preserve"> See: Equality Australia ‘Civil Society Condemns Draft Religious Discrimination Act’ (Media Release 28 August 2019) &lt;</w:t>
      </w:r>
      <w:hyperlink r:id="rId37" w:history="1">
        <w:r w:rsidRPr="002C6D65">
          <w:rPr>
            <w:rStyle w:val="Hyperlink"/>
            <w:rFonts w:cs="Arial"/>
          </w:rPr>
          <w:t>https://equalityaustralia.org.au/civil-society-condemns-draft-religious-discrimination-act/</w:t>
        </w:r>
      </w:hyperlink>
      <w:r w:rsidRPr="002C6D65">
        <w:rPr>
          <w:rFonts w:cs="Arial"/>
        </w:rPr>
        <w:t xml:space="preserve">&gt;. </w:t>
      </w:r>
    </w:p>
  </w:endnote>
  <w:endnote w:id="184">
    <w:p w14:paraId="05108D13" w14:textId="1B800367" w:rsidR="00407A5F" w:rsidRPr="002C6D65" w:rsidRDefault="00407A5F">
      <w:pPr>
        <w:pStyle w:val="EndnoteText"/>
        <w:rPr>
          <w:rFonts w:cs="Arial"/>
        </w:rPr>
      </w:pPr>
      <w:r w:rsidRPr="002C6D65">
        <w:rPr>
          <w:rStyle w:val="EndnoteReference"/>
          <w:rFonts w:cs="Arial"/>
        </w:rPr>
        <w:endnoteRef/>
      </w:r>
      <w:r w:rsidRPr="002C6D65">
        <w:rPr>
          <w:rFonts w:cs="Arial"/>
        </w:rPr>
        <w:t xml:space="preserve"> Australia Institute above n 50, 6.</w:t>
      </w:r>
    </w:p>
  </w:endnote>
  <w:endnote w:id="185">
    <w:p w14:paraId="117F1905" w14:textId="300C5A21" w:rsidR="00407A5F" w:rsidRPr="002C6D65" w:rsidRDefault="00407A5F">
      <w:pPr>
        <w:pStyle w:val="EndnoteText"/>
        <w:rPr>
          <w:rFonts w:cs="Arial"/>
        </w:rPr>
      </w:pPr>
      <w:r w:rsidRPr="002C6D65">
        <w:rPr>
          <w:rStyle w:val="EndnoteReference"/>
          <w:rFonts w:cs="Arial"/>
        </w:rPr>
        <w:endnoteRef/>
      </w:r>
      <w:r w:rsidRPr="002C6D65">
        <w:rPr>
          <w:rFonts w:cs="Arial"/>
        </w:rPr>
        <w:t xml:space="preserve"> Ibid 9.</w:t>
      </w:r>
    </w:p>
  </w:endnote>
  <w:endnote w:id="186">
    <w:p w14:paraId="6CC33954" w14:textId="5E12E3D7" w:rsidR="00407A5F" w:rsidRPr="002C6D65" w:rsidRDefault="00407A5F">
      <w:pPr>
        <w:pStyle w:val="EndnoteText"/>
        <w:rPr>
          <w:rFonts w:cs="Arial"/>
        </w:rPr>
      </w:pPr>
      <w:r w:rsidRPr="002C6D65">
        <w:rPr>
          <w:rStyle w:val="EndnoteReference"/>
          <w:rFonts w:cs="Arial"/>
        </w:rPr>
        <w:endnoteRef/>
      </w:r>
      <w:r w:rsidRPr="002C6D65">
        <w:rPr>
          <w:rFonts w:cs="Arial"/>
        </w:rPr>
        <w:t xml:space="preserve"> Ibid 11. </w:t>
      </w:r>
    </w:p>
  </w:endnote>
  <w:endnote w:id="187">
    <w:p w14:paraId="3A1083F6" w14:textId="73CA64C9" w:rsidR="00407A5F" w:rsidRPr="002C6D65" w:rsidRDefault="00407A5F">
      <w:pPr>
        <w:pStyle w:val="EndnoteText"/>
        <w:rPr>
          <w:rFonts w:cs="Arial"/>
        </w:rPr>
      </w:pPr>
      <w:r w:rsidRPr="002C6D65">
        <w:rPr>
          <w:rStyle w:val="EndnoteReference"/>
          <w:rFonts w:cs="Arial"/>
        </w:rPr>
        <w:endnoteRef/>
      </w:r>
      <w:r w:rsidRPr="002C6D65">
        <w:rPr>
          <w:rFonts w:cs="Arial"/>
        </w:rPr>
        <w:t xml:space="preserve"> Amnesty International above n 50.</w:t>
      </w:r>
    </w:p>
  </w:endnote>
  <w:endnote w:id="188">
    <w:p w14:paraId="559E8468" w14:textId="177E7D21"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189">
    <w:p w14:paraId="58769220" w14:textId="4AB882EA" w:rsidR="00407A5F" w:rsidRPr="002C6D65" w:rsidRDefault="00407A5F" w:rsidP="00B73DF6">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GenVic, </w:t>
      </w:r>
      <w:r w:rsidRPr="002C6D65">
        <w:rPr>
          <w:rStyle w:val="Characteritalic"/>
          <w:rFonts w:cs="Arial"/>
        </w:rPr>
        <w:t>Don’t read the comments: Enhancing online safety for women working in the media</w:t>
      </w:r>
      <w:r w:rsidRPr="002C6D65">
        <w:rPr>
          <w:rFonts w:cs="Arial"/>
          <w:lang w:val="en-GB"/>
        </w:rPr>
        <w:t> (</w:t>
      </w:r>
      <w:r w:rsidRPr="002C6D65">
        <w:rPr>
          <w:rFonts w:cs="Arial"/>
        </w:rPr>
        <w:t xml:space="preserve">Report, </w:t>
      </w:r>
      <w:r w:rsidRPr="002C6D65">
        <w:rPr>
          <w:rFonts w:cs="Arial"/>
          <w:lang w:val="en-GB"/>
        </w:rPr>
        <w:t>2019) &lt; </w:t>
      </w:r>
      <w:hyperlink r:id="rId38" w:tgtFrame="_blank" w:history="1">
        <w:r w:rsidRPr="002C6D65">
          <w:rPr>
            <w:rStyle w:val="Hyperlink"/>
            <w:rFonts w:cs="Arial"/>
            <w:lang w:val="en-GB"/>
          </w:rPr>
          <w:t>https://www.genvic.org.au/wp-content/uploads/2019/10/GV_MEAA_PolicyDoc_V5_WEB.pdf</w:t>
        </w:r>
      </w:hyperlink>
      <w:r w:rsidRPr="002C6D65">
        <w:rPr>
          <w:rFonts w:cs="Arial"/>
          <w:lang w:val="en-GB"/>
        </w:rPr>
        <w:t>&gt;</w:t>
      </w:r>
      <w:r>
        <w:rPr>
          <w:rFonts w:cs="Arial"/>
          <w:lang w:val="en-GB"/>
        </w:rPr>
        <w:t>.</w:t>
      </w:r>
      <w:r w:rsidRPr="002C6D65">
        <w:rPr>
          <w:rFonts w:cs="Arial"/>
        </w:rPr>
        <w:t> </w:t>
      </w:r>
    </w:p>
  </w:endnote>
  <w:endnote w:id="190">
    <w:p w14:paraId="3F9A7E99" w14:textId="089AD466" w:rsidR="00407A5F" w:rsidRPr="002C6D65" w:rsidRDefault="00407A5F">
      <w:pPr>
        <w:pStyle w:val="EndnoteText"/>
        <w:rPr>
          <w:rFonts w:cs="Arial"/>
        </w:rPr>
      </w:pPr>
      <w:r w:rsidRPr="002C6D65">
        <w:rPr>
          <w:rStyle w:val="EndnoteReference"/>
          <w:rFonts w:cs="Arial"/>
        </w:rPr>
        <w:endnoteRef/>
      </w:r>
      <w:r w:rsidRPr="002C6D65">
        <w:rPr>
          <w:rFonts w:cs="Arial"/>
        </w:rPr>
        <w:t xml:space="preserve"> Amnesty International above n 50; Australia Institute above n 50.</w:t>
      </w:r>
      <w:r w:rsidRPr="002C6D65">
        <w:rPr>
          <w:rFonts w:cs="Arial"/>
          <w:lang w:val="en-GB"/>
        </w:rPr>
        <w:t> </w:t>
      </w:r>
    </w:p>
  </w:endnote>
  <w:endnote w:id="191">
    <w:p w14:paraId="1F076FA0" w14:textId="07F9AEA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Gorman</w:t>
      </w:r>
      <w:r w:rsidRPr="002C6D65">
        <w:rPr>
          <w:rFonts w:cs="Arial"/>
        </w:rPr>
        <w:t xml:space="preserve"> above n 57</w:t>
      </w:r>
      <w:r w:rsidRPr="002C6D65">
        <w:rPr>
          <w:rFonts w:cs="Arial"/>
          <w:lang w:val="en-GB"/>
        </w:rPr>
        <w:t>; </w:t>
      </w:r>
      <w:r w:rsidRPr="002C6D65">
        <w:rPr>
          <w:rFonts w:cs="Arial"/>
        </w:rPr>
        <w:t>Amnesty International above n 50</w:t>
      </w:r>
      <w:r w:rsidRPr="002C6D65">
        <w:rPr>
          <w:rFonts w:cs="Arial"/>
          <w:lang w:val="en-GB"/>
        </w:rPr>
        <w:t>.</w:t>
      </w:r>
    </w:p>
  </w:endnote>
  <w:endnote w:id="192">
    <w:p w14:paraId="6036E70C" w14:textId="5FEFA102" w:rsidR="00407A5F" w:rsidRPr="002C6D65" w:rsidRDefault="00407A5F">
      <w:pPr>
        <w:pStyle w:val="EndnoteText"/>
        <w:rPr>
          <w:rFonts w:cs="Arial"/>
        </w:rPr>
      </w:pPr>
      <w:r w:rsidRPr="002C6D65">
        <w:rPr>
          <w:rStyle w:val="EndnoteReference"/>
          <w:rFonts w:cs="Arial"/>
        </w:rPr>
        <w:endnoteRef/>
      </w:r>
      <w:r w:rsidRPr="002C6D65">
        <w:rPr>
          <w:rFonts w:cs="Arial"/>
        </w:rPr>
        <w:t xml:space="preserve">  Ann John, Alexander Charles Glendenning, Amanda Marchant, Paul Montgomery, Anne Stewart, Sophie Wood, Keith Lloyd, Keith Hawton, ‘Self-Harm, Suicidal Behaviours, and Cyberbullying in Children and Young People: Systematic Review’ (2018) 20(4) </w:t>
      </w:r>
      <w:r w:rsidRPr="002C6D65">
        <w:rPr>
          <w:rStyle w:val="Characteritalic"/>
          <w:rFonts w:cs="Arial"/>
        </w:rPr>
        <w:t>Journal of Medical Internet Research</w:t>
      </w:r>
      <w:r w:rsidRPr="002C6D65">
        <w:rPr>
          <w:rFonts w:cs="Arial"/>
        </w:rPr>
        <w:t>, 129.</w:t>
      </w:r>
    </w:p>
  </w:endnote>
  <w:endnote w:id="193">
    <w:p w14:paraId="3A89711B" w14:textId="77777777" w:rsidR="00407A5F" w:rsidRPr="002C6D65" w:rsidRDefault="00407A5F" w:rsidP="00F256F2">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Khalil v Sturgess</w:t>
      </w:r>
      <w:r w:rsidRPr="002C6D65">
        <w:rPr>
          <w:rFonts w:cs="Arial"/>
        </w:rPr>
        <w:t xml:space="preserve"> [2005] VCAT 2446; and </w:t>
      </w:r>
      <w:r w:rsidRPr="002C6D65">
        <w:rPr>
          <w:rStyle w:val="Characteritalic"/>
          <w:rFonts w:cs="Arial"/>
        </w:rPr>
        <w:t>Ordo Templi Orientis v Legg</w:t>
      </w:r>
      <w:r w:rsidRPr="002C6D65">
        <w:rPr>
          <w:rFonts w:cs="Arial"/>
        </w:rPr>
        <w:t xml:space="preserve"> [2007] VCAT 1484. </w:t>
      </w:r>
    </w:p>
  </w:endnote>
  <w:endnote w:id="194">
    <w:p w14:paraId="1B7F713E" w14:textId="290FECFC" w:rsidR="00407A5F" w:rsidRPr="002C6D65" w:rsidRDefault="00407A5F" w:rsidP="00F256F2">
      <w:pPr>
        <w:pStyle w:val="EndnoteText"/>
        <w:rPr>
          <w:rFonts w:cs="Arial"/>
        </w:rPr>
      </w:pPr>
      <w:r w:rsidRPr="002C6D65">
        <w:rPr>
          <w:rStyle w:val="EndnoteReference"/>
          <w:rFonts w:cs="Arial"/>
        </w:rPr>
        <w:endnoteRef/>
      </w:r>
      <w:r w:rsidRPr="002C6D65">
        <w:rPr>
          <w:rFonts w:cs="Arial"/>
        </w:rPr>
        <w:t xml:space="preserve"> Data provided to VEOHRC by the Crimes Statistic Agency on 13 December 2019.</w:t>
      </w:r>
    </w:p>
  </w:endnote>
  <w:endnote w:id="195">
    <w:p w14:paraId="4B5129CD" w14:textId="44AB489E" w:rsidR="00407A5F" w:rsidRPr="002C6D65" w:rsidRDefault="00407A5F">
      <w:pPr>
        <w:pStyle w:val="EndnoteText"/>
        <w:rPr>
          <w:rFonts w:cs="Arial"/>
        </w:rPr>
      </w:pPr>
      <w:r w:rsidRPr="002C6D65">
        <w:rPr>
          <w:rStyle w:val="EndnoteReference"/>
          <w:rFonts w:cs="Arial"/>
        </w:rPr>
        <w:endnoteRef/>
      </w:r>
      <w:r w:rsidRPr="002C6D65">
        <w:rPr>
          <w:rFonts w:cs="Arial"/>
        </w:rPr>
        <w:t xml:space="preserve"> For example, one participant in the Commission’s Reporting Racism project downplayed their own experience of vilification in explaining why they did not report: ‘Don’t think police would be interested anyway because it was mainly verbal abuse. And it is too much trouble and a waste of time to report it because there is little that the police will do and [they are] are too busy with crimes:’ Above n 107, 34.</w:t>
      </w:r>
    </w:p>
  </w:endnote>
  <w:endnote w:id="196">
    <w:p w14:paraId="59E750E0" w14:textId="5D277F38" w:rsidR="00407A5F" w:rsidRPr="002C6D65" w:rsidRDefault="00407A5F">
      <w:pPr>
        <w:pStyle w:val="EndnoteText"/>
        <w:rPr>
          <w:rFonts w:cs="Arial"/>
        </w:rPr>
      </w:pPr>
      <w:r w:rsidRPr="002C6D65">
        <w:rPr>
          <w:rStyle w:val="EndnoteReference"/>
          <w:rFonts w:cs="Arial"/>
        </w:rPr>
        <w:endnoteRef/>
      </w:r>
      <w:r w:rsidRPr="002C6D65">
        <w:rPr>
          <w:rFonts w:cs="Arial"/>
        </w:rPr>
        <w:t xml:space="preserve"> Ballarat African Association above n 104. This was also reflected in our Reporting Racism Project above n 107, 33.</w:t>
      </w:r>
    </w:p>
  </w:endnote>
  <w:endnote w:id="197">
    <w:p w14:paraId="432A0F26" w14:textId="75BF1712" w:rsidR="00407A5F" w:rsidRPr="002C6D65" w:rsidRDefault="00407A5F" w:rsidP="000012D7">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198">
    <w:p w14:paraId="5AA41E96" w14:textId="725093F6" w:rsidR="00407A5F" w:rsidRPr="002C6D65" w:rsidRDefault="00407A5F">
      <w:pPr>
        <w:pStyle w:val="EndnoteText"/>
        <w:rPr>
          <w:rFonts w:cs="Arial"/>
        </w:rPr>
      </w:pPr>
      <w:r w:rsidRPr="002C6D65">
        <w:rPr>
          <w:rStyle w:val="EndnoteReference"/>
          <w:rFonts w:cs="Arial"/>
        </w:rPr>
        <w:endnoteRef/>
      </w:r>
      <w:r w:rsidRPr="002C6D65">
        <w:rPr>
          <w:rFonts w:cs="Arial"/>
        </w:rPr>
        <w:t xml:space="preserve"> Information provided by the Victorian Aboriginal Legal Service on 9 December 2019.</w:t>
      </w:r>
    </w:p>
  </w:endnote>
  <w:endnote w:id="199">
    <w:p w14:paraId="60D0BAC6" w14:textId="363F82D6"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200">
    <w:p w14:paraId="16E63BDE" w14:textId="46FBD8DE"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201">
    <w:p w14:paraId="7B945E49" w14:textId="77777777" w:rsidR="00407A5F" w:rsidRPr="002C6D65" w:rsidRDefault="00407A5F" w:rsidP="00D74419">
      <w:pPr>
        <w:pStyle w:val="EndnoteText"/>
        <w:rPr>
          <w:rStyle w:val="Characteryellowhighlight"/>
          <w:rFonts w:cs="Arial"/>
        </w:rPr>
      </w:pPr>
      <w:r w:rsidRPr="002C6D65">
        <w:rPr>
          <w:rStyle w:val="EndnoteReference"/>
          <w:rFonts w:cs="Arial"/>
        </w:rPr>
        <w:endnoteRef/>
      </w:r>
      <w:r w:rsidRPr="002C6D65">
        <w:rPr>
          <w:rFonts w:cs="Arial"/>
        </w:rPr>
        <w:t xml:space="preserve"> Data provided to the Commission on 10 December 2019: Islamic Council of Victoria, </w:t>
      </w:r>
      <w:r w:rsidRPr="002C6D65">
        <w:rPr>
          <w:rStyle w:val="Characteritalic"/>
          <w:rFonts w:cs="Arial"/>
        </w:rPr>
        <w:t xml:space="preserve">Understanding How Victorian Muslims Respond to Islamophobia </w:t>
      </w:r>
      <w:r w:rsidRPr="002C6D65">
        <w:rPr>
          <w:rFonts w:cs="Arial"/>
        </w:rPr>
        <w:t>(Survey, December 2018 – January 2019).</w:t>
      </w:r>
    </w:p>
  </w:endnote>
  <w:endnote w:id="202">
    <w:p w14:paraId="63B5C2E0" w14:textId="52EFD37A" w:rsidR="00407A5F" w:rsidRPr="002C6D65" w:rsidRDefault="00407A5F" w:rsidP="006168A2">
      <w:pPr>
        <w:pStyle w:val="EndnoteText"/>
        <w:rPr>
          <w:rFonts w:cs="Arial"/>
        </w:rPr>
      </w:pPr>
      <w:r w:rsidRPr="002C6D65">
        <w:rPr>
          <w:rStyle w:val="EndnoteReference"/>
          <w:rFonts w:cs="Arial"/>
        </w:rPr>
        <w:endnoteRef/>
      </w:r>
      <w:r w:rsidRPr="002C6D65">
        <w:rPr>
          <w:rFonts w:cs="Arial"/>
        </w:rPr>
        <w:t xml:space="preserve"> For example, </w:t>
      </w:r>
      <w:r w:rsidRPr="002C6D65">
        <w:rPr>
          <w:rFonts w:cs="Arial"/>
          <w:lang w:val="en-GB"/>
        </w:rPr>
        <w:t xml:space="preserve">Settlement Council of Australia, </w:t>
      </w:r>
      <w:r w:rsidRPr="002C6D65">
        <w:rPr>
          <w:rFonts w:cs="Arial"/>
          <w:i/>
          <w:lang w:val="en-GB"/>
        </w:rPr>
        <w:t>Access to Justice for People from Refugee and Migrant Background in Australia</w:t>
      </w:r>
      <w:r w:rsidRPr="002C6D65">
        <w:rPr>
          <w:rFonts w:cs="Arial"/>
          <w:lang w:val="en-GB"/>
        </w:rPr>
        <w:t>, (Report, 2019), 6</w:t>
      </w:r>
      <w:r w:rsidRPr="002C6D65">
        <w:rPr>
          <w:rFonts w:cs="Arial"/>
        </w:rPr>
        <w:t>.</w:t>
      </w:r>
    </w:p>
  </w:endnote>
  <w:endnote w:id="203">
    <w:p w14:paraId="31D7FD1A" w14:textId="401EC01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 xml:space="preserve">Law Council of Australia, </w:t>
      </w:r>
      <w:r w:rsidRPr="002C6D65">
        <w:rPr>
          <w:rFonts w:cs="Arial"/>
          <w:i/>
          <w:lang w:val="en-GB"/>
        </w:rPr>
        <w:t>The Justice Project Final Report – Recent Arrivals to Australia</w:t>
      </w:r>
      <w:r w:rsidRPr="002C6D65">
        <w:rPr>
          <w:rFonts w:cs="Arial"/>
          <w:lang w:val="en-GB"/>
        </w:rPr>
        <w:t>, (Report, August 2018), 30</w:t>
      </w:r>
      <w:r w:rsidRPr="002C6D65">
        <w:rPr>
          <w:rFonts w:cs="Arial"/>
        </w:rPr>
        <w:t>.</w:t>
      </w:r>
    </w:p>
  </w:endnote>
  <w:endnote w:id="204">
    <w:p w14:paraId="3F258C76" w14:textId="59BE1FBF" w:rsidR="00407A5F" w:rsidRPr="002C6D65" w:rsidRDefault="00407A5F">
      <w:pPr>
        <w:pStyle w:val="EndnoteText"/>
        <w:rPr>
          <w:rFonts w:cs="Arial"/>
        </w:rPr>
      </w:pPr>
      <w:r w:rsidRPr="002C6D65">
        <w:rPr>
          <w:rStyle w:val="EndnoteReference"/>
          <w:rFonts w:cs="Arial"/>
        </w:rPr>
        <w:endnoteRef/>
      </w:r>
      <w:r w:rsidRPr="002C6D65">
        <w:rPr>
          <w:rFonts w:cs="Arial"/>
        </w:rPr>
        <w:t xml:space="preserve"> Settlement Council of Australia above n 201, 5.</w:t>
      </w:r>
    </w:p>
  </w:endnote>
  <w:endnote w:id="205">
    <w:p w14:paraId="628AA1E1" w14:textId="715723B5"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206">
    <w:p w14:paraId="2A616B7A" w14:textId="24F3388E" w:rsidR="00407A5F" w:rsidRPr="002C6D65" w:rsidRDefault="00407A5F">
      <w:pPr>
        <w:pStyle w:val="EndnoteText"/>
        <w:rPr>
          <w:rFonts w:cs="Arial"/>
        </w:rPr>
      </w:pPr>
      <w:r w:rsidRPr="002C6D65">
        <w:rPr>
          <w:rStyle w:val="EndnoteReference"/>
          <w:rFonts w:cs="Arial"/>
        </w:rPr>
        <w:endnoteRef/>
      </w:r>
      <w:r w:rsidRPr="002C6D65">
        <w:rPr>
          <w:rFonts w:cs="Arial"/>
        </w:rPr>
        <w:t xml:space="preserve"> Harkins, </w:t>
      </w:r>
      <w:r w:rsidRPr="002C6D65">
        <w:rPr>
          <w:rStyle w:val="Characteritalic"/>
          <w:rFonts w:cs="Arial"/>
        </w:rPr>
        <w:t>Bridging Two Worlds: Aboriginal English and Multi-cultural Understanding</w:t>
      </w:r>
      <w:r w:rsidRPr="002C6D65">
        <w:rPr>
          <w:rFonts w:cs="Arial"/>
        </w:rPr>
        <w:t xml:space="preserve"> (University of Queensland Press, 1994); D Morgan, M Slade, C Morgan, ‘Aboriginal Philosophy and its Impact on Health Care Outcomes’ (1997) 21(6) </w:t>
      </w:r>
      <w:r w:rsidRPr="002C6D65">
        <w:rPr>
          <w:rStyle w:val="Characteritalic"/>
          <w:rFonts w:cs="Arial"/>
        </w:rPr>
        <w:t>Australian and New Zealand Journal of Public Health</w:t>
      </w:r>
      <w:r w:rsidRPr="002C6D65">
        <w:rPr>
          <w:rFonts w:cs="Arial"/>
        </w:rPr>
        <w:t xml:space="preserve"> 597.</w:t>
      </w:r>
    </w:p>
  </w:endnote>
  <w:endnote w:id="207">
    <w:p w14:paraId="6F6FA4E5" w14:textId="0B4203AB" w:rsidR="00407A5F" w:rsidRPr="002C6D65" w:rsidRDefault="00407A5F">
      <w:pPr>
        <w:pStyle w:val="EndnoteText"/>
        <w:rPr>
          <w:rFonts w:cs="Arial"/>
        </w:rPr>
      </w:pPr>
      <w:r w:rsidRPr="002C6D65">
        <w:rPr>
          <w:rStyle w:val="EndnoteReference"/>
          <w:rFonts w:cs="Arial"/>
        </w:rPr>
        <w:endnoteRef/>
      </w:r>
      <w:r w:rsidRPr="002C6D65">
        <w:rPr>
          <w:rFonts w:cs="Arial"/>
        </w:rPr>
        <w:t xml:space="preserve"> Harkins, ‘Shame add Shyness in the Aboriginal Classroom’ (14 August 2008) 10(2) </w:t>
      </w:r>
      <w:r w:rsidRPr="002C6D65">
        <w:rPr>
          <w:rStyle w:val="Characteritalic"/>
          <w:rFonts w:cs="Arial"/>
        </w:rPr>
        <w:t>Australian Journal of Linguistics</w:t>
      </w:r>
      <w:r w:rsidRPr="002C6D65">
        <w:rPr>
          <w:rFonts w:cs="Arial"/>
        </w:rPr>
        <w:t xml:space="preserve"> 293; D Morgan, M Slade, C Morgan, ‘Aboriginal Philosophy and its Impact on Health Care Outcomes’ (1997) 21(6) </w:t>
      </w:r>
      <w:r w:rsidRPr="002C6D65">
        <w:rPr>
          <w:rStyle w:val="Characteritalic"/>
          <w:rFonts w:cs="Arial"/>
        </w:rPr>
        <w:t>Australian and New Zealand Journal of Public Health</w:t>
      </w:r>
      <w:r w:rsidRPr="002C6D65">
        <w:rPr>
          <w:rFonts w:cs="Arial"/>
        </w:rPr>
        <w:t xml:space="preserve"> 597.   </w:t>
      </w:r>
    </w:p>
  </w:endnote>
  <w:endnote w:id="208">
    <w:p w14:paraId="43479F7D" w14:textId="4168A211" w:rsidR="00407A5F" w:rsidRPr="002C6D65" w:rsidRDefault="00407A5F" w:rsidP="00CB5A67">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Law Council of Australia above n 202, 30.</w:t>
      </w:r>
    </w:p>
  </w:endnote>
  <w:endnote w:id="209">
    <w:p w14:paraId="1295454A" w14:textId="0C9F73AC"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multicultural and multifaith Victorians above n 64.</w:t>
      </w:r>
    </w:p>
  </w:endnote>
  <w:endnote w:id="210">
    <w:p w14:paraId="04C79168" w14:textId="6BC8E774" w:rsidR="00407A5F" w:rsidRPr="002C6D65" w:rsidRDefault="00407A5F" w:rsidP="00BE5A90">
      <w:pPr>
        <w:pStyle w:val="EndnoteText"/>
        <w:rPr>
          <w:rFonts w:cs="Arial"/>
        </w:rPr>
      </w:pPr>
      <w:r w:rsidRPr="002C6D65">
        <w:rPr>
          <w:rStyle w:val="EndnoteReference"/>
          <w:rFonts w:cs="Arial"/>
        </w:rPr>
        <w:endnoteRef/>
      </w:r>
      <w:r w:rsidRPr="002C6D65">
        <w:rPr>
          <w:rFonts w:cs="Arial"/>
        </w:rPr>
        <w:t xml:space="preserve"> Gail Mason, JaneMaree Maher, Jude McCulloch, Sharon Pickering, Rebecca Wickes, Carolyn McKay, </w:t>
      </w:r>
      <w:r w:rsidRPr="002C6D65">
        <w:rPr>
          <w:rStyle w:val="Characteritalic"/>
          <w:rFonts w:cs="Arial"/>
        </w:rPr>
        <w:t>Policing Hate Crime: Understanding Communities and Prejudice</w:t>
      </w:r>
      <w:r w:rsidRPr="002C6D65">
        <w:rPr>
          <w:rFonts w:cs="Arial"/>
        </w:rPr>
        <w:t>, (Routledge, 2017), 112.</w:t>
      </w:r>
    </w:p>
  </w:endnote>
  <w:endnote w:id="211">
    <w:p w14:paraId="3BA1A375" w14:textId="10F2AFD4"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212">
    <w:p w14:paraId="572D8C36" w14:textId="35527FBC"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213">
    <w:p w14:paraId="3AA03FA9" w14:textId="77777777" w:rsidR="00407A5F" w:rsidRPr="002C6D65" w:rsidRDefault="00407A5F" w:rsidP="00D1192E">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19 (Nettle JA and Neave JA agreeing at 159). </w:t>
      </w:r>
    </w:p>
  </w:endnote>
  <w:endnote w:id="214">
    <w:p w14:paraId="3AC11BCB" w14:textId="77777777" w:rsidR="00407A5F" w:rsidRPr="002C6D65" w:rsidRDefault="00407A5F" w:rsidP="00373FA7">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159. </w:t>
      </w:r>
    </w:p>
  </w:endnote>
  <w:endnote w:id="215">
    <w:p w14:paraId="26C9A0C9" w14:textId="19D97B5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lang w:val="en-GB"/>
        </w:rPr>
        <w:t xml:space="preserve"> (2006) 15 VR 207, 255</w:t>
      </w:r>
      <w:r w:rsidRPr="002C6D65">
        <w:rPr>
          <w:rFonts w:cs="Arial"/>
        </w:rPr>
        <w:t>.</w:t>
      </w:r>
    </w:p>
  </w:endnote>
  <w:endnote w:id="216">
    <w:p w14:paraId="73D63B54" w14:textId="77777777" w:rsidR="00407A5F" w:rsidRPr="002C6D65" w:rsidRDefault="00407A5F" w:rsidP="006D139D">
      <w:pPr>
        <w:pStyle w:val="EndnoteText"/>
        <w:rPr>
          <w:rFonts w:cs="Arial"/>
        </w:rPr>
      </w:pPr>
      <w:r w:rsidRPr="002C6D65">
        <w:rPr>
          <w:rStyle w:val="EndnoteReference"/>
          <w:rFonts w:cs="Arial"/>
        </w:rPr>
        <w:endnoteRef/>
      </w:r>
      <w:r w:rsidRPr="002C6D65">
        <w:rPr>
          <w:rFonts w:cs="Arial"/>
        </w:rPr>
        <w:t xml:space="preserve"> Bennett v Dingle [2013] VCAT 1945, 46.</w:t>
      </w:r>
    </w:p>
  </w:endnote>
  <w:endnote w:id="217">
    <w:p w14:paraId="7CAEEEF0" w14:textId="77777777" w:rsidR="00407A5F" w:rsidRPr="002C6D65" w:rsidRDefault="00407A5F" w:rsidP="006D139D">
      <w:pPr>
        <w:pStyle w:val="EndnoteText"/>
        <w:rPr>
          <w:rFonts w:cs="Arial"/>
        </w:rPr>
      </w:pPr>
      <w:r w:rsidRPr="002C6D65">
        <w:rPr>
          <w:rStyle w:val="EndnoteReference"/>
          <w:rFonts w:cs="Arial"/>
        </w:rPr>
        <w:endnoteRef/>
      </w:r>
      <w:r w:rsidRPr="002C6D65">
        <w:rPr>
          <w:rFonts w:cs="Arial"/>
        </w:rPr>
        <w:t xml:space="preserve"> Bennett v Dingle [2013] VCAT 1945, 45. </w:t>
      </w:r>
    </w:p>
  </w:endnote>
  <w:endnote w:id="218">
    <w:p w14:paraId="5C701304" w14:textId="606D983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34 and 173. </w:t>
      </w:r>
    </w:p>
  </w:endnote>
  <w:endnote w:id="219">
    <w:p w14:paraId="4D50FC9A" w14:textId="097BB2A7"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Fletcher v Salvation Army</w:t>
      </w:r>
      <w:r w:rsidRPr="002C6D65">
        <w:rPr>
          <w:rFonts w:cs="Arial"/>
        </w:rPr>
        <w:t xml:space="preserve"> [2005] VCAT 1523, 5-6. </w:t>
      </w:r>
    </w:p>
  </w:endnote>
  <w:endnote w:id="220">
    <w:p w14:paraId="52CE9C59" w14:textId="31699107"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14. </w:t>
      </w:r>
    </w:p>
  </w:endnote>
  <w:endnote w:id="221">
    <w:p w14:paraId="01BF1210" w14:textId="77777777" w:rsidR="00407A5F" w:rsidRPr="002C6D65" w:rsidRDefault="00407A5F" w:rsidP="00AB4BA3">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14, 159 (Neave JA).</w:t>
      </w:r>
    </w:p>
  </w:endnote>
  <w:endnote w:id="222">
    <w:p w14:paraId="36437D3B" w14:textId="0BBD7D03"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Sisalem v The Herald &amp; Weekly Times Ltd</w:t>
      </w:r>
      <w:r w:rsidRPr="002C6D65">
        <w:rPr>
          <w:rFonts w:cs="Arial"/>
          <w:lang w:val="en-GB"/>
        </w:rPr>
        <w:t xml:space="preserve"> [2016] VCAT 119</w:t>
      </w:r>
      <w:r w:rsidRPr="002C6D65">
        <w:rPr>
          <w:rFonts w:cs="Arial"/>
        </w:rPr>
        <w:t xml:space="preserve">7, 5. </w:t>
      </w:r>
    </w:p>
  </w:endnote>
  <w:endnote w:id="223">
    <w:p w14:paraId="6303FB18" w14:textId="057EC045"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Sisalem v The Herald &amp; Weekly Times Ltd</w:t>
      </w:r>
      <w:r w:rsidRPr="002C6D65">
        <w:rPr>
          <w:rFonts w:cs="Arial"/>
          <w:lang w:val="en-GB"/>
        </w:rPr>
        <w:t xml:space="preserve"> [2016] VCAT 119</w:t>
      </w:r>
      <w:r w:rsidRPr="002C6D65">
        <w:rPr>
          <w:rFonts w:cs="Arial"/>
        </w:rPr>
        <w:t xml:space="preserve">7, 58. </w:t>
      </w:r>
    </w:p>
  </w:endnote>
  <w:endnote w:id="224">
    <w:p w14:paraId="086DA55D" w14:textId="6D7A765D"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Sisalem v The Herald &amp; Weekly Times Ltd</w:t>
      </w:r>
      <w:r w:rsidRPr="002C6D65">
        <w:rPr>
          <w:rFonts w:cs="Arial"/>
          <w:lang w:val="en-GB"/>
        </w:rPr>
        <w:t xml:space="preserve"> [2016] VCAT 119</w:t>
      </w:r>
      <w:r w:rsidRPr="002C6D65">
        <w:rPr>
          <w:rFonts w:cs="Arial"/>
        </w:rPr>
        <w:t xml:space="preserve">7, 62. </w:t>
      </w:r>
    </w:p>
  </w:endnote>
  <w:endnote w:id="225">
    <w:p w14:paraId="2179B55A" w14:textId="6851119B"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Eatock v Bolt</w:t>
      </w:r>
      <w:r w:rsidRPr="002C6D65">
        <w:rPr>
          <w:rFonts w:cs="Arial"/>
          <w:lang w:val="en-GB"/>
        </w:rPr>
        <w:t xml:space="preserve"> (2011) 197 FCR 261</w:t>
      </w:r>
    </w:p>
  </w:endnote>
  <w:endnote w:id="226">
    <w:p w14:paraId="22305F54" w14:textId="77777777" w:rsidR="00407A5F" w:rsidRPr="002C6D65" w:rsidRDefault="00407A5F" w:rsidP="00FF6134">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67.</w:t>
      </w:r>
    </w:p>
  </w:endnote>
  <w:endnote w:id="227">
    <w:p w14:paraId="609613CF" w14:textId="4D00F459" w:rsidR="00407A5F" w:rsidRPr="002C6D65" w:rsidRDefault="00407A5F">
      <w:pPr>
        <w:pStyle w:val="EndnoteText"/>
        <w:rPr>
          <w:rFonts w:cs="Arial"/>
        </w:rPr>
      </w:pPr>
      <w:r w:rsidRPr="002C6D65">
        <w:rPr>
          <w:rStyle w:val="EndnoteReference"/>
          <w:rFonts w:cs="Arial"/>
        </w:rPr>
        <w:endnoteRef/>
      </w:r>
      <w:r w:rsidRPr="002C6D65">
        <w:rPr>
          <w:rFonts w:cs="Arial"/>
        </w:rPr>
        <w:t xml:space="preserve"> Explanatory Memorandum, Racial and Religious Tolerance Bill 2001 (Vic), 5-6. </w:t>
      </w:r>
    </w:p>
  </w:endnote>
  <w:endnote w:id="228">
    <w:p w14:paraId="0169A64A" w14:textId="366E21D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Fletcher v Salvation Army</w:t>
      </w:r>
      <w:r w:rsidRPr="002C6D65">
        <w:rPr>
          <w:rFonts w:cs="Arial"/>
        </w:rPr>
        <w:t xml:space="preserve"> [2005] VCAT 1523, 7.</w:t>
      </w:r>
    </w:p>
  </w:endnote>
  <w:endnote w:id="229">
    <w:p w14:paraId="6DC4282E" w14:textId="5967623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90.</w:t>
      </w:r>
    </w:p>
  </w:endnote>
  <w:endnote w:id="230">
    <w:p w14:paraId="3F6C3FCF" w14:textId="75E4E2E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91. </w:t>
      </w:r>
    </w:p>
  </w:endnote>
  <w:endnote w:id="231">
    <w:p w14:paraId="22FD6514" w14:textId="303498CB"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91.</w:t>
      </w:r>
    </w:p>
  </w:endnote>
  <w:endnote w:id="232">
    <w:p w14:paraId="18D77778" w14:textId="2C37DE7E" w:rsidR="00407A5F" w:rsidRPr="002C6D65" w:rsidRDefault="00407A5F">
      <w:pPr>
        <w:pStyle w:val="EndnoteText"/>
        <w:rPr>
          <w:rFonts w:cs="Arial"/>
        </w:rPr>
      </w:pPr>
      <w:r w:rsidRPr="002C6D65">
        <w:rPr>
          <w:rStyle w:val="EndnoteReference"/>
          <w:rFonts w:cs="Arial"/>
        </w:rPr>
        <w:endnoteRef/>
      </w:r>
      <w:r w:rsidRPr="002C6D65">
        <w:rPr>
          <w:rFonts w:cs="Arial"/>
        </w:rPr>
        <w:t xml:space="preserve"> See </w:t>
      </w:r>
      <w:r w:rsidRPr="002C6D65">
        <w:rPr>
          <w:rStyle w:val="Characteritalic"/>
          <w:rFonts w:cs="Arial"/>
        </w:rPr>
        <w:t xml:space="preserve">Charter of Human Rights and Responsibilities Act 2001 </w:t>
      </w:r>
      <w:r w:rsidRPr="002C6D65">
        <w:rPr>
          <w:rFonts w:cs="Arial"/>
        </w:rPr>
        <w:t>(Vic) s 14(1)(b).</w:t>
      </w:r>
    </w:p>
  </w:endnote>
  <w:endnote w:id="233">
    <w:p w14:paraId="545A70B6" w14:textId="1C557AE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1995</w:t>
      </w:r>
      <w:r w:rsidRPr="002C6D65">
        <w:rPr>
          <w:rFonts w:cs="Arial"/>
          <w:lang w:val="en-GB"/>
        </w:rPr>
        <w:t xml:space="preserve"> (Cth) s 80.2A</w:t>
      </w:r>
      <w:r w:rsidRPr="002C6D65">
        <w:rPr>
          <w:rFonts w:cs="Arial"/>
        </w:rPr>
        <w:t xml:space="preserve">; </w:t>
      </w:r>
      <w:r w:rsidRPr="002C6D65">
        <w:rPr>
          <w:rStyle w:val="Characteritalic"/>
          <w:rFonts w:cs="Arial"/>
        </w:rPr>
        <w:t xml:space="preserve">Crimes Act 1900 </w:t>
      </w:r>
      <w:r w:rsidRPr="002C6D65">
        <w:rPr>
          <w:rFonts w:cs="Arial"/>
          <w:lang w:val="en-GB"/>
        </w:rPr>
        <w:t>(NSW) s 93Z</w:t>
      </w:r>
      <w:r w:rsidRPr="002C6D65">
        <w:rPr>
          <w:rFonts w:cs="Arial"/>
        </w:rPr>
        <w:t xml:space="preserve">; </w:t>
      </w:r>
      <w:r w:rsidRPr="002C6D65">
        <w:rPr>
          <w:rStyle w:val="Characteritalic"/>
          <w:rFonts w:cs="Arial"/>
        </w:rPr>
        <w:t>Racial Vilification Act 1996</w:t>
      </w:r>
      <w:r w:rsidRPr="002C6D65">
        <w:rPr>
          <w:rFonts w:cs="Arial"/>
          <w:lang w:val="en-GB"/>
        </w:rPr>
        <w:t xml:space="preserve"> (SA) s 4</w:t>
      </w:r>
      <w:r w:rsidRPr="002C6D65">
        <w:rPr>
          <w:rFonts w:cs="Arial"/>
        </w:rPr>
        <w:t xml:space="preserve">; </w:t>
      </w:r>
      <w:r w:rsidRPr="002C6D65">
        <w:rPr>
          <w:rStyle w:val="Characteritalic"/>
          <w:rFonts w:cs="Arial"/>
        </w:rPr>
        <w:t>Anti-Discrimination act 1991</w:t>
      </w:r>
      <w:r w:rsidRPr="002C6D65">
        <w:rPr>
          <w:rFonts w:cs="Arial"/>
          <w:lang w:val="en-GB"/>
        </w:rPr>
        <w:t xml:space="preserve"> (Qld) s 131A(1)</w:t>
      </w:r>
      <w:r w:rsidRPr="002C6D65">
        <w:rPr>
          <w:rFonts w:cs="Arial"/>
        </w:rPr>
        <w:t xml:space="preserve">; </w:t>
      </w:r>
      <w:r w:rsidRPr="002C6D65">
        <w:rPr>
          <w:rStyle w:val="Characteritalic"/>
          <w:rFonts w:cs="Arial"/>
        </w:rPr>
        <w:t>Criminal Code Act Compilation Act 1913</w:t>
      </w:r>
      <w:r w:rsidRPr="002C6D65">
        <w:rPr>
          <w:rFonts w:cs="Arial"/>
          <w:lang w:val="en-GB"/>
        </w:rPr>
        <w:t xml:space="preserve"> (WA) ss 77, 78, 79, 80.</w:t>
      </w:r>
    </w:p>
  </w:endnote>
  <w:endnote w:id="234">
    <w:p w14:paraId="6F3696BB" w14:textId="175E908B" w:rsidR="00407A5F" w:rsidRPr="002C6D65" w:rsidRDefault="00407A5F">
      <w:pPr>
        <w:pStyle w:val="EndnoteText"/>
        <w:rPr>
          <w:rFonts w:cs="Arial"/>
        </w:rPr>
      </w:pPr>
      <w:r w:rsidRPr="002C6D65">
        <w:rPr>
          <w:rStyle w:val="EndnoteReference"/>
          <w:rFonts w:cs="Arial"/>
        </w:rPr>
        <w:endnoteRef/>
      </w:r>
      <w:r w:rsidRPr="002C6D65">
        <w:rPr>
          <w:rFonts w:cs="Arial"/>
        </w:rPr>
        <w:t xml:space="preserve"> Information provided by the Victorian Aboriginal Legal Service on 9 December 2019.</w:t>
      </w:r>
    </w:p>
  </w:endnote>
  <w:endnote w:id="235">
    <w:p w14:paraId="7E5D1A6D" w14:textId="7668FFF2" w:rsidR="00407A5F" w:rsidRPr="002C6D65" w:rsidRDefault="00407A5F">
      <w:pPr>
        <w:pStyle w:val="EndnoteText"/>
        <w:rPr>
          <w:rFonts w:cs="Arial"/>
        </w:rPr>
      </w:pPr>
      <w:r w:rsidRPr="002C6D65">
        <w:rPr>
          <w:rStyle w:val="EndnoteReference"/>
          <w:rFonts w:cs="Arial"/>
        </w:rPr>
        <w:endnoteRef/>
      </w:r>
      <w:r w:rsidRPr="002C6D65">
        <w:rPr>
          <w:rFonts w:cs="Arial"/>
        </w:rPr>
        <w:t xml:space="preserve"> Women’s Legal Service Above n 132.</w:t>
      </w:r>
    </w:p>
  </w:endnote>
  <w:endnote w:id="236">
    <w:p w14:paraId="16976ABC" w14:textId="23B9AF6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Australian Human Rights Commission Act 1986</w:t>
      </w:r>
      <w:r w:rsidRPr="002C6D65">
        <w:rPr>
          <w:rFonts w:cs="Arial"/>
        </w:rPr>
        <w:t xml:space="preserve"> (Cth), s 46PI; </w:t>
      </w:r>
      <w:r w:rsidRPr="002C6D65">
        <w:rPr>
          <w:rStyle w:val="Characteritalic"/>
          <w:rFonts w:cs="Arial"/>
        </w:rPr>
        <w:t>Human Rights Commission Act 2005</w:t>
      </w:r>
      <w:r w:rsidRPr="002C6D65">
        <w:rPr>
          <w:rFonts w:cs="Arial"/>
        </w:rPr>
        <w:t xml:space="preserve"> (ACT), s 73; </w:t>
      </w:r>
      <w:r w:rsidRPr="002C6D65">
        <w:rPr>
          <w:rStyle w:val="Characteritalic"/>
          <w:rFonts w:cs="Arial"/>
        </w:rPr>
        <w:t>Anti-Discrimination Act 1977</w:t>
      </w:r>
      <w:r w:rsidRPr="002C6D65">
        <w:rPr>
          <w:rFonts w:cs="Arial"/>
        </w:rPr>
        <w:t xml:space="preserve"> (NSW), s 90B; </w:t>
      </w:r>
      <w:r w:rsidRPr="002C6D65">
        <w:rPr>
          <w:rStyle w:val="Characteritalic"/>
          <w:rFonts w:cs="Arial"/>
        </w:rPr>
        <w:t>Anti-Discrimination Act 1998</w:t>
      </w:r>
      <w:r w:rsidRPr="002C6D65">
        <w:rPr>
          <w:rFonts w:cs="Arial"/>
        </w:rPr>
        <w:t xml:space="preserve"> (Tas), s 97; </w:t>
      </w:r>
      <w:r w:rsidRPr="002C6D65">
        <w:rPr>
          <w:rStyle w:val="Characteritalic"/>
          <w:rFonts w:cs="Arial"/>
        </w:rPr>
        <w:t>Anti-Discrimination Act 1991</w:t>
      </w:r>
      <w:r w:rsidRPr="002C6D65">
        <w:rPr>
          <w:rFonts w:cs="Arial"/>
        </w:rPr>
        <w:t xml:space="preserve"> (Qld), s 156; and </w:t>
      </w:r>
      <w:r w:rsidRPr="002C6D65">
        <w:rPr>
          <w:rStyle w:val="Characteritalic"/>
          <w:rFonts w:cs="Arial"/>
        </w:rPr>
        <w:t>Equal Opportunity Act 1984</w:t>
      </w:r>
      <w:r w:rsidRPr="002C6D65">
        <w:rPr>
          <w:rFonts w:cs="Arial"/>
        </w:rPr>
        <w:t xml:space="preserve"> (WA), s 86. </w:t>
      </w:r>
    </w:p>
  </w:endnote>
  <w:endnote w:id="237">
    <w:p w14:paraId="4F6A24D8" w14:textId="77777777" w:rsidR="00407A5F" w:rsidRPr="002C6D65" w:rsidRDefault="00407A5F" w:rsidP="008C3C11">
      <w:pPr>
        <w:pStyle w:val="EndnoteText"/>
        <w:rPr>
          <w:rFonts w:cs="Arial"/>
        </w:rPr>
      </w:pPr>
      <w:r w:rsidRPr="002C6D65">
        <w:rPr>
          <w:rStyle w:val="EndnoteReference"/>
          <w:rFonts w:cs="Arial"/>
        </w:rPr>
        <w:endnoteRef/>
      </w:r>
      <w:r w:rsidRPr="002C6D65">
        <w:rPr>
          <w:rFonts w:cs="Arial"/>
        </w:rPr>
        <w:t xml:space="preserve"> Interview with the Prosecutions Court Unit, Legal Services Department and the Research and Training Unit, Police Prosecutions Unit, (Victorian Equal Opportunity and Human Rights Commission, in-person interview, 29 November 2019). </w:t>
      </w:r>
    </w:p>
  </w:endnote>
  <w:endnote w:id="238">
    <w:p w14:paraId="4919C2DF" w14:textId="1A602A80" w:rsidR="00407A5F" w:rsidRPr="002C6D65" w:rsidRDefault="00407A5F" w:rsidP="00B541A7">
      <w:pPr>
        <w:pStyle w:val="FootnoteText"/>
        <w:spacing w:after="0"/>
        <w:rPr>
          <w:rFonts w:cs="Arial"/>
          <w:sz w:val="20"/>
          <w:lang w:eastAsia="en-AU"/>
        </w:rPr>
      </w:pPr>
      <w:r w:rsidRPr="002C6D65">
        <w:rPr>
          <w:rStyle w:val="EndnoteReference"/>
          <w:rFonts w:cs="Arial"/>
          <w:sz w:val="20"/>
        </w:rPr>
        <w:endnoteRef/>
      </w:r>
      <w:r w:rsidRPr="002C6D65">
        <w:rPr>
          <w:rFonts w:cs="Arial"/>
          <w:sz w:val="20"/>
        </w:rPr>
        <w:t xml:space="preserve"> </w:t>
      </w:r>
      <w:r w:rsidRPr="002C6D65">
        <w:rPr>
          <w:rStyle w:val="Characteritalic"/>
          <w:rFonts w:cs="Arial"/>
          <w:sz w:val="20"/>
        </w:rPr>
        <w:t>Summary Offences Act 1966</w:t>
      </w:r>
      <w:r w:rsidRPr="002C6D65">
        <w:rPr>
          <w:rFonts w:cs="Arial"/>
          <w:sz w:val="20"/>
        </w:rPr>
        <w:t xml:space="preserve"> (Vic) s 23 and 27.</w:t>
      </w:r>
    </w:p>
  </w:endnote>
  <w:endnote w:id="239">
    <w:p w14:paraId="66E6044E" w14:textId="1E35EB66" w:rsidR="00407A5F" w:rsidRDefault="00407A5F">
      <w:pPr>
        <w:pStyle w:val="EndnoteText"/>
      </w:pPr>
      <w:r>
        <w:rPr>
          <w:rStyle w:val="EndnoteReference"/>
        </w:rPr>
        <w:endnoteRef/>
      </w:r>
      <w:r>
        <w:t xml:space="preserve"> </w:t>
      </w:r>
      <w:r w:rsidRPr="002C6D65">
        <w:rPr>
          <w:rFonts w:cs="Arial"/>
        </w:rPr>
        <w:t xml:space="preserve">Joe Hinchliffe, ‘Shocking video emerges after two women and child “racially abused” on Melbourne train’ </w:t>
      </w:r>
      <w:r w:rsidRPr="002C6D65">
        <w:rPr>
          <w:rStyle w:val="Characteritalic"/>
          <w:rFonts w:cs="Arial"/>
        </w:rPr>
        <w:t>the Age</w:t>
      </w:r>
      <w:r w:rsidRPr="002C6D65">
        <w:rPr>
          <w:rFonts w:cs="Arial"/>
        </w:rPr>
        <w:t xml:space="preserve"> (online, 13 January 2019) &lt;</w:t>
      </w:r>
      <w:hyperlink r:id="rId39" w:history="1">
        <w:r w:rsidRPr="002C6D65">
          <w:rPr>
            <w:rStyle w:val="Hyperlink"/>
            <w:rFonts w:cs="Arial"/>
          </w:rPr>
          <w:t>https://www.theage.com.au/national/victoria/shocking-video-emerges-after-two-women-and-child-racially-abused-on-melbourne-train-20190113-p50r56.html</w:t>
        </w:r>
      </w:hyperlink>
      <w:r w:rsidRPr="002C6D65">
        <w:rPr>
          <w:rFonts w:cs="Arial"/>
        </w:rPr>
        <w:t>&gt;</w:t>
      </w:r>
    </w:p>
  </w:endnote>
  <w:endnote w:id="240">
    <w:p w14:paraId="28A26365" w14:textId="41FDB68C" w:rsidR="00407A5F" w:rsidRDefault="00407A5F">
      <w:pPr>
        <w:pStyle w:val="EndnoteText"/>
      </w:pPr>
      <w:r>
        <w:rPr>
          <w:rStyle w:val="EndnoteReference"/>
        </w:rPr>
        <w:endnoteRef/>
      </w:r>
      <w:r>
        <w:t xml:space="preserve"> </w:t>
      </w:r>
      <w:r w:rsidRPr="002C6D65">
        <w:rPr>
          <w:rFonts w:cs="Arial"/>
        </w:rPr>
        <w:t xml:space="preserve">Adam Cooper, ‘Man jailed for racist bus rant’ </w:t>
      </w:r>
      <w:r w:rsidRPr="002C6D65">
        <w:rPr>
          <w:rStyle w:val="Characteritalic"/>
          <w:rFonts w:cs="Arial"/>
        </w:rPr>
        <w:t>the Age</w:t>
      </w:r>
      <w:r w:rsidRPr="002C6D65">
        <w:rPr>
          <w:rFonts w:cs="Arial"/>
        </w:rPr>
        <w:t xml:space="preserve"> (online, 17 January 2014) &lt;</w:t>
      </w:r>
      <w:hyperlink r:id="rId40" w:anchor="ixzz3swMOnTcc" w:history="1">
        <w:r w:rsidRPr="002C6D65">
          <w:rPr>
            <w:rStyle w:val="Hyperlink"/>
            <w:rFonts w:cs="Arial"/>
            <w:lang w:val="en-GB"/>
          </w:rPr>
          <w:t>https://www.theage.com.au/national/victoria/man-jailed-for-racist-bus-rant-20140117-30zyx.html#ixzz3swMOnTcc</w:t>
        </w:r>
      </w:hyperlink>
      <w:r w:rsidRPr="002C6D65">
        <w:rPr>
          <w:rFonts w:cs="Arial"/>
        </w:rPr>
        <w:t>&gt;</w:t>
      </w:r>
      <w:r w:rsidRPr="002C6D65">
        <w:rPr>
          <w:rFonts w:cs="Arial"/>
          <w:lang w:val="en-GB"/>
        </w:rPr>
        <w:t>.</w:t>
      </w:r>
    </w:p>
  </w:endnote>
  <w:endnote w:id="241">
    <w:p w14:paraId="01857973" w14:textId="08FCCCB1" w:rsidR="00407A5F" w:rsidRDefault="00407A5F">
      <w:pPr>
        <w:pStyle w:val="EndnoteText"/>
      </w:pPr>
      <w:r>
        <w:rPr>
          <w:rStyle w:val="EndnoteReference"/>
        </w:rPr>
        <w:endnoteRef/>
      </w:r>
      <w:r>
        <w:t xml:space="preserve"> </w:t>
      </w:r>
      <w:r w:rsidRPr="002C6D65">
        <w:rPr>
          <w:rFonts w:cs="Arial"/>
        </w:rPr>
        <w:t>No author, ‘Three charged over Vic race hate attack’ the Age (online 6 March 2007) &lt;</w:t>
      </w:r>
      <w:hyperlink r:id="rId41" w:history="1">
        <w:r w:rsidRPr="002C6D65">
          <w:rPr>
            <w:rStyle w:val="Hyperlink"/>
            <w:rFonts w:cs="Arial"/>
          </w:rPr>
          <w:t>https://www.smh.com.au/national/three-charged-over-vic-race-hate-attack-20070306-wa.html</w:t>
        </w:r>
      </w:hyperlink>
      <w:r w:rsidRPr="002C6D65">
        <w:rPr>
          <w:rFonts w:cs="Arial"/>
        </w:rPr>
        <w:t>&gt;.</w:t>
      </w:r>
    </w:p>
  </w:endnote>
  <w:endnote w:id="242">
    <w:p w14:paraId="19521858" w14:textId="6CAE5A70"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the Prosecutions Court Unit above n 236.</w:t>
      </w:r>
    </w:p>
  </w:endnote>
  <w:endnote w:id="243">
    <w:p w14:paraId="7B83EEF5" w14:textId="59D9AD4A"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244">
    <w:p w14:paraId="0F4CBD09" w14:textId="211EDA68" w:rsidR="00407A5F" w:rsidRPr="002C6D65" w:rsidRDefault="00407A5F">
      <w:pPr>
        <w:pStyle w:val="EndnoteText"/>
        <w:rPr>
          <w:rFonts w:cs="Arial"/>
        </w:rPr>
      </w:pPr>
      <w:r w:rsidRPr="002C6D65">
        <w:rPr>
          <w:rStyle w:val="EndnoteReference"/>
          <w:rFonts w:cs="Arial"/>
        </w:rPr>
        <w:endnoteRef/>
      </w:r>
      <w:r w:rsidRPr="002C6D65">
        <w:rPr>
          <w:rFonts w:cs="Arial"/>
        </w:rPr>
        <w:t xml:space="preserve"> Professor Simon Rice and Professor Neil Rees, Submission no 36 to the Standing Committee on Law and Justice, </w:t>
      </w:r>
      <w:r w:rsidRPr="002C6D65">
        <w:rPr>
          <w:rStyle w:val="Characteritalic"/>
          <w:rFonts w:cs="Arial"/>
        </w:rPr>
        <w:t xml:space="preserve">Racial vilification law in NSW </w:t>
      </w:r>
      <w:r w:rsidRPr="002C6D65">
        <w:rPr>
          <w:rFonts w:cs="Arial"/>
        </w:rPr>
        <w:t xml:space="preserve">(19 March 2013) &lt; </w:t>
      </w:r>
      <w:hyperlink r:id="rId42" w:history="1">
        <w:r w:rsidRPr="002C6D65">
          <w:rPr>
            <w:rStyle w:val="Hyperlink"/>
            <w:rFonts w:cs="Arial"/>
          </w:rPr>
          <w:t>https://www.parliament.nsw.gov.au/lcdocs/submissions/36180/0036%20Prof%20Rice%20and%20Prof%20Rees.pdf</w:t>
        </w:r>
      </w:hyperlink>
      <w:r w:rsidRPr="002C6D65">
        <w:rPr>
          <w:rFonts w:cs="Arial"/>
        </w:rPr>
        <w:t>&gt;, 6.</w:t>
      </w:r>
    </w:p>
  </w:endnote>
  <w:endnote w:id="245">
    <w:p w14:paraId="68B6C639" w14:textId="2A54EFBD"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the Prosecutions Court Unit above n 236.</w:t>
      </w:r>
    </w:p>
  </w:endnote>
  <w:endnote w:id="246">
    <w:p w14:paraId="76948433" w14:textId="5D9A958D" w:rsidR="00407A5F" w:rsidRPr="002C6D65" w:rsidRDefault="00407A5F" w:rsidP="00997661">
      <w:pPr>
        <w:pStyle w:val="EndnoteText"/>
        <w:rPr>
          <w:rFonts w:cs="Arial"/>
        </w:rPr>
      </w:pPr>
      <w:r w:rsidRPr="002C6D65">
        <w:rPr>
          <w:rStyle w:val="EndnoteReference"/>
          <w:rFonts w:cs="Arial"/>
        </w:rPr>
        <w:endnoteRef/>
      </w:r>
      <w:r w:rsidRPr="002C6D65">
        <w:rPr>
          <w:rFonts w:cs="Arial"/>
        </w:rPr>
        <w:t xml:space="preserve"> Standing Committee on Law and Justice, </w:t>
      </w:r>
      <w:r w:rsidRPr="002C6D65">
        <w:rPr>
          <w:rStyle w:val="Characteritalic"/>
          <w:rFonts w:cs="Arial"/>
        </w:rPr>
        <w:t>Racial vilification law in New South Wales</w:t>
      </w:r>
      <w:r w:rsidRPr="002C6D65">
        <w:rPr>
          <w:rFonts w:cs="Arial"/>
        </w:rPr>
        <w:t xml:space="preserve">, (Fina3 December 2013, 73. </w:t>
      </w:r>
    </w:p>
  </w:endnote>
  <w:endnote w:id="247">
    <w:p w14:paraId="3AA08DB7" w14:textId="24400479" w:rsidR="00407A5F" w:rsidRPr="002C6D65" w:rsidRDefault="00407A5F" w:rsidP="00997661">
      <w:pPr>
        <w:pStyle w:val="EndnoteText"/>
        <w:rPr>
          <w:rFonts w:cs="Arial"/>
        </w:rPr>
      </w:pPr>
      <w:r w:rsidRPr="002C6D65">
        <w:rPr>
          <w:rStyle w:val="EndnoteReference"/>
          <w:rFonts w:cs="Arial"/>
        </w:rPr>
        <w:endnoteRef/>
      </w:r>
      <w:r w:rsidRPr="002C6D65">
        <w:rPr>
          <w:rFonts w:cs="Arial"/>
        </w:rPr>
        <w:t xml:space="preserve"> Id.</w:t>
      </w:r>
    </w:p>
  </w:endnote>
  <w:endnote w:id="248">
    <w:p w14:paraId="4F480ED5" w14:textId="77777777" w:rsidR="00407A5F" w:rsidRPr="002C6D65" w:rsidRDefault="00407A5F" w:rsidP="00003AD4">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1900</w:t>
      </w:r>
      <w:r w:rsidRPr="002C6D65">
        <w:rPr>
          <w:rFonts w:cs="Arial"/>
        </w:rPr>
        <w:t xml:space="preserve"> (NSW) s 93Z.</w:t>
      </w:r>
    </w:p>
  </w:endnote>
  <w:endnote w:id="249">
    <w:p w14:paraId="16094B9D" w14:textId="755CA83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Racial Vilification Act 1996</w:t>
      </w:r>
      <w:r w:rsidRPr="002C6D65">
        <w:rPr>
          <w:rFonts w:cs="Arial"/>
        </w:rPr>
        <w:t xml:space="preserve"> (SA) s 4. </w:t>
      </w:r>
    </w:p>
  </w:endnote>
  <w:endnote w:id="250">
    <w:p w14:paraId="2533233C" w14:textId="07B2E1AD" w:rsidR="00407A5F" w:rsidRPr="002C6D65" w:rsidRDefault="00407A5F" w:rsidP="003B5536">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Compilation Act</w:t>
      </w:r>
      <w:r w:rsidRPr="002C6D65">
        <w:rPr>
          <w:rFonts w:cs="Arial"/>
        </w:rPr>
        <w:t xml:space="preserve"> 1913 (WA) s 77.</w:t>
      </w:r>
    </w:p>
  </w:endnote>
  <w:endnote w:id="251">
    <w:p w14:paraId="502611F7" w14:textId="6D9E19A5" w:rsidR="00407A5F" w:rsidRPr="002C6D65" w:rsidRDefault="00407A5F" w:rsidP="003B5536">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Compilation Act</w:t>
      </w:r>
      <w:r w:rsidRPr="002C6D65">
        <w:rPr>
          <w:rFonts w:cs="Arial"/>
        </w:rPr>
        <w:t xml:space="preserve"> 1913 (WA) s 78.</w:t>
      </w:r>
    </w:p>
  </w:endnote>
  <w:endnote w:id="252">
    <w:p w14:paraId="39F90D90" w14:textId="44E93711" w:rsidR="00407A5F" w:rsidRPr="002C6D65" w:rsidRDefault="00407A5F" w:rsidP="003B5536">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1991</w:t>
      </w:r>
      <w:r w:rsidRPr="002C6D65">
        <w:rPr>
          <w:rFonts w:cs="Arial"/>
        </w:rPr>
        <w:t xml:space="preserve"> (Qld) s 131A(1).</w:t>
      </w:r>
    </w:p>
  </w:endnote>
  <w:endnote w:id="253">
    <w:p w14:paraId="0CD38EEC" w14:textId="0B2BDD4C" w:rsidR="00407A5F" w:rsidRPr="002C6D65" w:rsidRDefault="00407A5F" w:rsidP="003B5536">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1995</w:t>
      </w:r>
      <w:r w:rsidRPr="002C6D65">
        <w:rPr>
          <w:rFonts w:cs="Arial"/>
        </w:rPr>
        <w:t xml:space="preserve"> (Cth), 80.2A.</w:t>
      </w:r>
    </w:p>
  </w:endnote>
  <w:endnote w:id="254">
    <w:p w14:paraId="0B8415DE" w14:textId="3DEF5665" w:rsidR="00407A5F" w:rsidRPr="002C6D65" w:rsidRDefault="00407A5F" w:rsidP="00594EAE">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1995</w:t>
      </w:r>
      <w:r w:rsidRPr="002C6D65">
        <w:rPr>
          <w:rFonts w:cs="Arial"/>
        </w:rPr>
        <w:t xml:space="preserve"> (Cth), 80.2B.</w:t>
      </w:r>
    </w:p>
  </w:endnote>
  <w:endnote w:id="255">
    <w:p w14:paraId="563219FE" w14:textId="767D0C73" w:rsidR="00407A5F" w:rsidRPr="002C6D65" w:rsidRDefault="00407A5F">
      <w:pPr>
        <w:pStyle w:val="EndnoteText"/>
        <w:rPr>
          <w:rFonts w:cs="Arial"/>
        </w:rPr>
      </w:pPr>
      <w:r w:rsidRPr="002C6D65">
        <w:rPr>
          <w:rStyle w:val="EndnoteReference"/>
          <w:rFonts w:cs="Arial"/>
        </w:rPr>
        <w:endnoteRef/>
      </w:r>
      <w:r w:rsidRPr="002C6D65">
        <w:rPr>
          <w:rStyle w:val="Characteritalic"/>
          <w:rFonts w:cs="Arial"/>
        </w:rPr>
        <w:t xml:space="preserve"> Summary Offences Act 1966</w:t>
      </w:r>
      <w:r w:rsidRPr="002C6D65">
        <w:rPr>
          <w:rFonts w:cs="Arial"/>
        </w:rPr>
        <w:t xml:space="preserve"> (Vic) s 23.</w:t>
      </w:r>
    </w:p>
  </w:endnote>
  <w:endnote w:id="256">
    <w:p w14:paraId="2D299C43" w14:textId="0F2DA4D4" w:rsidR="00407A5F" w:rsidRPr="002C6D65" w:rsidRDefault="00407A5F" w:rsidP="0049770F">
      <w:pPr>
        <w:pStyle w:val="EndnoteText"/>
        <w:rPr>
          <w:rFonts w:cs="Arial"/>
        </w:rPr>
      </w:pPr>
      <w:r w:rsidRPr="002C6D65">
        <w:rPr>
          <w:rStyle w:val="EndnoteReference"/>
          <w:rFonts w:cs="Arial"/>
        </w:rPr>
        <w:endnoteRef/>
      </w:r>
      <w:r w:rsidRPr="002C6D65">
        <w:rPr>
          <w:rStyle w:val="Characteritalic"/>
          <w:rFonts w:cs="Arial"/>
        </w:rPr>
        <w:t>Summary Offences Act 1966</w:t>
      </w:r>
      <w:r w:rsidRPr="002C6D65">
        <w:rPr>
          <w:rFonts w:cs="Arial"/>
        </w:rPr>
        <w:t xml:space="preserve"> (Vic) s 24.</w:t>
      </w:r>
    </w:p>
  </w:endnote>
  <w:endnote w:id="257">
    <w:p w14:paraId="6AFE1A43" w14:textId="173097DB" w:rsidR="00407A5F" w:rsidRPr="002C6D65" w:rsidRDefault="00407A5F" w:rsidP="0049770F">
      <w:pPr>
        <w:pStyle w:val="EndnoteText"/>
        <w:rPr>
          <w:rFonts w:cs="Arial"/>
        </w:rPr>
      </w:pPr>
      <w:r w:rsidRPr="002C6D65">
        <w:rPr>
          <w:rStyle w:val="EndnoteReference"/>
          <w:rFonts w:cs="Arial"/>
        </w:rPr>
        <w:endnoteRef/>
      </w:r>
      <w:r w:rsidRPr="002C6D65">
        <w:rPr>
          <w:rStyle w:val="Characteritalic"/>
          <w:rFonts w:cs="Arial"/>
        </w:rPr>
        <w:t>Summary Offences Act 1966</w:t>
      </w:r>
      <w:r w:rsidRPr="002C6D65">
        <w:rPr>
          <w:rFonts w:cs="Arial"/>
        </w:rPr>
        <w:t xml:space="preserve"> (Vic) s 31.</w:t>
      </w:r>
    </w:p>
  </w:endnote>
  <w:endnote w:id="258">
    <w:p w14:paraId="4D740FB8" w14:textId="22BC0FED" w:rsidR="00407A5F" w:rsidRPr="002C6D65" w:rsidRDefault="00407A5F">
      <w:pPr>
        <w:pStyle w:val="EndnoteText"/>
        <w:rPr>
          <w:rFonts w:cs="Arial"/>
        </w:rPr>
      </w:pPr>
      <w:r w:rsidRPr="002C6D65">
        <w:rPr>
          <w:rStyle w:val="EndnoteReference"/>
          <w:rFonts w:cs="Arial"/>
        </w:rPr>
        <w:endnoteRef/>
      </w:r>
      <w:r w:rsidRPr="002C6D65">
        <w:rPr>
          <w:rStyle w:val="Characteritalic"/>
          <w:rFonts w:cs="Arial"/>
        </w:rPr>
        <w:t>Summary Offences Act 1966</w:t>
      </w:r>
      <w:r w:rsidRPr="002C6D65">
        <w:rPr>
          <w:rFonts w:cs="Arial"/>
        </w:rPr>
        <w:t xml:space="preserve"> (Vic) s 9.</w:t>
      </w:r>
    </w:p>
  </w:endnote>
  <w:endnote w:id="259">
    <w:p w14:paraId="6104FE4A" w14:textId="0FCB3044"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Summary Offences Act 1966</w:t>
      </w:r>
      <w:r w:rsidRPr="002C6D65">
        <w:rPr>
          <w:rFonts w:cs="Arial"/>
        </w:rPr>
        <w:t xml:space="preserve"> (Vic) s 17.</w:t>
      </w:r>
    </w:p>
  </w:endnote>
  <w:endnote w:id="260">
    <w:p w14:paraId="28215219" w14:textId="0EDBE227"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21.</w:t>
      </w:r>
    </w:p>
  </w:endnote>
  <w:endnote w:id="261">
    <w:p w14:paraId="6B79BA63" w14:textId="4F87F022"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20.</w:t>
      </w:r>
    </w:p>
  </w:endnote>
  <w:endnote w:id="262">
    <w:p w14:paraId="6194BA99" w14:textId="3DFACDA4"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198.</w:t>
      </w:r>
    </w:p>
  </w:endnote>
  <w:endnote w:id="263">
    <w:p w14:paraId="37D6CE97" w14:textId="7729B744"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195H.</w:t>
      </w:r>
    </w:p>
  </w:endnote>
  <w:endnote w:id="264">
    <w:p w14:paraId="714D0F13" w14:textId="25A5F779"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197.</w:t>
      </w:r>
    </w:p>
  </w:endnote>
  <w:endnote w:id="265">
    <w:p w14:paraId="4900D331" w14:textId="0444F721"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16.</w:t>
      </w:r>
    </w:p>
  </w:endnote>
  <w:endnote w:id="266">
    <w:p w14:paraId="118C7339" w14:textId="51D50144"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17.</w:t>
      </w:r>
    </w:p>
  </w:endnote>
  <w:endnote w:id="267">
    <w:p w14:paraId="6A352C23" w14:textId="06ECEF6F" w:rsidR="00407A5F" w:rsidRPr="002C6D65" w:rsidRDefault="00407A5F">
      <w:pPr>
        <w:pStyle w:val="EndnoteText"/>
        <w:rPr>
          <w:rFonts w:cs="Arial"/>
        </w:rPr>
      </w:pPr>
      <w:r w:rsidRPr="002C6D65">
        <w:rPr>
          <w:rStyle w:val="EndnoteReference"/>
          <w:rFonts w:cs="Arial"/>
        </w:rPr>
        <w:endnoteRef/>
      </w:r>
      <w:r w:rsidRPr="002C6D65">
        <w:rPr>
          <w:rStyle w:val="Characteritalic"/>
          <w:rFonts w:cs="Arial"/>
        </w:rPr>
        <w:t xml:space="preserve"> Crimes Act 1958</w:t>
      </w:r>
      <w:r w:rsidRPr="002C6D65">
        <w:rPr>
          <w:rFonts w:cs="Arial"/>
        </w:rPr>
        <w:t xml:space="preserve"> (Vic) s 195I.</w:t>
      </w:r>
    </w:p>
  </w:endnote>
  <w:endnote w:id="268">
    <w:p w14:paraId="236EB06E" w14:textId="16A07CB5" w:rsidR="00407A5F" w:rsidRPr="002C6D65" w:rsidRDefault="00407A5F">
      <w:pPr>
        <w:pStyle w:val="EndnoteText"/>
        <w:rPr>
          <w:rFonts w:cs="Arial"/>
        </w:rPr>
      </w:pPr>
      <w:r w:rsidRPr="002C6D65">
        <w:rPr>
          <w:rStyle w:val="EndnoteReference"/>
          <w:rFonts w:cs="Arial"/>
        </w:rPr>
        <w:endnoteRef/>
      </w:r>
      <w:r w:rsidRPr="002C6D65">
        <w:rPr>
          <w:rStyle w:val="Characteritalic"/>
          <w:rFonts w:cs="Arial"/>
        </w:rPr>
        <w:t xml:space="preserve"> Criminal Code Act 1995</w:t>
      </w:r>
      <w:r w:rsidRPr="002C6D65">
        <w:rPr>
          <w:rFonts w:cs="Arial"/>
        </w:rPr>
        <w:t xml:space="preserve"> (Cth), Div 474.17.</w:t>
      </w:r>
    </w:p>
  </w:endnote>
  <w:endnote w:id="269">
    <w:p w14:paraId="6C36DB34" w14:textId="40144AA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ss 321G, 321I.</w:t>
      </w:r>
    </w:p>
  </w:endnote>
  <w:endnote w:id="270">
    <w:p w14:paraId="3631E25E" w14:textId="0351E83A"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Crimes Act 1958</w:t>
      </w:r>
      <w:r w:rsidRPr="002C6D65">
        <w:rPr>
          <w:rFonts w:cs="Arial"/>
        </w:rPr>
        <w:t xml:space="preserve"> (Vic) s 31. </w:t>
      </w:r>
    </w:p>
  </w:endnote>
  <w:endnote w:id="271">
    <w:p w14:paraId="3CFB5FD8" w14:textId="76F3BFEA"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i/>
        </w:rPr>
        <w:t>R v Gouros</w:t>
      </w:r>
      <w:r w:rsidRPr="002C6D65">
        <w:rPr>
          <w:rFonts w:cs="Arial"/>
        </w:rPr>
        <w:t xml:space="preserve"> [2009] VCC 1731 (racial prejudice); </w:t>
      </w:r>
      <w:r w:rsidRPr="002C6D65">
        <w:rPr>
          <w:rFonts w:cs="Arial"/>
          <w:i/>
        </w:rPr>
        <w:t>Senior Constable Emma Kerry v Bilal Ali</w:t>
      </w:r>
      <w:r w:rsidRPr="002C6D65">
        <w:rPr>
          <w:rFonts w:cs="Arial"/>
        </w:rPr>
        <w:t xml:space="preserve"> (unreported, Magistrates’ Court of Victoria, 17 October 2011 (homosexual prejudice)); </w:t>
      </w:r>
      <w:r w:rsidRPr="002C6D65">
        <w:rPr>
          <w:rFonts w:cs="Arial"/>
          <w:i/>
        </w:rPr>
        <w:t>Senior Constable Emma, Kerry v Hussain El Halabi</w:t>
      </w:r>
      <w:r w:rsidRPr="002C6D65">
        <w:rPr>
          <w:rFonts w:cs="Arial"/>
        </w:rPr>
        <w:t xml:space="preserve"> (Unreported, Magistrates’ Court of Victoria, 19 December 2011 (homosexual prejudice)); </w:t>
      </w:r>
      <w:r w:rsidRPr="002C6D65">
        <w:rPr>
          <w:rFonts w:cs="Arial"/>
          <w:i/>
        </w:rPr>
        <w:t>R v O’Brien</w:t>
      </w:r>
      <w:r w:rsidRPr="002C6D65">
        <w:rPr>
          <w:rFonts w:cs="Arial"/>
        </w:rPr>
        <w:t xml:space="preserve"> [2012] VSC 592 (racial prejudice).</w:t>
      </w:r>
    </w:p>
  </w:endnote>
  <w:endnote w:id="272">
    <w:p w14:paraId="3A0A3AF6" w14:textId="21B543C1" w:rsidR="00407A5F" w:rsidRPr="002C6D65" w:rsidRDefault="00407A5F">
      <w:pPr>
        <w:pStyle w:val="EndnoteText"/>
        <w:rPr>
          <w:rFonts w:cs="Arial"/>
        </w:rPr>
      </w:pPr>
      <w:r w:rsidRPr="002C6D65">
        <w:rPr>
          <w:rStyle w:val="EndnoteReference"/>
          <w:rFonts w:cs="Arial"/>
        </w:rPr>
        <w:endnoteRef/>
      </w:r>
      <w:r w:rsidRPr="002C6D65">
        <w:rPr>
          <w:rFonts w:cs="Arial"/>
        </w:rPr>
        <w:t xml:space="preserve"> Judicial College of Victoria above n 19 part 5.2.5., citing </w:t>
      </w:r>
      <w:r w:rsidRPr="002C6D65">
        <w:rPr>
          <w:rStyle w:val="Characteritalic"/>
          <w:rFonts w:cs="Arial"/>
        </w:rPr>
        <w:t>R v O’Brien</w:t>
      </w:r>
      <w:r w:rsidRPr="002C6D65">
        <w:rPr>
          <w:rFonts w:cs="Arial"/>
        </w:rPr>
        <w:t xml:space="preserve"> [2012] VSC 592, 37.</w:t>
      </w:r>
    </w:p>
  </w:endnote>
  <w:endnote w:id="273">
    <w:p w14:paraId="718E0722" w14:textId="29EE258E" w:rsidR="00407A5F" w:rsidRPr="002C6D65" w:rsidRDefault="00407A5F">
      <w:pPr>
        <w:pStyle w:val="EndnoteText"/>
        <w:rPr>
          <w:rFonts w:cs="Arial"/>
        </w:rPr>
      </w:pPr>
      <w:r w:rsidRPr="002C6D65">
        <w:rPr>
          <w:rStyle w:val="EndnoteReference"/>
          <w:rFonts w:cs="Arial"/>
        </w:rPr>
        <w:endnoteRef/>
      </w:r>
      <w:r w:rsidRPr="002C6D65">
        <w:rPr>
          <w:rFonts w:cs="Arial"/>
        </w:rPr>
        <w:t xml:space="preserve"> LGBTIQ Focus Group above n 63.</w:t>
      </w:r>
    </w:p>
  </w:endnote>
  <w:endnote w:id="274">
    <w:p w14:paraId="082D6E3C" w14:textId="2A7A7B89"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above n 11</w:t>
      </w:r>
      <w:r>
        <w:rPr>
          <w:rFonts w:cs="Arial"/>
        </w:rPr>
        <w:t>8</w:t>
      </w:r>
      <w:r w:rsidRPr="002C6D65">
        <w:rPr>
          <w:rFonts w:cs="Arial"/>
        </w:rPr>
        <w:t>, 22.</w:t>
      </w:r>
    </w:p>
  </w:endnote>
  <w:endnote w:id="275">
    <w:p w14:paraId="3319E927" w14:textId="77777777" w:rsidR="00407A5F" w:rsidRPr="002C6D65" w:rsidRDefault="00407A5F" w:rsidP="002F435D">
      <w:pPr>
        <w:pStyle w:val="EndnoteText"/>
        <w:rPr>
          <w:rFonts w:cs="Arial"/>
        </w:rPr>
      </w:pPr>
      <w:r w:rsidRPr="002C6D65">
        <w:rPr>
          <w:rStyle w:val="EndnoteReference"/>
          <w:rFonts w:cs="Arial"/>
        </w:rPr>
        <w:endnoteRef/>
      </w:r>
      <w:r w:rsidRPr="002C6D65">
        <w:rPr>
          <w:rFonts w:cs="Arial"/>
        </w:rPr>
        <w:t xml:space="preserve"> Data provided to VEOHRC by the Crimes Statistic Agency on 13 December 2019.</w:t>
      </w:r>
    </w:p>
  </w:endnote>
  <w:endnote w:id="276">
    <w:p w14:paraId="034F2421" w14:textId="447AD870" w:rsidR="00407A5F" w:rsidRPr="002C6D65" w:rsidRDefault="00407A5F">
      <w:pPr>
        <w:pStyle w:val="EndnoteText"/>
        <w:rPr>
          <w:rFonts w:cs="Arial"/>
        </w:rPr>
      </w:pPr>
      <w:r w:rsidRPr="002C6D65">
        <w:rPr>
          <w:rStyle w:val="EndnoteReference"/>
          <w:rFonts w:cs="Arial"/>
        </w:rPr>
        <w:endnoteRef/>
      </w:r>
      <w:r w:rsidRPr="002C6D65">
        <w:rPr>
          <w:rFonts w:cs="Arial"/>
        </w:rPr>
        <w:t xml:space="preserve"> Gail Mason and Andrew Dyer, A negation of Australia’s fundamental values: Sentencing Prejudice-Motivated Crime, Monash University Law Review, Vol 36:871, 891.</w:t>
      </w:r>
    </w:p>
  </w:endnote>
  <w:endnote w:id="277">
    <w:p w14:paraId="145106D1" w14:textId="240664FF" w:rsidR="00407A5F" w:rsidRPr="002C6D65" w:rsidRDefault="00407A5F">
      <w:pPr>
        <w:pStyle w:val="EndnoteText"/>
        <w:rPr>
          <w:rFonts w:cs="Arial"/>
        </w:rPr>
      </w:pPr>
      <w:r w:rsidRPr="002C6D65">
        <w:rPr>
          <w:rStyle w:val="EndnoteReference"/>
          <w:rFonts w:cs="Arial"/>
        </w:rPr>
        <w:endnoteRef/>
      </w:r>
      <w:r w:rsidRPr="002C6D65">
        <w:rPr>
          <w:rFonts w:cs="Arial"/>
        </w:rPr>
        <w:t xml:space="preserve"> Gail Mason and Andrew Dyer, A negation of Australia’s fundamental values: Sentencing Prejudice-Motivated Crime, Monash University Law Review, Vol 36:871, 891.</w:t>
      </w:r>
    </w:p>
  </w:endnote>
  <w:endnote w:id="278">
    <w:p w14:paraId="3A2D385C" w14:textId="2AEA411A"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R v Rintoull </w:t>
      </w:r>
      <w:r w:rsidRPr="002C6D65">
        <w:rPr>
          <w:rFonts w:cs="Arial"/>
        </w:rPr>
        <w:t>[2009] VSC 617, 74-76.</w:t>
      </w:r>
    </w:p>
  </w:endnote>
  <w:endnote w:id="279">
    <w:p w14:paraId="78AD2336" w14:textId="570644AA"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R v Rintoull </w:t>
      </w:r>
      <w:r w:rsidRPr="002C6D65">
        <w:rPr>
          <w:rFonts w:cs="Arial"/>
        </w:rPr>
        <w:t>[2009] VSC 617, 106.</w:t>
      </w:r>
    </w:p>
  </w:endnote>
  <w:endnote w:id="280">
    <w:p w14:paraId="36C37C44" w14:textId="55C39F71"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R v Rintoull</w:t>
      </w:r>
      <w:r w:rsidRPr="002C6D65">
        <w:rPr>
          <w:rFonts w:cs="Arial"/>
        </w:rPr>
        <w:t xml:space="preserve"> [2009] VSC 617, 108. </w:t>
      </w:r>
    </w:p>
  </w:endnote>
  <w:endnote w:id="281">
    <w:p w14:paraId="08107E5C" w14:textId="0A103E36" w:rsidR="00407A5F" w:rsidRPr="002C6D65" w:rsidRDefault="00407A5F">
      <w:pPr>
        <w:pStyle w:val="EndnoteText"/>
        <w:rPr>
          <w:rFonts w:cs="Arial"/>
        </w:rPr>
      </w:pPr>
      <w:r w:rsidRPr="002C6D65">
        <w:rPr>
          <w:rStyle w:val="EndnoteReference"/>
          <w:rFonts w:cs="Arial"/>
        </w:rPr>
        <w:endnoteRef/>
      </w:r>
      <w:r w:rsidRPr="002C6D65">
        <w:rPr>
          <w:rFonts w:cs="Arial"/>
        </w:rPr>
        <w:t xml:space="preserve"> Focus group with the legal and academic sectors (Victorian Equal Opportunity and Human Rights Commission, 5 December 2019).</w:t>
      </w:r>
    </w:p>
  </w:endnote>
  <w:endnote w:id="282">
    <w:p w14:paraId="5AB18D6C" w14:textId="021DF6BD" w:rsidR="00407A5F" w:rsidRPr="002C6D65" w:rsidRDefault="00407A5F">
      <w:pPr>
        <w:pStyle w:val="EndnoteText"/>
        <w:rPr>
          <w:rFonts w:cs="Arial"/>
        </w:rPr>
      </w:pPr>
      <w:r w:rsidRPr="002C6D65">
        <w:rPr>
          <w:rStyle w:val="EndnoteReference"/>
          <w:rFonts w:cs="Arial"/>
        </w:rPr>
        <w:endnoteRef/>
      </w:r>
      <w:r w:rsidRPr="002C6D65">
        <w:rPr>
          <w:rFonts w:cs="Arial"/>
        </w:rPr>
        <w:t xml:space="preserve"> LGBTIQ Focus Group above n 63.</w:t>
      </w:r>
    </w:p>
  </w:endnote>
  <w:endnote w:id="283">
    <w:p w14:paraId="0056846C" w14:textId="44F3A9AE" w:rsidR="00407A5F" w:rsidRPr="002C6D65" w:rsidRDefault="00407A5F">
      <w:pPr>
        <w:pStyle w:val="EndnoteText"/>
        <w:rPr>
          <w:rFonts w:cs="Arial"/>
        </w:rPr>
      </w:pPr>
      <w:r w:rsidRPr="002C6D65">
        <w:rPr>
          <w:rStyle w:val="EndnoteReference"/>
          <w:rFonts w:cs="Arial"/>
        </w:rPr>
        <w:endnoteRef/>
      </w:r>
      <w:r w:rsidRPr="002C6D65">
        <w:rPr>
          <w:rFonts w:cs="Arial"/>
        </w:rPr>
        <w:t xml:space="preserve"> Ballarat African Association above n 104.</w:t>
      </w:r>
    </w:p>
  </w:endnote>
  <w:endnote w:id="284">
    <w:p w14:paraId="7B57E5E8" w14:textId="176A35E3" w:rsidR="00407A5F" w:rsidRPr="002C6D65" w:rsidRDefault="00407A5F" w:rsidP="005D6968">
      <w:pPr>
        <w:pStyle w:val="FootnoteText"/>
        <w:spacing w:after="0"/>
        <w:rPr>
          <w:rFonts w:cs="Arial"/>
          <w:sz w:val="20"/>
        </w:rPr>
      </w:pPr>
      <w:r w:rsidRPr="002C6D65">
        <w:rPr>
          <w:rStyle w:val="EndnoteReference"/>
          <w:rFonts w:cs="Arial"/>
          <w:sz w:val="20"/>
        </w:rPr>
        <w:endnoteRef/>
      </w:r>
      <w:r w:rsidRPr="002C6D65">
        <w:rPr>
          <w:rFonts w:cs="Arial"/>
          <w:sz w:val="20"/>
        </w:rPr>
        <w:t xml:space="preserve"> The definition of sexual orientation should be defined consistently with the definition in the Sex Discrimination Act 1984 (Cth). </w:t>
      </w:r>
    </w:p>
  </w:endnote>
  <w:endnote w:id="285">
    <w:p w14:paraId="5C3F886C" w14:textId="287EC3C0" w:rsidR="00407A5F" w:rsidRPr="002C6D65" w:rsidRDefault="00407A5F" w:rsidP="005D6968">
      <w:pPr>
        <w:pStyle w:val="FootnoteText"/>
        <w:spacing w:after="0"/>
        <w:rPr>
          <w:rFonts w:cs="Arial"/>
          <w:sz w:val="20"/>
        </w:rPr>
      </w:pPr>
      <w:r w:rsidRPr="002C6D65">
        <w:rPr>
          <w:rStyle w:val="EndnoteReference"/>
          <w:rFonts w:cs="Arial"/>
          <w:sz w:val="20"/>
        </w:rPr>
        <w:endnoteRef/>
      </w:r>
      <w:r w:rsidRPr="002C6D65">
        <w:rPr>
          <w:rFonts w:cs="Arial"/>
          <w:sz w:val="20"/>
        </w:rPr>
        <w:t xml:space="preserve"> The definition of gender identity should be consistent with the definition in the Sex Discrimination Act 1984 (Cth) to ensure people who are gender diverse, non-binary or gender non-conforming are also protected. </w:t>
      </w:r>
    </w:p>
  </w:endnote>
  <w:endnote w:id="286">
    <w:p w14:paraId="4B4B2B52" w14:textId="362E3213" w:rsidR="00407A5F" w:rsidRPr="002C6D65" w:rsidRDefault="00407A5F">
      <w:pPr>
        <w:pStyle w:val="EndnoteText"/>
        <w:rPr>
          <w:rFonts w:cs="Arial"/>
        </w:rPr>
      </w:pPr>
      <w:r w:rsidRPr="002C6D65">
        <w:rPr>
          <w:rStyle w:val="EndnoteReference"/>
          <w:rFonts w:cs="Arial"/>
        </w:rPr>
        <w:endnoteRef/>
      </w:r>
      <w:r w:rsidRPr="002C6D65">
        <w:rPr>
          <w:rFonts w:cs="Arial"/>
        </w:rPr>
        <w:t xml:space="preserve"> The definition of sex characteristics should define intersex people as people born with physical sex characteristics that do not fit medical or social norms for male and female bodies, and should accord with the Yogyakarta Principles Plus 10, as being “a person’s physical features relating to sex, including genitalia and other sexual and reproductive anatomy, chromosomes, hormones, and secondary physical features emerging from puberty”: International Commission of Jurists (ICJ), </w:t>
      </w:r>
      <w:r w:rsidRPr="002C6D65">
        <w:rPr>
          <w:rStyle w:val="Characteritalic"/>
          <w:rFonts w:cs="Arial"/>
        </w:rPr>
        <w:t>The Yogyakarta Principles Plus 10 - Additional Principles and State Obligation on the Application of International Human Rights Law in Relation to Sexual Orientation, Gender Expression and Sex Characteristics to Complement the Yogyakarta Principles</w:t>
      </w:r>
      <w:r w:rsidRPr="002C6D65">
        <w:rPr>
          <w:rFonts w:cs="Arial"/>
        </w:rPr>
        <w:t>, 10 November 2017, 6.</w:t>
      </w:r>
    </w:p>
  </w:endnote>
  <w:endnote w:id="287">
    <w:p w14:paraId="0DC5D9B2" w14:textId="63D3B4A3" w:rsidR="00407A5F" w:rsidRPr="002C6D65" w:rsidRDefault="00407A5F">
      <w:pPr>
        <w:pStyle w:val="EndnoteText"/>
        <w:rPr>
          <w:rFonts w:cs="Arial"/>
        </w:rPr>
      </w:pPr>
      <w:r w:rsidRPr="002C6D65">
        <w:rPr>
          <w:rStyle w:val="EndnoteReference"/>
          <w:rFonts w:cs="Arial"/>
        </w:rPr>
        <w:endnoteRef/>
      </w:r>
      <w:r w:rsidRPr="002C6D65">
        <w:rPr>
          <w:rFonts w:cs="Arial"/>
        </w:rPr>
        <w:t xml:space="preserve"> The definition of gender should expressly state that it is inclusive of sex to reflect the intended protection. </w:t>
      </w:r>
    </w:p>
  </w:endnote>
  <w:endnote w:id="288">
    <w:p w14:paraId="245EC214" w14:textId="5E78CC2C" w:rsidR="00407A5F" w:rsidRPr="002C6D65" w:rsidRDefault="00407A5F" w:rsidP="00B541A7">
      <w:pPr>
        <w:pStyle w:val="FootnoteText"/>
        <w:spacing w:after="0"/>
        <w:rPr>
          <w:rFonts w:cs="Arial"/>
          <w:sz w:val="20"/>
        </w:rPr>
      </w:pPr>
      <w:r w:rsidRPr="002C6D65">
        <w:rPr>
          <w:rStyle w:val="EndnoteReference"/>
          <w:rFonts w:cs="Arial"/>
          <w:sz w:val="20"/>
        </w:rPr>
        <w:endnoteRef/>
      </w:r>
      <w:r w:rsidRPr="002C6D65">
        <w:rPr>
          <w:rFonts w:cs="Arial"/>
          <w:sz w:val="20"/>
        </w:rPr>
        <w:t xml:space="preserve"> The definition of ‘disability’ should include HIV/AIDs status as indicated by caselaw on anti-discrimination provisions in Victoria and other Australian jurisdictions.  </w:t>
      </w:r>
    </w:p>
  </w:endnote>
  <w:endnote w:id="289">
    <w:p w14:paraId="37F8DEA1" w14:textId="2B96D223" w:rsidR="00407A5F" w:rsidRPr="002C6D65" w:rsidRDefault="00407A5F">
      <w:pPr>
        <w:pStyle w:val="EndnoteText"/>
        <w:rPr>
          <w:rFonts w:cs="Arial"/>
        </w:rPr>
      </w:pPr>
      <w:r w:rsidRPr="002C6D65">
        <w:rPr>
          <w:rStyle w:val="EndnoteReference"/>
          <w:rFonts w:cs="Arial"/>
        </w:rPr>
        <w:endnoteRef/>
      </w:r>
      <w:r w:rsidRPr="002C6D65">
        <w:rPr>
          <w:rFonts w:cs="Arial"/>
        </w:rPr>
        <w:t xml:space="preserve"> The Commission made similar recommendations in our Gender Equality Bill Exposure Draft submission: Victorian Equal Opportunity and Human Rights Commission, Submission on Gender Equality Bill Exposure Draft, (October, 2018) 9 &lt;</w:t>
      </w:r>
      <w:hyperlink r:id="rId43" w:history="1">
        <w:r w:rsidRPr="002C6D65">
          <w:rPr>
            <w:rStyle w:val="Hyperlink"/>
            <w:rFonts w:cs="Arial"/>
          </w:rPr>
          <w:t>https://www.humanrightscommission.vic.gov.au/policy-submissions/item/1763-submission_on_the_gender_equality_bill_exposure_draft</w:t>
        </w:r>
      </w:hyperlink>
      <w:r w:rsidRPr="002C6D65">
        <w:rPr>
          <w:rFonts w:cs="Arial"/>
        </w:rPr>
        <w:t>&gt;</w:t>
      </w:r>
      <w:r>
        <w:rPr>
          <w:rFonts w:cs="Arial"/>
        </w:rPr>
        <w:t>.</w:t>
      </w:r>
    </w:p>
  </w:endnote>
  <w:endnote w:id="290">
    <w:p w14:paraId="54D07005" w14:textId="141770EF" w:rsidR="00407A5F" w:rsidRPr="002C6D65" w:rsidRDefault="00407A5F">
      <w:pPr>
        <w:pStyle w:val="EndnoteText"/>
        <w:rPr>
          <w:rFonts w:cs="Arial"/>
        </w:rPr>
      </w:pPr>
      <w:r w:rsidRPr="002C6D65">
        <w:rPr>
          <w:rStyle w:val="EndnoteReference"/>
          <w:rFonts w:cs="Arial"/>
        </w:rPr>
        <w:endnoteRef/>
      </w:r>
      <w:r w:rsidRPr="002C6D65">
        <w:rPr>
          <w:rFonts w:cs="Arial"/>
        </w:rPr>
        <w:t xml:space="preserve"> Women’s Legal Service Victoria above n 132; Interview with the CASA Forum (Victorian Equal Opportunity and Human Rights Commission staff, in-person interview, 28 November 2019).</w:t>
      </w:r>
    </w:p>
  </w:endnote>
  <w:endnote w:id="291">
    <w:p w14:paraId="0679F85E" w14:textId="0440464B" w:rsidR="00407A5F" w:rsidRPr="002C6D65" w:rsidRDefault="00407A5F">
      <w:pPr>
        <w:pStyle w:val="EndnoteText"/>
        <w:rPr>
          <w:rFonts w:cs="Arial"/>
        </w:rPr>
      </w:pPr>
      <w:r w:rsidRPr="002C6D65">
        <w:rPr>
          <w:rStyle w:val="EndnoteReference"/>
          <w:rFonts w:cs="Arial"/>
        </w:rPr>
        <w:endnoteRef/>
      </w:r>
      <w:r w:rsidRPr="002C6D65">
        <w:rPr>
          <w:rFonts w:cs="Arial"/>
        </w:rPr>
        <w:t xml:space="preserve"> Shackelton and Griffin above n 126.</w:t>
      </w:r>
    </w:p>
  </w:endnote>
  <w:endnote w:id="292">
    <w:p w14:paraId="50337A19" w14:textId="6169E56C" w:rsidR="00407A5F" w:rsidRPr="002C6D65" w:rsidRDefault="00407A5F">
      <w:pPr>
        <w:pStyle w:val="EndnoteText"/>
        <w:rPr>
          <w:rFonts w:cs="Arial"/>
        </w:rPr>
      </w:pPr>
      <w:r w:rsidRPr="002C6D65">
        <w:rPr>
          <w:rStyle w:val="EndnoteReference"/>
          <w:rFonts w:cs="Arial"/>
        </w:rPr>
        <w:endnoteRef/>
      </w:r>
      <w:r w:rsidRPr="002C6D65">
        <w:rPr>
          <w:rFonts w:cs="Arial"/>
        </w:rPr>
        <w:t xml:space="preserve"> Women’s Legal Service Victoria above n 132; D’Souza et al above n 49. </w:t>
      </w:r>
    </w:p>
  </w:endnote>
  <w:endnote w:id="293">
    <w:p w14:paraId="655EC006" w14:textId="202364B2" w:rsidR="00407A5F" w:rsidRPr="002C6D65" w:rsidRDefault="00407A5F">
      <w:pPr>
        <w:pStyle w:val="EndnoteText"/>
        <w:rPr>
          <w:rFonts w:cs="Arial"/>
        </w:rPr>
      </w:pPr>
      <w:r w:rsidRPr="002C6D65">
        <w:rPr>
          <w:rStyle w:val="EndnoteReference"/>
          <w:rFonts w:cs="Arial"/>
        </w:rPr>
        <w:endnoteRef/>
      </w:r>
      <w:r w:rsidRPr="002C6D65">
        <w:rPr>
          <w:rFonts w:cs="Arial"/>
        </w:rPr>
        <w:t xml:space="preserve"> Racial and Religious Tolerance Amendment Bill 2019, clause 10(2). </w:t>
      </w:r>
    </w:p>
  </w:endnote>
  <w:endnote w:id="294">
    <w:p w14:paraId="4D5E13DA" w14:textId="409B5C65" w:rsidR="00407A5F" w:rsidRPr="002C6D65" w:rsidRDefault="00407A5F">
      <w:pPr>
        <w:pStyle w:val="EndnoteText"/>
        <w:rPr>
          <w:rFonts w:cs="Arial"/>
        </w:rPr>
      </w:pPr>
      <w:r w:rsidRPr="002C6D65">
        <w:rPr>
          <w:rStyle w:val="EndnoteReference"/>
          <w:rFonts w:cs="Arial"/>
        </w:rPr>
        <w:endnoteRef/>
      </w:r>
      <w:r w:rsidRPr="002C6D65">
        <w:rPr>
          <w:rFonts w:cs="Arial"/>
        </w:rPr>
        <w:t xml:space="preserve"> Explanatory Memorandum, Racial and Religious Tolerance Amendment Bill 2019, 2.</w:t>
      </w:r>
    </w:p>
  </w:endnote>
  <w:endnote w:id="295">
    <w:p w14:paraId="2AA6B72B" w14:textId="28DCF8D0"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15 VR 207, 255.</w:t>
      </w:r>
    </w:p>
  </w:endnote>
  <w:endnote w:id="296">
    <w:p w14:paraId="09A5920A" w14:textId="67351948" w:rsidR="00407A5F" w:rsidRPr="002C6D65" w:rsidRDefault="00407A5F">
      <w:pPr>
        <w:pStyle w:val="EndnoteText"/>
        <w:rPr>
          <w:rFonts w:cs="Arial"/>
        </w:rPr>
      </w:pPr>
      <w:r w:rsidRPr="002C6D65">
        <w:rPr>
          <w:rStyle w:val="EndnoteReference"/>
          <w:rFonts w:cs="Arial"/>
        </w:rPr>
        <w:endnoteRef/>
      </w:r>
      <w:r w:rsidRPr="002C6D65">
        <w:rPr>
          <w:rFonts w:cs="Arial"/>
        </w:rPr>
        <w:t xml:space="preserve"> ACT Law Reform Advisory Council, </w:t>
      </w:r>
      <w:r w:rsidRPr="002C6D65">
        <w:rPr>
          <w:rFonts w:cs="Arial"/>
          <w:i/>
        </w:rPr>
        <w:t>Review of the Anti-Discrimination Act 1991 (ACT)</w:t>
      </w:r>
      <w:r w:rsidRPr="002C6D65">
        <w:rPr>
          <w:rFonts w:cs="Arial"/>
        </w:rPr>
        <w:t>, recommendation 17.1, 97.</w:t>
      </w:r>
    </w:p>
  </w:endnote>
  <w:endnote w:id="297">
    <w:p w14:paraId="141AE584" w14:textId="7C320BA4" w:rsidR="00407A5F" w:rsidRPr="002C6D65" w:rsidRDefault="00407A5F">
      <w:pPr>
        <w:pStyle w:val="EndnoteText"/>
        <w:rPr>
          <w:rFonts w:cs="Arial"/>
        </w:rPr>
      </w:pPr>
      <w:r w:rsidRPr="002C6D65">
        <w:rPr>
          <w:rStyle w:val="EndnoteReference"/>
          <w:rFonts w:cs="Arial"/>
        </w:rPr>
        <w:endnoteRef/>
      </w:r>
      <w:r w:rsidRPr="002C6D65">
        <w:rPr>
          <w:rFonts w:cs="Arial"/>
        </w:rPr>
        <w:t xml:space="preserve"> ACT Law Reform Advisory Council, </w:t>
      </w:r>
      <w:r w:rsidRPr="002C6D65">
        <w:rPr>
          <w:rFonts w:cs="Arial"/>
          <w:i/>
        </w:rPr>
        <w:t>Review of the Anti-Discrimination Act 1991 (ACT)</w:t>
      </w:r>
      <w:r w:rsidRPr="002C6D65">
        <w:rPr>
          <w:rFonts w:cs="Arial"/>
        </w:rPr>
        <w:t>, recommendation 17.1, 92.</w:t>
      </w:r>
    </w:p>
  </w:endnote>
  <w:endnote w:id="298">
    <w:p w14:paraId="5D8ED66B" w14:textId="6947227A"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Jennifer Huppert, (Victorian Equal Opportunity and Human Rights Commission staff, teleconference, 2 December 2019).</w:t>
      </w:r>
    </w:p>
  </w:endnote>
  <w:endnote w:id="299">
    <w:p w14:paraId="1E7CBED7" w14:textId="62F866DD" w:rsidR="00407A5F" w:rsidRPr="002C6D65" w:rsidRDefault="00407A5F">
      <w:pPr>
        <w:pStyle w:val="EndnoteText"/>
        <w:rPr>
          <w:rFonts w:cs="Arial"/>
        </w:rPr>
      </w:pPr>
      <w:r w:rsidRPr="002C6D65">
        <w:rPr>
          <w:rStyle w:val="EndnoteReference"/>
          <w:rFonts w:cs="Arial"/>
        </w:rPr>
        <w:endnoteRef/>
      </w:r>
      <w:r w:rsidRPr="002C6D65">
        <w:rPr>
          <w:rFonts w:cs="Arial"/>
        </w:rPr>
        <w:t xml:space="preserve"> Ballarat African Association above n 104.</w:t>
      </w:r>
    </w:p>
  </w:endnote>
  <w:endnote w:id="300">
    <w:p w14:paraId="2E3FD757" w14:textId="3CF36853" w:rsidR="00407A5F" w:rsidRPr="002C6D65" w:rsidRDefault="00407A5F">
      <w:pPr>
        <w:pStyle w:val="EndnoteText"/>
        <w:rPr>
          <w:rFonts w:cs="Arial"/>
        </w:rPr>
      </w:pPr>
      <w:r w:rsidRPr="002C6D65">
        <w:rPr>
          <w:rStyle w:val="EndnoteReference"/>
          <w:rFonts w:cs="Arial"/>
        </w:rPr>
        <w:endnoteRef/>
      </w:r>
      <w:r w:rsidRPr="002C6D65">
        <w:rPr>
          <w:rFonts w:cs="Arial"/>
        </w:rPr>
        <w:t xml:space="preserve"> Berih above n 106.</w:t>
      </w:r>
    </w:p>
  </w:endnote>
  <w:endnote w:id="301">
    <w:p w14:paraId="684B6DB6" w14:textId="5FEBC560" w:rsidR="00407A5F" w:rsidRPr="002C6D65" w:rsidRDefault="00407A5F">
      <w:pPr>
        <w:pStyle w:val="EndnoteText"/>
        <w:rPr>
          <w:rFonts w:cs="Arial"/>
        </w:rPr>
      </w:pPr>
      <w:r w:rsidRPr="002C6D65">
        <w:rPr>
          <w:rStyle w:val="EndnoteReference"/>
          <w:rFonts w:cs="Arial"/>
        </w:rPr>
        <w:endnoteRef/>
      </w:r>
      <w:r w:rsidRPr="002C6D65">
        <w:rPr>
          <w:rFonts w:cs="Arial"/>
        </w:rPr>
        <w:t xml:space="preserve"> Interview with Professor Luke McNamara, (Victorian Equal Opportunity and Human Rights Commission staff, teleconference, 4 December 2019). </w:t>
      </w:r>
    </w:p>
  </w:endnote>
  <w:endnote w:id="302">
    <w:p w14:paraId="5BF979C7" w14:textId="2023F7E0" w:rsidR="00407A5F" w:rsidRPr="002C6D65" w:rsidRDefault="00407A5F">
      <w:pPr>
        <w:pStyle w:val="EndnoteText"/>
        <w:rPr>
          <w:rFonts w:cs="Arial"/>
        </w:rPr>
      </w:pPr>
      <w:r w:rsidRPr="002C6D65">
        <w:rPr>
          <w:rStyle w:val="EndnoteReference"/>
          <w:rFonts w:cs="Arial"/>
        </w:rPr>
        <w:endnoteRef/>
      </w:r>
      <w:r w:rsidRPr="002C6D65">
        <w:rPr>
          <w:rFonts w:cs="Arial"/>
        </w:rPr>
        <w:t xml:space="preserve"> Australian Human Rights Commission, </w:t>
      </w:r>
      <w:r w:rsidRPr="002C6D65">
        <w:rPr>
          <w:rStyle w:val="Characteritalic"/>
          <w:rFonts w:cs="Arial"/>
        </w:rPr>
        <w:t>Submission to the Parliamentary Joint Committee on Human Rights</w:t>
      </w:r>
      <w:r w:rsidRPr="002C6D65">
        <w:rPr>
          <w:rFonts w:cs="Arial"/>
        </w:rPr>
        <w:t xml:space="preserve"> (9 December 2016), 23.</w:t>
      </w:r>
    </w:p>
  </w:endnote>
  <w:endnote w:id="303">
    <w:p w14:paraId="2591C64B" w14:textId="708D270D" w:rsidR="00407A5F" w:rsidRPr="002C6D65" w:rsidRDefault="00407A5F">
      <w:pPr>
        <w:pStyle w:val="EndnoteText"/>
        <w:rPr>
          <w:rFonts w:cs="Arial"/>
        </w:rPr>
      </w:pPr>
      <w:r w:rsidRPr="002C6D65">
        <w:rPr>
          <w:rStyle w:val="EndnoteReference"/>
          <w:rFonts w:cs="Arial"/>
        </w:rPr>
        <w:endnoteRef/>
      </w:r>
      <w:r w:rsidRPr="002C6D65">
        <w:rPr>
          <w:rFonts w:cs="Arial"/>
        </w:rPr>
        <w:t>Ibid 22.</w:t>
      </w:r>
    </w:p>
  </w:endnote>
  <w:endnote w:id="304">
    <w:p w14:paraId="626D2F1F" w14:textId="1A779C25" w:rsidR="00407A5F" w:rsidRPr="002C6D65" w:rsidRDefault="00407A5F">
      <w:pPr>
        <w:pStyle w:val="EndnoteText"/>
        <w:rPr>
          <w:rFonts w:cs="Arial"/>
        </w:rPr>
      </w:pPr>
      <w:r w:rsidRPr="002C6D65">
        <w:rPr>
          <w:rStyle w:val="EndnoteReference"/>
          <w:rFonts w:cs="Arial"/>
        </w:rPr>
        <w:endnoteRef/>
      </w:r>
      <w:r w:rsidRPr="002C6D65">
        <w:rPr>
          <w:rFonts w:cs="Arial"/>
        </w:rPr>
        <w:t xml:space="preserve"> Ibid 24.</w:t>
      </w:r>
    </w:p>
  </w:endnote>
  <w:endnote w:id="305">
    <w:p w14:paraId="3356E25B" w14:textId="48BAFFED" w:rsidR="00407A5F" w:rsidRPr="002C6D65" w:rsidRDefault="00407A5F">
      <w:pPr>
        <w:pStyle w:val="EndnoteText"/>
        <w:rPr>
          <w:rFonts w:cs="Arial"/>
        </w:rPr>
      </w:pPr>
      <w:r w:rsidRPr="002C6D65">
        <w:rPr>
          <w:rStyle w:val="EndnoteReference"/>
          <w:rFonts w:cs="Arial"/>
        </w:rPr>
        <w:endnoteRef/>
      </w:r>
      <w:r w:rsidRPr="002C6D65">
        <w:rPr>
          <w:rFonts w:cs="Arial"/>
        </w:rPr>
        <w:t xml:space="preserve"> Ibid 24.</w:t>
      </w:r>
    </w:p>
  </w:endnote>
  <w:endnote w:id="306">
    <w:p w14:paraId="5171731F" w14:textId="2DB5A128"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Australian Human Rights Commission, </w:t>
      </w:r>
      <w:r w:rsidRPr="002C6D65">
        <w:rPr>
          <w:rStyle w:val="Characteritalic"/>
          <w:rFonts w:cs="Arial"/>
        </w:rPr>
        <w:t>2017-2018 Complaints Statistics</w:t>
      </w:r>
      <w:r w:rsidRPr="002C6D65">
        <w:rPr>
          <w:rFonts w:cs="Arial"/>
          <w:lang w:val="en-GB"/>
        </w:rPr>
        <w:t>, 2018</w:t>
      </w:r>
      <w:r w:rsidRPr="002C6D65">
        <w:rPr>
          <w:rFonts w:cs="Arial"/>
        </w:rPr>
        <w:t>.</w:t>
      </w:r>
    </w:p>
  </w:endnote>
  <w:endnote w:id="307">
    <w:p w14:paraId="239FC5CE" w14:textId="4F3CB229"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Fonts w:cs="Arial"/>
          <w:lang w:val="en-GB"/>
        </w:rPr>
        <w:t>Australian Human Rights Commission, </w:t>
      </w:r>
      <w:r w:rsidRPr="002C6D65">
        <w:rPr>
          <w:rStyle w:val="Characteritalic"/>
          <w:rFonts w:cs="Arial"/>
        </w:rPr>
        <w:t>2018-2019 Complaints Statistics</w:t>
      </w:r>
      <w:r w:rsidRPr="002C6D65">
        <w:rPr>
          <w:rFonts w:cs="Arial"/>
          <w:lang w:val="en-GB"/>
        </w:rPr>
        <w:t>, 2019</w:t>
      </w:r>
      <w:r w:rsidRPr="002C6D65">
        <w:rPr>
          <w:rFonts w:cs="Arial"/>
        </w:rPr>
        <w:t>.</w:t>
      </w:r>
    </w:p>
  </w:endnote>
  <w:endnote w:id="308">
    <w:p w14:paraId="56701A8E" w14:textId="2763F9AB" w:rsidR="00407A5F" w:rsidRPr="002C6D65" w:rsidRDefault="00407A5F">
      <w:pPr>
        <w:pStyle w:val="EndnoteText"/>
        <w:rPr>
          <w:rFonts w:cs="Arial"/>
        </w:rPr>
      </w:pPr>
      <w:r w:rsidRPr="002C6D65">
        <w:rPr>
          <w:rStyle w:val="EndnoteReference"/>
          <w:rFonts w:cs="Arial"/>
        </w:rPr>
        <w:endnoteRef/>
      </w:r>
      <w:r w:rsidRPr="002C6D65">
        <w:rPr>
          <w:rFonts w:cs="Arial"/>
        </w:rPr>
        <w:t xml:space="preserve"> Equal Opportunity Tasmania above n 148, 22.</w:t>
      </w:r>
    </w:p>
  </w:endnote>
  <w:endnote w:id="309">
    <w:p w14:paraId="1A264576" w14:textId="6A84AB89"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310">
    <w:p w14:paraId="3EB62D4A" w14:textId="2354D675"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 92(1). </w:t>
      </w:r>
    </w:p>
  </w:endnote>
  <w:endnote w:id="311">
    <w:p w14:paraId="1E748C03" w14:textId="57B90A4F"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Creek v Cairns Post</w:t>
      </w:r>
      <w:r w:rsidRPr="002C6D65">
        <w:rPr>
          <w:rFonts w:cs="Arial"/>
        </w:rPr>
        <w:t xml:space="preserve"> (2001) 112 FCR 352, 356 (Kiefel J). </w:t>
      </w:r>
    </w:p>
  </w:endnote>
  <w:endnote w:id="312">
    <w:p w14:paraId="2E3409A3" w14:textId="2ECD600F"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Eatock v Bolt</w:t>
      </w:r>
      <w:r w:rsidRPr="002C6D65">
        <w:rPr>
          <w:rFonts w:cs="Arial"/>
        </w:rPr>
        <w:t xml:space="preserve"> (2011) 197 FCR 261, 265. </w:t>
      </w:r>
    </w:p>
  </w:endnote>
  <w:endnote w:id="313">
    <w:p w14:paraId="0AC3ECB3" w14:textId="77777777" w:rsidR="00407A5F" w:rsidRPr="002C6D65" w:rsidRDefault="00407A5F" w:rsidP="00E757D3">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Eatock v Bolt</w:t>
      </w:r>
      <w:r w:rsidRPr="002C6D65">
        <w:rPr>
          <w:rFonts w:cs="Arial"/>
        </w:rPr>
        <w:t xml:space="preserve"> (2011) 197 FCR 261, 263.</w:t>
      </w:r>
    </w:p>
  </w:endnote>
  <w:endnote w:id="314">
    <w:p w14:paraId="4B20E2AC" w14:textId="1DC5FF9D"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Eatock v Bolt</w:t>
      </w:r>
      <w:r w:rsidRPr="002C6D65">
        <w:rPr>
          <w:rFonts w:cs="Arial"/>
        </w:rPr>
        <w:t xml:space="preserve"> (2011) 197 FCR 261, 263-264.</w:t>
      </w:r>
    </w:p>
  </w:endnote>
  <w:endnote w:id="315">
    <w:p w14:paraId="5AE5D244" w14:textId="146761E4" w:rsidR="00407A5F" w:rsidRPr="002C6D65" w:rsidRDefault="00407A5F" w:rsidP="00A815A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Eatock v Bolt</w:t>
      </w:r>
      <w:r w:rsidRPr="002C6D65">
        <w:rPr>
          <w:rFonts w:cs="Arial"/>
        </w:rPr>
        <w:t xml:space="preserve"> (2011) 197 FCR 261, 267. </w:t>
      </w:r>
    </w:p>
  </w:endnote>
  <w:endnote w:id="316">
    <w:p w14:paraId="448BA983" w14:textId="42036E4E"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Durston v Anti-Discrimination Tribunal (No 2)</w:t>
      </w:r>
      <w:r w:rsidRPr="002C6D65">
        <w:rPr>
          <w:rFonts w:cs="Arial"/>
        </w:rPr>
        <w:t> [2018] TASSC 48.</w:t>
      </w:r>
    </w:p>
  </w:endnote>
  <w:endnote w:id="317">
    <w:p w14:paraId="277F3B63" w14:textId="5FF101E1"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Creek v Cairns Post Pty Ltd </w:t>
      </w:r>
      <w:r w:rsidRPr="002C6D65">
        <w:rPr>
          <w:rFonts w:cs="Arial"/>
        </w:rPr>
        <w:t xml:space="preserve">(2001) 112 FCR 352, 355. </w:t>
      </w:r>
    </w:p>
  </w:endnote>
  <w:endnote w:id="318">
    <w:p w14:paraId="10FF7D60" w14:textId="17FA2272"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 xml:space="preserve">Eatock v Bolt </w:t>
      </w:r>
      <w:r w:rsidRPr="002C6D65">
        <w:rPr>
          <w:rFonts w:cs="Arial"/>
        </w:rPr>
        <w:t>(2011) 197 FCR 261, 251.</w:t>
      </w:r>
    </w:p>
  </w:endnote>
  <w:endnote w:id="319">
    <w:p w14:paraId="1B00310D" w14:textId="57942424"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w:t>
      </w:r>
      <w:r w:rsidRPr="002C6D65">
        <w:rPr>
          <w:rStyle w:val="Characteritalic"/>
          <w:rFonts w:cs="Arial"/>
        </w:rPr>
        <w:t>Submission to Senate Standing Committee on Legal and Constitutional Affairs: Why the objective test in section 18C should be a reasonable member of the relevant racial, ethnic or national group</w:t>
      </w:r>
      <w:r w:rsidRPr="002C6D65">
        <w:rPr>
          <w:rFonts w:cs="Arial"/>
        </w:rPr>
        <w:t xml:space="preserve">, 1 (quoting </w:t>
      </w:r>
      <w:r w:rsidRPr="002C6D65">
        <w:rPr>
          <w:rStyle w:val="Characteritalic"/>
          <w:rFonts w:cs="Arial"/>
        </w:rPr>
        <w:t>Creek v Cairns Post</w:t>
      </w:r>
      <w:r w:rsidRPr="002C6D65">
        <w:rPr>
          <w:rFonts w:cs="Arial"/>
        </w:rPr>
        <w:t xml:space="preserve"> (2001) 112 FCR 352, 253, </w:t>
      </w:r>
    </w:p>
  </w:endnote>
  <w:endnote w:id="320">
    <w:p w14:paraId="2486E30B" w14:textId="5A0D80AE" w:rsidR="00407A5F" w:rsidRPr="002C6D65" w:rsidRDefault="00407A5F" w:rsidP="00FB31FF">
      <w:pPr>
        <w:pStyle w:val="EndnoteText"/>
        <w:rPr>
          <w:rFonts w:cs="Arial"/>
        </w:rPr>
      </w:pPr>
      <w:r w:rsidRPr="002C6D65">
        <w:rPr>
          <w:rStyle w:val="EndnoteReference"/>
          <w:rFonts w:cs="Arial"/>
        </w:rPr>
        <w:endnoteRef/>
      </w:r>
      <w:r w:rsidRPr="002C6D65">
        <w:rPr>
          <w:rFonts w:cs="Arial"/>
        </w:rPr>
        <w:t xml:space="preserve"> For example, see ACT Law Reform Advisory Council, </w:t>
      </w:r>
      <w:r w:rsidRPr="002C6D65">
        <w:rPr>
          <w:rStyle w:val="Characteritalic"/>
          <w:rFonts w:cs="Arial"/>
        </w:rPr>
        <w:t>Review of the Discrimination Act 1991 (ACT)</w:t>
      </w:r>
      <w:r w:rsidRPr="002C6D65">
        <w:rPr>
          <w:rFonts w:cs="Arial"/>
        </w:rPr>
        <w:t>, (Final Report, 18 March 2015) 96.</w:t>
      </w:r>
    </w:p>
  </w:endnote>
  <w:endnote w:id="321">
    <w:p w14:paraId="65C0D364" w14:textId="77777777" w:rsidR="00407A5F" w:rsidRPr="002C6D65" w:rsidRDefault="00407A5F" w:rsidP="00FB31F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95-96 (Justice Nettle). </w:t>
      </w:r>
    </w:p>
  </w:endnote>
  <w:endnote w:id="322">
    <w:p w14:paraId="317A9E96" w14:textId="77777777" w:rsidR="00407A5F" w:rsidRPr="002C6D65" w:rsidRDefault="00407A5F" w:rsidP="00FB31F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Catch the Fire Ministries Inc v Islamic Council of Victoria Inc</w:t>
      </w:r>
      <w:r w:rsidRPr="002C6D65">
        <w:rPr>
          <w:rFonts w:cs="Arial"/>
        </w:rPr>
        <w:t xml:space="preserve"> [2006] VSCA 284, 98 (Justice Nettle).</w:t>
      </w:r>
    </w:p>
  </w:endnote>
  <w:endnote w:id="323">
    <w:p w14:paraId="4822B29D" w14:textId="54CFA371" w:rsidR="00407A5F" w:rsidRPr="002C6D65" w:rsidRDefault="00407A5F" w:rsidP="005D6968">
      <w:pPr>
        <w:pStyle w:val="FootnoteText"/>
        <w:spacing w:after="0"/>
        <w:rPr>
          <w:rFonts w:cs="Arial"/>
          <w:sz w:val="20"/>
        </w:rPr>
      </w:pPr>
      <w:r w:rsidRPr="002C6D65">
        <w:rPr>
          <w:rStyle w:val="EndnoteReference"/>
          <w:rFonts w:cs="Arial"/>
          <w:sz w:val="20"/>
        </w:rPr>
        <w:endnoteRef/>
      </w:r>
      <w:r w:rsidRPr="002C6D65">
        <w:rPr>
          <w:rFonts w:cs="Arial"/>
          <w:sz w:val="20"/>
        </w:rPr>
        <w:t xml:space="preserve"> New South Wales, </w:t>
      </w:r>
      <w:r w:rsidRPr="002C6D65">
        <w:rPr>
          <w:rStyle w:val="Characteritalic"/>
          <w:rFonts w:cs="Arial"/>
          <w:sz w:val="20"/>
        </w:rPr>
        <w:t>Parliamentary Debates</w:t>
      </w:r>
      <w:r w:rsidRPr="002C6D65">
        <w:rPr>
          <w:rFonts w:cs="Arial"/>
          <w:sz w:val="20"/>
        </w:rPr>
        <w:t>, Legislative Council, 4 May 1994, the Hon J.P Hannaford.</w:t>
      </w:r>
    </w:p>
  </w:endnote>
  <w:endnote w:id="324">
    <w:p w14:paraId="762B0DDE" w14:textId="66E7F5AC" w:rsidR="00407A5F" w:rsidRPr="002C6D65" w:rsidRDefault="00407A5F" w:rsidP="00FB31FF">
      <w:pPr>
        <w:pStyle w:val="EndnoteText"/>
        <w:rPr>
          <w:rFonts w:cs="Arial"/>
        </w:rPr>
      </w:pPr>
      <w:r w:rsidRPr="002C6D65">
        <w:rPr>
          <w:rStyle w:val="EndnoteReference"/>
          <w:rFonts w:cs="Arial"/>
        </w:rPr>
        <w:endnoteRef/>
      </w:r>
      <w:r w:rsidRPr="002C6D65">
        <w:rPr>
          <w:rFonts w:cs="Arial"/>
        </w:rPr>
        <w:t xml:space="preserve"> Australian Human Rights Commission above n 29, 39-40. See also </w:t>
      </w:r>
      <w:r w:rsidRPr="002C6D65">
        <w:rPr>
          <w:rStyle w:val="Characteritalic"/>
          <w:rFonts w:cs="Arial"/>
        </w:rPr>
        <w:t>King-Ansell v Police</w:t>
      </w:r>
      <w:r w:rsidRPr="002C6D65">
        <w:rPr>
          <w:rFonts w:cs="Arial"/>
        </w:rPr>
        <w:t xml:space="preserve"> [1979] 2 NZLR 531; </w:t>
      </w:r>
      <w:r w:rsidRPr="002C6D65">
        <w:rPr>
          <w:rStyle w:val="Characteritalic"/>
          <w:rFonts w:cs="Arial"/>
        </w:rPr>
        <w:t>Mandla v Dowell Lee</w:t>
      </w:r>
      <w:r w:rsidRPr="002C6D65">
        <w:rPr>
          <w:rFonts w:cs="Arial"/>
        </w:rPr>
        <w:t xml:space="preserve"> [1983] 2 AC 548; </w:t>
      </w:r>
      <w:r w:rsidRPr="002C6D65">
        <w:rPr>
          <w:rStyle w:val="Characteritalic"/>
          <w:rFonts w:cs="Arial"/>
        </w:rPr>
        <w:t>Macabenta v Minister for Immigration and Multicultural Affairs</w:t>
      </w:r>
      <w:r w:rsidRPr="002C6D65">
        <w:rPr>
          <w:rFonts w:cs="Arial"/>
        </w:rPr>
        <w:t xml:space="preserve"> [1983] 2 AC 548-562; </w:t>
      </w:r>
      <w:r w:rsidRPr="002C6D65">
        <w:rPr>
          <w:rStyle w:val="Characteritalic"/>
          <w:rFonts w:cs="Arial"/>
        </w:rPr>
        <w:t>Miller v Wertheim</w:t>
      </w:r>
      <w:r w:rsidRPr="002C6D65">
        <w:rPr>
          <w:rFonts w:cs="Arial"/>
        </w:rPr>
        <w:t xml:space="preserve"> [2002] FCAFC 156.</w:t>
      </w:r>
    </w:p>
  </w:endnote>
  <w:endnote w:id="325">
    <w:p w14:paraId="1CC80287" w14:textId="0981D267" w:rsidR="00407A5F" w:rsidRPr="002C6D65" w:rsidRDefault="00407A5F" w:rsidP="00FB31FF">
      <w:pPr>
        <w:pStyle w:val="EndnoteText"/>
        <w:rPr>
          <w:rFonts w:cs="Arial"/>
        </w:rPr>
      </w:pPr>
      <w:r w:rsidRPr="002C6D65">
        <w:rPr>
          <w:rStyle w:val="EndnoteReference"/>
          <w:rFonts w:cs="Arial"/>
        </w:rPr>
        <w:endnoteRef/>
      </w:r>
      <w:r w:rsidRPr="002C6D65">
        <w:rPr>
          <w:rFonts w:cs="Arial"/>
        </w:rPr>
        <w:t xml:space="preserve"> Expert Panel, </w:t>
      </w:r>
      <w:r w:rsidRPr="002C6D65">
        <w:rPr>
          <w:rStyle w:val="Characteritalic"/>
          <w:rFonts w:cs="Arial"/>
        </w:rPr>
        <w:t>Report of the Expert Panel</w:t>
      </w:r>
      <w:r w:rsidRPr="002C6D65">
        <w:rPr>
          <w:rFonts w:cs="Arial"/>
        </w:rPr>
        <w:t>, (Religious Freedom Review, 18 May 2018) 84.</w:t>
      </w:r>
    </w:p>
  </w:endnote>
  <w:endnote w:id="326">
    <w:p w14:paraId="1C89A9FD" w14:textId="3A7DE0DA" w:rsidR="00407A5F" w:rsidRPr="002C6D65" w:rsidRDefault="00407A5F" w:rsidP="00FB31FF">
      <w:pPr>
        <w:pStyle w:val="EndnoteText"/>
        <w:rPr>
          <w:rFonts w:cs="Arial"/>
        </w:rPr>
      </w:pPr>
      <w:r w:rsidRPr="002C6D65">
        <w:rPr>
          <w:rStyle w:val="EndnoteReference"/>
          <w:rFonts w:cs="Arial"/>
        </w:rPr>
        <w:endnoteRef/>
      </w:r>
      <w:r w:rsidRPr="002C6D65">
        <w:rPr>
          <w:rFonts w:cs="Arial"/>
        </w:rPr>
        <w:t xml:space="preserve"> For example, Online Hate Prevention Institute, Submission 36 to Freedom of Speech in Australia Review (2018); Victorian Multicultural, Faith and Community Organisations, Submission 125 to Freedom of Speech in Australia Review (2018) 1; Ethnic Communities' Council of Victoria, Submission 198 to Freedom of Speech in Australia Review (2018) 4; Cyber Racism and Community Resilience Research group, Submission 54 to Freedom of Speech in Australia Review</w:t>
      </w:r>
      <w:r w:rsidRPr="002C6D65" w:rsidDel="000C790F">
        <w:rPr>
          <w:rFonts w:cs="Arial"/>
        </w:rPr>
        <w:t xml:space="preserve"> </w:t>
      </w:r>
      <w:r w:rsidRPr="002C6D65">
        <w:rPr>
          <w:rFonts w:cs="Arial"/>
        </w:rPr>
        <w:t>(2018) 2.</w:t>
      </w:r>
    </w:p>
  </w:endnote>
  <w:endnote w:id="327">
    <w:p w14:paraId="02E50F26" w14:textId="1B19D197" w:rsidR="00407A5F" w:rsidRPr="002C6D65" w:rsidRDefault="00407A5F" w:rsidP="005457EE">
      <w:pPr>
        <w:pStyle w:val="EndnoteText"/>
        <w:rPr>
          <w:rFonts w:cs="Arial"/>
        </w:rPr>
      </w:pPr>
      <w:r w:rsidRPr="002C6D65">
        <w:rPr>
          <w:rStyle w:val="EndnoteReference"/>
          <w:rFonts w:cs="Arial"/>
        </w:rPr>
        <w:endnoteRef/>
      </w:r>
      <w:r w:rsidRPr="002C6D65">
        <w:rPr>
          <w:rFonts w:cs="Arial"/>
        </w:rPr>
        <w:t xml:space="preserve"> Rice and Reece above n 243, 6. </w:t>
      </w:r>
    </w:p>
  </w:endnote>
  <w:endnote w:id="328">
    <w:p w14:paraId="6ED682B4" w14:textId="77777777" w:rsidR="00407A5F" w:rsidRPr="002C6D65" w:rsidRDefault="00407A5F" w:rsidP="00657C8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1998</w:t>
      </w:r>
      <w:r w:rsidRPr="002C6D65">
        <w:rPr>
          <w:rFonts w:cs="Arial"/>
        </w:rPr>
        <w:t xml:space="preserve"> (Tas), s 22. </w:t>
      </w:r>
    </w:p>
  </w:endnote>
  <w:endnote w:id="329">
    <w:p w14:paraId="2ABD9F0A" w14:textId="004181ED" w:rsidR="00407A5F" w:rsidRPr="002C6D65" w:rsidRDefault="00407A5F">
      <w:pPr>
        <w:pStyle w:val="EndnoteText"/>
        <w:rPr>
          <w:rFonts w:cs="Arial"/>
        </w:rPr>
      </w:pPr>
      <w:r w:rsidRPr="002C6D65">
        <w:rPr>
          <w:rStyle w:val="EndnoteReference"/>
          <w:rFonts w:cs="Arial"/>
        </w:rPr>
        <w:endnoteRef/>
      </w:r>
      <w:r w:rsidRPr="002C6D65">
        <w:rPr>
          <w:rFonts w:cs="Arial"/>
        </w:rPr>
        <w:t xml:space="preserve"> United Nations Human Rights Committee, </w:t>
      </w:r>
      <w:r w:rsidRPr="002C6D65">
        <w:rPr>
          <w:rStyle w:val="Characteritalic"/>
          <w:rFonts w:cs="Arial"/>
        </w:rPr>
        <w:t>General Comment No. 22, Freedom of Thought, Conscience or Religion</w:t>
      </w:r>
      <w:r w:rsidRPr="002C6D65">
        <w:rPr>
          <w:rFonts w:cs="Arial"/>
        </w:rPr>
        <w:t>, UN Doc CCPR/C.21.Rev.1/Add 4 (1993), 8. Paragraph 3 states that ‘Article 18 distinguishes freedom of thought, conscience, religion or belief from the freedom to manifest religion or belief. It does not permit any limitations whatsoever on the freedom of thought and conscience or on the freedom to have or adopt a religion or belief of one’s choice.</w:t>
      </w:r>
    </w:p>
  </w:endnote>
  <w:endnote w:id="330">
    <w:p w14:paraId="092E995F" w14:textId="728E86E3" w:rsidR="00407A5F" w:rsidRPr="002C6D65" w:rsidRDefault="00407A5F" w:rsidP="00E90F32">
      <w:pPr>
        <w:pStyle w:val="EndnoteText"/>
        <w:rPr>
          <w:rFonts w:cs="Arial"/>
        </w:rPr>
      </w:pPr>
      <w:r w:rsidRPr="002C6D65">
        <w:rPr>
          <w:rStyle w:val="EndnoteReference"/>
          <w:rFonts w:cs="Arial"/>
        </w:rPr>
        <w:endnoteRef/>
      </w:r>
      <w:r w:rsidRPr="002C6D65">
        <w:rPr>
          <w:rFonts w:cs="Arial"/>
        </w:rPr>
        <w:t xml:space="preserve"> Ibid, 4 (summarised by the Human Rights Law Centre, </w:t>
      </w:r>
      <w:r w:rsidRPr="002C6D65">
        <w:rPr>
          <w:rStyle w:val="Characteritalic"/>
          <w:rFonts w:cs="Arial"/>
        </w:rPr>
        <w:t>Submission to the Expert Panel on the Religious Freedom Review</w:t>
      </w:r>
      <w:r w:rsidRPr="002C6D65">
        <w:rPr>
          <w:rFonts w:cs="Arial"/>
        </w:rPr>
        <w:t xml:space="preserve">, (14 February 2018), 7. </w:t>
      </w:r>
    </w:p>
  </w:endnote>
  <w:endnote w:id="331">
    <w:p w14:paraId="251AC205" w14:textId="28E75F5A"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 Police above n 236.</w:t>
      </w:r>
    </w:p>
  </w:endnote>
  <w:endnote w:id="332">
    <w:p w14:paraId="76BE67C4" w14:textId="6467D83F" w:rsidR="00407A5F" w:rsidRPr="002C6D65" w:rsidRDefault="00407A5F">
      <w:pPr>
        <w:pStyle w:val="EndnoteText"/>
        <w:rPr>
          <w:rFonts w:cs="Arial"/>
        </w:rPr>
      </w:pPr>
      <w:r w:rsidRPr="002C6D65">
        <w:rPr>
          <w:rStyle w:val="EndnoteReference"/>
          <w:rFonts w:cs="Arial"/>
        </w:rPr>
        <w:endnoteRef/>
      </w:r>
      <w:r w:rsidRPr="002C6D65">
        <w:rPr>
          <w:rFonts w:cs="Arial"/>
        </w:rPr>
        <w:t xml:space="preserve"> Standing Committee on Law and Justice, </w:t>
      </w:r>
      <w:r w:rsidRPr="002C6D65">
        <w:rPr>
          <w:rStyle w:val="Characteritalic"/>
          <w:rFonts w:cs="Arial"/>
        </w:rPr>
        <w:t>Racial vilification law in NSW</w:t>
      </w:r>
      <w:r w:rsidRPr="002C6D65">
        <w:rPr>
          <w:rFonts w:cs="Arial"/>
        </w:rPr>
        <w:t xml:space="preserve">, (Final Report, 3 December 2013), recommendation 2 &lt; </w:t>
      </w:r>
      <w:hyperlink r:id="rId44" w:history="1">
        <w:r w:rsidRPr="002C6D65">
          <w:rPr>
            <w:rStyle w:val="Hyperlink"/>
            <w:rFonts w:cs="Arial"/>
          </w:rPr>
          <w:t>https://www.parliament.nsw.gov.au/lcdocs/inquiries/2260/Racial%20vilification%20law%20in%20New%20South%20Wales%20-%20Final.pdf</w:t>
        </w:r>
      </w:hyperlink>
      <w:r w:rsidRPr="002C6D65">
        <w:rPr>
          <w:rFonts w:cs="Arial"/>
        </w:rPr>
        <w:t xml:space="preserve">&gt;. </w:t>
      </w:r>
    </w:p>
  </w:endnote>
  <w:endnote w:id="333">
    <w:p w14:paraId="079623C3" w14:textId="344C96C3" w:rsidR="00407A5F" w:rsidRPr="002C6D65" w:rsidRDefault="00407A5F">
      <w:pPr>
        <w:pStyle w:val="EndnoteText"/>
        <w:rPr>
          <w:rFonts w:cs="Arial"/>
        </w:rPr>
      </w:pPr>
      <w:r w:rsidRPr="002C6D65">
        <w:rPr>
          <w:rStyle w:val="EndnoteReference"/>
          <w:rFonts w:cs="Arial"/>
        </w:rPr>
        <w:endnoteRef/>
      </w:r>
      <w:r w:rsidRPr="002C6D65">
        <w:rPr>
          <w:rFonts w:cs="Arial"/>
        </w:rPr>
        <w:t xml:space="preserve"> Crimes Amendment (Publicly Threatening and Inciting Violence) Bill 2018.</w:t>
      </w:r>
    </w:p>
  </w:endnote>
  <w:endnote w:id="334">
    <w:p w14:paraId="2F055CE1" w14:textId="5EE9DAA8"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‘New South Wales introduces broader protections from hate crime’ (Media Release, 7 June 2018) &lt; </w:t>
      </w:r>
      <w:hyperlink r:id="rId45" w:history="1">
        <w:r w:rsidRPr="002C6D65">
          <w:rPr>
            <w:rStyle w:val="Hyperlink"/>
            <w:rFonts w:cs="Arial"/>
          </w:rPr>
          <w:t>https://www.hrlc.org.au/news/2018/6/7/new-south-wales-introduces-broader-protections-from-hate-crime</w:t>
        </w:r>
      </w:hyperlink>
      <w:r w:rsidRPr="002C6D65">
        <w:rPr>
          <w:rFonts w:cs="Arial"/>
        </w:rPr>
        <w:t xml:space="preserve"> &gt;; Public Interest Advocacy Centre, ‘NSW Reforms Vilification Offences’ (Media Release, 22 June 2018) &lt; </w:t>
      </w:r>
      <w:hyperlink r:id="rId46" w:history="1">
        <w:r w:rsidRPr="002C6D65">
          <w:rPr>
            <w:rStyle w:val="Hyperlink"/>
            <w:rFonts w:cs="Arial"/>
          </w:rPr>
          <w:t>https://piac.asn.au/2018/06/22/nsw-reforms-vilification-offences/</w:t>
        </w:r>
      </w:hyperlink>
      <w:r w:rsidRPr="002C6D65">
        <w:rPr>
          <w:rFonts w:cs="Arial"/>
        </w:rPr>
        <w:t xml:space="preserve">&gt;; New South Wales Gay and Lesbian Rights Lobby, ‘NSW Government Signals Reforms to State’s Vilification Laws to Protect all LGBTI People’ (Media Release, 21 June 2018) &lt; </w:t>
      </w:r>
      <w:hyperlink r:id="rId47" w:history="1">
        <w:r w:rsidRPr="002C6D65">
          <w:rPr>
            <w:rStyle w:val="Hyperlink"/>
            <w:rFonts w:cs="Arial"/>
          </w:rPr>
          <w:t>https://glrl.org.au/2018/06/21/nsw-government-signals-reforms-to-states-vilification-laws-to-protect-all-lgbti-people/</w:t>
        </w:r>
      </w:hyperlink>
      <w:r w:rsidRPr="002C6D65">
        <w:rPr>
          <w:rFonts w:cs="Arial"/>
        </w:rPr>
        <w:t xml:space="preserve">&gt;; New South Wales Council for Civil Liberties, ‘NSWCCL PUBLIC STATEMENT OF SUPPORT – Crimes Amendment (Publicly Threatening and Inciting Violence) Bill 2018’ (Media Release, 18 June 2018) &lt; </w:t>
      </w:r>
      <w:hyperlink r:id="rId48" w:history="1">
        <w:r w:rsidRPr="002C6D65">
          <w:rPr>
            <w:rStyle w:val="Hyperlink"/>
            <w:rFonts w:cs="Arial"/>
          </w:rPr>
          <w:t>https://d3n8a8pro7vhmx.cloudfront.net/nswccl/pages/5283/attachments/original/1529392856/NSWCCL_statement_NSW_Vilification_Bill_2018.pdf?1529392856</w:t>
        </w:r>
      </w:hyperlink>
      <w:r w:rsidRPr="002C6D65">
        <w:rPr>
          <w:rFonts w:cs="Arial"/>
        </w:rPr>
        <w:t xml:space="preserve">&gt;; Redfern Legal Centre, ‘New NSW laws to prevent incitement of violence’ (Media Release, No Date) &lt; </w:t>
      </w:r>
      <w:hyperlink r:id="rId49" w:history="1">
        <w:r w:rsidRPr="002C6D65">
          <w:rPr>
            <w:rStyle w:val="Hyperlink"/>
            <w:rFonts w:cs="Arial"/>
          </w:rPr>
          <w:t>https://rlc.org.au/article/new-nsw-laws-prevent-incitement-violence</w:t>
        </w:r>
      </w:hyperlink>
      <w:r w:rsidRPr="002C6D65">
        <w:rPr>
          <w:rFonts w:cs="Arial"/>
        </w:rPr>
        <w:t xml:space="preserve">&gt;; Meredith Griffiths, ‘Strengthened hate speech laws pass NSW Parliament in “great day” for Australia’ ABC (online, 21 June 2018) &lt; </w:t>
      </w:r>
      <w:hyperlink r:id="rId50" w:history="1">
        <w:r w:rsidRPr="002C6D65">
          <w:rPr>
            <w:rStyle w:val="Hyperlink"/>
            <w:rFonts w:cs="Arial"/>
          </w:rPr>
          <w:t>https://www.abc.net.au/news/2018-06-21/race-hate-laws-pass-nsw-parliament/9893172</w:t>
        </w:r>
      </w:hyperlink>
      <w:r w:rsidRPr="002C6D65">
        <w:rPr>
          <w:rFonts w:cs="Arial"/>
        </w:rPr>
        <w:t>&gt;</w:t>
      </w:r>
      <w:r>
        <w:rPr>
          <w:rFonts w:cs="Arial"/>
        </w:rPr>
        <w:t>.</w:t>
      </w:r>
    </w:p>
  </w:endnote>
  <w:endnote w:id="335">
    <w:p w14:paraId="6D313434" w14:textId="1135C554" w:rsidR="00407A5F" w:rsidRPr="002C6D65" w:rsidRDefault="00407A5F">
      <w:pPr>
        <w:pStyle w:val="EndnoteText"/>
        <w:rPr>
          <w:rFonts w:cs="Arial"/>
        </w:rPr>
      </w:pPr>
      <w:r w:rsidRPr="002C6D65">
        <w:rPr>
          <w:rStyle w:val="EndnoteReference"/>
          <w:rFonts w:cs="Arial"/>
        </w:rPr>
        <w:endnoteRef/>
      </w:r>
      <w:r w:rsidRPr="002C6D65">
        <w:rPr>
          <w:rFonts w:cs="Arial"/>
        </w:rPr>
        <w:t xml:space="preserve"> The Public Interest Advocacy Centre provided ‘An interesting omission from the list of protected attributes in the new offence of ‘publicly threatening or inciting violence’ is sex. While vilification on the basis of sex is not currently prohibited under the Anti-Discrimination Act, it could be considered a missed opportunity that it has not been added in the Crimes Act:’ Public Interest Advocacy Centre, ‘NSW Reforms Vilification Offences’ (Media Release, 22 June 2018) &lt; </w:t>
      </w:r>
      <w:hyperlink r:id="rId51" w:history="1">
        <w:r w:rsidRPr="002C6D65">
          <w:rPr>
            <w:rStyle w:val="Hyperlink"/>
            <w:rFonts w:cs="Arial"/>
          </w:rPr>
          <w:t>https://piac.asn.au/2018/06/22/nsw-reforms-vilification-offences/</w:t>
        </w:r>
      </w:hyperlink>
      <w:r w:rsidRPr="002C6D65">
        <w:rPr>
          <w:rFonts w:cs="Arial"/>
        </w:rPr>
        <w:t>&gt;.</w:t>
      </w:r>
    </w:p>
  </w:endnote>
  <w:endnote w:id="336">
    <w:p w14:paraId="050E8301" w14:textId="7514653F"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Compilation Act 1913</w:t>
      </w:r>
      <w:r w:rsidRPr="002C6D65">
        <w:rPr>
          <w:rFonts w:cs="Arial"/>
        </w:rPr>
        <w:t xml:space="preserve"> (WA), s 79.</w:t>
      </w:r>
    </w:p>
  </w:endnote>
  <w:endnote w:id="337">
    <w:p w14:paraId="68840446" w14:textId="3AC0B535"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Compilation Act 1913</w:t>
      </w:r>
      <w:r w:rsidRPr="002C6D65">
        <w:rPr>
          <w:rFonts w:cs="Arial"/>
        </w:rPr>
        <w:t xml:space="preserve"> (WA), s 80.</w:t>
      </w:r>
    </w:p>
  </w:endnote>
  <w:endnote w:id="338">
    <w:p w14:paraId="30BBD9D6" w14:textId="664A2B1F"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Compilation Act 1913</w:t>
      </w:r>
      <w:r w:rsidRPr="002C6D65">
        <w:rPr>
          <w:rFonts w:cs="Arial"/>
        </w:rPr>
        <w:t xml:space="preserve"> (WA), s 80A.</w:t>
      </w:r>
    </w:p>
  </w:endnote>
  <w:endnote w:id="339">
    <w:p w14:paraId="6F8AD9AA" w14:textId="1448264E"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Criminal Code Act Compilation Act 1913</w:t>
      </w:r>
      <w:r w:rsidRPr="002C6D65">
        <w:rPr>
          <w:rFonts w:cs="Arial"/>
        </w:rPr>
        <w:t xml:space="preserve"> (WA), s 80B.</w:t>
      </w:r>
    </w:p>
  </w:endnote>
  <w:endnote w:id="340">
    <w:p w14:paraId="7FE5FA68" w14:textId="20B729DD" w:rsidR="00407A5F" w:rsidRPr="002C6D65" w:rsidRDefault="00407A5F">
      <w:pPr>
        <w:pStyle w:val="EndnoteText"/>
        <w:rPr>
          <w:rFonts w:cs="Arial"/>
        </w:rPr>
      </w:pPr>
      <w:r w:rsidRPr="002C6D65">
        <w:rPr>
          <w:rStyle w:val="EndnoteReference"/>
          <w:rFonts w:cs="Arial"/>
        </w:rPr>
        <w:endnoteRef/>
      </w:r>
      <w:r w:rsidRPr="002C6D65">
        <w:rPr>
          <w:rFonts w:cs="Arial"/>
        </w:rPr>
        <w:t xml:space="preserve"> Rice and Reese above n 243, 2.</w:t>
      </w:r>
    </w:p>
  </w:endnote>
  <w:endnote w:id="341">
    <w:p w14:paraId="3E34D6EE" w14:textId="71D62B6C" w:rsidR="00407A5F" w:rsidRPr="002C6D65" w:rsidRDefault="00407A5F">
      <w:pPr>
        <w:pStyle w:val="EndnoteText"/>
        <w:rPr>
          <w:rFonts w:cs="Arial"/>
        </w:rPr>
      </w:pPr>
      <w:r w:rsidRPr="002C6D65">
        <w:rPr>
          <w:rStyle w:val="EndnoteReference"/>
          <w:rFonts w:cs="Arial"/>
        </w:rPr>
        <w:endnoteRef/>
      </w:r>
      <w:r w:rsidRPr="002C6D65">
        <w:rPr>
          <w:rFonts w:cs="Arial"/>
        </w:rPr>
        <w:t xml:space="preserve"> Ibid, 12.</w:t>
      </w:r>
    </w:p>
  </w:endnote>
  <w:endnote w:id="342">
    <w:p w14:paraId="12377F8C" w14:textId="42E6ED84" w:rsidR="00407A5F" w:rsidRPr="002C6D65" w:rsidRDefault="00407A5F" w:rsidP="00E06C44">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Anti-Discrimination Act 1991</w:t>
      </w:r>
      <w:r w:rsidRPr="002C6D65">
        <w:rPr>
          <w:rFonts w:cs="Arial"/>
        </w:rPr>
        <w:t xml:space="preserve"> (QLD), s 156(3)-(4). In Tasmania, if a person fails to provide information or documents, the commission must submit a report to the Tribunal, who may make an order requiring a person to provide the specified information or documents: </w:t>
      </w:r>
      <w:r w:rsidRPr="002C6D65">
        <w:rPr>
          <w:rStyle w:val="Characteritalic"/>
          <w:rFonts w:cs="Arial"/>
        </w:rPr>
        <w:t>Anti-Discrimination Act 1998</w:t>
      </w:r>
      <w:r w:rsidRPr="002C6D65">
        <w:rPr>
          <w:rFonts w:cs="Arial"/>
        </w:rPr>
        <w:t xml:space="preserve"> (Tas), s 97(5)-(8). </w:t>
      </w:r>
    </w:p>
  </w:endnote>
  <w:endnote w:id="343">
    <w:p w14:paraId="46CE63F3" w14:textId="248D87B4"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 Police above n 236.</w:t>
      </w:r>
    </w:p>
  </w:endnote>
  <w:endnote w:id="344">
    <w:p w14:paraId="09EA2758" w14:textId="38C2CF6A" w:rsidR="00407A5F" w:rsidRPr="002C6D65" w:rsidRDefault="00407A5F">
      <w:pPr>
        <w:pStyle w:val="EndnoteText"/>
        <w:rPr>
          <w:rFonts w:cs="Arial"/>
        </w:rPr>
      </w:pPr>
      <w:r w:rsidRPr="002C6D65">
        <w:rPr>
          <w:rStyle w:val="EndnoteReference"/>
          <w:rFonts w:cs="Arial"/>
        </w:rPr>
        <w:endnoteRef/>
      </w:r>
      <w:r w:rsidRPr="002C6D65">
        <w:rPr>
          <w:rFonts w:cs="Arial"/>
        </w:rPr>
        <w:t xml:space="preserve"> McNamara above n 300.</w:t>
      </w:r>
    </w:p>
  </w:endnote>
  <w:endnote w:id="345">
    <w:p w14:paraId="2B014EAF" w14:textId="7359C4E1" w:rsidR="00407A5F" w:rsidRPr="002C6D65" w:rsidRDefault="00407A5F">
      <w:pPr>
        <w:pStyle w:val="EndnoteText"/>
        <w:rPr>
          <w:rFonts w:cs="Arial"/>
        </w:rPr>
      </w:pPr>
      <w:r w:rsidRPr="002C6D65">
        <w:rPr>
          <w:rStyle w:val="EndnoteReference"/>
          <w:rFonts w:cs="Arial"/>
        </w:rPr>
        <w:endnoteRef/>
      </w:r>
      <w:r w:rsidRPr="002C6D65">
        <w:rPr>
          <w:rFonts w:cs="Arial"/>
        </w:rPr>
        <w:t xml:space="preserve"> See </w:t>
      </w:r>
      <w:r w:rsidRPr="002C6D65">
        <w:rPr>
          <w:rStyle w:val="Characteritalic"/>
          <w:rFonts w:cs="Arial"/>
        </w:rPr>
        <w:t>Equal Opportunity Act 2010</w:t>
      </w:r>
      <w:r w:rsidRPr="002C6D65">
        <w:rPr>
          <w:rFonts w:cs="Arial"/>
        </w:rPr>
        <w:t xml:space="preserve"> (Vic), s 156(1)(c)(education function); Racial and Religious Tolerance Act 2001 (Vic), s 19(dispute resolution function); </w:t>
      </w:r>
      <w:r w:rsidRPr="002C6D65">
        <w:rPr>
          <w:rStyle w:val="Characteritalic"/>
          <w:rFonts w:cs="Arial"/>
        </w:rPr>
        <w:t xml:space="preserve">Equal Opportunity Act 2010 </w:t>
      </w:r>
      <w:r w:rsidRPr="002C6D65">
        <w:rPr>
          <w:rFonts w:cs="Arial"/>
        </w:rPr>
        <w:t xml:space="preserve">(Vic), s 158 and 156(1)(c)(reporting) and Equal Opportunity Act 2010 (Vic), s 179 and 156(1)(c)(annual reporting). </w:t>
      </w:r>
    </w:p>
  </w:endnote>
  <w:endnote w:id="346">
    <w:p w14:paraId="04EBB27F" w14:textId="7EDBDF66"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148.</w:t>
      </w:r>
    </w:p>
  </w:endnote>
  <w:endnote w:id="347">
    <w:p w14:paraId="5EB2121B" w14:textId="0DC2FE1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 157.</w:t>
      </w:r>
    </w:p>
  </w:endnote>
  <w:endnote w:id="348">
    <w:p w14:paraId="3E482D08" w14:textId="5BF31775"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ss 159 and 160.</w:t>
      </w:r>
    </w:p>
  </w:endnote>
  <w:endnote w:id="349">
    <w:p w14:paraId="6B4EBCB0" w14:textId="65C14EFB"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 151.</w:t>
      </w:r>
    </w:p>
  </w:endnote>
  <w:endnote w:id="350">
    <w:p w14:paraId="0E73F5A1" w14:textId="679534D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 152(2).</w:t>
      </w:r>
    </w:p>
  </w:endnote>
  <w:endnote w:id="351">
    <w:p w14:paraId="72AA6066" w14:textId="492F0BC0"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 127.</w:t>
      </w:r>
    </w:p>
  </w:endnote>
  <w:endnote w:id="352">
    <w:p w14:paraId="417A7DC7" w14:textId="3877CD65" w:rsidR="00407A5F" w:rsidRPr="002C6D65" w:rsidRDefault="00407A5F">
      <w:pPr>
        <w:pStyle w:val="EndnoteText"/>
        <w:rPr>
          <w:rFonts w:cs="Arial"/>
        </w:rPr>
      </w:pPr>
      <w:r w:rsidRPr="002C6D65">
        <w:rPr>
          <w:rStyle w:val="EndnoteReference"/>
          <w:rFonts w:cs="Arial"/>
        </w:rPr>
        <w:endnoteRef/>
      </w:r>
      <w:r w:rsidRPr="002C6D65">
        <w:rPr>
          <w:rFonts w:cs="Arial"/>
        </w:rPr>
        <w:t xml:space="preserve"> These are the principles within the regulatory pyramid in Responsive Regulation theories, see: Ian Ayres and John Braithwaite, </w:t>
      </w:r>
      <w:r w:rsidRPr="002C6D65">
        <w:rPr>
          <w:rStyle w:val="Characteritalic"/>
          <w:rFonts w:cs="Arial"/>
        </w:rPr>
        <w:t>Responsive regulation: Transcending the deregulation debate</w:t>
      </w:r>
      <w:r w:rsidRPr="002C6D65">
        <w:rPr>
          <w:rFonts w:cs="Arial"/>
        </w:rPr>
        <w:t xml:space="preserve"> (Oxford University Press, 1992).</w:t>
      </w:r>
    </w:p>
  </w:endnote>
  <w:endnote w:id="353">
    <w:p w14:paraId="4CDEA626" w14:textId="7AF5DA58" w:rsidR="00407A5F" w:rsidRPr="002C6D65" w:rsidRDefault="00407A5F">
      <w:pPr>
        <w:pStyle w:val="EndnoteText"/>
        <w:rPr>
          <w:rFonts w:cs="Arial"/>
        </w:rPr>
      </w:pPr>
      <w:r w:rsidRPr="002C6D65">
        <w:rPr>
          <w:rStyle w:val="EndnoteReference"/>
          <w:rFonts w:cs="Arial"/>
        </w:rPr>
        <w:endnoteRef/>
      </w:r>
      <w:r w:rsidRPr="002C6D65">
        <w:rPr>
          <w:rFonts w:cs="Arial"/>
        </w:rPr>
        <w:t xml:space="preserve"> Julian Gardner, </w:t>
      </w:r>
      <w:r w:rsidRPr="002C6D65">
        <w:rPr>
          <w:rStyle w:val="Characteritalic"/>
          <w:rFonts w:cs="Arial"/>
        </w:rPr>
        <w:t>An equality act for a fairer Victoria: Equal opportunity review final report</w:t>
      </w:r>
      <w:r w:rsidRPr="002C6D65">
        <w:rPr>
          <w:rFonts w:cs="Arial"/>
        </w:rPr>
        <w:t xml:space="preserve"> (State of Victoria, 2008), 1.97.</w:t>
      </w:r>
    </w:p>
  </w:endnote>
  <w:endnote w:id="354">
    <w:p w14:paraId="505E4E05" w14:textId="353FA67C"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2C6D65">
        <w:rPr>
          <w:rStyle w:val="Characteritalic"/>
          <w:rFonts w:cs="Arial"/>
        </w:rPr>
        <w:t>Equal Opportunity Act 2010</w:t>
      </w:r>
      <w:r w:rsidRPr="002C6D65">
        <w:rPr>
          <w:rFonts w:cs="Arial"/>
        </w:rPr>
        <w:t xml:space="preserve"> (Vic) s 15.</w:t>
      </w:r>
    </w:p>
  </w:endnote>
  <w:endnote w:id="355">
    <w:p w14:paraId="56E300AD" w14:textId="7D4BA320" w:rsidR="00407A5F" w:rsidRPr="002C6D65" w:rsidRDefault="00407A5F">
      <w:pPr>
        <w:pStyle w:val="EndnoteText"/>
        <w:rPr>
          <w:rFonts w:cs="Arial"/>
        </w:rPr>
      </w:pPr>
      <w:r w:rsidRPr="002C6D65">
        <w:rPr>
          <w:rStyle w:val="EndnoteReference"/>
          <w:rFonts w:cs="Arial"/>
        </w:rPr>
        <w:endnoteRef/>
      </w:r>
      <w:r w:rsidRPr="002C6D65">
        <w:rPr>
          <w:rFonts w:cs="Arial"/>
        </w:rPr>
        <w:t xml:space="preserve"> Equal Opportunity Amendment Bill 2011 (Vic).</w:t>
      </w:r>
    </w:p>
  </w:endnote>
  <w:endnote w:id="356">
    <w:p w14:paraId="68CB1080" w14:textId="11543CFB" w:rsidR="00407A5F" w:rsidRPr="002C6D65" w:rsidRDefault="00407A5F">
      <w:pPr>
        <w:pStyle w:val="EndnoteText"/>
        <w:rPr>
          <w:rStyle w:val="Characteritalic"/>
          <w:rFonts w:cs="Arial"/>
        </w:rPr>
      </w:pPr>
      <w:r w:rsidRPr="002C6D65">
        <w:rPr>
          <w:rStyle w:val="EndnoteReference"/>
          <w:rFonts w:cs="Arial"/>
        </w:rPr>
        <w:endnoteRef/>
      </w:r>
      <w:r w:rsidRPr="002C6D65">
        <w:rPr>
          <w:rFonts w:cs="Arial"/>
        </w:rPr>
        <w:t xml:space="preserve"> See the Commission’s submission to the national inquiry into sexual harassment in Australian workplaces (February 2019) for a detailed discussion and recommendations related to the Commission’s regulatory functions and powers: Victorian Equal Opportunity and Human Rights Commission, </w:t>
      </w:r>
      <w:r w:rsidRPr="002C6D65">
        <w:rPr>
          <w:rStyle w:val="Characteritalic"/>
          <w:rFonts w:cs="Arial"/>
        </w:rPr>
        <w:t xml:space="preserve">Submission to the national inquiry into sexual harassment in Australian workplaces, </w:t>
      </w:r>
      <w:r w:rsidRPr="002C6D65">
        <w:rPr>
          <w:rFonts w:cs="Arial"/>
        </w:rPr>
        <w:t xml:space="preserve">(Submission to the national inquiry into sexual harassment in Australian workplaces, April 2019) &lt; </w:t>
      </w:r>
      <w:hyperlink r:id="rId52" w:history="1">
        <w:r w:rsidRPr="002C6D65">
          <w:rPr>
            <w:rStyle w:val="Hyperlink"/>
            <w:rFonts w:cs="Arial"/>
          </w:rPr>
          <w:t>https://humanrightscommission.vic.gov.au/policy-submissions/item/download/9099_a82ab29e3b37f02adae5f375729d10f6</w:t>
        </w:r>
      </w:hyperlink>
      <w:r w:rsidRPr="002C6D65">
        <w:rPr>
          <w:rFonts w:cs="Arial"/>
        </w:rPr>
        <w:t>&gt;</w:t>
      </w:r>
      <w:r>
        <w:rPr>
          <w:rFonts w:cs="Arial"/>
        </w:rPr>
        <w:t>.</w:t>
      </w:r>
      <w:r w:rsidRPr="002C6D65">
        <w:rPr>
          <w:rFonts w:cs="Arial"/>
        </w:rPr>
        <w:t xml:space="preserve"> </w:t>
      </w:r>
      <w:r w:rsidRPr="002C6D65">
        <w:rPr>
          <w:rStyle w:val="Characteritalic"/>
          <w:rFonts w:cs="Arial"/>
        </w:rPr>
        <w:t xml:space="preserve"> </w:t>
      </w:r>
    </w:p>
  </w:endnote>
  <w:endnote w:id="357">
    <w:p w14:paraId="2DB01130" w14:textId="71FFDFDE"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Victorian Equal Opportunity and Human Rights Commission, </w:t>
      </w:r>
      <w:r w:rsidRPr="002C6D65">
        <w:rPr>
          <w:rStyle w:val="Characteritalic"/>
          <w:rFonts w:cs="Arial"/>
        </w:rPr>
        <w:t>Fair-minded cover: Investigation into discrimination in the travel insurance industry</w:t>
      </w:r>
      <w:r w:rsidRPr="002C6D65">
        <w:rPr>
          <w:rFonts w:cs="Arial"/>
        </w:rPr>
        <w:t>, (Report, June 2019).</w:t>
      </w:r>
    </w:p>
  </w:endnote>
  <w:endnote w:id="358">
    <w:p w14:paraId="3F8580B8" w14:textId="11F0B37E" w:rsidR="00407A5F" w:rsidRPr="002C6D65" w:rsidRDefault="00407A5F">
      <w:pPr>
        <w:pStyle w:val="EndnoteText"/>
        <w:rPr>
          <w:rFonts w:cs="Arial"/>
        </w:rPr>
      </w:pPr>
      <w:r w:rsidRPr="002C6D65">
        <w:rPr>
          <w:rStyle w:val="EndnoteReference"/>
          <w:rFonts w:cs="Arial"/>
        </w:rPr>
        <w:endnoteRef/>
      </w:r>
      <w:r w:rsidRPr="002C6D65">
        <w:rPr>
          <w:rFonts w:cs="Arial"/>
        </w:rPr>
        <w:t xml:space="preserve"> Note: In many cases, police officers do not provide ‘services’ within the meaning of the </w:t>
      </w:r>
      <w:r w:rsidRPr="002C6D65">
        <w:rPr>
          <w:rStyle w:val="Characteritalic"/>
          <w:rFonts w:cs="Arial"/>
        </w:rPr>
        <w:t>Equal Opportunity Act 2010</w:t>
      </w:r>
      <w:r w:rsidRPr="002C6D65">
        <w:rPr>
          <w:rFonts w:cs="Arial"/>
        </w:rPr>
        <w:t xml:space="preserve"> (Vic). For example, when they are investigating alleged offences, questioning and arresting alleged offenders, making decisions to lay or prosecute charges or executing warrants. However, police may provide services if it relates to the protection of, and assistance to, members of the public and victims of crime.</w:t>
      </w:r>
    </w:p>
  </w:endnote>
  <w:endnote w:id="359">
    <w:p w14:paraId="7E5DFEBB" w14:textId="3EE8533C" w:rsidR="00407A5F" w:rsidRPr="002C6D65" w:rsidRDefault="00407A5F" w:rsidP="008159A4">
      <w:pPr>
        <w:pStyle w:val="EndnoteText"/>
        <w:rPr>
          <w:rFonts w:cs="Arial"/>
        </w:rPr>
      </w:pPr>
      <w:r w:rsidRPr="002C6D65">
        <w:rPr>
          <w:rStyle w:val="EndnoteReference"/>
          <w:rFonts w:cs="Arial"/>
        </w:rPr>
        <w:endnoteRef/>
      </w:r>
      <w:r w:rsidRPr="002C6D65">
        <w:rPr>
          <w:rFonts w:cs="Arial"/>
        </w:rPr>
        <w:t xml:space="preserve"> Berih above n 106.</w:t>
      </w:r>
    </w:p>
  </w:endnote>
  <w:endnote w:id="360">
    <w:p w14:paraId="2F249F97" w14:textId="1E7D9468" w:rsidR="00407A5F" w:rsidRPr="002C6D65" w:rsidRDefault="00407A5F" w:rsidP="00464967">
      <w:pPr>
        <w:pStyle w:val="EndnoteText"/>
        <w:rPr>
          <w:rFonts w:cs="Arial"/>
        </w:rPr>
      </w:pPr>
      <w:r w:rsidRPr="002C6D65">
        <w:rPr>
          <w:rStyle w:val="Charactersuperscript"/>
          <w:rFonts w:cs="Arial"/>
        </w:rPr>
        <w:endnoteRef/>
      </w:r>
      <w:r w:rsidRPr="002C6D65">
        <w:rPr>
          <w:rFonts w:cs="Arial"/>
        </w:rPr>
        <w:t xml:space="preserve"> Id.</w:t>
      </w:r>
    </w:p>
  </w:endnote>
  <w:endnote w:id="361">
    <w:p w14:paraId="0D31A7DF" w14:textId="5A35B4CF" w:rsidR="00407A5F" w:rsidRPr="002C6D65" w:rsidRDefault="00407A5F">
      <w:pPr>
        <w:pStyle w:val="EndnoteText"/>
        <w:rPr>
          <w:rFonts w:cs="Arial"/>
        </w:rPr>
      </w:pPr>
      <w:r w:rsidRPr="002C6D65">
        <w:rPr>
          <w:rStyle w:val="Charactersuperscript"/>
          <w:rFonts w:cs="Arial"/>
        </w:rPr>
        <w:endnoteRef/>
      </w:r>
      <w:r w:rsidRPr="002C6D65">
        <w:rPr>
          <w:rFonts w:cs="Arial"/>
        </w:rPr>
        <w:t xml:space="preserve"> Id.</w:t>
      </w:r>
    </w:p>
  </w:endnote>
  <w:endnote w:id="362">
    <w:p w14:paraId="365718E5" w14:textId="3418EDDA" w:rsidR="00407A5F" w:rsidRPr="002C6D65" w:rsidRDefault="00407A5F">
      <w:pPr>
        <w:pStyle w:val="EndnoteText"/>
        <w:rPr>
          <w:rFonts w:cs="Arial"/>
        </w:rPr>
      </w:pPr>
      <w:r w:rsidRPr="002C6D65">
        <w:rPr>
          <w:rStyle w:val="EndnoteReference"/>
          <w:rFonts w:cs="Arial"/>
        </w:rPr>
        <w:endnoteRef/>
      </w:r>
      <w:r w:rsidRPr="002C6D65">
        <w:rPr>
          <w:rFonts w:cs="Arial"/>
        </w:rPr>
        <w:t xml:space="preserve"> Ballarat African Association above n 104.</w:t>
      </w:r>
    </w:p>
  </w:endnote>
  <w:endnote w:id="363">
    <w:p w14:paraId="03AEC91B" w14:textId="3CB973E8" w:rsidR="00407A5F" w:rsidRPr="002C6D65" w:rsidRDefault="00407A5F">
      <w:pPr>
        <w:pStyle w:val="EndnoteText"/>
        <w:rPr>
          <w:rFonts w:cs="Arial"/>
        </w:rPr>
      </w:pPr>
      <w:r w:rsidRPr="002C6D65">
        <w:rPr>
          <w:rStyle w:val="EndnoteReference"/>
          <w:rFonts w:cs="Arial"/>
        </w:rPr>
        <w:endnoteRef/>
      </w:r>
      <w:r w:rsidRPr="002C6D65">
        <w:rPr>
          <w:rFonts w:cs="Arial"/>
        </w:rPr>
        <w:t xml:space="preserve"> For example, t</w:t>
      </w:r>
      <w:r w:rsidRPr="002C6D65">
        <w:rPr>
          <w:rFonts w:cs="Arial"/>
          <w:lang w:val="en-GB"/>
        </w:rPr>
        <w:t>he Community Security Group (CSG) is a largely volunteer based organisation that is tasked with security for the Jewish community. The CSG collects data on reports on anti-</w:t>
      </w:r>
      <w:r w:rsidRPr="002C6D65">
        <w:rPr>
          <w:rFonts w:cs="Arial"/>
        </w:rPr>
        <w:t>S</w:t>
      </w:r>
      <w:r w:rsidRPr="002C6D65">
        <w:rPr>
          <w:rFonts w:cs="Arial"/>
          <w:lang w:val="en-GB"/>
        </w:rPr>
        <w:t xml:space="preserve">emitism, </w:t>
      </w:r>
      <w:r w:rsidRPr="002C6D65">
        <w:rPr>
          <w:rFonts w:cs="Arial"/>
        </w:rPr>
        <w:t>which</w:t>
      </w:r>
      <w:r w:rsidRPr="002C6D65">
        <w:rPr>
          <w:rFonts w:cs="Arial"/>
          <w:lang w:val="en-GB"/>
        </w:rPr>
        <w:t xml:space="preserve"> feeds into national data collection</w:t>
      </w:r>
      <w:r w:rsidRPr="002C6D65">
        <w:rPr>
          <w:rFonts w:cs="Arial"/>
        </w:rPr>
        <w:t xml:space="preserve"> on anti-Semitism. </w:t>
      </w:r>
    </w:p>
  </w:endnote>
  <w:endnote w:id="364">
    <w:p w14:paraId="6B2E13E1" w14:textId="53C30062" w:rsidR="00407A5F" w:rsidRPr="002C6D65" w:rsidRDefault="00407A5F">
      <w:pPr>
        <w:pStyle w:val="EndnoteText"/>
        <w:rPr>
          <w:rFonts w:cs="Arial"/>
        </w:rPr>
      </w:pPr>
      <w:r w:rsidRPr="002C6D65">
        <w:rPr>
          <w:rStyle w:val="EndnoteReference"/>
          <w:rFonts w:cs="Arial"/>
        </w:rPr>
        <w:endnoteRef/>
      </w:r>
      <w:r w:rsidRPr="002C6D65">
        <w:rPr>
          <w:rFonts w:cs="Arial"/>
        </w:rPr>
        <w:t xml:space="preserve"> Ballarat African Association above n 104.  </w:t>
      </w:r>
    </w:p>
  </w:endnote>
  <w:endnote w:id="365">
    <w:p w14:paraId="03FAECC2" w14:textId="5CC70A85" w:rsidR="00407A5F" w:rsidRPr="002C6D65" w:rsidRDefault="00407A5F" w:rsidP="00D8499F">
      <w:pPr>
        <w:pStyle w:val="EndnoteText"/>
        <w:rPr>
          <w:rFonts w:cs="Arial"/>
        </w:rPr>
      </w:pPr>
      <w:r w:rsidRPr="002C6D65">
        <w:rPr>
          <w:rStyle w:val="EndnoteReference"/>
          <w:rFonts w:cs="Arial"/>
        </w:rPr>
        <w:endnoteRef/>
      </w:r>
      <w:r w:rsidRPr="002C6D65">
        <w:rPr>
          <w:rFonts w:cs="Arial"/>
        </w:rPr>
        <w:t xml:space="preserve"> Id.</w:t>
      </w:r>
    </w:p>
  </w:endnote>
  <w:endnote w:id="366">
    <w:p w14:paraId="7836AFE6" w14:textId="59679C90"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 Police, ‘Prejudice and racial and religious vilification’ (19 March 2019) &lt; </w:t>
      </w:r>
      <w:hyperlink r:id="rId53" w:history="1">
        <w:r w:rsidRPr="002C6D65">
          <w:rPr>
            <w:rStyle w:val="Hyperlink"/>
            <w:rFonts w:cs="Arial"/>
          </w:rPr>
          <w:t>https://www.police.vic.gov.au/prejudice-and-racial-and-religious-vilification</w:t>
        </w:r>
      </w:hyperlink>
      <w:r w:rsidRPr="002C6D65">
        <w:rPr>
          <w:rFonts w:cs="Arial"/>
        </w:rPr>
        <w:t>&gt;; Mason et al above n 197, 19-20.</w:t>
      </w:r>
    </w:p>
  </w:endnote>
  <w:endnote w:id="367">
    <w:p w14:paraId="450D47ED" w14:textId="0CC2E2CD" w:rsidR="00407A5F" w:rsidRPr="002C6D65" w:rsidRDefault="00407A5F">
      <w:pPr>
        <w:pStyle w:val="EndnoteText"/>
        <w:rPr>
          <w:rFonts w:cs="Arial"/>
        </w:rPr>
      </w:pPr>
      <w:r w:rsidRPr="002C6D65">
        <w:rPr>
          <w:rStyle w:val="EndnoteReference"/>
          <w:rFonts w:cs="Arial"/>
        </w:rPr>
        <w:endnoteRef/>
      </w:r>
      <w:r w:rsidRPr="002C6D65">
        <w:rPr>
          <w:rFonts w:cs="Arial"/>
        </w:rPr>
        <w:t xml:space="preserve"> Ibid 29-33.</w:t>
      </w:r>
    </w:p>
  </w:endnote>
  <w:endnote w:id="368">
    <w:p w14:paraId="62C7D8A6" w14:textId="475A2484"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369">
    <w:p w14:paraId="37771C7B" w14:textId="6ABDFD71" w:rsidR="00407A5F" w:rsidRPr="002C6D65" w:rsidRDefault="00407A5F">
      <w:pPr>
        <w:pStyle w:val="EndnoteText"/>
        <w:rPr>
          <w:rFonts w:cs="Arial"/>
        </w:rPr>
      </w:pPr>
      <w:r w:rsidRPr="002C6D65">
        <w:rPr>
          <w:rStyle w:val="EndnoteReference"/>
          <w:rFonts w:cs="Arial"/>
        </w:rPr>
        <w:endnoteRef/>
      </w:r>
      <w:r w:rsidRPr="002C6D65">
        <w:rPr>
          <w:rFonts w:cs="Arial"/>
        </w:rPr>
        <w:t xml:space="preserve"> Centre for Multicultural Youth above n 102; Focus group with multicultural and multifaith Victorians above n 64.</w:t>
      </w:r>
    </w:p>
  </w:endnote>
  <w:endnote w:id="370">
    <w:p w14:paraId="3E7B44E8" w14:textId="7D74C8ED"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above n 118; William Leonard and Bianca Fileborn, </w:t>
      </w:r>
      <w:r w:rsidRPr="002C6D65">
        <w:rPr>
          <w:rFonts w:cs="Arial"/>
          <w:i/>
        </w:rPr>
        <w:t>Policing for SSASGD young Victorians</w:t>
      </w:r>
      <w:r w:rsidRPr="002C6D65">
        <w:rPr>
          <w:rFonts w:cs="Arial"/>
        </w:rPr>
        <w:t xml:space="preserve"> (Report, La Trobe University, 2018). The Commission also released a report highlighting continued LGBTI discrimination within the force: Victorian Equal Opportunity and Human Rights Commission, </w:t>
      </w:r>
      <w:r w:rsidRPr="002C6D65">
        <w:rPr>
          <w:rFonts w:cs="Arial"/>
          <w:i/>
        </w:rPr>
        <w:t>Proud, visible, safe: Responding to workplace harm experienced by LGBTI employees in Victoria Police</w:t>
      </w:r>
      <w:r w:rsidRPr="002C6D65">
        <w:rPr>
          <w:rFonts w:cs="Arial"/>
        </w:rPr>
        <w:t xml:space="preserve">, (2018) &lt; </w:t>
      </w:r>
      <w:hyperlink r:id="rId54" w:history="1">
        <w:r w:rsidRPr="002C6D65">
          <w:rPr>
            <w:rStyle w:val="Hyperlink"/>
            <w:rFonts w:cs="Arial"/>
          </w:rPr>
          <w:t>https://www.humanrightscommission.vic.gov.au/home/our-resources-and-publications/reports/item/download/9104_4a3369277ca0434000600ad8bfe81b4a</w:t>
        </w:r>
      </w:hyperlink>
      <w:r w:rsidRPr="002C6D65">
        <w:rPr>
          <w:rFonts w:cs="Arial"/>
        </w:rPr>
        <w:t>&gt;</w:t>
      </w:r>
      <w:r>
        <w:rPr>
          <w:rFonts w:cs="Arial"/>
        </w:rPr>
        <w:t>.</w:t>
      </w:r>
      <w:r w:rsidRPr="002C6D65">
        <w:rPr>
          <w:rFonts w:cs="Arial"/>
        </w:rPr>
        <w:t xml:space="preserve"> </w:t>
      </w:r>
    </w:p>
  </w:endnote>
  <w:endnote w:id="371">
    <w:p w14:paraId="6B751DDF" w14:textId="3E1E3F21" w:rsidR="00407A5F" w:rsidRPr="002C6D65" w:rsidRDefault="00407A5F">
      <w:pPr>
        <w:pStyle w:val="EndnoteText"/>
        <w:rPr>
          <w:rFonts w:cs="Arial"/>
        </w:rPr>
      </w:pPr>
      <w:r w:rsidRPr="002C6D65">
        <w:rPr>
          <w:rStyle w:val="EndnoteReference"/>
          <w:rFonts w:cs="Arial"/>
        </w:rPr>
        <w:endnoteRef/>
      </w:r>
      <w:r w:rsidRPr="002C6D65">
        <w:rPr>
          <w:rFonts w:cs="Arial"/>
        </w:rPr>
        <w:t xml:space="preserve"> Victorian Equal Opportunity and Human Rights Commission, Inquest into the Death of Tanya Day, (Submission to the Coroners Court of Victoria, 17 April 2019) &lt; </w:t>
      </w:r>
      <w:hyperlink r:id="rId55" w:history="1">
        <w:r w:rsidRPr="002C6D65">
          <w:rPr>
            <w:rStyle w:val="Hyperlink"/>
            <w:rFonts w:cs="Arial"/>
          </w:rPr>
          <w:t>https://www.humanrightscommission.vic.gov.au/human-rights/charter-submissions/item/download/9123_42363ccc03abdf8e5e3497d873787c27</w:t>
        </w:r>
      </w:hyperlink>
      <w:r w:rsidRPr="002C6D65">
        <w:rPr>
          <w:rFonts w:cs="Arial"/>
        </w:rPr>
        <w:t>&gt;</w:t>
      </w:r>
      <w:r>
        <w:rPr>
          <w:rFonts w:cs="Arial"/>
        </w:rPr>
        <w:t>.</w:t>
      </w:r>
      <w:r w:rsidRPr="002C6D65">
        <w:rPr>
          <w:rFonts w:cs="Arial"/>
        </w:rPr>
        <w:t xml:space="preserve"> </w:t>
      </w:r>
    </w:p>
  </w:endnote>
  <w:endnote w:id="372">
    <w:p w14:paraId="0E347D60" w14:textId="4ADB79D8" w:rsidR="00407A5F" w:rsidRPr="002C6D65" w:rsidRDefault="00407A5F">
      <w:pPr>
        <w:pStyle w:val="EndnoteText"/>
        <w:rPr>
          <w:rFonts w:cs="Arial"/>
        </w:rPr>
      </w:pPr>
      <w:r w:rsidRPr="002C6D65">
        <w:rPr>
          <w:rStyle w:val="EndnoteReference"/>
          <w:rFonts w:cs="Arial"/>
        </w:rPr>
        <w:endnoteRef/>
      </w:r>
      <w:r w:rsidRPr="002C6D65">
        <w:rPr>
          <w:rFonts w:cs="Arial"/>
        </w:rPr>
        <w:t xml:space="preserve"> Information provided by the Victorian Aboriginal Legal Service on 9 December 2019.</w:t>
      </w:r>
    </w:p>
  </w:endnote>
  <w:endnote w:id="373">
    <w:p w14:paraId="5D6953FE" w14:textId="1A2DD052" w:rsidR="00407A5F" w:rsidRPr="002C6D65" w:rsidRDefault="00407A5F">
      <w:pPr>
        <w:pStyle w:val="EndnoteText"/>
        <w:rPr>
          <w:rFonts w:cs="Arial"/>
        </w:rPr>
      </w:pPr>
      <w:r w:rsidRPr="002C6D65">
        <w:rPr>
          <w:rStyle w:val="EndnoteReference"/>
          <w:rFonts w:cs="Arial"/>
        </w:rPr>
        <w:endnoteRef/>
      </w:r>
      <w:r w:rsidRPr="002C6D65">
        <w:rPr>
          <w:rFonts w:cs="Arial"/>
        </w:rPr>
        <w:t xml:space="preserve"> Mason et al above n 209, 166-177.</w:t>
      </w:r>
    </w:p>
  </w:endnote>
  <w:endnote w:id="374">
    <w:p w14:paraId="5709E0CA" w14:textId="2AD909C3" w:rsidR="00407A5F" w:rsidRPr="002C6D65" w:rsidRDefault="00407A5F">
      <w:pPr>
        <w:pStyle w:val="EndnoteText"/>
        <w:rPr>
          <w:rFonts w:cs="Arial"/>
        </w:rPr>
      </w:pPr>
      <w:r w:rsidRPr="002C6D65">
        <w:rPr>
          <w:rStyle w:val="EndnoteReference"/>
          <w:rFonts w:cs="Arial"/>
        </w:rPr>
        <w:endnoteRef/>
      </w:r>
      <w:r w:rsidRPr="002C6D65">
        <w:rPr>
          <w:rFonts w:cs="Arial"/>
        </w:rPr>
        <w:t xml:space="preserve"> Human Rights Law Centre above n 118. Some limited research has indicated that very few cases of hate crimes against gay or lesbian victims, or people with a disability, are reaching courts: Gail Mason et al above n 200, 144.</w:t>
      </w:r>
    </w:p>
  </w:endnote>
  <w:endnote w:id="375">
    <w:p w14:paraId="23DD6000" w14:textId="2DD84CB6" w:rsidR="00407A5F" w:rsidRPr="002C6D65" w:rsidRDefault="00407A5F" w:rsidP="00A46E07">
      <w:pPr>
        <w:pStyle w:val="EndnoteText"/>
        <w:rPr>
          <w:rFonts w:cs="Arial"/>
        </w:rPr>
      </w:pPr>
      <w:r w:rsidRPr="002C6D65">
        <w:rPr>
          <w:rStyle w:val="EndnoteReference"/>
          <w:rFonts w:cs="Arial"/>
        </w:rPr>
        <w:endnoteRef/>
      </w:r>
      <w:r w:rsidRPr="002C6D65">
        <w:rPr>
          <w:rFonts w:cs="Arial"/>
        </w:rPr>
        <w:t xml:space="preserve"> For example, there is limited research into hate and vilification against the disability community, despite reports from our consultations with the disability community that this is widespread: Disability focus group, above n 140.</w:t>
      </w:r>
    </w:p>
  </w:endnote>
  <w:endnote w:id="376">
    <w:p w14:paraId="7EB8B68A" w14:textId="1D3B65F2" w:rsidR="00407A5F" w:rsidRPr="002C6D65" w:rsidRDefault="00407A5F" w:rsidP="00A46E07">
      <w:pPr>
        <w:pStyle w:val="EndnoteText"/>
        <w:rPr>
          <w:rFonts w:cs="Arial"/>
        </w:rPr>
      </w:pPr>
      <w:r w:rsidRPr="002C6D65">
        <w:rPr>
          <w:rStyle w:val="EndnoteReference"/>
          <w:rFonts w:cs="Arial"/>
        </w:rPr>
        <w:endnoteRef/>
      </w:r>
      <w:r w:rsidRPr="002C6D65">
        <w:rPr>
          <w:rFonts w:cs="Arial"/>
        </w:rPr>
        <w:t xml:space="preserve"> We note that research is emerging: Ana-Maria Bliuc, Nicholas Faulkner, Andrew Jakubowicz, and Craig McGarty. "Online networks of racial hate: A systematic review of 10 years of research on cyber-racism." </w:t>
      </w:r>
      <w:r w:rsidRPr="002C6D65">
        <w:rPr>
          <w:rStyle w:val="Characteritalic"/>
          <w:rFonts w:cs="Arial"/>
        </w:rPr>
        <w:t>Computers in Human Behavior</w:t>
      </w:r>
      <w:r w:rsidRPr="002C6D65">
        <w:rPr>
          <w:rFonts w:cs="Arial"/>
        </w:rPr>
        <w:t xml:space="preserve"> (2018) 87, 75.</w:t>
      </w:r>
    </w:p>
  </w:endnote>
  <w:endnote w:id="377">
    <w:p w14:paraId="0F44D663" w14:textId="09B7320B" w:rsidR="00407A5F" w:rsidRPr="002C6D65" w:rsidRDefault="00407A5F">
      <w:pPr>
        <w:pStyle w:val="EndnoteText"/>
        <w:rPr>
          <w:rFonts w:cs="Arial"/>
        </w:rPr>
      </w:pPr>
      <w:r w:rsidRPr="002C6D65">
        <w:rPr>
          <w:rStyle w:val="EndnoteReference"/>
          <w:rFonts w:cs="Arial"/>
        </w:rPr>
        <w:endnoteRef/>
      </w:r>
      <w:r w:rsidRPr="002C6D65">
        <w:rPr>
          <w:rFonts w:cs="Arial"/>
        </w:rPr>
        <w:t xml:space="preserve"> </w:t>
      </w:r>
      <w:r w:rsidRPr="00EB669C">
        <w:rPr>
          <w:rStyle w:val="Characterclear"/>
          <w:rFonts w:cs="Arial"/>
          <w:sz w:val="20"/>
          <w:szCs w:val="16"/>
        </w:rPr>
        <w:t>The Centre for Resilient and Inclusive Societies has convened a Practitioners Working Group on Tackling Hate (</w:t>
      </w:r>
      <w:hyperlink r:id="rId56" w:history="1">
        <w:r w:rsidRPr="00123BEB">
          <w:rPr>
            <w:rStyle w:val="Hyperlink"/>
            <w:rFonts w:cs="Arial"/>
          </w:rPr>
          <w:t>https://www.crisconsortium.org/stream-2-updates</w:t>
        </w:r>
      </w:hyperlink>
      <w:r w:rsidRPr="00EB669C">
        <w:rPr>
          <w:rStyle w:val="Characterclear"/>
          <w:rFonts w:cs="Arial"/>
          <w:sz w:val="20"/>
          <w:szCs w:val="16"/>
        </w:rPr>
        <w:t xml:space="preserve">) to address the need for a shared definition of hate in Victoria. The group agreed on the following definition: “a prejudice-motivated incident is any incident in which any person believes that a person, a property or group is targeted because of their race, religion, ethnicity, gender, sexual orientation, trans status, intersex status, disability, age or homelessness”. The Victorian Government has also funded a project through the CVE grants to create an online training course for Victorian practitioners to create a common culture and discourse around data collection of hate and extremist incidents. The project is led by Dr Vergani at Deakin University. </w:t>
      </w:r>
      <w:r w:rsidRPr="002C6D65">
        <w:rPr>
          <w:rFonts w:cs="Arial"/>
        </w:rPr>
        <w:t>Interview with Matteo Vergani, Centre for Resilient and Inclusive Societies (Victorian Equal Opportunity and Human Rights Commission, teleconference, 28 November 2019).</w:t>
      </w:r>
    </w:p>
  </w:endnote>
  <w:endnote w:id="378">
    <w:p w14:paraId="482EA74D" w14:textId="609FB4FA"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379">
    <w:p w14:paraId="3BBCD0F8" w14:textId="77E56454"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380">
    <w:p w14:paraId="4D220914" w14:textId="1AC5BF28" w:rsidR="00407A5F" w:rsidRPr="002C6D65" w:rsidRDefault="00407A5F">
      <w:pPr>
        <w:pStyle w:val="EndnoteText"/>
        <w:rPr>
          <w:rFonts w:cs="Arial"/>
        </w:rPr>
      </w:pPr>
      <w:r w:rsidRPr="002C6D65">
        <w:rPr>
          <w:rStyle w:val="EndnoteReference"/>
          <w:rFonts w:cs="Arial"/>
        </w:rPr>
        <w:endnoteRef/>
      </w:r>
      <w:r w:rsidRPr="002C6D65">
        <w:rPr>
          <w:rFonts w:cs="Arial"/>
        </w:rPr>
        <w:t xml:space="preserve"> Id.</w:t>
      </w:r>
    </w:p>
  </w:endnote>
  <w:endnote w:id="381">
    <w:p w14:paraId="4E6E821C" w14:textId="79A27988" w:rsidR="00407A5F" w:rsidRPr="002C6D65" w:rsidRDefault="00407A5F">
      <w:pPr>
        <w:pStyle w:val="EndnoteText"/>
        <w:rPr>
          <w:rFonts w:cs="Arial"/>
        </w:rPr>
      </w:pPr>
      <w:r w:rsidRPr="002C6D65">
        <w:rPr>
          <w:rStyle w:val="EndnoteReference"/>
          <w:rFonts w:cs="Arial"/>
        </w:rPr>
        <w:endnoteRef/>
      </w:r>
      <w:r w:rsidRPr="002C6D65">
        <w:rPr>
          <w:rFonts w:cs="Arial"/>
        </w:rPr>
        <w:t xml:space="preserve"> Gail Mason &amp; Rachael Stanic (2019) Reporting and recording bias crime in New South Wales, 31(2), </w:t>
      </w:r>
      <w:r w:rsidRPr="002C6D65">
        <w:rPr>
          <w:rStyle w:val="Characteritalic"/>
          <w:rFonts w:cs="Arial"/>
        </w:rPr>
        <w:t>Current Issues in Criminal Justice</w:t>
      </w:r>
      <w:r w:rsidRPr="002C6D65">
        <w:rPr>
          <w:rFonts w:cs="Arial"/>
        </w:rPr>
        <w:t xml:space="preserve"> 164, 166.</w:t>
      </w:r>
    </w:p>
  </w:endnote>
  <w:endnote w:id="382">
    <w:p w14:paraId="3BF7A2D3" w14:textId="77777777" w:rsidR="00407A5F" w:rsidRPr="002C6D65" w:rsidRDefault="00407A5F" w:rsidP="006F4DF3">
      <w:pPr>
        <w:pStyle w:val="EndnoteText"/>
        <w:rPr>
          <w:rFonts w:cs="Arial"/>
        </w:rPr>
      </w:pPr>
      <w:r w:rsidRPr="002C6D65">
        <w:rPr>
          <w:rStyle w:val="EndnoteReference"/>
          <w:rFonts w:cs="Arial"/>
        </w:rPr>
        <w:endnoteRef/>
      </w:r>
      <w:r w:rsidRPr="002C6D65">
        <w:rPr>
          <w:rFonts w:cs="Arial"/>
        </w:rPr>
        <w:t xml:space="preserve"> Home Office, </w:t>
      </w:r>
      <w:r w:rsidRPr="002C6D65">
        <w:rPr>
          <w:rStyle w:val="Characteritalic"/>
          <w:rFonts w:cs="Arial"/>
        </w:rPr>
        <w:t>Hate crime, England and Wales, 2018-2019</w:t>
      </w:r>
      <w:r w:rsidRPr="002C6D65">
        <w:rPr>
          <w:rFonts w:cs="Arial"/>
        </w:rPr>
        <w:t> (Home Office Statistical Bulletin, 15 October 2019). The United Kingdom also reports to the Office for Democratic and Human Rights: Office for Democratic and Human Rights. Hate crime data (2018) &lt;</w:t>
      </w:r>
      <w:r w:rsidRPr="002C6D65">
        <w:rPr>
          <w:rFonts w:cs="Arial"/>
          <w:lang w:val="en-GB"/>
        </w:rPr>
        <w:t> </w:t>
      </w:r>
      <w:hyperlink r:id="rId57" w:tgtFrame="_blank" w:history="1">
        <w:r w:rsidRPr="002C6D65">
          <w:rPr>
            <w:rStyle w:val="Hyperlink"/>
            <w:rFonts w:cs="Arial"/>
            <w:lang w:val="en-GB"/>
          </w:rPr>
          <w:t>http://hatecrime.osce.org/united-kingdom?year=2018</w:t>
        </w:r>
      </w:hyperlink>
      <w:r w:rsidRPr="002C6D65">
        <w:rPr>
          <w:rFonts w:cs="Arial"/>
          <w:lang w:val="en-GB"/>
        </w:rPr>
        <w:t>&gt;.</w:t>
      </w:r>
    </w:p>
    <w:p w14:paraId="7E11B1FD" w14:textId="262E56B0" w:rsidR="00407A5F" w:rsidRPr="002C6D65" w:rsidRDefault="00407A5F">
      <w:pPr>
        <w:pStyle w:val="EndnoteTex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337291"/>
      <w:docPartObj>
        <w:docPartGallery w:val="Page Numbers (Bottom of Page)"/>
        <w:docPartUnique/>
      </w:docPartObj>
    </w:sdtPr>
    <w:sdtEndPr>
      <w:rPr>
        <w:noProof/>
      </w:rPr>
    </w:sdtEndPr>
    <w:sdtContent>
      <w:p w14:paraId="1E2CF88D" w14:textId="632953A3" w:rsidR="00407A5F" w:rsidRPr="00046354" w:rsidRDefault="00407A5F" w:rsidP="00046354">
        <w:pPr>
          <w:pStyle w:val="Footer"/>
        </w:pPr>
        <w:r w:rsidRPr="00046354">
          <w:rPr>
            <w:rStyle w:val="Characteritalic"/>
          </w:rPr>
          <w:fldChar w:fldCharType="begin"/>
        </w:r>
        <w:r w:rsidRPr="00046354">
          <w:rPr>
            <w:rStyle w:val="Characteritalic"/>
          </w:rPr>
          <w:instrText xml:space="preserve"> STYLEREF  Title  \* MERGEFORMAT </w:instrText>
        </w:r>
        <w:r w:rsidRPr="00046354">
          <w:rPr>
            <w:rStyle w:val="Characteritalic"/>
          </w:rPr>
          <w:fldChar w:fldCharType="separate"/>
        </w:r>
        <w:r w:rsidR="00EC2669">
          <w:rPr>
            <w:rStyle w:val="Characteritalic"/>
            <w:noProof/>
          </w:rPr>
          <w:t>Submission to the Parliamentary Inquiry into Anti-Vilification Protections</w:t>
        </w:r>
        <w:r w:rsidRPr="00046354">
          <w:rPr>
            <w:rStyle w:val="Characteritalic"/>
          </w:rPr>
          <w:fldChar w:fldCharType="end"/>
        </w:r>
        <w:r>
          <w:tab/>
        </w:r>
        <w:r w:rsidRPr="00982493">
          <w:t xml:space="preserve">Page </w:t>
        </w:r>
        <w:r w:rsidRPr="00982493">
          <w:fldChar w:fldCharType="begin"/>
        </w:r>
        <w:r w:rsidRPr="00982493">
          <w:instrText xml:space="preserve"> PAGE  \* Arabic  \* MERGEFORMAT </w:instrText>
        </w:r>
        <w:r w:rsidRPr="00982493">
          <w:fldChar w:fldCharType="separate"/>
        </w:r>
        <w:r>
          <w:t>3</w:t>
        </w:r>
        <w:r w:rsidRPr="00982493">
          <w:fldChar w:fldCharType="end"/>
        </w:r>
        <w:r w:rsidRPr="00982493">
          <w:t xml:space="preserve"> of </w:t>
        </w:r>
        <w:fldSimple w:instr=" NUMPAGES  \* Arabic  \* MERGEFORMAT ">
          <w:r>
            <w:t>5</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4BA7D" w14:textId="77777777" w:rsidR="00407A5F" w:rsidRDefault="00407A5F">
    <w:pPr>
      <w:pStyle w:val="Footer"/>
    </w:pPr>
    <w:r>
      <w:rPr>
        <w:noProof/>
      </w:rPr>
      <mc:AlternateContent>
        <mc:Choice Requires="wps">
          <w:drawing>
            <wp:anchor distT="0" distB="0" distL="114300" distR="114300" simplePos="0" relativeHeight="251658243" behindDoc="0" locked="0" layoutInCell="1" allowOverlap="1" wp14:anchorId="0C487CA2" wp14:editId="5A445498">
              <wp:simplePos x="0" y="0"/>
              <wp:positionH relativeFrom="column">
                <wp:posOffset>-92392</wp:posOffset>
              </wp:positionH>
              <wp:positionV relativeFrom="paragraph">
                <wp:posOffset>116205</wp:posOffset>
              </wp:positionV>
              <wp:extent cx="3752912" cy="357188"/>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3752912" cy="357188"/>
                      </a:xfrm>
                      <a:prstGeom prst="rect">
                        <a:avLst/>
                      </a:prstGeom>
                      <a:noFill/>
                      <a:ln w="6350">
                        <a:noFill/>
                      </a:ln>
                    </wps:spPr>
                    <wps:txbx>
                      <w:txbxContent>
                        <w:p w14:paraId="2C6744F3" w14:textId="77777777" w:rsidR="00407A5F" w:rsidRPr="00034D42" w:rsidRDefault="00407A5F">
                          <w:pPr>
                            <w:rPr>
                              <w:color w:val="FFFFFF" w:themeColor="background1"/>
                            </w:rPr>
                          </w:pPr>
                          <w:r w:rsidRPr="00034D42">
                            <w:rPr>
                              <w:color w:val="FFFFFF" w:themeColor="background1"/>
                            </w:rPr>
                            <w:t>humanrightscommission.vic.gov.au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487CA2" id="_x0000_t202" coordsize="21600,21600" o:spt="202" path="m,l,21600r21600,l21600,xe">
              <v:stroke joinstyle="miter"/>
              <v:path gradientshapeok="t" o:connecttype="rect"/>
            </v:shapetype>
            <v:shape id="Text Box 9" o:spid="_x0000_s1026" type="#_x0000_t202" style="position:absolute;margin-left:-7.25pt;margin-top:9.15pt;width:295.5pt;height:28.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" filled="f" stroked="f" strokeweight=".5pt">
              <v:textbox>
                <w:txbxContent>
                  <w:p w14:paraId="2C6744F3" w14:textId="77777777" w:rsidR="00407A5F" w:rsidRPr="00034D42" w:rsidRDefault="00407A5F">
                    <w:pPr>
                      <w:rPr>
                        <w:color w:val="FFFFFF" w:themeColor="background1"/>
                      </w:rPr>
                    </w:pPr>
                    <w:r w:rsidRPr="00034D42">
                      <w:rPr>
                        <w:color w:val="FFFFFF" w:themeColor="background1"/>
                      </w:rPr>
                      <w:t>humanrightscommission.vic.gov.au</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41D50AC7" wp14:editId="02B4A68B">
              <wp:simplePos x="0" y="0"/>
              <wp:positionH relativeFrom="column">
                <wp:posOffset>-556699</wp:posOffset>
              </wp:positionH>
              <wp:positionV relativeFrom="paragraph">
                <wp:posOffset>65405</wp:posOffset>
              </wp:positionV>
              <wp:extent cx="76581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042B" id="Rectangle 8" o:spid="_x0000_s1026" style="position:absolute;margin-left:-43.85pt;margin-top:5.15pt;width:603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" fillcolor="#454545"/>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5F6F3" w14:textId="77777777" w:rsidR="00407A5F" w:rsidRDefault="00407A5F">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1</w:t>
    </w:r>
    <w:r w:rsidRPr="00024595">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62EF" w14:textId="77777777" w:rsidR="00407A5F" w:rsidRDefault="00407A5F"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570FB" w14:textId="77777777" w:rsidR="00407A5F" w:rsidRDefault="00407A5F"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178C5" w14:textId="77777777" w:rsidR="00B7364D" w:rsidRDefault="00B7364D" w:rsidP="00E12845">
      <w:r>
        <w:separator/>
      </w:r>
    </w:p>
  </w:footnote>
  <w:footnote w:type="continuationSeparator" w:id="0">
    <w:p w14:paraId="4039F6F2" w14:textId="77777777" w:rsidR="00B7364D" w:rsidRDefault="00B7364D" w:rsidP="00E12845">
      <w:r>
        <w:continuationSeparator/>
      </w:r>
    </w:p>
  </w:footnote>
  <w:footnote w:type="continuationNotice" w:id="1">
    <w:p w14:paraId="052532AE" w14:textId="77777777" w:rsidR="00B7364D" w:rsidRDefault="00B73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48F5" w14:textId="77777777" w:rsidR="00407A5F" w:rsidRDefault="00407A5F">
    <w:pPr>
      <w:pStyle w:val="Header"/>
    </w:pPr>
    <w:r>
      <w:rPr>
        <w:noProof/>
      </w:rPr>
      <mc:AlternateContent>
        <mc:Choice Requires="wps">
          <w:drawing>
            <wp:anchor distT="0" distB="0" distL="114300" distR="114300" simplePos="0" relativeHeight="251658241" behindDoc="0" locked="0" layoutInCell="1" allowOverlap="1" wp14:anchorId="665F1F77" wp14:editId="109E63E3">
              <wp:simplePos x="0" y="0"/>
              <wp:positionH relativeFrom="page">
                <wp:align>left</wp:align>
              </wp:positionH>
              <wp:positionV relativeFrom="paragraph">
                <wp:posOffset>4567894</wp:posOffset>
              </wp:positionV>
              <wp:extent cx="7658100" cy="5166360"/>
              <wp:effectExtent l="0" t="0" r="1905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30DC5" id="Rectangle 7" o:spid="_x0000_s1026" style="position:absolute;margin-left:0;margin-top:359.7pt;width:603pt;height:406.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" fillcolor="#f3f4ea">
              <w10:wrap anchorx="page"/>
            </v:rect>
          </w:pict>
        </mc:Fallback>
      </mc:AlternateContent>
    </w:r>
    <w:r w:rsidRPr="00E41201">
      <w:rPr>
        <w:noProof/>
      </w:rPr>
      <mc:AlternateContent>
        <mc:Choice Requires="wps">
          <w:drawing>
            <wp:anchor distT="0" distB="0" distL="114300" distR="114300" simplePos="0" relativeHeight="251658240" behindDoc="0" locked="0" layoutInCell="1" allowOverlap="1" wp14:anchorId="3545048E" wp14:editId="6B403055">
              <wp:simplePos x="0" y="0"/>
              <wp:positionH relativeFrom="page">
                <wp:align>left</wp:align>
              </wp:positionH>
              <wp:positionV relativeFrom="paragraph">
                <wp:posOffset>-456414</wp:posOffset>
              </wp:positionV>
              <wp:extent cx="7658100" cy="5029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D33D1" id="Rectangle 6" o:spid="_x0000_s1026" style="position:absolute;margin-left:0;margin-top:-35.95pt;width:603pt;height:39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" fillcolor="#00a5e6"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A2F66" w14:textId="77777777" w:rsidR="00407A5F" w:rsidRDefault="00407A5F" w:rsidP="00DD35E1">
    <w:pPr>
      <w:pStyle w:val="Headerlandscape"/>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1EBA0BD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562680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AEB87EC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17034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8F15EF"/>
    <w:multiLevelType w:val="hybridMultilevel"/>
    <w:tmpl w:val="29E80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4F7801"/>
    <w:multiLevelType w:val="multilevel"/>
    <w:tmpl w:val="904AEB3A"/>
    <w:numStyleLink w:val="TableListNumbermaster"/>
  </w:abstractNum>
  <w:abstractNum w:abstractNumId="7"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9377A8"/>
    <w:multiLevelType w:val="hybridMultilevel"/>
    <w:tmpl w:val="44108780"/>
    <w:lvl w:ilvl="0" w:tplc="98A2279E">
      <w:start w:val="123"/>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A753D77"/>
    <w:multiLevelType w:val="multilevel"/>
    <w:tmpl w:val="442A7A30"/>
    <w:styleLink w:val="Headingsmaster"/>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FB6F5D"/>
    <w:multiLevelType w:val="multilevel"/>
    <w:tmpl w:val="540CA368"/>
    <w:numStyleLink w:val="ListBulletmaster"/>
  </w:abstractNum>
  <w:abstractNum w:abstractNumId="13" w15:restartNumberingAfterBreak="0">
    <w:nsid w:val="2BDC4A7E"/>
    <w:multiLevelType w:val="multilevel"/>
    <w:tmpl w:val="35266F38"/>
    <w:numStyleLink w:val="AppendixHeadingmaster"/>
  </w:abstractNum>
  <w:abstractNum w:abstractNumId="14"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1B7EE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A51FC2"/>
    <w:multiLevelType w:val="multilevel"/>
    <w:tmpl w:val="3C58879C"/>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6182B"/>
    <w:multiLevelType w:val="hybridMultilevel"/>
    <w:tmpl w:val="742AE516"/>
    <w:lvl w:ilvl="0" w:tplc="0C090011">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48E6CBA"/>
    <w:multiLevelType w:val="multilevel"/>
    <w:tmpl w:val="540CA368"/>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3F031A"/>
    <w:multiLevelType w:val="multilevel"/>
    <w:tmpl w:val="A1224394"/>
    <w:numStyleLink w:val="ListLegalmaster"/>
  </w:abstractNum>
  <w:abstractNum w:abstractNumId="21" w15:restartNumberingAfterBreak="0">
    <w:nsid w:val="6D0C28B4"/>
    <w:multiLevelType w:val="multilevel"/>
    <w:tmpl w:val="442A7A30"/>
    <w:numStyleLink w:val="Headingsmaster"/>
  </w:abstractNum>
  <w:abstractNum w:abstractNumId="22" w15:restartNumberingAfterBreak="0">
    <w:nsid w:val="6DBF0135"/>
    <w:multiLevelType w:val="multilevel"/>
    <w:tmpl w:val="E7DA569A"/>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571BE7"/>
    <w:multiLevelType w:val="multilevel"/>
    <w:tmpl w:val="3C58879C"/>
    <w:numStyleLink w:val="TableListBulletmaster"/>
  </w:abstractNum>
  <w:abstractNum w:abstractNumId="24" w15:restartNumberingAfterBreak="0">
    <w:nsid w:val="72DC2C5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0B0826"/>
    <w:multiLevelType w:val="multilevel"/>
    <w:tmpl w:val="69C6531C"/>
    <w:styleLink w:val="ListNumbermaster"/>
    <w:lvl w:ilvl="0">
      <w:start w:val="1"/>
      <w:numFmt w:val="decimal"/>
      <w:lvlText w:val="%1."/>
      <w:lvlJc w:val="left"/>
      <w:pPr>
        <w:ind w:left="360" w:hanging="360"/>
      </w:pPr>
      <w:rPr>
        <w:rFonts w:ascii="Arial" w:hAnsi="Arial" w:hint="default"/>
        <w:color w:val="auto"/>
        <w:sz w:val="24"/>
      </w:rPr>
    </w:lvl>
    <w:lvl w:ilvl="1">
      <w:start w:val="1"/>
      <w:numFmt w:val="lowerLetter"/>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025D6C"/>
    <w:multiLevelType w:val="hybridMultilevel"/>
    <w:tmpl w:val="9F201F38"/>
    <w:lvl w:ilvl="0" w:tplc="0AF6BFD6">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9"/>
  </w:num>
  <w:num w:numId="4">
    <w:abstractNumId w:val="25"/>
    <w:lvlOverride w:ilvl="0">
      <w:lvl w:ilvl="0">
        <w:start w:val="1"/>
        <w:numFmt w:val="decimal"/>
        <w:lvlText w:val="%1."/>
        <w:lvlJc w:val="left"/>
        <w:pPr>
          <w:ind w:left="360" w:hanging="360"/>
        </w:pPr>
        <w:rPr>
          <w:rFonts w:ascii="Arial" w:hAnsi="Arial" w:hint="default"/>
          <w:color w:val="auto"/>
          <w:sz w:val="24"/>
        </w:rPr>
      </w:lvl>
    </w:lvlOverride>
    <w:lvlOverride w:ilvl="1">
      <w:lvl w:ilvl="1">
        <w:start w:val="1"/>
        <w:numFmt w:val="lowerLetter"/>
        <w:lvlText w:val="%2."/>
        <w:lvlJc w:val="left"/>
        <w:pPr>
          <w:ind w:left="720" w:hanging="360"/>
        </w:pPr>
        <w:rPr>
          <w:rFonts w:ascii="Arial" w:hAnsi="Arial" w:hint="default"/>
          <w:color w:val="auto"/>
          <w:sz w:val="24"/>
        </w:rPr>
      </w:lvl>
    </w:lvlOverride>
    <w:lvlOverride w:ilvl="2">
      <w:lvl w:ilvl="2">
        <w:start w:val="1"/>
        <w:numFmt w:val="lowerRoman"/>
        <w:pStyle w:val="ListNumber3"/>
        <w:lvlText w:val="%3."/>
        <w:lvlJc w:val="left"/>
        <w:pPr>
          <w:ind w:left="1080" w:hanging="360"/>
        </w:pPr>
        <w:rPr>
          <w:rFonts w:ascii="Arial" w:hAnsi="Arial" w:hint="default"/>
          <w:color w:val="auto"/>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6"/>
  </w:num>
  <w:num w:numId="6">
    <w:abstractNumId w:val="10"/>
  </w:num>
  <w:num w:numId="7">
    <w:abstractNumId w:val="6"/>
  </w:num>
  <w:num w:numId="8">
    <w:abstractNumId w:val="11"/>
  </w:num>
  <w:num w:numId="9">
    <w:abstractNumId w:val="20"/>
  </w:num>
  <w:num w:numId="10">
    <w:abstractNumId w:val="13"/>
  </w:num>
  <w:num w:numId="11">
    <w:abstractNumId w:val="12"/>
  </w:num>
  <w:num w:numId="12">
    <w:abstractNumId w:val="23"/>
  </w:num>
  <w:num w:numId="13">
    <w:abstractNumId w:val="22"/>
    <w:lvlOverride w:ilvl="0">
      <w:lvl w:ilvl="0">
        <w:start w:val="1"/>
        <w:numFmt w:val="none"/>
        <w:pStyle w:val="RecommendationsHeading"/>
        <w:lvlText w:val="Recommendations"/>
        <w:lvlJc w:val="left"/>
        <w:pPr>
          <w:ind w:left="360" w:hanging="360"/>
        </w:pPr>
        <w:rPr>
          <w:rFonts w:hint="default"/>
        </w:rPr>
      </w:lvl>
    </w:lvlOverride>
    <w:lvlOverride w:ilvl="1">
      <w:lvl w:ilvl="1">
        <w:start w:val="1"/>
        <w:numFmt w:val="decimal"/>
        <w:pStyle w:val="RecommendationList"/>
        <w:lvlText w:val="Recommendation %2."/>
        <w:lvlJc w:val="left"/>
        <w:pPr>
          <w:ind w:left="0" w:firstLine="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1"/>
    <w:lvlOverride w:ilvl="0">
      <w:lvl w:ilvl="0">
        <w:start w:val="1"/>
        <w:numFmt w:val="decimal"/>
        <w:pStyle w:val="Heading1"/>
        <w:lvlText w:val="%1."/>
        <w:lvlJc w:val="left"/>
        <w:pPr>
          <w:ind w:left="1021" w:hanging="1021"/>
        </w:pPr>
        <w:rPr>
          <w:rFonts w:hint="default"/>
        </w:rPr>
      </w:lvl>
    </w:lvlOverride>
    <w:lvlOverride w:ilvl="1">
      <w:lvl w:ilvl="1">
        <w:start w:val="1"/>
        <w:numFmt w:val="decimal"/>
        <w:pStyle w:val="Heading2"/>
        <w:lvlText w:val="%1.%2"/>
        <w:lvlJc w:val="left"/>
        <w:pPr>
          <w:ind w:left="1021" w:hanging="1021"/>
        </w:pPr>
        <w:rPr>
          <w:rFonts w:hint="default"/>
        </w:rPr>
      </w:lvl>
    </w:lvlOverride>
    <w:lvlOverride w:ilvl="2">
      <w:lvl w:ilvl="2">
        <w:start w:val="1"/>
        <w:numFmt w:val="decimal"/>
        <w:pStyle w:val="Heading3"/>
        <w:lvlText w:val="%1.%2.%3"/>
        <w:lvlJc w:val="left"/>
        <w:pPr>
          <w:ind w:left="1021" w:hanging="1021"/>
        </w:pPr>
        <w:rPr>
          <w:rFonts w:hint="default"/>
        </w:rPr>
      </w:lvl>
    </w:lvlOverride>
    <w:lvlOverride w:ilvl="3">
      <w:lvl w:ilvl="3">
        <w:start w:val="1"/>
        <w:numFmt w:val="decimal"/>
        <w:lvlText w:val="%1.%2.%3.%4."/>
        <w:lvlJc w:val="left"/>
        <w:pPr>
          <w:tabs>
            <w:tab w:val="num" w:pos="1021"/>
          </w:tabs>
          <w:ind w:left="1021"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25"/>
    <w:lvlOverride w:ilvl="0">
      <w:lvl w:ilvl="0">
        <w:start w:val="1"/>
        <w:numFmt w:val="decimal"/>
        <w:lvlText w:val="%1."/>
        <w:lvlJc w:val="left"/>
        <w:pPr>
          <w:ind w:left="360" w:hanging="360"/>
        </w:pPr>
        <w:rPr>
          <w:rFonts w:ascii="Arial" w:hAnsi="Arial" w:hint="default"/>
          <w:color w:val="auto"/>
          <w:sz w:val="24"/>
        </w:rPr>
      </w:lvl>
    </w:lvlOverride>
    <w:lvlOverride w:ilvl="1">
      <w:lvl w:ilvl="1">
        <w:start w:val="1"/>
        <w:numFmt w:val="lowerLetter"/>
        <w:lvlText w:val="%2."/>
        <w:lvlJc w:val="left"/>
        <w:pPr>
          <w:ind w:left="720" w:hanging="360"/>
        </w:pPr>
        <w:rPr>
          <w:rFonts w:ascii="Arial" w:hAnsi="Arial" w:hint="default"/>
          <w:color w:val="auto"/>
          <w:sz w:val="24"/>
        </w:rPr>
      </w:lvl>
    </w:lvlOverride>
    <w:lvlOverride w:ilvl="2">
      <w:lvl w:ilvl="2">
        <w:start w:val="1"/>
        <w:numFmt w:val="lowerRoman"/>
        <w:pStyle w:val="ListNumber3"/>
        <w:lvlText w:val="%3."/>
        <w:lvlJc w:val="left"/>
        <w:pPr>
          <w:ind w:left="1080" w:hanging="360"/>
        </w:pPr>
        <w:rPr>
          <w:rFonts w:ascii="Arial" w:hAnsi="Arial" w:hint="default"/>
          <w:color w:val="auto"/>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4"/>
  </w:num>
  <w:num w:numId="19">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abstractNumId w:val="9"/>
  </w:num>
  <w:num w:numId="21">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25"/>
  </w:num>
  <w:num w:numId="27">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decimal"/>
        <w:lvlText w:val=""/>
        <w:lvlJc w:val="left"/>
      </w:lvl>
    </w:lvlOverride>
    <w:lvlOverride w:ilvl="2">
      <w:startOverride w:val="1"/>
      <w:lvl w:ilvl="2">
        <w:start w:val="1"/>
        <w:numFmt w:val="decimal"/>
        <w:pStyle w:val="ListNumber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abstractNumId w:val="0"/>
  </w:num>
  <w:num w:numId="29">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 w:ilvl="0">
        <w:start w:val="1"/>
        <w:numFmt w:val="none"/>
        <w:pStyle w:val="RecommendationsHeading"/>
        <w:lvlText w:val="Recommendations"/>
        <w:lvlJc w:val="left"/>
        <w:pPr>
          <w:ind w:left="360" w:hanging="360"/>
        </w:pPr>
        <w:rPr>
          <w:rFonts w:hint="default"/>
        </w:rPr>
      </w:lvl>
    </w:lvlOverride>
    <w:lvlOverride w:ilvl="1">
      <w:startOverride w:val="1"/>
      <w:lvl w:ilvl="1">
        <w:start w:val="1"/>
        <w:numFmt w:val="decimal"/>
        <w:pStyle w:val="RecommendationList"/>
        <w:lvlText w:val="Recommendation %2."/>
        <w:lvlJc w:val="left"/>
        <w:pPr>
          <w:ind w:left="0" w:firstLine="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25"/>
    <w:lvlOverride w:ilvl="0">
      <w:startOverride w:val="1"/>
      <w:lvl w:ilvl="0">
        <w:start w:val="1"/>
        <w:numFmt w:val="decimal"/>
        <w:lvlText w:val="%1."/>
        <w:lvlJc w:val="left"/>
        <w:pPr>
          <w:ind w:left="360" w:hanging="360"/>
        </w:pPr>
        <w:rPr>
          <w:rFonts w:ascii="Arial" w:hAnsi="Arial" w:hint="default"/>
          <w:color w:val="auto"/>
          <w:sz w:val="24"/>
        </w:rPr>
      </w:lvl>
    </w:lvlOverride>
    <w:lvlOverride w:ilvl="1">
      <w:startOverride w:val="1"/>
      <w:lvl w:ilvl="1">
        <w:start w:val="1"/>
        <w:numFmt w:val="lowerLetter"/>
        <w:lvlText w:val="%2."/>
        <w:lvlJc w:val="left"/>
        <w:pPr>
          <w:ind w:left="720" w:hanging="360"/>
        </w:pPr>
        <w:rPr>
          <w:rFonts w:ascii="Arial" w:hAnsi="Arial" w:hint="default"/>
          <w:color w:val="auto"/>
          <w:sz w:val="24"/>
        </w:rPr>
      </w:lvl>
    </w:lvlOverride>
    <w:lvlOverride w:ilvl="2">
      <w:startOverride w:val="1"/>
      <w:lvl w:ilvl="2">
        <w:start w:val="1"/>
        <w:numFmt w:val="lowerRoman"/>
        <w:pStyle w:val="ListNumber3"/>
        <w:lvlText w:val="%3."/>
        <w:lvlJc w:val="left"/>
        <w:pPr>
          <w:ind w:left="1080" w:hanging="360"/>
        </w:pPr>
        <w:rPr>
          <w:rFonts w:ascii="Arial" w:hAnsi="Arial" w:hint="default"/>
          <w:color w:val="auto"/>
          <w:sz w:val="24"/>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4"/>
  </w:num>
  <w:num w:numId="45">
    <w:abstractNumId w:val="2"/>
  </w:num>
  <w:num w:numId="46">
    <w:abstractNumId w:val="1"/>
  </w:num>
  <w:num w:numId="47">
    <w:abstractNumId w:val="3"/>
  </w:num>
  <w:num w:numId="48">
    <w:abstractNumId w:val="15"/>
  </w:num>
  <w:num w:numId="49">
    <w:abstractNumId w:val="25"/>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0">
    <w:abstractNumId w:val="17"/>
  </w:num>
  <w:num w:numId="51">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nforcement="0"/>
  <w:autoFormatOverride/>
  <w:defaultTabStop w:val="720"/>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7B69D7"/>
    <w:rsid w:val="0000013F"/>
    <w:rsid w:val="00000187"/>
    <w:rsid w:val="000002E3"/>
    <w:rsid w:val="000004C5"/>
    <w:rsid w:val="000006A7"/>
    <w:rsid w:val="00000739"/>
    <w:rsid w:val="00000A9C"/>
    <w:rsid w:val="00000C87"/>
    <w:rsid w:val="00000D30"/>
    <w:rsid w:val="000012D7"/>
    <w:rsid w:val="00001A3C"/>
    <w:rsid w:val="000023D1"/>
    <w:rsid w:val="00003AD4"/>
    <w:rsid w:val="00003D91"/>
    <w:rsid w:val="00004060"/>
    <w:rsid w:val="000040E5"/>
    <w:rsid w:val="0000419A"/>
    <w:rsid w:val="00004A68"/>
    <w:rsid w:val="0000504F"/>
    <w:rsid w:val="00005235"/>
    <w:rsid w:val="0000590D"/>
    <w:rsid w:val="00005991"/>
    <w:rsid w:val="00005A67"/>
    <w:rsid w:val="00005ECE"/>
    <w:rsid w:val="000064F1"/>
    <w:rsid w:val="00006610"/>
    <w:rsid w:val="0000665F"/>
    <w:rsid w:val="00006DA3"/>
    <w:rsid w:val="00007454"/>
    <w:rsid w:val="000075BB"/>
    <w:rsid w:val="00007E22"/>
    <w:rsid w:val="0001017A"/>
    <w:rsid w:val="0001033E"/>
    <w:rsid w:val="0001054B"/>
    <w:rsid w:val="00011665"/>
    <w:rsid w:val="000117BD"/>
    <w:rsid w:val="00011817"/>
    <w:rsid w:val="00011927"/>
    <w:rsid w:val="00011E09"/>
    <w:rsid w:val="0001204D"/>
    <w:rsid w:val="0001365E"/>
    <w:rsid w:val="0001375F"/>
    <w:rsid w:val="00013DEA"/>
    <w:rsid w:val="00014139"/>
    <w:rsid w:val="00014485"/>
    <w:rsid w:val="00014C25"/>
    <w:rsid w:val="00015027"/>
    <w:rsid w:val="00015522"/>
    <w:rsid w:val="00016672"/>
    <w:rsid w:val="00017673"/>
    <w:rsid w:val="00017AF9"/>
    <w:rsid w:val="00017B6D"/>
    <w:rsid w:val="00017F76"/>
    <w:rsid w:val="000203BC"/>
    <w:rsid w:val="00020718"/>
    <w:rsid w:val="000210A1"/>
    <w:rsid w:val="00021C80"/>
    <w:rsid w:val="00021F88"/>
    <w:rsid w:val="00022036"/>
    <w:rsid w:val="000221D4"/>
    <w:rsid w:val="00022290"/>
    <w:rsid w:val="000222D8"/>
    <w:rsid w:val="00022328"/>
    <w:rsid w:val="000223EC"/>
    <w:rsid w:val="00022439"/>
    <w:rsid w:val="000224CE"/>
    <w:rsid w:val="0002282F"/>
    <w:rsid w:val="00022B9F"/>
    <w:rsid w:val="00022C7F"/>
    <w:rsid w:val="00022E82"/>
    <w:rsid w:val="00022F3B"/>
    <w:rsid w:val="000237DE"/>
    <w:rsid w:val="000242D6"/>
    <w:rsid w:val="000243DB"/>
    <w:rsid w:val="000244F1"/>
    <w:rsid w:val="00024657"/>
    <w:rsid w:val="00024BE8"/>
    <w:rsid w:val="0002522E"/>
    <w:rsid w:val="0002538C"/>
    <w:rsid w:val="00025BF6"/>
    <w:rsid w:val="000260DB"/>
    <w:rsid w:val="00026D27"/>
    <w:rsid w:val="00026FE5"/>
    <w:rsid w:val="00027183"/>
    <w:rsid w:val="0002738A"/>
    <w:rsid w:val="0002766B"/>
    <w:rsid w:val="000276E1"/>
    <w:rsid w:val="000279B9"/>
    <w:rsid w:val="0003001E"/>
    <w:rsid w:val="000303E3"/>
    <w:rsid w:val="00030C4F"/>
    <w:rsid w:val="00030D28"/>
    <w:rsid w:val="00030EEE"/>
    <w:rsid w:val="00031218"/>
    <w:rsid w:val="00031350"/>
    <w:rsid w:val="00031B4E"/>
    <w:rsid w:val="00032B56"/>
    <w:rsid w:val="00032CAD"/>
    <w:rsid w:val="0003329E"/>
    <w:rsid w:val="00033A9A"/>
    <w:rsid w:val="00033D42"/>
    <w:rsid w:val="000346BD"/>
    <w:rsid w:val="00034D42"/>
    <w:rsid w:val="00034D8A"/>
    <w:rsid w:val="00034E65"/>
    <w:rsid w:val="00035181"/>
    <w:rsid w:val="0003568A"/>
    <w:rsid w:val="00035D45"/>
    <w:rsid w:val="00035E27"/>
    <w:rsid w:val="000362A7"/>
    <w:rsid w:val="000362FD"/>
    <w:rsid w:val="0003630E"/>
    <w:rsid w:val="000363F5"/>
    <w:rsid w:val="00036603"/>
    <w:rsid w:val="000367FE"/>
    <w:rsid w:val="00036F69"/>
    <w:rsid w:val="000372C5"/>
    <w:rsid w:val="000379B1"/>
    <w:rsid w:val="00037B72"/>
    <w:rsid w:val="00040098"/>
    <w:rsid w:val="00040182"/>
    <w:rsid w:val="000401F6"/>
    <w:rsid w:val="000407F6"/>
    <w:rsid w:val="00040956"/>
    <w:rsid w:val="000409EA"/>
    <w:rsid w:val="00040AE7"/>
    <w:rsid w:val="00041178"/>
    <w:rsid w:val="0004198A"/>
    <w:rsid w:val="000419F4"/>
    <w:rsid w:val="00041A19"/>
    <w:rsid w:val="00041CE0"/>
    <w:rsid w:val="00041EB6"/>
    <w:rsid w:val="00042223"/>
    <w:rsid w:val="00042225"/>
    <w:rsid w:val="000423B6"/>
    <w:rsid w:val="000425EF"/>
    <w:rsid w:val="0004262D"/>
    <w:rsid w:val="000426AC"/>
    <w:rsid w:val="000428CF"/>
    <w:rsid w:val="00042927"/>
    <w:rsid w:val="00042945"/>
    <w:rsid w:val="0004295F"/>
    <w:rsid w:val="00042ACB"/>
    <w:rsid w:val="00042D8F"/>
    <w:rsid w:val="00042E28"/>
    <w:rsid w:val="000430FF"/>
    <w:rsid w:val="0004375D"/>
    <w:rsid w:val="00043823"/>
    <w:rsid w:val="00043AB4"/>
    <w:rsid w:val="00043C52"/>
    <w:rsid w:val="00044333"/>
    <w:rsid w:val="0004497B"/>
    <w:rsid w:val="00044C42"/>
    <w:rsid w:val="00044C54"/>
    <w:rsid w:val="00044DFB"/>
    <w:rsid w:val="00044E3D"/>
    <w:rsid w:val="00045122"/>
    <w:rsid w:val="00045196"/>
    <w:rsid w:val="000452D9"/>
    <w:rsid w:val="00045802"/>
    <w:rsid w:val="000459FA"/>
    <w:rsid w:val="00046354"/>
    <w:rsid w:val="00046365"/>
    <w:rsid w:val="000465D9"/>
    <w:rsid w:val="000467E1"/>
    <w:rsid w:val="000468CE"/>
    <w:rsid w:val="000471DD"/>
    <w:rsid w:val="00047387"/>
    <w:rsid w:val="000473E3"/>
    <w:rsid w:val="0004784B"/>
    <w:rsid w:val="0005162B"/>
    <w:rsid w:val="000518A2"/>
    <w:rsid w:val="00051941"/>
    <w:rsid w:val="000519C3"/>
    <w:rsid w:val="00051D75"/>
    <w:rsid w:val="0005204F"/>
    <w:rsid w:val="00052C85"/>
    <w:rsid w:val="00053077"/>
    <w:rsid w:val="00053449"/>
    <w:rsid w:val="00053987"/>
    <w:rsid w:val="000539DB"/>
    <w:rsid w:val="00053DAD"/>
    <w:rsid w:val="00053E38"/>
    <w:rsid w:val="00054595"/>
    <w:rsid w:val="00054839"/>
    <w:rsid w:val="000548AD"/>
    <w:rsid w:val="00055345"/>
    <w:rsid w:val="00055376"/>
    <w:rsid w:val="000554E0"/>
    <w:rsid w:val="0005553B"/>
    <w:rsid w:val="000555EB"/>
    <w:rsid w:val="000556DA"/>
    <w:rsid w:val="000562BB"/>
    <w:rsid w:val="000563B1"/>
    <w:rsid w:val="0005640D"/>
    <w:rsid w:val="00056874"/>
    <w:rsid w:val="00056901"/>
    <w:rsid w:val="00056C57"/>
    <w:rsid w:val="00056FB4"/>
    <w:rsid w:val="00057851"/>
    <w:rsid w:val="00057DB7"/>
    <w:rsid w:val="0006001A"/>
    <w:rsid w:val="0006019D"/>
    <w:rsid w:val="00060445"/>
    <w:rsid w:val="000604AC"/>
    <w:rsid w:val="000610C2"/>
    <w:rsid w:val="00061A2A"/>
    <w:rsid w:val="00061B41"/>
    <w:rsid w:val="0006209E"/>
    <w:rsid w:val="000623A5"/>
    <w:rsid w:val="00062561"/>
    <w:rsid w:val="0006262B"/>
    <w:rsid w:val="00062A32"/>
    <w:rsid w:val="00062A70"/>
    <w:rsid w:val="0006370E"/>
    <w:rsid w:val="000639B6"/>
    <w:rsid w:val="00063A02"/>
    <w:rsid w:val="00063B52"/>
    <w:rsid w:val="00063B8F"/>
    <w:rsid w:val="00063FAF"/>
    <w:rsid w:val="00064A42"/>
    <w:rsid w:val="00064F1C"/>
    <w:rsid w:val="00065BC7"/>
    <w:rsid w:val="00065CE0"/>
    <w:rsid w:val="00065D50"/>
    <w:rsid w:val="00065DCB"/>
    <w:rsid w:val="000661DB"/>
    <w:rsid w:val="0006633D"/>
    <w:rsid w:val="000664E4"/>
    <w:rsid w:val="00066537"/>
    <w:rsid w:val="000667A4"/>
    <w:rsid w:val="00066A39"/>
    <w:rsid w:val="00066B58"/>
    <w:rsid w:val="00066D06"/>
    <w:rsid w:val="000676B7"/>
    <w:rsid w:val="00067C12"/>
    <w:rsid w:val="000703C2"/>
    <w:rsid w:val="0007072E"/>
    <w:rsid w:val="00070803"/>
    <w:rsid w:val="00070C62"/>
    <w:rsid w:val="00070EF5"/>
    <w:rsid w:val="00071B1A"/>
    <w:rsid w:val="00071F4F"/>
    <w:rsid w:val="0007217E"/>
    <w:rsid w:val="000730CC"/>
    <w:rsid w:val="000732EF"/>
    <w:rsid w:val="000740C5"/>
    <w:rsid w:val="00075060"/>
    <w:rsid w:val="000751C8"/>
    <w:rsid w:val="000754EE"/>
    <w:rsid w:val="00075571"/>
    <w:rsid w:val="000758B0"/>
    <w:rsid w:val="0007677E"/>
    <w:rsid w:val="00076E09"/>
    <w:rsid w:val="00077198"/>
    <w:rsid w:val="00077550"/>
    <w:rsid w:val="0007779D"/>
    <w:rsid w:val="000777D0"/>
    <w:rsid w:val="00077A38"/>
    <w:rsid w:val="00077D00"/>
    <w:rsid w:val="000808CE"/>
    <w:rsid w:val="00080BFE"/>
    <w:rsid w:val="00080DCF"/>
    <w:rsid w:val="00080E5F"/>
    <w:rsid w:val="00081394"/>
    <w:rsid w:val="00081436"/>
    <w:rsid w:val="00081A08"/>
    <w:rsid w:val="00081A8A"/>
    <w:rsid w:val="00081C7E"/>
    <w:rsid w:val="000820A0"/>
    <w:rsid w:val="000828E6"/>
    <w:rsid w:val="00082FB2"/>
    <w:rsid w:val="00083511"/>
    <w:rsid w:val="00083826"/>
    <w:rsid w:val="000840B6"/>
    <w:rsid w:val="00084284"/>
    <w:rsid w:val="0008432E"/>
    <w:rsid w:val="00084615"/>
    <w:rsid w:val="00084D06"/>
    <w:rsid w:val="00084F37"/>
    <w:rsid w:val="00084FF3"/>
    <w:rsid w:val="00085058"/>
    <w:rsid w:val="000850A0"/>
    <w:rsid w:val="00085725"/>
    <w:rsid w:val="00085E42"/>
    <w:rsid w:val="00086023"/>
    <w:rsid w:val="00086633"/>
    <w:rsid w:val="00086916"/>
    <w:rsid w:val="00086A43"/>
    <w:rsid w:val="00086E94"/>
    <w:rsid w:val="000871AF"/>
    <w:rsid w:val="000871BE"/>
    <w:rsid w:val="00087F92"/>
    <w:rsid w:val="0009058D"/>
    <w:rsid w:val="00090A50"/>
    <w:rsid w:val="00090E20"/>
    <w:rsid w:val="000913B4"/>
    <w:rsid w:val="00091650"/>
    <w:rsid w:val="0009191F"/>
    <w:rsid w:val="00091BAC"/>
    <w:rsid w:val="00091DB1"/>
    <w:rsid w:val="00092057"/>
    <w:rsid w:val="000920BA"/>
    <w:rsid w:val="00092392"/>
    <w:rsid w:val="00092D49"/>
    <w:rsid w:val="00093021"/>
    <w:rsid w:val="00093181"/>
    <w:rsid w:val="00093666"/>
    <w:rsid w:val="00093717"/>
    <w:rsid w:val="00093A8D"/>
    <w:rsid w:val="00093C36"/>
    <w:rsid w:val="00093D11"/>
    <w:rsid w:val="00094905"/>
    <w:rsid w:val="00094E0A"/>
    <w:rsid w:val="00094E1E"/>
    <w:rsid w:val="00094E6A"/>
    <w:rsid w:val="00094ED3"/>
    <w:rsid w:val="0009571E"/>
    <w:rsid w:val="00095D2A"/>
    <w:rsid w:val="00095F7D"/>
    <w:rsid w:val="00096C9D"/>
    <w:rsid w:val="0009722C"/>
    <w:rsid w:val="000973A8"/>
    <w:rsid w:val="000974AE"/>
    <w:rsid w:val="000974FA"/>
    <w:rsid w:val="00097BD1"/>
    <w:rsid w:val="000A014C"/>
    <w:rsid w:val="000A0317"/>
    <w:rsid w:val="000A06B3"/>
    <w:rsid w:val="000A0E9F"/>
    <w:rsid w:val="000A10B6"/>
    <w:rsid w:val="000A1112"/>
    <w:rsid w:val="000A18DC"/>
    <w:rsid w:val="000A1C6E"/>
    <w:rsid w:val="000A239A"/>
    <w:rsid w:val="000A25AA"/>
    <w:rsid w:val="000A2828"/>
    <w:rsid w:val="000A299C"/>
    <w:rsid w:val="000A299D"/>
    <w:rsid w:val="000A33B8"/>
    <w:rsid w:val="000A3644"/>
    <w:rsid w:val="000A370A"/>
    <w:rsid w:val="000A3735"/>
    <w:rsid w:val="000A3FAD"/>
    <w:rsid w:val="000A48E1"/>
    <w:rsid w:val="000A4ED6"/>
    <w:rsid w:val="000A53F7"/>
    <w:rsid w:val="000A54A0"/>
    <w:rsid w:val="000A54BB"/>
    <w:rsid w:val="000A5507"/>
    <w:rsid w:val="000A5880"/>
    <w:rsid w:val="000A5C9C"/>
    <w:rsid w:val="000A6A1F"/>
    <w:rsid w:val="000A6CC9"/>
    <w:rsid w:val="000A74F3"/>
    <w:rsid w:val="000A7A3E"/>
    <w:rsid w:val="000A7A4F"/>
    <w:rsid w:val="000A7E4D"/>
    <w:rsid w:val="000B023B"/>
    <w:rsid w:val="000B0358"/>
    <w:rsid w:val="000B08CE"/>
    <w:rsid w:val="000B0ADA"/>
    <w:rsid w:val="000B1029"/>
    <w:rsid w:val="000B1089"/>
    <w:rsid w:val="000B157A"/>
    <w:rsid w:val="000B3059"/>
    <w:rsid w:val="000B34A2"/>
    <w:rsid w:val="000B37D1"/>
    <w:rsid w:val="000B38EB"/>
    <w:rsid w:val="000B3957"/>
    <w:rsid w:val="000B3A50"/>
    <w:rsid w:val="000B3D3C"/>
    <w:rsid w:val="000B3F6F"/>
    <w:rsid w:val="000B3FFD"/>
    <w:rsid w:val="000B4326"/>
    <w:rsid w:val="000B4A3B"/>
    <w:rsid w:val="000B504C"/>
    <w:rsid w:val="000B5C23"/>
    <w:rsid w:val="000B5FB8"/>
    <w:rsid w:val="000B6216"/>
    <w:rsid w:val="000B6D18"/>
    <w:rsid w:val="000B6E63"/>
    <w:rsid w:val="000B766B"/>
    <w:rsid w:val="000B7A58"/>
    <w:rsid w:val="000C0580"/>
    <w:rsid w:val="000C0D83"/>
    <w:rsid w:val="000C0F81"/>
    <w:rsid w:val="000C1857"/>
    <w:rsid w:val="000C1AF6"/>
    <w:rsid w:val="000C1D05"/>
    <w:rsid w:val="000C1D57"/>
    <w:rsid w:val="000C221C"/>
    <w:rsid w:val="000C2257"/>
    <w:rsid w:val="000C2438"/>
    <w:rsid w:val="000C2C09"/>
    <w:rsid w:val="000C2F4F"/>
    <w:rsid w:val="000C3227"/>
    <w:rsid w:val="000C355F"/>
    <w:rsid w:val="000C35B8"/>
    <w:rsid w:val="000C3658"/>
    <w:rsid w:val="000C3A27"/>
    <w:rsid w:val="000C4112"/>
    <w:rsid w:val="000C4910"/>
    <w:rsid w:val="000C4CC2"/>
    <w:rsid w:val="000C5000"/>
    <w:rsid w:val="000C6343"/>
    <w:rsid w:val="000C6465"/>
    <w:rsid w:val="000C65BF"/>
    <w:rsid w:val="000C68AF"/>
    <w:rsid w:val="000C6BC0"/>
    <w:rsid w:val="000C6D9C"/>
    <w:rsid w:val="000C7485"/>
    <w:rsid w:val="000C75D8"/>
    <w:rsid w:val="000C75D9"/>
    <w:rsid w:val="000C77E7"/>
    <w:rsid w:val="000C790F"/>
    <w:rsid w:val="000D025A"/>
    <w:rsid w:val="000D0ADB"/>
    <w:rsid w:val="000D1028"/>
    <w:rsid w:val="000D1464"/>
    <w:rsid w:val="000D148A"/>
    <w:rsid w:val="000D15EA"/>
    <w:rsid w:val="000D1AF8"/>
    <w:rsid w:val="000D1DFC"/>
    <w:rsid w:val="000D26E2"/>
    <w:rsid w:val="000D2CD3"/>
    <w:rsid w:val="000D32B1"/>
    <w:rsid w:val="000D35AD"/>
    <w:rsid w:val="000D360E"/>
    <w:rsid w:val="000D39FF"/>
    <w:rsid w:val="000D3D33"/>
    <w:rsid w:val="000D3F59"/>
    <w:rsid w:val="000D40C2"/>
    <w:rsid w:val="000D4344"/>
    <w:rsid w:val="000D4431"/>
    <w:rsid w:val="000D4450"/>
    <w:rsid w:val="000D4662"/>
    <w:rsid w:val="000D4B33"/>
    <w:rsid w:val="000D5227"/>
    <w:rsid w:val="000D5D2F"/>
    <w:rsid w:val="000D6113"/>
    <w:rsid w:val="000D650E"/>
    <w:rsid w:val="000D65BD"/>
    <w:rsid w:val="000D668C"/>
    <w:rsid w:val="000D6D21"/>
    <w:rsid w:val="000D6EB6"/>
    <w:rsid w:val="000D7132"/>
    <w:rsid w:val="000D75B5"/>
    <w:rsid w:val="000D77BC"/>
    <w:rsid w:val="000D78C4"/>
    <w:rsid w:val="000D793B"/>
    <w:rsid w:val="000D7BDE"/>
    <w:rsid w:val="000D7C4D"/>
    <w:rsid w:val="000D7E81"/>
    <w:rsid w:val="000D7FEA"/>
    <w:rsid w:val="000E032E"/>
    <w:rsid w:val="000E10A8"/>
    <w:rsid w:val="000E11FE"/>
    <w:rsid w:val="000E1304"/>
    <w:rsid w:val="000E137C"/>
    <w:rsid w:val="000E19EE"/>
    <w:rsid w:val="000E1AC6"/>
    <w:rsid w:val="000E1C86"/>
    <w:rsid w:val="000E2319"/>
    <w:rsid w:val="000E23DC"/>
    <w:rsid w:val="000E2697"/>
    <w:rsid w:val="000E28FF"/>
    <w:rsid w:val="000E2FA4"/>
    <w:rsid w:val="000E36CD"/>
    <w:rsid w:val="000E37A7"/>
    <w:rsid w:val="000E3807"/>
    <w:rsid w:val="000E38A0"/>
    <w:rsid w:val="000E39B2"/>
    <w:rsid w:val="000E3A6D"/>
    <w:rsid w:val="000E3F97"/>
    <w:rsid w:val="000E3FC8"/>
    <w:rsid w:val="000E40CD"/>
    <w:rsid w:val="000E4216"/>
    <w:rsid w:val="000E424A"/>
    <w:rsid w:val="000E47E0"/>
    <w:rsid w:val="000E4866"/>
    <w:rsid w:val="000E48A3"/>
    <w:rsid w:val="000E4D21"/>
    <w:rsid w:val="000E53C0"/>
    <w:rsid w:val="000E56DB"/>
    <w:rsid w:val="000E6AD9"/>
    <w:rsid w:val="000E6E06"/>
    <w:rsid w:val="000E7404"/>
    <w:rsid w:val="000E7534"/>
    <w:rsid w:val="000E7947"/>
    <w:rsid w:val="000F0751"/>
    <w:rsid w:val="000F0D89"/>
    <w:rsid w:val="000F1059"/>
    <w:rsid w:val="000F11E1"/>
    <w:rsid w:val="000F1407"/>
    <w:rsid w:val="000F14B1"/>
    <w:rsid w:val="000F1E27"/>
    <w:rsid w:val="000F1E34"/>
    <w:rsid w:val="000F1FAE"/>
    <w:rsid w:val="000F2013"/>
    <w:rsid w:val="000F28C7"/>
    <w:rsid w:val="000F2BCB"/>
    <w:rsid w:val="000F3085"/>
    <w:rsid w:val="000F3314"/>
    <w:rsid w:val="000F3568"/>
    <w:rsid w:val="000F3650"/>
    <w:rsid w:val="000F39D7"/>
    <w:rsid w:val="000F4C2D"/>
    <w:rsid w:val="000F5217"/>
    <w:rsid w:val="000F52D5"/>
    <w:rsid w:val="000F546E"/>
    <w:rsid w:val="000F5514"/>
    <w:rsid w:val="000F56CD"/>
    <w:rsid w:val="000F5986"/>
    <w:rsid w:val="000F5A50"/>
    <w:rsid w:val="000F5BD8"/>
    <w:rsid w:val="000F5E0D"/>
    <w:rsid w:val="000F6050"/>
    <w:rsid w:val="000F606E"/>
    <w:rsid w:val="000F619F"/>
    <w:rsid w:val="000F62C7"/>
    <w:rsid w:val="000F63B8"/>
    <w:rsid w:val="000F63EB"/>
    <w:rsid w:val="000F6B91"/>
    <w:rsid w:val="000F6C59"/>
    <w:rsid w:val="000F6D83"/>
    <w:rsid w:val="000F6EDE"/>
    <w:rsid w:val="000F6F53"/>
    <w:rsid w:val="000F6F6F"/>
    <w:rsid w:val="000F70BF"/>
    <w:rsid w:val="000F72B6"/>
    <w:rsid w:val="000F7F98"/>
    <w:rsid w:val="001001DD"/>
    <w:rsid w:val="001004AE"/>
    <w:rsid w:val="00100553"/>
    <w:rsid w:val="00100D52"/>
    <w:rsid w:val="00101331"/>
    <w:rsid w:val="00101553"/>
    <w:rsid w:val="001015E3"/>
    <w:rsid w:val="0010164F"/>
    <w:rsid w:val="00101870"/>
    <w:rsid w:val="00101E25"/>
    <w:rsid w:val="00101E3D"/>
    <w:rsid w:val="0010236A"/>
    <w:rsid w:val="00102744"/>
    <w:rsid w:val="00102D2E"/>
    <w:rsid w:val="00102E70"/>
    <w:rsid w:val="00103076"/>
    <w:rsid w:val="0010310B"/>
    <w:rsid w:val="0010318F"/>
    <w:rsid w:val="0010337F"/>
    <w:rsid w:val="0010366F"/>
    <w:rsid w:val="001037E7"/>
    <w:rsid w:val="00103A13"/>
    <w:rsid w:val="00103B29"/>
    <w:rsid w:val="00103E5B"/>
    <w:rsid w:val="001040DB"/>
    <w:rsid w:val="001043E3"/>
    <w:rsid w:val="00104483"/>
    <w:rsid w:val="001044B6"/>
    <w:rsid w:val="00104750"/>
    <w:rsid w:val="00104E8D"/>
    <w:rsid w:val="00104EC8"/>
    <w:rsid w:val="00105140"/>
    <w:rsid w:val="001055B8"/>
    <w:rsid w:val="00105745"/>
    <w:rsid w:val="001057A3"/>
    <w:rsid w:val="00105D58"/>
    <w:rsid w:val="00105DE3"/>
    <w:rsid w:val="001062A1"/>
    <w:rsid w:val="0010651D"/>
    <w:rsid w:val="001066E6"/>
    <w:rsid w:val="00106DC3"/>
    <w:rsid w:val="00107E8A"/>
    <w:rsid w:val="001101ED"/>
    <w:rsid w:val="00110211"/>
    <w:rsid w:val="001107B2"/>
    <w:rsid w:val="00110CBB"/>
    <w:rsid w:val="00110F84"/>
    <w:rsid w:val="0011121E"/>
    <w:rsid w:val="0011136A"/>
    <w:rsid w:val="00111810"/>
    <w:rsid w:val="00111B49"/>
    <w:rsid w:val="00112830"/>
    <w:rsid w:val="001132E5"/>
    <w:rsid w:val="001134A1"/>
    <w:rsid w:val="001136E6"/>
    <w:rsid w:val="00113A92"/>
    <w:rsid w:val="001140C0"/>
    <w:rsid w:val="00114301"/>
    <w:rsid w:val="0011469F"/>
    <w:rsid w:val="00114778"/>
    <w:rsid w:val="001149A5"/>
    <w:rsid w:val="00114B7F"/>
    <w:rsid w:val="001153E2"/>
    <w:rsid w:val="00115C57"/>
    <w:rsid w:val="00115D6A"/>
    <w:rsid w:val="00115EA9"/>
    <w:rsid w:val="00115FB9"/>
    <w:rsid w:val="00116598"/>
    <w:rsid w:val="00116A37"/>
    <w:rsid w:val="00117A9E"/>
    <w:rsid w:val="00117B20"/>
    <w:rsid w:val="00117D4A"/>
    <w:rsid w:val="001210BF"/>
    <w:rsid w:val="0012131E"/>
    <w:rsid w:val="00121D41"/>
    <w:rsid w:val="00121FE7"/>
    <w:rsid w:val="001222CC"/>
    <w:rsid w:val="001226E2"/>
    <w:rsid w:val="00122766"/>
    <w:rsid w:val="00122AB5"/>
    <w:rsid w:val="0012321D"/>
    <w:rsid w:val="00123A89"/>
    <w:rsid w:val="00123BEB"/>
    <w:rsid w:val="00123E1E"/>
    <w:rsid w:val="00124056"/>
    <w:rsid w:val="00125377"/>
    <w:rsid w:val="0012560D"/>
    <w:rsid w:val="0012593D"/>
    <w:rsid w:val="00126504"/>
    <w:rsid w:val="0012666C"/>
    <w:rsid w:val="0012680A"/>
    <w:rsid w:val="00126A5C"/>
    <w:rsid w:val="00126D9C"/>
    <w:rsid w:val="00126E66"/>
    <w:rsid w:val="00127020"/>
    <w:rsid w:val="0012708D"/>
    <w:rsid w:val="0012711C"/>
    <w:rsid w:val="001272FC"/>
    <w:rsid w:val="00130264"/>
    <w:rsid w:val="00130D38"/>
    <w:rsid w:val="001314C1"/>
    <w:rsid w:val="001318FC"/>
    <w:rsid w:val="00131D8E"/>
    <w:rsid w:val="00131FA7"/>
    <w:rsid w:val="00132093"/>
    <w:rsid w:val="001321E4"/>
    <w:rsid w:val="00132280"/>
    <w:rsid w:val="00132B25"/>
    <w:rsid w:val="00132B80"/>
    <w:rsid w:val="00133091"/>
    <w:rsid w:val="00133546"/>
    <w:rsid w:val="001337CD"/>
    <w:rsid w:val="0013398E"/>
    <w:rsid w:val="00133B9B"/>
    <w:rsid w:val="00133EB9"/>
    <w:rsid w:val="001341BD"/>
    <w:rsid w:val="001343DE"/>
    <w:rsid w:val="00134619"/>
    <w:rsid w:val="001346AE"/>
    <w:rsid w:val="00134E4A"/>
    <w:rsid w:val="00134E7E"/>
    <w:rsid w:val="00134E9F"/>
    <w:rsid w:val="001357D9"/>
    <w:rsid w:val="00135E62"/>
    <w:rsid w:val="00135F0C"/>
    <w:rsid w:val="0013621B"/>
    <w:rsid w:val="001369A6"/>
    <w:rsid w:val="00137383"/>
    <w:rsid w:val="0013783E"/>
    <w:rsid w:val="00137E21"/>
    <w:rsid w:val="0014082A"/>
    <w:rsid w:val="00140A46"/>
    <w:rsid w:val="001412D7"/>
    <w:rsid w:val="001414E7"/>
    <w:rsid w:val="00141A7C"/>
    <w:rsid w:val="00141AE4"/>
    <w:rsid w:val="00141D61"/>
    <w:rsid w:val="0014200D"/>
    <w:rsid w:val="001420C5"/>
    <w:rsid w:val="00142345"/>
    <w:rsid w:val="0014238C"/>
    <w:rsid w:val="001423A7"/>
    <w:rsid w:val="001426D7"/>
    <w:rsid w:val="00142B0A"/>
    <w:rsid w:val="00142CE1"/>
    <w:rsid w:val="00142DB7"/>
    <w:rsid w:val="00142EFF"/>
    <w:rsid w:val="00143136"/>
    <w:rsid w:val="00143A2E"/>
    <w:rsid w:val="00143A5A"/>
    <w:rsid w:val="0014403F"/>
    <w:rsid w:val="001444B2"/>
    <w:rsid w:val="0014515E"/>
    <w:rsid w:val="0014576F"/>
    <w:rsid w:val="00145870"/>
    <w:rsid w:val="001460B3"/>
    <w:rsid w:val="00146327"/>
    <w:rsid w:val="0014634C"/>
    <w:rsid w:val="001472A2"/>
    <w:rsid w:val="001479B5"/>
    <w:rsid w:val="00147AB9"/>
    <w:rsid w:val="00147B88"/>
    <w:rsid w:val="0015034F"/>
    <w:rsid w:val="0015085D"/>
    <w:rsid w:val="0015089A"/>
    <w:rsid w:val="00150ABD"/>
    <w:rsid w:val="00150B4B"/>
    <w:rsid w:val="00150E6B"/>
    <w:rsid w:val="00151681"/>
    <w:rsid w:val="00151E4B"/>
    <w:rsid w:val="0015201E"/>
    <w:rsid w:val="00152A14"/>
    <w:rsid w:val="00152C5D"/>
    <w:rsid w:val="001531B0"/>
    <w:rsid w:val="001532F9"/>
    <w:rsid w:val="00153DDD"/>
    <w:rsid w:val="001541CA"/>
    <w:rsid w:val="00154D83"/>
    <w:rsid w:val="00154EA9"/>
    <w:rsid w:val="0015521F"/>
    <w:rsid w:val="00155B6D"/>
    <w:rsid w:val="00155E54"/>
    <w:rsid w:val="001565B4"/>
    <w:rsid w:val="00156B35"/>
    <w:rsid w:val="00156B88"/>
    <w:rsid w:val="00157201"/>
    <w:rsid w:val="001574A6"/>
    <w:rsid w:val="001575EB"/>
    <w:rsid w:val="00157A16"/>
    <w:rsid w:val="00160473"/>
    <w:rsid w:val="00160EA7"/>
    <w:rsid w:val="00161593"/>
    <w:rsid w:val="00161D67"/>
    <w:rsid w:val="00161FCF"/>
    <w:rsid w:val="00161FFA"/>
    <w:rsid w:val="00162227"/>
    <w:rsid w:val="001624AF"/>
    <w:rsid w:val="00162F7A"/>
    <w:rsid w:val="00163291"/>
    <w:rsid w:val="00163475"/>
    <w:rsid w:val="0016360D"/>
    <w:rsid w:val="00163F53"/>
    <w:rsid w:val="00164634"/>
    <w:rsid w:val="001648E1"/>
    <w:rsid w:val="00164C2A"/>
    <w:rsid w:val="00164F15"/>
    <w:rsid w:val="0016504F"/>
    <w:rsid w:val="001650E6"/>
    <w:rsid w:val="00165325"/>
    <w:rsid w:val="001654ED"/>
    <w:rsid w:val="001655AA"/>
    <w:rsid w:val="0016560C"/>
    <w:rsid w:val="00165ADB"/>
    <w:rsid w:val="00165EBB"/>
    <w:rsid w:val="00165F5B"/>
    <w:rsid w:val="001661A4"/>
    <w:rsid w:val="001662E9"/>
    <w:rsid w:val="001664C6"/>
    <w:rsid w:val="00166C0A"/>
    <w:rsid w:val="00166EA9"/>
    <w:rsid w:val="001672B3"/>
    <w:rsid w:val="001674CF"/>
    <w:rsid w:val="00167945"/>
    <w:rsid w:val="00167B68"/>
    <w:rsid w:val="001700F3"/>
    <w:rsid w:val="0017099D"/>
    <w:rsid w:val="00170A91"/>
    <w:rsid w:val="00170C35"/>
    <w:rsid w:val="00171037"/>
    <w:rsid w:val="00171844"/>
    <w:rsid w:val="001718A3"/>
    <w:rsid w:val="00171F11"/>
    <w:rsid w:val="001724C7"/>
    <w:rsid w:val="00172538"/>
    <w:rsid w:val="00172976"/>
    <w:rsid w:val="00172EC9"/>
    <w:rsid w:val="0017308F"/>
    <w:rsid w:val="0017310C"/>
    <w:rsid w:val="00173780"/>
    <w:rsid w:val="00173862"/>
    <w:rsid w:val="00173AFA"/>
    <w:rsid w:val="00173C9F"/>
    <w:rsid w:val="00174123"/>
    <w:rsid w:val="001742A2"/>
    <w:rsid w:val="00174A95"/>
    <w:rsid w:val="00174FF9"/>
    <w:rsid w:val="001752C9"/>
    <w:rsid w:val="00175317"/>
    <w:rsid w:val="00175596"/>
    <w:rsid w:val="001757D5"/>
    <w:rsid w:val="00175D18"/>
    <w:rsid w:val="0017614A"/>
    <w:rsid w:val="001764D7"/>
    <w:rsid w:val="001765CA"/>
    <w:rsid w:val="00176E15"/>
    <w:rsid w:val="00177072"/>
    <w:rsid w:val="00177165"/>
    <w:rsid w:val="00177263"/>
    <w:rsid w:val="0017729D"/>
    <w:rsid w:val="0017739E"/>
    <w:rsid w:val="001778DF"/>
    <w:rsid w:val="001779D1"/>
    <w:rsid w:val="00177B90"/>
    <w:rsid w:val="00177EC1"/>
    <w:rsid w:val="00177F9F"/>
    <w:rsid w:val="00180120"/>
    <w:rsid w:val="00180AAA"/>
    <w:rsid w:val="00180AEA"/>
    <w:rsid w:val="00180D55"/>
    <w:rsid w:val="00180E60"/>
    <w:rsid w:val="00181357"/>
    <w:rsid w:val="00181730"/>
    <w:rsid w:val="0018176C"/>
    <w:rsid w:val="00181F5A"/>
    <w:rsid w:val="00181FC2"/>
    <w:rsid w:val="00181FC4"/>
    <w:rsid w:val="00182298"/>
    <w:rsid w:val="001822C3"/>
    <w:rsid w:val="001828CF"/>
    <w:rsid w:val="00182A56"/>
    <w:rsid w:val="00182B0B"/>
    <w:rsid w:val="00182B0E"/>
    <w:rsid w:val="0018353A"/>
    <w:rsid w:val="001835B8"/>
    <w:rsid w:val="001836FE"/>
    <w:rsid w:val="00183AF8"/>
    <w:rsid w:val="00183BDB"/>
    <w:rsid w:val="00183CEB"/>
    <w:rsid w:val="00183D9E"/>
    <w:rsid w:val="001843CA"/>
    <w:rsid w:val="0018460E"/>
    <w:rsid w:val="001848A9"/>
    <w:rsid w:val="001849A5"/>
    <w:rsid w:val="00184D16"/>
    <w:rsid w:val="001853B8"/>
    <w:rsid w:val="001854C0"/>
    <w:rsid w:val="00185557"/>
    <w:rsid w:val="0018627D"/>
    <w:rsid w:val="00186429"/>
    <w:rsid w:val="0018658D"/>
    <w:rsid w:val="00186F72"/>
    <w:rsid w:val="0018724C"/>
    <w:rsid w:val="00187932"/>
    <w:rsid w:val="00187A8C"/>
    <w:rsid w:val="00187ED5"/>
    <w:rsid w:val="00187F45"/>
    <w:rsid w:val="00190073"/>
    <w:rsid w:val="00190837"/>
    <w:rsid w:val="00190E8B"/>
    <w:rsid w:val="00191233"/>
    <w:rsid w:val="0019137D"/>
    <w:rsid w:val="00191504"/>
    <w:rsid w:val="00191697"/>
    <w:rsid w:val="00191D34"/>
    <w:rsid w:val="00192CF5"/>
    <w:rsid w:val="00192CFD"/>
    <w:rsid w:val="001932BF"/>
    <w:rsid w:val="00193802"/>
    <w:rsid w:val="00193E64"/>
    <w:rsid w:val="00193F3F"/>
    <w:rsid w:val="001940B1"/>
    <w:rsid w:val="001947F3"/>
    <w:rsid w:val="00194AC9"/>
    <w:rsid w:val="00194E40"/>
    <w:rsid w:val="001950A9"/>
    <w:rsid w:val="00195AB7"/>
    <w:rsid w:val="001961ED"/>
    <w:rsid w:val="00196355"/>
    <w:rsid w:val="00196B14"/>
    <w:rsid w:val="00196ED6"/>
    <w:rsid w:val="00196F9B"/>
    <w:rsid w:val="00197409"/>
    <w:rsid w:val="00197617"/>
    <w:rsid w:val="00197996"/>
    <w:rsid w:val="00197B81"/>
    <w:rsid w:val="00197EF5"/>
    <w:rsid w:val="00197F74"/>
    <w:rsid w:val="001A0114"/>
    <w:rsid w:val="001A08B9"/>
    <w:rsid w:val="001A0936"/>
    <w:rsid w:val="001A0D63"/>
    <w:rsid w:val="001A0DC4"/>
    <w:rsid w:val="001A0F6C"/>
    <w:rsid w:val="001A1074"/>
    <w:rsid w:val="001A1445"/>
    <w:rsid w:val="001A165D"/>
    <w:rsid w:val="001A18F6"/>
    <w:rsid w:val="001A1C7A"/>
    <w:rsid w:val="001A3160"/>
    <w:rsid w:val="001A32C2"/>
    <w:rsid w:val="001A3734"/>
    <w:rsid w:val="001A37DA"/>
    <w:rsid w:val="001A388B"/>
    <w:rsid w:val="001A3918"/>
    <w:rsid w:val="001A3929"/>
    <w:rsid w:val="001A3B94"/>
    <w:rsid w:val="001A3FEE"/>
    <w:rsid w:val="001A4196"/>
    <w:rsid w:val="001A4B67"/>
    <w:rsid w:val="001A4CC0"/>
    <w:rsid w:val="001A4DA0"/>
    <w:rsid w:val="001A53E2"/>
    <w:rsid w:val="001A5A67"/>
    <w:rsid w:val="001A6404"/>
    <w:rsid w:val="001A6823"/>
    <w:rsid w:val="001A69B9"/>
    <w:rsid w:val="001A6F37"/>
    <w:rsid w:val="001A7565"/>
    <w:rsid w:val="001A78A4"/>
    <w:rsid w:val="001A7E36"/>
    <w:rsid w:val="001A7E9A"/>
    <w:rsid w:val="001A7FF5"/>
    <w:rsid w:val="001B0270"/>
    <w:rsid w:val="001B0579"/>
    <w:rsid w:val="001B0BE1"/>
    <w:rsid w:val="001B1082"/>
    <w:rsid w:val="001B1147"/>
    <w:rsid w:val="001B1DBB"/>
    <w:rsid w:val="001B1EF6"/>
    <w:rsid w:val="001B22F8"/>
    <w:rsid w:val="001B255A"/>
    <w:rsid w:val="001B26DB"/>
    <w:rsid w:val="001B2960"/>
    <w:rsid w:val="001B29DE"/>
    <w:rsid w:val="001B2E1E"/>
    <w:rsid w:val="001B314D"/>
    <w:rsid w:val="001B35EB"/>
    <w:rsid w:val="001B3B45"/>
    <w:rsid w:val="001B3C4F"/>
    <w:rsid w:val="001B3DD7"/>
    <w:rsid w:val="001B4410"/>
    <w:rsid w:val="001B4579"/>
    <w:rsid w:val="001B4AF5"/>
    <w:rsid w:val="001B4CAD"/>
    <w:rsid w:val="001B5054"/>
    <w:rsid w:val="001B525E"/>
    <w:rsid w:val="001B5775"/>
    <w:rsid w:val="001B5879"/>
    <w:rsid w:val="001B595B"/>
    <w:rsid w:val="001B5B8C"/>
    <w:rsid w:val="001B65D5"/>
    <w:rsid w:val="001B6FE5"/>
    <w:rsid w:val="001B77C9"/>
    <w:rsid w:val="001B79FC"/>
    <w:rsid w:val="001B7D49"/>
    <w:rsid w:val="001B7D56"/>
    <w:rsid w:val="001C01B3"/>
    <w:rsid w:val="001C0237"/>
    <w:rsid w:val="001C0760"/>
    <w:rsid w:val="001C07A8"/>
    <w:rsid w:val="001C08E1"/>
    <w:rsid w:val="001C099C"/>
    <w:rsid w:val="001C0C93"/>
    <w:rsid w:val="001C0F6E"/>
    <w:rsid w:val="001C12D5"/>
    <w:rsid w:val="001C160C"/>
    <w:rsid w:val="001C1B37"/>
    <w:rsid w:val="001C1CF7"/>
    <w:rsid w:val="001C20A0"/>
    <w:rsid w:val="001C31B0"/>
    <w:rsid w:val="001C365A"/>
    <w:rsid w:val="001C3BC6"/>
    <w:rsid w:val="001C3C78"/>
    <w:rsid w:val="001C40B0"/>
    <w:rsid w:val="001C4183"/>
    <w:rsid w:val="001C4861"/>
    <w:rsid w:val="001C48AD"/>
    <w:rsid w:val="001C4F91"/>
    <w:rsid w:val="001C4FB2"/>
    <w:rsid w:val="001C5881"/>
    <w:rsid w:val="001C58C7"/>
    <w:rsid w:val="001C708A"/>
    <w:rsid w:val="001C72C3"/>
    <w:rsid w:val="001C73E5"/>
    <w:rsid w:val="001C7941"/>
    <w:rsid w:val="001C7E9A"/>
    <w:rsid w:val="001C7FE4"/>
    <w:rsid w:val="001D01E7"/>
    <w:rsid w:val="001D02A4"/>
    <w:rsid w:val="001D115E"/>
    <w:rsid w:val="001D120C"/>
    <w:rsid w:val="001D124D"/>
    <w:rsid w:val="001D1453"/>
    <w:rsid w:val="001D153F"/>
    <w:rsid w:val="001D19F8"/>
    <w:rsid w:val="001D1A01"/>
    <w:rsid w:val="001D1EA8"/>
    <w:rsid w:val="001D220C"/>
    <w:rsid w:val="001D2286"/>
    <w:rsid w:val="001D2951"/>
    <w:rsid w:val="001D2B9F"/>
    <w:rsid w:val="001D3124"/>
    <w:rsid w:val="001D33E5"/>
    <w:rsid w:val="001D377A"/>
    <w:rsid w:val="001D407E"/>
    <w:rsid w:val="001D42D2"/>
    <w:rsid w:val="001D43BA"/>
    <w:rsid w:val="001D450D"/>
    <w:rsid w:val="001D4928"/>
    <w:rsid w:val="001D4AE1"/>
    <w:rsid w:val="001D4E02"/>
    <w:rsid w:val="001D5A81"/>
    <w:rsid w:val="001D6111"/>
    <w:rsid w:val="001D68B6"/>
    <w:rsid w:val="001D6C2B"/>
    <w:rsid w:val="001D6D04"/>
    <w:rsid w:val="001D6D0D"/>
    <w:rsid w:val="001D76B2"/>
    <w:rsid w:val="001D7893"/>
    <w:rsid w:val="001E1D3C"/>
    <w:rsid w:val="001E2256"/>
    <w:rsid w:val="001E25C4"/>
    <w:rsid w:val="001E2792"/>
    <w:rsid w:val="001E2E16"/>
    <w:rsid w:val="001E2E19"/>
    <w:rsid w:val="001E3144"/>
    <w:rsid w:val="001E441F"/>
    <w:rsid w:val="001E46B7"/>
    <w:rsid w:val="001E4A09"/>
    <w:rsid w:val="001E56ED"/>
    <w:rsid w:val="001E579A"/>
    <w:rsid w:val="001E6225"/>
    <w:rsid w:val="001E62F9"/>
    <w:rsid w:val="001E6699"/>
    <w:rsid w:val="001E6CC6"/>
    <w:rsid w:val="001E74CA"/>
    <w:rsid w:val="001E7833"/>
    <w:rsid w:val="001E7E08"/>
    <w:rsid w:val="001F026B"/>
    <w:rsid w:val="001F05E9"/>
    <w:rsid w:val="001F07AA"/>
    <w:rsid w:val="001F0BF8"/>
    <w:rsid w:val="001F0BFE"/>
    <w:rsid w:val="001F0FF3"/>
    <w:rsid w:val="001F11DA"/>
    <w:rsid w:val="001F140B"/>
    <w:rsid w:val="001F19C3"/>
    <w:rsid w:val="001F1DC8"/>
    <w:rsid w:val="001F225C"/>
    <w:rsid w:val="001F2291"/>
    <w:rsid w:val="001F27E4"/>
    <w:rsid w:val="001F2839"/>
    <w:rsid w:val="001F2A47"/>
    <w:rsid w:val="001F2D7C"/>
    <w:rsid w:val="001F2F71"/>
    <w:rsid w:val="001F3327"/>
    <w:rsid w:val="001F3AF5"/>
    <w:rsid w:val="001F40D2"/>
    <w:rsid w:val="001F451A"/>
    <w:rsid w:val="001F46D6"/>
    <w:rsid w:val="001F4A2C"/>
    <w:rsid w:val="001F4D1B"/>
    <w:rsid w:val="001F550D"/>
    <w:rsid w:val="001F5612"/>
    <w:rsid w:val="001F60C9"/>
    <w:rsid w:val="001F60E4"/>
    <w:rsid w:val="001F6255"/>
    <w:rsid w:val="001F6FC5"/>
    <w:rsid w:val="001F7BAE"/>
    <w:rsid w:val="0020139C"/>
    <w:rsid w:val="002013EC"/>
    <w:rsid w:val="00201545"/>
    <w:rsid w:val="00201C85"/>
    <w:rsid w:val="00201FE0"/>
    <w:rsid w:val="0020299C"/>
    <w:rsid w:val="00202F80"/>
    <w:rsid w:val="0020316A"/>
    <w:rsid w:val="002032C4"/>
    <w:rsid w:val="00203811"/>
    <w:rsid w:val="00203A83"/>
    <w:rsid w:val="00203BC1"/>
    <w:rsid w:val="00203CC4"/>
    <w:rsid w:val="00203D26"/>
    <w:rsid w:val="002041D9"/>
    <w:rsid w:val="00204395"/>
    <w:rsid w:val="00204864"/>
    <w:rsid w:val="00204A41"/>
    <w:rsid w:val="00204B18"/>
    <w:rsid w:val="00204C8B"/>
    <w:rsid w:val="00205117"/>
    <w:rsid w:val="002054C6"/>
    <w:rsid w:val="00206E83"/>
    <w:rsid w:val="00207804"/>
    <w:rsid w:val="00207CAC"/>
    <w:rsid w:val="00207F54"/>
    <w:rsid w:val="00207FEE"/>
    <w:rsid w:val="002102EB"/>
    <w:rsid w:val="002104D1"/>
    <w:rsid w:val="00210D1E"/>
    <w:rsid w:val="00210D34"/>
    <w:rsid w:val="002112DD"/>
    <w:rsid w:val="00211D60"/>
    <w:rsid w:val="0021203E"/>
    <w:rsid w:val="0021277E"/>
    <w:rsid w:val="00212CD6"/>
    <w:rsid w:val="00213152"/>
    <w:rsid w:val="00213576"/>
    <w:rsid w:val="00213AF4"/>
    <w:rsid w:val="00213DE3"/>
    <w:rsid w:val="0021443C"/>
    <w:rsid w:val="002148CF"/>
    <w:rsid w:val="002148F8"/>
    <w:rsid w:val="002149F1"/>
    <w:rsid w:val="00214A89"/>
    <w:rsid w:val="00214CF4"/>
    <w:rsid w:val="00214D8C"/>
    <w:rsid w:val="0021511E"/>
    <w:rsid w:val="002151C8"/>
    <w:rsid w:val="0021522D"/>
    <w:rsid w:val="0021559C"/>
    <w:rsid w:val="002157F3"/>
    <w:rsid w:val="00215BC4"/>
    <w:rsid w:val="00215C46"/>
    <w:rsid w:val="00215EA6"/>
    <w:rsid w:val="00215FA4"/>
    <w:rsid w:val="002162CD"/>
    <w:rsid w:val="00216ACF"/>
    <w:rsid w:val="00216FBD"/>
    <w:rsid w:val="00216FF6"/>
    <w:rsid w:val="00217108"/>
    <w:rsid w:val="00217365"/>
    <w:rsid w:val="00217495"/>
    <w:rsid w:val="002179CE"/>
    <w:rsid w:val="002201BC"/>
    <w:rsid w:val="00220B19"/>
    <w:rsid w:val="00220F87"/>
    <w:rsid w:val="00221BD1"/>
    <w:rsid w:val="0022225F"/>
    <w:rsid w:val="002222D9"/>
    <w:rsid w:val="002225EF"/>
    <w:rsid w:val="002228A3"/>
    <w:rsid w:val="0022295B"/>
    <w:rsid w:val="00222982"/>
    <w:rsid w:val="00222B52"/>
    <w:rsid w:val="00222F3D"/>
    <w:rsid w:val="00223451"/>
    <w:rsid w:val="00223455"/>
    <w:rsid w:val="00223E93"/>
    <w:rsid w:val="00224375"/>
    <w:rsid w:val="002245D7"/>
    <w:rsid w:val="00224756"/>
    <w:rsid w:val="00224F6C"/>
    <w:rsid w:val="00225943"/>
    <w:rsid w:val="00226246"/>
    <w:rsid w:val="00226385"/>
    <w:rsid w:val="0022648B"/>
    <w:rsid w:val="00226686"/>
    <w:rsid w:val="00226730"/>
    <w:rsid w:val="002267D4"/>
    <w:rsid w:val="00226B65"/>
    <w:rsid w:val="00227127"/>
    <w:rsid w:val="00227B44"/>
    <w:rsid w:val="00227E97"/>
    <w:rsid w:val="00227F2E"/>
    <w:rsid w:val="002302CF"/>
    <w:rsid w:val="002304FD"/>
    <w:rsid w:val="002308DF"/>
    <w:rsid w:val="00230C82"/>
    <w:rsid w:val="00230D9C"/>
    <w:rsid w:val="00230EB0"/>
    <w:rsid w:val="0023112A"/>
    <w:rsid w:val="002311B5"/>
    <w:rsid w:val="0023191F"/>
    <w:rsid w:val="0023198D"/>
    <w:rsid w:val="002319D4"/>
    <w:rsid w:val="00231C28"/>
    <w:rsid w:val="002323D3"/>
    <w:rsid w:val="002329B2"/>
    <w:rsid w:val="002329EB"/>
    <w:rsid w:val="00232AB6"/>
    <w:rsid w:val="00233139"/>
    <w:rsid w:val="002331FE"/>
    <w:rsid w:val="00233541"/>
    <w:rsid w:val="00233625"/>
    <w:rsid w:val="002336A9"/>
    <w:rsid w:val="002336E6"/>
    <w:rsid w:val="00233C15"/>
    <w:rsid w:val="00233C7E"/>
    <w:rsid w:val="00233CE3"/>
    <w:rsid w:val="00234483"/>
    <w:rsid w:val="00234670"/>
    <w:rsid w:val="00234A33"/>
    <w:rsid w:val="00234B77"/>
    <w:rsid w:val="002351FB"/>
    <w:rsid w:val="002353E1"/>
    <w:rsid w:val="00235733"/>
    <w:rsid w:val="00235B59"/>
    <w:rsid w:val="00236017"/>
    <w:rsid w:val="00236080"/>
    <w:rsid w:val="00236380"/>
    <w:rsid w:val="00236D64"/>
    <w:rsid w:val="0023743D"/>
    <w:rsid w:val="0023754A"/>
    <w:rsid w:val="00237551"/>
    <w:rsid w:val="002375BC"/>
    <w:rsid w:val="002376AF"/>
    <w:rsid w:val="002379B2"/>
    <w:rsid w:val="00237E39"/>
    <w:rsid w:val="002400FE"/>
    <w:rsid w:val="0024039D"/>
    <w:rsid w:val="00240E75"/>
    <w:rsid w:val="00240EE2"/>
    <w:rsid w:val="00240FEF"/>
    <w:rsid w:val="002411ED"/>
    <w:rsid w:val="00241289"/>
    <w:rsid w:val="00241524"/>
    <w:rsid w:val="00241736"/>
    <w:rsid w:val="00241FC8"/>
    <w:rsid w:val="002429F0"/>
    <w:rsid w:val="00242B49"/>
    <w:rsid w:val="00242E0A"/>
    <w:rsid w:val="0024319E"/>
    <w:rsid w:val="002436FD"/>
    <w:rsid w:val="002437C8"/>
    <w:rsid w:val="00243B86"/>
    <w:rsid w:val="00244557"/>
    <w:rsid w:val="00244AEC"/>
    <w:rsid w:val="00244FFF"/>
    <w:rsid w:val="002450A5"/>
    <w:rsid w:val="00246730"/>
    <w:rsid w:val="002469D6"/>
    <w:rsid w:val="00246DA6"/>
    <w:rsid w:val="00246FEC"/>
    <w:rsid w:val="002470E6"/>
    <w:rsid w:val="002471CE"/>
    <w:rsid w:val="0024793D"/>
    <w:rsid w:val="00247B6D"/>
    <w:rsid w:val="00247FC1"/>
    <w:rsid w:val="0025122C"/>
    <w:rsid w:val="00251A9D"/>
    <w:rsid w:val="00251C54"/>
    <w:rsid w:val="0025290A"/>
    <w:rsid w:val="00252CDE"/>
    <w:rsid w:val="00252F12"/>
    <w:rsid w:val="00254019"/>
    <w:rsid w:val="002541CD"/>
    <w:rsid w:val="00254936"/>
    <w:rsid w:val="00254B9A"/>
    <w:rsid w:val="00254BF7"/>
    <w:rsid w:val="00254D43"/>
    <w:rsid w:val="002551A0"/>
    <w:rsid w:val="00255967"/>
    <w:rsid w:val="00255AD7"/>
    <w:rsid w:val="00255E25"/>
    <w:rsid w:val="00255F17"/>
    <w:rsid w:val="00255FAE"/>
    <w:rsid w:val="0025645D"/>
    <w:rsid w:val="0025652F"/>
    <w:rsid w:val="002566F0"/>
    <w:rsid w:val="00257599"/>
    <w:rsid w:val="00257BAE"/>
    <w:rsid w:val="00257D0B"/>
    <w:rsid w:val="00257D36"/>
    <w:rsid w:val="0026012D"/>
    <w:rsid w:val="002608D7"/>
    <w:rsid w:val="00260B9A"/>
    <w:rsid w:val="00260EAD"/>
    <w:rsid w:val="002613C0"/>
    <w:rsid w:val="002616F1"/>
    <w:rsid w:val="00261A4D"/>
    <w:rsid w:val="00261E6A"/>
    <w:rsid w:val="002620E3"/>
    <w:rsid w:val="0026211E"/>
    <w:rsid w:val="00262263"/>
    <w:rsid w:val="00262692"/>
    <w:rsid w:val="002627A2"/>
    <w:rsid w:val="00262C87"/>
    <w:rsid w:val="00262E86"/>
    <w:rsid w:val="00262EB5"/>
    <w:rsid w:val="00263BBB"/>
    <w:rsid w:val="002640D8"/>
    <w:rsid w:val="00264E29"/>
    <w:rsid w:val="00265856"/>
    <w:rsid w:val="002665A2"/>
    <w:rsid w:val="002666C0"/>
    <w:rsid w:val="00266B5E"/>
    <w:rsid w:val="00266ECB"/>
    <w:rsid w:val="00266F4A"/>
    <w:rsid w:val="0027036C"/>
    <w:rsid w:val="00270386"/>
    <w:rsid w:val="002703AF"/>
    <w:rsid w:val="00270512"/>
    <w:rsid w:val="00270564"/>
    <w:rsid w:val="002706C8"/>
    <w:rsid w:val="00270709"/>
    <w:rsid w:val="00270F83"/>
    <w:rsid w:val="002712FF"/>
    <w:rsid w:val="00271512"/>
    <w:rsid w:val="002715CC"/>
    <w:rsid w:val="0027186E"/>
    <w:rsid w:val="00272551"/>
    <w:rsid w:val="00272885"/>
    <w:rsid w:val="00273166"/>
    <w:rsid w:val="002735A8"/>
    <w:rsid w:val="00273607"/>
    <w:rsid w:val="00273E6E"/>
    <w:rsid w:val="0027476B"/>
    <w:rsid w:val="002749B7"/>
    <w:rsid w:val="00275431"/>
    <w:rsid w:val="00275860"/>
    <w:rsid w:val="002759B2"/>
    <w:rsid w:val="002762B6"/>
    <w:rsid w:val="002763DC"/>
    <w:rsid w:val="00277140"/>
    <w:rsid w:val="00280599"/>
    <w:rsid w:val="00280941"/>
    <w:rsid w:val="00280C18"/>
    <w:rsid w:val="00281370"/>
    <w:rsid w:val="00281542"/>
    <w:rsid w:val="00282212"/>
    <w:rsid w:val="0028284F"/>
    <w:rsid w:val="002828F6"/>
    <w:rsid w:val="00282D34"/>
    <w:rsid w:val="00282F56"/>
    <w:rsid w:val="002833EA"/>
    <w:rsid w:val="0028379B"/>
    <w:rsid w:val="00283A33"/>
    <w:rsid w:val="00283E4A"/>
    <w:rsid w:val="00284177"/>
    <w:rsid w:val="002844E9"/>
    <w:rsid w:val="00284933"/>
    <w:rsid w:val="002849D8"/>
    <w:rsid w:val="00284ED1"/>
    <w:rsid w:val="0028539D"/>
    <w:rsid w:val="00285A90"/>
    <w:rsid w:val="00285FB4"/>
    <w:rsid w:val="0028643A"/>
    <w:rsid w:val="0028663A"/>
    <w:rsid w:val="00286C10"/>
    <w:rsid w:val="00286FBB"/>
    <w:rsid w:val="00286FE8"/>
    <w:rsid w:val="002871C3"/>
    <w:rsid w:val="0028729A"/>
    <w:rsid w:val="00287714"/>
    <w:rsid w:val="002877E7"/>
    <w:rsid w:val="00287860"/>
    <w:rsid w:val="002878EF"/>
    <w:rsid w:val="00287A67"/>
    <w:rsid w:val="00287C20"/>
    <w:rsid w:val="00287D52"/>
    <w:rsid w:val="002900DF"/>
    <w:rsid w:val="002900F0"/>
    <w:rsid w:val="002901D2"/>
    <w:rsid w:val="00290206"/>
    <w:rsid w:val="00290660"/>
    <w:rsid w:val="002907E1"/>
    <w:rsid w:val="00290D5C"/>
    <w:rsid w:val="00291313"/>
    <w:rsid w:val="00291362"/>
    <w:rsid w:val="00291633"/>
    <w:rsid w:val="0029165E"/>
    <w:rsid w:val="00292363"/>
    <w:rsid w:val="00292494"/>
    <w:rsid w:val="002929D9"/>
    <w:rsid w:val="00292DAC"/>
    <w:rsid w:val="00292F0E"/>
    <w:rsid w:val="00293012"/>
    <w:rsid w:val="00294266"/>
    <w:rsid w:val="002943E1"/>
    <w:rsid w:val="00294633"/>
    <w:rsid w:val="00294730"/>
    <w:rsid w:val="002947E9"/>
    <w:rsid w:val="00294C7E"/>
    <w:rsid w:val="00294DAC"/>
    <w:rsid w:val="00294FEF"/>
    <w:rsid w:val="00294FFE"/>
    <w:rsid w:val="002950CD"/>
    <w:rsid w:val="00295344"/>
    <w:rsid w:val="002960FA"/>
    <w:rsid w:val="00296A3E"/>
    <w:rsid w:val="00296CA9"/>
    <w:rsid w:val="00296EDC"/>
    <w:rsid w:val="0029723A"/>
    <w:rsid w:val="002A0117"/>
    <w:rsid w:val="002A01CC"/>
    <w:rsid w:val="002A025F"/>
    <w:rsid w:val="002A03F9"/>
    <w:rsid w:val="002A0540"/>
    <w:rsid w:val="002A0F76"/>
    <w:rsid w:val="002A10D8"/>
    <w:rsid w:val="002A13A9"/>
    <w:rsid w:val="002A1832"/>
    <w:rsid w:val="002A1A2E"/>
    <w:rsid w:val="002A1B5D"/>
    <w:rsid w:val="002A1DC2"/>
    <w:rsid w:val="002A22F9"/>
    <w:rsid w:val="002A3204"/>
    <w:rsid w:val="002A3771"/>
    <w:rsid w:val="002A3824"/>
    <w:rsid w:val="002A418A"/>
    <w:rsid w:val="002A4314"/>
    <w:rsid w:val="002A4517"/>
    <w:rsid w:val="002A490A"/>
    <w:rsid w:val="002A4A1B"/>
    <w:rsid w:val="002A4A58"/>
    <w:rsid w:val="002A4F6A"/>
    <w:rsid w:val="002A50F4"/>
    <w:rsid w:val="002A516C"/>
    <w:rsid w:val="002A51E7"/>
    <w:rsid w:val="002A53AF"/>
    <w:rsid w:val="002A54BD"/>
    <w:rsid w:val="002A5567"/>
    <w:rsid w:val="002A5D2F"/>
    <w:rsid w:val="002A6137"/>
    <w:rsid w:val="002A6313"/>
    <w:rsid w:val="002A639F"/>
    <w:rsid w:val="002A69A4"/>
    <w:rsid w:val="002A6A17"/>
    <w:rsid w:val="002A6A44"/>
    <w:rsid w:val="002A6DB7"/>
    <w:rsid w:val="002A70D8"/>
    <w:rsid w:val="002A71D5"/>
    <w:rsid w:val="002A74DA"/>
    <w:rsid w:val="002A75F6"/>
    <w:rsid w:val="002A7CE2"/>
    <w:rsid w:val="002A7EBC"/>
    <w:rsid w:val="002B0015"/>
    <w:rsid w:val="002B0496"/>
    <w:rsid w:val="002B0EF7"/>
    <w:rsid w:val="002B0F94"/>
    <w:rsid w:val="002B156B"/>
    <w:rsid w:val="002B18A5"/>
    <w:rsid w:val="002B1B0C"/>
    <w:rsid w:val="002B25D0"/>
    <w:rsid w:val="002B26E4"/>
    <w:rsid w:val="002B28CC"/>
    <w:rsid w:val="002B3399"/>
    <w:rsid w:val="002B38EC"/>
    <w:rsid w:val="002B3BCD"/>
    <w:rsid w:val="002B3E25"/>
    <w:rsid w:val="002B407F"/>
    <w:rsid w:val="002B490C"/>
    <w:rsid w:val="002B4F38"/>
    <w:rsid w:val="002B4FD3"/>
    <w:rsid w:val="002B5438"/>
    <w:rsid w:val="002B560B"/>
    <w:rsid w:val="002B5B20"/>
    <w:rsid w:val="002B5CFB"/>
    <w:rsid w:val="002B659C"/>
    <w:rsid w:val="002B6EA3"/>
    <w:rsid w:val="002B6FE8"/>
    <w:rsid w:val="002B702C"/>
    <w:rsid w:val="002B749F"/>
    <w:rsid w:val="002B7517"/>
    <w:rsid w:val="002C0610"/>
    <w:rsid w:val="002C0804"/>
    <w:rsid w:val="002C101F"/>
    <w:rsid w:val="002C13CD"/>
    <w:rsid w:val="002C15A1"/>
    <w:rsid w:val="002C1616"/>
    <w:rsid w:val="002C177F"/>
    <w:rsid w:val="002C18F2"/>
    <w:rsid w:val="002C1ABD"/>
    <w:rsid w:val="002C1B12"/>
    <w:rsid w:val="002C1B36"/>
    <w:rsid w:val="002C1F94"/>
    <w:rsid w:val="002C25A4"/>
    <w:rsid w:val="002C293A"/>
    <w:rsid w:val="002C2962"/>
    <w:rsid w:val="002C2DE0"/>
    <w:rsid w:val="002C3683"/>
    <w:rsid w:val="002C4040"/>
    <w:rsid w:val="002C423F"/>
    <w:rsid w:val="002C4462"/>
    <w:rsid w:val="002C51BC"/>
    <w:rsid w:val="002C59F2"/>
    <w:rsid w:val="002C5A20"/>
    <w:rsid w:val="002C6202"/>
    <w:rsid w:val="002C6A47"/>
    <w:rsid w:val="002C6D4E"/>
    <w:rsid w:val="002C6D65"/>
    <w:rsid w:val="002C71EC"/>
    <w:rsid w:val="002C727A"/>
    <w:rsid w:val="002C7A22"/>
    <w:rsid w:val="002C7B2C"/>
    <w:rsid w:val="002C7C99"/>
    <w:rsid w:val="002D05AD"/>
    <w:rsid w:val="002D0843"/>
    <w:rsid w:val="002D1DC3"/>
    <w:rsid w:val="002D20BF"/>
    <w:rsid w:val="002D20C4"/>
    <w:rsid w:val="002D2190"/>
    <w:rsid w:val="002D267F"/>
    <w:rsid w:val="002D2F3C"/>
    <w:rsid w:val="002D2FA4"/>
    <w:rsid w:val="002D353F"/>
    <w:rsid w:val="002D3ADF"/>
    <w:rsid w:val="002D3EE7"/>
    <w:rsid w:val="002D437B"/>
    <w:rsid w:val="002D45BD"/>
    <w:rsid w:val="002D4BB2"/>
    <w:rsid w:val="002D4D87"/>
    <w:rsid w:val="002D4FAC"/>
    <w:rsid w:val="002D586F"/>
    <w:rsid w:val="002D5877"/>
    <w:rsid w:val="002D59BD"/>
    <w:rsid w:val="002D5AD0"/>
    <w:rsid w:val="002D5DE8"/>
    <w:rsid w:val="002D5F64"/>
    <w:rsid w:val="002D6C9D"/>
    <w:rsid w:val="002D6EB1"/>
    <w:rsid w:val="002D6FB7"/>
    <w:rsid w:val="002D722D"/>
    <w:rsid w:val="002D7325"/>
    <w:rsid w:val="002D7366"/>
    <w:rsid w:val="002D77C8"/>
    <w:rsid w:val="002D77F4"/>
    <w:rsid w:val="002E0F67"/>
    <w:rsid w:val="002E0F89"/>
    <w:rsid w:val="002E1145"/>
    <w:rsid w:val="002E1F44"/>
    <w:rsid w:val="002E2844"/>
    <w:rsid w:val="002E289A"/>
    <w:rsid w:val="002E28A8"/>
    <w:rsid w:val="002E2F40"/>
    <w:rsid w:val="002E3638"/>
    <w:rsid w:val="002E37CA"/>
    <w:rsid w:val="002E446C"/>
    <w:rsid w:val="002E491F"/>
    <w:rsid w:val="002E4CC1"/>
    <w:rsid w:val="002E5221"/>
    <w:rsid w:val="002E5823"/>
    <w:rsid w:val="002E5B62"/>
    <w:rsid w:val="002E6F36"/>
    <w:rsid w:val="002E6FB2"/>
    <w:rsid w:val="002E72ED"/>
    <w:rsid w:val="002E76E0"/>
    <w:rsid w:val="002E7746"/>
    <w:rsid w:val="002E77AD"/>
    <w:rsid w:val="002E77B6"/>
    <w:rsid w:val="002E7EE8"/>
    <w:rsid w:val="002F00CB"/>
    <w:rsid w:val="002F116E"/>
    <w:rsid w:val="002F1B90"/>
    <w:rsid w:val="002F2146"/>
    <w:rsid w:val="002F2323"/>
    <w:rsid w:val="002F2FF7"/>
    <w:rsid w:val="002F386D"/>
    <w:rsid w:val="002F3A4C"/>
    <w:rsid w:val="002F40E2"/>
    <w:rsid w:val="002F435D"/>
    <w:rsid w:val="002F479A"/>
    <w:rsid w:val="002F4A0A"/>
    <w:rsid w:val="002F4CD0"/>
    <w:rsid w:val="002F52F1"/>
    <w:rsid w:val="002F54DB"/>
    <w:rsid w:val="002F5AE7"/>
    <w:rsid w:val="002F5BC2"/>
    <w:rsid w:val="002F5D20"/>
    <w:rsid w:val="002F5DCD"/>
    <w:rsid w:val="002F6371"/>
    <w:rsid w:val="002F6556"/>
    <w:rsid w:val="002F6674"/>
    <w:rsid w:val="002F6675"/>
    <w:rsid w:val="002F6C8C"/>
    <w:rsid w:val="002F6FEB"/>
    <w:rsid w:val="002F7003"/>
    <w:rsid w:val="002F74B0"/>
    <w:rsid w:val="002F757E"/>
    <w:rsid w:val="002F7B71"/>
    <w:rsid w:val="002F7BEE"/>
    <w:rsid w:val="002F7C07"/>
    <w:rsid w:val="002F7C53"/>
    <w:rsid w:val="002F7F40"/>
    <w:rsid w:val="00300263"/>
    <w:rsid w:val="0030050F"/>
    <w:rsid w:val="00300940"/>
    <w:rsid w:val="003009B7"/>
    <w:rsid w:val="00300C92"/>
    <w:rsid w:val="00300D02"/>
    <w:rsid w:val="00301329"/>
    <w:rsid w:val="00302219"/>
    <w:rsid w:val="00302803"/>
    <w:rsid w:val="00302878"/>
    <w:rsid w:val="00302A50"/>
    <w:rsid w:val="00302E4C"/>
    <w:rsid w:val="0030313A"/>
    <w:rsid w:val="00303150"/>
    <w:rsid w:val="0030362B"/>
    <w:rsid w:val="00303786"/>
    <w:rsid w:val="003037A1"/>
    <w:rsid w:val="003038A7"/>
    <w:rsid w:val="003038BE"/>
    <w:rsid w:val="003038F2"/>
    <w:rsid w:val="00303A3C"/>
    <w:rsid w:val="00303D8C"/>
    <w:rsid w:val="003047B1"/>
    <w:rsid w:val="00304A51"/>
    <w:rsid w:val="00304C16"/>
    <w:rsid w:val="00305018"/>
    <w:rsid w:val="00305A16"/>
    <w:rsid w:val="003066BB"/>
    <w:rsid w:val="003068CE"/>
    <w:rsid w:val="00306B02"/>
    <w:rsid w:val="00306DC0"/>
    <w:rsid w:val="00306F09"/>
    <w:rsid w:val="0030756C"/>
    <w:rsid w:val="00307998"/>
    <w:rsid w:val="003108C0"/>
    <w:rsid w:val="003108C1"/>
    <w:rsid w:val="003117C3"/>
    <w:rsid w:val="003126AF"/>
    <w:rsid w:val="00312C99"/>
    <w:rsid w:val="00312D31"/>
    <w:rsid w:val="003132E4"/>
    <w:rsid w:val="003134D7"/>
    <w:rsid w:val="00313889"/>
    <w:rsid w:val="003145A8"/>
    <w:rsid w:val="0031498A"/>
    <w:rsid w:val="00314F75"/>
    <w:rsid w:val="00315BC1"/>
    <w:rsid w:val="0031620F"/>
    <w:rsid w:val="003164E7"/>
    <w:rsid w:val="00316EDC"/>
    <w:rsid w:val="00317D47"/>
    <w:rsid w:val="00317E32"/>
    <w:rsid w:val="00317F30"/>
    <w:rsid w:val="00320E93"/>
    <w:rsid w:val="00320EA0"/>
    <w:rsid w:val="00321A1F"/>
    <w:rsid w:val="00321C58"/>
    <w:rsid w:val="00321F0C"/>
    <w:rsid w:val="00321FA3"/>
    <w:rsid w:val="003224C0"/>
    <w:rsid w:val="0032287C"/>
    <w:rsid w:val="003229DE"/>
    <w:rsid w:val="00323692"/>
    <w:rsid w:val="00323771"/>
    <w:rsid w:val="003237F1"/>
    <w:rsid w:val="00323B6F"/>
    <w:rsid w:val="00323D27"/>
    <w:rsid w:val="00323F70"/>
    <w:rsid w:val="003240A2"/>
    <w:rsid w:val="0032473F"/>
    <w:rsid w:val="0032496C"/>
    <w:rsid w:val="00324A7B"/>
    <w:rsid w:val="003254F1"/>
    <w:rsid w:val="00325CFD"/>
    <w:rsid w:val="00325D26"/>
    <w:rsid w:val="00325E64"/>
    <w:rsid w:val="00325FFF"/>
    <w:rsid w:val="003265B9"/>
    <w:rsid w:val="003266D3"/>
    <w:rsid w:val="00326FBE"/>
    <w:rsid w:val="003273CE"/>
    <w:rsid w:val="00327A10"/>
    <w:rsid w:val="00327D70"/>
    <w:rsid w:val="00330B48"/>
    <w:rsid w:val="00330D5E"/>
    <w:rsid w:val="00331683"/>
    <w:rsid w:val="003319FA"/>
    <w:rsid w:val="00331B04"/>
    <w:rsid w:val="00331B4E"/>
    <w:rsid w:val="00332528"/>
    <w:rsid w:val="00333592"/>
    <w:rsid w:val="00333A61"/>
    <w:rsid w:val="00334BB9"/>
    <w:rsid w:val="00334BDD"/>
    <w:rsid w:val="00334D3C"/>
    <w:rsid w:val="00334E31"/>
    <w:rsid w:val="00334E7A"/>
    <w:rsid w:val="00335598"/>
    <w:rsid w:val="0033566B"/>
    <w:rsid w:val="00335904"/>
    <w:rsid w:val="00335BDA"/>
    <w:rsid w:val="003365F2"/>
    <w:rsid w:val="00336D27"/>
    <w:rsid w:val="00336D34"/>
    <w:rsid w:val="00337194"/>
    <w:rsid w:val="00337AA9"/>
    <w:rsid w:val="00337AEA"/>
    <w:rsid w:val="00337D6E"/>
    <w:rsid w:val="0034129B"/>
    <w:rsid w:val="003419ED"/>
    <w:rsid w:val="00341B7D"/>
    <w:rsid w:val="00342502"/>
    <w:rsid w:val="003429CB"/>
    <w:rsid w:val="003447B9"/>
    <w:rsid w:val="00344D4D"/>
    <w:rsid w:val="003458F0"/>
    <w:rsid w:val="00345ACB"/>
    <w:rsid w:val="00345D88"/>
    <w:rsid w:val="00346467"/>
    <w:rsid w:val="00346B01"/>
    <w:rsid w:val="00346DC1"/>
    <w:rsid w:val="0034706E"/>
    <w:rsid w:val="00347208"/>
    <w:rsid w:val="00347F4E"/>
    <w:rsid w:val="003503F7"/>
    <w:rsid w:val="003508B1"/>
    <w:rsid w:val="003508C5"/>
    <w:rsid w:val="00350EB7"/>
    <w:rsid w:val="00351827"/>
    <w:rsid w:val="00351B70"/>
    <w:rsid w:val="00351D2B"/>
    <w:rsid w:val="00352548"/>
    <w:rsid w:val="0035291B"/>
    <w:rsid w:val="003531B8"/>
    <w:rsid w:val="003535A1"/>
    <w:rsid w:val="00353619"/>
    <w:rsid w:val="0035381E"/>
    <w:rsid w:val="00353B1F"/>
    <w:rsid w:val="00353F64"/>
    <w:rsid w:val="0035468E"/>
    <w:rsid w:val="003549B0"/>
    <w:rsid w:val="00354A5D"/>
    <w:rsid w:val="00354FF8"/>
    <w:rsid w:val="003551E1"/>
    <w:rsid w:val="0035597F"/>
    <w:rsid w:val="00355B65"/>
    <w:rsid w:val="00355D00"/>
    <w:rsid w:val="00355E8E"/>
    <w:rsid w:val="00356058"/>
    <w:rsid w:val="003563B9"/>
    <w:rsid w:val="003565FC"/>
    <w:rsid w:val="00356A3F"/>
    <w:rsid w:val="00356CCF"/>
    <w:rsid w:val="00356F00"/>
    <w:rsid w:val="0035702B"/>
    <w:rsid w:val="00357362"/>
    <w:rsid w:val="003573A5"/>
    <w:rsid w:val="0035768E"/>
    <w:rsid w:val="00357857"/>
    <w:rsid w:val="00360253"/>
    <w:rsid w:val="00360260"/>
    <w:rsid w:val="003606CA"/>
    <w:rsid w:val="00360DEF"/>
    <w:rsid w:val="00361308"/>
    <w:rsid w:val="0036157C"/>
    <w:rsid w:val="00361911"/>
    <w:rsid w:val="003619E2"/>
    <w:rsid w:val="003622A1"/>
    <w:rsid w:val="003623E5"/>
    <w:rsid w:val="00362B41"/>
    <w:rsid w:val="00362DF2"/>
    <w:rsid w:val="00363260"/>
    <w:rsid w:val="003636AB"/>
    <w:rsid w:val="00363DBD"/>
    <w:rsid w:val="003640B0"/>
    <w:rsid w:val="00364498"/>
    <w:rsid w:val="00364A2C"/>
    <w:rsid w:val="00364D3D"/>
    <w:rsid w:val="003660B9"/>
    <w:rsid w:val="003665E0"/>
    <w:rsid w:val="00366E68"/>
    <w:rsid w:val="0036704A"/>
    <w:rsid w:val="003674F5"/>
    <w:rsid w:val="003675D9"/>
    <w:rsid w:val="003675F6"/>
    <w:rsid w:val="00367E33"/>
    <w:rsid w:val="00367FD7"/>
    <w:rsid w:val="00370108"/>
    <w:rsid w:val="003703AC"/>
    <w:rsid w:val="0037057C"/>
    <w:rsid w:val="00370605"/>
    <w:rsid w:val="00370A4E"/>
    <w:rsid w:val="00370B87"/>
    <w:rsid w:val="003712B5"/>
    <w:rsid w:val="00371526"/>
    <w:rsid w:val="00371FDA"/>
    <w:rsid w:val="003722C8"/>
    <w:rsid w:val="00372671"/>
    <w:rsid w:val="00372AD4"/>
    <w:rsid w:val="00373030"/>
    <w:rsid w:val="00373474"/>
    <w:rsid w:val="00373FA7"/>
    <w:rsid w:val="003741FB"/>
    <w:rsid w:val="00374396"/>
    <w:rsid w:val="00374560"/>
    <w:rsid w:val="00374862"/>
    <w:rsid w:val="00374A41"/>
    <w:rsid w:val="00374B8E"/>
    <w:rsid w:val="00374CB6"/>
    <w:rsid w:val="00374E84"/>
    <w:rsid w:val="0037502D"/>
    <w:rsid w:val="00375031"/>
    <w:rsid w:val="00375941"/>
    <w:rsid w:val="00375F48"/>
    <w:rsid w:val="00375F99"/>
    <w:rsid w:val="00376058"/>
    <w:rsid w:val="00376100"/>
    <w:rsid w:val="003766EE"/>
    <w:rsid w:val="0037672B"/>
    <w:rsid w:val="003768A8"/>
    <w:rsid w:val="00376A2F"/>
    <w:rsid w:val="00376C6C"/>
    <w:rsid w:val="00376E12"/>
    <w:rsid w:val="00377761"/>
    <w:rsid w:val="00377A9A"/>
    <w:rsid w:val="00377D2E"/>
    <w:rsid w:val="00380FB2"/>
    <w:rsid w:val="00381748"/>
    <w:rsid w:val="00381A3B"/>
    <w:rsid w:val="003822D0"/>
    <w:rsid w:val="00382EC6"/>
    <w:rsid w:val="00383277"/>
    <w:rsid w:val="00383560"/>
    <w:rsid w:val="003839D9"/>
    <w:rsid w:val="00383A69"/>
    <w:rsid w:val="00383A8A"/>
    <w:rsid w:val="00384006"/>
    <w:rsid w:val="00384297"/>
    <w:rsid w:val="0038462D"/>
    <w:rsid w:val="00384646"/>
    <w:rsid w:val="00384E86"/>
    <w:rsid w:val="00384FCE"/>
    <w:rsid w:val="00385099"/>
    <w:rsid w:val="00385D66"/>
    <w:rsid w:val="00385DB7"/>
    <w:rsid w:val="00386200"/>
    <w:rsid w:val="00386653"/>
    <w:rsid w:val="00386E41"/>
    <w:rsid w:val="00387438"/>
    <w:rsid w:val="00387AC0"/>
    <w:rsid w:val="0039055B"/>
    <w:rsid w:val="00390A62"/>
    <w:rsid w:val="003913A4"/>
    <w:rsid w:val="003913BC"/>
    <w:rsid w:val="003913D9"/>
    <w:rsid w:val="0039161C"/>
    <w:rsid w:val="003917E8"/>
    <w:rsid w:val="00391B5E"/>
    <w:rsid w:val="00391E06"/>
    <w:rsid w:val="00392CFE"/>
    <w:rsid w:val="00392DE6"/>
    <w:rsid w:val="00393241"/>
    <w:rsid w:val="003933F8"/>
    <w:rsid w:val="00393AC1"/>
    <w:rsid w:val="00393B47"/>
    <w:rsid w:val="003950BC"/>
    <w:rsid w:val="003951A1"/>
    <w:rsid w:val="003959AC"/>
    <w:rsid w:val="00395DC9"/>
    <w:rsid w:val="00395E28"/>
    <w:rsid w:val="00396072"/>
    <w:rsid w:val="003960E4"/>
    <w:rsid w:val="003964A1"/>
    <w:rsid w:val="003967F8"/>
    <w:rsid w:val="00396850"/>
    <w:rsid w:val="00396898"/>
    <w:rsid w:val="003968CF"/>
    <w:rsid w:val="00396C65"/>
    <w:rsid w:val="00396F24"/>
    <w:rsid w:val="00397517"/>
    <w:rsid w:val="003978E8"/>
    <w:rsid w:val="003979CA"/>
    <w:rsid w:val="00397E51"/>
    <w:rsid w:val="00397ED8"/>
    <w:rsid w:val="003A00EF"/>
    <w:rsid w:val="003A028F"/>
    <w:rsid w:val="003A0794"/>
    <w:rsid w:val="003A0A47"/>
    <w:rsid w:val="003A0BC6"/>
    <w:rsid w:val="003A114A"/>
    <w:rsid w:val="003A149D"/>
    <w:rsid w:val="003A159C"/>
    <w:rsid w:val="003A1C18"/>
    <w:rsid w:val="003A1E6F"/>
    <w:rsid w:val="003A28D2"/>
    <w:rsid w:val="003A2912"/>
    <w:rsid w:val="003A303D"/>
    <w:rsid w:val="003A307B"/>
    <w:rsid w:val="003A3754"/>
    <w:rsid w:val="003A384D"/>
    <w:rsid w:val="003A393B"/>
    <w:rsid w:val="003A3A77"/>
    <w:rsid w:val="003A43F3"/>
    <w:rsid w:val="003A447B"/>
    <w:rsid w:val="003A475A"/>
    <w:rsid w:val="003A4E83"/>
    <w:rsid w:val="003A560C"/>
    <w:rsid w:val="003A5BE7"/>
    <w:rsid w:val="003A5F45"/>
    <w:rsid w:val="003A5FC7"/>
    <w:rsid w:val="003A625D"/>
    <w:rsid w:val="003A6552"/>
    <w:rsid w:val="003A660D"/>
    <w:rsid w:val="003A66FC"/>
    <w:rsid w:val="003A6988"/>
    <w:rsid w:val="003A74C1"/>
    <w:rsid w:val="003A759F"/>
    <w:rsid w:val="003A7AC1"/>
    <w:rsid w:val="003A7E9F"/>
    <w:rsid w:val="003A7FC3"/>
    <w:rsid w:val="003B0BD4"/>
    <w:rsid w:val="003B1022"/>
    <w:rsid w:val="003B13FF"/>
    <w:rsid w:val="003B1B88"/>
    <w:rsid w:val="003B1D7A"/>
    <w:rsid w:val="003B2018"/>
    <w:rsid w:val="003B2937"/>
    <w:rsid w:val="003B2A92"/>
    <w:rsid w:val="003B2E52"/>
    <w:rsid w:val="003B3033"/>
    <w:rsid w:val="003B32FC"/>
    <w:rsid w:val="003B3A61"/>
    <w:rsid w:val="003B3A6B"/>
    <w:rsid w:val="003B3F32"/>
    <w:rsid w:val="003B42E1"/>
    <w:rsid w:val="003B4ECD"/>
    <w:rsid w:val="003B4EEF"/>
    <w:rsid w:val="003B54CA"/>
    <w:rsid w:val="003B5536"/>
    <w:rsid w:val="003B5F00"/>
    <w:rsid w:val="003B5F87"/>
    <w:rsid w:val="003B63B4"/>
    <w:rsid w:val="003B69F1"/>
    <w:rsid w:val="003B6ED3"/>
    <w:rsid w:val="003B703D"/>
    <w:rsid w:val="003B76FE"/>
    <w:rsid w:val="003B7A21"/>
    <w:rsid w:val="003B7CF3"/>
    <w:rsid w:val="003B7D48"/>
    <w:rsid w:val="003C010D"/>
    <w:rsid w:val="003C0391"/>
    <w:rsid w:val="003C0771"/>
    <w:rsid w:val="003C0A9C"/>
    <w:rsid w:val="003C0C9C"/>
    <w:rsid w:val="003C0E25"/>
    <w:rsid w:val="003C0F55"/>
    <w:rsid w:val="003C0F7B"/>
    <w:rsid w:val="003C128F"/>
    <w:rsid w:val="003C13B9"/>
    <w:rsid w:val="003C1673"/>
    <w:rsid w:val="003C1970"/>
    <w:rsid w:val="003C1BEC"/>
    <w:rsid w:val="003C1C24"/>
    <w:rsid w:val="003C1D5A"/>
    <w:rsid w:val="003C2A38"/>
    <w:rsid w:val="003C2C85"/>
    <w:rsid w:val="003C30C8"/>
    <w:rsid w:val="003C30CE"/>
    <w:rsid w:val="003C32F6"/>
    <w:rsid w:val="003C3613"/>
    <w:rsid w:val="003C39D4"/>
    <w:rsid w:val="003C3DDB"/>
    <w:rsid w:val="003C4350"/>
    <w:rsid w:val="003C4E6E"/>
    <w:rsid w:val="003C5144"/>
    <w:rsid w:val="003C532D"/>
    <w:rsid w:val="003C5334"/>
    <w:rsid w:val="003C568B"/>
    <w:rsid w:val="003C5A6A"/>
    <w:rsid w:val="003C5B86"/>
    <w:rsid w:val="003C5C4C"/>
    <w:rsid w:val="003C5D3C"/>
    <w:rsid w:val="003C5E55"/>
    <w:rsid w:val="003C6A05"/>
    <w:rsid w:val="003C7092"/>
    <w:rsid w:val="003C737B"/>
    <w:rsid w:val="003C79AE"/>
    <w:rsid w:val="003C7D41"/>
    <w:rsid w:val="003D0B9D"/>
    <w:rsid w:val="003D0D2D"/>
    <w:rsid w:val="003D109C"/>
    <w:rsid w:val="003D10ED"/>
    <w:rsid w:val="003D1195"/>
    <w:rsid w:val="003D12E8"/>
    <w:rsid w:val="003D153D"/>
    <w:rsid w:val="003D15B3"/>
    <w:rsid w:val="003D1677"/>
    <w:rsid w:val="003D180E"/>
    <w:rsid w:val="003D1976"/>
    <w:rsid w:val="003D19CE"/>
    <w:rsid w:val="003D1B49"/>
    <w:rsid w:val="003D1C11"/>
    <w:rsid w:val="003D22DA"/>
    <w:rsid w:val="003D26EF"/>
    <w:rsid w:val="003D2B46"/>
    <w:rsid w:val="003D2B56"/>
    <w:rsid w:val="003D33C5"/>
    <w:rsid w:val="003D353C"/>
    <w:rsid w:val="003D3F75"/>
    <w:rsid w:val="003D3FCB"/>
    <w:rsid w:val="003D412A"/>
    <w:rsid w:val="003D4263"/>
    <w:rsid w:val="003D491D"/>
    <w:rsid w:val="003D4E6A"/>
    <w:rsid w:val="003D5D6E"/>
    <w:rsid w:val="003D5E1D"/>
    <w:rsid w:val="003D5FA6"/>
    <w:rsid w:val="003D61CC"/>
    <w:rsid w:val="003D69EC"/>
    <w:rsid w:val="003D6B5E"/>
    <w:rsid w:val="003D6EF3"/>
    <w:rsid w:val="003D7819"/>
    <w:rsid w:val="003D7DB0"/>
    <w:rsid w:val="003E08B5"/>
    <w:rsid w:val="003E0A9F"/>
    <w:rsid w:val="003E0F16"/>
    <w:rsid w:val="003E14C3"/>
    <w:rsid w:val="003E1503"/>
    <w:rsid w:val="003E175E"/>
    <w:rsid w:val="003E17DF"/>
    <w:rsid w:val="003E1B77"/>
    <w:rsid w:val="003E24BA"/>
    <w:rsid w:val="003E2597"/>
    <w:rsid w:val="003E26D9"/>
    <w:rsid w:val="003E29F1"/>
    <w:rsid w:val="003E2CCF"/>
    <w:rsid w:val="003E31D4"/>
    <w:rsid w:val="003E33DC"/>
    <w:rsid w:val="003E34DB"/>
    <w:rsid w:val="003E3599"/>
    <w:rsid w:val="003E375D"/>
    <w:rsid w:val="003E3FE7"/>
    <w:rsid w:val="003E422F"/>
    <w:rsid w:val="003E4832"/>
    <w:rsid w:val="003E4B01"/>
    <w:rsid w:val="003E56DC"/>
    <w:rsid w:val="003E5740"/>
    <w:rsid w:val="003E70C9"/>
    <w:rsid w:val="003E75DC"/>
    <w:rsid w:val="003E7A02"/>
    <w:rsid w:val="003F0081"/>
    <w:rsid w:val="003F07D5"/>
    <w:rsid w:val="003F0B11"/>
    <w:rsid w:val="003F0B9B"/>
    <w:rsid w:val="003F0EDB"/>
    <w:rsid w:val="003F19A5"/>
    <w:rsid w:val="003F19FF"/>
    <w:rsid w:val="003F1A4E"/>
    <w:rsid w:val="003F1ACB"/>
    <w:rsid w:val="003F212D"/>
    <w:rsid w:val="003F2BBA"/>
    <w:rsid w:val="003F2CE1"/>
    <w:rsid w:val="003F2E14"/>
    <w:rsid w:val="003F3883"/>
    <w:rsid w:val="003F391E"/>
    <w:rsid w:val="003F3AEE"/>
    <w:rsid w:val="003F48E0"/>
    <w:rsid w:val="003F49E9"/>
    <w:rsid w:val="003F4C3C"/>
    <w:rsid w:val="003F569B"/>
    <w:rsid w:val="003F5A01"/>
    <w:rsid w:val="003F5BF0"/>
    <w:rsid w:val="003F5D4B"/>
    <w:rsid w:val="003F6573"/>
    <w:rsid w:val="003F67D8"/>
    <w:rsid w:val="003F682E"/>
    <w:rsid w:val="003F6DC3"/>
    <w:rsid w:val="003F7489"/>
    <w:rsid w:val="003F7921"/>
    <w:rsid w:val="003F7C0E"/>
    <w:rsid w:val="0040025E"/>
    <w:rsid w:val="004007D8"/>
    <w:rsid w:val="004009DD"/>
    <w:rsid w:val="004011BB"/>
    <w:rsid w:val="004015A8"/>
    <w:rsid w:val="00401980"/>
    <w:rsid w:val="00401BD9"/>
    <w:rsid w:val="004020C7"/>
    <w:rsid w:val="004025B1"/>
    <w:rsid w:val="0040275A"/>
    <w:rsid w:val="00402D8A"/>
    <w:rsid w:val="00402E7E"/>
    <w:rsid w:val="004031A6"/>
    <w:rsid w:val="004031E1"/>
    <w:rsid w:val="00403715"/>
    <w:rsid w:val="00403820"/>
    <w:rsid w:val="00403A0C"/>
    <w:rsid w:val="00403D87"/>
    <w:rsid w:val="00404302"/>
    <w:rsid w:val="00404458"/>
    <w:rsid w:val="00404D5C"/>
    <w:rsid w:val="00404D60"/>
    <w:rsid w:val="00404E15"/>
    <w:rsid w:val="00404E49"/>
    <w:rsid w:val="004053F1"/>
    <w:rsid w:val="0040581F"/>
    <w:rsid w:val="00405E4E"/>
    <w:rsid w:val="004069B6"/>
    <w:rsid w:val="00406E13"/>
    <w:rsid w:val="00406E9D"/>
    <w:rsid w:val="004073A6"/>
    <w:rsid w:val="004079A7"/>
    <w:rsid w:val="00407A5F"/>
    <w:rsid w:val="0041091D"/>
    <w:rsid w:val="00410DF6"/>
    <w:rsid w:val="00411656"/>
    <w:rsid w:val="00411823"/>
    <w:rsid w:val="00411B79"/>
    <w:rsid w:val="00411C29"/>
    <w:rsid w:val="00411E60"/>
    <w:rsid w:val="00412164"/>
    <w:rsid w:val="00412464"/>
    <w:rsid w:val="004127A2"/>
    <w:rsid w:val="004129CB"/>
    <w:rsid w:val="00412A91"/>
    <w:rsid w:val="004133BC"/>
    <w:rsid w:val="00413947"/>
    <w:rsid w:val="00413C0C"/>
    <w:rsid w:val="00413EEF"/>
    <w:rsid w:val="00414504"/>
    <w:rsid w:val="004145E8"/>
    <w:rsid w:val="00414606"/>
    <w:rsid w:val="00414CBA"/>
    <w:rsid w:val="00414F56"/>
    <w:rsid w:val="00415975"/>
    <w:rsid w:val="00415B9F"/>
    <w:rsid w:val="00416459"/>
    <w:rsid w:val="0041659B"/>
    <w:rsid w:val="004165A4"/>
    <w:rsid w:val="00417582"/>
    <w:rsid w:val="00417661"/>
    <w:rsid w:val="00420349"/>
    <w:rsid w:val="00420496"/>
    <w:rsid w:val="00420A90"/>
    <w:rsid w:val="00420CC8"/>
    <w:rsid w:val="004211AF"/>
    <w:rsid w:val="00421608"/>
    <w:rsid w:val="00421619"/>
    <w:rsid w:val="004216F6"/>
    <w:rsid w:val="0042185B"/>
    <w:rsid w:val="0042191F"/>
    <w:rsid w:val="0042213C"/>
    <w:rsid w:val="004222CA"/>
    <w:rsid w:val="00422447"/>
    <w:rsid w:val="0042294E"/>
    <w:rsid w:val="00422A39"/>
    <w:rsid w:val="00422FEE"/>
    <w:rsid w:val="004231E8"/>
    <w:rsid w:val="0042370A"/>
    <w:rsid w:val="00423EBC"/>
    <w:rsid w:val="00423F50"/>
    <w:rsid w:val="0042444D"/>
    <w:rsid w:val="004244A6"/>
    <w:rsid w:val="00424526"/>
    <w:rsid w:val="0042454C"/>
    <w:rsid w:val="00424592"/>
    <w:rsid w:val="00424A42"/>
    <w:rsid w:val="00424E8B"/>
    <w:rsid w:val="00425D32"/>
    <w:rsid w:val="004261AE"/>
    <w:rsid w:val="0042660C"/>
    <w:rsid w:val="00426883"/>
    <w:rsid w:val="004268E3"/>
    <w:rsid w:val="00426B2C"/>
    <w:rsid w:val="00426DDE"/>
    <w:rsid w:val="004271D4"/>
    <w:rsid w:val="0042720E"/>
    <w:rsid w:val="004278BE"/>
    <w:rsid w:val="00427C16"/>
    <w:rsid w:val="004301BD"/>
    <w:rsid w:val="00430336"/>
    <w:rsid w:val="0043087F"/>
    <w:rsid w:val="0043120F"/>
    <w:rsid w:val="00431A82"/>
    <w:rsid w:val="00431EB4"/>
    <w:rsid w:val="00432A0C"/>
    <w:rsid w:val="00432D0C"/>
    <w:rsid w:val="0043356E"/>
    <w:rsid w:val="00433C11"/>
    <w:rsid w:val="00433E9D"/>
    <w:rsid w:val="00434305"/>
    <w:rsid w:val="00434ACE"/>
    <w:rsid w:val="00434E16"/>
    <w:rsid w:val="00434F27"/>
    <w:rsid w:val="00435700"/>
    <w:rsid w:val="00435D23"/>
    <w:rsid w:val="00436419"/>
    <w:rsid w:val="004367B6"/>
    <w:rsid w:val="0043683B"/>
    <w:rsid w:val="00436BC9"/>
    <w:rsid w:val="004372A2"/>
    <w:rsid w:val="004373FB"/>
    <w:rsid w:val="004378F0"/>
    <w:rsid w:val="00437AD4"/>
    <w:rsid w:val="00437C26"/>
    <w:rsid w:val="00440000"/>
    <w:rsid w:val="004408F4"/>
    <w:rsid w:val="00440986"/>
    <w:rsid w:val="00440995"/>
    <w:rsid w:val="0044150A"/>
    <w:rsid w:val="00442447"/>
    <w:rsid w:val="00442A20"/>
    <w:rsid w:val="00442ED3"/>
    <w:rsid w:val="004431DE"/>
    <w:rsid w:val="0044366D"/>
    <w:rsid w:val="00443783"/>
    <w:rsid w:val="00443847"/>
    <w:rsid w:val="0044396D"/>
    <w:rsid w:val="00444210"/>
    <w:rsid w:val="0044471F"/>
    <w:rsid w:val="00444C4E"/>
    <w:rsid w:val="00445032"/>
    <w:rsid w:val="004450C9"/>
    <w:rsid w:val="00445182"/>
    <w:rsid w:val="00445A8D"/>
    <w:rsid w:val="00446013"/>
    <w:rsid w:val="00446116"/>
    <w:rsid w:val="004469BD"/>
    <w:rsid w:val="00446B33"/>
    <w:rsid w:val="00446C9F"/>
    <w:rsid w:val="00447293"/>
    <w:rsid w:val="0044742E"/>
    <w:rsid w:val="0044767A"/>
    <w:rsid w:val="00447AC2"/>
    <w:rsid w:val="00447BFC"/>
    <w:rsid w:val="00447C1A"/>
    <w:rsid w:val="0045020A"/>
    <w:rsid w:val="00450268"/>
    <w:rsid w:val="0045075B"/>
    <w:rsid w:val="0045077E"/>
    <w:rsid w:val="00450C26"/>
    <w:rsid w:val="00450C48"/>
    <w:rsid w:val="00450CE7"/>
    <w:rsid w:val="00452A9D"/>
    <w:rsid w:val="00452D40"/>
    <w:rsid w:val="00452E25"/>
    <w:rsid w:val="00453E59"/>
    <w:rsid w:val="004542A6"/>
    <w:rsid w:val="00454AD1"/>
    <w:rsid w:val="00454B98"/>
    <w:rsid w:val="00454FF1"/>
    <w:rsid w:val="004551F2"/>
    <w:rsid w:val="00455CFB"/>
    <w:rsid w:val="0045654E"/>
    <w:rsid w:val="0045693C"/>
    <w:rsid w:val="00456A35"/>
    <w:rsid w:val="00456E70"/>
    <w:rsid w:val="00457251"/>
    <w:rsid w:val="004573F1"/>
    <w:rsid w:val="004576F5"/>
    <w:rsid w:val="0045778D"/>
    <w:rsid w:val="00460598"/>
    <w:rsid w:val="004607CE"/>
    <w:rsid w:val="0046082D"/>
    <w:rsid w:val="00461016"/>
    <w:rsid w:val="004614A5"/>
    <w:rsid w:val="00461A58"/>
    <w:rsid w:val="00461CD7"/>
    <w:rsid w:val="0046245B"/>
    <w:rsid w:val="004625AB"/>
    <w:rsid w:val="004638C6"/>
    <w:rsid w:val="00463BB2"/>
    <w:rsid w:val="00463BD9"/>
    <w:rsid w:val="00463D64"/>
    <w:rsid w:val="0046409A"/>
    <w:rsid w:val="0046412F"/>
    <w:rsid w:val="00464231"/>
    <w:rsid w:val="00464967"/>
    <w:rsid w:val="004650B3"/>
    <w:rsid w:val="004651BD"/>
    <w:rsid w:val="00465851"/>
    <w:rsid w:val="00465EF5"/>
    <w:rsid w:val="00466252"/>
    <w:rsid w:val="00467641"/>
    <w:rsid w:val="00467862"/>
    <w:rsid w:val="00467B17"/>
    <w:rsid w:val="00470A9C"/>
    <w:rsid w:val="00470DBF"/>
    <w:rsid w:val="0047140B"/>
    <w:rsid w:val="0047168A"/>
    <w:rsid w:val="004718E2"/>
    <w:rsid w:val="004718E8"/>
    <w:rsid w:val="00471D08"/>
    <w:rsid w:val="004724E5"/>
    <w:rsid w:val="004735AE"/>
    <w:rsid w:val="004738CB"/>
    <w:rsid w:val="004745EC"/>
    <w:rsid w:val="0047468F"/>
    <w:rsid w:val="00474D05"/>
    <w:rsid w:val="0047514D"/>
    <w:rsid w:val="00475680"/>
    <w:rsid w:val="00475689"/>
    <w:rsid w:val="0047590C"/>
    <w:rsid w:val="0047613D"/>
    <w:rsid w:val="0047682D"/>
    <w:rsid w:val="0047715A"/>
    <w:rsid w:val="00477942"/>
    <w:rsid w:val="00477CD4"/>
    <w:rsid w:val="00477D31"/>
    <w:rsid w:val="0048006F"/>
    <w:rsid w:val="004801C6"/>
    <w:rsid w:val="00480208"/>
    <w:rsid w:val="004802CB"/>
    <w:rsid w:val="00480886"/>
    <w:rsid w:val="00480903"/>
    <w:rsid w:val="00480971"/>
    <w:rsid w:val="00480B40"/>
    <w:rsid w:val="00480DAC"/>
    <w:rsid w:val="00480EEB"/>
    <w:rsid w:val="00480FF8"/>
    <w:rsid w:val="004814EC"/>
    <w:rsid w:val="00481677"/>
    <w:rsid w:val="004816D1"/>
    <w:rsid w:val="004819B0"/>
    <w:rsid w:val="00481B17"/>
    <w:rsid w:val="00481BF6"/>
    <w:rsid w:val="00481C48"/>
    <w:rsid w:val="004824EA"/>
    <w:rsid w:val="00482619"/>
    <w:rsid w:val="0048274F"/>
    <w:rsid w:val="00482753"/>
    <w:rsid w:val="00482E75"/>
    <w:rsid w:val="00482EC6"/>
    <w:rsid w:val="00483155"/>
    <w:rsid w:val="00483430"/>
    <w:rsid w:val="00483C7E"/>
    <w:rsid w:val="00483F23"/>
    <w:rsid w:val="00484FA7"/>
    <w:rsid w:val="0048580D"/>
    <w:rsid w:val="00485B61"/>
    <w:rsid w:val="00485CF6"/>
    <w:rsid w:val="00485ECE"/>
    <w:rsid w:val="00486226"/>
    <w:rsid w:val="00486277"/>
    <w:rsid w:val="004862D7"/>
    <w:rsid w:val="004862E1"/>
    <w:rsid w:val="00486353"/>
    <w:rsid w:val="004864B5"/>
    <w:rsid w:val="004866A6"/>
    <w:rsid w:val="0048744E"/>
    <w:rsid w:val="004876F0"/>
    <w:rsid w:val="004903BD"/>
    <w:rsid w:val="00490DAF"/>
    <w:rsid w:val="00490EEA"/>
    <w:rsid w:val="00491643"/>
    <w:rsid w:val="004917C3"/>
    <w:rsid w:val="004918E8"/>
    <w:rsid w:val="0049236B"/>
    <w:rsid w:val="004933BC"/>
    <w:rsid w:val="004934CB"/>
    <w:rsid w:val="0049371C"/>
    <w:rsid w:val="0049382A"/>
    <w:rsid w:val="00493902"/>
    <w:rsid w:val="00493AA9"/>
    <w:rsid w:val="00493AE3"/>
    <w:rsid w:val="00493DED"/>
    <w:rsid w:val="00494637"/>
    <w:rsid w:val="004946D6"/>
    <w:rsid w:val="00494BC5"/>
    <w:rsid w:val="004953D1"/>
    <w:rsid w:val="00495465"/>
    <w:rsid w:val="00495653"/>
    <w:rsid w:val="00495BC0"/>
    <w:rsid w:val="00495EBC"/>
    <w:rsid w:val="00496174"/>
    <w:rsid w:val="00496D1F"/>
    <w:rsid w:val="00496F9A"/>
    <w:rsid w:val="00496FD2"/>
    <w:rsid w:val="0049703E"/>
    <w:rsid w:val="00497159"/>
    <w:rsid w:val="0049762E"/>
    <w:rsid w:val="0049770F"/>
    <w:rsid w:val="00497831"/>
    <w:rsid w:val="00497902"/>
    <w:rsid w:val="00497949"/>
    <w:rsid w:val="00497BBF"/>
    <w:rsid w:val="004A0BF2"/>
    <w:rsid w:val="004A166C"/>
    <w:rsid w:val="004A267F"/>
    <w:rsid w:val="004A2EE9"/>
    <w:rsid w:val="004A2F5C"/>
    <w:rsid w:val="004A365D"/>
    <w:rsid w:val="004A37CA"/>
    <w:rsid w:val="004A4036"/>
    <w:rsid w:val="004A4054"/>
    <w:rsid w:val="004A447E"/>
    <w:rsid w:val="004A4772"/>
    <w:rsid w:val="004A490D"/>
    <w:rsid w:val="004A4A8C"/>
    <w:rsid w:val="004A4AF8"/>
    <w:rsid w:val="004A4C76"/>
    <w:rsid w:val="004A5C0C"/>
    <w:rsid w:val="004A5F75"/>
    <w:rsid w:val="004A5F76"/>
    <w:rsid w:val="004A5FDE"/>
    <w:rsid w:val="004A600E"/>
    <w:rsid w:val="004A628C"/>
    <w:rsid w:val="004A69C5"/>
    <w:rsid w:val="004A6E37"/>
    <w:rsid w:val="004A6F40"/>
    <w:rsid w:val="004A6F54"/>
    <w:rsid w:val="004A6FB2"/>
    <w:rsid w:val="004A6FBB"/>
    <w:rsid w:val="004A713B"/>
    <w:rsid w:val="004A73FF"/>
    <w:rsid w:val="004A76F2"/>
    <w:rsid w:val="004A7AD4"/>
    <w:rsid w:val="004B1521"/>
    <w:rsid w:val="004B158C"/>
    <w:rsid w:val="004B16E4"/>
    <w:rsid w:val="004B2018"/>
    <w:rsid w:val="004B26CF"/>
    <w:rsid w:val="004B2F50"/>
    <w:rsid w:val="004B338D"/>
    <w:rsid w:val="004B3456"/>
    <w:rsid w:val="004B3C80"/>
    <w:rsid w:val="004B3CC9"/>
    <w:rsid w:val="004B3D38"/>
    <w:rsid w:val="004B441E"/>
    <w:rsid w:val="004B4757"/>
    <w:rsid w:val="004B48BA"/>
    <w:rsid w:val="004B4939"/>
    <w:rsid w:val="004B4CFC"/>
    <w:rsid w:val="004B4F1F"/>
    <w:rsid w:val="004B5081"/>
    <w:rsid w:val="004B556F"/>
    <w:rsid w:val="004B5955"/>
    <w:rsid w:val="004B5C22"/>
    <w:rsid w:val="004B5CDF"/>
    <w:rsid w:val="004B623C"/>
    <w:rsid w:val="004B624C"/>
    <w:rsid w:val="004B6296"/>
    <w:rsid w:val="004B6995"/>
    <w:rsid w:val="004B6AEF"/>
    <w:rsid w:val="004B6EA1"/>
    <w:rsid w:val="004B7195"/>
    <w:rsid w:val="004B720B"/>
    <w:rsid w:val="004B7BB5"/>
    <w:rsid w:val="004B7FCB"/>
    <w:rsid w:val="004C0669"/>
    <w:rsid w:val="004C0C80"/>
    <w:rsid w:val="004C1476"/>
    <w:rsid w:val="004C16C1"/>
    <w:rsid w:val="004C20FC"/>
    <w:rsid w:val="004C23EE"/>
    <w:rsid w:val="004C29EF"/>
    <w:rsid w:val="004C2AD3"/>
    <w:rsid w:val="004C2C5B"/>
    <w:rsid w:val="004C2C86"/>
    <w:rsid w:val="004C2D7F"/>
    <w:rsid w:val="004C307E"/>
    <w:rsid w:val="004C38BB"/>
    <w:rsid w:val="004C3E4B"/>
    <w:rsid w:val="004C41D5"/>
    <w:rsid w:val="004C4DD5"/>
    <w:rsid w:val="004C534E"/>
    <w:rsid w:val="004C614D"/>
    <w:rsid w:val="004C6357"/>
    <w:rsid w:val="004C6528"/>
    <w:rsid w:val="004C654E"/>
    <w:rsid w:val="004C7276"/>
    <w:rsid w:val="004C7D04"/>
    <w:rsid w:val="004C7DC6"/>
    <w:rsid w:val="004D0288"/>
    <w:rsid w:val="004D031E"/>
    <w:rsid w:val="004D042C"/>
    <w:rsid w:val="004D0B1D"/>
    <w:rsid w:val="004D0B7D"/>
    <w:rsid w:val="004D0BF3"/>
    <w:rsid w:val="004D0E07"/>
    <w:rsid w:val="004D1531"/>
    <w:rsid w:val="004D1BA6"/>
    <w:rsid w:val="004D1BE9"/>
    <w:rsid w:val="004D202D"/>
    <w:rsid w:val="004D2725"/>
    <w:rsid w:val="004D2905"/>
    <w:rsid w:val="004D335E"/>
    <w:rsid w:val="004D3394"/>
    <w:rsid w:val="004D340C"/>
    <w:rsid w:val="004D377C"/>
    <w:rsid w:val="004D39A5"/>
    <w:rsid w:val="004D3B9C"/>
    <w:rsid w:val="004D3CB9"/>
    <w:rsid w:val="004D3FF2"/>
    <w:rsid w:val="004D437A"/>
    <w:rsid w:val="004D48E5"/>
    <w:rsid w:val="004D4EA4"/>
    <w:rsid w:val="004D5DD5"/>
    <w:rsid w:val="004D5E61"/>
    <w:rsid w:val="004D5F1B"/>
    <w:rsid w:val="004D6176"/>
    <w:rsid w:val="004D6D25"/>
    <w:rsid w:val="004D6E97"/>
    <w:rsid w:val="004D70A1"/>
    <w:rsid w:val="004D7127"/>
    <w:rsid w:val="004D7554"/>
    <w:rsid w:val="004D7B52"/>
    <w:rsid w:val="004D7EEA"/>
    <w:rsid w:val="004D7FDB"/>
    <w:rsid w:val="004E0463"/>
    <w:rsid w:val="004E05A9"/>
    <w:rsid w:val="004E062B"/>
    <w:rsid w:val="004E07B8"/>
    <w:rsid w:val="004E0BE6"/>
    <w:rsid w:val="004E0C22"/>
    <w:rsid w:val="004E0D6F"/>
    <w:rsid w:val="004E10EC"/>
    <w:rsid w:val="004E140F"/>
    <w:rsid w:val="004E15BC"/>
    <w:rsid w:val="004E1783"/>
    <w:rsid w:val="004E1C8E"/>
    <w:rsid w:val="004E24EC"/>
    <w:rsid w:val="004E29DA"/>
    <w:rsid w:val="004E2B52"/>
    <w:rsid w:val="004E2EE7"/>
    <w:rsid w:val="004E2FC5"/>
    <w:rsid w:val="004E47DA"/>
    <w:rsid w:val="004E5165"/>
    <w:rsid w:val="004E56FD"/>
    <w:rsid w:val="004E59A1"/>
    <w:rsid w:val="004E5E84"/>
    <w:rsid w:val="004E5E8A"/>
    <w:rsid w:val="004E5F42"/>
    <w:rsid w:val="004E6110"/>
    <w:rsid w:val="004E66CC"/>
    <w:rsid w:val="004E66FB"/>
    <w:rsid w:val="004E68E7"/>
    <w:rsid w:val="004E69EA"/>
    <w:rsid w:val="004E6D62"/>
    <w:rsid w:val="004E6F47"/>
    <w:rsid w:val="004E6F99"/>
    <w:rsid w:val="004E71E0"/>
    <w:rsid w:val="004E79F0"/>
    <w:rsid w:val="004E7C19"/>
    <w:rsid w:val="004E7C7F"/>
    <w:rsid w:val="004F0974"/>
    <w:rsid w:val="004F0A3B"/>
    <w:rsid w:val="004F0E60"/>
    <w:rsid w:val="004F10D6"/>
    <w:rsid w:val="004F1B75"/>
    <w:rsid w:val="004F1E43"/>
    <w:rsid w:val="004F1FE3"/>
    <w:rsid w:val="004F35BE"/>
    <w:rsid w:val="004F393A"/>
    <w:rsid w:val="004F3A94"/>
    <w:rsid w:val="004F3EFC"/>
    <w:rsid w:val="004F4317"/>
    <w:rsid w:val="004F4A94"/>
    <w:rsid w:val="004F4B01"/>
    <w:rsid w:val="004F4C23"/>
    <w:rsid w:val="004F50E4"/>
    <w:rsid w:val="004F5149"/>
    <w:rsid w:val="004F579C"/>
    <w:rsid w:val="004F584D"/>
    <w:rsid w:val="004F5A37"/>
    <w:rsid w:val="004F6B00"/>
    <w:rsid w:val="004F6E8F"/>
    <w:rsid w:val="004F73D9"/>
    <w:rsid w:val="00500084"/>
    <w:rsid w:val="0050064A"/>
    <w:rsid w:val="0050072F"/>
    <w:rsid w:val="00500AD0"/>
    <w:rsid w:val="00500BCE"/>
    <w:rsid w:val="005010D0"/>
    <w:rsid w:val="005011CE"/>
    <w:rsid w:val="005012B2"/>
    <w:rsid w:val="0050159A"/>
    <w:rsid w:val="00501D4D"/>
    <w:rsid w:val="00501EBB"/>
    <w:rsid w:val="00502050"/>
    <w:rsid w:val="005020AB"/>
    <w:rsid w:val="00502187"/>
    <w:rsid w:val="005023DD"/>
    <w:rsid w:val="0050268F"/>
    <w:rsid w:val="00503299"/>
    <w:rsid w:val="0050331B"/>
    <w:rsid w:val="005033E0"/>
    <w:rsid w:val="0050366C"/>
    <w:rsid w:val="00503951"/>
    <w:rsid w:val="00504203"/>
    <w:rsid w:val="0050426D"/>
    <w:rsid w:val="00504AA5"/>
    <w:rsid w:val="00504BA6"/>
    <w:rsid w:val="00504EA7"/>
    <w:rsid w:val="00505A95"/>
    <w:rsid w:val="00505AA6"/>
    <w:rsid w:val="00505DE5"/>
    <w:rsid w:val="00505E84"/>
    <w:rsid w:val="00505E87"/>
    <w:rsid w:val="00507062"/>
    <w:rsid w:val="00507235"/>
    <w:rsid w:val="0050751C"/>
    <w:rsid w:val="00507B62"/>
    <w:rsid w:val="00510210"/>
    <w:rsid w:val="0051107A"/>
    <w:rsid w:val="005123B6"/>
    <w:rsid w:val="00513207"/>
    <w:rsid w:val="00513210"/>
    <w:rsid w:val="00513F5C"/>
    <w:rsid w:val="005145A4"/>
    <w:rsid w:val="00514693"/>
    <w:rsid w:val="00514CDB"/>
    <w:rsid w:val="0051505D"/>
    <w:rsid w:val="0051507B"/>
    <w:rsid w:val="005151D5"/>
    <w:rsid w:val="0051529B"/>
    <w:rsid w:val="005154F6"/>
    <w:rsid w:val="00515711"/>
    <w:rsid w:val="0051593C"/>
    <w:rsid w:val="00515B36"/>
    <w:rsid w:val="00515FA3"/>
    <w:rsid w:val="00516101"/>
    <w:rsid w:val="00516128"/>
    <w:rsid w:val="005169B7"/>
    <w:rsid w:val="00516F0F"/>
    <w:rsid w:val="00517445"/>
    <w:rsid w:val="00517663"/>
    <w:rsid w:val="00517725"/>
    <w:rsid w:val="0051787D"/>
    <w:rsid w:val="00517B67"/>
    <w:rsid w:val="00517CB6"/>
    <w:rsid w:val="00517CE9"/>
    <w:rsid w:val="00517DDC"/>
    <w:rsid w:val="005206C7"/>
    <w:rsid w:val="00520990"/>
    <w:rsid w:val="00520ABD"/>
    <w:rsid w:val="005210B5"/>
    <w:rsid w:val="0052187D"/>
    <w:rsid w:val="00521B69"/>
    <w:rsid w:val="00521F96"/>
    <w:rsid w:val="005226BE"/>
    <w:rsid w:val="00522950"/>
    <w:rsid w:val="005231E4"/>
    <w:rsid w:val="00523FF9"/>
    <w:rsid w:val="00524BD6"/>
    <w:rsid w:val="005252F3"/>
    <w:rsid w:val="00525364"/>
    <w:rsid w:val="0052536D"/>
    <w:rsid w:val="00525608"/>
    <w:rsid w:val="005258CD"/>
    <w:rsid w:val="00525EF3"/>
    <w:rsid w:val="0052697A"/>
    <w:rsid w:val="00526C1E"/>
    <w:rsid w:val="00526E9E"/>
    <w:rsid w:val="00527250"/>
    <w:rsid w:val="00527AD5"/>
    <w:rsid w:val="00527C08"/>
    <w:rsid w:val="0053023A"/>
    <w:rsid w:val="00530C5B"/>
    <w:rsid w:val="00530E9F"/>
    <w:rsid w:val="00532996"/>
    <w:rsid w:val="00533126"/>
    <w:rsid w:val="0053323C"/>
    <w:rsid w:val="00533D03"/>
    <w:rsid w:val="00534539"/>
    <w:rsid w:val="00534B55"/>
    <w:rsid w:val="00534C63"/>
    <w:rsid w:val="0053593F"/>
    <w:rsid w:val="00535A99"/>
    <w:rsid w:val="00535C69"/>
    <w:rsid w:val="00536239"/>
    <w:rsid w:val="00536483"/>
    <w:rsid w:val="005364D5"/>
    <w:rsid w:val="00536529"/>
    <w:rsid w:val="00536758"/>
    <w:rsid w:val="00536A1E"/>
    <w:rsid w:val="00536BF0"/>
    <w:rsid w:val="00536E95"/>
    <w:rsid w:val="00537117"/>
    <w:rsid w:val="0054007C"/>
    <w:rsid w:val="005402BE"/>
    <w:rsid w:val="00540424"/>
    <w:rsid w:val="0054059A"/>
    <w:rsid w:val="00540CD1"/>
    <w:rsid w:val="00540F1A"/>
    <w:rsid w:val="005411A7"/>
    <w:rsid w:val="005412AB"/>
    <w:rsid w:val="005416C7"/>
    <w:rsid w:val="00541EF4"/>
    <w:rsid w:val="00542290"/>
    <w:rsid w:val="00542BC2"/>
    <w:rsid w:val="005432C0"/>
    <w:rsid w:val="0054390D"/>
    <w:rsid w:val="00543B50"/>
    <w:rsid w:val="00543E40"/>
    <w:rsid w:val="00543FE4"/>
    <w:rsid w:val="0054425C"/>
    <w:rsid w:val="005444FB"/>
    <w:rsid w:val="00544530"/>
    <w:rsid w:val="0054454E"/>
    <w:rsid w:val="005446F2"/>
    <w:rsid w:val="0054473F"/>
    <w:rsid w:val="00544E3E"/>
    <w:rsid w:val="00544EBD"/>
    <w:rsid w:val="00545067"/>
    <w:rsid w:val="005450E2"/>
    <w:rsid w:val="005453B3"/>
    <w:rsid w:val="005457E3"/>
    <w:rsid w:val="005457EE"/>
    <w:rsid w:val="0054607E"/>
    <w:rsid w:val="00546099"/>
    <w:rsid w:val="00546182"/>
    <w:rsid w:val="005462EA"/>
    <w:rsid w:val="00546975"/>
    <w:rsid w:val="00546AC7"/>
    <w:rsid w:val="00546EDC"/>
    <w:rsid w:val="0054788E"/>
    <w:rsid w:val="00547B0B"/>
    <w:rsid w:val="005505D3"/>
    <w:rsid w:val="005507AC"/>
    <w:rsid w:val="00550CE8"/>
    <w:rsid w:val="00550F39"/>
    <w:rsid w:val="005518BE"/>
    <w:rsid w:val="00552138"/>
    <w:rsid w:val="0055228F"/>
    <w:rsid w:val="00552502"/>
    <w:rsid w:val="00552C09"/>
    <w:rsid w:val="00553698"/>
    <w:rsid w:val="005539FE"/>
    <w:rsid w:val="00553BE6"/>
    <w:rsid w:val="00553E6C"/>
    <w:rsid w:val="005540D8"/>
    <w:rsid w:val="005543CF"/>
    <w:rsid w:val="00554B18"/>
    <w:rsid w:val="00554DF2"/>
    <w:rsid w:val="00554EB6"/>
    <w:rsid w:val="00555273"/>
    <w:rsid w:val="00555521"/>
    <w:rsid w:val="00555B2F"/>
    <w:rsid w:val="0055682A"/>
    <w:rsid w:val="00556F69"/>
    <w:rsid w:val="00556FA2"/>
    <w:rsid w:val="00560686"/>
    <w:rsid w:val="00560E60"/>
    <w:rsid w:val="00560E7C"/>
    <w:rsid w:val="00560F24"/>
    <w:rsid w:val="005610C4"/>
    <w:rsid w:val="00561238"/>
    <w:rsid w:val="005614C6"/>
    <w:rsid w:val="00561742"/>
    <w:rsid w:val="00561CF4"/>
    <w:rsid w:val="00562401"/>
    <w:rsid w:val="00562801"/>
    <w:rsid w:val="005628D7"/>
    <w:rsid w:val="00563623"/>
    <w:rsid w:val="00563980"/>
    <w:rsid w:val="005639EA"/>
    <w:rsid w:val="00563A24"/>
    <w:rsid w:val="00563AA5"/>
    <w:rsid w:val="00563DD9"/>
    <w:rsid w:val="00563EBA"/>
    <w:rsid w:val="00564014"/>
    <w:rsid w:val="00564187"/>
    <w:rsid w:val="005643C0"/>
    <w:rsid w:val="00564694"/>
    <w:rsid w:val="00564AFC"/>
    <w:rsid w:val="00564D5C"/>
    <w:rsid w:val="00564DB8"/>
    <w:rsid w:val="00565188"/>
    <w:rsid w:val="00565350"/>
    <w:rsid w:val="00565763"/>
    <w:rsid w:val="00565946"/>
    <w:rsid w:val="00565C5A"/>
    <w:rsid w:val="00565ECC"/>
    <w:rsid w:val="0056603B"/>
    <w:rsid w:val="005660D8"/>
    <w:rsid w:val="005663AF"/>
    <w:rsid w:val="00566E34"/>
    <w:rsid w:val="0056701F"/>
    <w:rsid w:val="005672DF"/>
    <w:rsid w:val="005678E5"/>
    <w:rsid w:val="00567B4F"/>
    <w:rsid w:val="0057041F"/>
    <w:rsid w:val="00570469"/>
    <w:rsid w:val="005706C0"/>
    <w:rsid w:val="00570C09"/>
    <w:rsid w:val="00570CEA"/>
    <w:rsid w:val="00570D98"/>
    <w:rsid w:val="00570DC1"/>
    <w:rsid w:val="0057145A"/>
    <w:rsid w:val="00571501"/>
    <w:rsid w:val="00571563"/>
    <w:rsid w:val="00571860"/>
    <w:rsid w:val="00571EC5"/>
    <w:rsid w:val="00572180"/>
    <w:rsid w:val="005727D5"/>
    <w:rsid w:val="005728CE"/>
    <w:rsid w:val="00572C98"/>
    <w:rsid w:val="0057304C"/>
    <w:rsid w:val="00573692"/>
    <w:rsid w:val="00574941"/>
    <w:rsid w:val="0057522F"/>
    <w:rsid w:val="00575621"/>
    <w:rsid w:val="0057563D"/>
    <w:rsid w:val="00575912"/>
    <w:rsid w:val="00575F3A"/>
    <w:rsid w:val="00575F4F"/>
    <w:rsid w:val="00576429"/>
    <w:rsid w:val="00576492"/>
    <w:rsid w:val="0057708E"/>
    <w:rsid w:val="00577091"/>
    <w:rsid w:val="0057767D"/>
    <w:rsid w:val="00577CA2"/>
    <w:rsid w:val="005803D4"/>
    <w:rsid w:val="005808D8"/>
    <w:rsid w:val="00581014"/>
    <w:rsid w:val="00581618"/>
    <w:rsid w:val="00581713"/>
    <w:rsid w:val="00581970"/>
    <w:rsid w:val="00582216"/>
    <w:rsid w:val="005827F2"/>
    <w:rsid w:val="00582AB6"/>
    <w:rsid w:val="00582B11"/>
    <w:rsid w:val="00582DDA"/>
    <w:rsid w:val="0058305C"/>
    <w:rsid w:val="0058305F"/>
    <w:rsid w:val="0058353C"/>
    <w:rsid w:val="0058361F"/>
    <w:rsid w:val="00583999"/>
    <w:rsid w:val="005842FE"/>
    <w:rsid w:val="005849DA"/>
    <w:rsid w:val="00585A94"/>
    <w:rsid w:val="00585C0C"/>
    <w:rsid w:val="00586399"/>
    <w:rsid w:val="00586426"/>
    <w:rsid w:val="0058648E"/>
    <w:rsid w:val="005866A7"/>
    <w:rsid w:val="005869EF"/>
    <w:rsid w:val="00586E50"/>
    <w:rsid w:val="00586EE4"/>
    <w:rsid w:val="00587284"/>
    <w:rsid w:val="005873D4"/>
    <w:rsid w:val="00587794"/>
    <w:rsid w:val="00590C42"/>
    <w:rsid w:val="00590F78"/>
    <w:rsid w:val="0059103F"/>
    <w:rsid w:val="00591207"/>
    <w:rsid w:val="00591248"/>
    <w:rsid w:val="005912DE"/>
    <w:rsid w:val="005913AF"/>
    <w:rsid w:val="00591659"/>
    <w:rsid w:val="00591827"/>
    <w:rsid w:val="00591DAC"/>
    <w:rsid w:val="0059218D"/>
    <w:rsid w:val="0059264C"/>
    <w:rsid w:val="00592A28"/>
    <w:rsid w:val="00592C0C"/>
    <w:rsid w:val="00592EF4"/>
    <w:rsid w:val="0059374B"/>
    <w:rsid w:val="00593A04"/>
    <w:rsid w:val="00593EC4"/>
    <w:rsid w:val="00593FB2"/>
    <w:rsid w:val="005943D0"/>
    <w:rsid w:val="005947A9"/>
    <w:rsid w:val="00594EAE"/>
    <w:rsid w:val="005960CF"/>
    <w:rsid w:val="0059629F"/>
    <w:rsid w:val="005962D1"/>
    <w:rsid w:val="00596346"/>
    <w:rsid w:val="00596472"/>
    <w:rsid w:val="005969A3"/>
    <w:rsid w:val="005973DC"/>
    <w:rsid w:val="00597B85"/>
    <w:rsid w:val="00597C11"/>
    <w:rsid w:val="00597DFD"/>
    <w:rsid w:val="005A04DC"/>
    <w:rsid w:val="005A05F4"/>
    <w:rsid w:val="005A066D"/>
    <w:rsid w:val="005A1362"/>
    <w:rsid w:val="005A1F9C"/>
    <w:rsid w:val="005A2004"/>
    <w:rsid w:val="005A2381"/>
    <w:rsid w:val="005A2727"/>
    <w:rsid w:val="005A2787"/>
    <w:rsid w:val="005A2C1C"/>
    <w:rsid w:val="005A2CF6"/>
    <w:rsid w:val="005A3220"/>
    <w:rsid w:val="005A358A"/>
    <w:rsid w:val="005A3829"/>
    <w:rsid w:val="005A4163"/>
    <w:rsid w:val="005A4D78"/>
    <w:rsid w:val="005A4E57"/>
    <w:rsid w:val="005A51D3"/>
    <w:rsid w:val="005A583D"/>
    <w:rsid w:val="005A623C"/>
    <w:rsid w:val="005A627A"/>
    <w:rsid w:val="005A63C3"/>
    <w:rsid w:val="005A67F6"/>
    <w:rsid w:val="005A6E2D"/>
    <w:rsid w:val="005A7AA9"/>
    <w:rsid w:val="005A7D6F"/>
    <w:rsid w:val="005B058C"/>
    <w:rsid w:val="005B098C"/>
    <w:rsid w:val="005B0D0E"/>
    <w:rsid w:val="005B1225"/>
    <w:rsid w:val="005B199B"/>
    <w:rsid w:val="005B1D05"/>
    <w:rsid w:val="005B1E03"/>
    <w:rsid w:val="005B1E54"/>
    <w:rsid w:val="005B22C9"/>
    <w:rsid w:val="005B22FD"/>
    <w:rsid w:val="005B23F2"/>
    <w:rsid w:val="005B291B"/>
    <w:rsid w:val="005B2A46"/>
    <w:rsid w:val="005B31A8"/>
    <w:rsid w:val="005B322D"/>
    <w:rsid w:val="005B37B8"/>
    <w:rsid w:val="005B3D58"/>
    <w:rsid w:val="005B45E5"/>
    <w:rsid w:val="005B494D"/>
    <w:rsid w:val="005B4A4F"/>
    <w:rsid w:val="005B4DC2"/>
    <w:rsid w:val="005B4E0B"/>
    <w:rsid w:val="005B524C"/>
    <w:rsid w:val="005B5329"/>
    <w:rsid w:val="005B5379"/>
    <w:rsid w:val="005B60F3"/>
    <w:rsid w:val="005B6423"/>
    <w:rsid w:val="005B67CE"/>
    <w:rsid w:val="005B6A04"/>
    <w:rsid w:val="005B6E5E"/>
    <w:rsid w:val="005B73B4"/>
    <w:rsid w:val="005B7BAB"/>
    <w:rsid w:val="005B7C91"/>
    <w:rsid w:val="005C023D"/>
    <w:rsid w:val="005C047B"/>
    <w:rsid w:val="005C0E21"/>
    <w:rsid w:val="005C1244"/>
    <w:rsid w:val="005C1370"/>
    <w:rsid w:val="005C13EE"/>
    <w:rsid w:val="005C15E5"/>
    <w:rsid w:val="005C196F"/>
    <w:rsid w:val="005C2DB1"/>
    <w:rsid w:val="005C3168"/>
    <w:rsid w:val="005C387C"/>
    <w:rsid w:val="005C39E8"/>
    <w:rsid w:val="005C3A6E"/>
    <w:rsid w:val="005C3A96"/>
    <w:rsid w:val="005C422D"/>
    <w:rsid w:val="005C457B"/>
    <w:rsid w:val="005C45EE"/>
    <w:rsid w:val="005C4ADE"/>
    <w:rsid w:val="005C4FBB"/>
    <w:rsid w:val="005C4FF2"/>
    <w:rsid w:val="005C5258"/>
    <w:rsid w:val="005C55D3"/>
    <w:rsid w:val="005C591A"/>
    <w:rsid w:val="005C5BCC"/>
    <w:rsid w:val="005C5C15"/>
    <w:rsid w:val="005C5EFE"/>
    <w:rsid w:val="005C6EF7"/>
    <w:rsid w:val="005C717D"/>
    <w:rsid w:val="005C76F5"/>
    <w:rsid w:val="005C7C8E"/>
    <w:rsid w:val="005C7D60"/>
    <w:rsid w:val="005C7E11"/>
    <w:rsid w:val="005D0464"/>
    <w:rsid w:val="005D06A4"/>
    <w:rsid w:val="005D070D"/>
    <w:rsid w:val="005D0CD9"/>
    <w:rsid w:val="005D1263"/>
    <w:rsid w:val="005D1323"/>
    <w:rsid w:val="005D1934"/>
    <w:rsid w:val="005D1A14"/>
    <w:rsid w:val="005D1DCB"/>
    <w:rsid w:val="005D1ECE"/>
    <w:rsid w:val="005D2301"/>
    <w:rsid w:val="005D24FF"/>
    <w:rsid w:val="005D279E"/>
    <w:rsid w:val="005D3AC7"/>
    <w:rsid w:val="005D3B1F"/>
    <w:rsid w:val="005D3C7B"/>
    <w:rsid w:val="005D3F62"/>
    <w:rsid w:val="005D4322"/>
    <w:rsid w:val="005D45E9"/>
    <w:rsid w:val="005D460E"/>
    <w:rsid w:val="005D469B"/>
    <w:rsid w:val="005D50D3"/>
    <w:rsid w:val="005D5582"/>
    <w:rsid w:val="005D5C3D"/>
    <w:rsid w:val="005D610A"/>
    <w:rsid w:val="005D6491"/>
    <w:rsid w:val="005D65FD"/>
    <w:rsid w:val="005D6968"/>
    <w:rsid w:val="005D69CB"/>
    <w:rsid w:val="005D6A70"/>
    <w:rsid w:val="005D6A83"/>
    <w:rsid w:val="005D6DCE"/>
    <w:rsid w:val="005D6FAB"/>
    <w:rsid w:val="005D7211"/>
    <w:rsid w:val="005D7564"/>
    <w:rsid w:val="005D7826"/>
    <w:rsid w:val="005D79F3"/>
    <w:rsid w:val="005D7A33"/>
    <w:rsid w:val="005E00CE"/>
    <w:rsid w:val="005E100B"/>
    <w:rsid w:val="005E12BE"/>
    <w:rsid w:val="005E13AF"/>
    <w:rsid w:val="005E16B8"/>
    <w:rsid w:val="005E1D59"/>
    <w:rsid w:val="005E1FFB"/>
    <w:rsid w:val="005E2868"/>
    <w:rsid w:val="005E30F2"/>
    <w:rsid w:val="005E31F3"/>
    <w:rsid w:val="005E381E"/>
    <w:rsid w:val="005E395C"/>
    <w:rsid w:val="005E3A42"/>
    <w:rsid w:val="005E446B"/>
    <w:rsid w:val="005E4487"/>
    <w:rsid w:val="005E4F39"/>
    <w:rsid w:val="005E5136"/>
    <w:rsid w:val="005E585A"/>
    <w:rsid w:val="005E58CD"/>
    <w:rsid w:val="005E6074"/>
    <w:rsid w:val="005E6150"/>
    <w:rsid w:val="005E61F2"/>
    <w:rsid w:val="005E6475"/>
    <w:rsid w:val="005E6765"/>
    <w:rsid w:val="005E6938"/>
    <w:rsid w:val="005E6947"/>
    <w:rsid w:val="005E6BEB"/>
    <w:rsid w:val="005E6E9F"/>
    <w:rsid w:val="005E6F93"/>
    <w:rsid w:val="005E6FEF"/>
    <w:rsid w:val="005E7346"/>
    <w:rsid w:val="005E7354"/>
    <w:rsid w:val="005E77E9"/>
    <w:rsid w:val="005E783F"/>
    <w:rsid w:val="005E7AEC"/>
    <w:rsid w:val="005E7D43"/>
    <w:rsid w:val="005F0A0A"/>
    <w:rsid w:val="005F0F0D"/>
    <w:rsid w:val="005F1298"/>
    <w:rsid w:val="005F154B"/>
    <w:rsid w:val="005F162E"/>
    <w:rsid w:val="005F169F"/>
    <w:rsid w:val="005F1793"/>
    <w:rsid w:val="005F1946"/>
    <w:rsid w:val="005F1FB0"/>
    <w:rsid w:val="005F2659"/>
    <w:rsid w:val="005F3601"/>
    <w:rsid w:val="005F3E54"/>
    <w:rsid w:val="005F4434"/>
    <w:rsid w:val="005F6205"/>
    <w:rsid w:val="005F65B9"/>
    <w:rsid w:val="005F69EC"/>
    <w:rsid w:val="005F6F5C"/>
    <w:rsid w:val="005F746F"/>
    <w:rsid w:val="005F7BD1"/>
    <w:rsid w:val="005F7D7D"/>
    <w:rsid w:val="005F7EA2"/>
    <w:rsid w:val="005F7F91"/>
    <w:rsid w:val="00600004"/>
    <w:rsid w:val="006001C3"/>
    <w:rsid w:val="00600252"/>
    <w:rsid w:val="006004F1"/>
    <w:rsid w:val="00600642"/>
    <w:rsid w:val="00600AEB"/>
    <w:rsid w:val="00600C52"/>
    <w:rsid w:val="0060101D"/>
    <w:rsid w:val="00601111"/>
    <w:rsid w:val="00601239"/>
    <w:rsid w:val="006012CE"/>
    <w:rsid w:val="00601EEE"/>
    <w:rsid w:val="00601F9A"/>
    <w:rsid w:val="006028C7"/>
    <w:rsid w:val="00602973"/>
    <w:rsid w:val="00602CE8"/>
    <w:rsid w:val="006031E1"/>
    <w:rsid w:val="00603252"/>
    <w:rsid w:val="00603551"/>
    <w:rsid w:val="00603AEF"/>
    <w:rsid w:val="006045B4"/>
    <w:rsid w:val="0060487F"/>
    <w:rsid w:val="00604892"/>
    <w:rsid w:val="006048BE"/>
    <w:rsid w:val="00604D0E"/>
    <w:rsid w:val="00604D84"/>
    <w:rsid w:val="00604F54"/>
    <w:rsid w:val="00605699"/>
    <w:rsid w:val="00605AE1"/>
    <w:rsid w:val="00605CAF"/>
    <w:rsid w:val="00605EB1"/>
    <w:rsid w:val="00605ECC"/>
    <w:rsid w:val="006062C0"/>
    <w:rsid w:val="0060635B"/>
    <w:rsid w:val="00606BEA"/>
    <w:rsid w:val="00606E09"/>
    <w:rsid w:val="00607D6A"/>
    <w:rsid w:val="00610261"/>
    <w:rsid w:val="00610461"/>
    <w:rsid w:val="00610774"/>
    <w:rsid w:val="00610A91"/>
    <w:rsid w:val="00610C79"/>
    <w:rsid w:val="0061101E"/>
    <w:rsid w:val="00611119"/>
    <w:rsid w:val="006117B4"/>
    <w:rsid w:val="006121CA"/>
    <w:rsid w:val="006122A3"/>
    <w:rsid w:val="006126B1"/>
    <w:rsid w:val="0061300C"/>
    <w:rsid w:val="006134A1"/>
    <w:rsid w:val="00613624"/>
    <w:rsid w:val="00613DD1"/>
    <w:rsid w:val="006148FF"/>
    <w:rsid w:val="00614C02"/>
    <w:rsid w:val="00615108"/>
    <w:rsid w:val="006151F4"/>
    <w:rsid w:val="006152B7"/>
    <w:rsid w:val="006156F8"/>
    <w:rsid w:val="00616106"/>
    <w:rsid w:val="006161DA"/>
    <w:rsid w:val="00616373"/>
    <w:rsid w:val="00616410"/>
    <w:rsid w:val="0061649E"/>
    <w:rsid w:val="006166C3"/>
    <w:rsid w:val="006168A2"/>
    <w:rsid w:val="00616D89"/>
    <w:rsid w:val="00616EB4"/>
    <w:rsid w:val="00617548"/>
    <w:rsid w:val="006178C8"/>
    <w:rsid w:val="006203AF"/>
    <w:rsid w:val="00620700"/>
    <w:rsid w:val="006209DF"/>
    <w:rsid w:val="00621B2D"/>
    <w:rsid w:val="00621D85"/>
    <w:rsid w:val="00622205"/>
    <w:rsid w:val="00622345"/>
    <w:rsid w:val="00622D0E"/>
    <w:rsid w:val="00622E8F"/>
    <w:rsid w:val="006230FB"/>
    <w:rsid w:val="006233C3"/>
    <w:rsid w:val="00623CBF"/>
    <w:rsid w:val="006243F7"/>
    <w:rsid w:val="0062440A"/>
    <w:rsid w:val="006245F5"/>
    <w:rsid w:val="0062469B"/>
    <w:rsid w:val="00624C50"/>
    <w:rsid w:val="00625450"/>
    <w:rsid w:val="006255BC"/>
    <w:rsid w:val="00625D66"/>
    <w:rsid w:val="00625E52"/>
    <w:rsid w:val="00626E56"/>
    <w:rsid w:val="0062782D"/>
    <w:rsid w:val="00627DAE"/>
    <w:rsid w:val="0063008F"/>
    <w:rsid w:val="0063184C"/>
    <w:rsid w:val="00631A6E"/>
    <w:rsid w:val="006324EA"/>
    <w:rsid w:val="006328AE"/>
    <w:rsid w:val="00632A43"/>
    <w:rsid w:val="00632E90"/>
    <w:rsid w:val="006331EC"/>
    <w:rsid w:val="006334B2"/>
    <w:rsid w:val="006334C3"/>
    <w:rsid w:val="006336F0"/>
    <w:rsid w:val="0063392A"/>
    <w:rsid w:val="00633C8F"/>
    <w:rsid w:val="00634AAD"/>
    <w:rsid w:val="00634C3E"/>
    <w:rsid w:val="00635023"/>
    <w:rsid w:val="00635472"/>
    <w:rsid w:val="006357B1"/>
    <w:rsid w:val="00635B4B"/>
    <w:rsid w:val="00635C93"/>
    <w:rsid w:val="00635FB5"/>
    <w:rsid w:val="0063618C"/>
    <w:rsid w:val="0063707E"/>
    <w:rsid w:val="0063710F"/>
    <w:rsid w:val="006376AC"/>
    <w:rsid w:val="0063772C"/>
    <w:rsid w:val="006378B5"/>
    <w:rsid w:val="00637983"/>
    <w:rsid w:val="006379A0"/>
    <w:rsid w:val="00640086"/>
    <w:rsid w:val="006401AA"/>
    <w:rsid w:val="00640364"/>
    <w:rsid w:val="0064078F"/>
    <w:rsid w:val="006409D5"/>
    <w:rsid w:val="00640B53"/>
    <w:rsid w:val="00640DA4"/>
    <w:rsid w:val="0064137F"/>
    <w:rsid w:val="0064145D"/>
    <w:rsid w:val="006414A4"/>
    <w:rsid w:val="00641951"/>
    <w:rsid w:val="00641D6E"/>
    <w:rsid w:val="00642044"/>
    <w:rsid w:val="0064244F"/>
    <w:rsid w:val="00642C88"/>
    <w:rsid w:val="00642E17"/>
    <w:rsid w:val="0064335A"/>
    <w:rsid w:val="0064362C"/>
    <w:rsid w:val="006439FD"/>
    <w:rsid w:val="00643BD1"/>
    <w:rsid w:val="00644157"/>
    <w:rsid w:val="0064509E"/>
    <w:rsid w:val="00645BE3"/>
    <w:rsid w:val="00646175"/>
    <w:rsid w:val="00646463"/>
    <w:rsid w:val="00646470"/>
    <w:rsid w:val="00647064"/>
    <w:rsid w:val="006473CC"/>
    <w:rsid w:val="006473DC"/>
    <w:rsid w:val="00647780"/>
    <w:rsid w:val="00647BC3"/>
    <w:rsid w:val="00650962"/>
    <w:rsid w:val="00650C24"/>
    <w:rsid w:val="00650E36"/>
    <w:rsid w:val="006514C5"/>
    <w:rsid w:val="00651DAD"/>
    <w:rsid w:val="00652873"/>
    <w:rsid w:val="00652DA5"/>
    <w:rsid w:val="006530A6"/>
    <w:rsid w:val="0065323B"/>
    <w:rsid w:val="00653509"/>
    <w:rsid w:val="00653C0D"/>
    <w:rsid w:val="00653D80"/>
    <w:rsid w:val="00654317"/>
    <w:rsid w:val="006547AE"/>
    <w:rsid w:val="00655081"/>
    <w:rsid w:val="006550B0"/>
    <w:rsid w:val="00655158"/>
    <w:rsid w:val="00655522"/>
    <w:rsid w:val="006556BC"/>
    <w:rsid w:val="006557A1"/>
    <w:rsid w:val="00655CAD"/>
    <w:rsid w:val="00655EEF"/>
    <w:rsid w:val="00656088"/>
    <w:rsid w:val="006560D2"/>
    <w:rsid w:val="006561CB"/>
    <w:rsid w:val="006561EC"/>
    <w:rsid w:val="00656695"/>
    <w:rsid w:val="00656B65"/>
    <w:rsid w:val="00656E43"/>
    <w:rsid w:val="006572E6"/>
    <w:rsid w:val="006575D0"/>
    <w:rsid w:val="00657C8F"/>
    <w:rsid w:val="00657F4D"/>
    <w:rsid w:val="00660562"/>
    <w:rsid w:val="00660C1B"/>
    <w:rsid w:val="00660D9C"/>
    <w:rsid w:val="006612CB"/>
    <w:rsid w:val="0066131B"/>
    <w:rsid w:val="00661557"/>
    <w:rsid w:val="00661AF8"/>
    <w:rsid w:val="00661BB7"/>
    <w:rsid w:val="0066245E"/>
    <w:rsid w:val="00662971"/>
    <w:rsid w:val="00662FA0"/>
    <w:rsid w:val="0066368B"/>
    <w:rsid w:val="006637ED"/>
    <w:rsid w:val="0066392B"/>
    <w:rsid w:val="0066404B"/>
    <w:rsid w:val="006643F4"/>
    <w:rsid w:val="006644F5"/>
    <w:rsid w:val="006649CB"/>
    <w:rsid w:val="00664F98"/>
    <w:rsid w:val="0066508F"/>
    <w:rsid w:val="006650F9"/>
    <w:rsid w:val="00665102"/>
    <w:rsid w:val="006652B5"/>
    <w:rsid w:val="00665495"/>
    <w:rsid w:val="006656DF"/>
    <w:rsid w:val="006662B0"/>
    <w:rsid w:val="00666706"/>
    <w:rsid w:val="00666CDC"/>
    <w:rsid w:val="00666DAD"/>
    <w:rsid w:val="00666DD6"/>
    <w:rsid w:val="00667821"/>
    <w:rsid w:val="0066782A"/>
    <w:rsid w:val="00667CD9"/>
    <w:rsid w:val="00667FC0"/>
    <w:rsid w:val="00670134"/>
    <w:rsid w:val="00670235"/>
    <w:rsid w:val="00670845"/>
    <w:rsid w:val="006709B2"/>
    <w:rsid w:val="00670CAF"/>
    <w:rsid w:val="00670EE7"/>
    <w:rsid w:val="00670FB6"/>
    <w:rsid w:val="00671609"/>
    <w:rsid w:val="0067175B"/>
    <w:rsid w:val="006718D7"/>
    <w:rsid w:val="00671CD2"/>
    <w:rsid w:val="006722C0"/>
    <w:rsid w:val="0067266C"/>
    <w:rsid w:val="00672858"/>
    <w:rsid w:val="00672998"/>
    <w:rsid w:val="00672AD6"/>
    <w:rsid w:val="0067370E"/>
    <w:rsid w:val="00673942"/>
    <w:rsid w:val="00673C2B"/>
    <w:rsid w:val="00674722"/>
    <w:rsid w:val="00674C97"/>
    <w:rsid w:val="00674E82"/>
    <w:rsid w:val="00675079"/>
    <w:rsid w:val="0067518D"/>
    <w:rsid w:val="006755FA"/>
    <w:rsid w:val="006757C1"/>
    <w:rsid w:val="006757E8"/>
    <w:rsid w:val="00675BB8"/>
    <w:rsid w:val="006760B4"/>
    <w:rsid w:val="006760FB"/>
    <w:rsid w:val="00676570"/>
    <w:rsid w:val="00676680"/>
    <w:rsid w:val="00676E06"/>
    <w:rsid w:val="00677306"/>
    <w:rsid w:val="006774CD"/>
    <w:rsid w:val="0068060E"/>
    <w:rsid w:val="00680643"/>
    <w:rsid w:val="00680861"/>
    <w:rsid w:val="00681178"/>
    <w:rsid w:val="0068141A"/>
    <w:rsid w:val="00681440"/>
    <w:rsid w:val="0068145C"/>
    <w:rsid w:val="00681660"/>
    <w:rsid w:val="0068184E"/>
    <w:rsid w:val="00681A36"/>
    <w:rsid w:val="00681B82"/>
    <w:rsid w:val="00681E2E"/>
    <w:rsid w:val="006821DA"/>
    <w:rsid w:val="006827E1"/>
    <w:rsid w:val="00682C8E"/>
    <w:rsid w:val="006832E5"/>
    <w:rsid w:val="00683404"/>
    <w:rsid w:val="006836F1"/>
    <w:rsid w:val="006837A2"/>
    <w:rsid w:val="00683B62"/>
    <w:rsid w:val="00683EE0"/>
    <w:rsid w:val="00683FAA"/>
    <w:rsid w:val="00684A63"/>
    <w:rsid w:val="00684CA6"/>
    <w:rsid w:val="00684D21"/>
    <w:rsid w:val="00685A0F"/>
    <w:rsid w:val="00686029"/>
    <w:rsid w:val="00686262"/>
    <w:rsid w:val="00686530"/>
    <w:rsid w:val="0068685E"/>
    <w:rsid w:val="006868CC"/>
    <w:rsid w:val="00686AA8"/>
    <w:rsid w:val="00687083"/>
    <w:rsid w:val="00687455"/>
    <w:rsid w:val="00687A23"/>
    <w:rsid w:val="00687D96"/>
    <w:rsid w:val="0069057E"/>
    <w:rsid w:val="0069066D"/>
    <w:rsid w:val="0069082B"/>
    <w:rsid w:val="006909D5"/>
    <w:rsid w:val="00690B2A"/>
    <w:rsid w:val="00690F4A"/>
    <w:rsid w:val="00691941"/>
    <w:rsid w:val="00691E2C"/>
    <w:rsid w:val="00692336"/>
    <w:rsid w:val="00692731"/>
    <w:rsid w:val="00693178"/>
    <w:rsid w:val="006933F8"/>
    <w:rsid w:val="0069353C"/>
    <w:rsid w:val="0069398A"/>
    <w:rsid w:val="00693A6A"/>
    <w:rsid w:val="00693B3E"/>
    <w:rsid w:val="0069422A"/>
    <w:rsid w:val="006942B4"/>
    <w:rsid w:val="00694386"/>
    <w:rsid w:val="006944AA"/>
    <w:rsid w:val="006944DF"/>
    <w:rsid w:val="0069467A"/>
    <w:rsid w:val="00694C46"/>
    <w:rsid w:val="00694DEC"/>
    <w:rsid w:val="0069526E"/>
    <w:rsid w:val="006955D9"/>
    <w:rsid w:val="006958CE"/>
    <w:rsid w:val="00695ACB"/>
    <w:rsid w:val="00695D88"/>
    <w:rsid w:val="00695F91"/>
    <w:rsid w:val="00696251"/>
    <w:rsid w:val="00696616"/>
    <w:rsid w:val="00696626"/>
    <w:rsid w:val="00696BE1"/>
    <w:rsid w:val="00696BEE"/>
    <w:rsid w:val="00697091"/>
    <w:rsid w:val="006972C5"/>
    <w:rsid w:val="00697997"/>
    <w:rsid w:val="00697B70"/>
    <w:rsid w:val="00697E91"/>
    <w:rsid w:val="006A01C4"/>
    <w:rsid w:val="006A0220"/>
    <w:rsid w:val="006A1292"/>
    <w:rsid w:val="006A1642"/>
    <w:rsid w:val="006A16DF"/>
    <w:rsid w:val="006A1D22"/>
    <w:rsid w:val="006A1FA6"/>
    <w:rsid w:val="006A2072"/>
    <w:rsid w:val="006A27D0"/>
    <w:rsid w:val="006A2AE1"/>
    <w:rsid w:val="006A2C67"/>
    <w:rsid w:val="006A3B60"/>
    <w:rsid w:val="006A4AC3"/>
    <w:rsid w:val="006A4E02"/>
    <w:rsid w:val="006A542D"/>
    <w:rsid w:val="006A588E"/>
    <w:rsid w:val="006A5D07"/>
    <w:rsid w:val="006A5D3E"/>
    <w:rsid w:val="006A6297"/>
    <w:rsid w:val="006A66BA"/>
    <w:rsid w:val="006A6A87"/>
    <w:rsid w:val="006A75FE"/>
    <w:rsid w:val="006A77F8"/>
    <w:rsid w:val="006A79EB"/>
    <w:rsid w:val="006A7EE1"/>
    <w:rsid w:val="006B0092"/>
    <w:rsid w:val="006B08C4"/>
    <w:rsid w:val="006B0975"/>
    <w:rsid w:val="006B09A1"/>
    <w:rsid w:val="006B0CDD"/>
    <w:rsid w:val="006B103F"/>
    <w:rsid w:val="006B18AC"/>
    <w:rsid w:val="006B1DCE"/>
    <w:rsid w:val="006B2180"/>
    <w:rsid w:val="006B22B2"/>
    <w:rsid w:val="006B2D43"/>
    <w:rsid w:val="006B2EE5"/>
    <w:rsid w:val="006B340A"/>
    <w:rsid w:val="006B381B"/>
    <w:rsid w:val="006B389E"/>
    <w:rsid w:val="006B3F59"/>
    <w:rsid w:val="006B4449"/>
    <w:rsid w:val="006B4673"/>
    <w:rsid w:val="006B489C"/>
    <w:rsid w:val="006B4D32"/>
    <w:rsid w:val="006B5061"/>
    <w:rsid w:val="006B50A7"/>
    <w:rsid w:val="006B5504"/>
    <w:rsid w:val="006B55FF"/>
    <w:rsid w:val="006B5E03"/>
    <w:rsid w:val="006B625F"/>
    <w:rsid w:val="006B6431"/>
    <w:rsid w:val="006B647C"/>
    <w:rsid w:val="006B6A38"/>
    <w:rsid w:val="006B70F7"/>
    <w:rsid w:val="006B7278"/>
    <w:rsid w:val="006B7B18"/>
    <w:rsid w:val="006C0518"/>
    <w:rsid w:val="006C073F"/>
    <w:rsid w:val="006C0A86"/>
    <w:rsid w:val="006C0E08"/>
    <w:rsid w:val="006C10D4"/>
    <w:rsid w:val="006C12BE"/>
    <w:rsid w:val="006C1640"/>
    <w:rsid w:val="006C1B18"/>
    <w:rsid w:val="006C1CD7"/>
    <w:rsid w:val="006C1DE2"/>
    <w:rsid w:val="006C1F5E"/>
    <w:rsid w:val="006C2579"/>
    <w:rsid w:val="006C2617"/>
    <w:rsid w:val="006C27FF"/>
    <w:rsid w:val="006C2F58"/>
    <w:rsid w:val="006C2F89"/>
    <w:rsid w:val="006C3574"/>
    <w:rsid w:val="006C3A4E"/>
    <w:rsid w:val="006C3EDD"/>
    <w:rsid w:val="006C417F"/>
    <w:rsid w:val="006C4CF5"/>
    <w:rsid w:val="006C5707"/>
    <w:rsid w:val="006C5795"/>
    <w:rsid w:val="006C5875"/>
    <w:rsid w:val="006C59CA"/>
    <w:rsid w:val="006C5C43"/>
    <w:rsid w:val="006C61EE"/>
    <w:rsid w:val="006C63A4"/>
    <w:rsid w:val="006C63E5"/>
    <w:rsid w:val="006C6CDE"/>
    <w:rsid w:val="006C70CD"/>
    <w:rsid w:val="006C72DB"/>
    <w:rsid w:val="006C74C6"/>
    <w:rsid w:val="006C7623"/>
    <w:rsid w:val="006C77E3"/>
    <w:rsid w:val="006C7904"/>
    <w:rsid w:val="006C7E87"/>
    <w:rsid w:val="006C7F78"/>
    <w:rsid w:val="006D02E3"/>
    <w:rsid w:val="006D04E2"/>
    <w:rsid w:val="006D08C1"/>
    <w:rsid w:val="006D0A19"/>
    <w:rsid w:val="006D0B40"/>
    <w:rsid w:val="006D0B46"/>
    <w:rsid w:val="006D0CA6"/>
    <w:rsid w:val="006D139D"/>
    <w:rsid w:val="006D1462"/>
    <w:rsid w:val="006D14AF"/>
    <w:rsid w:val="006D161F"/>
    <w:rsid w:val="006D1CA1"/>
    <w:rsid w:val="006D2139"/>
    <w:rsid w:val="006D26D8"/>
    <w:rsid w:val="006D27EA"/>
    <w:rsid w:val="006D2D25"/>
    <w:rsid w:val="006D2EB5"/>
    <w:rsid w:val="006D2F59"/>
    <w:rsid w:val="006D310B"/>
    <w:rsid w:val="006D3CEE"/>
    <w:rsid w:val="006D3E74"/>
    <w:rsid w:val="006D46D8"/>
    <w:rsid w:val="006D5678"/>
    <w:rsid w:val="006D623D"/>
    <w:rsid w:val="006D6567"/>
    <w:rsid w:val="006D6849"/>
    <w:rsid w:val="006D6C1C"/>
    <w:rsid w:val="006D6E9F"/>
    <w:rsid w:val="006D6FFE"/>
    <w:rsid w:val="006D702A"/>
    <w:rsid w:val="006D70B9"/>
    <w:rsid w:val="006D770F"/>
    <w:rsid w:val="006D7762"/>
    <w:rsid w:val="006D7C13"/>
    <w:rsid w:val="006D7FCE"/>
    <w:rsid w:val="006E0054"/>
    <w:rsid w:val="006E056A"/>
    <w:rsid w:val="006E06EB"/>
    <w:rsid w:val="006E082F"/>
    <w:rsid w:val="006E0898"/>
    <w:rsid w:val="006E0AC5"/>
    <w:rsid w:val="006E0C00"/>
    <w:rsid w:val="006E0D95"/>
    <w:rsid w:val="006E119C"/>
    <w:rsid w:val="006E1784"/>
    <w:rsid w:val="006E203C"/>
    <w:rsid w:val="006E21EE"/>
    <w:rsid w:val="006E292F"/>
    <w:rsid w:val="006E2C51"/>
    <w:rsid w:val="006E3DA7"/>
    <w:rsid w:val="006E40A2"/>
    <w:rsid w:val="006E41F5"/>
    <w:rsid w:val="006E4202"/>
    <w:rsid w:val="006E45DD"/>
    <w:rsid w:val="006E4822"/>
    <w:rsid w:val="006E4856"/>
    <w:rsid w:val="006E4B07"/>
    <w:rsid w:val="006E520E"/>
    <w:rsid w:val="006E5748"/>
    <w:rsid w:val="006E59FB"/>
    <w:rsid w:val="006E698B"/>
    <w:rsid w:val="006E6E2A"/>
    <w:rsid w:val="006E6FB3"/>
    <w:rsid w:val="006E7435"/>
    <w:rsid w:val="006F0706"/>
    <w:rsid w:val="006F12A4"/>
    <w:rsid w:val="006F1C91"/>
    <w:rsid w:val="006F1D84"/>
    <w:rsid w:val="006F1F41"/>
    <w:rsid w:val="006F2C22"/>
    <w:rsid w:val="006F3632"/>
    <w:rsid w:val="006F378A"/>
    <w:rsid w:val="006F3803"/>
    <w:rsid w:val="006F39CF"/>
    <w:rsid w:val="006F3F74"/>
    <w:rsid w:val="006F442F"/>
    <w:rsid w:val="006F4604"/>
    <w:rsid w:val="006F48C3"/>
    <w:rsid w:val="006F4DF3"/>
    <w:rsid w:val="006F5227"/>
    <w:rsid w:val="006F69BD"/>
    <w:rsid w:val="006F738A"/>
    <w:rsid w:val="006F73CF"/>
    <w:rsid w:val="006F753B"/>
    <w:rsid w:val="006F791B"/>
    <w:rsid w:val="006F7EFB"/>
    <w:rsid w:val="00700055"/>
    <w:rsid w:val="0070009C"/>
    <w:rsid w:val="007001DC"/>
    <w:rsid w:val="00700E2F"/>
    <w:rsid w:val="0070104F"/>
    <w:rsid w:val="00701230"/>
    <w:rsid w:val="0070158A"/>
    <w:rsid w:val="00701E38"/>
    <w:rsid w:val="00701F6B"/>
    <w:rsid w:val="00701FA6"/>
    <w:rsid w:val="007023CF"/>
    <w:rsid w:val="0070259D"/>
    <w:rsid w:val="00702C6C"/>
    <w:rsid w:val="00702D03"/>
    <w:rsid w:val="00702F4C"/>
    <w:rsid w:val="007032F4"/>
    <w:rsid w:val="00703458"/>
    <w:rsid w:val="007038CA"/>
    <w:rsid w:val="00703D5E"/>
    <w:rsid w:val="0070438B"/>
    <w:rsid w:val="00704AAE"/>
    <w:rsid w:val="00704F1B"/>
    <w:rsid w:val="00705578"/>
    <w:rsid w:val="007056C8"/>
    <w:rsid w:val="00705DFA"/>
    <w:rsid w:val="00705E19"/>
    <w:rsid w:val="00705F49"/>
    <w:rsid w:val="0070617D"/>
    <w:rsid w:val="00706519"/>
    <w:rsid w:val="00706731"/>
    <w:rsid w:val="0070703A"/>
    <w:rsid w:val="00707D5A"/>
    <w:rsid w:val="00710144"/>
    <w:rsid w:val="007105B7"/>
    <w:rsid w:val="00710913"/>
    <w:rsid w:val="0071132B"/>
    <w:rsid w:val="00711F1B"/>
    <w:rsid w:val="007120C0"/>
    <w:rsid w:val="007124B0"/>
    <w:rsid w:val="007126D8"/>
    <w:rsid w:val="00712789"/>
    <w:rsid w:val="007129EE"/>
    <w:rsid w:val="00712CC9"/>
    <w:rsid w:val="00713272"/>
    <w:rsid w:val="007132D5"/>
    <w:rsid w:val="00713506"/>
    <w:rsid w:val="00713DF9"/>
    <w:rsid w:val="00713FBF"/>
    <w:rsid w:val="007143EA"/>
    <w:rsid w:val="00714923"/>
    <w:rsid w:val="00715112"/>
    <w:rsid w:val="00715AB9"/>
    <w:rsid w:val="007162F1"/>
    <w:rsid w:val="007168C5"/>
    <w:rsid w:val="00716C19"/>
    <w:rsid w:val="00716D5B"/>
    <w:rsid w:val="00717354"/>
    <w:rsid w:val="007175DE"/>
    <w:rsid w:val="0071767D"/>
    <w:rsid w:val="00717892"/>
    <w:rsid w:val="007178D0"/>
    <w:rsid w:val="00717975"/>
    <w:rsid w:val="007179A5"/>
    <w:rsid w:val="00720B15"/>
    <w:rsid w:val="00721010"/>
    <w:rsid w:val="00721045"/>
    <w:rsid w:val="007213A2"/>
    <w:rsid w:val="007215E4"/>
    <w:rsid w:val="00721BE0"/>
    <w:rsid w:val="00722029"/>
    <w:rsid w:val="00722447"/>
    <w:rsid w:val="0072248F"/>
    <w:rsid w:val="0072262D"/>
    <w:rsid w:val="007227D8"/>
    <w:rsid w:val="007228FE"/>
    <w:rsid w:val="00722FE3"/>
    <w:rsid w:val="0072306C"/>
    <w:rsid w:val="007232E4"/>
    <w:rsid w:val="00723792"/>
    <w:rsid w:val="007237AA"/>
    <w:rsid w:val="0072380F"/>
    <w:rsid w:val="007241AA"/>
    <w:rsid w:val="0072455A"/>
    <w:rsid w:val="00724573"/>
    <w:rsid w:val="007252F5"/>
    <w:rsid w:val="00725590"/>
    <w:rsid w:val="00726F0A"/>
    <w:rsid w:val="00727117"/>
    <w:rsid w:val="0072746D"/>
    <w:rsid w:val="007277F0"/>
    <w:rsid w:val="00727888"/>
    <w:rsid w:val="0072795D"/>
    <w:rsid w:val="00727AF9"/>
    <w:rsid w:val="007301C0"/>
    <w:rsid w:val="0073165A"/>
    <w:rsid w:val="00731A96"/>
    <w:rsid w:val="00731D52"/>
    <w:rsid w:val="00732439"/>
    <w:rsid w:val="00732448"/>
    <w:rsid w:val="0073264A"/>
    <w:rsid w:val="00732D70"/>
    <w:rsid w:val="00732E96"/>
    <w:rsid w:val="00732F91"/>
    <w:rsid w:val="0073305D"/>
    <w:rsid w:val="0073321F"/>
    <w:rsid w:val="007336C7"/>
    <w:rsid w:val="007336FD"/>
    <w:rsid w:val="00733799"/>
    <w:rsid w:val="00733835"/>
    <w:rsid w:val="007338BB"/>
    <w:rsid w:val="00733CDB"/>
    <w:rsid w:val="00733DA5"/>
    <w:rsid w:val="007344DB"/>
    <w:rsid w:val="00734531"/>
    <w:rsid w:val="00734B04"/>
    <w:rsid w:val="00734B8A"/>
    <w:rsid w:val="00734C6C"/>
    <w:rsid w:val="0073527E"/>
    <w:rsid w:val="007359E7"/>
    <w:rsid w:val="00735A07"/>
    <w:rsid w:val="00735B41"/>
    <w:rsid w:val="00735CE2"/>
    <w:rsid w:val="007362F3"/>
    <w:rsid w:val="00736816"/>
    <w:rsid w:val="0073685B"/>
    <w:rsid w:val="00737042"/>
    <w:rsid w:val="00737A61"/>
    <w:rsid w:val="00737D4D"/>
    <w:rsid w:val="00737E7E"/>
    <w:rsid w:val="007402C4"/>
    <w:rsid w:val="00740346"/>
    <w:rsid w:val="007409DA"/>
    <w:rsid w:val="00740B6A"/>
    <w:rsid w:val="00740D91"/>
    <w:rsid w:val="00740E33"/>
    <w:rsid w:val="007410A8"/>
    <w:rsid w:val="007411B2"/>
    <w:rsid w:val="00741947"/>
    <w:rsid w:val="0074236B"/>
    <w:rsid w:val="007423DF"/>
    <w:rsid w:val="00742728"/>
    <w:rsid w:val="00742C8B"/>
    <w:rsid w:val="0074318F"/>
    <w:rsid w:val="007433CC"/>
    <w:rsid w:val="007433EF"/>
    <w:rsid w:val="0074350F"/>
    <w:rsid w:val="00743AED"/>
    <w:rsid w:val="00743F04"/>
    <w:rsid w:val="00743F86"/>
    <w:rsid w:val="00743FC8"/>
    <w:rsid w:val="0074402E"/>
    <w:rsid w:val="00744030"/>
    <w:rsid w:val="00744131"/>
    <w:rsid w:val="00744135"/>
    <w:rsid w:val="007443D6"/>
    <w:rsid w:val="00744C51"/>
    <w:rsid w:val="00744CBA"/>
    <w:rsid w:val="00745196"/>
    <w:rsid w:val="007458B8"/>
    <w:rsid w:val="00745E56"/>
    <w:rsid w:val="00746283"/>
    <w:rsid w:val="007466C2"/>
    <w:rsid w:val="00746A62"/>
    <w:rsid w:val="00746A9C"/>
    <w:rsid w:val="00746AE4"/>
    <w:rsid w:val="0074708B"/>
    <w:rsid w:val="007470F3"/>
    <w:rsid w:val="007475EE"/>
    <w:rsid w:val="00747D3A"/>
    <w:rsid w:val="00747D7D"/>
    <w:rsid w:val="00747F05"/>
    <w:rsid w:val="00747F92"/>
    <w:rsid w:val="007501B5"/>
    <w:rsid w:val="0075027D"/>
    <w:rsid w:val="0075071E"/>
    <w:rsid w:val="00750A04"/>
    <w:rsid w:val="00750E74"/>
    <w:rsid w:val="00750EF0"/>
    <w:rsid w:val="00750F61"/>
    <w:rsid w:val="0075155D"/>
    <w:rsid w:val="007520A0"/>
    <w:rsid w:val="00752624"/>
    <w:rsid w:val="00752A4D"/>
    <w:rsid w:val="00752B79"/>
    <w:rsid w:val="00752C88"/>
    <w:rsid w:val="00753078"/>
    <w:rsid w:val="0075346C"/>
    <w:rsid w:val="00753624"/>
    <w:rsid w:val="007537D8"/>
    <w:rsid w:val="0075453C"/>
    <w:rsid w:val="00754F6A"/>
    <w:rsid w:val="00755168"/>
    <w:rsid w:val="00755264"/>
    <w:rsid w:val="00756678"/>
    <w:rsid w:val="00756A2B"/>
    <w:rsid w:val="0075778C"/>
    <w:rsid w:val="00757B26"/>
    <w:rsid w:val="00757B59"/>
    <w:rsid w:val="0076052B"/>
    <w:rsid w:val="00760DD5"/>
    <w:rsid w:val="00760E44"/>
    <w:rsid w:val="007610B2"/>
    <w:rsid w:val="0076199B"/>
    <w:rsid w:val="00761BB7"/>
    <w:rsid w:val="00761E83"/>
    <w:rsid w:val="00762097"/>
    <w:rsid w:val="007620F9"/>
    <w:rsid w:val="00762122"/>
    <w:rsid w:val="0076218C"/>
    <w:rsid w:val="007626FF"/>
    <w:rsid w:val="00762BAC"/>
    <w:rsid w:val="00763305"/>
    <w:rsid w:val="007638D1"/>
    <w:rsid w:val="007641E2"/>
    <w:rsid w:val="007642A4"/>
    <w:rsid w:val="007644D0"/>
    <w:rsid w:val="0076459C"/>
    <w:rsid w:val="00764876"/>
    <w:rsid w:val="00764FA5"/>
    <w:rsid w:val="007651C7"/>
    <w:rsid w:val="007653A6"/>
    <w:rsid w:val="00766877"/>
    <w:rsid w:val="00766884"/>
    <w:rsid w:val="00766C6D"/>
    <w:rsid w:val="00767010"/>
    <w:rsid w:val="007673E6"/>
    <w:rsid w:val="00767767"/>
    <w:rsid w:val="00767969"/>
    <w:rsid w:val="00767EA5"/>
    <w:rsid w:val="00770172"/>
    <w:rsid w:val="007704C7"/>
    <w:rsid w:val="007709CF"/>
    <w:rsid w:val="00770C05"/>
    <w:rsid w:val="00770CD6"/>
    <w:rsid w:val="00771690"/>
    <w:rsid w:val="007717CD"/>
    <w:rsid w:val="00771B00"/>
    <w:rsid w:val="00772142"/>
    <w:rsid w:val="00772196"/>
    <w:rsid w:val="00772219"/>
    <w:rsid w:val="00772324"/>
    <w:rsid w:val="007723A0"/>
    <w:rsid w:val="00772BA7"/>
    <w:rsid w:val="00772BAA"/>
    <w:rsid w:val="00772D5D"/>
    <w:rsid w:val="00772D67"/>
    <w:rsid w:val="00772DB4"/>
    <w:rsid w:val="007736EC"/>
    <w:rsid w:val="00774205"/>
    <w:rsid w:val="007743EB"/>
    <w:rsid w:val="00774ADF"/>
    <w:rsid w:val="0077501F"/>
    <w:rsid w:val="00775314"/>
    <w:rsid w:val="007753CC"/>
    <w:rsid w:val="0077589F"/>
    <w:rsid w:val="00775B68"/>
    <w:rsid w:val="00775BE5"/>
    <w:rsid w:val="007760CC"/>
    <w:rsid w:val="007762D6"/>
    <w:rsid w:val="0077646D"/>
    <w:rsid w:val="00776847"/>
    <w:rsid w:val="00777000"/>
    <w:rsid w:val="00777083"/>
    <w:rsid w:val="0077722A"/>
    <w:rsid w:val="00777320"/>
    <w:rsid w:val="007773C2"/>
    <w:rsid w:val="00777941"/>
    <w:rsid w:val="00777B07"/>
    <w:rsid w:val="007801FC"/>
    <w:rsid w:val="007802F1"/>
    <w:rsid w:val="007804AA"/>
    <w:rsid w:val="0078058C"/>
    <w:rsid w:val="0078087E"/>
    <w:rsid w:val="007808BE"/>
    <w:rsid w:val="00780B12"/>
    <w:rsid w:val="00780B2E"/>
    <w:rsid w:val="00780B4C"/>
    <w:rsid w:val="007818B7"/>
    <w:rsid w:val="00781A46"/>
    <w:rsid w:val="00781AE5"/>
    <w:rsid w:val="007822F2"/>
    <w:rsid w:val="007827E0"/>
    <w:rsid w:val="0078322C"/>
    <w:rsid w:val="00783D12"/>
    <w:rsid w:val="00783FB7"/>
    <w:rsid w:val="00784DEC"/>
    <w:rsid w:val="00784E97"/>
    <w:rsid w:val="00785012"/>
    <w:rsid w:val="00785AB3"/>
    <w:rsid w:val="00785D07"/>
    <w:rsid w:val="00785D5F"/>
    <w:rsid w:val="00786018"/>
    <w:rsid w:val="007860EA"/>
    <w:rsid w:val="007861DC"/>
    <w:rsid w:val="00786E65"/>
    <w:rsid w:val="00787630"/>
    <w:rsid w:val="00787BE7"/>
    <w:rsid w:val="00787D54"/>
    <w:rsid w:val="00787F12"/>
    <w:rsid w:val="007901FA"/>
    <w:rsid w:val="00790301"/>
    <w:rsid w:val="00790574"/>
    <w:rsid w:val="00790674"/>
    <w:rsid w:val="007906E3"/>
    <w:rsid w:val="00790E43"/>
    <w:rsid w:val="00791475"/>
    <w:rsid w:val="00791C14"/>
    <w:rsid w:val="007921B4"/>
    <w:rsid w:val="00792FAB"/>
    <w:rsid w:val="00792FDF"/>
    <w:rsid w:val="00793037"/>
    <w:rsid w:val="00793E7C"/>
    <w:rsid w:val="007940E2"/>
    <w:rsid w:val="007942A9"/>
    <w:rsid w:val="00794435"/>
    <w:rsid w:val="00794B50"/>
    <w:rsid w:val="00794EFD"/>
    <w:rsid w:val="00795105"/>
    <w:rsid w:val="007953B8"/>
    <w:rsid w:val="00795545"/>
    <w:rsid w:val="0079572F"/>
    <w:rsid w:val="007957A5"/>
    <w:rsid w:val="00795B97"/>
    <w:rsid w:val="00795CEB"/>
    <w:rsid w:val="0079606C"/>
    <w:rsid w:val="0079617C"/>
    <w:rsid w:val="00796804"/>
    <w:rsid w:val="00796977"/>
    <w:rsid w:val="00796F6C"/>
    <w:rsid w:val="007970C9"/>
    <w:rsid w:val="00797C6E"/>
    <w:rsid w:val="007A005D"/>
    <w:rsid w:val="007A04A1"/>
    <w:rsid w:val="007A0659"/>
    <w:rsid w:val="007A10CE"/>
    <w:rsid w:val="007A13AF"/>
    <w:rsid w:val="007A1581"/>
    <w:rsid w:val="007A1DD7"/>
    <w:rsid w:val="007A1E54"/>
    <w:rsid w:val="007A1F5C"/>
    <w:rsid w:val="007A21D2"/>
    <w:rsid w:val="007A22CB"/>
    <w:rsid w:val="007A23D7"/>
    <w:rsid w:val="007A23E2"/>
    <w:rsid w:val="007A264C"/>
    <w:rsid w:val="007A2A8F"/>
    <w:rsid w:val="007A3339"/>
    <w:rsid w:val="007A3865"/>
    <w:rsid w:val="007A3D71"/>
    <w:rsid w:val="007A3E3D"/>
    <w:rsid w:val="007A48E1"/>
    <w:rsid w:val="007A4967"/>
    <w:rsid w:val="007A4CA5"/>
    <w:rsid w:val="007A4D38"/>
    <w:rsid w:val="007A507F"/>
    <w:rsid w:val="007A5092"/>
    <w:rsid w:val="007A5467"/>
    <w:rsid w:val="007A5B21"/>
    <w:rsid w:val="007A68A7"/>
    <w:rsid w:val="007A6909"/>
    <w:rsid w:val="007A69BF"/>
    <w:rsid w:val="007A6FAC"/>
    <w:rsid w:val="007A7C1D"/>
    <w:rsid w:val="007A7C52"/>
    <w:rsid w:val="007A7E5E"/>
    <w:rsid w:val="007B0293"/>
    <w:rsid w:val="007B0343"/>
    <w:rsid w:val="007B03A3"/>
    <w:rsid w:val="007B14E7"/>
    <w:rsid w:val="007B1B2C"/>
    <w:rsid w:val="007B1B6F"/>
    <w:rsid w:val="007B23D4"/>
    <w:rsid w:val="007B247B"/>
    <w:rsid w:val="007B294A"/>
    <w:rsid w:val="007B35F6"/>
    <w:rsid w:val="007B3625"/>
    <w:rsid w:val="007B3700"/>
    <w:rsid w:val="007B387B"/>
    <w:rsid w:val="007B3E19"/>
    <w:rsid w:val="007B414F"/>
    <w:rsid w:val="007B4F4E"/>
    <w:rsid w:val="007B54B5"/>
    <w:rsid w:val="007B55E8"/>
    <w:rsid w:val="007B5976"/>
    <w:rsid w:val="007B5C61"/>
    <w:rsid w:val="007B5CA0"/>
    <w:rsid w:val="007B60D5"/>
    <w:rsid w:val="007B677D"/>
    <w:rsid w:val="007B69D7"/>
    <w:rsid w:val="007B6FC4"/>
    <w:rsid w:val="007B7077"/>
    <w:rsid w:val="007B7098"/>
    <w:rsid w:val="007B72B5"/>
    <w:rsid w:val="007B72EC"/>
    <w:rsid w:val="007B73C9"/>
    <w:rsid w:val="007B763B"/>
    <w:rsid w:val="007B76E3"/>
    <w:rsid w:val="007B79FA"/>
    <w:rsid w:val="007B7E3F"/>
    <w:rsid w:val="007C0208"/>
    <w:rsid w:val="007C09E9"/>
    <w:rsid w:val="007C0C4C"/>
    <w:rsid w:val="007C0C80"/>
    <w:rsid w:val="007C0F33"/>
    <w:rsid w:val="007C0FD1"/>
    <w:rsid w:val="007C126F"/>
    <w:rsid w:val="007C129C"/>
    <w:rsid w:val="007C1454"/>
    <w:rsid w:val="007C1482"/>
    <w:rsid w:val="007C156C"/>
    <w:rsid w:val="007C1A44"/>
    <w:rsid w:val="007C1D4B"/>
    <w:rsid w:val="007C256D"/>
    <w:rsid w:val="007C290C"/>
    <w:rsid w:val="007C29DA"/>
    <w:rsid w:val="007C2A7A"/>
    <w:rsid w:val="007C31EA"/>
    <w:rsid w:val="007C4060"/>
    <w:rsid w:val="007C50FD"/>
    <w:rsid w:val="007C5258"/>
    <w:rsid w:val="007C53C3"/>
    <w:rsid w:val="007C591C"/>
    <w:rsid w:val="007C5BAA"/>
    <w:rsid w:val="007C5C8E"/>
    <w:rsid w:val="007C5D32"/>
    <w:rsid w:val="007C64BB"/>
    <w:rsid w:val="007C6A5F"/>
    <w:rsid w:val="007C6F0B"/>
    <w:rsid w:val="007C7033"/>
    <w:rsid w:val="007C7106"/>
    <w:rsid w:val="007C71B5"/>
    <w:rsid w:val="007C7235"/>
    <w:rsid w:val="007C72A8"/>
    <w:rsid w:val="007C7814"/>
    <w:rsid w:val="007C7AB4"/>
    <w:rsid w:val="007D0711"/>
    <w:rsid w:val="007D0AD6"/>
    <w:rsid w:val="007D1299"/>
    <w:rsid w:val="007D160D"/>
    <w:rsid w:val="007D16AD"/>
    <w:rsid w:val="007D190B"/>
    <w:rsid w:val="007D1CB9"/>
    <w:rsid w:val="007D224C"/>
    <w:rsid w:val="007D30A9"/>
    <w:rsid w:val="007D38D9"/>
    <w:rsid w:val="007D53E7"/>
    <w:rsid w:val="007D5ADA"/>
    <w:rsid w:val="007D5C64"/>
    <w:rsid w:val="007D745B"/>
    <w:rsid w:val="007D76DA"/>
    <w:rsid w:val="007D776C"/>
    <w:rsid w:val="007E0015"/>
    <w:rsid w:val="007E01C5"/>
    <w:rsid w:val="007E01F0"/>
    <w:rsid w:val="007E05F0"/>
    <w:rsid w:val="007E0D0B"/>
    <w:rsid w:val="007E105C"/>
    <w:rsid w:val="007E1697"/>
    <w:rsid w:val="007E1B5F"/>
    <w:rsid w:val="007E1CBB"/>
    <w:rsid w:val="007E25FA"/>
    <w:rsid w:val="007E287E"/>
    <w:rsid w:val="007E2ABE"/>
    <w:rsid w:val="007E2B79"/>
    <w:rsid w:val="007E2BB9"/>
    <w:rsid w:val="007E2E63"/>
    <w:rsid w:val="007E30DE"/>
    <w:rsid w:val="007E329C"/>
    <w:rsid w:val="007E3936"/>
    <w:rsid w:val="007E3D5A"/>
    <w:rsid w:val="007E3EB9"/>
    <w:rsid w:val="007E4584"/>
    <w:rsid w:val="007E46B1"/>
    <w:rsid w:val="007E4973"/>
    <w:rsid w:val="007E4C51"/>
    <w:rsid w:val="007E5A93"/>
    <w:rsid w:val="007E5DC5"/>
    <w:rsid w:val="007E5EE8"/>
    <w:rsid w:val="007E6643"/>
    <w:rsid w:val="007E6672"/>
    <w:rsid w:val="007E70F4"/>
    <w:rsid w:val="007E760E"/>
    <w:rsid w:val="007E7953"/>
    <w:rsid w:val="007E7B2D"/>
    <w:rsid w:val="007F07F0"/>
    <w:rsid w:val="007F08E5"/>
    <w:rsid w:val="007F0C57"/>
    <w:rsid w:val="007F174B"/>
    <w:rsid w:val="007F17BF"/>
    <w:rsid w:val="007F2555"/>
    <w:rsid w:val="007F255D"/>
    <w:rsid w:val="007F25D1"/>
    <w:rsid w:val="007F2A14"/>
    <w:rsid w:val="007F2B9D"/>
    <w:rsid w:val="007F30C2"/>
    <w:rsid w:val="007F320E"/>
    <w:rsid w:val="007F3A9C"/>
    <w:rsid w:val="007F3BC0"/>
    <w:rsid w:val="007F3C05"/>
    <w:rsid w:val="007F498A"/>
    <w:rsid w:val="007F52A0"/>
    <w:rsid w:val="007F52D2"/>
    <w:rsid w:val="007F54EC"/>
    <w:rsid w:val="007F5795"/>
    <w:rsid w:val="007F5A26"/>
    <w:rsid w:val="007F616B"/>
    <w:rsid w:val="007F646E"/>
    <w:rsid w:val="007F6472"/>
    <w:rsid w:val="007F7F5E"/>
    <w:rsid w:val="008000AC"/>
    <w:rsid w:val="0080045F"/>
    <w:rsid w:val="00800510"/>
    <w:rsid w:val="00800AA5"/>
    <w:rsid w:val="0080103F"/>
    <w:rsid w:val="0080123E"/>
    <w:rsid w:val="00801470"/>
    <w:rsid w:val="008014E0"/>
    <w:rsid w:val="0080260A"/>
    <w:rsid w:val="008026EB"/>
    <w:rsid w:val="008027E1"/>
    <w:rsid w:val="008029D0"/>
    <w:rsid w:val="00802FDE"/>
    <w:rsid w:val="0080334E"/>
    <w:rsid w:val="008037E4"/>
    <w:rsid w:val="00803B35"/>
    <w:rsid w:val="008048AB"/>
    <w:rsid w:val="00804F70"/>
    <w:rsid w:val="008052F4"/>
    <w:rsid w:val="00805368"/>
    <w:rsid w:val="008055BD"/>
    <w:rsid w:val="00805B0C"/>
    <w:rsid w:val="00805B90"/>
    <w:rsid w:val="00805C67"/>
    <w:rsid w:val="008069FF"/>
    <w:rsid w:val="0080703E"/>
    <w:rsid w:val="0080718B"/>
    <w:rsid w:val="00807403"/>
    <w:rsid w:val="0080753D"/>
    <w:rsid w:val="0080785F"/>
    <w:rsid w:val="00810429"/>
    <w:rsid w:val="00810C80"/>
    <w:rsid w:val="00810FC1"/>
    <w:rsid w:val="00811227"/>
    <w:rsid w:val="0081125C"/>
    <w:rsid w:val="00811735"/>
    <w:rsid w:val="00811A4F"/>
    <w:rsid w:val="00811DEB"/>
    <w:rsid w:val="00812411"/>
    <w:rsid w:val="0081275F"/>
    <w:rsid w:val="008127D6"/>
    <w:rsid w:val="00812953"/>
    <w:rsid w:val="00812B62"/>
    <w:rsid w:val="00812DCB"/>
    <w:rsid w:val="00812E0E"/>
    <w:rsid w:val="00812E6A"/>
    <w:rsid w:val="00813600"/>
    <w:rsid w:val="00813717"/>
    <w:rsid w:val="00814314"/>
    <w:rsid w:val="00814382"/>
    <w:rsid w:val="00814673"/>
    <w:rsid w:val="008147BB"/>
    <w:rsid w:val="00814FFE"/>
    <w:rsid w:val="00815353"/>
    <w:rsid w:val="008156E0"/>
    <w:rsid w:val="008159A4"/>
    <w:rsid w:val="00816230"/>
    <w:rsid w:val="00816464"/>
    <w:rsid w:val="008168F0"/>
    <w:rsid w:val="00816CCD"/>
    <w:rsid w:val="00816CFC"/>
    <w:rsid w:val="008172B0"/>
    <w:rsid w:val="008176C0"/>
    <w:rsid w:val="00817CEC"/>
    <w:rsid w:val="00820026"/>
    <w:rsid w:val="008202B1"/>
    <w:rsid w:val="00820580"/>
    <w:rsid w:val="00820EBE"/>
    <w:rsid w:val="008215A8"/>
    <w:rsid w:val="008229C8"/>
    <w:rsid w:val="00822C36"/>
    <w:rsid w:val="00822D3E"/>
    <w:rsid w:val="00823645"/>
    <w:rsid w:val="00823977"/>
    <w:rsid w:val="008247C7"/>
    <w:rsid w:val="00824D12"/>
    <w:rsid w:val="00825162"/>
    <w:rsid w:val="00825739"/>
    <w:rsid w:val="00825BC6"/>
    <w:rsid w:val="00825ECA"/>
    <w:rsid w:val="00825EF6"/>
    <w:rsid w:val="00826292"/>
    <w:rsid w:val="00826376"/>
    <w:rsid w:val="0082642D"/>
    <w:rsid w:val="008265E7"/>
    <w:rsid w:val="0082683C"/>
    <w:rsid w:val="00826EE1"/>
    <w:rsid w:val="00827849"/>
    <w:rsid w:val="00827E1A"/>
    <w:rsid w:val="00827FE6"/>
    <w:rsid w:val="00830102"/>
    <w:rsid w:val="008308D6"/>
    <w:rsid w:val="0083167A"/>
    <w:rsid w:val="00831895"/>
    <w:rsid w:val="008318FF"/>
    <w:rsid w:val="00831DAC"/>
    <w:rsid w:val="00831DDA"/>
    <w:rsid w:val="0083263A"/>
    <w:rsid w:val="0083309C"/>
    <w:rsid w:val="008331A3"/>
    <w:rsid w:val="0083352C"/>
    <w:rsid w:val="00833F2A"/>
    <w:rsid w:val="0083437D"/>
    <w:rsid w:val="0083451E"/>
    <w:rsid w:val="008348BE"/>
    <w:rsid w:val="00834959"/>
    <w:rsid w:val="00834CD5"/>
    <w:rsid w:val="0083591D"/>
    <w:rsid w:val="00835B02"/>
    <w:rsid w:val="00835CBC"/>
    <w:rsid w:val="00835FC5"/>
    <w:rsid w:val="008361DB"/>
    <w:rsid w:val="008377CE"/>
    <w:rsid w:val="00837B98"/>
    <w:rsid w:val="00837DD2"/>
    <w:rsid w:val="008401D7"/>
    <w:rsid w:val="008405C1"/>
    <w:rsid w:val="00840667"/>
    <w:rsid w:val="0084072B"/>
    <w:rsid w:val="00840758"/>
    <w:rsid w:val="00840B36"/>
    <w:rsid w:val="00841050"/>
    <w:rsid w:val="008411AE"/>
    <w:rsid w:val="008411EA"/>
    <w:rsid w:val="00841822"/>
    <w:rsid w:val="00841BEA"/>
    <w:rsid w:val="00841C16"/>
    <w:rsid w:val="00841CCD"/>
    <w:rsid w:val="00841D57"/>
    <w:rsid w:val="0084325B"/>
    <w:rsid w:val="00843D41"/>
    <w:rsid w:val="00843E5A"/>
    <w:rsid w:val="00844FF7"/>
    <w:rsid w:val="00845279"/>
    <w:rsid w:val="00845998"/>
    <w:rsid w:val="00845C73"/>
    <w:rsid w:val="0084617A"/>
    <w:rsid w:val="00846292"/>
    <w:rsid w:val="008462AB"/>
    <w:rsid w:val="00846360"/>
    <w:rsid w:val="008467B2"/>
    <w:rsid w:val="00846FBD"/>
    <w:rsid w:val="008472E5"/>
    <w:rsid w:val="008476E1"/>
    <w:rsid w:val="00847910"/>
    <w:rsid w:val="0084797D"/>
    <w:rsid w:val="00847D7B"/>
    <w:rsid w:val="00847EB0"/>
    <w:rsid w:val="008501A4"/>
    <w:rsid w:val="008505A9"/>
    <w:rsid w:val="00850F4E"/>
    <w:rsid w:val="0085331B"/>
    <w:rsid w:val="008535F6"/>
    <w:rsid w:val="00853867"/>
    <w:rsid w:val="00853DE0"/>
    <w:rsid w:val="00854D31"/>
    <w:rsid w:val="00854E30"/>
    <w:rsid w:val="00855075"/>
    <w:rsid w:val="00855337"/>
    <w:rsid w:val="0085560C"/>
    <w:rsid w:val="008558EB"/>
    <w:rsid w:val="0085598A"/>
    <w:rsid w:val="00855E35"/>
    <w:rsid w:val="00856E72"/>
    <w:rsid w:val="00857627"/>
    <w:rsid w:val="00857E17"/>
    <w:rsid w:val="00860524"/>
    <w:rsid w:val="00860648"/>
    <w:rsid w:val="00860703"/>
    <w:rsid w:val="00861001"/>
    <w:rsid w:val="008614DC"/>
    <w:rsid w:val="0086199F"/>
    <w:rsid w:val="008619BC"/>
    <w:rsid w:val="00861A80"/>
    <w:rsid w:val="00862428"/>
    <w:rsid w:val="00862683"/>
    <w:rsid w:val="00862903"/>
    <w:rsid w:val="0086297C"/>
    <w:rsid w:val="00862EC2"/>
    <w:rsid w:val="00863645"/>
    <w:rsid w:val="00864A8D"/>
    <w:rsid w:val="00864CEA"/>
    <w:rsid w:val="00865247"/>
    <w:rsid w:val="008652B1"/>
    <w:rsid w:val="008654E0"/>
    <w:rsid w:val="008660EA"/>
    <w:rsid w:val="00866816"/>
    <w:rsid w:val="00866990"/>
    <w:rsid w:val="00866AB7"/>
    <w:rsid w:val="00866B6B"/>
    <w:rsid w:val="00866BB3"/>
    <w:rsid w:val="00866F29"/>
    <w:rsid w:val="00867121"/>
    <w:rsid w:val="008673FF"/>
    <w:rsid w:val="0086744D"/>
    <w:rsid w:val="008675C2"/>
    <w:rsid w:val="00867A8C"/>
    <w:rsid w:val="00870543"/>
    <w:rsid w:val="00870560"/>
    <w:rsid w:val="00870692"/>
    <w:rsid w:val="00870E5B"/>
    <w:rsid w:val="00871236"/>
    <w:rsid w:val="00871CF2"/>
    <w:rsid w:val="00872A9B"/>
    <w:rsid w:val="00872B16"/>
    <w:rsid w:val="00873031"/>
    <w:rsid w:val="0087313C"/>
    <w:rsid w:val="00873183"/>
    <w:rsid w:val="008737AC"/>
    <w:rsid w:val="00873F39"/>
    <w:rsid w:val="00874028"/>
    <w:rsid w:val="0087531E"/>
    <w:rsid w:val="008757EE"/>
    <w:rsid w:val="00875AB0"/>
    <w:rsid w:val="00876F19"/>
    <w:rsid w:val="00877792"/>
    <w:rsid w:val="008777DB"/>
    <w:rsid w:val="0087793B"/>
    <w:rsid w:val="008801C6"/>
    <w:rsid w:val="00880407"/>
    <w:rsid w:val="00880442"/>
    <w:rsid w:val="00880476"/>
    <w:rsid w:val="00880F38"/>
    <w:rsid w:val="008810A8"/>
    <w:rsid w:val="008814CC"/>
    <w:rsid w:val="008816A4"/>
    <w:rsid w:val="0088199B"/>
    <w:rsid w:val="00882284"/>
    <w:rsid w:val="00882489"/>
    <w:rsid w:val="00882C09"/>
    <w:rsid w:val="00882FC8"/>
    <w:rsid w:val="008830C0"/>
    <w:rsid w:val="008834AC"/>
    <w:rsid w:val="00884590"/>
    <w:rsid w:val="00884793"/>
    <w:rsid w:val="00884BDC"/>
    <w:rsid w:val="00884C7B"/>
    <w:rsid w:val="008858AE"/>
    <w:rsid w:val="00885B84"/>
    <w:rsid w:val="00887072"/>
    <w:rsid w:val="008871B0"/>
    <w:rsid w:val="008872BA"/>
    <w:rsid w:val="0089014B"/>
    <w:rsid w:val="00890449"/>
    <w:rsid w:val="0089091D"/>
    <w:rsid w:val="0089097D"/>
    <w:rsid w:val="008913D9"/>
    <w:rsid w:val="0089164A"/>
    <w:rsid w:val="0089179C"/>
    <w:rsid w:val="008921FF"/>
    <w:rsid w:val="00892236"/>
    <w:rsid w:val="00892392"/>
    <w:rsid w:val="00892913"/>
    <w:rsid w:val="00892DA9"/>
    <w:rsid w:val="00892E95"/>
    <w:rsid w:val="008930F4"/>
    <w:rsid w:val="0089332F"/>
    <w:rsid w:val="00893764"/>
    <w:rsid w:val="00893D35"/>
    <w:rsid w:val="00893E48"/>
    <w:rsid w:val="00893EE6"/>
    <w:rsid w:val="008942A5"/>
    <w:rsid w:val="008944D6"/>
    <w:rsid w:val="00895098"/>
    <w:rsid w:val="00895659"/>
    <w:rsid w:val="00895A3D"/>
    <w:rsid w:val="00896C44"/>
    <w:rsid w:val="0089740F"/>
    <w:rsid w:val="00897B20"/>
    <w:rsid w:val="00897BAE"/>
    <w:rsid w:val="008A0139"/>
    <w:rsid w:val="008A0305"/>
    <w:rsid w:val="008A0907"/>
    <w:rsid w:val="008A0D47"/>
    <w:rsid w:val="008A1147"/>
    <w:rsid w:val="008A1694"/>
    <w:rsid w:val="008A19E4"/>
    <w:rsid w:val="008A1E25"/>
    <w:rsid w:val="008A1E86"/>
    <w:rsid w:val="008A205B"/>
    <w:rsid w:val="008A2357"/>
    <w:rsid w:val="008A27D7"/>
    <w:rsid w:val="008A2C86"/>
    <w:rsid w:val="008A31B0"/>
    <w:rsid w:val="008A3627"/>
    <w:rsid w:val="008A3A1E"/>
    <w:rsid w:val="008A4113"/>
    <w:rsid w:val="008A4C27"/>
    <w:rsid w:val="008A4C63"/>
    <w:rsid w:val="008A4D27"/>
    <w:rsid w:val="008A5396"/>
    <w:rsid w:val="008A541F"/>
    <w:rsid w:val="008A5779"/>
    <w:rsid w:val="008A63F5"/>
    <w:rsid w:val="008A644B"/>
    <w:rsid w:val="008A69B5"/>
    <w:rsid w:val="008A69C4"/>
    <w:rsid w:val="008A6CB9"/>
    <w:rsid w:val="008A7D04"/>
    <w:rsid w:val="008A7DA0"/>
    <w:rsid w:val="008B0483"/>
    <w:rsid w:val="008B088B"/>
    <w:rsid w:val="008B0C46"/>
    <w:rsid w:val="008B163D"/>
    <w:rsid w:val="008B17CE"/>
    <w:rsid w:val="008B1D52"/>
    <w:rsid w:val="008B20D7"/>
    <w:rsid w:val="008B2241"/>
    <w:rsid w:val="008B2597"/>
    <w:rsid w:val="008B25E1"/>
    <w:rsid w:val="008B2687"/>
    <w:rsid w:val="008B272D"/>
    <w:rsid w:val="008B28E4"/>
    <w:rsid w:val="008B29BD"/>
    <w:rsid w:val="008B2C93"/>
    <w:rsid w:val="008B2EDC"/>
    <w:rsid w:val="008B327E"/>
    <w:rsid w:val="008B3A10"/>
    <w:rsid w:val="008B3AD2"/>
    <w:rsid w:val="008B3D48"/>
    <w:rsid w:val="008B3DED"/>
    <w:rsid w:val="008B4292"/>
    <w:rsid w:val="008B4351"/>
    <w:rsid w:val="008B47B7"/>
    <w:rsid w:val="008B4C91"/>
    <w:rsid w:val="008B4F0C"/>
    <w:rsid w:val="008B5AB4"/>
    <w:rsid w:val="008B67EB"/>
    <w:rsid w:val="008B6D6C"/>
    <w:rsid w:val="008B6E0C"/>
    <w:rsid w:val="008B74D7"/>
    <w:rsid w:val="008B7A1D"/>
    <w:rsid w:val="008B7A41"/>
    <w:rsid w:val="008B7D99"/>
    <w:rsid w:val="008C01CA"/>
    <w:rsid w:val="008C0DEF"/>
    <w:rsid w:val="008C0F95"/>
    <w:rsid w:val="008C12F3"/>
    <w:rsid w:val="008C26B1"/>
    <w:rsid w:val="008C2DB6"/>
    <w:rsid w:val="008C3274"/>
    <w:rsid w:val="008C34C4"/>
    <w:rsid w:val="008C3550"/>
    <w:rsid w:val="008C374F"/>
    <w:rsid w:val="008C3A44"/>
    <w:rsid w:val="008C3C11"/>
    <w:rsid w:val="008C44AB"/>
    <w:rsid w:val="008C4738"/>
    <w:rsid w:val="008C4C42"/>
    <w:rsid w:val="008C4CD4"/>
    <w:rsid w:val="008C4DCE"/>
    <w:rsid w:val="008C4E37"/>
    <w:rsid w:val="008C504C"/>
    <w:rsid w:val="008C524A"/>
    <w:rsid w:val="008C663D"/>
    <w:rsid w:val="008C6652"/>
    <w:rsid w:val="008C6729"/>
    <w:rsid w:val="008C684A"/>
    <w:rsid w:val="008C69A8"/>
    <w:rsid w:val="008C70B6"/>
    <w:rsid w:val="008C720D"/>
    <w:rsid w:val="008C7502"/>
    <w:rsid w:val="008C7725"/>
    <w:rsid w:val="008C77C6"/>
    <w:rsid w:val="008C7EDF"/>
    <w:rsid w:val="008D030D"/>
    <w:rsid w:val="008D06D8"/>
    <w:rsid w:val="008D0C89"/>
    <w:rsid w:val="008D1326"/>
    <w:rsid w:val="008D14F6"/>
    <w:rsid w:val="008D1962"/>
    <w:rsid w:val="008D1C50"/>
    <w:rsid w:val="008D1C55"/>
    <w:rsid w:val="008D1EE0"/>
    <w:rsid w:val="008D1F9A"/>
    <w:rsid w:val="008D20FE"/>
    <w:rsid w:val="008D2C8C"/>
    <w:rsid w:val="008D2D79"/>
    <w:rsid w:val="008D36D5"/>
    <w:rsid w:val="008D4248"/>
    <w:rsid w:val="008D4C35"/>
    <w:rsid w:val="008D51AD"/>
    <w:rsid w:val="008D51C3"/>
    <w:rsid w:val="008D529D"/>
    <w:rsid w:val="008D5674"/>
    <w:rsid w:val="008D5A59"/>
    <w:rsid w:val="008D5E92"/>
    <w:rsid w:val="008D6644"/>
    <w:rsid w:val="008D6663"/>
    <w:rsid w:val="008D6B59"/>
    <w:rsid w:val="008D726D"/>
    <w:rsid w:val="008D7962"/>
    <w:rsid w:val="008D7A21"/>
    <w:rsid w:val="008E01BB"/>
    <w:rsid w:val="008E033F"/>
    <w:rsid w:val="008E05EE"/>
    <w:rsid w:val="008E0922"/>
    <w:rsid w:val="008E09D8"/>
    <w:rsid w:val="008E0A57"/>
    <w:rsid w:val="008E112E"/>
    <w:rsid w:val="008E138E"/>
    <w:rsid w:val="008E2204"/>
    <w:rsid w:val="008E23D8"/>
    <w:rsid w:val="008E2A48"/>
    <w:rsid w:val="008E2AA8"/>
    <w:rsid w:val="008E2AD3"/>
    <w:rsid w:val="008E2D23"/>
    <w:rsid w:val="008E2E09"/>
    <w:rsid w:val="008E31C8"/>
    <w:rsid w:val="008E343C"/>
    <w:rsid w:val="008E4133"/>
    <w:rsid w:val="008E4301"/>
    <w:rsid w:val="008E4487"/>
    <w:rsid w:val="008E539C"/>
    <w:rsid w:val="008E6197"/>
    <w:rsid w:val="008E64F5"/>
    <w:rsid w:val="008E67C3"/>
    <w:rsid w:val="008E69F7"/>
    <w:rsid w:val="008E70AA"/>
    <w:rsid w:val="008E7343"/>
    <w:rsid w:val="008E7A71"/>
    <w:rsid w:val="008E7BFD"/>
    <w:rsid w:val="008E7C3E"/>
    <w:rsid w:val="008E7F8F"/>
    <w:rsid w:val="008F029D"/>
    <w:rsid w:val="008F0BB2"/>
    <w:rsid w:val="008F0DC8"/>
    <w:rsid w:val="008F13DD"/>
    <w:rsid w:val="008F1A05"/>
    <w:rsid w:val="008F1E85"/>
    <w:rsid w:val="008F25D2"/>
    <w:rsid w:val="008F26BE"/>
    <w:rsid w:val="008F29AA"/>
    <w:rsid w:val="008F29B0"/>
    <w:rsid w:val="008F2D00"/>
    <w:rsid w:val="008F2F5E"/>
    <w:rsid w:val="008F47CB"/>
    <w:rsid w:val="008F488B"/>
    <w:rsid w:val="008F4C74"/>
    <w:rsid w:val="008F55C1"/>
    <w:rsid w:val="008F596E"/>
    <w:rsid w:val="008F5F97"/>
    <w:rsid w:val="008F6307"/>
    <w:rsid w:val="008F65A8"/>
    <w:rsid w:val="008F6932"/>
    <w:rsid w:val="008F69D9"/>
    <w:rsid w:val="008F6B6E"/>
    <w:rsid w:val="008F6CA4"/>
    <w:rsid w:val="008F6D82"/>
    <w:rsid w:val="008F75BF"/>
    <w:rsid w:val="008F75D3"/>
    <w:rsid w:val="008F7782"/>
    <w:rsid w:val="008F7C3C"/>
    <w:rsid w:val="008F7EEA"/>
    <w:rsid w:val="0090006D"/>
    <w:rsid w:val="00900481"/>
    <w:rsid w:val="009005AD"/>
    <w:rsid w:val="009011D9"/>
    <w:rsid w:val="009017A6"/>
    <w:rsid w:val="00901FF2"/>
    <w:rsid w:val="00902907"/>
    <w:rsid w:val="009029B0"/>
    <w:rsid w:val="00902C01"/>
    <w:rsid w:val="00902C26"/>
    <w:rsid w:val="00902D12"/>
    <w:rsid w:val="00902D27"/>
    <w:rsid w:val="00903203"/>
    <w:rsid w:val="0090377F"/>
    <w:rsid w:val="00903A82"/>
    <w:rsid w:val="00904146"/>
    <w:rsid w:val="009045F2"/>
    <w:rsid w:val="009046B1"/>
    <w:rsid w:val="00904A96"/>
    <w:rsid w:val="00904B9B"/>
    <w:rsid w:val="00904C67"/>
    <w:rsid w:val="009054C8"/>
    <w:rsid w:val="00905EA3"/>
    <w:rsid w:val="0090644D"/>
    <w:rsid w:val="009068FF"/>
    <w:rsid w:val="00906B8B"/>
    <w:rsid w:val="00906C4B"/>
    <w:rsid w:val="00906DDB"/>
    <w:rsid w:val="00906E5D"/>
    <w:rsid w:val="00906F04"/>
    <w:rsid w:val="009073E9"/>
    <w:rsid w:val="00907460"/>
    <w:rsid w:val="0090758E"/>
    <w:rsid w:val="009076EA"/>
    <w:rsid w:val="00907835"/>
    <w:rsid w:val="00907F76"/>
    <w:rsid w:val="0091008B"/>
    <w:rsid w:val="00910C6E"/>
    <w:rsid w:val="009110F0"/>
    <w:rsid w:val="00911463"/>
    <w:rsid w:val="0091179A"/>
    <w:rsid w:val="009117B7"/>
    <w:rsid w:val="00911DBC"/>
    <w:rsid w:val="0091240B"/>
    <w:rsid w:val="00912C34"/>
    <w:rsid w:val="00912D06"/>
    <w:rsid w:val="0091339C"/>
    <w:rsid w:val="009136CD"/>
    <w:rsid w:val="00913A1A"/>
    <w:rsid w:val="00913A83"/>
    <w:rsid w:val="00914116"/>
    <w:rsid w:val="0091482B"/>
    <w:rsid w:val="00914DF6"/>
    <w:rsid w:val="009154AE"/>
    <w:rsid w:val="0091563B"/>
    <w:rsid w:val="009158D0"/>
    <w:rsid w:val="009158E2"/>
    <w:rsid w:val="00915D46"/>
    <w:rsid w:val="00916380"/>
    <w:rsid w:val="00916561"/>
    <w:rsid w:val="00916784"/>
    <w:rsid w:val="009168D9"/>
    <w:rsid w:val="009168DD"/>
    <w:rsid w:val="009175F2"/>
    <w:rsid w:val="00920160"/>
    <w:rsid w:val="00920414"/>
    <w:rsid w:val="00920BD5"/>
    <w:rsid w:val="00920BDC"/>
    <w:rsid w:val="00921A99"/>
    <w:rsid w:val="00921F8D"/>
    <w:rsid w:val="009223C2"/>
    <w:rsid w:val="00922696"/>
    <w:rsid w:val="00922D79"/>
    <w:rsid w:val="0092306B"/>
    <w:rsid w:val="0092349A"/>
    <w:rsid w:val="0092356D"/>
    <w:rsid w:val="0092372A"/>
    <w:rsid w:val="00923F08"/>
    <w:rsid w:val="009242C3"/>
    <w:rsid w:val="009242C9"/>
    <w:rsid w:val="009247FD"/>
    <w:rsid w:val="00924804"/>
    <w:rsid w:val="00924A82"/>
    <w:rsid w:val="00925389"/>
    <w:rsid w:val="0092557B"/>
    <w:rsid w:val="00925B09"/>
    <w:rsid w:val="00925E06"/>
    <w:rsid w:val="009262BC"/>
    <w:rsid w:val="00926573"/>
    <w:rsid w:val="00926EAC"/>
    <w:rsid w:val="0092742B"/>
    <w:rsid w:val="0092753E"/>
    <w:rsid w:val="00927AC9"/>
    <w:rsid w:val="00927B8E"/>
    <w:rsid w:val="00927BC2"/>
    <w:rsid w:val="00930375"/>
    <w:rsid w:val="00930721"/>
    <w:rsid w:val="00930C8E"/>
    <w:rsid w:val="00930F36"/>
    <w:rsid w:val="00931050"/>
    <w:rsid w:val="00931216"/>
    <w:rsid w:val="009314FE"/>
    <w:rsid w:val="00931748"/>
    <w:rsid w:val="00931C3D"/>
    <w:rsid w:val="00931C5E"/>
    <w:rsid w:val="00931CA0"/>
    <w:rsid w:val="00931E29"/>
    <w:rsid w:val="00931F16"/>
    <w:rsid w:val="00932083"/>
    <w:rsid w:val="00932399"/>
    <w:rsid w:val="0093241C"/>
    <w:rsid w:val="009329A7"/>
    <w:rsid w:val="00932D87"/>
    <w:rsid w:val="00932FD9"/>
    <w:rsid w:val="00932FF9"/>
    <w:rsid w:val="00933224"/>
    <w:rsid w:val="00933583"/>
    <w:rsid w:val="009339E8"/>
    <w:rsid w:val="00933D61"/>
    <w:rsid w:val="00933F48"/>
    <w:rsid w:val="00934A96"/>
    <w:rsid w:val="00935500"/>
    <w:rsid w:val="0093587C"/>
    <w:rsid w:val="009359D5"/>
    <w:rsid w:val="00935AF2"/>
    <w:rsid w:val="00935F0A"/>
    <w:rsid w:val="009362C8"/>
    <w:rsid w:val="0093641F"/>
    <w:rsid w:val="00936858"/>
    <w:rsid w:val="009371F1"/>
    <w:rsid w:val="009375BA"/>
    <w:rsid w:val="009378DD"/>
    <w:rsid w:val="00937DD5"/>
    <w:rsid w:val="00940B45"/>
    <w:rsid w:val="009418EA"/>
    <w:rsid w:val="0094244B"/>
    <w:rsid w:val="009432DE"/>
    <w:rsid w:val="009433C6"/>
    <w:rsid w:val="0094371A"/>
    <w:rsid w:val="009438C1"/>
    <w:rsid w:val="0094391E"/>
    <w:rsid w:val="00943DCA"/>
    <w:rsid w:val="00943E04"/>
    <w:rsid w:val="00943ED9"/>
    <w:rsid w:val="00944270"/>
    <w:rsid w:val="009442A7"/>
    <w:rsid w:val="00945A19"/>
    <w:rsid w:val="009461DA"/>
    <w:rsid w:val="00946835"/>
    <w:rsid w:val="00946FC9"/>
    <w:rsid w:val="00947186"/>
    <w:rsid w:val="00947492"/>
    <w:rsid w:val="00947628"/>
    <w:rsid w:val="00950331"/>
    <w:rsid w:val="009518CE"/>
    <w:rsid w:val="00951921"/>
    <w:rsid w:val="00951A56"/>
    <w:rsid w:val="00951FCB"/>
    <w:rsid w:val="009520A8"/>
    <w:rsid w:val="00952990"/>
    <w:rsid w:val="00952E33"/>
    <w:rsid w:val="009541A7"/>
    <w:rsid w:val="009541D7"/>
    <w:rsid w:val="00954663"/>
    <w:rsid w:val="00954D0C"/>
    <w:rsid w:val="00954F2E"/>
    <w:rsid w:val="00955967"/>
    <w:rsid w:val="00955D10"/>
    <w:rsid w:val="00955D35"/>
    <w:rsid w:val="00956187"/>
    <w:rsid w:val="00956425"/>
    <w:rsid w:val="00956489"/>
    <w:rsid w:val="00957313"/>
    <w:rsid w:val="00957362"/>
    <w:rsid w:val="009573D2"/>
    <w:rsid w:val="009574A1"/>
    <w:rsid w:val="0095755E"/>
    <w:rsid w:val="00957839"/>
    <w:rsid w:val="00957862"/>
    <w:rsid w:val="00957AD0"/>
    <w:rsid w:val="00957CC1"/>
    <w:rsid w:val="00960BCE"/>
    <w:rsid w:val="00960F48"/>
    <w:rsid w:val="00961276"/>
    <w:rsid w:val="00961A02"/>
    <w:rsid w:val="00961AF2"/>
    <w:rsid w:val="009620BE"/>
    <w:rsid w:val="00962A98"/>
    <w:rsid w:val="00962AEB"/>
    <w:rsid w:val="0096303A"/>
    <w:rsid w:val="00963056"/>
    <w:rsid w:val="00963204"/>
    <w:rsid w:val="009635BB"/>
    <w:rsid w:val="0096388B"/>
    <w:rsid w:val="00963C58"/>
    <w:rsid w:val="00963FE1"/>
    <w:rsid w:val="00964221"/>
    <w:rsid w:val="00964238"/>
    <w:rsid w:val="00964549"/>
    <w:rsid w:val="0096470F"/>
    <w:rsid w:val="009648CF"/>
    <w:rsid w:val="00964EED"/>
    <w:rsid w:val="009651FC"/>
    <w:rsid w:val="00965A69"/>
    <w:rsid w:val="00965C33"/>
    <w:rsid w:val="00965D7B"/>
    <w:rsid w:val="00966276"/>
    <w:rsid w:val="009662DB"/>
    <w:rsid w:val="00966415"/>
    <w:rsid w:val="00966572"/>
    <w:rsid w:val="0096668A"/>
    <w:rsid w:val="00966E8A"/>
    <w:rsid w:val="00967BB2"/>
    <w:rsid w:val="00967E0F"/>
    <w:rsid w:val="00970A77"/>
    <w:rsid w:val="00970C60"/>
    <w:rsid w:val="00971050"/>
    <w:rsid w:val="00971140"/>
    <w:rsid w:val="00971763"/>
    <w:rsid w:val="009723C1"/>
    <w:rsid w:val="00972643"/>
    <w:rsid w:val="00972DA5"/>
    <w:rsid w:val="009737BD"/>
    <w:rsid w:val="009739CF"/>
    <w:rsid w:val="009744BC"/>
    <w:rsid w:val="00974B0E"/>
    <w:rsid w:val="00974D1F"/>
    <w:rsid w:val="0097504B"/>
    <w:rsid w:val="0097562C"/>
    <w:rsid w:val="00975A5A"/>
    <w:rsid w:val="0097638E"/>
    <w:rsid w:val="009763E0"/>
    <w:rsid w:val="009765E8"/>
    <w:rsid w:val="009766C6"/>
    <w:rsid w:val="00976855"/>
    <w:rsid w:val="00976A44"/>
    <w:rsid w:val="00977287"/>
    <w:rsid w:val="0097792F"/>
    <w:rsid w:val="00980015"/>
    <w:rsid w:val="009803F1"/>
    <w:rsid w:val="0098077C"/>
    <w:rsid w:val="009811D7"/>
    <w:rsid w:val="00981278"/>
    <w:rsid w:val="009812BA"/>
    <w:rsid w:val="00981826"/>
    <w:rsid w:val="00981F93"/>
    <w:rsid w:val="00982309"/>
    <w:rsid w:val="0098241A"/>
    <w:rsid w:val="009826CF"/>
    <w:rsid w:val="00982833"/>
    <w:rsid w:val="00982A4E"/>
    <w:rsid w:val="009833ED"/>
    <w:rsid w:val="00983696"/>
    <w:rsid w:val="00983B9C"/>
    <w:rsid w:val="00983CE1"/>
    <w:rsid w:val="009847AA"/>
    <w:rsid w:val="009847D2"/>
    <w:rsid w:val="009849BB"/>
    <w:rsid w:val="00985226"/>
    <w:rsid w:val="0098523B"/>
    <w:rsid w:val="0098562E"/>
    <w:rsid w:val="009856FA"/>
    <w:rsid w:val="00985CD4"/>
    <w:rsid w:val="0098648A"/>
    <w:rsid w:val="00986A7A"/>
    <w:rsid w:val="0098723E"/>
    <w:rsid w:val="009877E7"/>
    <w:rsid w:val="00987C55"/>
    <w:rsid w:val="00987FBD"/>
    <w:rsid w:val="0099010A"/>
    <w:rsid w:val="009901EC"/>
    <w:rsid w:val="0099062E"/>
    <w:rsid w:val="0099069A"/>
    <w:rsid w:val="009907B5"/>
    <w:rsid w:val="009907B9"/>
    <w:rsid w:val="00990C49"/>
    <w:rsid w:val="00990C7E"/>
    <w:rsid w:val="00990D9D"/>
    <w:rsid w:val="00991343"/>
    <w:rsid w:val="009918C3"/>
    <w:rsid w:val="00991F63"/>
    <w:rsid w:val="009927A5"/>
    <w:rsid w:val="00992911"/>
    <w:rsid w:val="00992BB4"/>
    <w:rsid w:val="00992C58"/>
    <w:rsid w:val="009930F8"/>
    <w:rsid w:val="00993597"/>
    <w:rsid w:val="0099394E"/>
    <w:rsid w:val="00993A3C"/>
    <w:rsid w:val="00993AF2"/>
    <w:rsid w:val="009949C2"/>
    <w:rsid w:val="0099511B"/>
    <w:rsid w:val="00995A0D"/>
    <w:rsid w:val="00995F32"/>
    <w:rsid w:val="00996010"/>
    <w:rsid w:val="00996553"/>
    <w:rsid w:val="00996994"/>
    <w:rsid w:val="00996AB3"/>
    <w:rsid w:val="00996F59"/>
    <w:rsid w:val="00997095"/>
    <w:rsid w:val="00997661"/>
    <w:rsid w:val="00997ADE"/>
    <w:rsid w:val="009A01D0"/>
    <w:rsid w:val="009A0361"/>
    <w:rsid w:val="009A06AB"/>
    <w:rsid w:val="009A0B61"/>
    <w:rsid w:val="009A1178"/>
    <w:rsid w:val="009A1C3F"/>
    <w:rsid w:val="009A1D46"/>
    <w:rsid w:val="009A204B"/>
    <w:rsid w:val="009A29DC"/>
    <w:rsid w:val="009A2C64"/>
    <w:rsid w:val="009A2D29"/>
    <w:rsid w:val="009A31D7"/>
    <w:rsid w:val="009A3925"/>
    <w:rsid w:val="009A3B61"/>
    <w:rsid w:val="009A3DF8"/>
    <w:rsid w:val="009A4226"/>
    <w:rsid w:val="009A4678"/>
    <w:rsid w:val="009A4ED0"/>
    <w:rsid w:val="009A5073"/>
    <w:rsid w:val="009A50D5"/>
    <w:rsid w:val="009A5747"/>
    <w:rsid w:val="009A5985"/>
    <w:rsid w:val="009A5CF5"/>
    <w:rsid w:val="009A5D5C"/>
    <w:rsid w:val="009A66C0"/>
    <w:rsid w:val="009A6C5D"/>
    <w:rsid w:val="009A6D70"/>
    <w:rsid w:val="009A6DBB"/>
    <w:rsid w:val="009A6F96"/>
    <w:rsid w:val="009A720E"/>
    <w:rsid w:val="009A72D5"/>
    <w:rsid w:val="009A738E"/>
    <w:rsid w:val="009A77D8"/>
    <w:rsid w:val="009B033E"/>
    <w:rsid w:val="009B0471"/>
    <w:rsid w:val="009B0900"/>
    <w:rsid w:val="009B093B"/>
    <w:rsid w:val="009B0CE5"/>
    <w:rsid w:val="009B0EFA"/>
    <w:rsid w:val="009B12A8"/>
    <w:rsid w:val="009B1FAD"/>
    <w:rsid w:val="009B270C"/>
    <w:rsid w:val="009B27BD"/>
    <w:rsid w:val="009B2B26"/>
    <w:rsid w:val="009B2C30"/>
    <w:rsid w:val="009B3886"/>
    <w:rsid w:val="009B3D32"/>
    <w:rsid w:val="009B3E08"/>
    <w:rsid w:val="009B3F5D"/>
    <w:rsid w:val="009B40C8"/>
    <w:rsid w:val="009B463F"/>
    <w:rsid w:val="009B4731"/>
    <w:rsid w:val="009B4A02"/>
    <w:rsid w:val="009B6665"/>
    <w:rsid w:val="009B672E"/>
    <w:rsid w:val="009B6861"/>
    <w:rsid w:val="009B6AA4"/>
    <w:rsid w:val="009B6C28"/>
    <w:rsid w:val="009B6D12"/>
    <w:rsid w:val="009B73F5"/>
    <w:rsid w:val="009B7732"/>
    <w:rsid w:val="009B7AAD"/>
    <w:rsid w:val="009C01B1"/>
    <w:rsid w:val="009C0669"/>
    <w:rsid w:val="009C080B"/>
    <w:rsid w:val="009C13D7"/>
    <w:rsid w:val="009C1876"/>
    <w:rsid w:val="009C1A33"/>
    <w:rsid w:val="009C1CD2"/>
    <w:rsid w:val="009C1F06"/>
    <w:rsid w:val="009C254E"/>
    <w:rsid w:val="009C25E1"/>
    <w:rsid w:val="009C2D9E"/>
    <w:rsid w:val="009C30FE"/>
    <w:rsid w:val="009C328D"/>
    <w:rsid w:val="009C38D7"/>
    <w:rsid w:val="009C3CE4"/>
    <w:rsid w:val="009C4C1B"/>
    <w:rsid w:val="009C4C38"/>
    <w:rsid w:val="009C4CED"/>
    <w:rsid w:val="009C4EE2"/>
    <w:rsid w:val="009C5018"/>
    <w:rsid w:val="009C5084"/>
    <w:rsid w:val="009C5D26"/>
    <w:rsid w:val="009C5DB8"/>
    <w:rsid w:val="009C60CD"/>
    <w:rsid w:val="009C64C1"/>
    <w:rsid w:val="009C76A8"/>
    <w:rsid w:val="009C7EF5"/>
    <w:rsid w:val="009C7F13"/>
    <w:rsid w:val="009D015E"/>
    <w:rsid w:val="009D0272"/>
    <w:rsid w:val="009D04AC"/>
    <w:rsid w:val="009D0691"/>
    <w:rsid w:val="009D0EC8"/>
    <w:rsid w:val="009D0F90"/>
    <w:rsid w:val="009D1358"/>
    <w:rsid w:val="009D1C05"/>
    <w:rsid w:val="009D1C3F"/>
    <w:rsid w:val="009D2351"/>
    <w:rsid w:val="009D2444"/>
    <w:rsid w:val="009D2586"/>
    <w:rsid w:val="009D2589"/>
    <w:rsid w:val="009D26B7"/>
    <w:rsid w:val="009D276B"/>
    <w:rsid w:val="009D29AE"/>
    <w:rsid w:val="009D2F13"/>
    <w:rsid w:val="009D2F6C"/>
    <w:rsid w:val="009D35FF"/>
    <w:rsid w:val="009D3625"/>
    <w:rsid w:val="009D3665"/>
    <w:rsid w:val="009D3DF9"/>
    <w:rsid w:val="009D49F2"/>
    <w:rsid w:val="009D4AFC"/>
    <w:rsid w:val="009D4DD6"/>
    <w:rsid w:val="009D5106"/>
    <w:rsid w:val="009D5267"/>
    <w:rsid w:val="009D537B"/>
    <w:rsid w:val="009D54E8"/>
    <w:rsid w:val="009D695C"/>
    <w:rsid w:val="009D6A5A"/>
    <w:rsid w:val="009D6D94"/>
    <w:rsid w:val="009D7427"/>
    <w:rsid w:val="009E008C"/>
    <w:rsid w:val="009E00C0"/>
    <w:rsid w:val="009E0179"/>
    <w:rsid w:val="009E056F"/>
    <w:rsid w:val="009E0B82"/>
    <w:rsid w:val="009E0E43"/>
    <w:rsid w:val="009E1355"/>
    <w:rsid w:val="009E1467"/>
    <w:rsid w:val="009E17C2"/>
    <w:rsid w:val="009E180D"/>
    <w:rsid w:val="009E1B23"/>
    <w:rsid w:val="009E1B6D"/>
    <w:rsid w:val="009E1B7A"/>
    <w:rsid w:val="009E1F53"/>
    <w:rsid w:val="009E2023"/>
    <w:rsid w:val="009E210E"/>
    <w:rsid w:val="009E22B3"/>
    <w:rsid w:val="009E2508"/>
    <w:rsid w:val="009E2651"/>
    <w:rsid w:val="009E2663"/>
    <w:rsid w:val="009E348E"/>
    <w:rsid w:val="009E34F6"/>
    <w:rsid w:val="009E3886"/>
    <w:rsid w:val="009E39C9"/>
    <w:rsid w:val="009E3BB1"/>
    <w:rsid w:val="009E4007"/>
    <w:rsid w:val="009E4F65"/>
    <w:rsid w:val="009E57C0"/>
    <w:rsid w:val="009E58A0"/>
    <w:rsid w:val="009E5AA3"/>
    <w:rsid w:val="009E5B6D"/>
    <w:rsid w:val="009E5BC6"/>
    <w:rsid w:val="009E638D"/>
    <w:rsid w:val="009E6A89"/>
    <w:rsid w:val="009E772D"/>
    <w:rsid w:val="009E778F"/>
    <w:rsid w:val="009F0338"/>
    <w:rsid w:val="009F0471"/>
    <w:rsid w:val="009F0A88"/>
    <w:rsid w:val="009F0B0C"/>
    <w:rsid w:val="009F144E"/>
    <w:rsid w:val="009F1F2D"/>
    <w:rsid w:val="009F1F81"/>
    <w:rsid w:val="009F245C"/>
    <w:rsid w:val="009F2623"/>
    <w:rsid w:val="009F2D8F"/>
    <w:rsid w:val="009F3897"/>
    <w:rsid w:val="009F396E"/>
    <w:rsid w:val="009F39A2"/>
    <w:rsid w:val="009F3ED1"/>
    <w:rsid w:val="009F3FC4"/>
    <w:rsid w:val="009F43CD"/>
    <w:rsid w:val="009F46CD"/>
    <w:rsid w:val="009F4B12"/>
    <w:rsid w:val="009F50D8"/>
    <w:rsid w:val="009F53CE"/>
    <w:rsid w:val="009F54B3"/>
    <w:rsid w:val="009F57E1"/>
    <w:rsid w:val="009F6437"/>
    <w:rsid w:val="009F6669"/>
    <w:rsid w:val="009F6B38"/>
    <w:rsid w:val="009F6BB7"/>
    <w:rsid w:val="009F77D7"/>
    <w:rsid w:val="009F78DE"/>
    <w:rsid w:val="009F796C"/>
    <w:rsid w:val="00A00245"/>
    <w:rsid w:val="00A00949"/>
    <w:rsid w:val="00A00C38"/>
    <w:rsid w:val="00A015A3"/>
    <w:rsid w:val="00A01711"/>
    <w:rsid w:val="00A0182A"/>
    <w:rsid w:val="00A018A3"/>
    <w:rsid w:val="00A01919"/>
    <w:rsid w:val="00A019B3"/>
    <w:rsid w:val="00A01C16"/>
    <w:rsid w:val="00A02D57"/>
    <w:rsid w:val="00A02D73"/>
    <w:rsid w:val="00A02DEA"/>
    <w:rsid w:val="00A02F28"/>
    <w:rsid w:val="00A03388"/>
    <w:rsid w:val="00A035A7"/>
    <w:rsid w:val="00A03C46"/>
    <w:rsid w:val="00A03F57"/>
    <w:rsid w:val="00A03F85"/>
    <w:rsid w:val="00A042D6"/>
    <w:rsid w:val="00A04374"/>
    <w:rsid w:val="00A0439A"/>
    <w:rsid w:val="00A0444F"/>
    <w:rsid w:val="00A04622"/>
    <w:rsid w:val="00A04ABC"/>
    <w:rsid w:val="00A04B39"/>
    <w:rsid w:val="00A04F6F"/>
    <w:rsid w:val="00A05209"/>
    <w:rsid w:val="00A05F80"/>
    <w:rsid w:val="00A0619F"/>
    <w:rsid w:val="00A06299"/>
    <w:rsid w:val="00A063EF"/>
    <w:rsid w:val="00A06C79"/>
    <w:rsid w:val="00A06CF3"/>
    <w:rsid w:val="00A07039"/>
    <w:rsid w:val="00A07140"/>
    <w:rsid w:val="00A07150"/>
    <w:rsid w:val="00A075C0"/>
    <w:rsid w:val="00A07766"/>
    <w:rsid w:val="00A07B0C"/>
    <w:rsid w:val="00A1041D"/>
    <w:rsid w:val="00A10934"/>
    <w:rsid w:val="00A10EF7"/>
    <w:rsid w:val="00A110B5"/>
    <w:rsid w:val="00A12146"/>
    <w:rsid w:val="00A12162"/>
    <w:rsid w:val="00A1218F"/>
    <w:rsid w:val="00A12842"/>
    <w:rsid w:val="00A12CD0"/>
    <w:rsid w:val="00A12CFF"/>
    <w:rsid w:val="00A12EED"/>
    <w:rsid w:val="00A1382D"/>
    <w:rsid w:val="00A138CC"/>
    <w:rsid w:val="00A138FB"/>
    <w:rsid w:val="00A13F88"/>
    <w:rsid w:val="00A14297"/>
    <w:rsid w:val="00A14989"/>
    <w:rsid w:val="00A14A2A"/>
    <w:rsid w:val="00A14C28"/>
    <w:rsid w:val="00A153E8"/>
    <w:rsid w:val="00A15544"/>
    <w:rsid w:val="00A155A8"/>
    <w:rsid w:val="00A15776"/>
    <w:rsid w:val="00A157CA"/>
    <w:rsid w:val="00A159C9"/>
    <w:rsid w:val="00A159DF"/>
    <w:rsid w:val="00A15A04"/>
    <w:rsid w:val="00A15B37"/>
    <w:rsid w:val="00A15E09"/>
    <w:rsid w:val="00A15E58"/>
    <w:rsid w:val="00A15FEF"/>
    <w:rsid w:val="00A163C7"/>
    <w:rsid w:val="00A1643C"/>
    <w:rsid w:val="00A166C7"/>
    <w:rsid w:val="00A16DB8"/>
    <w:rsid w:val="00A171A3"/>
    <w:rsid w:val="00A172D1"/>
    <w:rsid w:val="00A1788F"/>
    <w:rsid w:val="00A178A4"/>
    <w:rsid w:val="00A17A54"/>
    <w:rsid w:val="00A17D43"/>
    <w:rsid w:val="00A20444"/>
    <w:rsid w:val="00A20FA2"/>
    <w:rsid w:val="00A210DF"/>
    <w:rsid w:val="00A213B1"/>
    <w:rsid w:val="00A21427"/>
    <w:rsid w:val="00A21758"/>
    <w:rsid w:val="00A2201C"/>
    <w:rsid w:val="00A22254"/>
    <w:rsid w:val="00A22745"/>
    <w:rsid w:val="00A2276B"/>
    <w:rsid w:val="00A229AD"/>
    <w:rsid w:val="00A22AB7"/>
    <w:rsid w:val="00A22ED5"/>
    <w:rsid w:val="00A22FEA"/>
    <w:rsid w:val="00A2307C"/>
    <w:rsid w:val="00A232B5"/>
    <w:rsid w:val="00A237BE"/>
    <w:rsid w:val="00A237DF"/>
    <w:rsid w:val="00A23970"/>
    <w:rsid w:val="00A23A6B"/>
    <w:rsid w:val="00A23FC5"/>
    <w:rsid w:val="00A24319"/>
    <w:rsid w:val="00A2494E"/>
    <w:rsid w:val="00A249D2"/>
    <w:rsid w:val="00A2506D"/>
    <w:rsid w:val="00A25253"/>
    <w:rsid w:val="00A255C3"/>
    <w:rsid w:val="00A257D2"/>
    <w:rsid w:val="00A25F36"/>
    <w:rsid w:val="00A3087A"/>
    <w:rsid w:val="00A30AB3"/>
    <w:rsid w:val="00A30EDE"/>
    <w:rsid w:val="00A3171A"/>
    <w:rsid w:val="00A31954"/>
    <w:rsid w:val="00A32024"/>
    <w:rsid w:val="00A322C9"/>
    <w:rsid w:val="00A324DD"/>
    <w:rsid w:val="00A32F36"/>
    <w:rsid w:val="00A331DE"/>
    <w:rsid w:val="00A337D8"/>
    <w:rsid w:val="00A33BE9"/>
    <w:rsid w:val="00A33BFC"/>
    <w:rsid w:val="00A33DCD"/>
    <w:rsid w:val="00A34AAA"/>
    <w:rsid w:val="00A34BA2"/>
    <w:rsid w:val="00A34FD4"/>
    <w:rsid w:val="00A350CB"/>
    <w:rsid w:val="00A3513A"/>
    <w:rsid w:val="00A3545D"/>
    <w:rsid w:val="00A35550"/>
    <w:rsid w:val="00A3575B"/>
    <w:rsid w:val="00A35BE6"/>
    <w:rsid w:val="00A35FAD"/>
    <w:rsid w:val="00A369AD"/>
    <w:rsid w:val="00A36F1C"/>
    <w:rsid w:val="00A3720A"/>
    <w:rsid w:val="00A377C3"/>
    <w:rsid w:val="00A378D0"/>
    <w:rsid w:val="00A37DA5"/>
    <w:rsid w:val="00A4006F"/>
    <w:rsid w:val="00A40872"/>
    <w:rsid w:val="00A40DCE"/>
    <w:rsid w:val="00A414B7"/>
    <w:rsid w:val="00A41766"/>
    <w:rsid w:val="00A417F8"/>
    <w:rsid w:val="00A41980"/>
    <w:rsid w:val="00A41B75"/>
    <w:rsid w:val="00A41D60"/>
    <w:rsid w:val="00A41FFB"/>
    <w:rsid w:val="00A42C28"/>
    <w:rsid w:val="00A42F34"/>
    <w:rsid w:val="00A4338C"/>
    <w:rsid w:val="00A43814"/>
    <w:rsid w:val="00A43977"/>
    <w:rsid w:val="00A43AAD"/>
    <w:rsid w:val="00A43F4F"/>
    <w:rsid w:val="00A44EC5"/>
    <w:rsid w:val="00A45207"/>
    <w:rsid w:val="00A4534C"/>
    <w:rsid w:val="00A45AC1"/>
    <w:rsid w:val="00A45CCC"/>
    <w:rsid w:val="00A45DFB"/>
    <w:rsid w:val="00A4664E"/>
    <w:rsid w:val="00A46A3F"/>
    <w:rsid w:val="00A46C85"/>
    <w:rsid w:val="00A46E07"/>
    <w:rsid w:val="00A46E11"/>
    <w:rsid w:val="00A47DEA"/>
    <w:rsid w:val="00A501B7"/>
    <w:rsid w:val="00A50A58"/>
    <w:rsid w:val="00A50DD0"/>
    <w:rsid w:val="00A510B5"/>
    <w:rsid w:val="00A51542"/>
    <w:rsid w:val="00A51AF9"/>
    <w:rsid w:val="00A51D8C"/>
    <w:rsid w:val="00A52602"/>
    <w:rsid w:val="00A52AA0"/>
    <w:rsid w:val="00A52CCD"/>
    <w:rsid w:val="00A52D22"/>
    <w:rsid w:val="00A52FC2"/>
    <w:rsid w:val="00A543FE"/>
    <w:rsid w:val="00A545BF"/>
    <w:rsid w:val="00A54A66"/>
    <w:rsid w:val="00A54F11"/>
    <w:rsid w:val="00A555CF"/>
    <w:rsid w:val="00A558F1"/>
    <w:rsid w:val="00A55A0B"/>
    <w:rsid w:val="00A56553"/>
    <w:rsid w:val="00A56ECF"/>
    <w:rsid w:val="00A5778A"/>
    <w:rsid w:val="00A57891"/>
    <w:rsid w:val="00A57B44"/>
    <w:rsid w:val="00A57E45"/>
    <w:rsid w:val="00A57F21"/>
    <w:rsid w:val="00A601E8"/>
    <w:rsid w:val="00A60377"/>
    <w:rsid w:val="00A60886"/>
    <w:rsid w:val="00A60AE6"/>
    <w:rsid w:val="00A60C57"/>
    <w:rsid w:val="00A60EA6"/>
    <w:rsid w:val="00A611A2"/>
    <w:rsid w:val="00A6132E"/>
    <w:rsid w:val="00A61A78"/>
    <w:rsid w:val="00A61E26"/>
    <w:rsid w:val="00A62388"/>
    <w:rsid w:val="00A62696"/>
    <w:rsid w:val="00A62947"/>
    <w:rsid w:val="00A62A79"/>
    <w:rsid w:val="00A62A95"/>
    <w:rsid w:val="00A63A0F"/>
    <w:rsid w:val="00A63D1E"/>
    <w:rsid w:val="00A64007"/>
    <w:rsid w:val="00A641CA"/>
    <w:rsid w:val="00A649D1"/>
    <w:rsid w:val="00A650B3"/>
    <w:rsid w:val="00A658E3"/>
    <w:rsid w:val="00A65ADF"/>
    <w:rsid w:val="00A65F39"/>
    <w:rsid w:val="00A66AA1"/>
    <w:rsid w:val="00A66AC3"/>
    <w:rsid w:val="00A67741"/>
    <w:rsid w:val="00A70065"/>
    <w:rsid w:val="00A7039C"/>
    <w:rsid w:val="00A705AB"/>
    <w:rsid w:val="00A70B32"/>
    <w:rsid w:val="00A71569"/>
    <w:rsid w:val="00A719FB"/>
    <w:rsid w:val="00A71BED"/>
    <w:rsid w:val="00A7203A"/>
    <w:rsid w:val="00A721B9"/>
    <w:rsid w:val="00A7237F"/>
    <w:rsid w:val="00A7273E"/>
    <w:rsid w:val="00A727EB"/>
    <w:rsid w:val="00A7299C"/>
    <w:rsid w:val="00A729B1"/>
    <w:rsid w:val="00A73161"/>
    <w:rsid w:val="00A733A7"/>
    <w:rsid w:val="00A735FC"/>
    <w:rsid w:val="00A740D9"/>
    <w:rsid w:val="00A74284"/>
    <w:rsid w:val="00A746D0"/>
    <w:rsid w:val="00A74913"/>
    <w:rsid w:val="00A74BEF"/>
    <w:rsid w:val="00A752F7"/>
    <w:rsid w:val="00A75603"/>
    <w:rsid w:val="00A75654"/>
    <w:rsid w:val="00A7568E"/>
    <w:rsid w:val="00A75695"/>
    <w:rsid w:val="00A76158"/>
    <w:rsid w:val="00A7655B"/>
    <w:rsid w:val="00A767ED"/>
    <w:rsid w:val="00A769BA"/>
    <w:rsid w:val="00A76E10"/>
    <w:rsid w:val="00A77120"/>
    <w:rsid w:val="00A77A30"/>
    <w:rsid w:val="00A77A60"/>
    <w:rsid w:val="00A77B46"/>
    <w:rsid w:val="00A77C60"/>
    <w:rsid w:val="00A77FEA"/>
    <w:rsid w:val="00A8019D"/>
    <w:rsid w:val="00A80D1B"/>
    <w:rsid w:val="00A80DBE"/>
    <w:rsid w:val="00A81443"/>
    <w:rsid w:val="00A81497"/>
    <w:rsid w:val="00A815AF"/>
    <w:rsid w:val="00A816F7"/>
    <w:rsid w:val="00A82041"/>
    <w:rsid w:val="00A82296"/>
    <w:rsid w:val="00A82851"/>
    <w:rsid w:val="00A83056"/>
    <w:rsid w:val="00A8324D"/>
    <w:rsid w:val="00A833D6"/>
    <w:rsid w:val="00A83431"/>
    <w:rsid w:val="00A837A9"/>
    <w:rsid w:val="00A83E91"/>
    <w:rsid w:val="00A84192"/>
    <w:rsid w:val="00A846DC"/>
    <w:rsid w:val="00A849EB"/>
    <w:rsid w:val="00A84D74"/>
    <w:rsid w:val="00A85021"/>
    <w:rsid w:val="00A8505D"/>
    <w:rsid w:val="00A8542D"/>
    <w:rsid w:val="00A858E9"/>
    <w:rsid w:val="00A85DE5"/>
    <w:rsid w:val="00A86017"/>
    <w:rsid w:val="00A86465"/>
    <w:rsid w:val="00A86F4B"/>
    <w:rsid w:val="00A8793E"/>
    <w:rsid w:val="00A9008F"/>
    <w:rsid w:val="00A90297"/>
    <w:rsid w:val="00A90376"/>
    <w:rsid w:val="00A90DD9"/>
    <w:rsid w:val="00A90DE6"/>
    <w:rsid w:val="00A90F92"/>
    <w:rsid w:val="00A9106C"/>
    <w:rsid w:val="00A91377"/>
    <w:rsid w:val="00A91432"/>
    <w:rsid w:val="00A91CE0"/>
    <w:rsid w:val="00A92401"/>
    <w:rsid w:val="00A92BCE"/>
    <w:rsid w:val="00A92D5E"/>
    <w:rsid w:val="00A93012"/>
    <w:rsid w:val="00A938A9"/>
    <w:rsid w:val="00A93AF1"/>
    <w:rsid w:val="00A940D3"/>
    <w:rsid w:val="00A94B89"/>
    <w:rsid w:val="00A94BC5"/>
    <w:rsid w:val="00A94C25"/>
    <w:rsid w:val="00A94CFE"/>
    <w:rsid w:val="00A95388"/>
    <w:rsid w:val="00A9600D"/>
    <w:rsid w:val="00A962B9"/>
    <w:rsid w:val="00A962D7"/>
    <w:rsid w:val="00A9689D"/>
    <w:rsid w:val="00A96ECB"/>
    <w:rsid w:val="00A9736E"/>
    <w:rsid w:val="00A979A3"/>
    <w:rsid w:val="00AA02A9"/>
    <w:rsid w:val="00AA05DF"/>
    <w:rsid w:val="00AA08E7"/>
    <w:rsid w:val="00AA09D0"/>
    <w:rsid w:val="00AA0AC6"/>
    <w:rsid w:val="00AA138E"/>
    <w:rsid w:val="00AA19EB"/>
    <w:rsid w:val="00AA1CC7"/>
    <w:rsid w:val="00AA1D9B"/>
    <w:rsid w:val="00AA1DCA"/>
    <w:rsid w:val="00AA24AA"/>
    <w:rsid w:val="00AA25B4"/>
    <w:rsid w:val="00AA26C5"/>
    <w:rsid w:val="00AA2B22"/>
    <w:rsid w:val="00AA325A"/>
    <w:rsid w:val="00AA359F"/>
    <w:rsid w:val="00AA3888"/>
    <w:rsid w:val="00AA3DE2"/>
    <w:rsid w:val="00AA42FF"/>
    <w:rsid w:val="00AA4473"/>
    <w:rsid w:val="00AA464E"/>
    <w:rsid w:val="00AA4730"/>
    <w:rsid w:val="00AA4928"/>
    <w:rsid w:val="00AA4AF3"/>
    <w:rsid w:val="00AA4BB3"/>
    <w:rsid w:val="00AA4FCF"/>
    <w:rsid w:val="00AA5BD4"/>
    <w:rsid w:val="00AA5F50"/>
    <w:rsid w:val="00AA5F60"/>
    <w:rsid w:val="00AA61A9"/>
    <w:rsid w:val="00AA620F"/>
    <w:rsid w:val="00AA6876"/>
    <w:rsid w:val="00AA6B0C"/>
    <w:rsid w:val="00AA6B8C"/>
    <w:rsid w:val="00AA6CDE"/>
    <w:rsid w:val="00AA6D90"/>
    <w:rsid w:val="00AA6EBB"/>
    <w:rsid w:val="00AA6F0C"/>
    <w:rsid w:val="00AA72C7"/>
    <w:rsid w:val="00AA7BD2"/>
    <w:rsid w:val="00AA7C52"/>
    <w:rsid w:val="00AA7CC7"/>
    <w:rsid w:val="00AB00F8"/>
    <w:rsid w:val="00AB019E"/>
    <w:rsid w:val="00AB029E"/>
    <w:rsid w:val="00AB04A4"/>
    <w:rsid w:val="00AB06BD"/>
    <w:rsid w:val="00AB0D5D"/>
    <w:rsid w:val="00AB1CF5"/>
    <w:rsid w:val="00AB26A3"/>
    <w:rsid w:val="00AB2A11"/>
    <w:rsid w:val="00AB2AE4"/>
    <w:rsid w:val="00AB2B42"/>
    <w:rsid w:val="00AB2CA1"/>
    <w:rsid w:val="00AB34B6"/>
    <w:rsid w:val="00AB3961"/>
    <w:rsid w:val="00AB39A3"/>
    <w:rsid w:val="00AB3F47"/>
    <w:rsid w:val="00AB451E"/>
    <w:rsid w:val="00AB4BA3"/>
    <w:rsid w:val="00AB4DB4"/>
    <w:rsid w:val="00AB51FA"/>
    <w:rsid w:val="00AB5467"/>
    <w:rsid w:val="00AB5472"/>
    <w:rsid w:val="00AB58FB"/>
    <w:rsid w:val="00AB5D0C"/>
    <w:rsid w:val="00AB6296"/>
    <w:rsid w:val="00AB668B"/>
    <w:rsid w:val="00AB6709"/>
    <w:rsid w:val="00AB6C45"/>
    <w:rsid w:val="00AB6F28"/>
    <w:rsid w:val="00AB6FCC"/>
    <w:rsid w:val="00AB7339"/>
    <w:rsid w:val="00AB77C1"/>
    <w:rsid w:val="00AB790A"/>
    <w:rsid w:val="00AB7D84"/>
    <w:rsid w:val="00AC0322"/>
    <w:rsid w:val="00AC0577"/>
    <w:rsid w:val="00AC09D8"/>
    <w:rsid w:val="00AC0ACD"/>
    <w:rsid w:val="00AC11A9"/>
    <w:rsid w:val="00AC1347"/>
    <w:rsid w:val="00AC135A"/>
    <w:rsid w:val="00AC1657"/>
    <w:rsid w:val="00AC2332"/>
    <w:rsid w:val="00AC281C"/>
    <w:rsid w:val="00AC2BE8"/>
    <w:rsid w:val="00AC328C"/>
    <w:rsid w:val="00AC3392"/>
    <w:rsid w:val="00AC3B6A"/>
    <w:rsid w:val="00AC4117"/>
    <w:rsid w:val="00AC4567"/>
    <w:rsid w:val="00AC4AE4"/>
    <w:rsid w:val="00AC4CE4"/>
    <w:rsid w:val="00AC5926"/>
    <w:rsid w:val="00AC5C1C"/>
    <w:rsid w:val="00AC5C41"/>
    <w:rsid w:val="00AC619E"/>
    <w:rsid w:val="00AC72B6"/>
    <w:rsid w:val="00AC76D4"/>
    <w:rsid w:val="00AC7C52"/>
    <w:rsid w:val="00AC7CB6"/>
    <w:rsid w:val="00AD02D0"/>
    <w:rsid w:val="00AD045F"/>
    <w:rsid w:val="00AD057B"/>
    <w:rsid w:val="00AD0875"/>
    <w:rsid w:val="00AD16A2"/>
    <w:rsid w:val="00AD176C"/>
    <w:rsid w:val="00AD19E8"/>
    <w:rsid w:val="00AD1D36"/>
    <w:rsid w:val="00AD1EBB"/>
    <w:rsid w:val="00AD20F0"/>
    <w:rsid w:val="00AD2684"/>
    <w:rsid w:val="00AD2749"/>
    <w:rsid w:val="00AD29C8"/>
    <w:rsid w:val="00AD2FB1"/>
    <w:rsid w:val="00AD383C"/>
    <w:rsid w:val="00AD3EC2"/>
    <w:rsid w:val="00AD40AA"/>
    <w:rsid w:val="00AD429D"/>
    <w:rsid w:val="00AD4D17"/>
    <w:rsid w:val="00AD4E0C"/>
    <w:rsid w:val="00AD512F"/>
    <w:rsid w:val="00AD532E"/>
    <w:rsid w:val="00AD56D0"/>
    <w:rsid w:val="00AD5A00"/>
    <w:rsid w:val="00AD6205"/>
    <w:rsid w:val="00AD63AC"/>
    <w:rsid w:val="00AD6A6A"/>
    <w:rsid w:val="00AD721F"/>
    <w:rsid w:val="00AD77CF"/>
    <w:rsid w:val="00AD78FD"/>
    <w:rsid w:val="00AD79F5"/>
    <w:rsid w:val="00AD7C38"/>
    <w:rsid w:val="00AD7CDF"/>
    <w:rsid w:val="00AD7F2E"/>
    <w:rsid w:val="00AE0185"/>
    <w:rsid w:val="00AE0314"/>
    <w:rsid w:val="00AE0B3D"/>
    <w:rsid w:val="00AE0B81"/>
    <w:rsid w:val="00AE1093"/>
    <w:rsid w:val="00AE115E"/>
    <w:rsid w:val="00AE1239"/>
    <w:rsid w:val="00AE1BAA"/>
    <w:rsid w:val="00AE1E9B"/>
    <w:rsid w:val="00AE1F41"/>
    <w:rsid w:val="00AE27E1"/>
    <w:rsid w:val="00AE2EDF"/>
    <w:rsid w:val="00AE375D"/>
    <w:rsid w:val="00AE375E"/>
    <w:rsid w:val="00AE3EE8"/>
    <w:rsid w:val="00AE3FCA"/>
    <w:rsid w:val="00AE4046"/>
    <w:rsid w:val="00AE4334"/>
    <w:rsid w:val="00AE442D"/>
    <w:rsid w:val="00AE46BB"/>
    <w:rsid w:val="00AE4BE6"/>
    <w:rsid w:val="00AE521E"/>
    <w:rsid w:val="00AE526C"/>
    <w:rsid w:val="00AE54BE"/>
    <w:rsid w:val="00AE5714"/>
    <w:rsid w:val="00AE5F6E"/>
    <w:rsid w:val="00AE644A"/>
    <w:rsid w:val="00AE663E"/>
    <w:rsid w:val="00AE6978"/>
    <w:rsid w:val="00AE70AC"/>
    <w:rsid w:val="00AE72E8"/>
    <w:rsid w:val="00AE795B"/>
    <w:rsid w:val="00AF0639"/>
    <w:rsid w:val="00AF0BC1"/>
    <w:rsid w:val="00AF0C1B"/>
    <w:rsid w:val="00AF105C"/>
    <w:rsid w:val="00AF1A4F"/>
    <w:rsid w:val="00AF1D04"/>
    <w:rsid w:val="00AF2480"/>
    <w:rsid w:val="00AF278B"/>
    <w:rsid w:val="00AF2E28"/>
    <w:rsid w:val="00AF2FB0"/>
    <w:rsid w:val="00AF314A"/>
    <w:rsid w:val="00AF361C"/>
    <w:rsid w:val="00AF3770"/>
    <w:rsid w:val="00AF3FF9"/>
    <w:rsid w:val="00AF42AE"/>
    <w:rsid w:val="00AF445D"/>
    <w:rsid w:val="00AF44F2"/>
    <w:rsid w:val="00AF4C3A"/>
    <w:rsid w:val="00AF527D"/>
    <w:rsid w:val="00AF5AA1"/>
    <w:rsid w:val="00AF5F83"/>
    <w:rsid w:val="00AF682F"/>
    <w:rsid w:val="00AF687B"/>
    <w:rsid w:val="00AF690D"/>
    <w:rsid w:val="00AF6D46"/>
    <w:rsid w:val="00AF7472"/>
    <w:rsid w:val="00AF7533"/>
    <w:rsid w:val="00AF7685"/>
    <w:rsid w:val="00AF7A5D"/>
    <w:rsid w:val="00AF7AB1"/>
    <w:rsid w:val="00B0010F"/>
    <w:rsid w:val="00B0089C"/>
    <w:rsid w:val="00B008AE"/>
    <w:rsid w:val="00B009CF"/>
    <w:rsid w:val="00B0151A"/>
    <w:rsid w:val="00B02077"/>
    <w:rsid w:val="00B0219B"/>
    <w:rsid w:val="00B0290F"/>
    <w:rsid w:val="00B02E6E"/>
    <w:rsid w:val="00B02F3B"/>
    <w:rsid w:val="00B041FF"/>
    <w:rsid w:val="00B0424E"/>
    <w:rsid w:val="00B04590"/>
    <w:rsid w:val="00B04B1E"/>
    <w:rsid w:val="00B04FD0"/>
    <w:rsid w:val="00B05629"/>
    <w:rsid w:val="00B05C76"/>
    <w:rsid w:val="00B05CB4"/>
    <w:rsid w:val="00B05F15"/>
    <w:rsid w:val="00B06380"/>
    <w:rsid w:val="00B0693E"/>
    <w:rsid w:val="00B070CC"/>
    <w:rsid w:val="00B07342"/>
    <w:rsid w:val="00B0746E"/>
    <w:rsid w:val="00B076C5"/>
    <w:rsid w:val="00B079BF"/>
    <w:rsid w:val="00B07FC0"/>
    <w:rsid w:val="00B101D1"/>
    <w:rsid w:val="00B1031A"/>
    <w:rsid w:val="00B10D14"/>
    <w:rsid w:val="00B10D74"/>
    <w:rsid w:val="00B111ED"/>
    <w:rsid w:val="00B1169C"/>
    <w:rsid w:val="00B11955"/>
    <w:rsid w:val="00B11B6E"/>
    <w:rsid w:val="00B11DB6"/>
    <w:rsid w:val="00B1264D"/>
    <w:rsid w:val="00B126D3"/>
    <w:rsid w:val="00B12876"/>
    <w:rsid w:val="00B12CEF"/>
    <w:rsid w:val="00B12F5A"/>
    <w:rsid w:val="00B131FD"/>
    <w:rsid w:val="00B13452"/>
    <w:rsid w:val="00B134C2"/>
    <w:rsid w:val="00B13848"/>
    <w:rsid w:val="00B13B79"/>
    <w:rsid w:val="00B13F0C"/>
    <w:rsid w:val="00B13F10"/>
    <w:rsid w:val="00B14198"/>
    <w:rsid w:val="00B14805"/>
    <w:rsid w:val="00B1519A"/>
    <w:rsid w:val="00B15494"/>
    <w:rsid w:val="00B15561"/>
    <w:rsid w:val="00B160A7"/>
    <w:rsid w:val="00B162B5"/>
    <w:rsid w:val="00B166E7"/>
    <w:rsid w:val="00B16B87"/>
    <w:rsid w:val="00B1739E"/>
    <w:rsid w:val="00B174AC"/>
    <w:rsid w:val="00B17809"/>
    <w:rsid w:val="00B2007E"/>
    <w:rsid w:val="00B21186"/>
    <w:rsid w:val="00B21264"/>
    <w:rsid w:val="00B214CA"/>
    <w:rsid w:val="00B21E41"/>
    <w:rsid w:val="00B21E73"/>
    <w:rsid w:val="00B21F64"/>
    <w:rsid w:val="00B21FF6"/>
    <w:rsid w:val="00B22014"/>
    <w:rsid w:val="00B221EE"/>
    <w:rsid w:val="00B2239D"/>
    <w:rsid w:val="00B224A3"/>
    <w:rsid w:val="00B226DD"/>
    <w:rsid w:val="00B22700"/>
    <w:rsid w:val="00B22A53"/>
    <w:rsid w:val="00B22A6F"/>
    <w:rsid w:val="00B22AC7"/>
    <w:rsid w:val="00B231A5"/>
    <w:rsid w:val="00B231E7"/>
    <w:rsid w:val="00B237E5"/>
    <w:rsid w:val="00B2398A"/>
    <w:rsid w:val="00B23AEF"/>
    <w:rsid w:val="00B23EE7"/>
    <w:rsid w:val="00B24444"/>
    <w:rsid w:val="00B24629"/>
    <w:rsid w:val="00B24772"/>
    <w:rsid w:val="00B248BA"/>
    <w:rsid w:val="00B24B21"/>
    <w:rsid w:val="00B250D7"/>
    <w:rsid w:val="00B263C5"/>
    <w:rsid w:val="00B264F1"/>
    <w:rsid w:val="00B27366"/>
    <w:rsid w:val="00B27E42"/>
    <w:rsid w:val="00B30009"/>
    <w:rsid w:val="00B30556"/>
    <w:rsid w:val="00B30E6A"/>
    <w:rsid w:val="00B30EB8"/>
    <w:rsid w:val="00B30F95"/>
    <w:rsid w:val="00B310A7"/>
    <w:rsid w:val="00B3111C"/>
    <w:rsid w:val="00B3135E"/>
    <w:rsid w:val="00B32284"/>
    <w:rsid w:val="00B327E1"/>
    <w:rsid w:val="00B337AA"/>
    <w:rsid w:val="00B3384D"/>
    <w:rsid w:val="00B33859"/>
    <w:rsid w:val="00B33940"/>
    <w:rsid w:val="00B339D7"/>
    <w:rsid w:val="00B33B5D"/>
    <w:rsid w:val="00B34264"/>
    <w:rsid w:val="00B34527"/>
    <w:rsid w:val="00B3476C"/>
    <w:rsid w:val="00B34B22"/>
    <w:rsid w:val="00B34BF4"/>
    <w:rsid w:val="00B35688"/>
    <w:rsid w:val="00B35720"/>
    <w:rsid w:val="00B359E8"/>
    <w:rsid w:val="00B35A13"/>
    <w:rsid w:val="00B35ED2"/>
    <w:rsid w:val="00B35FB2"/>
    <w:rsid w:val="00B36195"/>
    <w:rsid w:val="00B36E3D"/>
    <w:rsid w:val="00B36FF8"/>
    <w:rsid w:val="00B37543"/>
    <w:rsid w:val="00B375F7"/>
    <w:rsid w:val="00B3787B"/>
    <w:rsid w:val="00B37D9C"/>
    <w:rsid w:val="00B4028C"/>
    <w:rsid w:val="00B402D1"/>
    <w:rsid w:val="00B40854"/>
    <w:rsid w:val="00B40BF5"/>
    <w:rsid w:val="00B40E6C"/>
    <w:rsid w:val="00B410F7"/>
    <w:rsid w:val="00B4124B"/>
    <w:rsid w:val="00B415D8"/>
    <w:rsid w:val="00B41755"/>
    <w:rsid w:val="00B41928"/>
    <w:rsid w:val="00B41A2A"/>
    <w:rsid w:val="00B42747"/>
    <w:rsid w:val="00B42B34"/>
    <w:rsid w:val="00B42BEA"/>
    <w:rsid w:val="00B42ED3"/>
    <w:rsid w:val="00B436D7"/>
    <w:rsid w:val="00B43F95"/>
    <w:rsid w:val="00B4496A"/>
    <w:rsid w:val="00B44A21"/>
    <w:rsid w:val="00B44E3F"/>
    <w:rsid w:val="00B453B6"/>
    <w:rsid w:val="00B45581"/>
    <w:rsid w:val="00B45C0F"/>
    <w:rsid w:val="00B45C4E"/>
    <w:rsid w:val="00B45D27"/>
    <w:rsid w:val="00B45EBF"/>
    <w:rsid w:val="00B461E3"/>
    <w:rsid w:val="00B4651E"/>
    <w:rsid w:val="00B465EF"/>
    <w:rsid w:val="00B46C15"/>
    <w:rsid w:val="00B46FE4"/>
    <w:rsid w:val="00B47002"/>
    <w:rsid w:val="00B47117"/>
    <w:rsid w:val="00B4752E"/>
    <w:rsid w:val="00B47A4A"/>
    <w:rsid w:val="00B47C3A"/>
    <w:rsid w:val="00B500E4"/>
    <w:rsid w:val="00B50C8F"/>
    <w:rsid w:val="00B512AC"/>
    <w:rsid w:val="00B5133A"/>
    <w:rsid w:val="00B51706"/>
    <w:rsid w:val="00B5184B"/>
    <w:rsid w:val="00B51901"/>
    <w:rsid w:val="00B51FCD"/>
    <w:rsid w:val="00B52359"/>
    <w:rsid w:val="00B5269E"/>
    <w:rsid w:val="00B52926"/>
    <w:rsid w:val="00B52B67"/>
    <w:rsid w:val="00B52F17"/>
    <w:rsid w:val="00B52F19"/>
    <w:rsid w:val="00B52F99"/>
    <w:rsid w:val="00B532D0"/>
    <w:rsid w:val="00B536CC"/>
    <w:rsid w:val="00B53824"/>
    <w:rsid w:val="00B53B0C"/>
    <w:rsid w:val="00B53DE2"/>
    <w:rsid w:val="00B541A7"/>
    <w:rsid w:val="00B542AB"/>
    <w:rsid w:val="00B544C6"/>
    <w:rsid w:val="00B54979"/>
    <w:rsid w:val="00B54A83"/>
    <w:rsid w:val="00B54B9B"/>
    <w:rsid w:val="00B555E4"/>
    <w:rsid w:val="00B55604"/>
    <w:rsid w:val="00B55948"/>
    <w:rsid w:val="00B559A8"/>
    <w:rsid w:val="00B56100"/>
    <w:rsid w:val="00B566AC"/>
    <w:rsid w:val="00B5773F"/>
    <w:rsid w:val="00B57BCD"/>
    <w:rsid w:val="00B57C65"/>
    <w:rsid w:val="00B57FA4"/>
    <w:rsid w:val="00B601F7"/>
    <w:rsid w:val="00B6067A"/>
    <w:rsid w:val="00B6083D"/>
    <w:rsid w:val="00B617D9"/>
    <w:rsid w:val="00B61B61"/>
    <w:rsid w:val="00B622F9"/>
    <w:rsid w:val="00B628DC"/>
    <w:rsid w:val="00B6329F"/>
    <w:rsid w:val="00B63C3C"/>
    <w:rsid w:val="00B63FCB"/>
    <w:rsid w:val="00B64C6F"/>
    <w:rsid w:val="00B64CF7"/>
    <w:rsid w:val="00B6500F"/>
    <w:rsid w:val="00B65128"/>
    <w:rsid w:val="00B6518D"/>
    <w:rsid w:val="00B65643"/>
    <w:rsid w:val="00B661C9"/>
    <w:rsid w:val="00B66287"/>
    <w:rsid w:val="00B66F76"/>
    <w:rsid w:val="00B670F0"/>
    <w:rsid w:val="00B67DBE"/>
    <w:rsid w:val="00B67FE8"/>
    <w:rsid w:val="00B70230"/>
    <w:rsid w:val="00B70232"/>
    <w:rsid w:val="00B703F1"/>
    <w:rsid w:val="00B70461"/>
    <w:rsid w:val="00B70B58"/>
    <w:rsid w:val="00B70D1A"/>
    <w:rsid w:val="00B70EB4"/>
    <w:rsid w:val="00B71314"/>
    <w:rsid w:val="00B7165D"/>
    <w:rsid w:val="00B717E6"/>
    <w:rsid w:val="00B71B60"/>
    <w:rsid w:val="00B71BCE"/>
    <w:rsid w:val="00B71D59"/>
    <w:rsid w:val="00B71E40"/>
    <w:rsid w:val="00B71ED7"/>
    <w:rsid w:val="00B71F6A"/>
    <w:rsid w:val="00B728B6"/>
    <w:rsid w:val="00B72958"/>
    <w:rsid w:val="00B729D6"/>
    <w:rsid w:val="00B72B0A"/>
    <w:rsid w:val="00B7364D"/>
    <w:rsid w:val="00B73DF6"/>
    <w:rsid w:val="00B74103"/>
    <w:rsid w:val="00B7411E"/>
    <w:rsid w:val="00B74220"/>
    <w:rsid w:val="00B74705"/>
    <w:rsid w:val="00B75041"/>
    <w:rsid w:val="00B752AA"/>
    <w:rsid w:val="00B752D2"/>
    <w:rsid w:val="00B75607"/>
    <w:rsid w:val="00B75A05"/>
    <w:rsid w:val="00B75B5B"/>
    <w:rsid w:val="00B760D4"/>
    <w:rsid w:val="00B761A7"/>
    <w:rsid w:val="00B761B6"/>
    <w:rsid w:val="00B76615"/>
    <w:rsid w:val="00B76A0D"/>
    <w:rsid w:val="00B76B45"/>
    <w:rsid w:val="00B76CB7"/>
    <w:rsid w:val="00B76D1E"/>
    <w:rsid w:val="00B76E5E"/>
    <w:rsid w:val="00B77DD0"/>
    <w:rsid w:val="00B77E37"/>
    <w:rsid w:val="00B77F8F"/>
    <w:rsid w:val="00B807B2"/>
    <w:rsid w:val="00B80DFC"/>
    <w:rsid w:val="00B812CB"/>
    <w:rsid w:val="00B81A7D"/>
    <w:rsid w:val="00B82AC0"/>
    <w:rsid w:val="00B82E42"/>
    <w:rsid w:val="00B832C4"/>
    <w:rsid w:val="00B8338D"/>
    <w:rsid w:val="00B837CF"/>
    <w:rsid w:val="00B83FF6"/>
    <w:rsid w:val="00B841A3"/>
    <w:rsid w:val="00B84721"/>
    <w:rsid w:val="00B84B31"/>
    <w:rsid w:val="00B84D54"/>
    <w:rsid w:val="00B84FE4"/>
    <w:rsid w:val="00B85815"/>
    <w:rsid w:val="00B85E05"/>
    <w:rsid w:val="00B864F7"/>
    <w:rsid w:val="00B870F5"/>
    <w:rsid w:val="00B87221"/>
    <w:rsid w:val="00B87421"/>
    <w:rsid w:val="00B87641"/>
    <w:rsid w:val="00B87E66"/>
    <w:rsid w:val="00B9000D"/>
    <w:rsid w:val="00B9026C"/>
    <w:rsid w:val="00B903F1"/>
    <w:rsid w:val="00B9045E"/>
    <w:rsid w:val="00B90694"/>
    <w:rsid w:val="00B90F40"/>
    <w:rsid w:val="00B9166D"/>
    <w:rsid w:val="00B916B7"/>
    <w:rsid w:val="00B91A29"/>
    <w:rsid w:val="00B91BD4"/>
    <w:rsid w:val="00B91FBB"/>
    <w:rsid w:val="00B92150"/>
    <w:rsid w:val="00B924F4"/>
    <w:rsid w:val="00B925AA"/>
    <w:rsid w:val="00B93554"/>
    <w:rsid w:val="00B93946"/>
    <w:rsid w:val="00B942AB"/>
    <w:rsid w:val="00B946C0"/>
    <w:rsid w:val="00B950E5"/>
    <w:rsid w:val="00B9573E"/>
    <w:rsid w:val="00B95948"/>
    <w:rsid w:val="00B95D1F"/>
    <w:rsid w:val="00B96154"/>
    <w:rsid w:val="00B9628A"/>
    <w:rsid w:val="00B962B3"/>
    <w:rsid w:val="00B96DD9"/>
    <w:rsid w:val="00B9708B"/>
    <w:rsid w:val="00B977C1"/>
    <w:rsid w:val="00B97DBE"/>
    <w:rsid w:val="00BA0AD8"/>
    <w:rsid w:val="00BA195D"/>
    <w:rsid w:val="00BA1E81"/>
    <w:rsid w:val="00BA21E4"/>
    <w:rsid w:val="00BA236D"/>
    <w:rsid w:val="00BA25DE"/>
    <w:rsid w:val="00BA25E6"/>
    <w:rsid w:val="00BA2773"/>
    <w:rsid w:val="00BA2A46"/>
    <w:rsid w:val="00BA2BAF"/>
    <w:rsid w:val="00BA3390"/>
    <w:rsid w:val="00BA39AF"/>
    <w:rsid w:val="00BA3C00"/>
    <w:rsid w:val="00BA3E6B"/>
    <w:rsid w:val="00BA42EB"/>
    <w:rsid w:val="00BA4A22"/>
    <w:rsid w:val="00BA4CCD"/>
    <w:rsid w:val="00BA544E"/>
    <w:rsid w:val="00BA5574"/>
    <w:rsid w:val="00BA63E8"/>
    <w:rsid w:val="00BA64E2"/>
    <w:rsid w:val="00BA6AE6"/>
    <w:rsid w:val="00BA74CC"/>
    <w:rsid w:val="00BB028C"/>
    <w:rsid w:val="00BB02F0"/>
    <w:rsid w:val="00BB0854"/>
    <w:rsid w:val="00BB0DF5"/>
    <w:rsid w:val="00BB0FCA"/>
    <w:rsid w:val="00BB10EE"/>
    <w:rsid w:val="00BB11FD"/>
    <w:rsid w:val="00BB2193"/>
    <w:rsid w:val="00BB23C8"/>
    <w:rsid w:val="00BB2770"/>
    <w:rsid w:val="00BB2905"/>
    <w:rsid w:val="00BB290E"/>
    <w:rsid w:val="00BB2938"/>
    <w:rsid w:val="00BB381C"/>
    <w:rsid w:val="00BB3949"/>
    <w:rsid w:val="00BB3966"/>
    <w:rsid w:val="00BB3C87"/>
    <w:rsid w:val="00BB5045"/>
    <w:rsid w:val="00BB52A1"/>
    <w:rsid w:val="00BB52AE"/>
    <w:rsid w:val="00BB574C"/>
    <w:rsid w:val="00BB5AE2"/>
    <w:rsid w:val="00BB5C09"/>
    <w:rsid w:val="00BB5C7D"/>
    <w:rsid w:val="00BB5F4C"/>
    <w:rsid w:val="00BB72AD"/>
    <w:rsid w:val="00BB7443"/>
    <w:rsid w:val="00BB76A5"/>
    <w:rsid w:val="00BB7763"/>
    <w:rsid w:val="00BB7777"/>
    <w:rsid w:val="00BB7812"/>
    <w:rsid w:val="00BB79B9"/>
    <w:rsid w:val="00BB7A44"/>
    <w:rsid w:val="00BC01E1"/>
    <w:rsid w:val="00BC098D"/>
    <w:rsid w:val="00BC0B83"/>
    <w:rsid w:val="00BC0F77"/>
    <w:rsid w:val="00BC0FCE"/>
    <w:rsid w:val="00BC1110"/>
    <w:rsid w:val="00BC18B0"/>
    <w:rsid w:val="00BC1B34"/>
    <w:rsid w:val="00BC2235"/>
    <w:rsid w:val="00BC25D3"/>
    <w:rsid w:val="00BC3071"/>
    <w:rsid w:val="00BC31E8"/>
    <w:rsid w:val="00BC3D52"/>
    <w:rsid w:val="00BC3FFD"/>
    <w:rsid w:val="00BC4648"/>
    <w:rsid w:val="00BC4DF1"/>
    <w:rsid w:val="00BC4FFE"/>
    <w:rsid w:val="00BC50F6"/>
    <w:rsid w:val="00BC55CC"/>
    <w:rsid w:val="00BC5696"/>
    <w:rsid w:val="00BC570A"/>
    <w:rsid w:val="00BC5B3E"/>
    <w:rsid w:val="00BC645C"/>
    <w:rsid w:val="00BC6662"/>
    <w:rsid w:val="00BC666F"/>
    <w:rsid w:val="00BC6CB6"/>
    <w:rsid w:val="00BC6E64"/>
    <w:rsid w:val="00BC79B1"/>
    <w:rsid w:val="00BC7D2B"/>
    <w:rsid w:val="00BC7E70"/>
    <w:rsid w:val="00BD00F2"/>
    <w:rsid w:val="00BD09FF"/>
    <w:rsid w:val="00BD0FF2"/>
    <w:rsid w:val="00BD15A1"/>
    <w:rsid w:val="00BD1D10"/>
    <w:rsid w:val="00BD2043"/>
    <w:rsid w:val="00BD212A"/>
    <w:rsid w:val="00BD2225"/>
    <w:rsid w:val="00BD2F7C"/>
    <w:rsid w:val="00BD30C7"/>
    <w:rsid w:val="00BD35B4"/>
    <w:rsid w:val="00BD37F1"/>
    <w:rsid w:val="00BD3CA5"/>
    <w:rsid w:val="00BD3D54"/>
    <w:rsid w:val="00BD4385"/>
    <w:rsid w:val="00BD4D9B"/>
    <w:rsid w:val="00BD5BE8"/>
    <w:rsid w:val="00BD5BEF"/>
    <w:rsid w:val="00BD5DB3"/>
    <w:rsid w:val="00BD6146"/>
    <w:rsid w:val="00BD64C8"/>
    <w:rsid w:val="00BD64F1"/>
    <w:rsid w:val="00BD655C"/>
    <w:rsid w:val="00BD66A3"/>
    <w:rsid w:val="00BD6951"/>
    <w:rsid w:val="00BD69F1"/>
    <w:rsid w:val="00BD7725"/>
    <w:rsid w:val="00BD7AEB"/>
    <w:rsid w:val="00BD7F81"/>
    <w:rsid w:val="00BE00B6"/>
    <w:rsid w:val="00BE04C2"/>
    <w:rsid w:val="00BE0639"/>
    <w:rsid w:val="00BE0686"/>
    <w:rsid w:val="00BE07C9"/>
    <w:rsid w:val="00BE0A2B"/>
    <w:rsid w:val="00BE10C1"/>
    <w:rsid w:val="00BE2272"/>
    <w:rsid w:val="00BE26CB"/>
    <w:rsid w:val="00BE27C0"/>
    <w:rsid w:val="00BE28F5"/>
    <w:rsid w:val="00BE3087"/>
    <w:rsid w:val="00BE3793"/>
    <w:rsid w:val="00BE3DA1"/>
    <w:rsid w:val="00BE3E4C"/>
    <w:rsid w:val="00BE4117"/>
    <w:rsid w:val="00BE4210"/>
    <w:rsid w:val="00BE49AE"/>
    <w:rsid w:val="00BE4D87"/>
    <w:rsid w:val="00BE4F26"/>
    <w:rsid w:val="00BE54B4"/>
    <w:rsid w:val="00BE5A90"/>
    <w:rsid w:val="00BE6613"/>
    <w:rsid w:val="00BE693C"/>
    <w:rsid w:val="00BE6E41"/>
    <w:rsid w:val="00BE7381"/>
    <w:rsid w:val="00BE73AD"/>
    <w:rsid w:val="00BE7640"/>
    <w:rsid w:val="00BE7CE6"/>
    <w:rsid w:val="00BF009B"/>
    <w:rsid w:val="00BF0539"/>
    <w:rsid w:val="00BF085F"/>
    <w:rsid w:val="00BF08D2"/>
    <w:rsid w:val="00BF1D61"/>
    <w:rsid w:val="00BF23B8"/>
    <w:rsid w:val="00BF27F1"/>
    <w:rsid w:val="00BF3228"/>
    <w:rsid w:val="00BF32F4"/>
    <w:rsid w:val="00BF365E"/>
    <w:rsid w:val="00BF3746"/>
    <w:rsid w:val="00BF3AD0"/>
    <w:rsid w:val="00BF3C08"/>
    <w:rsid w:val="00BF4109"/>
    <w:rsid w:val="00BF412C"/>
    <w:rsid w:val="00BF431F"/>
    <w:rsid w:val="00BF4603"/>
    <w:rsid w:val="00BF47CA"/>
    <w:rsid w:val="00BF4A60"/>
    <w:rsid w:val="00BF5227"/>
    <w:rsid w:val="00BF58D2"/>
    <w:rsid w:val="00BF5958"/>
    <w:rsid w:val="00BF5F9E"/>
    <w:rsid w:val="00BF63C9"/>
    <w:rsid w:val="00BF6475"/>
    <w:rsid w:val="00BF6BF9"/>
    <w:rsid w:val="00BF6E42"/>
    <w:rsid w:val="00BF6FA0"/>
    <w:rsid w:val="00BF7345"/>
    <w:rsid w:val="00BF7594"/>
    <w:rsid w:val="00BF78C6"/>
    <w:rsid w:val="00BF7C94"/>
    <w:rsid w:val="00C003C1"/>
    <w:rsid w:val="00C007ED"/>
    <w:rsid w:val="00C01A3F"/>
    <w:rsid w:val="00C01B7F"/>
    <w:rsid w:val="00C01F53"/>
    <w:rsid w:val="00C0232A"/>
    <w:rsid w:val="00C02572"/>
    <w:rsid w:val="00C02749"/>
    <w:rsid w:val="00C02C66"/>
    <w:rsid w:val="00C036B4"/>
    <w:rsid w:val="00C03793"/>
    <w:rsid w:val="00C04227"/>
    <w:rsid w:val="00C04531"/>
    <w:rsid w:val="00C0463E"/>
    <w:rsid w:val="00C04700"/>
    <w:rsid w:val="00C05850"/>
    <w:rsid w:val="00C05BD3"/>
    <w:rsid w:val="00C05D67"/>
    <w:rsid w:val="00C06164"/>
    <w:rsid w:val="00C061B3"/>
    <w:rsid w:val="00C0647A"/>
    <w:rsid w:val="00C0704E"/>
    <w:rsid w:val="00C076E2"/>
    <w:rsid w:val="00C0785E"/>
    <w:rsid w:val="00C0786F"/>
    <w:rsid w:val="00C078FF"/>
    <w:rsid w:val="00C101B2"/>
    <w:rsid w:val="00C104FF"/>
    <w:rsid w:val="00C10933"/>
    <w:rsid w:val="00C109E3"/>
    <w:rsid w:val="00C1137B"/>
    <w:rsid w:val="00C1149C"/>
    <w:rsid w:val="00C1161D"/>
    <w:rsid w:val="00C11FD1"/>
    <w:rsid w:val="00C124A3"/>
    <w:rsid w:val="00C131A2"/>
    <w:rsid w:val="00C132D5"/>
    <w:rsid w:val="00C13807"/>
    <w:rsid w:val="00C13812"/>
    <w:rsid w:val="00C139E1"/>
    <w:rsid w:val="00C13CD8"/>
    <w:rsid w:val="00C13DB0"/>
    <w:rsid w:val="00C14120"/>
    <w:rsid w:val="00C14154"/>
    <w:rsid w:val="00C14D11"/>
    <w:rsid w:val="00C14F55"/>
    <w:rsid w:val="00C160E1"/>
    <w:rsid w:val="00C16550"/>
    <w:rsid w:val="00C16ED9"/>
    <w:rsid w:val="00C172CA"/>
    <w:rsid w:val="00C174A4"/>
    <w:rsid w:val="00C175CA"/>
    <w:rsid w:val="00C177E0"/>
    <w:rsid w:val="00C17A92"/>
    <w:rsid w:val="00C17B93"/>
    <w:rsid w:val="00C2033E"/>
    <w:rsid w:val="00C205C8"/>
    <w:rsid w:val="00C207B7"/>
    <w:rsid w:val="00C209F7"/>
    <w:rsid w:val="00C210BB"/>
    <w:rsid w:val="00C21329"/>
    <w:rsid w:val="00C21633"/>
    <w:rsid w:val="00C21841"/>
    <w:rsid w:val="00C219F0"/>
    <w:rsid w:val="00C21C5E"/>
    <w:rsid w:val="00C21E45"/>
    <w:rsid w:val="00C21E4E"/>
    <w:rsid w:val="00C22D86"/>
    <w:rsid w:val="00C22E83"/>
    <w:rsid w:val="00C22EB9"/>
    <w:rsid w:val="00C23112"/>
    <w:rsid w:val="00C2340D"/>
    <w:rsid w:val="00C23642"/>
    <w:rsid w:val="00C236F3"/>
    <w:rsid w:val="00C23B35"/>
    <w:rsid w:val="00C23D11"/>
    <w:rsid w:val="00C23EC5"/>
    <w:rsid w:val="00C23F00"/>
    <w:rsid w:val="00C244AB"/>
    <w:rsid w:val="00C2537C"/>
    <w:rsid w:val="00C25B65"/>
    <w:rsid w:val="00C25D36"/>
    <w:rsid w:val="00C25FFF"/>
    <w:rsid w:val="00C265A7"/>
    <w:rsid w:val="00C26774"/>
    <w:rsid w:val="00C2683C"/>
    <w:rsid w:val="00C26AE6"/>
    <w:rsid w:val="00C27901"/>
    <w:rsid w:val="00C27F50"/>
    <w:rsid w:val="00C3049B"/>
    <w:rsid w:val="00C31094"/>
    <w:rsid w:val="00C31517"/>
    <w:rsid w:val="00C31A74"/>
    <w:rsid w:val="00C32798"/>
    <w:rsid w:val="00C32B40"/>
    <w:rsid w:val="00C32EB9"/>
    <w:rsid w:val="00C32FEA"/>
    <w:rsid w:val="00C331B2"/>
    <w:rsid w:val="00C3346D"/>
    <w:rsid w:val="00C33808"/>
    <w:rsid w:val="00C34E21"/>
    <w:rsid w:val="00C34ED0"/>
    <w:rsid w:val="00C34F03"/>
    <w:rsid w:val="00C359D3"/>
    <w:rsid w:val="00C35A09"/>
    <w:rsid w:val="00C35B25"/>
    <w:rsid w:val="00C35CB5"/>
    <w:rsid w:val="00C361AF"/>
    <w:rsid w:val="00C36507"/>
    <w:rsid w:val="00C36527"/>
    <w:rsid w:val="00C3685B"/>
    <w:rsid w:val="00C36C3F"/>
    <w:rsid w:val="00C36CEE"/>
    <w:rsid w:val="00C36F77"/>
    <w:rsid w:val="00C37137"/>
    <w:rsid w:val="00C3729C"/>
    <w:rsid w:val="00C37FDE"/>
    <w:rsid w:val="00C40428"/>
    <w:rsid w:val="00C4055A"/>
    <w:rsid w:val="00C407C5"/>
    <w:rsid w:val="00C40837"/>
    <w:rsid w:val="00C40B88"/>
    <w:rsid w:val="00C40D7D"/>
    <w:rsid w:val="00C4137E"/>
    <w:rsid w:val="00C41409"/>
    <w:rsid w:val="00C41818"/>
    <w:rsid w:val="00C41DD5"/>
    <w:rsid w:val="00C4237B"/>
    <w:rsid w:val="00C437AC"/>
    <w:rsid w:val="00C4384A"/>
    <w:rsid w:val="00C44229"/>
    <w:rsid w:val="00C44470"/>
    <w:rsid w:val="00C44670"/>
    <w:rsid w:val="00C446DB"/>
    <w:rsid w:val="00C44A80"/>
    <w:rsid w:val="00C45018"/>
    <w:rsid w:val="00C459A6"/>
    <w:rsid w:val="00C45A78"/>
    <w:rsid w:val="00C45B1F"/>
    <w:rsid w:val="00C463DB"/>
    <w:rsid w:val="00C46E2C"/>
    <w:rsid w:val="00C47525"/>
    <w:rsid w:val="00C47796"/>
    <w:rsid w:val="00C478C5"/>
    <w:rsid w:val="00C510E7"/>
    <w:rsid w:val="00C51864"/>
    <w:rsid w:val="00C518A6"/>
    <w:rsid w:val="00C51A6D"/>
    <w:rsid w:val="00C51C32"/>
    <w:rsid w:val="00C51D76"/>
    <w:rsid w:val="00C5282D"/>
    <w:rsid w:val="00C52B39"/>
    <w:rsid w:val="00C53145"/>
    <w:rsid w:val="00C5318B"/>
    <w:rsid w:val="00C531DD"/>
    <w:rsid w:val="00C53AC6"/>
    <w:rsid w:val="00C54499"/>
    <w:rsid w:val="00C5487D"/>
    <w:rsid w:val="00C548D8"/>
    <w:rsid w:val="00C549FC"/>
    <w:rsid w:val="00C54DC8"/>
    <w:rsid w:val="00C5583A"/>
    <w:rsid w:val="00C5648A"/>
    <w:rsid w:val="00C56A62"/>
    <w:rsid w:val="00C56F10"/>
    <w:rsid w:val="00C56FD1"/>
    <w:rsid w:val="00C578A5"/>
    <w:rsid w:val="00C57B53"/>
    <w:rsid w:val="00C57B63"/>
    <w:rsid w:val="00C605C0"/>
    <w:rsid w:val="00C606C3"/>
    <w:rsid w:val="00C60C00"/>
    <w:rsid w:val="00C60DD5"/>
    <w:rsid w:val="00C60F58"/>
    <w:rsid w:val="00C60F5D"/>
    <w:rsid w:val="00C6109E"/>
    <w:rsid w:val="00C6138C"/>
    <w:rsid w:val="00C61475"/>
    <w:rsid w:val="00C6153B"/>
    <w:rsid w:val="00C61560"/>
    <w:rsid w:val="00C61A31"/>
    <w:rsid w:val="00C61CA8"/>
    <w:rsid w:val="00C61EC2"/>
    <w:rsid w:val="00C61F65"/>
    <w:rsid w:val="00C6247E"/>
    <w:rsid w:val="00C6254F"/>
    <w:rsid w:val="00C62AC5"/>
    <w:rsid w:val="00C62D1C"/>
    <w:rsid w:val="00C63231"/>
    <w:rsid w:val="00C63256"/>
    <w:rsid w:val="00C6328B"/>
    <w:rsid w:val="00C633F9"/>
    <w:rsid w:val="00C63D2E"/>
    <w:rsid w:val="00C63EA9"/>
    <w:rsid w:val="00C63EC6"/>
    <w:rsid w:val="00C63ECF"/>
    <w:rsid w:val="00C63F18"/>
    <w:rsid w:val="00C64B44"/>
    <w:rsid w:val="00C64E33"/>
    <w:rsid w:val="00C6518B"/>
    <w:rsid w:val="00C656E3"/>
    <w:rsid w:val="00C65C46"/>
    <w:rsid w:val="00C65EF2"/>
    <w:rsid w:val="00C66B22"/>
    <w:rsid w:val="00C670CB"/>
    <w:rsid w:val="00C67173"/>
    <w:rsid w:val="00C67716"/>
    <w:rsid w:val="00C70126"/>
    <w:rsid w:val="00C707A5"/>
    <w:rsid w:val="00C70B70"/>
    <w:rsid w:val="00C70B8C"/>
    <w:rsid w:val="00C7119C"/>
    <w:rsid w:val="00C71243"/>
    <w:rsid w:val="00C7129E"/>
    <w:rsid w:val="00C71330"/>
    <w:rsid w:val="00C715A2"/>
    <w:rsid w:val="00C71740"/>
    <w:rsid w:val="00C720B6"/>
    <w:rsid w:val="00C720FE"/>
    <w:rsid w:val="00C7218C"/>
    <w:rsid w:val="00C72327"/>
    <w:rsid w:val="00C72401"/>
    <w:rsid w:val="00C731BA"/>
    <w:rsid w:val="00C734BB"/>
    <w:rsid w:val="00C7413B"/>
    <w:rsid w:val="00C74390"/>
    <w:rsid w:val="00C74A5B"/>
    <w:rsid w:val="00C75028"/>
    <w:rsid w:val="00C75061"/>
    <w:rsid w:val="00C75153"/>
    <w:rsid w:val="00C75276"/>
    <w:rsid w:val="00C7549E"/>
    <w:rsid w:val="00C758F3"/>
    <w:rsid w:val="00C7592C"/>
    <w:rsid w:val="00C75F3A"/>
    <w:rsid w:val="00C7643C"/>
    <w:rsid w:val="00C765D2"/>
    <w:rsid w:val="00C76BB1"/>
    <w:rsid w:val="00C77302"/>
    <w:rsid w:val="00C77396"/>
    <w:rsid w:val="00C77C0F"/>
    <w:rsid w:val="00C77E54"/>
    <w:rsid w:val="00C77F76"/>
    <w:rsid w:val="00C801FE"/>
    <w:rsid w:val="00C80714"/>
    <w:rsid w:val="00C80E4C"/>
    <w:rsid w:val="00C81276"/>
    <w:rsid w:val="00C8145F"/>
    <w:rsid w:val="00C818FA"/>
    <w:rsid w:val="00C81E16"/>
    <w:rsid w:val="00C82189"/>
    <w:rsid w:val="00C82C22"/>
    <w:rsid w:val="00C830EF"/>
    <w:rsid w:val="00C83185"/>
    <w:rsid w:val="00C835A9"/>
    <w:rsid w:val="00C83A3C"/>
    <w:rsid w:val="00C84333"/>
    <w:rsid w:val="00C84F68"/>
    <w:rsid w:val="00C8550F"/>
    <w:rsid w:val="00C85B8A"/>
    <w:rsid w:val="00C85D8B"/>
    <w:rsid w:val="00C85F46"/>
    <w:rsid w:val="00C866EE"/>
    <w:rsid w:val="00C868DC"/>
    <w:rsid w:val="00C86FE0"/>
    <w:rsid w:val="00C86FEE"/>
    <w:rsid w:val="00C87090"/>
    <w:rsid w:val="00C873E6"/>
    <w:rsid w:val="00C875E2"/>
    <w:rsid w:val="00C8760D"/>
    <w:rsid w:val="00C87B1B"/>
    <w:rsid w:val="00C87BB9"/>
    <w:rsid w:val="00C9001E"/>
    <w:rsid w:val="00C90C92"/>
    <w:rsid w:val="00C912DD"/>
    <w:rsid w:val="00C9162F"/>
    <w:rsid w:val="00C91CC1"/>
    <w:rsid w:val="00C91D9F"/>
    <w:rsid w:val="00C91FBB"/>
    <w:rsid w:val="00C923E1"/>
    <w:rsid w:val="00C9244C"/>
    <w:rsid w:val="00C925E5"/>
    <w:rsid w:val="00C92F40"/>
    <w:rsid w:val="00C935C8"/>
    <w:rsid w:val="00C93617"/>
    <w:rsid w:val="00C9375A"/>
    <w:rsid w:val="00C938CE"/>
    <w:rsid w:val="00C93BD6"/>
    <w:rsid w:val="00C93C5C"/>
    <w:rsid w:val="00C94534"/>
    <w:rsid w:val="00C948E5"/>
    <w:rsid w:val="00C949D7"/>
    <w:rsid w:val="00C957B4"/>
    <w:rsid w:val="00C96007"/>
    <w:rsid w:val="00C966BE"/>
    <w:rsid w:val="00C96C6A"/>
    <w:rsid w:val="00C96E77"/>
    <w:rsid w:val="00C9751F"/>
    <w:rsid w:val="00C97621"/>
    <w:rsid w:val="00C97771"/>
    <w:rsid w:val="00C97796"/>
    <w:rsid w:val="00C97E7C"/>
    <w:rsid w:val="00CA0349"/>
    <w:rsid w:val="00CA03C4"/>
    <w:rsid w:val="00CA043C"/>
    <w:rsid w:val="00CA105B"/>
    <w:rsid w:val="00CA15DD"/>
    <w:rsid w:val="00CA1E64"/>
    <w:rsid w:val="00CA2472"/>
    <w:rsid w:val="00CA249B"/>
    <w:rsid w:val="00CA2565"/>
    <w:rsid w:val="00CA2E09"/>
    <w:rsid w:val="00CA2EAA"/>
    <w:rsid w:val="00CA34D3"/>
    <w:rsid w:val="00CA39E3"/>
    <w:rsid w:val="00CA3C47"/>
    <w:rsid w:val="00CA44D0"/>
    <w:rsid w:val="00CA487F"/>
    <w:rsid w:val="00CA4925"/>
    <w:rsid w:val="00CA5121"/>
    <w:rsid w:val="00CA539A"/>
    <w:rsid w:val="00CA597B"/>
    <w:rsid w:val="00CA5CB4"/>
    <w:rsid w:val="00CA62A4"/>
    <w:rsid w:val="00CA6309"/>
    <w:rsid w:val="00CA63D6"/>
    <w:rsid w:val="00CA65C4"/>
    <w:rsid w:val="00CA6A35"/>
    <w:rsid w:val="00CA6A52"/>
    <w:rsid w:val="00CA6A7E"/>
    <w:rsid w:val="00CA6C57"/>
    <w:rsid w:val="00CA71A4"/>
    <w:rsid w:val="00CA7879"/>
    <w:rsid w:val="00CA7C63"/>
    <w:rsid w:val="00CB0088"/>
    <w:rsid w:val="00CB0513"/>
    <w:rsid w:val="00CB072A"/>
    <w:rsid w:val="00CB0A10"/>
    <w:rsid w:val="00CB1717"/>
    <w:rsid w:val="00CB17BC"/>
    <w:rsid w:val="00CB19AD"/>
    <w:rsid w:val="00CB19FB"/>
    <w:rsid w:val="00CB1C09"/>
    <w:rsid w:val="00CB1D6F"/>
    <w:rsid w:val="00CB2413"/>
    <w:rsid w:val="00CB245F"/>
    <w:rsid w:val="00CB2474"/>
    <w:rsid w:val="00CB270B"/>
    <w:rsid w:val="00CB2850"/>
    <w:rsid w:val="00CB2932"/>
    <w:rsid w:val="00CB3300"/>
    <w:rsid w:val="00CB4747"/>
    <w:rsid w:val="00CB4B3A"/>
    <w:rsid w:val="00CB4B45"/>
    <w:rsid w:val="00CB4D7D"/>
    <w:rsid w:val="00CB4E4C"/>
    <w:rsid w:val="00CB4FE3"/>
    <w:rsid w:val="00CB5401"/>
    <w:rsid w:val="00CB577E"/>
    <w:rsid w:val="00CB5A67"/>
    <w:rsid w:val="00CB5C1C"/>
    <w:rsid w:val="00CB6135"/>
    <w:rsid w:val="00CB63C7"/>
    <w:rsid w:val="00CB6518"/>
    <w:rsid w:val="00CB6698"/>
    <w:rsid w:val="00CB6BA0"/>
    <w:rsid w:val="00CB7201"/>
    <w:rsid w:val="00CB73A2"/>
    <w:rsid w:val="00CB757B"/>
    <w:rsid w:val="00CB7680"/>
    <w:rsid w:val="00CC056C"/>
    <w:rsid w:val="00CC0616"/>
    <w:rsid w:val="00CC0746"/>
    <w:rsid w:val="00CC0F39"/>
    <w:rsid w:val="00CC1371"/>
    <w:rsid w:val="00CC15C8"/>
    <w:rsid w:val="00CC1624"/>
    <w:rsid w:val="00CC24FD"/>
    <w:rsid w:val="00CC26F9"/>
    <w:rsid w:val="00CC270D"/>
    <w:rsid w:val="00CC2C6F"/>
    <w:rsid w:val="00CC2CFE"/>
    <w:rsid w:val="00CC2D79"/>
    <w:rsid w:val="00CC34F9"/>
    <w:rsid w:val="00CC3AC0"/>
    <w:rsid w:val="00CC3D0E"/>
    <w:rsid w:val="00CC42E5"/>
    <w:rsid w:val="00CC4533"/>
    <w:rsid w:val="00CC5000"/>
    <w:rsid w:val="00CC5370"/>
    <w:rsid w:val="00CC559C"/>
    <w:rsid w:val="00CC56BB"/>
    <w:rsid w:val="00CC5993"/>
    <w:rsid w:val="00CC5A17"/>
    <w:rsid w:val="00CC5CE8"/>
    <w:rsid w:val="00CC60BA"/>
    <w:rsid w:val="00CC6102"/>
    <w:rsid w:val="00CC61B1"/>
    <w:rsid w:val="00CC680D"/>
    <w:rsid w:val="00CC68BE"/>
    <w:rsid w:val="00CC6B6E"/>
    <w:rsid w:val="00CC6CBC"/>
    <w:rsid w:val="00CC6E30"/>
    <w:rsid w:val="00CC7047"/>
    <w:rsid w:val="00CC7426"/>
    <w:rsid w:val="00CC78AF"/>
    <w:rsid w:val="00CC7E48"/>
    <w:rsid w:val="00CD02DE"/>
    <w:rsid w:val="00CD0962"/>
    <w:rsid w:val="00CD1D6F"/>
    <w:rsid w:val="00CD1DF5"/>
    <w:rsid w:val="00CD26C7"/>
    <w:rsid w:val="00CD2C08"/>
    <w:rsid w:val="00CD2D5E"/>
    <w:rsid w:val="00CD408D"/>
    <w:rsid w:val="00CD41AF"/>
    <w:rsid w:val="00CD4454"/>
    <w:rsid w:val="00CD47C2"/>
    <w:rsid w:val="00CD495B"/>
    <w:rsid w:val="00CD4B52"/>
    <w:rsid w:val="00CD50A1"/>
    <w:rsid w:val="00CD515D"/>
    <w:rsid w:val="00CD5234"/>
    <w:rsid w:val="00CD5508"/>
    <w:rsid w:val="00CD590E"/>
    <w:rsid w:val="00CD5E17"/>
    <w:rsid w:val="00CD62C8"/>
    <w:rsid w:val="00CD657D"/>
    <w:rsid w:val="00CD691E"/>
    <w:rsid w:val="00CD692D"/>
    <w:rsid w:val="00CD6949"/>
    <w:rsid w:val="00CD6A3B"/>
    <w:rsid w:val="00CD72AF"/>
    <w:rsid w:val="00CD75F2"/>
    <w:rsid w:val="00CD777D"/>
    <w:rsid w:val="00CD78D6"/>
    <w:rsid w:val="00CD7C07"/>
    <w:rsid w:val="00CD7EBE"/>
    <w:rsid w:val="00CE0368"/>
    <w:rsid w:val="00CE0625"/>
    <w:rsid w:val="00CE0A0F"/>
    <w:rsid w:val="00CE0DA0"/>
    <w:rsid w:val="00CE13F7"/>
    <w:rsid w:val="00CE1B8A"/>
    <w:rsid w:val="00CE1E60"/>
    <w:rsid w:val="00CE1F49"/>
    <w:rsid w:val="00CE2115"/>
    <w:rsid w:val="00CE23FA"/>
    <w:rsid w:val="00CE2520"/>
    <w:rsid w:val="00CE25BA"/>
    <w:rsid w:val="00CE26DF"/>
    <w:rsid w:val="00CE38E9"/>
    <w:rsid w:val="00CE3D37"/>
    <w:rsid w:val="00CE3EB1"/>
    <w:rsid w:val="00CE3ED0"/>
    <w:rsid w:val="00CE42EC"/>
    <w:rsid w:val="00CE486F"/>
    <w:rsid w:val="00CE49B6"/>
    <w:rsid w:val="00CE4A4A"/>
    <w:rsid w:val="00CE53DA"/>
    <w:rsid w:val="00CE55F7"/>
    <w:rsid w:val="00CE56CB"/>
    <w:rsid w:val="00CE5AA4"/>
    <w:rsid w:val="00CE5ACF"/>
    <w:rsid w:val="00CE5C05"/>
    <w:rsid w:val="00CE622A"/>
    <w:rsid w:val="00CE6383"/>
    <w:rsid w:val="00CE6BCF"/>
    <w:rsid w:val="00CE7468"/>
    <w:rsid w:val="00CE77F0"/>
    <w:rsid w:val="00CF03E7"/>
    <w:rsid w:val="00CF0725"/>
    <w:rsid w:val="00CF0C28"/>
    <w:rsid w:val="00CF0C5B"/>
    <w:rsid w:val="00CF1089"/>
    <w:rsid w:val="00CF1A90"/>
    <w:rsid w:val="00CF1F75"/>
    <w:rsid w:val="00CF2019"/>
    <w:rsid w:val="00CF2110"/>
    <w:rsid w:val="00CF2307"/>
    <w:rsid w:val="00CF24E6"/>
    <w:rsid w:val="00CF28D5"/>
    <w:rsid w:val="00CF28FD"/>
    <w:rsid w:val="00CF2B37"/>
    <w:rsid w:val="00CF2C98"/>
    <w:rsid w:val="00CF31FC"/>
    <w:rsid w:val="00CF32FB"/>
    <w:rsid w:val="00CF45EA"/>
    <w:rsid w:val="00CF471F"/>
    <w:rsid w:val="00CF4A97"/>
    <w:rsid w:val="00CF4E52"/>
    <w:rsid w:val="00CF58FB"/>
    <w:rsid w:val="00CF5C66"/>
    <w:rsid w:val="00CF5F01"/>
    <w:rsid w:val="00CF6375"/>
    <w:rsid w:val="00CF63C7"/>
    <w:rsid w:val="00CF6E3B"/>
    <w:rsid w:val="00CF71DB"/>
    <w:rsid w:val="00CF7AFE"/>
    <w:rsid w:val="00D00BC8"/>
    <w:rsid w:val="00D00F0A"/>
    <w:rsid w:val="00D01A9B"/>
    <w:rsid w:val="00D01A9D"/>
    <w:rsid w:val="00D01F1F"/>
    <w:rsid w:val="00D020F9"/>
    <w:rsid w:val="00D02355"/>
    <w:rsid w:val="00D026E1"/>
    <w:rsid w:val="00D02C6C"/>
    <w:rsid w:val="00D02D5C"/>
    <w:rsid w:val="00D040AF"/>
    <w:rsid w:val="00D04712"/>
    <w:rsid w:val="00D047AC"/>
    <w:rsid w:val="00D04B0B"/>
    <w:rsid w:val="00D04C4D"/>
    <w:rsid w:val="00D05AAC"/>
    <w:rsid w:val="00D0612D"/>
    <w:rsid w:val="00D06158"/>
    <w:rsid w:val="00D064E2"/>
    <w:rsid w:val="00D06546"/>
    <w:rsid w:val="00D06CC4"/>
    <w:rsid w:val="00D06FC3"/>
    <w:rsid w:val="00D071CB"/>
    <w:rsid w:val="00D0727A"/>
    <w:rsid w:val="00D100A3"/>
    <w:rsid w:val="00D104AE"/>
    <w:rsid w:val="00D1192E"/>
    <w:rsid w:val="00D11A7B"/>
    <w:rsid w:val="00D11DC9"/>
    <w:rsid w:val="00D123D7"/>
    <w:rsid w:val="00D12494"/>
    <w:rsid w:val="00D12560"/>
    <w:rsid w:val="00D132D4"/>
    <w:rsid w:val="00D13529"/>
    <w:rsid w:val="00D14135"/>
    <w:rsid w:val="00D146D5"/>
    <w:rsid w:val="00D148FD"/>
    <w:rsid w:val="00D14A23"/>
    <w:rsid w:val="00D15903"/>
    <w:rsid w:val="00D15BAA"/>
    <w:rsid w:val="00D15BC7"/>
    <w:rsid w:val="00D15CC0"/>
    <w:rsid w:val="00D15F29"/>
    <w:rsid w:val="00D164EC"/>
    <w:rsid w:val="00D1686E"/>
    <w:rsid w:val="00D16ABA"/>
    <w:rsid w:val="00D178BC"/>
    <w:rsid w:val="00D17E3D"/>
    <w:rsid w:val="00D17EF6"/>
    <w:rsid w:val="00D17F85"/>
    <w:rsid w:val="00D20490"/>
    <w:rsid w:val="00D20D11"/>
    <w:rsid w:val="00D2103E"/>
    <w:rsid w:val="00D21F80"/>
    <w:rsid w:val="00D21FFD"/>
    <w:rsid w:val="00D220D1"/>
    <w:rsid w:val="00D2251C"/>
    <w:rsid w:val="00D22545"/>
    <w:rsid w:val="00D22D86"/>
    <w:rsid w:val="00D24245"/>
    <w:rsid w:val="00D24343"/>
    <w:rsid w:val="00D2458A"/>
    <w:rsid w:val="00D24806"/>
    <w:rsid w:val="00D24998"/>
    <w:rsid w:val="00D2547D"/>
    <w:rsid w:val="00D25758"/>
    <w:rsid w:val="00D25D60"/>
    <w:rsid w:val="00D2665F"/>
    <w:rsid w:val="00D26D96"/>
    <w:rsid w:val="00D26FFC"/>
    <w:rsid w:val="00D270D7"/>
    <w:rsid w:val="00D2742B"/>
    <w:rsid w:val="00D27755"/>
    <w:rsid w:val="00D27FBA"/>
    <w:rsid w:val="00D27FF2"/>
    <w:rsid w:val="00D30B41"/>
    <w:rsid w:val="00D30E82"/>
    <w:rsid w:val="00D30ED3"/>
    <w:rsid w:val="00D312E5"/>
    <w:rsid w:val="00D314CE"/>
    <w:rsid w:val="00D31552"/>
    <w:rsid w:val="00D317DD"/>
    <w:rsid w:val="00D31BD8"/>
    <w:rsid w:val="00D31E77"/>
    <w:rsid w:val="00D31E94"/>
    <w:rsid w:val="00D326CF"/>
    <w:rsid w:val="00D32938"/>
    <w:rsid w:val="00D3298F"/>
    <w:rsid w:val="00D32F3C"/>
    <w:rsid w:val="00D32FBB"/>
    <w:rsid w:val="00D33277"/>
    <w:rsid w:val="00D33611"/>
    <w:rsid w:val="00D33856"/>
    <w:rsid w:val="00D33BDF"/>
    <w:rsid w:val="00D33CE1"/>
    <w:rsid w:val="00D34270"/>
    <w:rsid w:val="00D34559"/>
    <w:rsid w:val="00D345B1"/>
    <w:rsid w:val="00D355C9"/>
    <w:rsid w:val="00D35EC2"/>
    <w:rsid w:val="00D3607D"/>
    <w:rsid w:val="00D36083"/>
    <w:rsid w:val="00D3608B"/>
    <w:rsid w:val="00D361E9"/>
    <w:rsid w:val="00D36572"/>
    <w:rsid w:val="00D36757"/>
    <w:rsid w:val="00D367FF"/>
    <w:rsid w:val="00D36A5B"/>
    <w:rsid w:val="00D36B8F"/>
    <w:rsid w:val="00D36BA2"/>
    <w:rsid w:val="00D370E5"/>
    <w:rsid w:val="00D3773F"/>
    <w:rsid w:val="00D37869"/>
    <w:rsid w:val="00D37F80"/>
    <w:rsid w:val="00D40081"/>
    <w:rsid w:val="00D407C6"/>
    <w:rsid w:val="00D40DB3"/>
    <w:rsid w:val="00D41150"/>
    <w:rsid w:val="00D413E5"/>
    <w:rsid w:val="00D41859"/>
    <w:rsid w:val="00D41898"/>
    <w:rsid w:val="00D4240F"/>
    <w:rsid w:val="00D4295C"/>
    <w:rsid w:val="00D43B02"/>
    <w:rsid w:val="00D43B58"/>
    <w:rsid w:val="00D43D1E"/>
    <w:rsid w:val="00D43FF7"/>
    <w:rsid w:val="00D443D6"/>
    <w:rsid w:val="00D44D92"/>
    <w:rsid w:val="00D4527D"/>
    <w:rsid w:val="00D4599E"/>
    <w:rsid w:val="00D45F6C"/>
    <w:rsid w:val="00D46690"/>
    <w:rsid w:val="00D46B0B"/>
    <w:rsid w:val="00D46E21"/>
    <w:rsid w:val="00D46EA3"/>
    <w:rsid w:val="00D46F46"/>
    <w:rsid w:val="00D478D7"/>
    <w:rsid w:val="00D47D70"/>
    <w:rsid w:val="00D50391"/>
    <w:rsid w:val="00D50558"/>
    <w:rsid w:val="00D505EC"/>
    <w:rsid w:val="00D5064D"/>
    <w:rsid w:val="00D50707"/>
    <w:rsid w:val="00D507CC"/>
    <w:rsid w:val="00D5088E"/>
    <w:rsid w:val="00D50B67"/>
    <w:rsid w:val="00D511D5"/>
    <w:rsid w:val="00D5143B"/>
    <w:rsid w:val="00D515BB"/>
    <w:rsid w:val="00D51AFA"/>
    <w:rsid w:val="00D5206A"/>
    <w:rsid w:val="00D526AA"/>
    <w:rsid w:val="00D529CC"/>
    <w:rsid w:val="00D52EED"/>
    <w:rsid w:val="00D53126"/>
    <w:rsid w:val="00D533EC"/>
    <w:rsid w:val="00D53AB2"/>
    <w:rsid w:val="00D53B1D"/>
    <w:rsid w:val="00D53CB8"/>
    <w:rsid w:val="00D5419C"/>
    <w:rsid w:val="00D54B4B"/>
    <w:rsid w:val="00D54DFA"/>
    <w:rsid w:val="00D54ECF"/>
    <w:rsid w:val="00D55175"/>
    <w:rsid w:val="00D55657"/>
    <w:rsid w:val="00D55892"/>
    <w:rsid w:val="00D55DEC"/>
    <w:rsid w:val="00D560E9"/>
    <w:rsid w:val="00D562FB"/>
    <w:rsid w:val="00D564D5"/>
    <w:rsid w:val="00D56678"/>
    <w:rsid w:val="00D568D1"/>
    <w:rsid w:val="00D56A55"/>
    <w:rsid w:val="00D5716A"/>
    <w:rsid w:val="00D57659"/>
    <w:rsid w:val="00D60452"/>
    <w:rsid w:val="00D60788"/>
    <w:rsid w:val="00D60A8D"/>
    <w:rsid w:val="00D60E17"/>
    <w:rsid w:val="00D61666"/>
    <w:rsid w:val="00D62659"/>
    <w:rsid w:val="00D6284B"/>
    <w:rsid w:val="00D62DE6"/>
    <w:rsid w:val="00D632C1"/>
    <w:rsid w:val="00D634BF"/>
    <w:rsid w:val="00D6376F"/>
    <w:rsid w:val="00D638A1"/>
    <w:rsid w:val="00D63E4A"/>
    <w:rsid w:val="00D64358"/>
    <w:rsid w:val="00D645E2"/>
    <w:rsid w:val="00D6478D"/>
    <w:rsid w:val="00D648B8"/>
    <w:rsid w:val="00D65A28"/>
    <w:rsid w:val="00D65FD6"/>
    <w:rsid w:val="00D66794"/>
    <w:rsid w:val="00D67622"/>
    <w:rsid w:val="00D678E4"/>
    <w:rsid w:val="00D679F7"/>
    <w:rsid w:val="00D67F2F"/>
    <w:rsid w:val="00D70393"/>
    <w:rsid w:val="00D7039C"/>
    <w:rsid w:val="00D70A64"/>
    <w:rsid w:val="00D717C7"/>
    <w:rsid w:val="00D719CC"/>
    <w:rsid w:val="00D71B5A"/>
    <w:rsid w:val="00D72656"/>
    <w:rsid w:val="00D72E7E"/>
    <w:rsid w:val="00D73874"/>
    <w:rsid w:val="00D7397B"/>
    <w:rsid w:val="00D73AF6"/>
    <w:rsid w:val="00D74359"/>
    <w:rsid w:val="00D74419"/>
    <w:rsid w:val="00D74538"/>
    <w:rsid w:val="00D74569"/>
    <w:rsid w:val="00D745DD"/>
    <w:rsid w:val="00D74A3B"/>
    <w:rsid w:val="00D74C21"/>
    <w:rsid w:val="00D74FE7"/>
    <w:rsid w:val="00D75499"/>
    <w:rsid w:val="00D75F65"/>
    <w:rsid w:val="00D75FD6"/>
    <w:rsid w:val="00D75FE7"/>
    <w:rsid w:val="00D767AF"/>
    <w:rsid w:val="00D76891"/>
    <w:rsid w:val="00D77147"/>
    <w:rsid w:val="00D775EE"/>
    <w:rsid w:val="00D77B0F"/>
    <w:rsid w:val="00D77B7D"/>
    <w:rsid w:val="00D77E77"/>
    <w:rsid w:val="00D8079E"/>
    <w:rsid w:val="00D80E12"/>
    <w:rsid w:val="00D816B3"/>
    <w:rsid w:val="00D819BE"/>
    <w:rsid w:val="00D81DEC"/>
    <w:rsid w:val="00D824C5"/>
    <w:rsid w:val="00D82B3E"/>
    <w:rsid w:val="00D82CD1"/>
    <w:rsid w:val="00D82D55"/>
    <w:rsid w:val="00D8363E"/>
    <w:rsid w:val="00D83BD3"/>
    <w:rsid w:val="00D83CB8"/>
    <w:rsid w:val="00D844A1"/>
    <w:rsid w:val="00D8481E"/>
    <w:rsid w:val="00D8499F"/>
    <w:rsid w:val="00D849E0"/>
    <w:rsid w:val="00D84A41"/>
    <w:rsid w:val="00D84B64"/>
    <w:rsid w:val="00D84CD9"/>
    <w:rsid w:val="00D84DA4"/>
    <w:rsid w:val="00D84E44"/>
    <w:rsid w:val="00D85826"/>
    <w:rsid w:val="00D85E40"/>
    <w:rsid w:val="00D85ED2"/>
    <w:rsid w:val="00D863A7"/>
    <w:rsid w:val="00D868CB"/>
    <w:rsid w:val="00D86C91"/>
    <w:rsid w:val="00D86F35"/>
    <w:rsid w:val="00D86F80"/>
    <w:rsid w:val="00D87335"/>
    <w:rsid w:val="00D8764F"/>
    <w:rsid w:val="00D87CED"/>
    <w:rsid w:val="00D87D21"/>
    <w:rsid w:val="00D9022F"/>
    <w:rsid w:val="00D9037A"/>
    <w:rsid w:val="00D90521"/>
    <w:rsid w:val="00D908DC"/>
    <w:rsid w:val="00D90BF8"/>
    <w:rsid w:val="00D90E15"/>
    <w:rsid w:val="00D91990"/>
    <w:rsid w:val="00D919D6"/>
    <w:rsid w:val="00D91B10"/>
    <w:rsid w:val="00D91C37"/>
    <w:rsid w:val="00D91FED"/>
    <w:rsid w:val="00D925B5"/>
    <w:rsid w:val="00D93215"/>
    <w:rsid w:val="00D93BE7"/>
    <w:rsid w:val="00D93CC2"/>
    <w:rsid w:val="00D93DC0"/>
    <w:rsid w:val="00D9454A"/>
    <w:rsid w:val="00D9505A"/>
    <w:rsid w:val="00D95260"/>
    <w:rsid w:val="00D96013"/>
    <w:rsid w:val="00D96222"/>
    <w:rsid w:val="00D9653E"/>
    <w:rsid w:val="00D965D0"/>
    <w:rsid w:val="00D96D91"/>
    <w:rsid w:val="00D975B6"/>
    <w:rsid w:val="00D9787C"/>
    <w:rsid w:val="00D979F7"/>
    <w:rsid w:val="00D97AAF"/>
    <w:rsid w:val="00D97DB2"/>
    <w:rsid w:val="00DA0329"/>
    <w:rsid w:val="00DA0E4B"/>
    <w:rsid w:val="00DA0F77"/>
    <w:rsid w:val="00DA2BC0"/>
    <w:rsid w:val="00DA2BE1"/>
    <w:rsid w:val="00DA342B"/>
    <w:rsid w:val="00DA360B"/>
    <w:rsid w:val="00DA36EB"/>
    <w:rsid w:val="00DA3DA0"/>
    <w:rsid w:val="00DA41AA"/>
    <w:rsid w:val="00DA42B7"/>
    <w:rsid w:val="00DA4335"/>
    <w:rsid w:val="00DA44B6"/>
    <w:rsid w:val="00DA459E"/>
    <w:rsid w:val="00DA4AEA"/>
    <w:rsid w:val="00DA4AFE"/>
    <w:rsid w:val="00DA4C75"/>
    <w:rsid w:val="00DA4C81"/>
    <w:rsid w:val="00DA4D12"/>
    <w:rsid w:val="00DA56ED"/>
    <w:rsid w:val="00DA59F4"/>
    <w:rsid w:val="00DA5E4B"/>
    <w:rsid w:val="00DA6164"/>
    <w:rsid w:val="00DA634F"/>
    <w:rsid w:val="00DA67EA"/>
    <w:rsid w:val="00DA6D40"/>
    <w:rsid w:val="00DA6D61"/>
    <w:rsid w:val="00DA6D69"/>
    <w:rsid w:val="00DA710A"/>
    <w:rsid w:val="00DA71A8"/>
    <w:rsid w:val="00DA7324"/>
    <w:rsid w:val="00DA7FEB"/>
    <w:rsid w:val="00DB021C"/>
    <w:rsid w:val="00DB07E6"/>
    <w:rsid w:val="00DB0ADF"/>
    <w:rsid w:val="00DB0B76"/>
    <w:rsid w:val="00DB1317"/>
    <w:rsid w:val="00DB199E"/>
    <w:rsid w:val="00DB1A7D"/>
    <w:rsid w:val="00DB1BBE"/>
    <w:rsid w:val="00DB1C35"/>
    <w:rsid w:val="00DB1EA4"/>
    <w:rsid w:val="00DB22E5"/>
    <w:rsid w:val="00DB2E5B"/>
    <w:rsid w:val="00DB33F6"/>
    <w:rsid w:val="00DB3881"/>
    <w:rsid w:val="00DB3F8A"/>
    <w:rsid w:val="00DB434C"/>
    <w:rsid w:val="00DB4D16"/>
    <w:rsid w:val="00DB522D"/>
    <w:rsid w:val="00DB568F"/>
    <w:rsid w:val="00DB57A7"/>
    <w:rsid w:val="00DB6AAC"/>
    <w:rsid w:val="00DB6C4C"/>
    <w:rsid w:val="00DB747A"/>
    <w:rsid w:val="00DC0486"/>
    <w:rsid w:val="00DC0933"/>
    <w:rsid w:val="00DC0A5C"/>
    <w:rsid w:val="00DC119F"/>
    <w:rsid w:val="00DC14FB"/>
    <w:rsid w:val="00DC174D"/>
    <w:rsid w:val="00DC2174"/>
    <w:rsid w:val="00DC23B9"/>
    <w:rsid w:val="00DC270C"/>
    <w:rsid w:val="00DC270E"/>
    <w:rsid w:val="00DC2795"/>
    <w:rsid w:val="00DC2D4C"/>
    <w:rsid w:val="00DC34ED"/>
    <w:rsid w:val="00DC38BC"/>
    <w:rsid w:val="00DC39BB"/>
    <w:rsid w:val="00DC456E"/>
    <w:rsid w:val="00DC498D"/>
    <w:rsid w:val="00DC4C42"/>
    <w:rsid w:val="00DC5090"/>
    <w:rsid w:val="00DC511D"/>
    <w:rsid w:val="00DC51A9"/>
    <w:rsid w:val="00DC62BA"/>
    <w:rsid w:val="00DC7176"/>
    <w:rsid w:val="00DC7805"/>
    <w:rsid w:val="00DC7E55"/>
    <w:rsid w:val="00DD00C5"/>
    <w:rsid w:val="00DD014B"/>
    <w:rsid w:val="00DD0365"/>
    <w:rsid w:val="00DD0378"/>
    <w:rsid w:val="00DD0485"/>
    <w:rsid w:val="00DD0A9B"/>
    <w:rsid w:val="00DD11D3"/>
    <w:rsid w:val="00DD15B1"/>
    <w:rsid w:val="00DD1701"/>
    <w:rsid w:val="00DD1D7F"/>
    <w:rsid w:val="00DD2179"/>
    <w:rsid w:val="00DD21DF"/>
    <w:rsid w:val="00DD22BC"/>
    <w:rsid w:val="00DD26E1"/>
    <w:rsid w:val="00DD2C4D"/>
    <w:rsid w:val="00DD2D75"/>
    <w:rsid w:val="00DD2E34"/>
    <w:rsid w:val="00DD3095"/>
    <w:rsid w:val="00DD3383"/>
    <w:rsid w:val="00DD35E1"/>
    <w:rsid w:val="00DD3D31"/>
    <w:rsid w:val="00DD41AD"/>
    <w:rsid w:val="00DD42D3"/>
    <w:rsid w:val="00DD484E"/>
    <w:rsid w:val="00DD49CE"/>
    <w:rsid w:val="00DD5094"/>
    <w:rsid w:val="00DD5336"/>
    <w:rsid w:val="00DD578F"/>
    <w:rsid w:val="00DD5882"/>
    <w:rsid w:val="00DD6101"/>
    <w:rsid w:val="00DD64C6"/>
    <w:rsid w:val="00DD66BA"/>
    <w:rsid w:val="00DD7513"/>
    <w:rsid w:val="00DD76C7"/>
    <w:rsid w:val="00DD7761"/>
    <w:rsid w:val="00DD77DD"/>
    <w:rsid w:val="00DD7DBC"/>
    <w:rsid w:val="00DE01AE"/>
    <w:rsid w:val="00DE0463"/>
    <w:rsid w:val="00DE1246"/>
    <w:rsid w:val="00DE138C"/>
    <w:rsid w:val="00DE1449"/>
    <w:rsid w:val="00DE1939"/>
    <w:rsid w:val="00DE1A20"/>
    <w:rsid w:val="00DE1D90"/>
    <w:rsid w:val="00DE27C3"/>
    <w:rsid w:val="00DE2B66"/>
    <w:rsid w:val="00DE2CA4"/>
    <w:rsid w:val="00DE310D"/>
    <w:rsid w:val="00DE3774"/>
    <w:rsid w:val="00DE3907"/>
    <w:rsid w:val="00DE39E4"/>
    <w:rsid w:val="00DE3A65"/>
    <w:rsid w:val="00DE3F03"/>
    <w:rsid w:val="00DE401E"/>
    <w:rsid w:val="00DE408A"/>
    <w:rsid w:val="00DE44FC"/>
    <w:rsid w:val="00DE4CB1"/>
    <w:rsid w:val="00DE4E95"/>
    <w:rsid w:val="00DE55D5"/>
    <w:rsid w:val="00DE62B5"/>
    <w:rsid w:val="00DE6346"/>
    <w:rsid w:val="00DE6474"/>
    <w:rsid w:val="00DE64E8"/>
    <w:rsid w:val="00DE6977"/>
    <w:rsid w:val="00DE6C3B"/>
    <w:rsid w:val="00DE6E72"/>
    <w:rsid w:val="00DE7545"/>
    <w:rsid w:val="00DE762D"/>
    <w:rsid w:val="00DE78A7"/>
    <w:rsid w:val="00DE7AA3"/>
    <w:rsid w:val="00DE7C9B"/>
    <w:rsid w:val="00DE7E3D"/>
    <w:rsid w:val="00DF05FC"/>
    <w:rsid w:val="00DF07D1"/>
    <w:rsid w:val="00DF0997"/>
    <w:rsid w:val="00DF0AF7"/>
    <w:rsid w:val="00DF0B7D"/>
    <w:rsid w:val="00DF0B90"/>
    <w:rsid w:val="00DF10AC"/>
    <w:rsid w:val="00DF160E"/>
    <w:rsid w:val="00DF1CA7"/>
    <w:rsid w:val="00DF20E4"/>
    <w:rsid w:val="00DF2643"/>
    <w:rsid w:val="00DF27DC"/>
    <w:rsid w:val="00DF2ACE"/>
    <w:rsid w:val="00DF2F9C"/>
    <w:rsid w:val="00DF30EC"/>
    <w:rsid w:val="00DF3485"/>
    <w:rsid w:val="00DF3659"/>
    <w:rsid w:val="00DF38C8"/>
    <w:rsid w:val="00DF437E"/>
    <w:rsid w:val="00DF4485"/>
    <w:rsid w:val="00DF465E"/>
    <w:rsid w:val="00DF478B"/>
    <w:rsid w:val="00DF5040"/>
    <w:rsid w:val="00DF50AC"/>
    <w:rsid w:val="00DF52F3"/>
    <w:rsid w:val="00DF53E0"/>
    <w:rsid w:val="00DF5EB2"/>
    <w:rsid w:val="00DF6526"/>
    <w:rsid w:val="00DF657F"/>
    <w:rsid w:val="00DF68AF"/>
    <w:rsid w:val="00DF6F2C"/>
    <w:rsid w:val="00DF708F"/>
    <w:rsid w:val="00DF7285"/>
    <w:rsid w:val="00DF7649"/>
    <w:rsid w:val="00DF7E44"/>
    <w:rsid w:val="00DF7F78"/>
    <w:rsid w:val="00E002B0"/>
    <w:rsid w:val="00E003BF"/>
    <w:rsid w:val="00E0192C"/>
    <w:rsid w:val="00E019DF"/>
    <w:rsid w:val="00E01BE7"/>
    <w:rsid w:val="00E022F5"/>
    <w:rsid w:val="00E02CB1"/>
    <w:rsid w:val="00E03308"/>
    <w:rsid w:val="00E03B0F"/>
    <w:rsid w:val="00E03C13"/>
    <w:rsid w:val="00E04056"/>
    <w:rsid w:val="00E0488F"/>
    <w:rsid w:val="00E04AB4"/>
    <w:rsid w:val="00E04DD1"/>
    <w:rsid w:val="00E04DD5"/>
    <w:rsid w:val="00E05210"/>
    <w:rsid w:val="00E05DA0"/>
    <w:rsid w:val="00E067F8"/>
    <w:rsid w:val="00E06AF8"/>
    <w:rsid w:val="00E06C44"/>
    <w:rsid w:val="00E06F2C"/>
    <w:rsid w:val="00E0722B"/>
    <w:rsid w:val="00E07459"/>
    <w:rsid w:val="00E0768B"/>
    <w:rsid w:val="00E0785E"/>
    <w:rsid w:val="00E07D9F"/>
    <w:rsid w:val="00E104D1"/>
    <w:rsid w:val="00E109FD"/>
    <w:rsid w:val="00E10A2A"/>
    <w:rsid w:val="00E10BF4"/>
    <w:rsid w:val="00E10D1F"/>
    <w:rsid w:val="00E11243"/>
    <w:rsid w:val="00E113B4"/>
    <w:rsid w:val="00E1167C"/>
    <w:rsid w:val="00E11BCC"/>
    <w:rsid w:val="00E11DB2"/>
    <w:rsid w:val="00E11FF6"/>
    <w:rsid w:val="00E12226"/>
    <w:rsid w:val="00E1229D"/>
    <w:rsid w:val="00E12845"/>
    <w:rsid w:val="00E12B35"/>
    <w:rsid w:val="00E12C36"/>
    <w:rsid w:val="00E12F7E"/>
    <w:rsid w:val="00E13B8E"/>
    <w:rsid w:val="00E13C10"/>
    <w:rsid w:val="00E13D96"/>
    <w:rsid w:val="00E14439"/>
    <w:rsid w:val="00E14532"/>
    <w:rsid w:val="00E14C69"/>
    <w:rsid w:val="00E14DE5"/>
    <w:rsid w:val="00E151FC"/>
    <w:rsid w:val="00E159CE"/>
    <w:rsid w:val="00E162CC"/>
    <w:rsid w:val="00E16849"/>
    <w:rsid w:val="00E17236"/>
    <w:rsid w:val="00E17EEA"/>
    <w:rsid w:val="00E20753"/>
    <w:rsid w:val="00E2082F"/>
    <w:rsid w:val="00E210C6"/>
    <w:rsid w:val="00E21844"/>
    <w:rsid w:val="00E218F0"/>
    <w:rsid w:val="00E22425"/>
    <w:rsid w:val="00E224D7"/>
    <w:rsid w:val="00E2255B"/>
    <w:rsid w:val="00E22E00"/>
    <w:rsid w:val="00E234A7"/>
    <w:rsid w:val="00E23611"/>
    <w:rsid w:val="00E2365B"/>
    <w:rsid w:val="00E23BF2"/>
    <w:rsid w:val="00E23C2C"/>
    <w:rsid w:val="00E240F1"/>
    <w:rsid w:val="00E2473D"/>
    <w:rsid w:val="00E24BC2"/>
    <w:rsid w:val="00E24D43"/>
    <w:rsid w:val="00E257E3"/>
    <w:rsid w:val="00E25C4C"/>
    <w:rsid w:val="00E25ED7"/>
    <w:rsid w:val="00E2606C"/>
    <w:rsid w:val="00E2624C"/>
    <w:rsid w:val="00E2654F"/>
    <w:rsid w:val="00E27039"/>
    <w:rsid w:val="00E271D7"/>
    <w:rsid w:val="00E27A52"/>
    <w:rsid w:val="00E300C5"/>
    <w:rsid w:val="00E303BD"/>
    <w:rsid w:val="00E303EB"/>
    <w:rsid w:val="00E308E0"/>
    <w:rsid w:val="00E30916"/>
    <w:rsid w:val="00E30944"/>
    <w:rsid w:val="00E30A7B"/>
    <w:rsid w:val="00E30D06"/>
    <w:rsid w:val="00E3167B"/>
    <w:rsid w:val="00E31816"/>
    <w:rsid w:val="00E319CA"/>
    <w:rsid w:val="00E31C95"/>
    <w:rsid w:val="00E32142"/>
    <w:rsid w:val="00E32287"/>
    <w:rsid w:val="00E32419"/>
    <w:rsid w:val="00E32C67"/>
    <w:rsid w:val="00E3424C"/>
    <w:rsid w:val="00E34EB0"/>
    <w:rsid w:val="00E35B73"/>
    <w:rsid w:val="00E35E4C"/>
    <w:rsid w:val="00E36227"/>
    <w:rsid w:val="00E36CE1"/>
    <w:rsid w:val="00E36E9E"/>
    <w:rsid w:val="00E37389"/>
    <w:rsid w:val="00E37A1D"/>
    <w:rsid w:val="00E37D36"/>
    <w:rsid w:val="00E40206"/>
    <w:rsid w:val="00E404CB"/>
    <w:rsid w:val="00E40E25"/>
    <w:rsid w:val="00E40E9F"/>
    <w:rsid w:val="00E41201"/>
    <w:rsid w:val="00E416EA"/>
    <w:rsid w:val="00E4193B"/>
    <w:rsid w:val="00E41A0C"/>
    <w:rsid w:val="00E41F26"/>
    <w:rsid w:val="00E422F0"/>
    <w:rsid w:val="00E424D5"/>
    <w:rsid w:val="00E42558"/>
    <w:rsid w:val="00E425F1"/>
    <w:rsid w:val="00E42BE5"/>
    <w:rsid w:val="00E42C3B"/>
    <w:rsid w:val="00E4354C"/>
    <w:rsid w:val="00E43A17"/>
    <w:rsid w:val="00E43F63"/>
    <w:rsid w:val="00E4419B"/>
    <w:rsid w:val="00E4445B"/>
    <w:rsid w:val="00E44EA1"/>
    <w:rsid w:val="00E451C6"/>
    <w:rsid w:val="00E45843"/>
    <w:rsid w:val="00E45C72"/>
    <w:rsid w:val="00E45EB6"/>
    <w:rsid w:val="00E46323"/>
    <w:rsid w:val="00E4634D"/>
    <w:rsid w:val="00E463FC"/>
    <w:rsid w:val="00E4641D"/>
    <w:rsid w:val="00E467A6"/>
    <w:rsid w:val="00E46CCC"/>
    <w:rsid w:val="00E47076"/>
    <w:rsid w:val="00E4713B"/>
    <w:rsid w:val="00E4729C"/>
    <w:rsid w:val="00E47781"/>
    <w:rsid w:val="00E47C73"/>
    <w:rsid w:val="00E47CE4"/>
    <w:rsid w:val="00E50119"/>
    <w:rsid w:val="00E502C9"/>
    <w:rsid w:val="00E5046A"/>
    <w:rsid w:val="00E51235"/>
    <w:rsid w:val="00E5123E"/>
    <w:rsid w:val="00E5128E"/>
    <w:rsid w:val="00E519AA"/>
    <w:rsid w:val="00E51B49"/>
    <w:rsid w:val="00E5273F"/>
    <w:rsid w:val="00E52A15"/>
    <w:rsid w:val="00E52D45"/>
    <w:rsid w:val="00E53333"/>
    <w:rsid w:val="00E5343F"/>
    <w:rsid w:val="00E5370B"/>
    <w:rsid w:val="00E538FC"/>
    <w:rsid w:val="00E53965"/>
    <w:rsid w:val="00E53E61"/>
    <w:rsid w:val="00E54074"/>
    <w:rsid w:val="00E540BC"/>
    <w:rsid w:val="00E5440D"/>
    <w:rsid w:val="00E545F2"/>
    <w:rsid w:val="00E5540C"/>
    <w:rsid w:val="00E554BB"/>
    <w:rsid w:val="00E5553D"/>
    <w:rsid w:val="00E5562C"/>
    <w:rsid w:val="00E559D5"/>
    <w:rsid w:val="00E55C5A"/>
    <w:rsid w:val="00E56014"/>
    <w:rsid w:val="00E568DD"/>
    <w:rsid w:val="00E57023"/>
    <w:rsid w:val="00E57245"/>
    <w:rsid w:val="00E5747B"/>
    <w:rsid w:val="00E57922"/>
    <w:rsid w:val="00E57A55"/>
    <w:rsid w:val="00E57EC9"/>
    <w:rsid w:val="00E60168"/>
    <w:rsid w:val="00E605E3"/>
    <w:rsid w:val="00E60701"/>
    <w:rsid w:val="00E60FAF"/>
    <w:rsid w:val="00E618E0"/>
    <w:rsid w:val="00E61A90"/>
    <w:rsid w:val="00E61D7C"/>
    <w:rsid w:val="00E622C0"/>
    <w:rsid w:val="00E623F8"/>
    <w:rsid w:val="00E626D0"/>
    <w:rsid w:val="00E62CCC"/>
    <w:rsid w:val="00E638C8"/>
    <w:rsid w:val="00E644B6"/>
    <w:rsid w:val="00E64777"/>
    <w:rsid w:val="00E64F3A"/>
    <w:rsid w:val="00E64F98"/>
    <w:rsid w:val="00E65479"/>
    <w:rsid w:val="00E6570A"/>
    <w:rsid w:val="00E657C3"/>
    <w:rsid w:val="00E65A62"/>
    <w:rsid w:val="00E66331"/>
    <w:rsid w:val="00E66768"/>
    <w:rsid w:val="00E66BF4"/>
    <w:rsid w:val="00E66F03"/>
    <w:rsid w:val="00E67E40"/>
    <w:rsid w:val="00E70AFE"/>
    <w:rsid w:val="00E70B0D"/>
    <w:rsid w:val="00E70F90"/>
    <w:rsid w:val="00E71001"/>
    <w:rsid w:val="00E71097"/>
    <w:rsid w:val="00E71192"/>
    <w:rsid w:val="00E71703"/>
    <w:rsid w:val="00E71F17"/>
    <w:rsid w:val="00E728AC"/>
    <w:rsid w:val="00E73804"/>
    <w:rsid w:val="00E739D3"/>
    <w:rsid w:val="00E742D5"/>
    <w:rsid w:val="00E7442D"/>
    <w:rsid w:val="00E74562"/>
    <w:rsid w:val="00E7489A"/>
    <w:rsid w:val="00E74A87"/>
    <w:rsid w:val="00E74A96"/>
    <w:rsid w:val="00E74BE9"/>
    <w:rsid w:val="00E74C56"/>
    <w:rsid w:val="00E756DF"/>
    <w:rsid w:val="00E757D3"/>
    <w:rsid w:val="00E757F2"/>
    <w:rsid w:val="00E7591C"/>
    <w:rsid w:val="00E761FF"/>
    <w:rsid w:val="00E76AFA"/>
    <w:rsid w:val="00E76B33"/>
    <w:rsid w:val="00E76C10"/>
    <w:rsid w:val="00E76C58"/>
    <w:rsid w:val="00E77434"/>
    <w:rsid w:val="00E77A97"/>
    <w:rsid w:val="00E77E75"/>
    <w:rsid w:val="00E802F1"/>
    <w:rsid w:val="00E80627"/>
    <w:rsid w:val="00E8086C"/>
    <w:rsid w:val="00E80FCC"/>
    <w:rsid w:val="00E813AA"/>
    <w:rsid w:val="00E81BDB"/>
    <w:rsid w:val="00E82238"/>
    <w:rsid w:val="00E82888"/>
    <w:rsid w:val="00E82EBE"/>
    <w:rsid w:val="00E83627"/>
    <w:rsid w:val="00E83A08"/>
    <w:rsid w:val="00E83ADF"/>
    <w:rsid w:val="00E840F0"/>
    <w:rsid w:val="00E84AA7"/>
    <w:rsid w:val="00E8575A"/>
    <w:rsid w:val="00E85891"/>
    <w:rsid w:val="00E85939"/>
    <w:rsid w:val="00E85AE8"/>
    <w:rsid w:val="00E85CF8"/>
    <w:rsid w:val="00E85E2D"/>
    <w:rsid w:val="00E8691A"/>
    <w:rsid w:val="00E86BCE"/>
    <w:rsid w:val="00E86FAD"/>
    <w:rsid w:val="00E872DA"/>
    <w:rsid w:val="00E87B15"/>
    <w:rsid w:val="00E87E03"/>
    <w:rsid w:val="00E87E1E"/>
    <w:rsid w:val="00E900F1"/>
    <w:rsid w:val="00E90351"/>
    <w:rsid w:val="00E9039B"/>
    <w:rsid w:val="00E90E43"/>
    <w:rsid w:val="00E90F32"/>
    <w:rsid w:val="00E90F63"/>
    <w:rsid w:val="00E9105A"/>
    <w:rsid w:val="00E91235"/>
    <w:rsid w:val="00E915F8"/>
    <w:rsid w:val="00E91E95"/>
    <w:rsid w:val="00E91F3B"/>
    <w:rsid w:val="00E91F9C"/>
    <w:rsid w:val="00E920A9"/>
    <w:rsid w:val="00E921DA"/>
    <w:rsid w:val="00E923AE"/>
    <w:rsid w:val="00E92471"/>
    <w:rsid w:val="00E926D8"/>
    <w:rsid w:val="00E9287D"/>
    <w:rsid w:val="00E92C6D"/>
    <w:rsid w:val="00E9409C"/>
    <w:rsid w:val="00E94900"/>
    <w:rsid w:val="00E94EFC"/>
    <w:rsid w:val="00E953BF"/>
    <w:rsid w:val="00E95574"/>
    <w:rsid w:val="00E95821"/>
    <w:rsid w:val="00E958EF"/>
    <w:rsid w:val="00E95AEC"/>
    <w:rsid w:val="00E95D4F"/>
    <w:rsid w:val="00E965E6"/>
    <w:rsid w:val="00E966D0"/>
    <w:rsid w:val="00E968A7"/>
    <w:rsid w:val="00E96A98"/>
    <w:rsid w:val="00E96AE8"/>
    <w:rsid w:val="00E96BFD"/>
    <w:rsid w:val="00E97E40"/>
    <w:rsid w:val="00EA03CD"/>
    <w:rsid w:val="00EA0472"/>
    <w:rsid w:val="00EA0566"/>
    <w:rsid w:val="00EA0CDF"/>
    <w:rsid w:val="00EA0E26"/>
    <w:rsid w:val="00EA0F57"/>
    <w:rsid w:val="00EA13FB"/>
    <w:rsid w:val="00EA1410"/>
    <w:rsid w:val="00EA157C"/>
    <w:rsid w:val="00EA1EC1"/>
    <w:rsid w:val="00EA2831"/>
    <w:rsid w:val="00EA2C0E"/>
    <w:rsid w:val="00EA2EA5"/>
    <w:rsid w:val="00EA31B2"/>
    <w:rsid w:val="00EA3FF8"/>
    <w:rsid w:val="00EA4952"/>
    <w:rsid w:val="00EA4BD7"/>
    <w:rsid w:val="00EA4D11"/>
    <w:rsid w:val="00EA4E35"/>
    <w:rsid w:val="00EA4E48"/>
    <w:rsid w:val="00EA567A"/>
    <w:rsid w:val="00EA5B7D"/>
    <w:rsid w:val="00EA625F"/>
    <w:rsid w:val="00EA67F7"/>
    <w:rsid w:val="00EA6B4C"/>
    <w:rsid w:val="00EA6B65"/>
    <w:rsid w:val="00EA6F83"/>
    <w:rsid w:val="00EA75A1"/>
    <w:rsid w:val="00EA77BC"/>
    <w:rsid w:val="00EA7BD5"/>
    <w:rsid w:val="00EA7E3D"/>
    <w:rsid w:val="00EB016A"/>
    <w:rsid w:val="00EB0590"/>
    <w:rsid w:val="00EB0E75"/>
    <w:rsid w:val="00EB10E7"/>
    <w:rsid w:val="00EB12FE"/>
    <w:rsid w:val="00EB139B"/>
    <w:rsid w:val="00EB13E7"/>
    <w:rsid w:val="00EB14B7"/>
    <w:rsid w:val="00EB1638"/>
    <w:rsid w:val="00EB1C59"/>
    <w:rsid w:val="00EB1C6D"/>
    <w:rsid w:val="00EB22E7"/>
    <w:rsid w:val="00EB2BB3"/>
    <w:rsid w:val="00EB2D02"/>
    <w:rsid w:val="00EB31C0"/>
    <w:rsid w:val="00EB322A"/>
    <w:rsid w:val="00EB37EA"/>
    <w:rsid w:val="00EB3DFD"/>
    <w:rsid w:val="00EB4692"/>
    <w:rsid w:val="00EB47E6"/>
    <w:rsid w:val="00EB4AC4"/>
    <w:rsid w:val="00EB4B9A"/>
    <w:rsid w:val="00EB4BF4"/>
    <w:rsid w:val="00EB4CC1"/>
    <w:rsid w:val="00EB4D3E"/>
    <w:rsid w:val="00EB4F67"/>
    <w:rsid w:val="00EB4F87"/>
    <w:rsid w:val="00EB5416"/>
    <w:rsid w:val="00EB573E"/>
    <w:rsid w:val="00EB57BE"/>
    <w:rsid w:val="00EB6670"/>
    <w:rsid w:val="00EB669C"/>
    <w:rsid w:val="00EB6AAA"/>
    <w:rsid w:val="00EB6DF6"/>
    <w:rsid w:val="00EB6E96"/>
    <w:rsid w:val="00EB7079"/>
    <w:rsid w:val="00EB72FA"/>
    <w:rsid w:val="00EB76BC"/>
    <w:rsid w:val="00EB7C83"/>
    <w:rsid w:val="00EB7E35"/>
    <w:rsid w:val="00EB7F56"/>
    <w:rsid w:val="00EB7FA3"/>
    <w:rsid w:val="00EC05F4"/>
    <w:rsid w:val="00EC0674"/>
    <w:rsid w:val="00EC0C32"/>
    <w:rsid w:val="00EC10F1"/>
    <w:rsid w:val="00EC1330"/>
    <w:rsid w:val="00EC146D"/>
    <w:rsid w:val="00EC1665"/>
    <w:rsid w:val="00EC18F9"/>
    <w:rsid w:val="00EC2152"/>
    <w:rsid w:val="00EC2669"/>
    <w:rsid w:val="00EC320F"/>
    <w:rsid w:val="00EC3248"/>
    <w:rsid w:val="00EC368B"/>
    <w:rsid w:val="00EC3C15"/>
    <w:rsid w:val="00EC3DAA"/>
    <w:rsid w:val="00EC3FA7"/>
    <w:rsid w:val="00EC453F"/>
    <w:rsid w:val="00EC57C2"/>
    <w:rsid w:val="00EC5865"/>
    <w:rsid w:val="00EC59D3"/>
    <w:rsid w:val="00EC59F9"/>
    <w:rsid w:val="00EC5D3D"/>
    <w:rsid w:val="00EC646D"/>
    <w:rsid w:val="00EC6778"/>
    <w:rsid w:val="00EC6ECE"/>
    <w:rsid w:val="00EC702F"/>
    <w:rsid w:val="00EC761B"/>
    <w:rsid w:val="00EC76CC"/>
    <w:rsid w:val="00EC77D8"/>
    <w:rsid w:val="00EC7B5F"/>
    <w:rsid w:val="00EC7C0A"/>
    <w:rsid w:val="00EC7F51"/>
    <w:rsid w:val="00ED017C"/>
    <w:rsid w:val="00ED052D"/>
    <w:rsid w:val="00ED06E1"/>
    <w:rsid w:val="00ED0A12"/>
    <w:rsid w:val="00ED0ED2"/>
    <w:rsid w:val="00ED1289"/>
    <w:rsid w:val="00ED186A"/>
    <w:rsid w:val="00ED1D8E"/>
    <w:rsid w:val="00ED1DF7"/>
    <w:rsid w:val="00ED2011"/>
    <w:rsid w:val="00ED220C"/>
    <w:rsid w:val="00ED2279"/>
    <w:rsid w:val="00ED22D1"/>
    <w:rsid w:val="00ED23BC"/>
    <w:rsid w:val="00ED24E6"/>
    <w:rsid w:val="00ED37EF"/>
    <w:rsid w:val="00ED3DDE"/>
    <w:rsid w:val="00ED3FD2"/>
    <w:rsid w:val="00ED4002"/>
    <w:rsid w:val="00ED4060"/>
    <w:rsid w:val="00ED415E"/>
    <w:rsid w:val="00ED42E0"/>
    <w:rsid w:val="00ED46CB"/>
    <w:rsid w:val="00ED53EF"/>
    <w:rsid w:val="00ED55F7"/>
    <w:rsid w:val="00ED5E3E"/>
    <w:rsid w:val="00ED6688"/>
    <w:rsid w:val="00ED75C4"/>
    <w:rsid w:val="00ED7C30"/>
    <w:rsid w:val="00ED7C4C"/>
    <w:rsid w:val="00ED7E02"/>
    <w:rsid w:val="00EE011D"/>
    <w:rsid w:val="00EE03F3"/>
    <w:rsid w:val="00EE05BB"/>
    <w:rsid w:val="00EE07DC"/>
    <w:rsid w:val="00EE0E63"/>
    <w:rsid w:val="00EE0EEB"/>
    <w:rsid w:val="00EE1DAB"/>
    <w:rsid w:val="00EE2205"/>
    <w:rsid w:val="00EE24FC"/>
    <w:rsid w:val="00EE2619"/>
    <w:rsid w:val="00EE2C98"/>
    <w:rsid w:val="00EE2D09"/>
    <w:rsid w:val="00EE2D24"/>
    <w:rsid w:val="00EE3178"/>
    <w:rsid w:val="00EE3865"/>
    <w:rsid w:val="00EE3EA1"/>
    <w:rsid w:val="00EE49B5"/>
    <w:rsid w:val="00EE5565"/>
    <w:rsid w:val="00EE5790"/>
    <w:rsid w:val="00EE6B49"/>
    <w:rsid w:val="00EE6BD3"/>
    <w:rsid w:val="00EE6F51"/>
    <w:rsid w:val="00EE70A0"/>
    <w:rsid w:val="00EE717C"/>
    <w:rsid w:val="00EE7A25"/>
    <w:rsid w:val="00EE7BBA"/>
    <w:rsid w:val="00EF02D7"/>
    <w:rsid w:val="00EF02E5"/>
    <w:rsid w:val="00EF11DA"/>
    <w:rsid w:val="00EF13E1"/>
    <w:rsid w:val="00EF147A"/>
    <w:rsid w:val="00EF1E09"/>
    <w:rsid w:val="00EF2062"/>
    <w:rsid w:val="00EF27B8"/>
    <w:rsid w:val="00EF28CE"/>
    <w:rsid w:val="00EF2AD6"/>
    <w:rsid w:val="00EF2CD0"/>
    <w:rsid w:val="00EF2FF1"/>
    <w:rsid w:val="00EF3345"/>
    <w:rsid w:val="00EF35B0"/>
    <w:rsid w:val="00EF36CC"/>
    <w:rsid w:val="00EF3764"/>
    <w:rsid w:val="00EF3DD0"/>
    <w:rsid w:val="00EF4598"/>
    <w:rsid w:val="00EF461E"/>
    <w:rsid w:val="00EF47FA"/>
    <w:rsid w:val="00EF48F9"/>
    <w:rsid w:val="00EF5138"/>
    <w:rsid w:val="00EF5639"/>
    <w:rsid w:val="00EF5E52"/>
    <w:rsid w:val="00EF68F5"/>
    <w:rsid w:val="00EF6B44"/>
    <w:rsid w:val="00EF6DED"/>
    <w:rsid w:val="00EF7079"/>
    <w:rsid w:val="00EF7104"/>
    <w:rsid w:val="00EF7430"/>
    <w:rsid w:val="00EF7753"/>
    <w:rsid w:val="00EF7A3E"/>
    <w:rsid w:val="00EF7ED3"/>
    <w:rsid w:val="00F000F0"/>
    <w:rsid w:val="00F00186"/>
    <w:rsid w:val="00F0018E"/>
    <w:rsid w:val="00F00AB5"/>
    <w:rsid w:val="00F00F8F"/>
    <w:rsid w:val="00F01357"/>
    <w:rsid w:val="00F0158E"/>
    <w:rsid w:val="00F02023"/>
    <w:rsid w:val="00F020C4"/>
    <w:rsid w:val="00F02B94"/>
    <w:rsid w:val="00F030A4"/>
    <w:rsid w:val="00F03906"/>
    <w:rsid w:val="00F04204"/>
    <w:rsid w:val="00F043F9"/>
    <w:rsid w:val="00F044A1"/>
    <w:rsid w:val="00F04882"/>
    <w:rsid w:val="00F056FB"/>
    <w:rsid w:val="00F05F91"/>
    <w:rsid w:val="00F06016"/>
    <w:rsid w:val="00F0618C"/>
    <w:rsid w:val="00F0645C"/>
    <w:rsid w:val="00F06A0C"/>
    <w:rsid w:val="00F06E49"/>
    <w:rsid w:val="00F06E8C"/>
    <w:rsid w:val="00F07317"/>
    <w:rsid w:val="00F07424"/>
    <w:rsid w:val="00F074BE"/>
    <w:rsid w:val="00F078EC"/>
    <w:rsid w:val="00F07E67"/>
    <w:rsid w:val="00F11319"/>
    <w:rsid w:val="00F11CC8"/>
    <w:rsid w:val="00F11D1E"/>
    <w:rsid w:val="00F11D54"/>
    <w:rsid w:val="00F12282"/>
    <w:rsid w:val="00F12460"/>
    <w:rsid w:val="00F124D4"/>
    <w:rsid w:val="00F12574"/>
    <w:rsid w:val="00F12607"/>
    <w:rsid w:val="00F12A1B"/>
    <w:rsid w:val="00F12C2E"/>
    <w:rsid w:val="00F132AB"/>
    <w:rsid w:val="00F13990"/>
    <w:rsid w:val="00F139AB"/>
    <w:rsid w:val="00F13BC8"/>
    <w:rsid w:val="00F13F70"/>
    <w:rsid w:val="00F13FC2"/>
    <w:rsid w:val="00F14BDC"/>
    <w:rsid w:val="00F150D5"/>
    <w:rsid w:val="00F1527C"/>
    <w:rsid w:val="00F15518"/>
    <w:rsid w:val="00F1581C"/>
    <w:rsid w:val="00F160CC"/>
    <w:rsid w:val="00F163DA"/>
    <w:rsid w:val="00F165AB"/>
    <w:rsid w:val="00F17D78"/>
    <w:rsid w:val="00F2009F"/>
    <w:rsid w:val="00F20D85"/>
    <w:rsid w:val="00F20DDD"/>
    <w:rsid w:val="00F214B9"/>
    <w:rsid w:val="00F21BD3"/>
    <w:rsid w:val="00F21DE9"/>
    <w:rsid w:val="00F21FC5"/>
    <w:rsid w:val="00F2205C"/>
    <w:rsid w:val="00F226D9"/>
    <w:rsid w:val="00F22700"/>
    <w:rsid w:val="00F227DC"/>
    <w:rsid w:val="00F232B3"/>
    <w:rsid w:val="00F236DE"/>
    <w:rsid w:val="00F23EAE"/>
    <w:rsid w:val="00F244FA"/>
    <w:rsid w:val="00F2459E"/>
    <w:rsid w:val="00F24641"/>
    <w:rsid w:val="00F24741"/>
    <w:rsid w:val="00F24BC1"/>
    <w:rsid w:val="00F24D7F"/>
    <w:rsid w:val="00F256F2"/>
    <w:rsid w:val="00F2588A"/>
    <w:rsid w:val="00F25CC4"/>
    <w:rsid w:val="00F25F98"/>
    <w:rsid w:val="00F2665A"/>
    <w:rsid w:val="00F26C37"/>
    <w:rsid w:val="00F27669"/>
    <w:rsid w:val="00F2773C"/>
    <w:rsid w:val="00F278E4"/>
    <w:rsid w:val="00F300B3"/>
    <w:rsid w:val="00F302F1"/>
    <w:rsid w:val="00F3048B"/>
    <w:rsid w:val="00F319C8"/>
    <w:rsid w:val="00F31AD3"/>
    <w:rsid w:val="00F323EB"/>
    <w:rsid w:val="00F3242E"/>
    <w:rsid w:val="00F328E2"/>
    <w:rsid w:val="00F32ADE"/>
    <w:rsid w:val="00F32AF5"/>
    <w:rsid w:val="00F32CF0"/>
    <w:rsid w:val="00F32EE4"/>
    <w:rsid w:val="00F336EA"/>
    <w:rsid w:val="00F3403C"/>
    <w:rsid w:val="00F340D4"/>
    <w:rsid w:val="00F344BA"/>
    <w:rsid w:val="00F35093"/>
    <w:rsid w:val="00F3569F"/>
    <w:rsid w:val="00F3570C"/>
    <w:rsid w:val="00F357A1"/>
    <w:rsid w:val="00F357EA"/>
    <w:rsid w:val="00F3582C"/>
    <w:rsid w:val="00F359A4"/>
    <w:rsid w:val="00F35D45"/>
    <w:rsid w:val="00F35EA1"/>
    <w:rsid w:val="00F360A4"/>
    <w:rsid w:val="00F3627A"/>
    <w:rsid w:val="00F36470"/>
    <w:rsid w:val="00F367B0"/>
    <w:rsid w:val="00F368A9"/>
    <w:rsid w:val="00F36C29"/>
    <w:rsid w:val="00F36C2D"/>
    <w:rsid w:val="00F36DBA"/>
    <w:rsid w:val="00F3753A"/>
    <w:rsid w:val="00F3762F"/>
    <w:rsid w:val="00F37693"/>
    <w:rsid w:val="00F3770C"/>
    <w:rsid w:val="00F37875"/>
    <w:rsid w:val="00F37B86"/>
    <w:rsid w:val="00F37D91"/>
    <w:rsid w:val="00F40062"/>
    <w:rsid w:val="00F40D3B"/>
    <w:rsid w:val="00F40E9F"/>
    <w:rsid w:val="00F40F0C"/>
    <w:rsid w:val="00F40F78"/>
    <w:rsid w:val="00F41833"/>
    <w:rsid w:val="00F420A1"/>
    <w:rsid w:val="00F42715"/>
    <w:rsid w:val="00F42D3F"/>
    <w:rsid w:val="00F42F08"/>
    <w:rsid w:val="00F43397"/>
    <w:rsid w:val="00F435A9"/>
    <w:rsid w:val="00F437C1"/>
    <w:rsid w:val="00F438D4"/>
    <w:rsid w:val="00F43C28"/>
    <w:rsid w:val="00F43C3F"/>
    <w:rsid w:val="00F43E17"/>
    <w:rsid w:val="00F4412F"/>
    <w:rsid w:val="00F448EA"/>
    <w:rsid w:val="00F44AEE"/>
    <w:rsid w:val="00F44E6A"/>
    <w:rsid w:val="00F45136"/>
    <w:rsid w:val="00F45379"/>
    <w:rsid w:val="00F458F2"/>
    <w:rsid w:val="00F4590E"/>
    <w:rsid w:val="00F45FA2"/>
    <w:rsid w:val="00F46980"/>
    <w:rsid w:val="00F46FC4"/>
    <w:rsid w:val="00F4747A"/>
    <w:rsid w:val="00F476CE"/>
    <w:rsid w:val="00F50360"/>
    <w:rsid w:val="00F50CC0"/>
    <w:rsid w:val="00F50D3C"/>
    <w:rsid w:val="00F51208"/>
    <w:rsid w:val="00F51436"/>
    <w:rsid w:val="00F518A5"/>
    <w:rsid w:val="00F51B6C"/>
    <w:rsid w:val="00F52494"/>
    <w:rsid w:val="00F52687"/>
    <w:rsid w:val="00F52921"/>
    <w:rsid w:val="00F52C9E"/>
    <w:rsid w:val="00F52E87"/>
    <w:rsid w:val="00F53107"/>
    <w:rsid w:val="00F53325"/>
    <w:rsid w:val="00F53333"/>
    <w:rsid w:val="00F5343A"/>
    <w:rsid w:val="00F53A0A"/>
    <w:rsid w:val="00F53CDA"/>
    <w:rsid w:val="00F53E9D"/>
    <w:rsid w:val="00F545DC"/>
    <w:rsid w:val="00F54BEA"/>
    <w:rsid w:val="00F54D82"/>
    <w:rsid w:val="00F5598B"/>
    <w:rsid w:val="00F56931"/>
    <w:rsid w:val="00F56A11"/>
    <w:rsid w:val="00F57398"/>
    <w:rsid w:val="00F57404"/>
    <w:rsid w:val="00F57FFA"/>
    <w:rsid w:val="00F6092B"/>
    <w:rsid w:val="00F60B9E"/>
    <w:rsid w:val="00F60EAC"/>
    <w:rsid w:val="00F60F54"/>
    <w:rsid w:val="00F60F84"/>
    <w:rsid w:val="00F618D8"/>
    <w:rsid w:val="00F619C5"/>
    <w:rsid w:val="00F61CBF"/>
    <w:rsid w:val="00F61EC4"/>
    <w:rsid w:val="00F62D74"/>
    <w:rsid w:val="00F62FA1"/>
    <w:rsid w:val="00F63035"/>
    <w:rsid w:val="00F639F1"/>
    <w:rsid w:val="00F63C2B"/>
    <w:rsid w:val="00F63EBA"/>
    <w:rsid w:val="00F647F1"/>
    <w:rsid w:val="00F64961"/>
    <w:rsid w:val="00F649CB"/>
    <w:rsid w:val="00F65230"/>
    <w:rsid w:val="00F65869"/>
    <w:rsid w:val="00F658C5"/>
    <w:rsid w:val="00F65BCE"/>
    <w:rsid w:val="00F65FB2"/>
    <w:rsid w:val="00F6604A"/>
    <w:rsid w:val="00F661DF"/>
    <w:rsid w:val="00F662A0"/>
    <w:rsid w:val="00F66724"/>
    <w:rsid w:val="00F667AC"/>
    <w:rsid w:val="00F66EF3"/>
    <w:rsid w:val="00F671F0"/>
    <w:rsid w:val="00F674BE"/>
    <w:rsid w:val="00F67669"/>
    <w:rsid w:val="00F676CE"/>
    <w:rsid w:val="00F67757"/>
    <w:rsid w:val="00F70A66"/>
    <w:rsid w:val="00F70C00"/>
    <w:rsid w:val="00F70C40"/>
    <w:rsid w:val="00F70EE0"/>
    <w:rsid w:val="00F70EE5"/>
    <w:rsid w:val="00F712E9"/>
    <w:rsid w:val="00F7179B"/>
    <w:rsid w:val="00F7181D"/>
    <w:rsid w:val="00F71C40"/>
    <w:rsid w:val="00F721A6"/>
    <w:rsid w:val="00F725CA"/>
    <w:rsid w:val="00F729C6"/>
    <w:rsid w:val="00F734C7"/>
    <w:rsid w:val="00F738D7"/>
    <w:rsid w:val="00F73BB2"/>
    <w:rsid w:val="00F73EAB"/>
    <w:rsid w:val="00F74DC9"/>
    <w:rsid w:val="00F7512D"/>
    <w:rsid w:val="00F7576D"/>
    <w:rsid w:val="00F75A50"/>
    <w:rsid w:val="00F76145"/>
    <w:rsid w:val="00F76382"/>
    <w:rsid w:val="00F764A7"/>
    <w:rsid w:val="00F76772"/>
    <w:rsid w:val="00F76EA8"/>
    <w:rsid w:val="00F772F2"/>
    <w:rsid w:val="00F773E5"/>
    <w:rsid w:val="00F77D84"/>
    <w:rsid w:val="00F800DD"/>
    <w:rsid w:val="00F8107D"/>
    <w:rsid w:val="00F810DF"/>
    <w:rsid w:val="00F8176F"/>
    <w:rsid w:val="00F818A5"/>
    <w:rsid w:val="00F81E28"/>
    <w:rsid w:val="00F820E6"/>
    <w:rsid w:val="00F82C6F"/>
    <w:rsid w:val="00F82FBA"/>
    <w:rsid w:val="00F83060"/>
    <w:rsid w:val="00F83156"/>
    <w:rsid w:val="00F832A5"/>
    <w:rsid w:val="00F834F4"/>
    <w:rsid w:val="00F8350E"/>
    <w:rsid w:val="00F837D0"/>
    <w:rsid w:val="00F83894"/>
    <w:rsid w:val="00F838A8"/>
    <w:rsid w:val="00F841A4"/>
    <w:rsid w:val="00F84414"/>
    <w:rsid w:val="00F85D26"/>
    <w:rsid w:val="00F86EEE"/>
    <w:rsid w:val="00F86EF8"/>
    <w:rsid w:val="00F87762"/>
    <w:rsid w:val="00F8788E"/>
    <w:rsid w:val="00F87968"/>
    <w:rsid w:val="00F879D2"/>
    <w:rsid w:val="00F87EF7"/>
    <w:rsid w:val="00F900F2"/>
    <w:rsid w:val="00F90390"/>
    <w:rsid w:val="00F9041A"/>
    <w:rsid w:val="00F9110C"/>
    <w:rsid w:val="00F915E5"/>
    <w:rsid w:val="00F9185E"/>
    <w:rsid w:val="00F91ADE"/>
    <w:rsid w:val="00F91B09"/>
    <w:rsid w:val="00F920DD"/>
    <w:rsid w:val="00F92103"/>
    <w:rsid w:val="00F92519"/>
    <w:rsid w:val="00F928D2"/>
    <w:rsid w:val="00F92A62"/>
    <w:rsid w:val="00F92B36"/>
    <w:rsid w:val="00F92EE6"/>
    <w:rsid w:val="00F9319D"/>
    <w:rsid w:val="00F931D8"/>
    <w:rsid w:val="00F9349E"/>
    <w:rsid w:val="00F93590"/>
    <w:rsid w:val="00F935A9"/>
    <w:rsid w:val="00F93DC4"/>
    <w:rsid w:val="00F93DEC"/>
    <w:rsid w:val="00F94380"/>
    <w:rsid w:val="00F9454E"/>
    <w:rsid w:val="00F951A8"/>
    <w:rsid w:val="00F95663"/>
    <w:rsid w:val="00F95966"/>
    <w:rsid w:val="00F96CBA"/>
    <w:rsid w:val="00F96DE4"/>
    <w:rsid w:val="00F96F38"/>
    <w:rsid w:val="00F97132"/>
    <w:rsid w:val="00F972F8"/>
    <w:rsid w:val="00F9766A"/>
    <w:rsid w:val="00F9784D"/>
    <w:rsid w:val="00FA01A3"/>
    <w:rsid w:val="00FA06D4"/>
    <w:rsid w:val="00FA0830"/>
    <w:rsid w:val="00FA0921"/>
    <w:rsid w:val="00FA0AA7"/>
    <w:rsid w:val="00FA0F1E"/>
    <w:rsid w:val="00FA15D4"/>
    <w:rsid w:val="00FA1B47"/>
    <w:rsid w:val="00FA2131"/>
    <w:rsid w:val="00FA2AD3"/>
    <w:rsid w:val="00FA2E42"/>
    <w:rsid w:val="00FA2EF3"/>
    <w:rsid w:val="00FA3079"/>
    <w:rsid w:val="00FA39D9"/>
    <w:rsid w:val="00FA406B"/>
    <w:rsid w:val="00FA4300"/>
    <w:rsid w:val="00FA4E7E"/>
    <w:rsid w:val="00FA4F74"/>
    <w:rsid w:val="00FA5DAD"/>
    <w:rsid w:val="00FA613E"/>
    <w:rsid w:val="00FA618D"/>
    <w:rsid w:val="00FA6228"/>
    <w:rsid w:val="00FA67B0"/>
    <w:rsid w:val="00FA69F4"/>
    <w:rsid w:val="00FA6BF1"/>
    <w:rsid w:val="00FA6E80"/>
    <w:rsid w:val="00FA6EFC"/>
    <w:rsid w:val="00FA7109"/>
    <w:rsid w:val="00FA73A1"/>
    <w:rsid w:val="00FA765B"/>
    <w:rsid w:val="00FA79E4"/>
    <w:rsid w:val="00FA7ABF"/>
    <w:rsid w:val="00FA7AE1"/>
    <w:rsid w:val="00FA7C43"/>
    <w:rsid w:val="00FA7D5C"/>
    <w:rsid w:val="00FA7DE8"/>
    <w:rsid w:val="00FA7FFC"/>
    <w:rsid w:val="00FB020E"/>
    <w:rsid w:val="00FB0812"/>
    <w:rsid w:val="00FB0988"/>
    <w:rsid w:val="00FB0B80"/>
    <w:rsid w:val="00FB0E47"/>
    <w:rsid w:val="00FB1FCE"/>
    <w:rsid w:val="00FB28C6"/>
    <w:rsid w:val="00FB2ACE"/>
    <w:rsid w:val="00FB2C4E"/>
    <w:rsid w:val="00FB2FC9"/>
    <w:rsid w:val="00FB31FF"/>
    <w:rsid w:val="00FB347E"/>
    <w:rsid w:val="00FB36B0"/>
    <w:rsid w:val="00FB37E1"/>
    <w:rsid w:val="00FB38AF"/>
    <w:rsid w:val="00FB3FD8"/>
    <w:rsid w:val="00FB47F5"/>
    <w:rsid w:val="00FB4996"/>
    <w:rsid w:val="00FB4E9E"/>
    <w:rsid w:val="00FB4EDA"/>
    <w:rsid w:val="00FB50FC"/>
    <w:rsid w:val="00FB5365"/>
    <w:rsid w:val="00FB5833"/>
    <w:rsid w:val="00FB5AC7"/>
    <w:rsid w:val="00FB5B11"/>
    <w:rsid w:val="00FB60E5"/>
    <w:rsid w:val="00FB65D6"/>
    <w:rsid w:val="00FB6905"/>
    <w:rsid w:val="00FB6D0E"/>
    <w:rsid w:val="00FB6DB0"/>
    <w:rsid w:val="00FB6FDF"/>
    <w:rsid w:val="00FB7156"/>
    <w:rsid w:val="00FB75C9"/>
    <w:rsid w:val="00FB789E"/>
    <w:rsid w:val="00FB7AD4"/>
    <w:rsid w:val="00FC00EF"/>
    <w:rsid w:val="00FC0125"/>
    <w:rsid w:val="00FC0863"/>
    <w:rsid w:val="00FC0DBB"/>
    <w:rsid w:val="00FC0EA2"/>
    <w:rsid w:val="00FC10A7"/>
    <w:rsid w:val="00FC1731"/>
    <w:rsid w:val="00FC1BD5"/>
    <w:rsid w:val="00FC1DEF"/>
    <w:rsid w:val="00FC1F70"/>
    <w:rsid w:val="00FC2058"/>
    <w:rsid w:val="00FC2909"/>
    <w:rsid w:val="00FC29C8"/>
    <w:rsid w:val="00FC2A3D"/>
    <w:rsid w:val="00FC2DC5"/>
    <w:rsid w:val="00FC30DB"/>
    <w:rsid w:val="00FC314C"/>
    <w:rsid w:val="00FC3531"/>
    <w:rsid w:val="00FC4611"/>
    <w:rsid w:val="00FC479B"/>
    <w:rsid w:val="00FC4E24"/>
    <w:rsid w:val="00FC4EC9"/>
    <w:rsid w:val="00FC5103"/>
    <w:rsid w:val="00FC51A0"/>
    <w:rsid w:val="00FC51EC"/>
    <w:rsid w:val="00FC553C"/>
    <w:rsid w:val="00FC560C"/>
    <w:rsid w:val="00FC5699"/>
    <w:rsid w:val="00FC6307"/>
    <w:rsid w:val="00FC643A"/>
    <w:rsid w:val="00FC65ED"/>
    <w:rsid w:val="00FC68FC"/>
    <w:rsid w:val="00FC703E"/>
    <w:rsid w:val="00FC728C"/>
    <w:rsid w:val="00FC72B7"/>
    <w:rsid w:val="00FC75CB"/>
    <w:rsid w:val="00FC7734"/>
    <w:rsid w:val="00FC77C6"/>
    <w:rsid w:val="00FC7CF0"/>
    <w:rsid w:val="00FD0AE2"/>
    <w:rsid w:val="00FD0F0C"/>
    <w:rsid w:val="00FD10AA"/>
    <w:rsid w:val="00FD1447"/>
    <w:rsid w:val="00FD14F5"/>
    <w:rsid w:val="00FD17FA"/>
    <w:rsid w:val="00FD18EC"/>
    <w:rsid w:val="00FD1C19"/>
    <w:rsid w:val="00FD2554"/>
    <w:rsid w:val="00FD3027"/>
    <w:rsid w:val="00FD36E6"/>
    <w:rsid w:val="00FD3D80"/>
    <w:rsid w:val="00FD3D86"/>
    <w:rsid w:val="00FD3EB8"/>
    <w:rsid w:val="00FD4272"/>
    <w:rsid w:val="00FD42B5"/>
    <w:rsid w:val="00FD453B"/>
    <w:rsid w:val="00FD4C3F"/>
    <w:rsid w:val="00FD4DCC"/>
    <w:rsid w:val="00FD4E77"/>
    <w:rsid w:val="00FD54C4"/>
    <w:rsid w:val="00FD57C4"/>
    <w:rsid w:val="00FD583D"/>
    <w:rsid w:val="00FD58DC"/>
    <w:rsid w:val="00FD58E2"/>
    <w:rsid w:val="00FD5A0C"/>
    <w:rsid w:val="00FD67B0"/>
    <w:rsid w:val="00FD6818"/>
    <w:rsid w:val="00FD69C3"/>
    <w:rsid w:val="00FD6E5E"/>
    <w:rsid w:val="00FD6E8B"/>
    <w:rsid w:val="00FD705D"/>
    <w:rsid w:val="00FD7069"/>
    <w:rsid w:val="00FD72E7"/>
    <w:rsid w:val="00FD74AA"/>
    <w:rsid w:val="00FD7723"/>
    <w:rsid w:val="00FD7B3D"/>
    <w:rsid w:val="00FD7FA9"/>
    <w:rsid w:val="00FD7FF8"/>
    <w:rsid w:val="00FE0144"/>
    <w:rsid w:val="00FE020D"/>
    <w:rsid w:val="00FE0C9F"/>
    <w:rsid w:val="00FE1047"/>
    <w:rsid w:val="00FE1383"/>
    <w:rsid w:val="00FE1B31"/>
    <w:rsid w:val="00FE1BAD"/>
    <w:rsid w:val="00FE1BCF"/>
    <w:rsid w:val="00FE1D96"/>
    <w:rsid w:val="00FE1F0B"/>
    <w:rsid w:val="00FE24D9"/>
    <w:rsid w:val="00FE2E65"/>
    <w:rsid w:val="00FE3265"/>
    <w:rsid w:val="00FE3341"/>
    <w:rsid w:val="00FE3557"/>
    <w:rsid w:val="00FE3998"/>
    <w:rsid w:val="00FE3BE2"/>
    <w:rsid w:val="00FE3EE9"/>
    <w:rsid w:val="00FE4475"/>
    <w:rsid w:val="00FE45C0"/>
    <w:rsid w:val="00FE4631"/>
    <w:rsid w:val="00FE53F2"/>
    <w:rsid w:val="00FE5A4B"/>
    <w:rsid w:val="00FE5D4D"/>
    <w:rsid w:val="00FE5EDC"/>
    <w:rsid w:val="00FE613C"/>
    <w:rsid w:val="00FE62FB"/>
    <w:rsid w:val="00FE6396"/>
    <w:rsid w:val="00FE642E"/>
    <w:rsid w:val="00FE645D"/>
    <w:rsid w:val="00FE6504"/>
    <w:rsid w:val="00FE66D8"/>
    <w:rsid w:val="00FE6DDA"/>
    <w:rsid w:val="00FE6FEF"/>
    <w:rsid w:val="00FE761F"/>
    <w:rsid w:val="00FE78AE"/>
    <w:rsid w:val="00FE7BD8"/>
    <w:rsid w:val="00FF002B"/>
    <w:rsid w:val="00FF16B0"/>
    <w:rsid w:val="00FF1A0B"/>
    <w:rsid w:val="00FF1A59"/>
    <w:rsid w:val="00FF1AE4"/>
    <w:rsid w:val="00FF1DB2"/>
    <w:rsid w:val="00FF1E0B"/>
    <w:rsid w:val="00FF26E2"/>
    <w:rsid w:val="00FF3277"/>
    <w:rsid w:val="00FF3842"/>
    <w:rsid w:val="00FF3F97"/>
    <w:rsid w:val="00FF41EC"/>
    <w:rsid w:val="00FF4423"/>
    <w:rsid w:val="00FF4FAC"/>
    <w:rsid w:val="00FF6134"/>
    <w:rsid w:val="00FF659D"/>
    <w:rsid w:val="00FF6C62"/>
    <w:rsid w:val="00FF6CEA"/>
    <w:rsid w:val="00FF6F70"/>
    <w:rsid w:val="00FF7257"/>
    <w:rsid w:val="00FF79CD"/>
    <w:rsid w:val="00FF7A4B"/>
    <w:rsid w:val="00FF7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E307"/>
  <w15:docId w15:val="{71E4564B-8CC5-4D06-8F7A-1D8501E1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uiPriority="0" w:qFormat="1"/>
    <w:lsdException w:name="annotation text" w:locked="0" w:semiHidden="1"/>
    <w:lsdException w:name="header" w:locked="0" w:uiPriority="24" w:unhideWhenUsed="1"/>
    <w:lsdException w:name="footer" w:locked="0" w:uiPriority="24"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uiPriority="8" w:qFormat="1"/>
    <w:lsdException w:name="annotation reference" w:locked="0" w:semiHidden="1"/>
    <w:lsdException w:name="line number" w:locked="0" w:semiHidden="1" w:uiPriority="0"/>
    <w:lsdException w:name="page number" w:locked="0" w:uiPriority="24"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uiPriority="0"/>
    <w:lsdException w:name="Title" w:locked="0" w:uiPriority="24"/>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iPriority="0"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8"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unhideWhenUsed="1"/>
    <w:lsdException w:name="TOC Heading" w:locked="0" w:semiHidden="1" w:uiPriority="2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unhideWhenUsed="1"/>
  </w:latentStyles>
  <w:style w:type="paragraph" w:default="1" w:styleId="Normal">
    <w:name w:val="Normal"/>
    <w:qFormat/>
    <w:rsid w:val="00AC328C"/>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BodyText"/>
    <w:next w:val="BodyText"/>
    <w:link w:val="Heading1Char"/>
    <w:uiPriority w:val="9"/>
    <w:qFormat/>
    <w:rsid w:val="00F344BA"/>
    <w:pPr>
      <w:keepNext/>
      <w:pageBreakBefore/>
      <w:numPr>
        <w:numId w:val="14"/>
      </w:numPr>
      <w:spacing w:before="0" w:line="360" w:lineRule="atLeast"/>
      <w:contextualSpacing/>
      <w:outlineLvl w:val="0"/>
    </w:pPr>
    <w:rPr>
      <w:rFonts w:eastAsia="Times New Roman" w:cs="Arial"/>
      <w:bCs/>
      <w:sz w:val="48"/>
      <w:szCs w:val="32"/>
      <w:lang w:eastAsia="en-AU"/>
    </w:rPr>
  </w:style>
  <w:style w:type="paragraph" w:styleId="Heading2">
    <w:name w:val="heading 2"/>
    <w:basedOn w:val="Heading1"/>
    <w:next w:val="BodyText"/>
    <w:link w:val="Heading2Char"/>
    <w:uiPriority w:val="9"/>
    <w:qFormat/>
    <w:rsid w:val="00DE6C3B"/>
    <w:pPr>
      <w:pageBreakBefore w:val="0"/>
      <w:numPr>
        <w:ilvl w:val="1"/>
      </w:numPr>
      <w:spacing w:before="300"/>
      <w:outlineLvl w:val="1"/>
    </w:pPr>
    <w:rPr>
      <w:b/>
      <w:bCs w:val="0"/>
      <w:iCs/>
      <w:sz w:val="36"/>
      <w:szCs w:val="28"/>
    </w:rPr>
  </w:style>
  <w:style w:type="paragraph" w:styleId="Heading3">
    <w:name w:val="heading 3"/>
    <w:basedOn w:val="Heading1"/>
    <w:next w:val="BodyText"/>
    <w:link w:val="Heading3Char"/>
    <w:uiPriority w:val="9"/>
    <w:qFormat/>
    <w:rsid w:val="00DE6C3B"/>
    <w:pPr>
      <w:pageBreakBefore w:val="0"/>
      <w:numPr>
        <w:ilvl w:val="2"/>
      </w:numPr>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DE6C3B"/>
    <w:pPr>
      <w:pageBreakBefore w:val="0"/>
      <w:numPr>
        <w:numId w:val="0"/>
      </w:numPr>
      <w:spacing w:before="180" w:line="240" w:lineRule="atLeast"/>
      <w:outlineLvl w:val="3"/>
    </w:pPr>
    <w:rPr>
      <w:b/>
      <w:bCs w:val="0"/>
      <w:sz w:val="24"/>
      <w:szCs w:val="21"/>
    </w:rPr>
  </w:style>
  <w:style w:type="paragraph" w:styleId="Heading5">
    <w:name w:val="heading 5"/>
    <w:basedOn w:val="Normal"/>
    <w:next w:val="Normal"/>
    <w:link w:val="Heading5Char"/>
    <w:uiPriority w:val="9"/>
    <w:qFormat/>
    <w:rsid w:val="00DE6C3B"/>
    <w:pPr>
      <w:numPr>
        <w:ilvl w:val="4"/>
        <w:numId w:val="2"/>
      </w:numPr>
      <w:tabs>
        <w:tab w:val="left" w:pos="1021"/>
      </w:tabs>
      <w:spacing w:before="240" w:after="120"/>
      <w:outlineLvl w:val="4"/>
    </w:pPr>
    <w:rPr>
      <w:rFonts w:ascii="Arial" w:hAnsi="Arial"/>
      <w:bCs/>
      <w:i/>
      <w:iCs/>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before="8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8B7D99"/>
    <w:rPr>
      <w:rFonts w:ascii="Tahoma" w:hAnsi="Tahoma" w:cs="Tahoma"/>
      <w:sz w:val="16"/>
      <w:szCs w:val="16"/>
    </w:rPr>
  </w:style>
  <w:style w:type="paragraph" w:styleId="ListBullet">
    <w:name w:val="List Bullet"/>
    <w:basedOn w:val="Normal"/>
    <w:uiPriority w:val="4"/>
    <w:qFormat/>
    <w:rsid w:val="00B3476C"/>
    <w:pPr>
      <w:numPr>
        <w:numId w:val="41"/>
      </w:numPr>
      <w:tabs>
        <w:tab w:val="num" w:pos="360"/>
      </w:tabs>
      <w:spacing w:after="60" w:line="240" w:lineRule="atLeast"/>
    </w:pPr>
    <w:rPr>
      <w:rFonts w:ascii="Arial" w:hAnsi="Arial"/>
    </w:rPr>
  </w:style>
  <w:style w:type="numbering" w:customStyle="1" w:styleId="ListBulletmaster">
    <w:name w:val="List Bullet (master)"/>
    <w:rsid w:val="00B3476C"/>
    <w:pPr>
      <w:numPr>
        <w:numId w:val="3"/>
      </w:numPr>
    </w:pPr>
  </w:style>
  <w:style w:type="paragraph" w:styleId="ListBullet2">
    <w:name w:val="List Bullet 2"/>
    <w:basedOn w:val="Normal"/>
    <w:uiPriority w:val="4"/>
    <w:qFormat/>
    <w:rsid w:val="00B3476C"/>
    <w:pPr>
      <w:tabs>
        <w:tab w:val="num" w:pos="643"/>
      </w:tabs>
      <w:spacing w:after="60" w:line="240" w:lineRule="atLeast"/>
      <w:ind w:left="643" w:hanging="360"/>
    </w:pPr>
    <w:rPr>
      <w:rFonts w:ascii="Arial" w:hAnsi="Arial"/>
    </w:rPr>
  </w:style>
  <w:style w:type="paragraph" w:styleId="ListBullet3">
    <w:name w:val="List Bullet 3"/>
    <w:basedOn w:val="Normal"/>
    <w:uiPriority w:val="4"/>
    <w:semiHidden/>
    <w:qFormat/>
    <w:rsid w:val="00B3476C"/>
    <w:pPr>
      <w:numPr>
        <w:ilvl w:val="2"/>
        <w:numId w:val="11"/>
      </w:numPr>
      <w:spacing w:after="60" w:line="240" w:lineRule="atLeast"/>
    </w:pPr>
    <w:rPr>
      <w:rFonts w:ascii="Arial" w:hAnsi="Arial"/>
    </w:rPr>
  </w:style>
  <w:style w:type="numbering" w:customStyle="1" w:styleId="ListNumbermaster">
    <w:name w:val="List Number (master)"/>
    <w:rsid w:val="00EA157C"/>
    <w:pPr>
      <w:numPr>
        <w:numId w:val="26"/>
      </w:numPr>
    </w:pPr>
  </w:style>
  <w:style w:type="paragraph" w:styleId="ListNumber2">
    <w:name w:val="List Number 2"/>
    <w:basedOn w:val="Normal"/>
    <w:uiPriority w:val="5"/>
    <w:qFormat/>
    <w:rsid w:val="00EA157C"/>
    <w:pPr>
      <w:tabs>
        <w:tab w:val="num" w:pos="643"/>
      </w:tabs>
      <w:spacing w:after="60" w:line="240" w:lineRule="atLeast"/>
      <w:ind w:left="643" w:hanging="360"/>
    </w:pPr>
    <w:rPr>
      <w:rFonts w:ascii="Arial" w:hAnsi="Arial"/>
    </w:rPr>
  </w:style>
  <w:style w:type="paragraph" w:styleId="ListNumber3">
    <w:name w:val="List Number 3"/>
    <w:basedOn w:val="Normal"/>
    <w:uiPriority w:val="5"/>
    <w:qFormat/>
    <w:rsid w:val="00EA157C"/>
    <w:pPr>
      <w:numPr>
        <w:ilvl w:val="2"/>
        <w:numId w:val="27"/>
      </w:numPr>
      <w:spacing w:after="60" w:line="240" w:lineRule="atLeast"/>
    </w:pPr>
    <w:rPr>
      <w:rFonts w:ascii="Arial" w:hAnsi="Arial"/>
    </w:rPr>
  </w:style>
  <w:style w:type="paragraph" w:styleId="ListNumber">
    <w:name w:val="List Number"/>
    <w:basedOn w:val="Normal"/>
    <w:uiPriority w:val="5"/>
    <w:qFormat/>
    <w:rsid w:val="00EA157C"/>
    <w:pPr>
      <w:tabs>
        <w:tab w:val="num" w:pos="360"/>
      </w:tabs>
      <w:spacing w:after="60" w:line="240" w:lineRule="atLeast"/>
      <w:ind w:left="360" w:hanging="360"/>
    </w:pPr>
    <w:rPr>
      <w:rFonts w:ascii="Arial" w:hAnsi="Arial"/>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60524"/>
    <w:pPr>
      <w:spacing w:before="120" w:after="120" w:line="260" w:lineRule="atLeast"/>
    </w:pPr>
    <w:rPr>
      <w:rFonts w:ascii="Arial" w:hAnsi="Arial"/>
      <w:b/>
      <w:bCs/>
      <w:sz w:val="21"/>
    </w:rPr>
  </w:style>
  <w:style w:type="paragraph" w:customStyle="1" w:styleId="TableListBullet">
    <w:name w:val="Table List Bullet"/>
    <w:basedOn w:val="Normal"/>
    <w:uiPriority w:val="14"/>
    <w:qFormat/>
    <w:rsid w:val="005E7354"/>
    <w:pPr>
      <w:numPr>
        <w:numId w:val="12"/>
      </w:numPr>
      <w:spacing w:before="120" w:after="120" w:line="260" w:lineRule="atLeast"/>
    </w:pPr>
    <w:rPr>
      <w:rFonts w:ascii="Arial" w:hAnsi="Arial"/>
      <w:bCs/>
      <w:sz w:val="20"/>
    </w:rPr>
  </w:style>
  <w:style w:type="numbering" w:customStyle="1" w:styleId="TableListBulletmaster">
    <w:name w:val="Table List Bullet (master)"/>
    <w:rsid w:val="005E7354"/>
    <w:pPr>
      <w:numPr>
        <w:numId w:val="5"/>
      </w:numPr>
    </w:pPr>
  </w:style>
  <w:style w:type="paragraph" w:customStyle="1" w:styleId="TableListBullet2">
    <w:name w:val="Table List Bullet 2"/>
    <w:basedOn w:val="TableListBullet"/>
    <w:uiPriority w:val="14"/>
    <w:qFormat/>
    <w:rsid w:val="00FF3F97"/>
    <w:pPr>
      <w:numPr>
        <w:ilvl w:val="1"/>
      </w:numPr>
    </w:pPr>
  </w:style>
  <w:style w:type="paragraph" w:customStyle="1" w:styleId="TableListNumber">
    <w:name w:val="Table List Number"/>
    <w:basedOn w:val="Normal"/>
    <w:uiPriority w:val="14"/>
    <w:qFormat/>
    <w:rsid w:val="009168DD"/>
    <w:pPr>
      <w:numPr>
        <w:numId w:val="7"/>
      </w:numPr>
      <w:spacing w:before="120" w:after="120" w:line="260" w:lineRule="atLeast"/>
      <w:ind w:left="357" w:hanging="357"/>
    </w:pPr>
    <w:rPr>
      <w:rFonts w:ascii="Arial" w:hAnsi="Arial"/>
      <w:bCs/>
      <w:sz w:val="20"/>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4"/>
    <w:qFormat/>
    <w:rsid w:val="00FF3F97"/>
    <w:pPr>
      <w:numPr>
        <w:ilvl w:val="1"/>
      </w:numPr>
      <w:ind w:left="714" w:hanging="357"/>
    </w:pPr>
  </w:style>
  <w:style w:type="paragraph" w:customStyle="1" w:styleId="TableBodyText">
    <w:name w:val="Table Body Text"/>
    <w:basedOn w:val="Normal"/>
    <w:uiPriority w:val="14"/>
    <w:qFormat/>
    <w:rsid w:val="00DE6C3B"/>
    <w:pPr>
      <w:spacing w:before="120" w:after="120" w:line="260" w:lineRule="atLeast"/>
    </w:pPr>
    <w:rPr>
      <w:rFonts w:ascii="Arial" w:hAnsi="Arial"/>
      <w:bCs/>
      <w:sz w:val="21"/>
    </w:rPr>
  </w:style>
  <w:style w:type="paragraph" w:customStyle="1" w:styleId="TableBodyTextsmall">
    <w:name w:val="Table Body Text (small)"/>
    <w:basedOn w:val="TableBodyText"/>
    <w:uiPriority w:val="15"/>
    <w:qFormat/>
    <w:rsid w:val="002375BC"/>
    <w:pPr>
      <w:spacing w:before="40" w:after="40" w:line="100" w:lineRule="atLeast"/>
    </w:pPr>
    <w:rPr>
      <w:sz w:val="18"/>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34"/>
    <w:qFormat/>
    <w:rsid w:val="0023754A"/>
    <w:pPr>
      <w:spacing w:before="80" w:after="120"/>
      <w:ind w:left="720"/>
      <w:contextualSpacing/>
    </w:pPr>
    <w:rPr>
      <w:rFonts w:ascii="Arial" w:eastAsiaTheme="minorHAnsi" w:hAnsi="Arial" w:cstheme="minorBidi"/>
      <w:szCs w:val="20"/>
      <w:lang w:eastAsia="en-US"/>
    </w:rPr>
  </w:style>
  <w:style w:type="character" w:customStyle="1" w:styleId="Heading1Char">
    <w:name w:val="Heading 1 Char"/>
    <w:basedOn w:val="DefaultParagraphFont"/>
    <w:link w:val="Heading1"/>
    <w:uiPriority w:val="9"/>
    <w:rsid w:val="008B7D99"/>
    <w:rPr>
      <w:rFonts w:ascii="Arial" w:eastAsia="Times New Roman" w:hAnsi="Arial" w:cs="Arial"/>
      <w:bCs/>
      <w:sz w:val="48"/>
      <w:szCs w:val="32"/>
      <w:lang w:val="en-AU" w:eastAsia="en-AU"/>
    </w:rPr>
  </w:style>
  <w:style w:type="character" w:customStyle="1" w:styleId="Heading2Char">
    <w:name w:val="Heading 2 Char"/>
    <w:basedOn w:val="DefaultParagraphFont"/>
    <w:link w:val="Heading2"/>
    <w:uiPriority w:val="9"/>
    <w:rsid w:val="00DE6C3B"/>
    <w:rPr>
      <w:rFonts w:ascii="Arial" w:eastAsia="Times New Roman" w:hAnsi="Arial" w:cs="Arial"/>
      <w:b/>
      <w:iCs/>
      <w:sz w:val="36"/>
      <w:szCs w:val="28"/>
      <w:lang w:val="en-AU" w:eastAsia="en-AU"/>
    </w:rPr>
  </w:style>
  <w:style w:type="character" w:customStyle="1" w:styleId="Heading3Char">
    <w:name w:val="Heading 3 Char"/>
    <w:basedOn w:val="DefaultParagraphFont"/>
    <w:link w:val="Heading3"/>
    <w:uiPriority w:val="9"/>
    <w:rsid w:val="00DE6C3B"/>
    <w:rPr>
      <w:rFonts w:ascii="Arial" w:eastAsia="Times New Roman" w:hAnsi="Arial" w:cs="Arial"/>
      <w:sz w:val="28"/>
      <w:szCs w:val="26"/>
      <w:lang w:val="en-AU" w:eastAsia="en-AU"/>
    </w:rPr>
  </w:style>
  <w:style w:type="character" w:customStyle="1" w:styleId="Heading4Char">
    <w:name w:val="Heading 4 Char"/>
    <w:basedOn w:val="DefaultParagraphFont"/>
    <w:link w:val="Heading4"/>
    <w:uiPriority w:val="9"/>
    <w:rsid w:val="00DE6C3B"/>
    <w:rPr>
      <w:rFonts w:ascii="Arial" w:eastAsia="Times New Roman" w:hAnsi="Arial" w:cs="Arial"/>
      <w:b/>
      <w:sz w:val="24"/>
      <w:szCs w:val="21"/>
      <w:lang w:val="en-AU" w:eastAsia="en-AU"/>
    </w:rPr>
  </w:style>
  <w:style w:type="character" w:customStyle="1" w:styleId="Heading5Char">
    <w:name w:val="Heading 5 Char"/>
    <w:basedOn w:val="DefaultParagraphFont"/>
    <w:link w:val="Heading5"/>
    <w:uiPriority w:val="9"/>
    <w:rsid w:val="00DE6C3B"/>
    <w:rPr>
      <w:rFonts w:ascii="Arial" w:eastAsia="Times New Roman" w:hAnsi="Arial" w:cs="Times New Roman"/>
      <w:bCs/>
      <w:i/>
      <w:iCs/>
      <w:sz w:val="24"/>
      <w:lang w:val="en-GB" w:eastAsia="en-AU"/>
    </w:rPr>
  </w:style>
  <w:style w:type="paragraph" w:customStyle="1" w:styleId="AppendixHeading1">
    <w:name w:val="Appendix Heading 1"/>
    <w:basedOn w:val="Heading1"/>
    <w:next w:val="BodyText"/>
    <w:uiPriority w:val="11"/>
    <w:qFormat/>
    <w:rsid w:val="005A2727"/>
    <w:pPr>
      <w:keepNext w:val="0"/>
      <w:numPr>
        <w:numId w:val="10"/>
      </w:numPr>
      <w:tabs>
        <w:tab w:val="left" w:pos="2268"/>
      </w:tabs>
      <w:suppressAutoHyphens/>
    </w:pPr>
    <w:rPr>
      <w:szCs w:val="30"/>
    </w:rPr>
  </w:style>
  <w:style w:type="numbering" w:customStyle="1" w:styleId="AppendixHeadingmaster">
    <w:name w:val="Appendix Heading (master)"/>
    <w:uiPriority w:val="99"/>
    <w:rsid w:val="005A2727"/>
    <w:pPr>
      <w:numPr>
        <w:numId w:val="1"/>
      </w:numPr>
    </w:pPr>
  </w:style>
  <w:style w:type="paragraph" w:styleId="BodyText">
    <w:name w:val="Body Text"/>
    <w:basedOn w:val="Normal"/>
    <w:link w:val="BodyTextChar"/>
    <w:qFormat/>
    <w:rsid w:val="00B3476C"/>
    <w:pPr>
      <w:spacing w:before="80" w:after="120"/>
    </w:pPr>
    <w:rPr>
      <w:rFonts w:ascii="Arial" w:eastAsiaTheme="minorHAnsi" w:hAnsi="Arial" w:cstheme="minorBidi"/>
      <w:szCs w:val="20"/>
      <w:lang w:eastAsia="en-US"/>
    </w:rPr>
  </w:style>
  <w:style w:type="character" w:customStyle="1" w:styleId="BodyTextChar">
    <w:name w:val="Body Text Char"/>
    <w:basedOn w:val="DefaultParagraphFont"/>
    <w:link w:val="BodyText"/>
    <w:rsid w:val="00B3476C"/>
    <w:rPr>
      <w:rFonts w:ascii="Arial" w:hAnsi="Arial"/>
      <w:sz w:val="24"/>
      <w:lang w:val="en-AU"/>
    </w:rPr>
  </w:style>
  <w:style w:type="paragraph" w:customStyle="1" w:styleId="AppendixHeading2">
    <w:name w:val="Appendix Heading 2"/>
    <w:basedOn w:val="AppendixHeading1"/>
    <w:next w:val="BodyText"/>
    <w:uiPriority w:val="11"/>
    <w:qFormat/>
    <w:rsid w:val="00744030"/>
    <w:pPr>
      <w:keepNext/>
      <w:pageBreakBefore w:val="0"/>
      <w:numPr>
        <w:ilvl w:val="1"/>
      </w:numPr>
      <w:spacing w:before="300" w:after="0"/>
    </w:pPr>
    <w:rPr>
      <w:b/>
      <w:sz w:val="36"/>
    </w:rPr>
  </w:style>
  <w:style w:type="paragraph" w:customStyle="1" w:styleId="AppendixHeading3">
    <w:name w:val="Appendix Heading 3"/>
    <w:basedOn w:val="Heading1"/>
    <w:next w:val="BodyText"/>
    <w:uiPriority w:val="11"/>
    <w:semiHidden/>
    <w:rsid w:val="000419F4"/>
    <w:pPr>
      <w:suppressAutoHyphens/>
      <w:spacing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F43C28"/>
    <w:pPr>
      <w:pageBreakBefore w:val="0"/>
      <w:numPr>
        <w:numId w:val="0"/>
      </w:numPr>
    </w:pPr>
  </w:style>
  <w:style w:type="numbering" w:customStyle="1" w:styleId="Headingsmaster">
    <w:name w:val="Headings (master)"/>
    <w:uiPriority w:val="99"/>
    <w:rsid w:val="00F344BA"/>
    <w:pPr>
      <w:numPr>
        <w:numId w:val="20"/>
      </w:numPr>
    </w:pPr>
  </w:style>
  <w:style w:type="paragraph" w:customStyle="1" w:styleId="Image">
    <w:name w:val="Image"/>
    <w:basedOn w:val="Normal"/>
    <w:next w:val="BodyText"/>
    <w:uiPriority w:val="19"/>
    <w:qFormat/>
    <w:rsid w:val="009F6BB7"/>
    <w:pPr>
      <w:spacing w:before="120" w:after="120" w:line="260" w:lineRule="atLeast"/>
    </w:pPr>
    <w:rPr>
      <w:rFonts w:ascii="Arial" w:hAnsi="Arial"/>
      <w:lang w:eastAsia="en-AU"/>
    </w:rPr>
  </w:style>
  <w:style w:type="paragraph" w:customStyle="1" w:styleId="InstructionalText">
    <w:name w:val="Instructional Text"/>
    <w:basedOn w:val="Normal"/>
    <w:uiPriority w:val="40"/>
    <w:semiHidden/>
    <w:rsid w:val="000419F4"/>
    <w:pPr>
      <w:spacing w:before="80" w:after="80" w:line="288" w:lineRule="auto"/>
    </w:pPr>
    <w:rPr>
      <w:rFonts w:ascii="Arial" w:hAnsi="Arial"/>
      <w:vanish/>
      <w:color w:val="FF0000"/>
      <w:sz w:val="16"/>
    </w:rPr>
  </w:style>
  <w:style w:type="paragraph" w:customStyle="1" w:styleId="TableNote">
    <w:name w:val="Table Note"/>
    <w:basedOn w:val="TableBodyText"/>
    <w:next w:val="BodyText"/>
    <w:uiPriority w:val="15"/>
    <w:qFormat/>
    <w:rsid w:val="006C6CDE"/>
    <w:pPr>
      <w:spacing w:before="80" w:after="80" w:line="200" w:lineRule="atLeast"/>
    </w:pPr>
  </w:style>
  <w:style w:type="paragraph" w:customStyle="1" w:styleId="TableBodyTextrightalign">
    <w:name w:val="Table Body Text (right align)"/>
    <w:basedOn w:val="TableBodyText"/>
    <w:uiPriority w:val="15"/>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3E33DC"/>
    <w:pPr>
      <w:spacing w:before="120" w:after="120" w:line="260" w:lineRule="atLeast"/>
      <w:ind w:left="714" w:right="714"/>
    </w:pPr>
    <w:rPr>
      <w:rFonts w:ascii="Arial" w:eastAsiaTheme="minorHAnsi" w:hAnsi="Arial" w:cstheme="minorBidi"/>
      <w:iCs/>
      <w:szCs w:val="20"/>
      <w:lang w:eastAsia="en-US"/>
    </w:rPr>
  </w:style>
  <w:style w:type="character" w:customStyle="1" w:styleId="QuoteChar">
    <w:name w:val="Quote Char"/>
    <w:basedOn w:val="DefaultParagraphFont"/>
    <w:link w:val="Quote"/>
    <w:uiPriority w:val="18"/>
    <w:rsid w:val="003E33DC"/>
    <w:rPr>
      <w:rFonts w:ascii="Arial" w:hAnsi="Arial"/>
      <w:iCs/>
      <w:sz w:val="24"/>
      <w:lang w:val="en-AU"/>
    </w:rPr>
  </w:style>
  <w:style w:type="paragraph" w:styleId="Header">
    <w:name w:val="header"/>
    <w:basedOn w:val="Normal"/>
    <w:link w:val="HeaderChar"/>
    <w:uiPriority w:val="24"/>
    <w:semiHidden/>
    <w:rsid w:val="00E84AA7"/>
    <w:pPr>
      <w:tabs>
        <w:tab w:val="right" w:pos="0"/>
        <w:tab w:val="center" w:pos="4680"/>
        <w:tab w:val="right" w:pos="9360"/>
      </w:tabs>
    </w:pPr>
    <w:rPr>
      <w:rFonts w:ascii="Arial" w:eastAsiaTheme="minorHAnsi" w:hAnsi="Arial" w:cstheme="minorBidi"/>
      <w:sz w:val="18"/>
      <w:szCs w:val="20"/>
      <w:lang w:eastAsia="en-US"/>
    </w:rPr>
  </w:style>
  <w:style w:type="character" w:customStyle="1" w:styleId="HeaderChar">
    <w:name w:val="Header Char"/>
    <w:basedOn w:val="DefaultParagraphFont"/>
    <w:link w:val="Header"/>
    <w:uiPriority w:val="24"/>
    <w:semiHidden/>
    <w:rsid w:val="002E76E0"/>
    <w:rPr>
      <w:rFonts w:ascii="Arial" w:hAnsi="Arial"/>
      <w:sz w:val="18"/>
      <w:lang w:val="en-AU"/>
    </w:rPr>
  </w:style>
  <w:style w:type="paragraph" w:styleId="Footer">
    <w:name w:val="footer"/>
    <w:basedOn w:val="Normal"/>
    <w:link w:val="FooterChar"/>
    <w:uiPriority w:val="24"/>
    <w:semiHidden/>
    <w:rsid w:val="00E84AA7"/>
    <w:pPr>
      <w:tabs>
        <w:tab w:val="right" w:pos="14629"/>
      </w:tabs>
    </w:pPr>
    <w:rPr>
      <w:rFonts w:ascii="Arial" w:eastAsiaTheme="minorHAnsi" w:hAnsi="Arial" w:cstheme="minorBidi"/>
      <w:sz w:val="18"/>
      <w:szCs w:val="20"/>
      <w:lang w:eastAsia="en-US"/>
    </w:rPr>
  </w:style>
  <w:style w:type="character" w:customStyle="1" w:styleId="FooterChar">
    <w:name w:val="Footer Char"/>
    <w:basedOn w:val="DefaultParagraphFont"/>
    <w:link w:val="Footer"/>
    <w:uiPriority w:val="24"/>
    <w:semiHidden/>
    <w:rsid w:val="002E76E0"/>
    <w:rPr>
      <w:rFonts w:ascii="Arial" w:hAnsi="Arial"/>
      <w:sz w:val="18"/>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270F83"/>
    <w:pPr>
      <w:spacing w:before="1600"/>
      <w:contextualSpacing/>
    </w:pPr>
    <w:rPr>
      <w:rFonts w:ascii="Arial" w:eastAsiaTheme="majorEastAsia" w:hAnsi="Arial" w:cstheme="majorBidi"/>
      <w:color w:val="FFFFFF" w:themeColor="background1"/>
      <w:kern w:val="28"/>
      <w:sz w:val="80"/>
      <w:szCs w:val="52"/>
      <w:lang w:eastAsia="en-US"/>
    </w:rPr>
  </w:style>
  <w:style w:type="character" w:customStyle="1" w:styleId="TitleChar">
    <w:name w:val="Title Char"/>
    <w:basedOn w:val="DefaultParagraphFont"/>
    <w:link w:val="Title"/>
    <w:uiPriority w:val="24"/>
    <w:rsid w:val="00270F83"/>
    <w:rPr>
      <w:rFonts w:ascii="Arial" w:eastAsiaTheme="majorEastAsia" w:hAnsi="Arial" w:cstheme="majorBidi"/>
      <w:color w:val="FFFFFF" w:themeColor="background1"/>
      <w:kern w:val="28"/>
      <w:sz w:val="80"/>
      <w:szCs w:val="52"/>
      <w:lang w:val="en-AU"/>
    </w:rPr>
  </w:style>
  <w:style w:type="paragraph" w:styleId="Subtitle">
    <w:name w:val="Subtitle"/>
    <w:basedOn w:val="Normal"/>
    <w:next w:val="BodyText"/>
    <w:link w:val="SubtitleChar"/>
    <w:uiPriority w:val="24"/>
    <w:rsid w:val="00F65FB2"/>
    <w:pPr>
      <w:numPr>
        <w:ilvl w:val="1"/>
      </w:numPr>
      <w:spacing w:after="200"/>
    </w:pPr>
    <w:rPr>
      <w:rFonts w:ascii="Arial" w:eastAsiaTheme="majorEastAsia" w:hAnsi="Arial" w:cstheme="majorBidi"/>
      <w:iCs/>
      <w:color w:val="FFFFFF" w:themeColor="background1"/>
      <w:sz w:val="56"/>
      <w:lang w:eastAsia="en-US"/>
    </w:rPr>
  </w:style>
  <w:style w:type="character" w:customStyle="1" w:styleId="SubtitleChar">
    <w:name w:val="Subtitle Char"/>
    <w:basedOn w:val="DefaultParagraphFont"/>
    <w:link w:val="Subtitle"/>
    <w:uiPriority w:val="24"/>
    <w:rsid w:val="00F65FB2"/>
    <w:rPr>
      <w:rFonts w:ascii="Arial" w:eastAsiaTheme="majorEastAsia" w:hAnsi="Arial" w:cstheme="majorBidi"/>
      <w:iCs/>
      <w:color w:val="FFFFFF" w:themeColor="background1"/>
      <w:sz w:val="56"/>
      <w:szCs w:val="24"/>
      <w:lang w:val="en-AU"/>
    </w:rPr>
  </w:style>
  <w:style w:type="numbering" w:customStyle="1" w:styleId="ListAlphanumericmaster">
    <w:name w:val="List Alphanumeric (master)"/>
    <w:uiPriority w:val="99"/>
    <w:rsid w:val="003D2B56"/>
    <w:pPr>
      <w:numPr>
        <w:numId w:val="18"/>
      </w:numPr>
    </w:pPr>
  </w:style>
  <w:style w:type="paragraph" w:styleId="TOCHeading">
    <w:name w:val="TOC Heading"/>
    <w:basedOn w:val="Heading1"/>
    <w:next w:val="Normal"/>
    <w:uiPriority w:val="24"/>
    <w:semiHidden/>
    <w:rsid w:val="00AE0185"/>
    <w:pPr>
      <w:keepLines/>
      <w:pageBreakBefore w:val="0"/>
      <w:numPr>
        <w:numId w:val="0"/>
      </w:numPr>
      <w:outlineLvl w:val="9"/>
    </w:pPr>
    <w:rPr>
      <w:rFonts w:eastAsiaTheme="majorEastAsia" w:cstheme="majorBidi"/>
      <w:szCs w:val="28"/>
      <w:lang w:eastAsia="en-US"/>
    </w:rPr>
  </w:style>
  <w:style w:type="paragraph" w:styleId="TOC1">
    <w:name w:val="toc 1"/>
    <w:basedOn w:val="Normal"/>
    <w:next w:val="Normal"/>
    <w:autoRedefine/>
    <w:uiPriority w:val="39"/>
    <w:rsid w:val="00F344BA"/>
    <w:pPr>
      <w:tabs>
        <w:tab w:val="left" w:pos="680"/>
        <w:tab w:val="right" w:leader="dot" w:pos="9017"/>
      </w:tabs>
      <w:spacing w:before="240"/>
      <w:ind w:left="1247" w:right="851" w:hanging="1247"/>
    </w:pPr>
    <w:rPr>
      <w:rFonts w:ascii="Arial" w:eastAsiaTheme="minorHAnsi" w:hAnsi="Arial" w:cstheme="minorBidi"/>
      <w:b/>
      <w:szCs w:val="20"/>
      <w:lang w:eastAsia="en-US"/>
    </w:rPr>
  </w:style>
  <w:style w:type="paragraph" w:styleId="TOC2">
    <w:name w:val="toc 2"/>
    <w:basedOn w:val="Normal"/>
    <w:next w:val="Normal"/>
    <w:autoRedefine/>
    <w:uiPriority w:val="39"/>
    <w:rsid w:val="00040AE7"/>
    <w:pPr>
      <w:tabs>
        <w:tab w:val="left" w:pos="680"/>
        <w:tab w:val="right" w:leader="dot" w:pos="9017"/>
      </w:tabs>
      <w:spacing w:before="120"/>
      <w:ind w:right="851"/>
    </w:pPr>
    <w:rPr>
      <w:rFonts w:ascii="Arial" w:eastAsiaTheme="minorHAnsi" w:hAnsi="Arial" w:cstheme="minorBidi"/>
      <w:szCs w:val="20"/>
      <w:lang w:eastAsia="en-US"/>
    </w:rPr>
  </w:style>
  <w:style w:type="character" w:styleId="Hyperlink">
    <w:name w:val="Hyperlink"/>
    <w:basedOn w:val="DefaultParagraphFont"/>
    <w:uiPriority w:val="99"/>
    <w:qFormat/>
    <w:rsid w:val="00452A9D"/>
    <w:rPr>
      <w:color w:val="0000FF" w:themeColor="hyperlink"/>
      <w:u w:val="single"/>
    </w:rPr>
  </w:style>
  <w:style w:type="paragraph" w:styleId="TOC3">
    <w:name w:val="toc 3"/>
    <w:basedOn w:val="Normal"/>
    <w:next w:val="Normal"/>
    <w:autoRedefine/>
    <w:uiPriority w:val="39"/>
    <w:semiHidden/>
    <w:rsid w:val="009C2D9E"/>
    <w:pPr>
      <w:tabs>
        <w:tab w:val="left" w:pos="680"/>
        <w:tab w:val="right" w:leader="dot" w:pos="9017"/>
      </w:tabs>
      <w:spacing w:before="80" w:after="100"/>
      <w:ind w:left="340" w:right="851"/>
    </w:pPr>
    <w:rPr>
      <w:rFonts w:ascii="Arial" w:eastAsiaTheme="minorHAnsi" w:hAnsi="Arial" w:cstheme="minorBidi"/>
      <w:i/>
      <w:sz w:val="20"/>
      <w:szCs w:val="20"/>
      <w:lang w:eastAsia="en-US"/>
    </w:rPr>
  </w:style>
  <w:style w:type="paragraph" w:styleId="Caption">
    <w:name w:val="caption"/>
    <w:basedOn w:val="Normal"/>
    <w:next w:val="BodyText"/>
    <w:uiPriority w:val="22"/>
    <w:semiHidden/>
    <w:rsid w:val="00904146"/>
    <w:pPr>
      <w:spacing w:before="140" w:after="40" w:line="240" w:lineRule="atLeast"/>
    </w:pPr>
    <w:rPr>
      <w:rFonts w:ascii="Arial" w:eastAsiaTheme="minorHAnsi" w:hAnsi="Arial" w:cstheme="minorBidi"/>
      <w:b/>
      <w:bCs/>
      <w:szCs w:val="18"/>
      <w:lang w:eastAsia="en-US"/>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9"/>
      </w:numPr>
    </w:pPr>
  </w:style>
  <w:style w:type="numbering" w:customStyle="1" w:styleId="ListLegalmaster">
    <w:name w:val="List Legal (master)"/>
    <w:uiPriority w:val="99"/>
    <w:rsid w:val="00291313"/>
    <w:pPr>
      <w:numPr>
        <w:numId w:val="8"/>
      </w:numPr>
    </w:pPr>
  </w:style>
  <w:style w:type="paragraph" w:customStyle="1" w:styleId="ListLegal2">
    <w:name w:val="List Legal 2"/>
    <w:basedOn w:val="ListNumber2"/>
    <w:uiPriority w:val="8"/>
    <w:semiHidden/>
    <w:qFormat/>
    <w:rsid w:val="00291313"/>
    <w:pPr>
      <w:tabs>
        <w:tab w:val="clear" w:pos="643"/>
        <w:tab w:val="left" w:pos="1077"/>
      </w:tabs>
      <w:ind w:left="357" w:hanging="357"/>
    </w:pPr>
  </w:style>
  <w:style w:type="paragraph" w:customStyle="1" w:styleId="ListLegal3">
    <w:name w:val="List Legal 3"/>
    <w:basedOn w:val="ListLegal2"/>
    <w:uiPriority w:val="8"/>
    <w:semiHidden/>
    <w:qFormat/>
    <w:rsid w:val="00291313"/>
    <w:pPr>
      <w:numPr>
        <w:ilvl w:val="2"/>
      </w:numPr>
      <w:tabs>
        <w:tab w:val="clear" w:pos="1077"/>
        <w:tab w:val="left" w:pos="1435"/>
      </w:tabs>
      <w:ind w:left="357" w:hanging="357"/>
    </w:pPr>
  </w:style>
  <w:style w:type="paragraph" w:customStyle="1" w:styleId="DocumentDetails">
    <w:name w:val="Document Details"/>
    <w:basedOn w:val="Normal"/>
    <w:next w:val="BodyText"/>
    <w:uiPriority w:val="24"/>
    <w:semiHidden/>
    <w:rsid w:val="005012B2"/>
    <w:pPr>
      <w:spacing w:before="120" w:after="120"/>
      <w:jc w:val="center"/>
    </w:pPr>
    <w:rPr>
      <w:rFonts w:ascii="Arial" w:eastAsiaTheme="minorHAnsi" w:hAnsi="Arial" w:cstheme="minorBidi"/>
      <w:szCs w:val="20"/>
      <w:lang w:eastAsia="en-US"/>
    </w:rPr>
  </w:style>
  <w:style w:type="paragraph" w:customStyle="1" w:styleId="SingleSpace">
    <w:name w:val="Single Space"/>
    <w:basedOn w:val="BodyText"/>
    <w:uiPriority w:val="21"/>
    <w:semiHidden/>
    <w:rsid w:val="0069066D"/>
    <w:pPr>
      <w:spacing w:before="0" w:after="0"/>
    </w:pPr>
    <w:rPr>
      <w:sz w:val="2"/>
    </w:rPr>
  </w:style>
  <w:style w:type="character" w:customStyle="1" w:styleId="Characteryellowhighlight">
    <w:name w:val="Character (yellow highlight)"/>
    <w:basedOn w:val="DefaultParagraphFont"/>
    <w:uiPriority w:val="2"/>
    <w:qFormat/>
    <w:rsid w:val="005012B2"/>
    <w:rPr>
      <w:bdr w:val="none" w:sz="0" w:space="0" w:color="auto"/>
      <w:shd w:val="clear" w:color="auto" w:fill="FFFF00"/>
      <w:lang w:val="en-AU"/>
    </w:rPr>
  </w:style>
  <w:style w:type="paragraph" w:styleId="TableofFigures">
    <w:name w:val="table of figures"/>
    <w:basedOn w:val="Normal"/>
    <w:next w:val="Normal"/>
    <w:uiPriority w:val="99"/>
    <w:rsid w:val="00F344BA"/>
    <w:pPr>
      <w:spacing w:before="120"/>
      <w:ind w:right="851"/>
    </w:pPr>
    <w:rPr>
      <w:rFonts w:ascii="Arial" w:eastAsiaTheme="minorHAnsi" w:hAnsi="Arial" w:cstheme="minorBidi"/>
      <w:szCs w:val="20"/>
      <w:lang w:eastAsia="en-US"/>
    </w:rPr>
  </w:style>
  <w:style w:type="paragraph" w:customStyle="1" w:styleId="BodyTextindent">
    <w:name w:val="Body Text (indent)"/>
    <w:basedOn w:val="BodyText"/>
    <w:qFormat/>
    <w:rsid w:val="001C4183"/>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0C0F81"/>
    <w:rPr>
      <w:rFonts w:ascii="Arial" w:hAnsi="Arial"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3E33DC"/>
    <w:pPr>
      <w:pageBreakBefore w:val="0"/>
      <w:numPr>
        <w:numId w:val="0"/>
      </w:numPr>
      <w:spacing w:before="120"/>
    </w:pPr>
    <w:rPr>
      <w:rFonts w:cs="Calibri"/>
      <w:i/>
      <w:noProof/>
      <w:sz w:val="24"/>
    </w:rPr>
  </w:style>
  <w:style w:type="character" w:customStyle="1" w:styleId="EndNoteBibliographyTitleChar4">
    <w:name w:val="EndNote Bibliography Title Char4"/>
    <w:basedOn w:val="BodyTextChar"/>
    <w:link w:val="EndNoteBibliographyTitle"/>
    <w:uiPriority w:val="23"/>
    <w:semiHidden/>
    <w:rsid w:val="000C0F81"/>
    <w:rPr>
      <w:rFonts w:ascii="Arial" w:eastAsia="Times New Roman" w:hAnsi="Arial" w:cs="Calibri"/>
      <w:bCs/>
      <w:i/>
      <w:noProof/>
      <w:sz w:val="24"/>
      <w:szCs w:val="32"/>
      <w:lang w:val="en-AU" w:eastAsia="en-AU"/>
    </w:rPr>
  </w:style>
  <w:style w:type="character" w:styleId="PlaceholderText">
    <w:name w:val="Placeholder Text"/>
    <w:basedOn w:val="DefaultParagraphFont"/>
    <w:uiPriority w:val="99"/>
    <w:semiHidden/>
    <w:rsid w:val="00902D12"/>
    <w:rPr>
      <w:color w:val="FF0000"/>
    </w:rPr>
  </w:style>
  <w:style w:type="paragraph" w:styleId="TOC4">
    <w:name w:val="toc 4"/>
    <w:basedOn w:val="TOC1"/>
    <w:next w:val="Normal"/>
    <w:autoRedefine/>
    <w:uiPriority w:val="39"/>
    <w:rsid w:val="00F344BA"/>
    <w:pPr>
      <w:tabs>
        <w:tab w:val="left" w:pos="1418"/>
      </w:tabs>
      <w:ind w:left="1418" w:hanging="1418"/>
    </w:pPr>
    <w:rPr>
      <w:b w:val="0"/>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5_"/>
    <w:basedOn w:val="Normal"/>
    <w:link w:val="FootnoteTextChar"/>
    <w:qFormat/>
    <w:rsid w:val="00E23C2C"/>
    <w:pPr>
      <w:spacing w:after="80"/>
      <w:ind w:left="113" w:hanging="113"/>
    </w:pPr>
    <w:rPr>
      <w:rFonts w:ascii="Arial" w:eastAsiaTheme="minorHAnsi" w:hAnsi="Arial" w:cstheme="minorBidi"/>
      <w:sz w:val="18"/>
      <w:szCs w:val="20"/>
      <w:lang w:eastAsia="en-US"/>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5_ Char"/>
    <w:basedOn w:val="DefaultParagraphFont"/>
    <w:link w:val="FootnoteText"/>
    <w:uiPriority w:val="99"/>
    <w:semiHidden/>
    <w:rsid w:val="00E23C2C"/>
    <w:rPr>
      <w:rFonts w:ascii="Arial" w:hAnsi="Arial"/>
      <w:sz w:val="18"/>
      <w:lang w:val="en-AU"/>
    </w:rPr>
  </w:style>
  <w:style w:type="character" w:styleId="FootnoteReference">
    <w:name w:val="footnote reference"/>
    <w:aliases w:val="Footnote,Footnotes refss,4_G,Footnote number,Stinking Styles,Footnotes refss Char Char1,4_G Char Char Char1 Char Char Char Char Char Char,Footnote Reference1 Char Char Char1 Char Char Char Char Char Char,4_G Char,Footnotes refss Char"/>
    <w:basedOn w:val="DefaultParagraphFont"/>
    <w:uiPriority w:val="8"/>
    <w:qFormat/>
    <w:rsid w:val="00600004"/>
    <w:rPr>
      <w:vertAlign w:val="superscript"/>
    </w:rPr>
  </w:style>
  <w:style w:type="table" w:customStyle="1" w:styleId="CustomTabledetailed">
    <w:name w:val="Custom Table (detailed)"/>
    <w:basedOn w:val="TableNormal"/>
    <w:uiPriority w:val="99"/>
    <w:rsid w:val="007C1A44"/>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362F3"/>
    <w:pPr>
      <w:spacing w:after="0" w:line="240" w:lineRule="auto"/>
    </w:pPr>
    <w:rPr>
      <w:rFonts w:ascii="Arial" w:hAnsi="Arial"/>
      <w:sz w:val="18"/>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standard">
    <w:name w:val="Custom Table (standard)"/>
    <w:basedOn w:val="TableNormal"/>
    <w:uiPriority w:val="99"/>
    <w:rsid w:val="003E33DC"/>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character" w:styleId="UnresolvedMention">
    <w:name w:val="Unresolved Mention"/>
    <w:basedOn w:val="DefaultParagraphFont"/>
    <w:uiPriority w:val="99"/>
    <w:semiHidden/>
    <w:rsid w:val="00902D12"/>
    <w:rPr>
      <w:color w:val="605E5C"/>
      <w:shd w:val="clear" w:color="auto" w:fill="E1DFDD"/>
    </w:rPr>
  </w:style>
  <w:style w:type="table" w:customStyle="1" w:styleId="CustomTablerecommendationsbox">
    <w:name w:val="Custom Table (recommendations box)"/>
    <w:basedOn w:val="TableNormal"/>
    <w:uiPriority w:val="99"/>
    <w:rsid w:val="003B63B4"/>
    <w:pPr>
      <w:spacing w:after="0" w:line="240" w:lineRule="auto"/>
    </w:pPr>
    <w:tblPr/>
    <w:tcPr>
      <w:shd w:val="clear" w:color="auto" w:fill="BDD6EE"/>
    </w:tcPr>
  </w:style>
  <w:style w:type="table" w:customStyle="1" w:styleId="CustomTablebreakoutbox">
    <w:name w:val="Custom Table (breakout box)"/>
    <w:basedOn w:val="TableNormal"/>
    <w:uiPriority w:val="99"/>
    <w:rsid w:val="003E33DC"/>
    <w:pPr>
      <w:spacing w:after="0" w:line="240" w:lineRule="auto"/>
    </w:pPr>
    <w:tblPr/>
    <w:tcPr>
      <w:shd w:val="clear" w:color="auto" w:fill="C5E0B3"/>
    </w:tcPr>
  </w:style>
  <w:style w:type="paragraph" w:styleId="EndnoteText">
    <w:name w:val="endnote text"/>
    <w:basedOn w:val="Normal"/>
    <w:link w:val="EndnoteTextChar"/>
    <w:uiPriority w:val="99"/>
    <w:semiHidden/>
    <w:rsid w:val="000F6C59"/>
    <w:rPr>
      <w:rFonts w:ascii="Arial" w:eastAsiaTheme="minorHAnsi" w:hAnsi="Arial" w:cstheme="minorBidi"/>
      <w:sz w:val="20"/>
      <w:szCs w:val="20"/>
      <w:lang w:eastAsia="en-US"/>
    </w:rPr>
  </w:style>
  <w:style w:type="character" w:customStyle="1" w:styleId="EndnoteTextChar">
    <w:name w:val="Endnote Text Char"/>
    <w:basedOn w:val="DefaultParagraphFont"/>
    <w:link w:val="EndnoteText"/>
    <w:uiPriority w:val="99"/>
    <w:semiHidden/>
    <w:rsid w:val="000F6C59"/>
    <w:rPr>
      <w:rFonts w:ascii="Arial" w:hAnsi="Arial"/>
      <w:lang w:val="en-AU"/>
    </w:rPr>
  </w:style>
  <w:style w:type="character" w:styleId="EndnoteReference">
    <w:name w:val="endnote reference"/>
    <w:basedOn w:val="DefaultParagraphFont"/>
    <w:uiPriority w:val="99"/>
    <w:semiHidden/>
    <w:rsid w:val="000F6C59"/>
    <w:rPr>
      <w:vertAlign w:val="superscript"/>
    </w:rPr>
  </w:style>
  <w:style w:type="paragraph" w:customStyle="1" w:styleId="RecommendationsHeading">
    <w:name w:val="Recommendations Heading"/>
    <w:basedOn w:val="BodyText"/>
    <w:next w:val="BodyText"/>
    <w:uiPriority w:val="16"/>
    <w:qFormat/>
    <w:rsid w:val="00736816"/>
    <w:pPr>
      <w:numPr>
        <w:numId w:val="13"/>
      </w:numPr>
    </w:pPr>
    <w:rPr>
      <w:b/>
      <w:sz w:val="36"/>
    </w:rPr>
  </w:style>
  <w:style w:type="paragraph" w:customStyle="1" w:styleId="RecommendationList">
    <w:name w:val="Recommendation List"/>
    <w:basedOn w:val="Normal"/>
    <w:next w:val="BodyText"/>
    <w:uiPriority w:val="17"/>
    <w:qFormat/>
    <w:rsid w:val="003C1C24"/>
    <w:pPr>
      <w:numPr>
        <w:ilvl w:val="1"/>
        <w:numId w:val="13"/>
      </w:numPr>
      <w:spacing w:before="80" w:after="120"/>
    </w:pPr>
    <w:rPr>
      <w:rFonts w:ascii="Arial" w:eastAsiaTheme="minorHAnsi" w:hAnsi="Arial" w:cstheme="minorBidi"/>
      <w:sz w:val="28"/>
      <w:szCs w:val="20"/>
      <w:lang w:eastAsia="en-US"/>
    </w:rPr>
  </w:style>
  <w:style w:type="numbering" w:customStyle="1" w:styleId="RecommendationListmaster">
    <w:name w:val="Recommendation List (master)"/>
    <w:uiPriority w:val="99"/>
    <w:rsid w:val="003C1C24"/>
    <w:pPr>
      <w:numPr>
        <w:numId w:val="31"/>
      </w:numPr>
    </w:pPr>
  </w:style>
  <w:style w:type="table" w:customStyle="1" w:styleId="CustomTableblue">
    <w:name w:val="Custom Table (blue)"/>
    <w:basedOn w:val="TableNormal"/>
    <w:uiPriority w:val="99"/>
    <w:rsid w:val="00EF28CE"/>
    <w:pPr>
      <w:spacing w:after="0" w:line="240" w:lineRule="auto"/>
    </w:pPr>
    <w:rPr>
      <w:sz w:val="2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customStyle="1" w:styleId="TableBodyTextcentred">
    <w:name w:val="Table Body Text (centred)"/>
    <w:basedOn w:val="TableBodyText"/>
    <w:uiPriority w:val="15"/>
    <w:qFormat/>
    <w:rsid w:val="00196F9B"/>
    <w:pPr>
      <w:jc w:val="center"/>
    </w:pPr>
  </w:style>
  <w:style w:type="character" w:customStyle="1" w:styleId="Characterclear">
    <w:name w:val="Character (clear)"/>
    <w:uiPriority w:val="1"/>
    <w:qFormat/>
    <w:rsid w:val="003950BC"/>
    <w:rPr>
      <w:rFonts w:ascii="Arial" w:hAnsi="Arial"/>
      <w:sz w:val="24"/>
      <w:lang w:eastAsia="en-AU"/>
    </w:rPr>
  </w:style>
  <w:style w:type="character" w:styleId="FollowedHyperlink">
    <w:name w:val="FollowedHyperlink"/>
    <w:basedOn w:val="DefaultParagraphFont"/>
    <w:uiPriority w:val="99"/>
    <w:semiHidden/>
    <w:rsid w:val="0049703E"/>
    <w:rPr>
      <w:color w:val="800080" w:themeColor="followedHyperlink"/>
      <w:u w:val="single"/>
    </w:rPr>
  </w:style>
  <w:style w:type="paragraph" w:styleId="NormalWeb">
    <w:name w:val="Normal (Web)"/>
    <w:basedOn w:val="Normal"/>
    <w:uiPriority w:val="99"/>
    <w:unhideWhenUsed/>
    <w:rsid w:val="006F5227"/>
    <w:pPr>
      <w:spacing w:before="100" w:beforeAutospacing="1" w:after="100" w:afterAutospacing="1"/>
    </w:pPr>
  </w:style>
  <w:style w:type="character" w:styleId="CommentReference">
    <w:name w:val="annotation reference"/>
    <w:uiPriority w:val="99"/>
    <w:semiHidden/>
    <w:rsid w:val="001B595B"/>
    <w:rPr>
      <w:sz w:val="16"/>
      <w:szCs w:val="16"/>
    </w:rPr>
  </w:style>
  <w:style w:type="paragraph" w:styleId="CommentText">
    <w:name w:val="annotation text"/>
    <w:basedOn w:val="Normal"/>
    <w:link w:val="CommentTextChar"/>
    <w:uiPriority w:val="99"/>
    <w:semiHidden/>
    <w:rsid w:val="001B595B"/>
    <w:rPr>
      <w:sz w:val="20"/>
      <w:szCs w:val="20"/>
      <w:lang w:eastAsia="en-US"/>
    </w:rPr>
  </w:style>
  <w:style w:type="character" w:customStyle="1" w:styleId="CommentTextChar">
    <w:name w:val="Comment Text Char"/>
    <w:basedOn w:val="DefaultParagraphFont"/>
    <w:link w:val="CommentText"/>
    <w:uiPriority w:val="99"/>
    <w:semiHidden/>
    <w:rsid w:val="001B595B"/>
    <w:rPr>
      <w:rFonts w:ascii="Times New Roman" w:eastAsia="Times New Roman" w:hAnsi="Times New Roman" w:cs="Times New Roman"/>
      <w:lang w:val="en-AU"/>
    </w:rPr>
  </w:style>
  <w:style w:type="character" w:styleId="LineNumber">
    <w:name w:val="line number"/>
    <w:basedOn w:val="DefaultParagraphFont"/>
    <w:semiHidden/>
    <w:rsid w:val="009A5985"/>
  </w:style>
  <w:style w:type="paragraph" w:styleId="ListNumber5">
    <w:name w:val="List Number 5"/>
    <w:basedOn w:val="Normal"/>
    <w:semiHidden/>
    <w:rsid w:val="009A5985"/>
    <w:pPr>
      <w:numPr>
        <w:numId w:val="28"/>
      </w:numPr>
    </w:pPr>
  </w:style>
  <w:style w:type="numbering" w:styleId="111111">
    <w:name w:val="Outline List 2"/>
    <w:basedOn w:val="NoList"/>
    <w:semiHidden/>
    <w:unhideWhenUsed/>
    <w:rsid w:val="00B12F5A"/>
    <w:pPr>
      <w:numPr>
        <w:numId w:val="32"/>
      </w:numPr>
    </w:pPr>
  </w:style>
  <w:style w:type="paragraph" w:styleId="HTMLPreformatted">
    <w:name w:val="HTML Preformatted"/>
    <w:basedOn w:val="Normal"/>
    <w:link w:val="HTMLPreformattedChar"/>
    <w:uiPriority w:val="99"/>
    <w:semiHidden/>
    <w:unhideWhenUsed/>
    <w:rsid w:val="00187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87932"/>
    <w:rPr>
      <w:rFonts w:ascii="Courier New" w:eastAsia="Times New Roman" w:hAnsi="Courier New" w:cs="Courier New"/>
      <w:lang w:val="en-AU" w:eastAsia="en-GB"/>
    </w:rPr>
  </w:style>
  <w:style w:type="paragraph" w:styleId="CommentSubject">
    <w:name w:val="annotation subject"/>
    <w:basedOn w:val="CommentText"/>
    <w:next w:val="CommentText"/>
    <w:link w:val="CommentSubjectChar"/>
    <w:uiPriority w:val="99"/>
    <w:semiHidden/>
    <w:rsid w:val="002B156B"/>
    <w:rPr>
      <w:b/>
      <w:bCs/>
      <w:lang w:eastAsia="en-GB"/>
    </w:rPr>
  </w:style>
  <w:style w:type="character" w:customStyle="1" w:styleId="CommentSubjectChar">
    <w:name w:val="Comment Subject Char"/>
    <w:basedOn w:val="CommentTextChar"/>
    <w:link w:val="CommentSubject"/>
    <w:uiPriority w:val="99"/>
    <w:semiHidden/>
    <w:rsid w:val="002B156B"/>
    <w:rPr>
      <w:rFonts w:ascii="Times New Roman" w:eastAsia="Times New Roman" w:hAnsi="Times New Roman" w:cs="Times New Roman"/>
      <w:b/>
      <w:bCs/>
      <w:lang w:val="en-AU" w:eastAsia="en-GB"/>
    </w:rPr>
  </w:style>
  <w:style w:type="paragraph" w:styleId="Revision">
    <w:name w:val="Revision"/>
    <w:hidden/>
    <w:uiPriority w:val="99"/>
    <w:semiHidden/>
    <w:rsid w:val="00732D70"/>
    <w:pPr>
      <w:spacing w:after="0" w:line="240" w:lineRule="auto"/>
    </w:pPr>
    <w:rPr>
      <w:rFonts w:ascii="Times New Roman" w:eastAsia="Times New Roman" w:hAnsi="Times New Roman" w:cs="Times New Roman"/>
      <w:sz w:val="24"/>
      <w:szCs w:val="24"/>
      <w:lang w:val="en-AU" w:eastAsia="en-GB"/>
    </w:rPr>
  </w:style>
  <w:style w:type="table" w:styleId="TableClassic4">
    <w:name w:val="Table Classic 4"/>
    <w:basedOn w:val="TableNormal"/>
    <w:uiPriority w:val="99"/>
    <w:semiHidden/>
    <w:unhideWhenUsed/>
    <w:locked/>
    <w:rsid w:val="00163F53"/>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VEOHRCBodytext">
    <w:name w:val="VEOHRC Body text"/>
    <w:link w:val="VEOHRCBodytextChar"/>
    <w:qFormat/>
    <w:rsid w:val="00C518A6"/>
    <w:pPr>
      <w:tabs>
        <w:tab w:val="left" w:pos="2640"/>
      </w:tabs>
      <w:spacing w:before="80" w:after="120" w:line="240" w:lineRule="auto"/>
    </w:pPr>
    <w:rPr>
      <w:rFonts w:ascii="Arial" w:eastAsia="Arial Unicode MS" w:hAnsi="Arial" w:cs="Times New Roman"/>
      <w:sz w:val="24"/>
      <w:szCs w:val="24"/>
      <w:lang w:val="en-GB" w:eastAsia="en-AU"/>
    </w:rPr>
  </w:style>
  <w:style w:type="character" w:customStyle="1" w:styleId="VEOHRCBodytextChar">
    <w:name w:val="VEOHRC Body text Char"/>
    <w:link w:val="VEOHRCBodytext"/>
    <w:rsid w:val="00C518A6"/>
    <w:rPr>
      <w:rFonts w:ascii="Arial" w:eastAsia="Arial Unicode MS" w:hAnsi="Arial" w:cs="Times New Roman"/>
      <w:sz w:val="24"/>
      <w:szCs w:val="24"/>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737">
      <w:bodyDiv w:val="1"/>
      <w:marLeft w:val="0"/>
      <w:marRight w:val="0"/>
      <w:marTop w:val="0"/>
      <w:marBottom w:val="0"/>
      <w:divBdr>
        <w:top w:val="none" w:sz="0" w:space="0" w:color="auto"/>
        <w:left w:val="none" w:sz="0" w:space="0" w:color="auto"/>
        <w:bottom w:val="none" w:sz="0" w:space="0" w:color="auto"/>
        <w:right w:val="none" w:sz="0" w:space="0" w:color="auto"/>
      </w:divBdr>
      <w:divsChild>
        <w:div w:id="1050038144">
          <w:marLeft w:val="0"/>
          <w:marRight w:val="0"/>
          <w:marTop w:val="0"/>
          <w:marBottom w:val="0"/>
          <w:divBdr>
            <w:top w:val="none" w:sz="0" w:space="0" w:color="auto"/>
            <w:left w:val="none" w:sz="0" w:space="0" w:color="auto"/>
            <w:bottom w:val="none" w:sz="0" w:space="0" w:color="auto"/>
            <w:right w:val="none" w:sz="0" w:space="0" w:color="auto"/>
          </w:divBdr>
          <w:divsChild>
            <w:div w:id="967393142">
              <w:marLeft w:val="0"/>
              <w:marRight w:val="0"/>
              <w:marTop w:val="0"/>
              <w:marBottom w:val="0"/>
              <w:divBdr>
                <w:top w:val="none" w:sz="0" w:space="0" w:color="auto"/>
                <w:left w:val="none" w:sz="0" w:space="0" w:color="auto"/>
                <w:bottom w:val="none" w:sz="0" w:space="0" w:color="auto"/>
                <w:right w:val="none" w:sz="0" w:space="0" w:color="auto"/>
              </w:divBdr>
              <w:divsChild>
                <w:div w:id="585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3248">
      <w:bodyDiv w:val="1"/>
      <w:marLeft w:val="0"/>
      <w:marRight w:val="0"/>
      <w:marTop w:val="0"/>
      <w:marBottom w:val="0"/>
      <w:divBdr>
        <w:top w:val="none" w:sz="0" w:space="0" w:color="auto"/>
        <w:left w:val="none" w:sz="0" w:space="0" w:color="auto"/>
        <w:bottom w:val="none" w:sz="0" w:space="0" w:color="auto"/>
        <w:right w:val="none" w:sz="0" w:space="0" w:color="auto"/>
      </w:divBdr>
    </w:div>
    <w:div w:id="61369554">
      <w:bodyDiv w:val="1"/>
      <w:marLeft w:val="0"/>
      <w:marRight w:val="0"/>
      <w:marTop w:val="0"/>
      <w:marBottom w:val="0"/>
      <w:divBdr>
        <w:top w:val="none" w:sz="0" w:space="0" w:color="auto"/>
        <w:left w:val="none" w:sz="0" w:space="0" w:color="auto"/>
        <w:bottom w:val="none" w:sz="0" w:space="0" w:color="auto"/>
        <w:right w:val="none" w:sz="0" w:space="0" w:color="auto"/>
      </w:divBdr>
    </w:div>
    <w:div w:id="63770747">
      <w:bodyDiv w:val="1"/>
      <w:marLeft w:val="0"/>
      <w:marRight w:val="0"/>
      <w:marTop w:val="0"/>
      <w:marBottom w:val="0"/>
      <w:divBdr>
        <w:top w:val="none" w:sz="0" w:space="0" w:color="auto"/>
        <w:left w:val="none" w:sz="0" w:space="0" w:color="auto"/>
        <w:bottom w:val="none" w:sz="0" w:space="0" w:color="auto"/>
        <w:right w:val="none" w:sz="0" w:space="0" w:color="auto"/>
      </w:divBdr>
    </w:div>
    <w:div w:id="73744570">
      <w:bodyDiv w:val="1"/>
      <w:marLeft w:val="0"/>
      <w:marRight w:val="0"/>
      <w:marTop w:val="0"/>
      <w:marBottom w:val="0"/>
      <w:divBdr>
        <w:top w:val="none" w:sz="0" w:space="0" w:color="auto"/>
        <w:left w:val="none" w:sz="0" w:space="0" w:color="auto"/>
        <w:bottom w:val="none" w:sz="0" w:space="0" w:color="auto"/>
        <w:right w:val="none" w:sz="0" w:space="0" w:color="auto"/>
      </w:divBdr>
    </w:div>
    <w:div w:id="117457431">
      <w:bodyDiv w:val="1"/>
      <w:marLeft w:val="0"/>
      <w:marRight w:val="0"/>
      <w:marTop w:val="0"/>
      <w:marBottom w:val="0"/>
      <w:divBdr>
        <w:top w:val="none" w:sz="0" w:space="0" w:color="auto"/>
        <w:left w:val="none" w:sz="0" w:space="0" w:color="auto"/>
        <w:bottom w:val="none" w:sz="0" w:space="0" w:color="auto"/>
        <w:right w:val="none" w:sz="0" w:space="0" w:color="auto"/>
      </w:divBdr>
    </w:div>
    <w:div w:id="125199104">
      <w:bodyDiv w:val="1"/>
      <w:marLeft w:val="0"/>
      <w:marRight w:val="0"/>
      <w:marTop w:val="0"/>
      <w:marBottom w:val="0"/>
      <w:divBdr>
        <w:top w:val="none" w:sz="0" w:space="0" w:color="auto"/>
        <w:left w:val="none" w:sz="0" w:space="0" w:color="auto"/>
        <w:bottom w:val="none" w:sz="0" w:space="0" w:color="auto"/>
        <w:right w:val="none" w:sz="0" w:space="0" w:color="auto"/>
      </w:divBdr>
    </w:div>
    <w:div w:id="125894947">
      <w:bodyDiv w:val="1"/>
      <w:marLeft w:val="0"/>
      <w:marRight w:val="0"/>
      <w:marTop w:val="0"/>
      <w:marBottom w:val="0"/>
      <w:divBdr>
        <w:top w:val="none" w:sz="0" w:space="0" w:color="auto"/>
        <w:left w:val="none" w:sz="0" w:space="0" w:color="auto"/>
        <w:bottom w:val="none" w:sz="0" w:space="0" w:color="auto"/>
        <w:right w:val="none" w:sz="0" w:space="0" w:color="auto"/>
      </w:divBdr>
    </w:div>
    <w:div w:id="140974345">
      <w:bodyDiv w:val="1"/>
      <w:marLeft w:val="0"/>
      <w:marRight w:val="0"/>
      <w:marTop w:val="0"/>
      <w:marBottom w:val="0"/>
      <w:divBdr>
        <w:top w:val="none" w:sz="0" w:space="0" w:color="auto"/>
        <w:left w:val="none" w:sz="0" w:space="0" w:color="auto"/>
        <w:bottom w:val="none" w:sz="0" w:space="0" w:color="auto"/>
        <w:right w:val="none" w:sz="0" w:space="0" w:color="auto"/>
      </w:divBdr>
    </w:div>
    <w:div w:id="189224962">
      <w:bodyDiv w:val="1"/>
      <w:marLeft w:val="0"/>
      <w:marRight w:val="0"/>
      <w:marTop w:val="0"/>
      <w:marBottom w:val="0"/>
      <w:divBdr>
        <w:top w:val="none" w:sz="0" w:space="0" w:color="auto"/>
        <w:left w:val="none" w:sz="0" w:space="0" w:color="auto"/>
        <w:bottom w:val="none" w:sz="0" w:space="0" w:color="auto"/>
        <w:right w:val="none" w:sz="0" w:space="0" w:color="auto"/>
      </w:divBdr>
    </w:div>
    <w:div w:id="213008772">
      <w:bodyDiv w:val="1"/>
      <w:marLeft w:val="0"/>
      <w:marRight w:val="0"/>
      <w:marTop w:val="0"/>
      <w:marBottom w:val="0"/>
      <w:divBdr>
        <w:top w:val="none" w:sz="0" w:space="0" w:color="auto"/>
        <w:left w:val="none" w:sz="0" w:space="0" w:color="auto"/>
        <w:bottom w:val="none" w:sz="0" w:space="0" w:color="auto"/>
        <w:right w:val="none" w:sz="0" w:space="0" w:color="auto"/>
      </w:divBdr>
    </w:div>
    <w:div w:id="216361955">
      <w:bodyDiv w:val="1"/>
      <w:marLeft w:val="0"/>
      <w:marRight w:val="0"/>
      <w:marTop w:val="0"/>
      <w:marBottom w:val="0"/>
      <w:divBdr>
        <w:top w:val="none" w:sz="0" w:space="0" w:color="auto"/>
        <w:left w:val="none" w:sz="0" w:space="0" w:color="auto"/>
        <w:bottom w:val="none" w:sz="0" w:space="0" w:color="auto"/>
        <w:right w:val="none" w:sz="0" w:space="0" w:color="auto"/>
      </w:divBdr>
      <w:divsChild>
        <w:div w:id="86342678">
          <w:marLeft w:val="0"/>
          <w:marRight w:val="0"/>
          <w:marTop w:val="0"/>
          <w:marBottom w:val="0"/>
          <w:divBdr>
            <w:top w:val="none" w:sz="0" w:space="0" w:color="auto"/>
            <w:left w:val="none" w:sz="0" w:space="0" w:color="auto"/>
            <w:bottom w:val="none" w:sz="0" w:space="0" w:color="auto"/>
            <w:right w:val="none" w:sz="0" w:space="0" w:color="auto"/>
          </w:divBdr>
          <w:divsChild>
            <w:div w:id="1624117573">
              <w:marLeft w:val="0"/>
              <w:marRight w:val="0"/>
              <w:marTop w:val="0"/>
              <w:marBottom w:val="0"/>
              <w:divBdr>
                <w:top w:val="none" w:sz="0" w:space="0" w:color="auto"/>
                <w:left w:val="none" w:sz="0" w:space="0" w:color="auto"/>
                <w:bottom w:val="none" w:sz="0" w:space="0" w:color="auto"/>
                <w:right w:val="none" w:sz="0" w:space="0" w:color="auto"/>
              </w:divBdr>
              <w:divsChild>
                <w:div w:id="14690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5435">
      <w:bodyDiv w:val="1"/>
      <w:marLeft w:val="0"/>
      <w:marRight w:val="0"/>
      <w:marTop w:val="0"/>
      <w:marBottom w:val="0"/>
      <w:divBdr>
        <w:top w:val="none" w:sz="0" w:space="0" w:color="auto"/>
        <w:left w:val="none" w:sz="0" w:space="0" w:color="auto"/>
        <w:bottom w:val="none" w:sz="0" w:space="0" w:color="auto"/>
        <w:right w:val="none" w:sz="0" w:space="0" w:color="auto"/>
      </w:divBdr>
    </w:div>
    <w:div w:id="247689816">
      <w:bodyDiv w:val="1"/>
      <w:marLeft w:val="0"/>
      <w:marRight w:val="0"/>
      <w:marTop w:val="0"/>
      <w:marBottom w:val="0"/>
      <w:divBdr>
        <w:top w:val="none" w:sz="0" w:space="0" w:color="auto"/>
        <w:left w:val="none" w:sz="0" w:space="0" w:color="auto"/>
        <w:bottom w:val="none" w:sz="0" w:space="0" w:color="auto"/>
        <w:right w:val="none" w:sz="0" w:space="0" w:color="auto"/>
      </w:divBdr>
      <w:divsChild>
        <w:div w:id="911891219">
          <w:marLeft w:val="0"/>
          <w:marRight w:val="0"/>
          <w:marTop w:val="0"/>
          <w:marBottom w:val="0"/>
          <w:divBdr>
            <w:top w:val="none" w:sz="0" w:space="0" w:color="auto"/>
            <w:left w:val="none" w:sz="0" w:space="0" w:color="auto"/>
            <w:bottom w:val="none" w:sz="0" w:space="0" w:color="auto"/>
            <w:right w:val="none" w:sz="0" w:space="0" w:color="auto"/>
          </w:divBdr>
          <w:divsChild>
            <w:div w:id="488791678">
              <w:marLeft w:val="0"/>
              <w:marRight w:val="0"/>
              <w:marTop w:val="0"/>
              <w:marBottom w:val="0"/>
              <w:divBdr>
                <w:top w:val="none" w:sz="0" w:space="0" w:color="auto"/>
                <w:left w:val="none" w:sz="0" w:space="0" w:color="auto"/>
                <w:bottom w:val="none" w:sz="0" w:space="0" w:color="auto"/>
                <w:right w:val="none" w:sz="0" w:space="0" w:color="auto"/>
              </w:divBdr>
              <w:divsChild>
                <w:div w:id="7375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17642">
      <w:bodyDiv w:val="1"/>
      <w:marLeft w:val="0"/>
      <w:marRight w:val="0"/>
      <w:marTop w:val="0"/>
      <w:marBottom w:val="0"/>
      <w:divBdr>
        <w:top w:val="none" w:sz="0" w:space="0" w:color="auto"/>
        <w:left w:val="none" w:sz="0" w:space="0" w:color="auto"/>
        <w:bottom w:val="none" w:sz="0" w:space="0" w:color="auto"/>
        <w:right w:val="none" w:sz="0" w:space="0" w:color="auto"/>
      </w:divBdr>
    </w:div>
    <w:div w:id="393116890">
      <w:bodyDiv w:val="1"/>
      <w:marLeft w:val="0"/>
      <w:marRight w:val="0"/>
      <w:marTop w:val="0"/>
      <w:marBottom w:val="0"/>
      <w:divBdr>
        <w:top w:val="none" w:sz="0" w:space="0" w:color="auto"/>
        <w:left w:val="none" w:sz="0" w:space="0" w:color="auto"/>
        <w:bottom w:val="none" w:sz="0" w:space="0" w:color="auto"/>
        <w:right w:val="none" w:sz="0" w:space="0" w:color="auto"/>
      </w:divBdr>
    </w:div>
    <w:div w:id="401488955">
      <w:bodyDiv w:val="1"/>
      <w:marLeft w:val="0"/>
      <w:marRight w:val="0"/>
      <w:marTop w:val="0"/>
      <w:marBottom w:val="0"/>
      <w:divBdr>
        <w:top w:val="none" w:sz="0" w:space="0" w:color="auto"/>
        <w:left w:val="none" w:sz="0" w:space="0" w:color="auto"/>
        <w:bottom w:val="none" w:sz="0" w:space="0" w:color="auto"/>
        <w:right w:val="none" w:sz="0" w:space="0" w:color="auto"/>
      </w:divBdr>
      <w:divsChild>
        <w:div w:id="266666442">
          <w:marLeft w:val="0"/>
          <w:marRight w:val="0"/>
          <w:marTop w:val="0"/>
          <w:marBottom w:val="0"/>
          <w:divBdr>
            <w:top w:val="none" w:sz="0" w:space="0" w:color="auto"/>
            <w:left w:val="none" w:sz="0" w:space="0" w:color="auto"/>
            <w:bottom w:val="none" w:sz="0" w:space="0" w:color="auto"/>
            <w:right w:val="none" w:sz="0" w:space="0" w:color="auto"/>
          </w:divBdr>
          <w:divsChild>
            <w:div w:id="1503353002">
              <w:marLeft w:val="0"/>
              <w:marRight w:val="0"/>
              <w:marTop w:val="0"/>
              <w:marBottom w:val="0"/>
              <w:divBdr>
                <w:top w:val="none" w:sz="0" w:space="0" w:color="auto"/>
                <w:left w:val="none" w:sz="0" w:space="0" w:color="auto"/>
                <w:bottom w:val="none" w:sz="0" w:space="0" w:color="auto"/>
                <w:right w:val="none" w:sz="0" w:space="0" w:color="auto"/>
              </w:divBdr>
              <w:divsChild>
                <w:div w:id="6644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427">
      <w:bodyDiv w:val="1"/>
      <w:marLeft w:val="0"/>
      <w:marRight w:val="0"/>
      <w:marTop w:val="0"/>
      <w:marBottom w:val="0"/>
      <w:divBdr>
        <w:top w:val="none" w:sz="0" w:space="0" w:color="auto"/>
        <w:left w:val="none" w:sz="0" w:space="0" w:color="auto"/>
        <w:bottom w:val="none" w:sz="0" w:space="0" w:color="auto"/>
        <w:right w:val="none" w:sz="0" w:space="0" w:color="auto"/>
      </w:divBdr>
      <w:divsChild>
        <w:div w:id="462844948">
          <w:marLeft w:val="0"/>
          <w:marRight w:val="0"/>
          <w:marTop w:val="0"/>
          <w:marBottom w:val="0"/>
          <w:divBdr>
            <w:top w:val="none" w:sz="0" w:space="0" w:color="auto"/>
            <w:left w:val="none" w:sz="0" w:space="0" w:color="auto"/>
            <w:bottom w:val="none" w:sz="0" w:space="0" w:color="auto"/>
            <w:right w:val="none" w:sz="0" w:space="0" w:color="auto"/>
          </w:divBdr>
        </w:div>
        <w:div w:id="85275462">
          <w:marLeft w:val="0"/>
          <w:marRight w:val="0"/>
          <w:marTop w:val="0"/>
          <w:marBottom w:val="0"/>
          <w:divBdr>
            <w:top w:val="none" w:sz="0" w:space="0" w:color="auto"/>
            <w:left w:val="none" w:sz="0" w:space="0" w:color="auto"/>
            <w:bottom w:val="none" w:sz="0" w:space="0" w:color="auto"/>
            <w:right w:val="none" w:sz="0" w:space="0" w:color="auto"/>
          </w:divBdr>
        </w:div>
      </w:divsChild>
    </w:div>
    <w:div w:id="445347907">
      <w:bodyDiv w:val="1"/>
      <w:marLeft w:val="0"/>
      <w:marRight w:val="0"/>
      <w:marTop w:val="0"/>
      <w:marBottom w:val="0"/>
      <w:divBdr>
        <w:top w:val="none" w:sz="0" w:space="0" w:color="auto"/>
        <w:left w:val="none" w:sz="0" w:space="0" w:color="auto"/>
        <w:bottom w:val="none" w:sz="0" w:space="0" w:color="auto"/>
        <w:right w:val="none" w:sz="0" w:space="0" w:color="auto"/>
      </w:divBdr>
    </w:div>
    <w:div w:id="466046864">
      <w:bodyDiv w:val="1"/>
      <w:marLeft w:val="0"/>
      <w:marRight w:val="0"/>
      <w:marTop w:val="0"/>
      <w:marBottom w:val="0"/>
      <w:divBdr>
        <w:top w:val="none" w:sz="0" w:space="0" w:color="auto"/>
        <w:left w:val="none" w:sz="0" w:space="0" w:color="auto"/>
        <w:bottom w:val="none" w:sz="0" w:space="0" w:color="auto"/>
        <w:right w:val="none" w:sz="0" w:space="0" w:color="auto"/>
      </w:divBdr>
    </w:div>
    <w:div w:id="476455237">
      <w:bodyDiv w:val="1"/>
      <w:marLeft w:val="0"/>
      <w:marRight w:val="0"/>
      <w:marTop w:val="0"/>
      <w:marBottom w:val="0"/>
      <w:divBdr>
        <w:top w:val="none" w:sz="0" w:space="0" w:color="auto"/>
        <w:left w:val="none" w:sz="0" w:space="0" w:color="auto"/>
        <w:bottom w:val="none" w:sz="0" w:space="0" w:color="auto"/>
        <w:right w:val="none" w:sz="0" w:space="0" w:color="auto"/>
      </w:divBdr>
    </w:div>
    <w:div w:id="507526913">
      <w:bodyDiv w:val="1"/>
      <w:marLeft w:val="0"/>
      <w:marRight w:val="0"/>
      <w:marTop w:val="0"/>
      <w:marBottom w:val="0"/>
      <w:divBdr>
        <w:top w:val="none" w:sz="0" w:space="0" w:color="auto"/>
        <w:left w:val="none" w:sz="0" w:space="0" w:color="auto"/>
        <w:bottom w:val="none" w:sz="0" w:space="0" w:color="auto"/>
        <w:right w:val="none" w:sz="0" w:space="0" w:color="auto"/>
      </w:divBdr>
    </w:div>
    <w:div w:id="521550152">
      <w:bodyDiv w:val="1"/>
      <w:marLeft w:val="0"/>
      <w:marRight w:val="0"/>
      <w:marTop w:val="0"/>
      <w:marBottom w:val="0"/>
      <w:divBdr>
        <w:top w:val="none" w:sz="0" w:space="0" w:color="auto"/>
        <w:left w:val="none" w:sz="0" w:space="0" w:color="auto"/>
        <w:bottom w:val="none" w:sz="0" w:space="0" w:color="auto"/>
        <w:right w:val="none" w:sz="0" w:space="0" w:color="auto"/>
      </w:divBdr>
    </w:div>
    <w:div w:id="552279807">
      <w:bodyDiv w:val="1"/>
      <w:marLeft w:val="0"/>
      <w:marRight w:val="0"/>
      <w:marTop w:val="0"/>
      <w:marBottom w:val="0"/>
      <w:divBdr>
        <w:top w:val="none" w:sz="0" w:space="0" w:color="auto"/>
        <w:left w:val="none" w:sz="0" w:space="0" w:color="auto"/>
        <w:bottom w:val="none" w:sz="0" w:space="0" w:color="auto"/>
        <w:right w:val="none" w:sz="0" w:space="0" w:color="auto"/>
      </w:divBdr>
      <w:divsChild>
        <w:div w:id="605619825">
          <w:marLeft w:val="0"/>
          <w:marRight w:val="0"/>
          <w:marTop w:val="0"/>
          <w:marBottom w:val="0"/>
          <w:divBdr>
            <w:top w:val="none" w:sz="0" w:space="0" w:color="auto"/>
            <w:left w:val="none" w:sz="0" w:space="0" w:color="auto"/>
            <w:bottom w:val="none" w:sz="0" w:space="0" w:color="auto"/>
            <w:right w:val="none" w:sz="0" w:space="0" w:color="auto"/>
          </w:divBdr>
          <w:divsChild>
            <w:div w:id="2048875330">
              <w:marLeft w:val="0"/>
              <w:marRight w:val="0"/>
              <w:marTop w:val="0"/>
              <w:marBottom w:val="0"/>
              <w:divBdr>
                <w:top w:val="none" w:sz="0" w:space="0" w:color="auto"/>
                <w:left w:val="none" w:sz="0" w:space="0" w:color="auto"/>
                <w:bottom w:val="none" w:sz="0" w:space="0" w:color="auto"/>
                <w:right w:val="none" w:sz="0" w:space="0" w:color="auto"/>
              </w:divBdr>
              <w:divsChild>
                <w:div w:id="1618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18974">
      <w:bodyDiv w:val="1"/>
      <w:marLeft w:val="0"/>
      <w:marRight w:val="0"/>
      <w:marTop w:val="0"/>
      <w:marBottom w:val="0"/>
      <w:divBdr>
        <w:top w:val="none" w:sz="0" w:space="0" w:color="auto"/>
        <w:left w:val="none" w:sz="0" w:space="0" w:color="auto"/>
        <w:bottom w:val="none" w:sz="0" w:space="0" w:color="auto"/>
        <w:right w:val="none" w:sz="0" w:space="0" w:color="auto"/>
      </w:divBdr>
    </w:div>
    <w:div w:id="615137722">
      <w:bodyDiv w:val="1"/>
      <w:marLeft w:val="0"/>
      <w:marRight w:val="0"/>
      <w:marTop w:val="0"/>
      <w:marBottom w:val="0"/>
      <w:divBdr>
        <w:top w:val="none" w:sz="0" w:space="0" w:color="auto"/>
        <w:left w:val="none" w:sz="0" w:space="0" w:color="auto"/>
        <w:bottom w:val="none" w:sz="0" w:space="0" w:color="auto"/>
        <w:right w:val="none" w:sz="0" w:space="0" w:color="auto"/>
      </w:divBdr>
      <w:divsChild>
        <w:div w:id="1132089204">
          <w:marLeft w:val="0"/>
          <w:marRight w:val="0"/>
          <w:marTop w:val="0"/>
          <w:marBottom w:val="0"/>
          <w:divBdr>
            <w:top w:val="none" w:sz="0" w:space="0" w:color="auto"/>
            <w:left w:val="none" w:sz="0" w:space="0" w:color="auto"/>
            <w:bottom w:val="none" w:sz="0" w:space="0" w:color="auto"/>
            <w:right w:val="none" w:sz="0" w:space="0" w:color="auto"/>
          </w:divBdr>
          <w:divsChild>
            <w:div w:id="1384645170">
              <w:marLeft w:val="0"/>
              <w:marRight w:val="0"/>
              <w:marTop w:val="0"/>
              <w:marBottom w:val="0"/>
              <w:divBdr>
                <w:top w:val="none" w:sz="0" w:space="0" w:color="auto"/>
                <w:left w:val="none" w:sz="0" w:space="0" w:color="auto"/>
                <w:bottom w:val="none" w:sz="0" w:space="0" w:color="auto"/>
                <w:right w:val="none" w:sz="0" w:space="0" w:color="auto"/>
              </w:divBdr>
              <w:divsChild>
                <w:div w:id="2120950001">
                  <w:marLeft w:val="0"/>
                  <w:marRight w:val="0"/>
                  <w:marTop w:val="0"/>
                  <w:marBottom w:val="0"/>
                  <w:divBdr>
                    <w:top w:val="none" w:sz="0" w:space="0" w:color="auto"/>
                    <w:left w:val="none" w:sz="0" w:space="0" w:color="auto"/>
                    <w:bottom w:val="none" w:sz="0" w:space="0" w:color="auto"/>
                    <w:right w:val="none" w:sz="0" w:space="0" w:color="auto"/>
                  </w:divBdr>
                </w:div>
                <w:div w:id="11183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6260">
      <w:bodyDiv w:val="1"/>
      <w:marLeft w:val="0"/>
      <w:marRight w:val="0"/>
      <w:marTop w:val="0"/>
      <w:marBottom w:val="0"/>
      <w:divBdr>
        <w:top w:val="none" w:sz="0" w:space="0" w:color="auto"/>
        <w:left w:val="none" w:sz="0" w:space="0" w:color="auto"/>
        <w:bottom w:val="none" w:sz="0" w:space="0" w:color="auto"/>
        <w:right w:val="none" w:sz="0" w:space="0" w:color="auto"/>
      </w:divBdr>
    </w:div>
    <w:div w:id="657000768">
      <w:bodyDiv w:val="1"/>
      <w:marLeft w:val="0"/>
      <w:marRight w:val="0"/>
      <w:marTop w:val="0"/>
      <w:marBottom w:val="0"/>
      <w:divBdr>
        <w:top w:val="none" w:sz="0" w:space="0" w:color="auto"/>
        <w:left w:val="none" w:sz="0" w:space="0" w:color="auto"/>
        <w:bottom w:val="none" w:sz="0" w:space="0" w:color="auto"/>
        <w:right w:val="none" w:sz="0" w:space="0" w:color="auto"/>
      </w:divBdr>
    </w:div>
    <w:div w:id="674067294">
      <w:bodyDiv w:val="1"/>
      <w:marLeft w:val="0"/>
      <w:marRight w:val="0"/>
      <w:marTop w:val="0"/>
      <w:marBottom w:val="0"/>
      <w:divBdr>
        <w:top w:val="none" w:sz="0" w:space="0" w:color="auto"/>
        <w:left w:val="none" w:sz="0" w:space="0" w:color="auto"/>
        <w:bottom w:val="none" w:sz="0" w:space="0" w:color="auto"/>
        <w:right w:val="none" w:sz="0" w:space="0" w:color="auto"/>
      </w:divBdr>
      <w:divsChild>
        <w:div w:id="1090926116">
          <w:marLeft w:val="0"/>
          <w:marRight w:val="0"/>
          <w:marTop w:val="0"/>
          <w:marBottom w:val="0"/>
          <w:divBdr>
            <w:top w:val="none" w:sz="0" w:space="0" w:color="auto"/>
            <w:left w:val="none" w:sz="0" w:space="0" w:color="auto"/>
            <w:bottom w:val="none" w:sz="0" w:space="0" w:color="auto"/>
            <w:right w:val="none" w:sz="0" w:space="0" w:color="auto"/>
          </w:divBdr>
          <w:divsChild>
            <w:div w:id="1875969880">
              <w:marLeft w:val="0"/>
              <w:marRight w:val="0"/>
              <w:marTop w:val="0"/>
              <w:marBottom w:val="0"/>
              <w:divBdr>
                <w:top w:val="none" w:sz="0" w:space="0" w:color="auto"/>
                <w:left w:val="none" w:sz="0" w:space="0" w:color="auto"/>
                <w:bottom w:val="none" w:sz="0" w:space="0" w:color="auto"/>
                <w:right w:val="none" w:sz="0" w:space="0" w:color="auto"/>
              </w:divBdr>
              <w:divsChild>
                <w:div w:id="57636748">
                  <w:marLeft w:val="0"/>
                  <w:marRight w:val="0"/>
                  <w:marTop w:val="0"/>
                  <w:marBottom w:val="0"/>
                  <w:divBdr>
                    <w:top w:val="none" w:sz="0" w:space="0" w:color="auto"/>
                    <w:left w:val="none" w:sz="0" w:space="0" w:color="auto"/>
                    <w:bottom w:val="none" w:sz="0" w:space="0" w:color="auto"/>
                    <w:right w:val="none" w:sz="0" w:space="0" w:color="auto"/>
                  </w:divBdr>
                  <w:divsChild>
                    <w:div w:id="2242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00406">
      <w:bodyDiv w:val="1"/>
      <w:marLeft w:val="0"/>
      <w:marRight w:val="0"/>
      <w:marTop w:val="0"/>
      <w:marBottom w:val="0"/>
      <w:divBdr>
        <w:top w:val="none" w:sz="0" w:space="0" w:color="auto"/>
        <w:left w:val="none" w:sz="0" w:space="0" w:color="auto"/>
        <w:bottom w:val="none" w:sz="0" w:space="0" w:color="auto"/>
        <w:right w:val="none" w:sz="0" w:space="0" w:color="auto"/>
      </w:divBdr>
    </w:div>
    <w:div w:id="797840412">
      <w:bodyDiv w:val="1"/>
      <w:marLeft w:val="0"/>
      <w:marRight w:val="0"/>
      <w:marTop w:val="0"/>
      <w:marBottom w:val="0"/>
      <w:divBdr>
        <w:top w:val="none" w:sz="0" w:space="0" w:color="auto"/>
        <w:left w:val="none" w:sz="0" w:space="0" w:color="auto"/>
        <w:bottom w:val="none" w:sz="0" w:space="0" w:color="auto"/>
        <w:right w:val="none" w:sz="0" w:space="0" w:color="auto"/>
      </w:divBdr>
    </w:div>
    <w:div w:id="805510188">
      <w:bodyDiv w:val="1"/>
      <w:marLeft w:val="0"/>
      <w:marRight w:val="0"/>
      <w:marTop w:val="0"/>
      <w:marBottom w:val="0"/>
      <w:divBdr>
        <w:top w:val="none" w:sz="0" w:space="0" w:color="auto"/>
        <w:left w:val="none" w:sz="0" w:space="0" w:color="auto"/>
        <w:bottom w:val="none" w:sz="0" w:space="0" w:color="auto"/>
        <w:right w:val="none" w:sz="0" w:space="0" w:color="auto"/>
      </w:divBdr>
    </w:div>
    <w:div w:id="813913032">
      <w:bodyDiv w:val="1"/>
      <w:marLeft w:val="0"/>
      <w:marRight w:val="0"/>
      <w:marTop w:val="0"/>
      <w:marBottom w:val="0"/>
      <w:divBdr>
        <w:top w:val="none" w:sz="0" w:space="0" w:color="auto"/>
        <w:left w:val="none" w:sz="0" w:space="0" w:color="auto"/>
        <w:bottom w:val="none" w:sz="0" w:space="0" w:color="auto"/>
        <w:right w:val="none" w:sz="0" w:space="0" w:color="auto"/>
      </w:divBdr>
      <w:divsChild>
        <w:div w:id="894120711">
          <w:marLeft w:val="0"/>
          <w:marRight w:val="0"/>
          <w:marTop w:val="0"/>
          <w:marBottom w:val="0"/>
          <w:divBdr>
            <w:top w:val="none" w:sz="0" w:space="0" w:color="auto"/>
            <w:left w:val="none" w:sz="0" w:space="0" w:color="auto"/>
            <w:bottom w:val="none" w:sz="0" w:space="0" w:color="auto"/>
            <w:right w:val="none" w:sz="0" w:space="0" w:color="auto"/>
          </w:divBdr>
          <w:divsChild>
            <w:div w:id="1939025804">
              <w:marLeft w:val="0"/>
              <w:marRight w:val="0"/>
              <w:marTop w:val="0"/>
              <w:marBottom w:val="0"/>
              <w:divBdr>
                <w:top w:val="none" w:sz="0" w:space="0" w:color="auto"/>
                <w:left w:val="none" w:sz="0" w:space="0" w:color="auto"/>
                <w:bottom w:val="none" w:sz="0" w:space="0" w:color="auto"/>
                <w:right w:val="none" w:sz="0" w:space="0" w:color="auto"/>
              </w:divBdr>
              <w:divsChild>
                <w:div w:id="1054499813">
                  <w:marLeft w:val="0"/>
                  <w:marRight w:val="0"/>
                  <w:marTop w:val="0"/>
                  <w:marBottom w:val="0"/>
                  <w:divBdr>
                    <w:top w:val="none" w:sz="0" w:space="0" w:color="auto"/>
                    <w:left w:val="none" w:sz="0" w:space="0" w:color="auto"/>
                    <w:bottom w:val="none" w:sz="0" w:space="0" w:color="auto"/>
                    <w:right w:val="none" w:sz="0" w:space="0" w:color="auto"/>
                  </w:divBdr>
                  <w:divsChild>
                    <w:div w:id="2015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1776">
      <w:bodyDiv w:val="1"/>
      <w:marLeft w:val="0"/>
      <w:marRight w:val="0"/>
      <w:marTop w:val="0"/>
      <w:marBottom w:val="0"/>
      <w:divBdr>
        <w:top w:val="none" w:sz="0" w:space="0" w:color="auto"/>
        <w:left w:val="none" w:sz="0" w:space="0" w:color="auto"/>
        <w:bottom w:val="none" w:sz="0" w:space="0" w:color="auto"/>
        <w:right w:val="none" w:sz="0" w:space="0" w:color="auto"/>
      </w:divBdr>
      <w:divsChild>
        <w:div w:id="605700666">
          <w:marLeft w:val="0"/>
          <w:marRight w:val="0"/>
          <w:marTop w:val="0"/>
          <w:marBottom w:val="0"/>
          <w:divBdr>
            <w:top w:val="none" w:sz="0" w:space="0" w:color="auto"/>
            <w:left w:val="none" w:sz="0" w:space="0" w:color="auto"/>
            <w:bottom w:val="none" w:sz="0" w:space="0" w:color="auto"/>
            <w:right w:val="none" w:sz="0" w:space="0" w:color="auto"/>
          </w:divBdr>
          <w:divsChild>
            <w:div w:id="5862622">
              <w:marLeft w:val="0"/>
              <w:marRight w:val="0"/>
              <w:marTop w:val="0"/>
              <w:marBottom w:val="0"/>
              <w:divBdr>
                <w:top w:val="none" w:sz="0" w:space="0" w:color="auto"/>
                <w:left w:val="none" w:sz="0" w:space="0" w:color="auto"/>
                <w:bottom w:val="none" w:sz="0" w:space="0" w:color="auto"/>
                <w:right w:val="none" w:sz="0" w:space="0" w:color="auto"/>
              </w:divBdr>
            </w:div>
          </w:divsChild>
        </w:div>
        <w:div w:id="1324894878">
          <w:marLeft w:val="0"/>
          <w:marRight w:val="0"/>
          <w:marTop w:val="0"/>
          <w:marBottom w:val="0"/>
          <w:divBdr>
            <w:top w:val="none" w:sz="0" w:space="0" w:color="auto"/>
            <w:left w:val="none" w:sz="0" w:space="0" w:color="auto"/>
            <w:bottom w:val="none" w:sz="0" w:space="0" w:color="auto"/>
            <w:right w:val="none" w:sz="0" w:space="0" w:color="auto"/>
          </w:divBdr>
        </w:div>
        <w:div w:id="694575518">
          <w:marLeft w:val="0"/>
          <w:marRight w:val="0"/>
          <w:marTop w:val="0"/>
          <w:marBottom w:val="0"/>
          <w:divBdr>
            <w:top w:val="none" w:sz="0" w:space="0" w:color="auto"/>
            <w:left w:val="none" w:sz="0" w:space="0" w:color="auto"/>
            <w:bottom w:val="none" w:sz="0" w:space="0" w:color="auto"/>
            <w:right w:val="none" w:sz="0" w:space="0" w:color="auto"/>
          </w:divBdr>
        </w:div>
        <w:div w:id="366687264">
          <w:marLeft w:val="0"/>
          <w:marRight w:val="0"/>
          <w:marTop w:val="0"/>
          <w:marBottom w:val="0"/>
          <w:divBdr>
            <w:top w:val="none" w:sz="0" w:space="0" w:color="auto"/>
            <w:left w:val="none" w:sz="0" w:space="0" w:color="auto"/>
            <w:bottom w:val="none" w:sz="0" w:space="0" w:color="auto"/>
            <w:right w:val="none" w:sz="0" w:space="0" w:color="auto"/>
          </w:divBdr>
        </w:div>
        <w:div w:id="1300913124">
          <w:marLeft w:val="0"/>
          <w:marRight w:val="0"/>
          <w:marTop w:val="0"/>
          <w:marBottom w:val="0"/>
          <w:divBdr>
            <w:top w:val="none" w:sz="0" w:space="0" w:color="auto"/>
            <w:left w:val="none" w:sz="0" w:space="0" w:color="auto"/>
            <w:bottom w:val="none" w:sz="0" w:space="0" w:color="auto"/>
            <w:right w:val="none" w:sz="0" w:space="0" w:color="auto"/>
          </w:divBdr>
        </w:div>
        <w:div w:id="1698581098">
          <w:marLeft w:val="0"/>
          <w:marRight w:val="0"/>
          <w:marTop w:val="0"/>
          <w:marBottom w:val="0"/>
          <w:divBdr>
            <w:top w:val="none" w:sz="0" w:space="0" w:color="auto"/>
            <w:left w:val="none" w:sz="0" w:space="0" w:color="auto"/>
            <w:bottom w:val="none" w:sz="0" w:space="0" w:color="auto"/>
            <w:right w:val="none" w:sz="0" w:space="0" w:color="auto"/>
          </w:divBdr>
        </w:div>
        <w:div w:id="1578201967">
          <w:marLeft w:val="0"/>
          <w:marRight w:val="0"/>
          <w:marTop w:val="0"/>
          <w:marBottom w:val="0"/>
          <w:divBdr>
            <w:top w:val="none" w:sz="0" w:space="0" w:color="auto"/>
            <w:left w:val="none" w:sz="0" w:space="0" w:color="auto"/>
            <w:bottom w:val="none" w:sz="0" w:space="0" w:color="auto"/>
            <w:right w:val="none" w:sz="0" w:space="0" w:color="auto"/>
          </w:divBdr>
        </w:div>
        <w:div w:id="619802767">
          <w:marLeft w:val="0"/>
          <w:marRight w:val="0"/>
          <w:marTop w:val="0"/>
          <w:marBottom w:val="0"/>
          <w:divBdr>
            <w:top w:val="none" w:sz="0" w:space="0" w:color="auto"/>
            <w:left w:val="none" w:sz="0" w:space="0" w:color="auto"/>
            <w:bottom w:val="none" w:sz="0" w:space="0" w:color="auto"/>
            <w:right w:val="none" w:sz="0" w:space="0" w:color="auto"/>
          </w:divBdr>
        </w:div>
        <w:div w:id="1437094105">
          <w:marLeft w:val="0"/>
          <w:marRight w:val="0"/>
          <w:marTop w:val="0"/>
          <w:marBottom w:val="0"/>
          <w:divBdr>
            <w:top w:val="none" w:sz="0" w:space="0" w:color="auto"/>
            <w:left w:val="none" w:sz="0" w:space="0" w:color="auto"/>
            <w:bottom w:val="none" w:sz="0" w:space="0" w:color="auto"/>
            <w:right w:val="none" w:sz="0" w:space="0" w:color="auto"/>
          </w:divBdr>
        </w:div>
      </w:divsChild>
    </w:div>
    <w:div w:id="848058509">
      <w:bodyDiv w:val="1"/>
      <w:marLeft w:val="0"/>
      <w:marRight w:val="0"/>
      <w:marTop w:val="0"/>
      <w:marBottom w:val="0"/>
      <w:divBdr>
        <w:top w:val="none" w:sz="0" w:space="0" w:color="auto"/>
        <w:left w:val="none" w:sz="0" w:space="0" w:color="auto"/>
        <w:bottom w:val="none" w:sz="0" w:space="0" w:color="auto"/>
        <w:right w:val="none" w:sz="0" w:space="0" w:color="auto"/>
      </w:divBdr>
    </w:div>
    <w:div w:id="852033564">
      <w:bodyDiv w:val="1"/>
      <w:marLeft w:val="0"/>
      <w:marRight w:val="0"/>
      <w:marTop w:val="0"/>
      <w:marBottom w:val="0"/>
      <w:divBdr>
        <w:top w:val="none" w:sz="0" w:space="0" w:color="auto"/>
        <w:left w:val="none" w:sz="0" w:space="0" w:color="auto"/>
        <w:bottom w:val="none" w:sz="0" w:space="0" w:color="auto"/>
        <w:right w:val="none" w:sz="0" w:space="0" w:color="auto"/>
      </w:divBdr>
    </w:div>
    <w:div w:id="877931892">
      <w:bodyDiv w:val="1"/>
      <w:marLeft w:val="0"/>
      <w:marRight w:val="0"/>
      <w:marTop w:val="0"/>
      <w:marBottom w:val="0"/>
      <w:divBdr>
        <w:top w:val="none" w:sz="0" w:space="0" w:color="auto"/>
        <w:left w:val="none" w:sz="0" w:space="0" w:color="auto"/>
        <w:bottom w:val="none" w:sz="0" w:space="0" w:color="auto"/>
        <w:right w:val="none" w:sz="0" w:space="0" w:color="auto"/>
      </w:divBdr>
      <w:divsChild>
        <w:div w:id="1153565330">
          <w:marLeft w:val="0"/>
          <w:marRight w:val="0"/>
          <w:marTop w:val="0"/>
          <w:marBottom w:val="0"/>
          <w:divBdr>
            <w:top w:val="none" w:sz="0" w:space="0" w:color="auto"/>
            <w:left w:val="none" w:sz="0" w:space="0" w:color="auto"/>
            <w:bottom w:val="none" w:sz="0" w:space="0" w:color="auto"/>
            <w:right w:val="none" w:sz="0" w:space="0" w:color="auto"/>
          </w:divBdr>
          <w:divsChild>
            <w:div w:id="46880619">
              <w:marLeft w:val="0"/>
              <w:marRight w:val="0"/>
              <w:marTop w:val="0"/>
              <w:marBottom w:val="0"/>
              <w:divBdr>
                <w:top w:val="none" w:sz="0" w:space="0" w:color="auto"/>
                <w:left w:val="none" w:sz="0" w:space="0" w:color="auto"/>
                <w:bottom w:val="none" w:sz="0" w:space="0" w:color="auto"/>
                <w:right w:val="none" w:sz="0" w:space="0" w:color="auto"/>
              </w:divBdr>
              <w:divsChild>
                <w:div w:id="1219434441">
                  <w:marLeft w:val="0"/>
                  <w:marRight w:val="0"/>
                  <w:marTop w:val="0"/>
                  <w:marBottom w:val="0"/>
                  <w:divBdr>
                    <w:top w:val="none" w:sz="0" w:space="0" w:color="auto"/>
                    <w:left w:val="none" w:sz="0" w:space="0" w:color="auto"/>
                    <w:bottom w:val="none" w:sz="0" w:space="0" w:color="auto"/>
                    <w:right w:val="none" w:sz="0" w:space="0" w:color="auto"/>
                  </w:divBdr>
                  <w:divsChild>
                    <w:div w:id="16641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72212">
      <w:bodyDiv w:val="1"/>
      <w:marLeft w:val="0"/>
      <w:marRight w:val="0"/>
      <w:marTop w:val="0"/>
      <w:marBottom w:val="0"/>
      <w:divBdr>
        <w:top w:val="none" w:sz="0" w:space="0" w:color="auto"/>
        <w:left w:val="none" w:sz="0" w:space="0" w:color="auto"/>
        <w:bottom w:val="none" w:sz="0" w:space="0" w:color="auto"/>
        <w:right w:val="none" w:sz="0" w:space="0" w:color="auto"/>
      </w:divBdr>
    </w:div>
    <w:div w:id="914779253">
      <w:bodyDiv w:val="1"/>
      <w:marLeft w:val="0"/>
      <w:marRight w:val="0"/>
      <w:marTop w:val="0"/>
      <w:marBottom w:val="0"/>
      <w:divBdr>
        <w:top w:val="none" w:sz="0" w:space="0" w:color="auto"/>
        <w:left w:val="none" w:sz="0" w:space="0" w:color="auto"/>
        <w:bottom w:val="none" w:sz="0" w:space="0" w:color="auto"/>
        <w:right w:val="none" w:sz="0" w:space="0" w:color="auto"/>
      </w:divBdr>
    </w:div>
    <w:div w:id="922762221">
      <w:bodyDiv w:val="1"/>
      <w:marLeft w:val="0"/>
      <w:marRight w:val="0"/>
      <w:marTop w:val="0"/>
      <w:marBottom w:val="0"/>
      <w:divBdr>
        <w:top w:val="none" w:sz="0" w:space="0" w:color="auto"/>
        <w:left w:val="none" w:sz="0" w:space="0" w:color="auto"/>
        <w:bottom w:val="none" w:sz="0" w:space="0" w:color="auto"/>
        <w:right w:val="none" w:sz="0" w:space="0" w:color="auto"/>
      </w:divBdr>
    </w:div>
    <w:div w:id="1092707072">
      <w:bodyDiv w:val="1"/>
      <w:marLeft w:val="0"/>
      <w:marRight w:val="0"/>
      <w:marTop w:val="0"/>
      <w:marBottom w:val="0"/>
      <w:divBdr>
        <w:top w:val="none" w:sz="0" w:space="0" w:color="auto"/>
        <w:left w:val="none" w:sz="0" w:space="0" w:color="auto"/>
        <w:bottom w:val="none" w:sz="0" w:space="0" w:color="auto"/>
        <w:right w:val="none" w:sz="0" w:space="0" w:color="auto"/>
      </w:divBdr>
    </w:div>
    <w:div w:id="1095663483">
      <w:bodyDiv w:val="1"/>
      <w:marLeft w:val="0"/>
      <w:marRight w:val="0"/>
      <w:marTop w:val="0"/>
      <w:marBottom w:val="0"/>
      <w:divBdr>
        <w:top w:val="none" w:sz="0" w:space="0" w:color="auto"/>
        <w:left w:val="none" w:sz="0" w:space="0" w:color="auto"/>
        <w:bottom w:val="none" w:sz="0" w:space="0" w:color="auto"/>
        <w:right w:val="none" w:sz="0" w:space="0" w:color="auto"/>
      </w:divBdr>
    </w:div>
    <w:div w:id="1105535714">
      <w:bodyDiv w:val="1"/>
      <w:marLeft w:val="0"/>
      <w:marRight w:val="0"/>
      <w:marTop w:val="0"/>
      <w:marBottom w:val="0"/>
      <w:divBdr>
        <w:top w:val="none" w:sz="0" w:space="0" w:color="auto"/>
        <w:left w:val="none" w:sz="0" w:space="0" w:color="auto"/>
        <w:bottom w:val="none" w:sz="0" w:space="0" w:color="auto"/>
        <w:right w:val="none" w:sz="0" w:space="0" w:color="auto"/>
      </w:divBdr>
      <w:divsChild>
        <w:div w:id="1470706480">
          <w:marLeft w:val="0"/>
          <w:marRight w:val="0"/>
          <w:marTop w:val="0"/>
          <w:marBottom w:val="0"/>
          <w:divBdr>
            <w:top w:val="none" w:sz="0" w:space="0" w:color="auto"/>
            <w:left w:val="none" w:sz="0" w:space="0" w:color="auto"/>
            <w:bottom w:val="none" w:sz="0" w:space="0" w:color="auto"/>
            <w:right w:val="none" w:sz="0" w:space="0" w:color="auto"/>
          </w:divBdr>
          <w:divsChild>
            <w:div w:id="108863289">
              <w:marLeft w:val="0"/>
              <w:marRight w:val="0"/>
              <w:marTop w:val="0"/>
              <w:marBottom w:val="0"/>
              <w:divBdr>
                <w:top w:val="none" w:sz="0" w:space="0" w:color="auto"/>
                <w:left w:val="none" w:sz="0" w:space="0" w:color="auto"/>
                <w:bottom w:val="none" w:sz="0" w:space="0" w:color="auto"/>
                <w:right w:val="none" w:sz="0" w:space="0" w:color="auto"/>
              </w:divBdr>
              <w:divsChild>
                <w:div w:id="4388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3791">
      <w:bodyDiv w:val="1"/>
      <w:marLeft w:val="0"/>
      <w:marRight w:val="0"/>
      <w:marTop w:val="0"/>
      <w:marBottom w:val="0"/>
      <w:divBdr>
        <w:top w:val="none" w:sz="0" w:space="0" w:color="auto"/>
        <w:left w:val="none" w:sz="0" w:space="0" w:color="auto"/>
        <w:bottom w:val="none" w:sz="0" w:space="0" w:color="auto"/>
        <w:right w:val="none" w:sz="0" w:space="0" w:color="auto"/>
      </w:divBdr>
      <w:divsChild>
        <w:div w:id="734596095">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0"/>
              <w:divBdr>
                <w:top w:val="none" w:sz="0" w:space="0" w:color="auto"/>
                <w:left w:val="none" w:sz="0" w:space="0" w:color="auto"/>
                <w:bottom w:val="none" w:sz="0" w:space="0" w:color="auto"/>
                <w:right w:val="none" w:sz="0" w:space="0" w:color="auto"/>
              </w:divBdr>
              <w:divsChild>
                <w:div w:id="12577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8466">
      <w:bodyDiv w:val="1"/>
      <w:marLeft w:val="0"/>
      <w:marRight w:val="0"/>
      <w:marTop w:val="0"/>
      <w:marBottom w:val="0"/>
      <w:divBdr>
        <w:top w:val="none" w:sz="0" w:space="0" w:color="auto"/>
        <w:left w:val="none" w:sz="0" w:space="0" w:color="auto"/>
        <w:bottom w:val="none" w:sz="0" w:space="0" w:color="auto"/>
        <w:right w:val="none" w:sz="0" w:space="0" w:color="auto"/>
      </w:divBdr>
    </w:div>
    <w:div w:id="1196695473">
      <w:bodyDiv w:val="1"/>
      <w:marLeft w:val="0"/>
      <w:marRight w:val="0"/>
      <w:marTop w:val="0"/>
      <w:marBottom w:val="0"/>
      <w:divBdr>
        <w:top w:val="none" w:sz="0" w:space="0" w:color="auto"/>
        <w:left w:val="none" w:sz="0" w:space="0" w:color="auto"/>
        <w:bottom w:val="none" w:sz="0" w:space="0" w:color="auto"/>
        <w:right w:val="none" w:sz="0" w:space="0" w:color="auto"/>
      </w:divBdr>
    </w:div>
    <w:div w:id="1201045093">
      <w:bodyDiv w:val="1"/>
      <w:marLeft w:val="0"/>
      <w:marRight w:val="0"/>
      <w:marTop w:val="0"/>
      <w:marBottom w:val="0"/>
      <w:divBdr>
        <w:top w:val="none" w:sz="0" w:space="0" w:color="auto"/>
        <w:left w:val="none" w:sz="0" w:space="0" w:color="auto"/>
        <w:bottom w:val="none" w:sz="0" w:space="0" w:color="auto"/>
        <w:right w:val="none" w:sz="0" w:space="0" w:color="auto"/>
      </w:divBdr>
    </w:div>
    <w:div w:id="1202673528">
      <w:bodyDiv w:val="1"/>
      <w:marLeft w:val="0"/>
      <w:marRight w:val="0"/>
      <w:marTop w:val="0"/>
      <w:marBottom w:val="0"/>
      <w:divBdr>
        <w:top w:val="none" w:sz="0" w:space="0" w:color="auto"/>
        <w:left w:val="none" w:sz="0" w:space="0" w:color="auto"/>
        <w:bottom w:val="none" w:sz="0" w:space="0" w:color="auto"/>
        <w:right w:val="none" w:sz="0" w:space="0" w:color="auto"/>
      </w:divBdr>
    </w:div>
    <w:div w:id="1213616512">
      <w:bodyDiv w:val="1"/>
      <w:marLeft w:val="0"/>
      <w:marRight w:val="0"/>
      <w:marTop w:val="0"/>
      <w:marBottom w:val="0"/>
      <w:divBdr>
        <w:top w:val="none" w:sz="0" w:space="0" w:color="auto"/>
        <w:left w:val="none" w:sz="0" w:space="0" w:color="auto"/>
        <w:bottom w:val="none" w:sz="0" w:space="0" w:color="auto"/>
        <w:right w:val="none" w:sz="0" w:space="0" w:color="auto"/>
      </w:divBdr>
      <w:divsChild>
        <w:div w:id="577252814">
          <w:marLeft w:val="0"/>
          <w:marRight w:val="0"/>
          <w:marTop w:val="0"/>
          <w:marBottom w:val="0"/>
          <w:divBdr>
            <w:top w:val="none" w:sz="0" w:space="0" w:color="auto"/>
            <w:left w:val="none" w:sz="0" w:space="0" w:color="auto"/>
            <w:bottom w:val="none" w:sz="0" w:space="0" w:color="auto"/>
            <w:right w:val="none" w:sz="0" w:space="0" w:color="auto"/>
          </w:divBdr>
          <w:divsChild>
            <w:div w:id="681513763">
              <w:marLeft w:val="0"/>
              <w:marRight w:val="0"/>
              <w:marTop w:val="0"/>
              <w:marBottom w:val="0"/>
              <w:divBdr>
                <w:top w:val="none" w:sz="0" w:space="0" w:color="auto"/>
                <w:left w:val="none" w:sz="0" w:space="0" w:color="auto"/>
                <w:bottom w:val="none" w:sz="0" w:space="0" w:color="auto"/>
                <w:right w:val="none" w:sz="0" w:space="0" w:color="auto"/>
              </w:divBdr>
              <w:divsChild>
                <w:div w:id="18295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5030">
      <w:bodyDiv w:val="1"/>
      <w:marLeft w:val="0"/>
      <w:marRight w:val="0"/>
      <w:marTop w:val="0"/>
      <w:marBottom w:val="0"/>
      <w:divBdr>
        <w:top w:val="none" w:sz="0" w:space="0" w:color="auto"/>
        <w:left w:val="none" w:sz="0" w:space="0" w:color="auto"/>
        <w:bottom w:val="none" w:sz="0" w:space="0" w:color="auto"/>
        <w:right w:val="none" w:sz="0" w:space="0" w:color="auto"/>
      </w:divBdr>
      <w:divsChild>
        <w:div w:id="896477095">
          <w:marLeft w:val="0"/>
          <w:marRight w:val="0"/>
          <w:marTop w:val="0"/>
          <w:marBottom w:val="0"/>
          <w:divBdr>
            <w:top w:val="none" w:sz="0" w:space="0" w:color="auto"/>
            <w:left w:val="none" w:sz="0" w:space="0" w:color="auto"/>
            <w:bottom w:val="none" w:sz="0" w:space="0" w:color="auto"/>
            <w:right w:val="none" w:sz="0" w:space="0" w:color="auto"/>
          </w:divBdr>
          <w:divsChild>
            <w:div w:id="1114715775">
              <w:marLeft w:val="0"/>
              <w:marRight w:val="0"/>
              <w:marTop w:val="0"/>
              <w:marBottom w:val="0"/>
              <w:divBdr>
                <w:top w:val="none" w:sz="0" w:space="0" w:color="auto"/>
                <w:left w:val="none" w:sz="0" w:space="0" w:color="auto"/>
                <w:bottom w:val="none" w:sz="0" w:space="0" w:color="auto"/>
                <w:right w:val="none" w:sz="0" w:space="0" w:color="auto"/>
              </w:divBdr>
              <w:divsChild>
                <w:div w:id="19385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3476">
      <w:bodyDiv w:val="1"/>
      <w:marLeft w:val="0"/>
      <w:marRight w:val="0"/>
      <w:marTop w:val="0"/>
      <w:marBottom w:val="0"/>
      <w:divBdr>
        <w:top w:val="none" w:sz="0" w:space="0" w:color="auto"/>
        <w:left w:val="none" w:sz="0" w:space="0" w:color="auto"/>
        <w:bottom w:val="none" w:sz="0" w:space="0" w:color="auto"/>
        <w:right w:val="none" w:sz="0" w:space="0" w:color="auto"/>
      </w:divBdr>
      <w:divsChild>
        <w:div w:id="698776907">
          <w:marLeft w:val="0"/>
          <w:marRight w:val="0"/>
          <w:marTop w:val="0"/>
          <w:marBottom w:val="0"/>
          <w:divBdr>
            <w:top w:val="none" w:sz="0" w:space="0" w:color="auto"/>
            <w:left w:val="none" w:sz="0" w:space="0" w:color="auto"/>
            <w:bottom w:val="none" w:sz="0" w:space="0" w:color="auto"/>
            <w:right w:val="none" w:sz="0" w:space="0" w:color="auto"/>
          </w:divBdr>
          <w:divsChild>
            <w:div w:id="531921646">
              <w:marLeft w:val="0"/>
              <w:marRight w:val="0"/>
              <w:marTop w:val="0"/>
              <w:marBottom w:val="0"/>
              <w:divBdr>
                <w:top w:val="none" w:sz="0" w:space="0" w:color="auto"/>
                <w:left w:val="none" w:sz="0" w:space="0" w:color="auto"/>
                <w:bottom w:val="none" w:sz="0" w:space="0" w:color="auto"/>
                <w:right w:val="none" w:sz="0" w:space="0" w:color="auto"/>
              </w:divBdr>
              <w:divsChild>
                <w:div w:id="14642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4613">
      <w:bodyDiv w:val="1"/>
      <w:marLeft w:val="0"/>
      <w:marRight w:val="0"/>
      <w:marTop w:val="0"/>
      <w:marBottom w:val="0"/>
      <w:divBdr>
        <w:top w:val="none" w:sz="0" w:space="0" w:color="auto"/>
        <w:left w:val="none" w:sz="0" w:space="0" w:color="auto"/>
        <w:bottom w:val="none" w:sz="0" w:space="0" w:color="auto"/>
        <w:right w:val="none" w:sz="0" w:space="0" w:color="auto"/>
      </w:divBdr>
      <w:divsChild>
        <w:div w:id="136118920">
          <w:marLeft w:val="0"/>
          <w:marRight w:val="0"/>
          <w:marTop w:val="0"/>
          <w:marBottom w:val="0"/>
          <w:divBdr>
            <w:top w:val="none" w:sz="0" w:space="0" w:color="auto"/>
            <w:left w:val="none" w:sz="0" w:space="0" w:color="auto"/>
            <w:bottom w:val="none" w:sz="0" w:space="0" w:color="auto"/>
            <w:right w:val="none" w:sz="0" w:space="0" w:color="auto"/>
          </w:divBdr>
        </w:div>
        <w:div w:id="1592353987">
          <w:marLeft w:val="0"/>
          <w:marRight w:val="0"/>
          <w:marTop w:val="0"/>
          <w:marBottom w:val="0"/>
          <w:divBdr>
            <w:top w:val="none" w:sz="0" w:space="0" w:color="auto"/>
            <w:left w:val="none" w:sz="0" w:space="0" w:color="auto"/>
            <w:bottom w:val="none" w:sz="0" w:space="0" w:color="auto"/>
            <w:right w:val="none" w:sz="0" w:space="0" w:color="auto"/>
          </w:divBdr>
        </w:div>
        <w:div w:id="2077316838">
          <w:marLeft w:val="0"/>
          <w:marRight w:val="0"/>
          <w:marTop w:val="0"/>
          <w:marBottom w:val="0"/>
          <w:divBdr>
            <w:top w:val="none" w:sz="0" w:space="0" w:color="auto"/>
            <w:left w:val="none" w:sz="0" w:space="0" w:color="auto"/>
            <w:bottom w:val="none" w:sz="0" w:space="0" w:color="auto"/>
            <w:right w:val="none" w:sz="0" w:space="0" w:color="auto"/>
          </w:divBdr>
        </w:div>
      </w:divsChild>
    </w:div>
    <w:div w:id="1326279856">
      <w:bodyDiv w:val="1"/>
      <w:marLeft w:val="0"/>
      <w:marRight w:val="0"/>
      <w:marTop w:val="0"/>
      <w:marBottom w:val="0"/>
      <w:divBdr>
        <w:top w:val="none" w:sz="0" w:space="0" w:color="auto"/>
        <w:left w:val="none" w:sz="0" w:space="0" w:color="auto"/>
        <w:bottom w:val="none" w:sz="0" w:space="0" w:color="auto"/>
        <w:right w:val="none" w:sz="0" w:space="0" w:color="auto"/>
      </w:divBdr>
    </w:div>
    <w:div w:id="1360401069">
      <w:bodyDiv w:val="1"/>
      <w:marLeft w:val="0"/>
      <w:marRight w:val="0"/>
      <w:marTop w:val="0"/>
      <w:marBottom w:val="0"/>
      <w:divBdr>
        <w:top w:val="none" w:sz="0" w:space="0" w:color="auto"/>
        <w:left w:val="none" w:sz="0" w:space="0" w:color="auto"/>
        <w:bottom w:val="none" w:sz="0" w:space="0" w:color="auto"/>
        <w:right w:val="none" w:sz="0" w:space="0" w:color="auto"/>
      </w:divBdr>
    </w:div>
    <w:div w:id="1469588636">
      <w:bodyDiv w:val="1"/>
      <w:marLeft w:val="0"/>
      <w:marRight w:val="0"/>
      <w:marTop w:val="0"/>
      <w:marBottom w:val="0"/>
      <w:divBdr>
        <w:top w:val="none" w:sz="0" w:space="0" w:color="auto"/>
        <w:left w:val="none" w:sz="0" w:space="0" w:color="auto"/>
        <w:bottom w:val="none" w:sz="0" w:space="0" w:color="auto"/>
        <w:right w:val="none" w:sz="0" w:space="0" w:color="auto"/>
      </w:divBdr>
    </w:div>
    <w:div w:id="1542790839">
      <w:bodyDiv w:val="1"/>
      <w:marLeft w:val="0"/>
      <w:marRight w:val="0"/>
      <w:marTop w:val="0"/>
      <w:marBottom w:val="0"/>
      <w:divBdr>
        <w:top w:val="none" w:sz="0" w:space="0" w:color="auto"/>
        <w:left w:val="none" w:sz="0" w:space="0" w:color="auto"/>
        <w:bottom w:val="none" w:sz="0" w:space="0" w:color="auto"/>
        <w:right w:val="none" w:sz="0" w:space="0" w:color="auto"/>
      </w:divBdr>
    </w:div>
    <w:div w:id="1565483110">
      <w:bodyDiv w:val="1"/>
      <w:marLeft w:val="0"/>
      <w:marRight w:val="0"/>
      <w:marTop w:val="0"/>
      <w:marBottom w:val="0"/>
      <w:divBdr>
        <w:top w:val="none" w:sz="0" w:space="0" w:color="auto"/>
        <w:left w:val="none" w:sz="0" w:space="0" w:color="auto"/>
        <w:bottom w:val="none" w:sz="0" w:space="0" w:color="auto"/>
        <w:right w:val="none" w:sz="0" w:space="0" w:color="auto"/>
      </w:divBdr>
    </w:div>
    <w:div w:id="1584993717">
      <w:bodyDiv w:val="1"/>
      <w:marLeft w:val="0"/>
      <w:marRight w:val="0"/>
      <w:marTop w:val="0"/>
      <w:marBottom w:val="0"/>
      <w:divBdr>
        <w:top w:val="none" w:sz="0" w:space="0" w:color="auto"/>
        <w:left w:val="none" w:sz="0" w:space="0" w:color="auto"/>
        <w:bottom w:val="none" w:sz="0" w:space="0" w:color="auto"/>
        <w:right w:val="none" w:sz="0" w:space="0" w:color="auto"/>
      </w:divBdr>
    </w:div>
    <w:div w:id="1610235583">
      <w:bodyDiv w:val="1"/>
      <w:marLeft w:val="0"/>
      <w:marRight w:val="0"/>
      <w:marTop w:val="0"/>
      <w:marBottom w:val="0"/>
      <w:divBdr>
        <w:top w:val="none" w:sz="0" w:space="0" w:color="auto"/>
        <w:left w:val="none" w:sz="0" w:space="0" w:color="auto"/>
        <w:bottom w:val="none" w:sz="0" w:space="0" w:color="auto"/>
        <w:right w:val="none" w:sz="0" w:space="0" w:color="auto"/>
      </w:divBdr>
    </w:div>
    <w:div w:id="1611010090">
      <w:bodyDiv w:val="1"/>
      <w:marLeft w:val="0"/>
      <w:marRight w:val="0"/>
      <w:marTop w:val="0"/>
      <w:marBottom w:val="0"/>
      <w:divBdr>
        <w:top w:val="none" w:sz="0" w:space="0" w:color="auto"/>
        <w:left w:val="none" w:sz="0" w:space="0" w:color="auto"/>
        <w:bottom w:val="none" w:sz="0" w:space="0" w:color="auto"/>
        <w:right w:val="none" w:sz="0" w:space="0" w:color="auto"/>
      </w:divBdr>
    </w:div>
    <w:div w:id="1613781408">
      <w:bodyDiv w:val="1"/>
      <w:marLeft w:val="0"/>
      <w:marRight w:val="0"/>
      <w:marTop w:val="0"/>
      <w:marBottom w:val="0"/>
      <w:divBdr>
        <w:top w:val="none" w:sz="0" w:space="0" w:color="auto"/>
        <w:left w:val="none" w:sz="0" w:space="0" w:color="auto"/>
        <w:bottom w:val="none" w:sz="0" w:space="0" w:color="auto"/>
        <w:right w:val="none" w:sz="0" w:space="0" w:color="auto"/>
      </w:divBdr>
    </w:div>
    <w:div w:id="1623727083">
      <w:bodyDiv w:val="1"/>
      <w:marLeft w:val="0"/>
      <w:marRight w:val="0"/>
      <w:marTop w:val="0"/>
      <w:marBottom w:val="0"/>
      <w:divBdr>
        <w:top w:val="none" w:sz="0" w:space="0" w:color="auto"/>
        <w:left w:val="none" w:sz="0" w:space="0" w:color="auto"/>
        <w:bottom w:val="none" w:sz="0" w:space="0" w:color="auto"/>
        <w:right w:val="none" w:sz="0" w:space="0" w:color="auto"/>
      </w:divBdr>
    </w:div>
    <w:div w:id="1630623541">
      <w:bodyDiv w:val="1"/>
      <w:marLeft w:val="0"/>
      <w:marRight w:val="0"/>
      <w:marTop w:val="0"/>
      <w:marBottom w:val="0"/>
      <w:divBdr>
        <w:top w:val="none" w:sz="0" w:space="0" w:color="auto"/>
        <w:left w:val="none" w:sz="0" w:space="0" w:color="auto"/>
        <w:bottom w:val="none" w:sz="0" w:space="0" w:color="auto"/>
        <w:right w:val="none" w:sz="0" w:space="0" w:color="auto"/>
      </w:divBdr>
    </w:div>
    <w:div w:id="1643776528">
      <w:bodyDiv w:val="1"/>
      <w:marLeft w:val="0"/>
      <w:marRight w:val="0"/>
      <w:marTop w:val="0"/>
      <w:marBottom w:val="0"/>
      <w:divBdr>
        <w:top w:val="none" w:sz="0" w:space="0" w:color="auto"/>
        <w:left w:val="none" w:sz="0" w:space="0" w:color="auto"/>
        <w:bottom w:val="none" w:sz="0" w:space="0" w:color="auto"/>
        <w:right w:val="none" w:sz="0" w:space="0" w:color="auto"/>
      </w:divBdr>
    </w:div>
    <w:div w:id="1693652686">
      <w:bodyDiv w:val="1"/>
      <w:marLeft w:val="0"/>
      <w:marRight w:val="0"/>
      <w:marTop w:val="0"/>
      <w:marBottom w:val="0"/>
      <w:divBdr>
        <w:top w:val="none" w:sz="0" w:space="0" w:color="auto"/>
        <w:left w:val="none" w:sz="0" w:space="0" w:color="auto"/>
        <w:bottom w:val="none" w:sz="0" w:space="0" w:color="auto"/>
        <w:right w:val="none" w:sz="0" w:space="0" w:color="auto"/>
      </w:divBdr>
      <w:divsChild>
        <w:div w:id="1813255472">
          <w:marLeft w:val="0"/>
          <w:marRight w:val="0"/>
          <w:marTop w:val="0"/>
          <w:marBottom w:val="0"/>
          <w:divBdr>
            <w:top w:val="none" w:sz="0" w:space="0" w:color="auto"/>
            <w:left w:val="none" w:sz="0" w:space="0" w:color="auto"/>
            <w:bottom w:val="none" w:sz="0" w:space="0" w:color="auto"/>
            <w:right w:val="none" w:sz="0" w:space="0" w:color="auto"/>
          </w:divBdr>
          <w:divsChild>
            <w:div w:id="1449818900">
              <w:marLeft w:val="0"/>
              <w:marRight w:val="0"/>
              <w:marTop w:val="0"/>
              <w:marBottom w:val="0"/>
              <w:divBdr>
                <w:top w:val="none" w:sz="0" w:space="0" w:color="auto"/>
                <w:left w:val="none" w:sz="0" w:space="0" w:color="auto"/>
                <w:bottom w:val="none" w:sz="0" w:space="0" w:color="auto"/>
                <w:right w:val="none" w:sz="0" w:space="0" w:color="auto"/>
              </w:divBdr>
              <w:divsChild>
                <w:div w:id="648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19445">
      <w:bodyDiv w:val="1"/>
      <w:marLeft w:val="0"/>
      <w:marRight w:val="0"/>
      <w:marTop w:val="0"/>
      <w:marBottom w:val="0"/>
      <w:divBdr>
        <w:top w:val="none" w:sz="0" w:space="0" w:color="auto"/>
        <w:left w:val="none" w:sz="0" w:space="0" w:color="auto"/>
        <w:bottom w:val="none" w:sz="0" w:space="0" w:color="auto"/>
        <w:right w:val="none" w:sz="0" w:space="0" w:color="auto"/>
      </w:divBdr>
      <w:divsChild>
        <w:div w:id="1176920150">
          <w:marLeft w:val="0"/>
          <w:marRight w:val="0"/>
          <w:marTop w:val="0"/>
          <w:marBottom w:val="0"/>
          <w:divBdr>
            <w:top w:val="none" w:sz="0" w:space="0" w:color="auto"/>
            <w:left w:val="none" w:sz="0" w:space="0" w:color="auto"/>
            <w:bottom w:val="none" w:sz="0" w:space="0" w:color="auto"/>
            <w:right w:val="none" w:sz="0" w:space="0" w:color="auto"/>
          </w:divBdr>
          <w:divsChild>
            <w:div w:id="1942713848">
              <w:marLeft w:val="0"/>
              <w:marRight w:val="0"/>
              <w:marTop w:val="0"/>
              <w:marBottom w:val="0"/>
              <w:divBdr>
                <w:top w:val="none" w:sz="0" w:space="0" w:color="auto"/>
                <w:left w:val="none" w:sz="0" w:space="0" w:color="auto"/>
                <w:bottom w:val="none" w:sz="0" w:space="0" w:color="auto"/>
                <w:right w:val="none" w:sz="0" w:space="0" w:color="auto"/>
              </w:divBdr>
              <w:divsChild>
                <w:div w:id="470099156">
                  <w:marLeft w:val="0"/>
                  <w:marRight w:val="0"/>
                  <w:marTop w:val="0"/>
                  <w:marBottom w:val="0"/>
                  <w:divBdr>
                    <w:top w:val="none" w:sz="0" w:space="0" w:color="auto"/>
                    <w:left w:val="none" w:sz="0" w:space="0" w:color="auto"/>
                    <w:bottom w:val="none" w:sz="0" w:space="0" w:color="auto"/>
                    <w:right w:val="none" w:sz="0" w:space="0" w:color="auto"/>
                  </w:divBdr>
                  <w:divsChild>
                    <w:div w:id="14904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04712">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47338386">
      <w:bodyDiv w:val="1"/>
      <w:marLeft w:val="0"/>
      <w:marRight w:val="0"/>
      <w:marTop w:val="0"/>
      <w:marBottom w:val="0"/>
      <w:divBdr>
        <w:top w:val="none" w:sz="0" w:space="0" w:color="auto"/>
        <w:left w:val="none" w:sz="0" w:space="0" w:color="auto"/>
        <w:bottom w:val="none" w:sz="0" w:space="0" w:color="auto"/>
        <w:right w:val="none" w:sz="0" w:space="0" w:color="auto"/>
      </w:divBdr>
      <w:divsChild>
        <w:div w:id="590967620">
          <w:marLeft w:val="0"/>
          <w:marRight w:val="0"/>
          <w:marTop w:val="0"/>
          <w:marBottom w:val="0"/>
          <w:divBdr>
            <w:top w:val="none" w:sz="0" w:space="0" w:color="auto"/>
            <w:left w:val="none" w:sz="0" w:space="0" w:color="auto"/>
            <w:bottom w:val="none" w:sz="0" w:space="0" w:color="auto"/>
            <w:right w:val="none" w:sz="0" w:space="0" w:color="auto"/>
          </w:divBdr>
        </w:div>
        <w:div w:id="746075395">
          <w:marLeft w:val="0"/>
          <w:marRight w:val="0"/>
          <w:marTop w:val="0"/>
          <w:marBottom w:val="0"/>
          <w:divBdr>
            <w:top w:val="none" w:sz="0" w:space="0" w:color="auto"/>
            <w:left w:val="none" w:sz="0" w:space="0" w:color="auto"/>
            <w:bottom w:val="none" w:sz="0" w:space="0" w:color="auto"/>
            <w:right w:val="none" w:sz="0" w:space="0" w:color="auto"/>
          </w:divBdr>
        </w:div>
        <w:div w:id="1063722486">
          <w:marLeft w:val="0"/>
          <w:marRight w:val="0"/>
          <w:marTop w:val="0"/>
          <w:marBottom w:val="0"/>
          <w:divBdr>
            <w:top w:val="none" w:sz="0" w:space="0" w:color="auto"/>
            <w:left w:val="none" w:sz="0" w:space="0" w:color="auto"/>
            <w:bottom w:val="none" w:sz="0" w:space="0" w:color="auto"/>
            <w:right w:val="none" w:sz="0" w:space="0" w:color="auto"/>
          </w:divBdr>
        </w:div>
      </w:divsChild>
    </w:div>
    <w:div w:id="1759056365">
      <w:bodyDiv w:val="1"/>
      <w:marLeft w:val="0"/>
      <w:marRight w:val="0"/>
      <w:marTop w:val="0"/>
      <w:marBottom w:val="0"/>
      <w:divBdr>
        <w:top w:val="none" w:sz="0" w:space="0" w:color="auto"/>
        <w:left w:val="none" w:sz="0" w:space="0" w:color="auto"/>
        <w:bottom w:val="none" w:sz="0" w:space="0" w:color="auto"/>
        <w:right w:val="none" w:sz="0" w:space="0" w:color="auto"/>
      </w:divBdr>
    </w:div>
    <w:div w:id="1794863868">
      <w:bodyDiv w:val="1"/>
      <w:marLeft w:val="0"/>
      <w:marRight w:val="0"/>
      <w:marTop w:val="0"/>
      <w:marBottom w:val="0"/>
      <w:divBdr>
        <w:top w:val="none" w:sz="0" w:space="0" w:color="auto"/>
        <w:left w:val="none" w:sz="0" w:space="0" w:color="auto"/>
        <w:bottom w:val="none" w:sz="0" w:space="0" w:color="auto"/>
        <w:right w:val="none" w:sz="0" w:space="0" w:color="auto"/>
      </w:divBdr>
    </w:div>
    <w:div w:id="1815370033">
      <w:bodyDiv w:val="1"/>
      <w:marLeft w:val="0"/>
      <w:marRight w:val="0"/>
      <w:marTop w:val="0"/>
      <w:marBottom w:val="0"/>
      <w:divBdr>
        <w:top w:val="none" w:sz="0" w:space="0" w:color="auto"/>
        <w:left w:val="none" w:sz="0" w:space="0" w:color="auto"/>
        <w:bottom w:val="none" w:sz="0" w:space="0" w:color="auto"/>
        <w:right w:val="none" w:sz="0" w:space="0" w:color="auto"/>
      </w:divBdr>
    </w:div>
    <w:div w:id="1879975817">
      <w:bodyDiv w:val="1"/>
      <w:marLeft w:val="0"/>
      <w:marRight w:val="0"/>
      <w:marTop w:val="0"/>
      <w:marBottom w:val="0"/>
      <w:divBdr>
        <w:top w:val="none" w:sz="0" w:space="0" w:color="auto"/>
        <w:left w:val="none" w:sz="0" w:space="0" w:color="auto"/>
        <w:bottom w:val="none" w:sz="0" w:space="0" w:color="auto"/>
        <w:right w:val="none" w:sz="0" w:space="0" w:color="auto"/>
      </w:divBdr>
    </w:div>
    <w:div w:id="1895509678">
      <w:bodyDiv w:val="1"/>
      <w:marLeft w:val="0"/>
      <w:marRight w:val="0"/>
      <w:marTop w:val="0"/>
      <w:marBottom w:val="0"/>
      <w:divBdr>
        <w:top w:val="none" w:sz="0" w:space="0" w:color="auto"/>
        <w:left w:val="none" w:sz="0" w:space="0" w:color="auto"/>
        <w:bottom w:val="none" w:sz="0" w:space="0" w:color="auto"/>
        <w:right w:val="none" w:sz="0" w:space="0" w:color="auto"/>
      </w:divBdr>
      <w:divsChild>
        <w:div w:id="1673411674">
          <w:marLeft w:val="0"/>
          <w:marRight w:val="0"/>
          <w:marTop w:val="0"/>
          <w:marBottom w:val="0"/>
          <w:divBdr>
            <w:top w:val="none" w:sz="0" w:space="0" w:color="auto"/>
            <w:left w:val="none" w:sz="0" w:space="0" w:color="auto"/>
            <w:bottom w:val="none" w:sz="0" w:space="0" w:color="auto"/>
            <w:right w:val="none" w:sz="0" w:space="0" w:color="auto"/>
          </w:divBdr>
          <w:divsChild>
            <w:div w:id="58288375">
              <w:marLeft w:val="0"/>
              <w:marRight w:val="0"/>
              <w:marTop w:val="0"/>
              <w:marBottom w:val="0"/>
              <w:divBdr>
                <w:top w:val="none" w:sz="0" w:space="0" w:color="auto"/>
                <w:left w:val="none" w:sz="0" w:space="0" w:color="auto"/>
                <w:bottom w:val="none" w:sz="0" w:space="0" w:color="auto"/>
                <w:right w:val="none" w:sz="0" w:space="0" w:color="auto"/>
              </w:divBdr>
              <w:divsChild>
                <w:div w:id="13372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8390">
      <w:bodyDiv w:val="1"/>
      <w:marLeft w:val="0"/>
      <w:marRight w:val="0"/>
      <w:marTop w:val="0"/>
      <w:marBottom w:val="0"/>
      <w:divBdr>
        <w:top w:val="none" w:sz="0" w:space="0" w:color="auto"/>
        <w:left w:val="none" w:sz="0" w:space="0" w:color="auto"/>
        <w:bottom w:val="none" w:sz="0" w:space="0" w:color="auto"/>
        <w:right w:val="none" w:sz="0" w:space="0" w:color="auto"/>
      </w:divBdr>
    </w:div>
    <w:div w:id="1907645537">
      <w:bodyDiv w:val="1"/>
      <w:marLeft w:val="0"/>
      <w:marRight w:val="0"/>
      <w:marTop w:val="0"/>
      <w:marBottom w:val="0"/>
      <w:divBdr>
        <w:top w:val="none" w:sz="0" w:space="0" w:color="auto"/>
        <w:left w:val="none" w:sz="0" w:space="0" w:color="auto"/>
        <w:bottom w:val="none" w:sz="0" w:space="0" w:color="auto"/>
        <w:right w:val="none" w:sz="0" w:space="0" w:color="auto"/>
      </w:divBdr>
    </w:div>
    <w:div w:id="1915893987">
      <w:bodyDiv w:val="1"/>
      <w:marLeft w:val="0"/>
      <w:marRight w:val="0"/>
      <w:marTop w:val="0"/>
      <w:marBottom w:val="0"/>
      <w:divBdr>
        <w:top w:val="none" w:sz="0" w:space="0" w:color="auto"/>
        <w:left w:val="none" w:sz="0" w:space="0" w:color="auto"/>
        <w:bottom w:val="none" w:sz="0" w:space="0" w:color="auto"/>
        <w:right w:val="none" w:sz="0" w:space="0" w:color="auto"/>
      </w:divBdr>
    </w:div>
    <w:div w:id="1935089917">
      <w:bodyDiv w:val="1"/>
      <w:marLeft w:val="0"/>
      <w:marRight w:val="0"/>
      <w:marTop w:val="0"/>
      <w:marBottom w:val="0"/>
      <w:divBdr>
        <w:top w:val="none" w:sz="0" w:space="0" w:color="auto"/>
        <w:left w:val="none" w:sz="0" w:space="0" w:color="auto"/>
        <w:bottom w:val="none" w:sz="0" w:space="0" w:color="auto"/>
        <w:right w:val="none" w:sz="0" w:space="0" w:color="auto"/>
      </w:divBdr>
    </w:div>
    <w:div w:id="1938904758">
      <w:bodyDiv w:val="1"/>
      <w:marLeft w:val="0"/>
      <w:marRight w:val="0"/>
      <w:marTop w:val="0"/>
      <w:marBottom w:val="0"/>
      <w:divBdr>
        <w:top w:val="none" w:sz="0" w:space="0" w:color="auto"/>
        <w:left w:val="none" w:sz="0" w:space="0" w:color="auto"/>
        <w:bottom w:val="none" w:sz="0" w:space="0" w:color="auto"/>
        <w:right w:val="none" w:sz="0" w:space="0" w:color="auto"/>
      </w:divBdr>
    </w:div>
    <w:div w:id="1974407372">
      <w:bodyDiv w:val="1"/>
      <w:marLeft w:val="0"/>
      <w:marRight w:val="0"/>
      <w:marTop w:val="0"/>
      <w:marBottom w:val="0"/>
      <w:divBdr>
        <w:top w:val="none" w:sz="0" w:space="0" w:color="auto"/>
        <w:left w:val="none" w:sz="0" w:space="0" w:color="auto"/>
        <w:bottom w:val="none" w:sz="0" w:space="0" w:color="auto"/>
        <w:right w:val="none" w:sz="0" w:space="0" w:color="auto"/>
      </w:divBdr>
      <w:divsChild>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92719">
      <w:bodyDiv w:val="1"/>
      <w:marLeft w:val="0"/>
      <w:marRight w:val="0"/>
      <w:marTop w:val="0"/>
      <w:marBottom w:val="0"/>
      <w:divBdr>
        <w:top w:val="none" w:sz="0" w:space="0" w:color="auto"/>
        <w:left w:val="none" w:sz="0" w:space="0" w:color="auto"/>
        <w:bottom w:val="none" w:sz="0" w:space="0" w:color="auto"/>
        <w:right w:val="none" w:sz="0" w:space="0" w:color="auto"/>
      </w:divBdr>
      <w:divsChild>
        <w:div w:id="1493644358">
          <w:marLeft w:val="0"/>
          <w:marRight w:val="0"/>
          <w:marTop w:val="0"/>
          <w:marBottom w:val="0"/>
          <w:divBdr>
            <w:top w:val="none" w:sz="0" w:space="0" w:color="auto"/>
            <w:left w:val="none" w:sz="0" w:space="0" w:color="auto"/>
            <w:bottom w:val="none" w:sz="0" w:space="0" w:color="auto"/>
            <w:right w:val="none" w:sz="0" w:space="0" w:color="auto"/>
          </w:divBdr>
          <w:divsChild>
            <w:div w:id="1945577203">
              <w:marLeft w:val="0"/>
              <w:marRight w:val="0"/>
              <w:marTop w:val="0"/>
              <w:marBottom w:val="0"/>
              <w:divBdr>
                <w:top w:val="none" w:sz="0" w:space="0" w:color="auto"/>
                <w:left w:val="none" w:sz="0" w:space="0" w:color="auto"/>
                <w:bottom w:val="none" w:sz="0" w:space="0" w:color="auto"/>
                <w:right w:val="none" w:sz="0" w:space="0" w:color="auto"/>
              </w:divBdr>
              <w:divsChild>
                <w:div w:id="2126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76939">
      <w:bodyDiv w:val="1"/>
      <w:marLeft w:val="0"/>
      <w:marRight w:val="0"/>
      <w:marTop w:val="0"/>
      <w:marBottom w:val="0"/>
      <w:divBdr>
        <w:top w:val="none" w:sz="0" w:space="0" w:color="auto"/>
        <w:left w:val="none" w:sz="0" w:space="0" w:color="auto"/>
        <w:bottom w:val="none" w:sz="0" w:space="0" w:color="auto"/>
        <w:right w:val="none" w:sz="0" w:space="0" w:color="auto"/>
      </w:divBdr>
    </w:div>
    <w:div w:id="2071003976">
      <w:bodyDiv w:val="1"/>
      <w:marLeft w:val="0"/>
      <w:marRight w:val="0"/>
      <w:marTop w:val="0"/>
      <w:marBottom w:val="0"/>
      <w:divBdr>
        <w:top w:val="none" w:sz="0" w:space="0" w:color="auto"/>
        <w:left w:val="none" w:sz="0" w:space="0" w:color="auto"/>
        <w:bottom w:val="none" w:sz="0" w:space="0" w:color="auto"/>
        <w:right w:val="none" w:sz="0" w:space="0" w:color="auto"/>
      </w:divBdr>
    </w:div>
    <w:div w:id="2130198213">
      <w:bodyDiv w:val="1"/>
      <w:marLeft w:val="0"/>
      <w:marRight w:val="0"/>
      <w:marTop w:val="0"/>
      <w:marBottom w:val="0"/>
      <w:divBdr>
        <w:top w:val="none" w:sz="0" w:space="0" w:color="auto"/>
        <w:left w:val="none" w:sz="0" w:space="0" w:color="auto"/>
        <w:bottom w:val="none" w:sz="0" w:space="0" w:color="auto"/>
        <w:right w:val="none" w:sz="0" w:space="0" w:color="auto"/>
      </w:divBdr>
    </w:div>
    <w:div w:id="21305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www.twitter.com/VEOHRC"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vmware-host\Shared%20Folders\Projects%20(Clients)\VEOHRC\1338.%20MS%20Word%20Report%20Template\Modified%20Documents\humanrightscommission.vic.gov.au" TargetMode="External"/><Relationship Id="rId25" Type="http://schemas.openxmlformats.org/officeDocument/2006/relationships/hyperlink" Target="http://www.twitter.com/VEOHRC" TargetMode="External"/><Relationship Id="rId2" Type="http://schemas.openxmlformats.org/officeDocument/2006/relationships/customXml" Target="../customXml/item2.xml"/><Relationship Id="rId16" Type="http://schemas.openxmlformats.org/officeDocument/2006/relationships/hyperlink" Target="mailto:enquiries@veohrc.vic.gov.a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vmware-host\Shared%20Folders\Projects%20(Clients)\VEOHRC\1338.%20MS%20Word%20Report%20Template\Modified%20Documents\humanrightscommission.vic.gov.au"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enquiries@veohrc.vic.gov.a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file:///\\vmware-host\Shared%20Folders\Projects%20(Clients)\VEOHRC\1338.%20MS%20Word%20Report%20Template\Modified%20Documents\humanrightscommission.vic.gov.au\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www.facebook.com/VEOHRC"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esafety.gov.au/women" TargetMode="External"/><Relationship Id="rId18" Type="http://schemas.openxmlformats.org/officeDocument/2006/relationships/hyperlink" Target="https://www.amnesty.org.au/australia-poll-reveals-alarming-impact-online-abuse-women/" TargetMode="External"/><Relationship Id="rId26" Type="http://schemas.openxmlformats.org/officeDocument/2006/relationships/hyperlink" Target="http://ohpi.org.au/anti-muslim-hate-interim-report/" TargetMode="External"/><Relationship Id="rId39" Type="http://schemas.openxmlformats.org/officeDocument/2006/relationships/hyperlink" Target="https://www.theage.com.au/national/victoria/shocking-video-emerges-after-two-women-and-child-racially-abused-on-melbourne-train-20190113-p50r56.html" TargetMode="External"/><Relationship Id="rId21" Type="http://schemas.openxmlformats.org/officeDocument/2006/relationships/hyperlink" Target="https://www.wsj.com/articles/its-hard-to-spot-the-terrorists-among-the-trolls-11552685615" TargetMode="External"/><Relationship Id="rId34" Type="http://schemas.openxmlformats.org/officeDocument/2006/relationships/hyperlink" Target="https://www.abc.net.au/religion/turning-back-the-tide-of-antisemitic-abuse-of-jewish-school-stu/11734352" TargetMode="External"/><Relationship Id="rId42" Type="http://schemas.openxmlformats.org/officeDocument/2006/relationships/hyperlink" Target="https://www.parliament.nsw.gov.au/lcdocs/submissions/36180/0036%20Prof%20Rice%20and%20Prof%20Rees.pdf" TargetMode="External"/><Relationship Id="rId47" Type="http://schemas.openxmlformats.org/officeDocument/2006/relationships/hyperlink" Target="https://glrl.org.au/2018/06/21/nsw-government-signals-reforms-to-states-vilification-laws-to-protect-all-lgbti-people/" TargetMode="External"/><Relationship Id="rId50" Type="http://schemas.openxmlformats.org/officeDocument/2006/relationships/hyperlink" Target="https://www.abc.net.au/news/2018-06-21/race-hate-laws-pass-nsw-parliament/9893172" TargetMode="External"/><Relationship Id="rId55" Type="http://schemas.openxmlformats.org/officeDocument/2006/relationships/hyperlink" Target="https://www.humanrightscommission.vic.gov.au/human-rights/charter-submissions/item/download/9123_42363ccc03abdf8e5e3497d873787c27" TargetMode="External"/><Relationship Id="rId7" Type="http://schemas.openxmlformats.org/officeDocument/2006/relationships/hyperlink" Target="https://www.humanrightscommission.vic.gov.au/home/our-resources-and-publications/victorian-discrimination-law" TargetMode="External"/><Relationship Id="rId12" Type="http://schemas.openxmlformats.org/officeDocument/2006/relationships/hyperlink" Target="https://www.esafety.gov.au/key-issues" TargetMode="External"/><Relationship Id="rId17" Type="http://schemas.openxmlformats.org/officeDocument/2006/relationships/hyperlink" Target="https://www.tai.org.au/sites/default/files/P530%20Trolls%20and%20polls%20-%20surveying%20economic%20costs%20of%20cyberhate%20%255bWEB%255d_1.pdf" TargetMode="External"/><Relationship Id="rId25" Type="http://schemas.openxmlformats.org/officeDocument/2006/relationships/hyperlink" Target="https://www.abs.gov.au/AUSSTATS/abs@.nsf/DetailsPage/4714.02014-15?OpenDocument" TargetMode="External"/><Relationship Id="rId33" Type="http://schemas.openxmlformats.org/officeDocument/2006/relationships/hyperlink" Target="https://www.abs.gov.au/ausstats/abs@.nsf/Lookup/by%20Subject/4906.0~2016~Main%20Features~Feelings%20of%20General%20Safety~10005" TargetMode="External"/><Relationship Id="rId38" Type="http://schemas.openxmlformats.org/officeDocument/2006/relationships/hyperlink" Target="https://www.genvic.org.au/wp-content/uploads/2019/10/GV_MEAA_PolicyDoc_V5_WEB.pdf" TargetMode="External"/><Relationship Id="rId46" Type="http://schemas.openxmlformats.org/officeDocument/2006/relationships/hyperlink" Target="https://piac.asn.au/2018/06/22/nsw-reforms-vilification-offences/" TargetMode="External"/><Relationship Id="rId2" Type="http://schemas.openxmlformats.org/officeDocument/2006/relationships/hyperlink" Target="https://www.abc.net.au/news/2019-10-08/white-supremacist-neo-nazi-concert-in-melbourne-to-go-ahead/11582120" TargetMode="External"/><Relationship Id="rId16" Type="http://schemas.openxmlformats.org/officeDocument/2006/relationships/hyperlink" Target="https://scanloninstitute.org.au/sites/default/files/2019-11/Mapping%20Social%20Cohesion%202019.pdf" TargetMode="External"/><Relationship Id="rId20" Type="http://schemas.openxmlformats.org/officeDocument/2006/relationships/hyperlink" Target="https://www.esafety.gov.au/sites/default/files/2019-07/Image-based-abuse-national-survey-summary-report-2017.pdf" TargetMode="External"/><Relationship Id="rId29" Type="http://schemas.openxmlformats.org/officeDocument/2006/relationships/hyperlink" Target="https://www.humanrightscommission.vic.gov.au/media/k2/attachments/Reporting_Racism_Web_low_res.pdf" TargetMode="External"/><Relationship Id="rId41" Type="http://schemas.openxmlformats.org/officeDocument/2006/relationships/hyperlink" Target="https://www.smh.com.au/national/three-charged-over-vic-race-hate-attack-20070306-wa.html" TargetMode="External"/><Relationship Id="rId54" Type="http://schemas.openxmlformats.org/officeDocument/2006/relationships/hyperlink" Target="https://www.humanrightscommission.vic.gov.au/home/our-resources-and-publications/reports/item/download/9104_4a3369277ca0434000600ad8bfe81b4a" TargetMode="External"/><Relationship Id="rId1" Type="http://schemas.openxmlformats.org/officeDocument/2006/relationships/hyperlink" Target="https://www.monash.edu/__data/assets/pdf_file/0009/1531791/gen17-initial-findings-report-online-version-final-22_3.pdf" TargetMode="External"/><Relationship Id="rId6" Type="http://schemas.openxmlformats.org/officeDocument/2006/relationships/hyperlink" Target="https://www.theguardian.com/world/2018/nov/04/south-sudanese-australians-report-abuse-intensified-after-african-gangs-claims" TargetMode="External"/><Relationship Id="rId11" Type="http://schemas.openxmlformats.org/officeDocument/2006/relationships/hyperlink" Target="https://www.police.vic.gov.au/prejudice-and-racial-and-religious-vilification" TargetMode="External"/><Relationship Id="rId24" Type="http://schemas.openxmlformats.org/officeDocument/2006/relationships/hyperlink" Target="https://www.humanrightscommission.vic.gov.au/home/about-us/action-plans/item/download/9045_6f472685b931abd99794f22200055bdd" TargetMode="External"/><Relationship Id="rId32" Type="http://schemas.openxmlformats.org/officeDocument/2006/relationships/hyperlink" Target="https://www.amnesty.org.au/australia-poll-reveals-alarming-impact-online-abuse-women/" TargetMode="External"/><Relationship Id="rId37" Type="http://schemas.openxmlformats.org/officeDocument/2006/relationships/hyperlink" Target="https://equalityaustralia.org.au/civil-society-condemns-draft-religious-discrimination-act/" TargetMode="External"/><Relationship Id="rId40" Type="http://schemas.openxmlformats.org/officeDocument/2006/relationships/hyperlink" Target="https://www.theage.com.au/national/victoria/man-jailed-for-racist-bus-rant-20140117-30zyx.html" TargetMode="External"/><Relationship Id="rId45" Type="http://schemas.openxmlformats.org/officeDocument/2006/relationships/hyperlink" Target="https://www.hrlc.org.au/news/2018/6/7/new-south-wales-introduces-broader-protections-from-hate-crime" TargetMode="External"/><Relationship Id="rId53" Type="http://schemas.openxmlformats.org/officeDocument/2006/relationships/hyperlink" Target="https://www.police.vic.gov.au/prejudice-and-racial-and-religious-vilification" TargetMode="External"/><Relationship Id="rId5" Type="http://schemas.openxmlformats.org/officeDocument/2006/relationships/hyperlink" Target="https://www.abc.net.au/news/2020-01-14/nazi-flag-flown-in-north-west-victorian-town-of-beulah/11866096" TargetMode="External"/><Relationship Id="rId15" Type="http://schemas.openxmlformats.org/officeDocument/2006/relationships/hyperlink" Target="https://assets.publishing.service.gov.uk/government/uploads/system/uploads/attachment_data/file/793360/Online_Harms_White_Paper.pdf" TargetMode="External"/><Relationship Id="rId23" Type="http://schemas.openxmlformats.org/officeDocument/2006/relationships/hyperlink" Target="https://www.esafety.gov.au/about-us/research/young-people-social-cohesion/online-hate-bullying-violence" TargetMode="External"/><Relationship Id="rId28" Type="http://schemas.openxmlformats.org/officeDocument/2006/relationships/hyperlink" Target="https://www.cmy.net.au/sites/default/files/publication-documents/Don%27t%20Drag%20Me%20Into%20This%20-%20Research%20Report%20Oct%202018%20FINAL.pdf" TargetMode="External"/><Relationship Id="rId36" Type="http://schemas.openxmlformats.org/officeDocument/2006/relationships/hyperlink" Target="https://theconversation.com/victorian-changes-to-gender-on-birth-certificate-will-not-increase-sexual-violence-heres-why-122125" TargetMode="External"/><Relationship Id="rId49" Type="http://schemas.openxmlformats.org/officeDocument/2006/relationships/hyperlink" Target="https://rlc.org.au/article/new-nsw-laws-prevent-incitement-violence" TargetMode="External"/><Relationship Id="rId57" Type="http://schemas.openxmlformats.org/officeDocument/2006/relationships/hyperlink" Target="http://hatecrime.osce.org/united-kingdom?year=2018" TargetMode="External"/><Relationship Id="rId10" Type="http://schemas.openxmlformats.org/officeDocument/2006/relationships/hyperlink" Target="https://www.humanrightscommission.vic.gov.au/policy-submissions/item/1840-submission-on-the-draft-religious-discrimination-bill-oct-19" TargetMode="External"/><Relationship Id="rId19" Type="http://schemas.openxmlformats.org/officeDocument/2006/relationships/hyperlink" Target="https://www.acma.gov.au/sites/default/files/2019-08/Communications%20report%202017-18.pdf" TargetMode="External"/><Relationship Id="rId31" Type="http://schemas.openxmlformats.org/officeDocument/2006/relationships/hyperlink" Target="https://www.amnesty.org.au/australia-poll-reveals-alarming-impact-online-abuse-women/" TargetMode="External"/><Relationship Id="rId44" Type="http://schemas.openxmlformats.org/officeDocument/2006/relationships/hyperlink" Target="https://www.parliament.nsw.gov.au/lcdocs/inquiries/2260/Racial%20vilification%20law%20in%20New%20South%20Wales%20-%20Final.pdf" TargetMode="External"/><Relationship Id="rId52" Type="http://schemas.openxmlformats.org/officeDocument/2006/relationships/hyperlink" Target="https://humanrightscommission.vic.gov.au/policy-submissions/item/download/9099_a82ab29e3b37f02adae5f375729d10f6" TargetMode="External"/><Relationship Id="rId4" Type="http://schemas.openxmlformats.org/officeDocument/2006/relationships/hyperlink" Target="https://www.abc.net.au/news/2019-11-18/muslim-women-enduring-most-islamophobia-in-australia/11708376" TargetMode="External"/><Relationship Id="rId9" Type="http://schemas.openxmlformats.org/officeDocument/2006/relationships/hyperlink" Target="https://www.ag.gov.au/Consultations/Pages/religious-freedom-bills-second-exposure-drafts.aspx" TargetMode="External"/><Relationship Id="rId14" Type="http://schemas.openxmlformats.org/officeDocument/2006/relationships/hyperlink" Target="https://www.esafety.gov.au/about-us/who-we-are/our-legislative-functions" TargetMode="External"/><Relationship Id="rId22" Type="http://schemas.openxmlformats.org/officeDocument/2006/relationships/hyperlink" Target="http://www.pewresearch.org/fact-tank/2018/04/09/5-things-to-know-about-bots-on-twitter/" TargetMode="External"/><Relationship Id="rId27" Type="http://schemas.openxmlformats.org/officeDocument/2006/relationships/hyperlink" Target="https://www.monash.edu/__data/assets/pdf_file/0009/1531791/gen17-initial-findings-report-online-version-final-22_3.pdf" TargetMode="External"/><Relationship Id="rId30" Type="http://schemas.openxmlformats.org/officeDocument/2006/relationships/hyperlink" Target="https://www.humanrights.gov.au/our-work/education/face-facts-lesbian-gay-bisexual-trans-and-intersex-people" TargetMode="External"/><Relationship Id="rId35" Type="http://schemas.openxmlformats.org/officeDocument/2006/relationships/hyperlink" Target="https://www.smh.com.au/opinion/the-campaign-against-safe-schools-was-never-about-concern-for-kids-20170417-gvm9lm.html" TargetMode="External"/><Relationship Id="rId43" Type="http://schemas.openxmlformats.org/officeDocument/2006/relationships/hyperlink" Target="https://www.humanrightscommission.vic.gov.au/policy-submissions/item/1763-submission_on_the_gender_equality_bill_exposure_draft" TargetMode="External"/><Relationship Id="rId48" Type="http://schemas.openxmlformats.org/officeDocument/2006/relationships/hyperlink" Target="https://d3n8a8pro7vhmx.cloudfront.net/nswccl/pages/5283/attachments/original/1529392856/NSWCCL_statement_NSW_Vilification_Bill_2018.pdf?1529392856" TargetMode="External"/><Relationship Id="rId56" Type="http://schemas.openxmlformats.org/officeDocument/2006/relationships/hyperlink" Target="https://www.crisconsortium.org/stream-2-updates" TargetMode="External"/><Relationship Id="rId8" Type="http://schemas.openxmlformats.org/officeDocument/2006/relationships/hyperlink" Target="https://resources.judicialcollege.vic.edu.au/article/669236" TargetMode="External"/><Relationship Id="rId51" Type="http://schemas.openxmlformats.org/officeDocument/2006/relationships/hyperlink" Target="https://piac.asn.au/2018/06/22/nsw-reforms-vilification-offences/" TargetMode="External"/><Relationship Id="rId3" Type="http://schemas.openxmlformats.org/officeDocument/2006/relationships/hyperlink" Target="https://www.sbs.com.au/news/anti-semitic-bullying-at-melbourne-schools-prompts-call-for-more-holocaus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A98CD0C890844B3E390BB4C629282" ma:contentTypeVersion="7" ma:contentTypeDescription="Create a new document." ma:contentTypeScope="" ma:versionID="c69f3628385027bff59bd62afdef4014">
  <xsd:schema xmlns:xsd="http://www.w3.org/2001/XMLSchema" xmlns:xs="http://www.w3.org/2001/XMLSchema" xmlns:p="http://schemas.microsoft.com/office/2006/metadata/properties" xmlns:ns3="d295500d-4545-44ad-a159-8b295de75d3b" xmlns:ns4="0aa0a3af-ec13-47e0-ae93-828c083878f2" targetNamespace="http://schemas.microsoft.com/office/2006/metadata/properties" ma:root="true" ma:fieldsID="d44b7824b2b13e9a16d971eb7a397aeb" ns3:_="" ns4:_="">
    <xsd:import namespace="d295500d-4545-44ad-a159-8b295de75d3b"/>
    <xsd:import namespace="0aa0a3af-ec13-47e0-ae93-828c083878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500d-4545-44ad-a159-8b295de75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0a3af-ec13-47e0-ae93-828c083878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BB63-0207-49DA-98BD-933352835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500d-4545-44ad-a159-8b295de75d3b"/>
    <ds:schemaRef ds:uri="0aa0a3af-ec13-47e0-ae93-828c0838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CA4F3-E1E2-4151-9D8F-1E43BB8ECBD2}">
  <ds:schemaRefs>
    <ds:schemaRef ds:uri="http://schemas.microsoft.com/sharepoint/v3/contenttype/forms"/>
  </ds:schemaRefs>
</ds:datastoreItem>
</file>

<file path=customXml/itemProps3.xml><?xml version="1.0" encoding="utf-8"?>
<ds:datastoreItem xmlns:ds="http://schemas.openxmlformats.org/officeDocument/2006/customXml" ds:itemID="{C0D8E767-0FB7-40F9-96D7-1145DFEB1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4769A6-D131-4360-88C6-5940EA8F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36038</Words>
  <Characters>205421</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240978</CharactersWithSpaces>
  <SharedDoc>false</SharedDoc>
  <HLinks>
    <vt:vector size="570" baseType="variant">
      <vt:variant>
        <vt:i4>2293813</vt:i4>
      </vt:variant>
      <vt:variant>
        <vt:i4>213</vt:i4>
      </vt:variant>
      <vt:variant>
        <vt:i4>0</vt:i4>
      </vt:variant>
      <vt:variant>
        <vt:i4>5</vt:i4>
      </vt:variant>
      <vt:variant>
        <vt:lpwstr>http://www.facebook.com/VEOHRC</vt:lpwstr>
      </vt:variant>
      <vt:variant>
        <vt:lpwstr/>
      </vt:variant>
      <vt:variant>
        <vt:i4>5570645</vt:i4>
      </vt:variant>
      <vt:variant>
        <vt:i4>210</vt:i4>
      </vt:variant>
      <vt:variant>
        <vt:i4>0</vt:i4>
      </vt:variant>
      <vt:variant>
        <vt:i4>5</vt:i4>
      </vt:variant>
      <vt:variant>
        <vt:lpwstr>http://www.twitter.com/VEOHRC</vt:lpwstr>
      </vt:variant>
      <vt:variant>
        <vt:lpwstr/>
      </vt:variant>
      <vt:variant>
        <vt:i4>1966080</vt:i4>
      </vt:variant>
      <vt:variant>
        <vt:i4>207</vt:i4>
      </vt:variant>
      <vt:variant>
        <vt:i4>0</vt:i4>
      </vt:variant>
      <vt:variant>
        <vt:i4>5</vt:i4>
      </vt:variant>
      <vt:variant>
        <vt:lpwstr>\\vmware-host\Shared Folders\Projects (Clients)\VEOHRC\1338. MS Word Report Template\Modified Documents\humanrightscommission.vic.gov.au</vt:lpwstr>
      </vt:variant>
      <vt:variant>
        <vt:lpwstr/>
      </vt:variant>
      <vt:variant>
        <vt:i4>3342349</vt:i4>
      </vt:variant>
      <vt:variant>
        <vt:i4>204</vt:i4>
      </vt:variant>
      <vt:variant>
        <vt:i4>0</vt:i4>
      </vt:variant>
      <vt:variant>
        <vt:i4>5</vt:i4>
      </vt:variant>
      <vt:variant>
        <vt:lpwstr>mailto:enquiries@veohrc.vic.gov.au</vt:lpwstr>
      </vt:variant>
      <vt:variant>
        <vt:lpwstr/>
      </vt:variant>
      <vt:variant>
        <vt:i4>1376313</vt:i4>
      </vt:variant>
      <vt:variant>
        <vt:i4>197</vt:i4>
      </vt:variant>
      <vt:variant>
        <vt:i4>0</vt:i4>
      </vt:variant>
      <vt:variant>
        <vt:i4>5</vt:i4>
      </vt:variant>
      <vt:variant>
        <vt:lpwstr/>
      </vt:variant>
      <vt:variant>
        <vt:lpwstr>_Toc30704092</vt:lpwstr>
      </vt:variant>
      <vt:variant>
        <vt:i4>1441849</vt:i4>
      </vt:variant>
      <vt:variant>
        <vt:i4>191</vt:i4>
      </vt:variant>
      <vt:variant>
        <vt:i4>0</vt:i4>
      </vt:variant>
      <vt:variant>
        <vt:i4>5</vt:i4>
      </vt:variant>
      <vt:variant>
        <vt:lpwstr/>
      </vt:variant>
      <vt:variant>
        <vt:lpwstr>_Toc30704091</vt:lpwstr>
      </vt:variant>
      <vt:variant>
        <vt:i4>1507385</vt:i4>
      </vt:variant>
      <vt:variant>
        <vt:i4>185</vt:i4>
      </vt:variant>
      <vt:variant>
        <vt:i4>0</vt:i4>
      </vt:variant>
      <vt:variant>
        <vt:i4>5</vt:i4>
      </vt:variant>
      <vt:variant>
        <vt:lpwstr/>
      </vt:variant>
      <vt:variant>
        <vt:lpwstr>_Toc30704090</vt:lpwstr>
      </vt:variant>
      <vt:variant>
        <vt:i4>1966136</vt:i4>
      </vt:variant>
      <vt:variant>
        <vt:i4>179</vt:i4>
      </vt:variant>
      <vt:variant>
        <vt:i4>0</vt:i4>
      </vt:variant>
      <vt:variant>
        <vt:i4>5</vt:i4>
      </vt:variant>
      <vt:variant>
        <vt:lpwstr/>
      </vt:variant>
      <vt:variant>
        <vt:lpwstr>_Toc30704089</vt:lpwstr>
      </vt:variant>
      <vt:variant>
        <vt:i4>2031672</vt:i4>
      </vt:variant>
      <vt:variant>
        <vt:i4>173</vt:i4>
      </vt:variant>
      <vt:variant>
        <vt:i4>0</vt:i4>
      </vt:variant>
      <vt:variant>
        <vt:i4>5</vt:i4>
      </vt:variant>
      <vt:variant>
        <vt:lpwstr/>
      </vt:variant>
      <vt:variant>
        <vt:lpwstr>_Toc30704088</vt:lpwstr>
      </vt:variant>
      <vt:variant>
        <vt:i4>1048632</vt:i4>
      </vt:variant>
      <vt:variant>
        <vt:i4>167</vt:i4>
      </vt:variant>
      <vt:variant>
        <vt:i4>0</vt:i4>
      </vt:variant>
      <vt:variant>
        <vt:i4>5</vt:i4>
      </vt:variant>
      <vt:variant>
        <vt:lpwstr/>
      </vt:variant>
      <vt:variant>
        <vt:lpwstr>_Toc30704087</vt:lpwstr>
      </vt:variant>
      <vt:variant>
        <vt:i4>1114168</vt:i4>
      </vt:variant>
      <vt:variant>
        <vt:i4>161</vt:i4>
      </vt:variant>
      <vt:variant>
        <vt:i4>0</vt:i4>
      </vt:variant>
      <vt:variant>
        <vt:i4>5</vt:i4>
      </vt:variant>
      <vt:variant>
        <vt:lpwstr/>
      </vt:variant>
      <vt:variant>
        <vt:lpwstr>_Toc30704086</vt:lpwstr>
      </vt:variant>
      <vt:variant>
        <vt:i4>1179704</vt:i4>
      </vt:variant>
      <vt:variant>
        <vt:i4>155</vt:i4>
      </vt:variant>
      <vt:variant>
        <vt:i4>0</vt:i4>
      </vt:variant>
      <vt:variant>
        <vt:i4>5</vt:i4>
      </vt:variant>
      <vt:variant>
        <vt:lpwstr/>
      </vt:variant>
      <vt:variant>
        <vt:lpwstr>_Toc30704085</vt:lpwstr>
      </vt:variant>
      <vt:variant>
        <vt:i4>1245240</vt:i4>
      </vt:variant>
      <vt:variant>
        <vt:i4>149</vt:i4>
      </vt:variant>
      <vt:variant>
        <vt:i4>0</vt:i4>
      </vt:variant>
      <vt:variant>
        <vt:i4>5</vt:i4>
      </vt:variant>
      <vt:variant>
        <vt:lpwstr/>
      </vt:variant>
      <vt:variant>
        <vt:lpwstr>_Toc30704084</vt:lpwstr>
      </vt:variant>
      <vt:variant>
        <vt:i4>1310776</vt:i4>
      </vt:variant>
      <vt:variant>
        <vt:i4>143</vt:i4>
      </vt:variant>
      <vt:variant>
        <vt:i4>0</vt:i4>
      </vt:variant>
      <vt:variant>
        <vt:i4>5</vt:i4>
      </vt:variant>
      <vt:variant>
        <vt:lpwstr/>
      </vt:variant>
      <vt:variant>
        <vt:lpwstr>_Toc30704083</vt:lpwstr>
      </vt:variant>
      <vt:variant>
        <vt:i4>1376312</vt:i4>
      </vt:variant>
      <vt:variant>
        <vt:i4>137</vt:i4>
      </vt:variant>
      <vt:variant>
        <vt:i4>0</vt:i4>
      </vt:variant>
      <vt:variant>
        <vt:i4>5</vt:i4>
      </vt:variant>
      <vt:variant>
        <vt:lpwstr/>
      </vt:variant>
      <vt:variant>
        <vt:lpwstr>_Toc30704082</vt:lpwstr>
      </vt:variant>
      <vt:variant>
        <vt:i4>1441848</vt:i4>
      </vt:variant>
      <vt:variant>
        <vt:i4>131</vt:i4>
      </vt:variant>
      <vt:variant>
        <vt:i4>0</vt:i4>
      </vt:variant>
      <vt:variant>
        <vt:i4>5</vt:i4>
      </vt:variant>
      <vt:variant>
        <vt:lpwstr/>
      </vt:variant>
      <vt:variant>
        <vt:lpwstr>_Toc30704081</vt:lpwstr>
      </vt:variant>
      <vt:variant>
        <vt:i4>1507384</vt:i4>
      </vt:variant>
      <vt:variant>
        <vt:i4>125</vt:i4>
      </vt:variant>
      <vt:variant>
        <vt:i4>0</vt:i4>
      </vt:variant>
      <vt:variant>
        <vt:i4>5</vt:i4>
      </vt:variant>
      <vt:variant>
        <vt:lpwstr/>
      </vt:variant>
      <vt:variant>
        <vt:lpwstr>_Toc30704080</vt:lpwstr>
      </vt:variant>
      <vt:variant>
        <vt:i4>1966135</vt:i4>
      </vt:variant>
      <vt:variant>
        <vt:i4>119</vt:i4>
      </vt:variant>
      <vt:variant>
        <vt:i4>0</vt:i4>
      </vt:variant>
      <vt:variant>
        <vt:i4>5</vt:i4>
      </vt:variant>
      <vt:variant>
        <vt:lpwstr/>
      </vt:variant>
      <vt:variant>
        <vt:lpwstr>_Toc30704079</vt:lpwstr>
      </vt:variant>
      <vt:variant>
        <vt:i4>2031671</vt:i4>
      </vt:variant>
      <vt:variant>
        <vt:i4>113</vt:i4>
      </vt:variant>
      <vt:variant>
        <vt:i4>0</vt:i4>
      </vt:variant>
      <vt:variant>
        <vt:i4>5</vt:i4>
      </vt:variant>
      <vt:variant>
        <vt:lpwstr/>
      </vt:variant>
      <vt:variant>
        <vt:lpwstr>_Toc30704078</vt:lpwstr>
      </vt:variant>
      <vt:variant>
        <vt:i4>1048631</vt:i4>
      </vt:variant>
      <vt:variant>
        <vt:i4>107</vt:i4>
      </vt:variant>
      <vt:variant>
        <vt:i4>0</vt:i4>
      </vt:variant>
      <vt:variant>
        <vt:i4>5</vt:i4>
      </vt:variant>
      <vt:variant>
        <vt:lpwstr/>
      </vt:variant>
      <vt:variant>
        <vt:lpwstr>_Toc30704077</vt:lpwstr>
      </vt:variant>
      <vt:variant>
        <vt:i4>1114167</vt:i4>
      </vt:variant>
      <vt:variant>
        <vt:i4>101</vt:i4>
      </vt:variant>
      <vt:variant>
        <vt:i4>0</vt:i4>
      </vt:variant>
      <vt:variant>
        <vt:i4>5</vt:i4>
      </vt:variant>
      <vt:variant>
        <vt:lpwstr/>
      </vt:variant>
      <vt:variant>
        <vt:lpwstr>_Toc30704076</vt:lpwstr>
      </vt:variant>
      <vt:variant>
        <vt:i4>1179703</vt:i4>
      </vt:variant>
      <vt:variant>
        <vt:i4>95</vt:i4>
      </vt:variant>
      <vt:variant>
        <vt:i4>0</vt:i4>
      </vt:variant>
      <vt:variant>
        <vt:i4>5</vt:i4>
      </vt:variant>
      <vt:variant>
        <vt:lpwstr/>
      </vt:variant>
      <vt:variant>
        <vt:lpwstr>_Toc30704075</vt:lpwstr>
      </vt:variant>
      <vt:variant>
        <vt:i4>1245239</vt:i4>
      </vt:variant>
      <vt:variant>
        <vt:i4>89</vt:i4>
      </vt:variant>
      <vt:variant>
        <vt:i4>0</vt:i4>
      </vt:variant>
      <vt:variant>
        <vt:i4>5</vt:i4>
      </vt:variant>
      <vt:variant>
        <vt:lpwstr/>
      </vt:variant>
      <vt:variant>
        <vt:lpwstr>_Toc30704074</vt:lpwstr>
      </vt:variant>
      <vt:variant>
        <vt:i4>1310775</vt:i4>
      </vt:variant>
      <vt:variant>
        <vt:i4>83</vt:i4>
      </vt:variant>
      <vt:variant>
        <vt:i4>0</vt:i4>
      </vt:variant>
      <vt:variant>
        <vt:i4>5</vt:i4>
      </vt:variant>
      <vt:variant>
        <vt:lpwstr/>
      </vt:variant>
      <vt:variant>
        <vt:lpwstr>_Toc30704073</vt:lpwstr>
      </vt:variant>
      <vt:variant>
        <vt:i4>1376311</vt:i4>
      </vt:variant>
      <vt:variant>
        <vt:i4>77</vt:i4>
      </vt:variant>
      <vt:variant>
        <vt:i4>0</vt:i4>
      </vt:variant>
      <vt:variant>
        <vt:i4>5</vt:i4>
      </vt:variant>
      <vt:variant>
        <vt:lpwstr/>
      </vt:variant>
      <vt:variant>
        <vt:lpwstr>_Toc30704072</vt:lpwstr>
      </vt:variant>
      <vt:variant>
        <vt:i4>1441847</vt:i4>
      </vt:variant>
      <vt:variant>
        <vt:i4>71</vt:i4>
      </vt:variant>
      <vt:variant>
        <vt:i4>0</vt:i4>
      </vt:variant>
      <vt:variant>
        <vt:i4>5</vt:i4>
      </vt:variant>
      <vt:variant>
        <vt:lpwstr/>
      </vt:variant>
      <vt:variant>
        <vt:lpwstr>_Toc30704071</vt:lpwstr>
      </vt:variant>
      <vt:variant>
        <vt:i4>1507383</vt:i4>
      </vt:variant>
      <vt:variant>
        <vt:i4>65</vt:i4>
      </vt:variant>
      <vt:variant>
        <vt:i4>0</vt:i4>
      </vt:variant>
      <vt:variant>
        <vt:i4>5</vt:i4>
      </vt:variant>
      <vt:variant>
        <vt:lpwstr/>
      </vt:variant>
      <vt:variant>
        <vt:lpwstr>_Toc30704070</vt:lpwstr>
      </vt:variant>
      <vt:variant>
        <vt:i4>1966134</vt:i4>
      </vt:variant>
      <vt:variant>
        <vt:i4>59</vt:i4>
      </vt:variant>
      <vt:variant>
        <vt:i4>0</vt:i4>
      </vt:variant>
      <vt:variant>
        <vt:i4>5</vt:i4>
      </vt:variant>
      <vt:variant>
        <vt:lpwstr/>
      </vt:variant>
      <vt:variant>
        <vt:lpwstr>_Toc30704069</vt:lpwstr>
      </vt:variant>
      <vt:variant>
        <vt:i4>2031670</vt:i4>
      </vt:variant>
      <vt:variant>
        <vt:i4>53</vt:i4>
      </vt:variant>
      <vt:variant>
        <vt:i4>0</vt:i4>
      </vt:variant>
      <vt:variant>
        <vt:i4>5</vt:i4>
      </vt:variant>
      <vt:variant>
        <vt:lpwstr/>
      </vt:variant>
      <vt:variant>
        <vt:lpwstr>_Toc30704068</vt:lpwstr>
      </vt:variant>
      <vt:variant>
        <vt:i4>1048630</vt:i4>
      </vt:variant>
      <vt:variant>
        <vt:i4>47</vt:i4>
      </vt:variant>
      <vt:variant>
        <vt:i4>0</vt:i4>
      </vt:variant>
      <vt:variant>
        <vt:i4>5</vt:i4>
      </vt:variant>
      <vt:variant>
        <vt:lpwstr/>
      </vt:variant>
      <vt:variant>
        <vt:lpwstr>_Toc30704067</vt:lpwstr>
      </vt:variant>
      <vt:variant>
        <vt:i4>1114166</vt:i4>
      </vt:variant>
      <vt:variant>
        <vt:i4>41</vt:i4>
      </vt:variant>
      <vt:variant>
        <vt:i4>0</vt:i4>
      </vt:variant>
      <vt:variant>
        <vt:i4>5</vt:i4>
      </vt:variant>
      <vt:variant>
        <vt:lpwstr/>
      </vt:variant>
      <vt:variant>
        <vt:lpwstr>_Toc30704066</vt:lpwstr>
      </vt:variant>
      <vt:variant>
        <vt:i4>1179702</vt:i4>
      </vt:variant>
      <vt:variant>
        <vt:i4>35</vt:i4>
      </vt:variant>
      <vt:variant>
        <vt:i4>0</vt:i4>
      </vt:variant>
      <vt:variant>
        <vt:i4>5</vt:i4>
      </vt:variant>
      <vt:variant>
        <vt:lpwstr/>
      </vt:variant>
      <vt:variant>
        <vt:lpwstr>_Toc30704065</vt:lpwstr>
      </vt:variant>
      <vt:variant>
        <vt:i4>1245238</vt:i4>
      </vt:variant>
      <vt:variant>
        <vt:i4>29</vt:i4>
      </vt:variant>
      <vt:variant>
        <vt:i4>0</vt:i4>
      </vt:variant>
      <vt:variant>
        <vt:i4>5</vt:i4>
      </vt:variant>
      <vt:variant>
        <vt:lpwstr/>
      </vt:variant>
      <vt:variant>
        <vt:lpwstr>_Toc30704064</vt:lpwstr>
      </vt:variant>
      <vt:variant>
        <vt:i4>1310774</vt:i4>
      </vt:variant>
      <vt:variant>
        <vt:i4>23</vt:i4>
      </vt:variant>
      <vt:variant>
        <vt:i4>0</vt:i4>
      </vt:variant>
      <vt:variant>
        <vt:i4>5</vt:i4>
      </vt:variant>
      <vt:variant>
        <vt:lpwstr/>
      </vt:variant>
      <vt:variant>
        <vt:lpwstr>_Toc30704063</vt:lpwstr>
      </vt:variant>
      <vt:variant>
        <vt:i4>1376310</vt:i4>
      </vt:variant>
      <vt:variant>
        <vt:i4>17</vt:i4>
      </vt:variant>
      <vt:variant>
        <vt:i4>0</vt:i4>
      </vt:variant>
      <vt:variant>
        <vt:i4>5</vt:i4>
      </vt:variant>
      <vt:variant>
        <vt:lpwstr/>
      </vt:variant>
      <vt:variant>
        <vt:lpwstr>_Toc30704062</vt:lpwstr>
      </vt:variant>
      <vt:variant>
        <vt:i4>1441846</vt:i4>
      </vt:variant>
      <vt:variant>
        <vt:i4>11</vt:i4>
      </vt:variant>
      <vt:variant>
        <vt:i4>0</vt:i4>
      </vt:variant>
      <vt:variant>
        <vt:i4>5</vt:i4>
      </vt:variant>
      <vt:variant>
        <vt:lpwstr/>
      </vt:variant>
      <vt:variant>
        <vt:lpwstr>_Toc30704061</vt:lpwstr>
      </vt:variant>
      <vt:variant>
        <vt:i4>7995457</vt:i4>
      </vt:variant>
      <vt:variant>
        <vt:i4>6</vt:i4>
      </vt:variant>
      <vt:variant>
        <vt:i4>0</vt:i4>
      </vt:variant>
      <vt:variant>
        <vt:i4>5</vt:i4>
      </vt:variant>
      <vt:variant>
        <vt:lpwstr>\\vmware-host\Shared Folders\Projects (Clients)\VEOHRC\1338. MS Word Report Template\Modified Documents\humanrightscommission.vic.gov.au\resources</vt:lpwstr>
      </vt:variant>
      <vt:variant>
        <vt:lpwstr/>
      </vt:variant>
      <vt:variant>
        <vt:i4>1966080</vt:i4>
      </vt:variant>
      <vt:variant>
        <vt:i4>3</vt:i4>
      </vt:variant>
      <vt:variant>
        <vt:i4>0</vt:i4>
      </vt:variant>
      <vt:variant>
        <vt:i4>5</vt:i4>
      </vt:variant>
      <vt:variant>
        <vt:lpwstr>\\vmware-host\Shared Folders\Projects (Clients)\VEOHRC\1338. MS Word Report Template\Modified Documents\humanrightscommission.vic.gov.au</vt:lpwstr>
      </vt:variant>
      <vt:variant>
        <vt:lpwstr/>
      </vt:variant>
      <vt:variant>
        <vt:i4>3342349</vt:i4>
      </vt:variant>
      <vt:variant>
        <vt:i4>0</vt:i4>
      </vt:variant>
      <vt:variant>
        <vt:i4>0</vt:i4>
      </vt:variant>
      <vt:variant>
        <vt:i4>5</vt:i4>
      </vt:variant>
      <vt:variant>
        <vt:lpwstr>mailto:enquiries@veohrc.vic.gov.au</vt:lpwstr>
      </vt:variant>
      <vt:variant>
        <vt:lpwstr/>
      </vt:variant>
      <vt:variant>
        <vt:i4>3997743</vt:i4>
      </vt:variant>
      <vt:variant>
        <vt:i4>0</vt:i4>
      </vt:variant>
      <vt:variant>
        <vt:i4>0</vt:i4>
      </vt:variant>
      <vt:variant>
        <vt:i4>5</vt:i4>
      </vt:variant>
      <vt:variant>
        <vt:lpwstr>https://www.aph.gov.au/Parliamentary_Business/Committees/Joint/Human_Rights_inquiries/FreedomspeechAustralia/~/media/Committees/humanrights_ctte/FreedomspeechAustralia/report.pdf</vt:lpwstr>
      </vt:variant>
      <vt:variant>
        <vt:lpwstr/>
      </vt:variant>
      <vt:variant>
        <vt:i4>7864380</vt:i4>
      </vt:variant>
      <vt:variant>
        <vt:i4>168</vt:i4>
      </vt:variant>
      <vt:variant>
        <vt:i4>0</vt:i4>
      </vt:variant>
      <vt:variant>
        <vt:i4>5</vt:i4>
      </vt:variant>
      <vt:variant>
        <vt:lpwstr>http://hatecrime.osce.org/united-kingdom?year=2018</vt:lpwstr>
      </vt:variant>
      <vt:variant>
        <vt:lpwstr/>
      </vt:variant>
      <vt:variant>
        <vt:i4>65568</vt:i4>
      </vt:variant>
      <vt:variant>
        <vt:i4>165</vt:i4>
      </vt:variant>
      <vt:variant>
        <vt:i4>0</vt:i4>
      </vt:variant>
      <vt:variant>
        <vt:i4>5</vt:i4>
      </vt:variant>
      <vt:variant>
        <vt:lpwstr>https://www.humanrightscommission.vic.gov.au/human-rights/charter-submissions/item/download/9123_42363ccc03abdf8e5e3497d873787c27</vt:lpwstr>
      </vt:variant>
      <vt:variant>
        <vt:lpwstr/>
      </vt:variant>
      <vt:variant>
        <vt:i4>8126552</vt:i4>
      </vt:variant>
      <vt:variant>
        <vt:i4>162</vt:i4>
      </vt:variant>
      <vt:variant>
        <vt:i4>0</vt:i4>
      </vt:variant>
      <vt:variant>
        <vt:i4>5</vt:i4>
      </vt:variant>
      <vt:variant>
        <vt:lpwstr>https://www.humanrightscommission.vic.gov.au/home/our-resources-and-publications/reports/item/download/9104_4a3369277ca0434000600ad8bfe81b4a</vt:lpwstr>
      </vt:variant>
      <vt:variant>
        <vt:lpwstr/>
      </vt:variant>
      <vt:variant>
        <vt:i4>1048649</vt:i4>
      </vt:variant>
      <vt:variant>
        <vt:i4>159</vt:i4>
      </vt:variant>
      <vt:variant>
        <vt:i4>0</vt:i4>
      </vt:variant>
      <vt:variant>
        <vt:i4>5</vt:i4>
      </vt:variant>
      <vt:variant>
        <vt:lpwstr>https://www.police.vic.gov.au/prejudice-and-racial-and-religious-vilification</vt:lpwstr>
      </vt:variant>
      <vt:variant>
        <vt:lpwstr/>
      </vt:variant>
      <vt:variant>
        <vt:i4>2555973</vt:i4>
      </vt:variant>
      <vt:variant>
        <vt:i4>156</vt:i4>
      </vt:variant>
      <vt:variant>
        <vt:i4>0</vt:i4>
      </vt:variant>
      <vt:variant>
        <vt:i4>5</vt:i4>
      </vt:variant>
      <vt:variant>
        <vt:lpwstr>https://humanrightscommission.vic.gov.au/policy-submissions/item/download/9099_a82ab29e3b37f02adae5f375729d10f6</vt:lpwstr>
      </vt:variant>
      <vt:variant>
        <vt:lpwstr/>
      </vt:variant>
      <vt:variant>
        <vt:i4>4784201</vt:i4>
      </vt:variant>
      <vt:variant>
        <vt:i4>153</vt:i4>
      </vt:variant>
      <vt:variant>
        <vt:i4>0</vt:i4>
      </vt:variant>
      <vt:variant>
        <vt:i4>5</vt:i4>
      </vt:variant>
      <vt:variant>
        <vt:lpwstr>https://piac.asn.au/2018/06/22/nsw-reforms-vilification-offences/</vt:lpwstr>
      </vt:variant>
      <vt:variant>
        <vt:lpwstr/>
      </vt:variant>
      <vt:variant>
        <vt:i4>5636126</vt:i4>
      </vt:variant>
      <vt:variant>
        <vt:i4>150</vt:i4>
      </vt:variant>
      <vt:variant>
        <vt:i4>0</vt:i4>
      </vt:variant>
      <vt:variant>
        <vt:i4>5</vt:i4>
      </vt:variant>
      <vt:variant>
        <vt:lpwstr>https://www.abc.net.au/news/2018-06-21/race-hate-laws-pass-nsw-parliament/9893172</vt:lpwstr>
      </vt:variant>
      <vt:variant>
        <vt:lpwstr/>
      </vt:variant>
      <vt:variant>
        <vt:i4>7602292</vt:i4>
      </vt:variant>
      <vt:variant>
        <vt:i4>147</vt:i4>
      </vt:variant>
      <vt:variant>
        <vt:i4>0</vt:i4>
      </vt:variant>
      <vt:variant>
        <vt:i4>5</vt:i4>
      </vt:variant>
      <vt:variant>
        <vt:lpwstr>https://rlc.org.au/article/new-nsw-laws-prevent-incitement-violence</vt:lpwstr>
      </vt:variant>
      <vt:variant>
        <vt:lpwstr/>
      </vt:variant>
      <vt:variant>
        <vt:i4>65598</vt:i4>
      </vt:variant>
      <vt:variant>
        <vt:i4>144</vt:i4>
      </vt:variant>
      <vt:variant>
        <vt:i4>0</vt:i4>
      </vt:variant>
      <vt:variant>
        <vt:i4>5</vt:i4>
      </vt:variant>
      <vt:variant>
        <vt:lpwstr>https://d3n8a8pro7vhmx.cloudfront.net/nswccl/pages/5283/attachments/original/1529392856/NSWCCL_statement_NSW_Vilification_Bill_2018.pdf?1529392856</vt:lpwstr>
      </vt:variant>
      <vt:variant>
        <vt:lpwstr/>
      </vt:variant>
      <vt:variant>
        <vt:i4>7471202</vt:i4>
      </vt:variant>
      <vt:variant>
        <vt:i4>141</vt:i4>
      </vt:variant>
      <vt:variant>
        <vt:i4>0</vt:i4>
      </vt:variant>
      <vt:variant>
        <vt:i4>5</vt:i4>
      </vt:variant>
      <vt:variant>
        <vt:lpwstr>https://glrl.org.au/2018/06/21/nsw-government-signals-reforms-to-states-vilification-laws-to-protect-all-lgbti-people/</vt:lpwstr>
      </vt:variant>
      <vt:variant>
        <vt:lpwstr/>
      </vt:variant>
      <vt:variant>
        <vt:i4>4784201</vt:i4>
      </vt:variant>
      <vt:variant>
        <vt:i4>138</vt:i4>
      </vt:variant>
      <vt:variant>
        <vt:i4>0</vt:i4>
      </vt:variant>
      <vt:variant>
        <vt:i4>5</vt:i4>
      </vt:variant>
      <vt:variant>
        <vt:lpwstr>https://piac.asn.au/2018/06/22/nsw-reforms-vilification-offences/</vt:lpwstr>
      </vt:variant>
      <vt:variant>
        <vt:lpwstr/>
      </vt:variant>
      <vt:variant>
        <vt:i4>6029321</vt:i4>
      </vt:variant>
      <vt:variant>
        <vt:i4>135</vt:i4>
      </vt:variant>
      <vt:variant>
        <vt:i4>0</vt:i4>
      </vt:variant>
      <vt:variant>
        <vt:i4>5</vt:i4>
      </vt:variant>
      <vt:variant>
        <vt:lpwstr>https://www.hrlc.org.au/news/2018/6/7/new-south-wales-introduces-broader-protections-from-hate-crime</vt:lpwstr>
      </vt:variant>
      <vt:variant>
        <vt:lpwstr/>
      </vt:variant>
      <vt:variant>
        <vt:i4>6488127</vt:i4>
      </vt:variant>
      <vt:variant>
        <vt:i4>132</vt:i4>
      </vt:variant>
      <vt:variant>
        <vt:i4>0</vt:i4>
      </vt:variant>
      <vt:variant>
        <vt:i4>5</vt:i4>
      </vt:variant>
      <vt:variant>
        <vt:lpwstr>https://www.parliament.nsw.gov.au/lcdocs/inquiries/2260/Racial vilification law in New South Wales - Final.pdf</vt:lpwstr>
      </vt:variant>
      <vt:variant>
        <vt:lpwstr/>
      </vt:variant>
      <vt:variant>
        <vt:i4>2883598</vt:i4>
      </vt:variant>
      <vt:variant>
        <vt:i4>129</vt:i4>
      </vt:variant>
      <vt:variant>
        <vt:i4>0</vt:i4>
      </vt:variant>
      <vt:variant>
        <vt:i4>5</vt:i4>
      </vt:variant>
      <vt:variant>
        <vt:lpwstr>https://www.humanrightscommission.vic.gov.au/policy-submissions/item/1763-submission_on_the_gender_equality_bill_exposure_draft</vt:lpwstr>
      </vt:variant>
      <vt:variant>
        <vt:lpwstr/>
      </vt:variant>
      <vt:variant>
        <vt:i4>2621472</vt:i4>
      </vt:variant>
      <vt:variant>
        <vt:i4>126</vt:i4>
      </vt:variant>
      <vt:variant>
        <vt:i4>0</vt:i4>
      </vt:variant>
      <vt:variant>
        <vt:i4>5</vt:i4>
      </vt:variant>
      <vt:variant>
        <vt:lpwstr>https://www.parliament.nsw.gov.au/lcdocs/submissions/36180/0036 Prof Rice and Prof Rees.pdf</vt:lpwstr>
      </vt:variant>
      <vt:variant>
        <vt:lpwstr/>
      </vt:variant>
      <vt:variant>
        <vt:i4>4653072</vt:i4>
      </vt:variant>
      <vt:variant>
        <vt:i4>123</vt:i4>
      </vt:variant>
      <vt:variant>
        <vt:i4>0</vt:i4>
      </vt:variant>
      <vt:variant>
        <vt:i4>5</vt:i4>
      </vt:variant>
      <vt:variant>
        <vt:lpwstr>https://www.smh.com.au/national/three-charged-over-vic-race-hate-attack-20070306-wa.html</vt:lpwstr>
      </vt:variant>
      <vt:variant>
        <vt:lpwstr/>
      </vt:variant>
      <vt:variant>
        <vt:i4>2097205</vt:i4>
      </vt:variant>
      <vt:variant>
        <vt:i4>120</vt:i4>
      </vt:variant>
      <vt:variant>
        <vt:i4>0</vt:i4>
      </vt:variant>
      <vt:variant>
        <vt:i4>5</vt:i4>
      </vt:variant>
      <vt:variant>
        <vt:lpwstr>https://www.theage.com.au/national/victoria/man-jailed-for-racist-bus-rant-20140117-30zyx.html</vt:lpwstr>
      </vt:variant>
      <vt:variant>
        <vt:lpwstr>ixzz3swMOnTcc</vt:lpwstr>
      </vt:variant>
      <vt:variant>
        <vt:i4>1310740</vt:i4>
      </vt:variant>
      <vt:variant>
        <vt:i4>117</vt:i4>
      </vt:variant>
      <vt:variant>
        <vt:i4>0</vt:i4>
      </vt:variant>
      <vt:variant>
        <vt:i4>5</vt:i4>
      </vt:variant>
      <vt:variant>
        <vt:lpwstr>https://www.theage.com.au/national/victoria/shocking-video-emerges-after-two-women-and-child-racially-abused-on-melbourne-train-20190113-p50r56.html</vt:lpwstr>
      </vt:variant>
      <vt:variant>
        <vt:lpwstr/>
      </vt:variant>
      <vt:variant>
        <vt:i4>4653150</vt:i4>
      </vt:variant>
      <vt:variant>
        <vt:i4>114</vt:i4>
      </vt:variant>
      <vt:variant>
        <vt:i4>0</vt:i4>
      </vt:variant>
      <vt:variant>
        <vt:i4>5</vt:i4>
      </vt:variant>
      <vt:variant>
        <vt:lpwstr>https://www.genvic.org.au/wp-content/uploads/2019/10/GV_MEAA_PolicyDoc_V5_WEB.pdf</vt:lpwstr>
      </vt:variant>
      <vt:variant>
        <vt:lpwstr/>
      </vt:variant>
      <vt:variant>
        <vt:i4>3932195</vt:i4>
      </vt:variant>
      <vt:variant>
        <vt:i4>111</vt:i4>
      </vt:variant>
      <vt:variant>
        <vt:i4>0</vt:i4>
      </vt:variant>
      <vt:variant>
        <vt:i4>5</vt:i4>
      </vt:variant>
      <vt:variant>
        <vt:lpwstr>https://equalityaustralia.org.au/civil-society-condemns-draft-religious-discrimination-act/</vt:lpwstr>
      </vt:variant>
      <vt:variant>
        <vt:lpwstr/>
      </vt:variant>
      <vt:variant>
        <vt:i4>2359335</vt:i4>
      </vt:variant>
      <vt:variant>
        <vt:i4>108</vt:i4>
      </vt:variant>
      <vt:variant>
        <vt:i4>0</vt:i4>
      </vt:variant>
      <vt:variant>
        <vt:i4>5</vt:i4>
      </vt:variant>
      <vt:variant>
        <vt:lpwstr>https://theconversation.com/victorian-changes-to-gender-on-birth-certificate-will-not-increase-sexual-violence-heres-why-122125</vt:lpwstr>
      </vt:variant>
      <vt:variant>
        <vt:lpwstr/>
      </vt:variant>
      <vt:variant>
        <vt:i4>2687009</vt:i4>
      </vt:variant>
      <vt:variant>
        <vt:i4>105</vt:i4>
      </vt:variant>
      <vt:variant>
        <vt:i4>0</vt:i4>
      </vt:variant>
      <vt:variant>
        <vt:i4>5</vt:i4>
      </vt:variant>
      <vt:variant>
        <vt:lpwstr>https://www.smh.com.au/opinion/the-campaign-against-safe-schools-was-never-about-concern-for-kids-20170417-gvm9lm.html</vt:lpwstr>
      </vt:variant>
      <vt:variant>
        <vt:lpwstr/>
      </vt:variant>
      <vt:variant>
        <vt:i4>393307</vt:i4>
      </vt:variant>
      <vt:variant>
        <vt:i4>102</vt:i4>
      </vt:variant>
      <vt:variant>
        <vt:i4>0</vt:i4>
      </vt:variant>
      <vt:variant>
        <vt:i4>5</vt:i4>
      </vt:variant>
      <vt:variant>
        <vt:lpwstr>https://www.vichealth.vic.gov.au/-/media/ResourceCentre/PublicationsandResources/Discrimination/Mental-health-impacts_racial-discrim_Indigenous.pdf?la=en&amp;hash=AE2B376D4497D0D0C8F8B6EFEF03E33763328FA8</vt:lpwstr>
      </vt:variant>
      <vt:variant>
        <vt:lpwstr/>
      </vt:variant>
      <vt:variant>
        <vt:i4>5308421</vt:i4>
      </vt:variant>
      <vt:variant>
        <vt:i4>99</vt:i4>
      </vt:variant>
      <vt:variant>
        <vt:i4>0</vt:i4>
      </vt:variant>
      <vt:variant>
        <vt:i4>5</vt:i4>
      </vt:variant>
      <vt:variant>
        <vt:lpwstr>https://www.abc.net.au/religion/turning-back-the-tide-of-antisemitic-abuse-of-jewish-school-stu/11734352</vt:lpwstr>
      </vt:variant>
      <vt:variant>
        <vt:lpwstr/>
      </vt:variant>
      <vt:variant>
        <vt:i4>2228318</vt:i4>
      </vt:variant>
      <vt:variant>
        <vt:i4>96</vt:i4>
      </vt:variant>
      <vt:variant>
        <vt:i4>0</vt:i4>
      </vt:variant>
      <vt:variant>
        <vt:i4>5</vt:i4>
      </vt:variant>
      <vt:variant>
        <vt:lpwstr>https://www.abs.gov.au/ausstats/abs@.nsf/Lookup/by Subject/4906.0~2016~Main Features~Feelings of General Safety~10005</vt:lpwstr>
      </vt:variant>
      <vt:variant>
        <vt:lpwstr/>
      </vt:variant>
      <vt:variant>
        <vt:i4>917522</vt:i4>
      </vt:variant>
      <vt:variant>
        <vt:i4>93</vt:i4>
      </vt:variant>
      <vt:variant>
        <vt:i4>0</vt:i4>
      </vt:variant>
      <vt:variant>
        <vt:i4>5</vt:i4>
      </vt:variant>
      <vt:variant>
        <vt:lpwstr>https://www.amnesty.org.au/australia-poll-reveals-alarming-impact-online-abuse-women/</vt:lpwstr>
      </vt:variant>
      <vt:variant>
        <vt:lpwstr/>
      </vt:variant>
      <vt:variant>
        <vt:i4>1835044</vt:i4>
      </vt:variant>
      <vt:variant>
        <vt:i4>90</vt:i4>
      </vt:variant>
      <vt:variant>
        <vt:i4>0</vt:i4>
      </vt:variant>
      <vt:variant>
        <vt:i4>5</vt:i4>
      </vt:variant>
      <vt:variant>
        <vt:lpwstr>https://d2rn9gno7zhxqg.cloudfront.net/wp-content/uploads/2019/02/19025411/ANROWS_NCAS_Summary_Report.pdf</vt:lpwstr>
      </vt:variant>
      <vt:variant>
        <vt:lpwstr/>
      </vt:variant>
      <vt:variant>
        <vt:i4>5898293</vt:i4>
      </vt:variant>
      <vt:variant>
        <vt:i4>87</vt:i4>
      </vt:variant>
      <vt:variant>
        <vt:i4>0</vt:i4>
      </vt:variant>
      <vt:variant>
        <vt:i4>5</vt:i4>
      </vt:variant>
      <vt:variant>
        <vt:lpwstr>https://www.abs.gov.au/ausstats/abs@.nsf/mf/4906.0</vt:lpwstr>
      </vt:variant>
      <vt:variant>
        <vt:lpwstr/>
      </vt:variant>
      <vt:variant>
        <vt:i4>917522</vt:i4>
      </vt:variant>
      <vt:variant>
        <vt:i4>84</vt:i4>
      </vt:variant>
      <vt:variant>
        <vt:i4>0</vt:i4>
      </vt:variant>
      <vt:variant>
        <vt:i4>5</vt:i4>
      </vt:variant>
      <vt:variant>
        <vt:lpwstr>https://www.amnesty.org.au/australia-poll-reveals-alarming-impact-online-abuse-women/</vt:lpwstr>
      </vt:variant>
      <vt:variant>
        <vt:lpwstr/>
      </vt:variant>
      <vt:variant>
        <vt:i4>7536767</vt:i4>
      </vt:variant>
      <vt:variant>
        <vt:i4>81</vt:i4>
      </vt:variant>
      <vt:variant>
        <vt:i4>0</vt:i4>
      </vt:variant>
      <vt:variant>
        <vt:i4>5</vt:i4>
      </vt:variant>
      <vt:variant>
        <vt:lpwstr>https://www.humanrights.gov.au/our-work/education/face-facts-lesbian-gay-bisexual-trans-and-intersex-people</vt:lpwstr>
      </vt:variant>
      <vt:variant>
        <vt:lpwstr/>
      </vt:variant>
      <vt:variant>
        <vt:i4>7405613</vt:i4>
      </vt:variant>
      <vt:variant>
        <vt:i4>72</vt:i4>
      </vt:variant>
      <vt:variant>
        <vt:i4>0</vt:i4>
      </vt:variant>
      <vt:variant>
        <vt:i4>5</vt:i4>
      </vt:variant>
      <vt:variant>
        <vt:lpwstr>https://www.cmy.net.au/sites/default/files/publication-documents/Don%27t Drag Me Into This - Research Report Oct 2018 FINAL.pdf</vt:lpwstr>
      </vt:variant>
      <vt:variant>
        <vt:lpwstr/>
      </vt:variant>
      <vt:variant>
        <vt:i4>5046281</vt:i4>
      </vt:variant>
      <vt:variant>
        <vt:i4>69</vt:i4>
      </vt:variant>
      <vt:variant>
        <vt:i4>0</vt:i4>
      </vt:variant>
      <vt:variant>
        <vt:i4>5</vt:i4>
      </vt:variant>
      <vt:variant>
        <vt:lpwstr>https://www.monash.edu/__data/assets/pdf_file/0009/1531791/gen17-initial-findings-report-online-version-final-22_3.pdf</vt:lpwstr>
      </vt:variant>
      <vt:variant>
        <vt:lpwstr/>
      </vt:variant>
      <vt:variant>
        <vt:i4>8323173</vt:i4>
      </vt:variant>
      <vt:variant>
        <vt:i4>66</vt:i4>
      </vt:variant>
      <vt:variant>
        <vt:i4>0</vt:i4>
      </vt:variant>
      <vt:variant>
        <vt:i4>5</vt:i4>
      </vt:variant>
      <vt:variant>
        <vt:lpwstr>http://ohpi.org.au/anti-muslim-hate-interim-report/</vt:lpwstr>
      </vt:variant>
      <vt:variant>
        <vt:lpwstr/>
      </vt:variant>
      <vt:variant>
        <vt:i4>1507441</vt:i4>
      </vt:variant>
      <vt:variant>
        <vt:i4>63</vt:i4>
      </vt:variant>
      <vt:variant>
        <vt:i4>0</vt:i4>
      </vt:variant>
      <vt:variant>
        <vt:i4>5</vt:i4>
      </vt:variant>
      <vt:variant>
        <vt:lpwstr>https://www.abs.gov.au/AUSSTATS/abs@.nsf/DetailsPage/4714.02014-15?OpenDocument</vt:lpwstr>
      </vt:variant>
      <vt:variant>
        <vt:lpwstr/>
      </vt:variant>
      <vt:variant>
        <vt:i4>4653076</vt:i4>
      </vt:variant>
      <vt:variant>
        <vt:i4>60</vt:i4>
      </vt:variant>
      <vt:variant>
        <vt:i4>0</vt:i4>
      </vt:variant>
      <vt:variant>
        <vt:i4>5</vt:i4>
      </vt:variant>
      <vt:variant>
        <vt:lpwstr>https://www.humanrightscommission.vic.gov.au/media/k2/attachments/Reporting_Racism_Web_low_res.pdf</vt:lpwstr>
      </vt:variant>
      <vt:variant>
        <vt:lpwstr/>
      </vt:variant>
      <vt:variant>
        <vt:i4>7733335</vt:i4>
      </vt:variant>
      <vt:variant>
        <vt:i4>57</vt:i4>
      </vt:variant>
      <vt:variant>
        <vt:i4>0</vt:i4>
      </vt:variant>
      <vt:variant>
        <vt:i4>5</vt:i4>
      </vt:variant>
      <vt:variant>
        <vt:lpwstr>https://www.humanrightscommission.vic.gov.au/home/about-us/action-plans/item/download/9045_6f472685b931abd99794f22200055bdd</vt:lpwstr>
      </vt:variant>
      <vt:variant>
        <vt:lpwstr/>
      </vt:variant>
      <vt:variant>
        <vt:i4>3473524</vt:i4>
      </vt:variant>
      <vt:variant>
        <vt:i4>54</vt:i4>
      </vt:variant>
      <vt:variant>
        <vt:i4>0</vt:i4>
      </vt:variant>
      <vt:variant>
        <vt:i4>5</vt:i4>
      </vt:variant>
      <vt:variant>
        <vt:lpwstr>https://www.esafety.gov.au/about-us/research/young-people-social-cohesion/online-hate-bullying-violence</vt:lpwstr>
      </vt:variant>
      <vt:variant>
        <vt:lpwstr/>
      </vt:variant>
      <vt:variant>
        <vt:i4>3604589</vt:i4>
      </vt:variant>
      <vt:variant>
        <vt:i4>51</vt:i4>
      </vt:variant>
      <vt:variant>
        <vt:i4>0</vt:i4>
      </vt:variant>
      <vt:variant>
        <vt:i4>5</vt:i4>
      </vt:variant>
      <vt:variant>
        <vt:lpwstr>http://www.pewresearch.org/fact-tank/2018/04/09/5-things-to-know-about-bots-on-twitter/</vt:lpwstr>
      </vt:variant>
      <vt:variant>
        <vt:lpwstr/>
      </vt:variant>
      <vt:variant>
        <vt:i4>1441816</vt:i4>
      </vt:variant>
      <vt:variant>
        <vt:i4>48</vt:i4>
      </vt:variant>
      <vt:variant>
        <vt:i4>0</vt:i4>
      </vt:variant>
      <vt:variant>
        <vt:i4>5</vt:i4>
      </vt:variant>
      <vt:variant>
        <vt:lpwstr>https://www.wsj.com/articles/its-hard-to-spot-the-terrorists-among-the-trolls-11552685615</vt:lpwstr>
      </vt:variant>
      <vt:variant>
        <vt:lpwstr/>
      </vt:variant>
      <vt:variant>
        <vt:i4>4456535</vt:i4>
      </vt:variant>
      <vt:variant>
        <vt:i4>45</vt:i4>
      </vt:variant>
      <vt:variant>
        <vt:i4>0</vt:i4>
      </vt:variant>
      <vt:variant>
        <vt:i4>5</vt:i4>
      </vt:variant>
      <vt:variant>
        <vt:lpwstr>https://www.esafety.gov.au/sites/default/files/2019-07/Image-based-abuse-national-survey-summary-report-2017.pdf</vt:lpwstr>
      </vt:variant>
      <vt:variant>
        <vt:lpwstr/>
      </vt:variant>
      <vt:variant>
        <vt:i4>4259960</vt:i4>
      </vt:variant>
      <vt:variant>
        <vt:i4>42</vt:i4>
      </vt:variant>
      <vt:variant>
        <vt:i4>0</vt:i4>
      </vt:variant>
      <vt:variant>
        <vt:i4>5</vt:i4>
      </vt:variant>
      <vt:variant>
        <vt:lpwstr>https://www.tai.org.au/sites/default/files/P530 Trolls and polls - surveying economic costs of cyberhate %255bWEB%255d_1.pdf</vt:lpwstr>
      </vt:variant>
      <vt:variant>
        <vt:lpwstr/>
      </vt:variant>
      <vt:variant>
        <vt:i4>917522</vt:i4>
      </vt:variant>
      <vt:variant>
        <vt:i4>39</vt:i4>
      </vt:variant>
      <vt:variant>
        <vt:i4>0</vt:i4>
      </vt:variant>
      <vt:variant>
        <vt:i4>5</vt:i4>
      </vt:variant>
      <vt:variant>
        <vt:lpwstr>https://www.amnesty.org.au/australia-poll-reveals-alarming-impact-online-abuse-women/</vt:lpwstr>
      </vt:variant>
      <vt:variant>
        <vt:lpwstr/>
      </vt:variant>
      <vt:variant>
        <vt:i4>983042</vt:i4>
      </vt:variant>
      <vt:variant>
        <vt:i4>36</vt:i4>
      </vt:variant>
      <vt:variant>
        <vt:i4>0</vt:i4>
      </vt:variant>
      <vt:variant>
        <vt:i4>5</vt:i4>
      </vt:variant>
      <vt:variant>
        <vt:lpwstr>https://www.acma.gov.au/sites/default/files/2019-08/Communications report 2017-18.pdf</vt:lpwstr>
      </vt:variant>
      <vt:variant>
        <vt:lpwstr/>
      </vt:variant>
      <vt:variant>
        <vt:i4>1769562</vt:i4>
      </vt:variant>
      <vt:variant>
        <vt:i4>33</vt:i4>
      </vt:variant>
      <vt:variant>
        <vt:i4>0</vt:i4>
      </vt:variant>
      <vt:variant>
        <vt:i4>5</vt:i4>
      </vt:variant>
      <vt:variant>
        <vt:lpwstr>https://scanloninstitute.org.au/sites/default/files/2019-11/Mapping Social Cohesion 2019.pdf</vt:lpwstr>
      </vt:variant>
      <vt:variant>
        <vt:lpwstr/>
      </vt:variant>
      <vt:variant>
        <vt:i4>7209077</vt:i4>
      </vt:variant>
      <vt:variant>
        <vt:i4>30</vt:i4>
      </vt:variant>
      <vt:variant>
        <vt:i4>0</vt:i4>
      </vt:variant>
      <vt:variant>
        <vt:i4>5</vt:i4>
      </vt:variant>
      <vt:variant>
        <vt:lpwstr>https://www.abc.net.au/news/2019-10-08/white-supremacist-neo-nazi-concert-in-melbourne-to-go-ahead/11582120</vt:lpwstr>
      </vt:variant>
      <vt:variant>
        <vt:lpwstr/>
      </vt:variant>
      <vt:variant>
        <vt:i4>8257570</vt:i4>
      </vt:variant>
      <vt:variant>
        <vt:i4>27</vt:i4>
      </vt:variant>
      <vt:variant>
        <vt:i4>0</vt:i4>
      </vt:variant>
      <vt:variant>
        <vt:i4>5</vt:i4>
      </vt:variant>
      <vt:variant>
        <vt:lpwstr>https://www.abc.net.au/news/2020-01-14/nazi-flag-flown-in-north-west-victorian-town-of-beulah/11866096</vt:lpwstr>
      </vt:variant>
      <vt:variant>
        <vt:lpwstr/>
      </vt:variant>
      <vt:variant>
        <vt:i4>7995514</vt:i4>
      </vt:variant>
      <vt:variant>
        <vt:i4>24</vt:i4>
      </vt:variant>
      <vt:variant>
        <vt:i4>0</vt:i4>
      </vt:variant>
      <vt:variant>
        <vt:i4>5</vt:i4>
      </vt:variant>
      <vt:variant>
        <vt:lpwstr>https://assets.publishing.service.gov.uk/government/uploads/system/uploads/attachment_data/file/793360/Online_Harms_White_Paper.pdf</vt:lpwstr>
      </vt:variant>
      <vt:variant>
        <vt:lpwstr/>
      </vt:variant>
      <vt:variant>
        <vt:i4>6226007</vt:i4>
      </vt:variant>
      <vt:variant>
        <vt:i4>21</vt:i4>
      </vt:variant>
      <vt:variant>
        <vt:i4>0</vt:i4>
      </vt:variant>
      <vt:variant>
        <vt:i4>5</vt:i4>
      </vt:variant>
      <vt:variant>
        <vt:lpwstr>https://www.esafety.gov.au/about-us/who-we-are/our-legislative-functions</vt:lpwstr>
      </vt:variant>
      <vt:variant>
        <vt:lpwstr/>
      </vt:variant>
      <vt:variant>
        <vt:i4>4653069</vt:i4>
      </vt:variant>
      <vt:variant>
        <vt:i4>18</vt:i4>
      </vt:variant>
      <vt:variant>
        <vt:i4>0</vt:i4>
      </vt:variant>
      <vt:variant>
        <vt:i4>5</vt:i4>
      </vt:variant>
      <vt:variant>
        <vt:lpwstr>https://www.esafety.gov.au/women</vt:lpwstr>
      </vt:variant>
      <vt:variant>
        <vt:lpwstr/>
      </vt:variant>
      <vt:variant>
        <vt:i4>6160457</vt:i4>
      </vt:variant>
      <vt:variant>
        <vt:i4>15</vt:i4>
      </vt:variant>
      <vt:variant>
        <vt:i4>0</vt:i4>
      </vt:variant>
      <vt:variant>
        <vt:i4>5</vt:i4>
      </vt:variant>
      <vt:variant>
        <vt:lpwstr>https://www.esafety.gov.au/key-issues</vt:lpwstr>
      </vt:variant>
      <vt:variant>
        <vt:lpwstr/>
      </vt:variant>
      <vt:variant>
        <vt:i4>1048649</vt:i4>
      </vt:variant>
      <vt:variant>
        <vt:i4>12</vt:i4>
      </vt:variant>
      <vt:variant>
        <vt:i4>0</vt:i4>
      </vt:variant>
      <vt:variant>
        <vt:i4>5</vt:i4>
      </vt:variant>
      <vt:variant>
        <vt:lpwstr>https://www.police.vic.gov.au/prejudice-and-racial-and-religious-vilification</vt:lpwstr>
      </vt:variant>
      <vt:variant>
        <vt:lpwstr/>
      </vt:variant>
      <vt:variant>
        <vt:i4>7078011</vt:i4>
      </vt:variant>
      <vt:variant>
        <vt:i4>9</vt:i4>
      </vt:variant>
      <vt:variant>
        <vt:i4>0</vt:i4>
      </vt:variant>
      <vt:variant>
        <vt:i4>5</vt:i4>
      </vt:variant>
      <vt:variant>
        <vt:lpwstr>https://www.humanrightscommission.vic.gov.au/policy-submissions/item/1840-submission-on-the-draft-religious-discrimination-bill-oct-19</vt:lpwstr>
      </vt:variant>
      <vt:variant>
        <vt:lpwstr/>
      </vt:variant>
      <vt:variant>
        <vt:i4>196689</vt:i4>
      </vt:variant>
      <vt:variant>
        <vt:i4>6</vt:i4>
      </vt:variant>
      <vt:variant>
        <vt:i4>0</vt:i4>
      </vt:variant>
      <vt:variant>
        <vt:i4>5</vt:i4>
      </vt:variant>
      <vt:variant>
        <vt:lpwstr>https://www.ag.gov.au/Consultations/Pages/religious-freedom-bills-second-exposure-drafts.aspx</vt:lpwstr>
      </vt:variant>
      <vt:variant>
        <vt:lpwstr/>
      </vt:variant>
      <vt:variant>
        <vt:i4>2490416</vt:i4>
      </vt:variant>
      <vt:variant>
        <vt:i4>3</vt:i4>
      </vt:variant>
      <vt:variant>
        <vt:i4>0</vt:i4>
      </vt:variant>
      <vt:variant>
        <vt:i4>5</vt:i4>
      </vt:variant>
      <vt:variant>
        <vt:lpwstr>https://resources.judicialcollege.vic.edu.au/article/669236</vt:lpwstr>
      </vt:variant>
      <vt:variant>
        <vt:lpwstr/>
      </vt:variant>
      <vt:variant>
        <vt:i4>4456450</vt:i4>
      </vt:variant>
      <vt:variant>
        <vt:i4>0</vt:i4>
      </vt:variant>
      <vt:variant>
        <vt:i4>0</vt:i4>
      </vt:variant>
      <vt:variant>
        <vt:i4>5</vt:i4>
      </vt:variant>
      <vt:variant>
        <vt:lpwstr>https://www.humanrightscommission.vic.gov.au/home/our-resources-and-publications/victorian-discrimination-law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Rogers (DJCS)</dc:creator>
  <dc:description>Template by Red Pony_x000d_
www.redpony.com.au</dc:description>
  <cp:lastModifiedBy>Miya Turnbull</cp:lastModifiedBy>
  <cp:revision>2</cp:revision>
  <cp:lastPrinted>2020-01-31T08:44:00Z</cp:lastPrinted>
  <dcterms:created xsi:type="dcterms:W3CDTF">2020-05-27T22:47:00Z</dcterms:created>
  <dcterms:modified xsi:type="dcterms:W3CDTF">2020-05-27T22:47:00Z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0x0101006E4A98CD0C890844B3E390BB4C629282</vt:lpwstr>
  </property>
</Properties>
</file>