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CB80D" w14:textId="554E906E" w:rsidR="0091032D" w:rsidRPr="00521468" w:rsidRDefault="00616993" w:rsidP="005E0F6A">
      <w:pPr>
        <w:pStyle w:val="VEOHRCChapterTitle"/>
        <w:rPr>
          <w:rFonts w:ascii="Graphik Regular" w:hAnsi="Graphik Regular"/>
        </w:rPr>
      </w:pPr>
      <w:r>
        <w:rPr>
          <w:rFonts w:ascii="Graphik Regular" w:hAnsi="Graphik Regular"/>
        </w:rPr>
        <w:pict w14:anchorId="216BE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42pt">
            <v:imagedata r:id="rId8" o:title="VEOHRC_Primary Logo_Digital"/>
          </v:shape>
        </w:pict>
      </w:r>
    </w:p>
    <w:p w14:paraId="10AD730A" w14:textId="77777777" w:rsidR="0091032D" w:rsidRPr="00521468" w:rsidRDefault="0091032D" w:rsidP="0091032D">
      <w:pPr>
        <w:jc w:val="right"/>
        <w:rPr>
          <w:rFonts w:ascii="Graphik Regular" w:hAnsi="Graphik Regular"/>
        </w:rPr>
      </w:pPr>
    </w:p>
    <w:p w14:paraId="6922EF77" w14:textId="77777777" w:rsidR="0091032D" w:rsidRPr="00521468" w:rsidRDefault="0091032D" w:rsidP="0091032D">
      <w:pPr>
        <w:jc w:val="right"/>
        <w:rPr>
          <w:rFonts w:ascii="Graphik Regular" w:hAnsi="Graphik Regular"/>
        </w:rPr>
      </w:pPr>
    </w:p>
    <w:p w14:paraId="7C49A834" w14:textId="77777777" w:rsidR="0091032D" w:rsidRPr="00521468" w:rsidRDefault="0091032D" w:rsidP="0091032D">
      <w:pPr>
        <w:rPr>
          <w:rFonts w:ascii="Graphik Regular" w:eastAsia="Arial Unicode MS" w:hAnsi="Graphik Regular"/>
        </w:rPr>
      </w:pPr>
    </w:p>
    <w:p w14:paraId="30C6DC63" w14:textId="77777777" w:rsidR="0091032D" w:rsidRPr="00521468" w:rsidRDefault="0091032D" w:rsidP="0091032D">
      <w:pPr>
        <w:rPr>
          <w:rFonts w:ascii="Graphik Regular" w:hAnsi="Graphik Regular"/>
        </w:rPr>
      </w:pPr>
    </w:p>
    <w:p w14:paraId="5801816E" w14:textId="77777777" w:rsidR="0091032D" w:rsidRPr="00521468" w:rsidRDefault="0091032D" w:rsidP="0091032D">
      <w:pPr>
        <w:pStyle w:val="Title"/>
        <w:rPr>
          <w:rFonts w:ascii="Graphik Regular" w:hAnsi="Graphik Regular"/>
        </w:rPr>
      </w:pPr>
    </w:p>
    <w:p w14:paraId="4CCF2D08" w14:textId="77777777" w:rsidR="0091032D" w:rsidRPr="00521468" w:rsidRDefault="0091032D" w:rsidP="0091032D">
      <w:pPr>
        <w:pStyle w:val="VEOHRCHeading1"/>
        <w:rPr>
          <w:rFonts w:ascii="Graphik Bold" w:hAnsi="Graphik Bold"/>
          <w:b w:val="0"/>
          <w:bCs w:val="0"/>
        </w:rPr>
      </w:pPr>
      <w:r w:rsidRPr="00521468">
        <w:rPr>
          <w:rFonts w:ascii="Graphik Bold" w:hAnsi="Graphik Bold"/>
          <w:b w:val="0"/>
          <w:bCs w:val="0"/>
        </w:rPr>
        <w:t xml:space="preserve">The Victorian Equal Opportunity and Human Rights Commission intervention power under the Charter of Human Rights and Responsibilities </w:t>
      </w:r>
    </w:p>
    <w:p w14:paraId="42FF5E1A" w14:textId="77777777" w:rsidR="0091032D" w:rsidRPr="00521468" w:rsidRDefault="0091032D" w:rsidP="0091032D">
      <w:pPr>
        <w:pStyle w:val="VEOHRCHeading2"/>
        <w:rPr>
          <w:rFonts w:ascii="Graphik Regular" w:hAnsi="Graphik Regular"/>
        </w:rPr>
      </w:pPr>
    </w:p>
    <w:p w14:paraId="59C9EF40" w14:textId="77777777" w:rsidR="0091032D" w:rsidRPr="00521468" w:rsidRDefault="0091032D" w:rsidP="0091032D">
      <w:pPr>
        <w:pStyle w:val="VEOHRCHeading2"/>
        <w:rPr>
          <w:rFonts w:ascii="Graphik Regular" w:hAnsi="Graphik Regular"/>
        </w:rPr>
      </w:pPr>
      <w:r w:rsidRPr="00521468">
        <w:rPr>
          <w:rFonts w:ascii="Graphik Regular" w:hAnsi="Graphik Regular"/>
        </w:rPr>
        <w:t>When will the Commission intervene?</w:t>
      </w:r>
    </w:p>
    <w:p w14:paraId="32EC41FE" w14:textId="77777777" w:rsidR="0091032D" w:rsidRPr="00521468" w:rsidRDefault="0091032D" w:rsidP="0091032D">
      <w:pPr>
        <w:pStyle w:val="VEOHRCBodytext"/>
        <w:rPr>
          <w:rFonts w:ascii="Graphik Regular" w:hAnsi="Graphik Regular"/>
        </w:rPr>
      </w:pPr>
      <w:r w:rsidRPr="00521468">
        <w:rPr>
          <w:rFonts w:ascii="Graphik Regular" w:hAnsi="Graphik Regular"/>
        </w:rPr>
        <w:t>The purpose of this document is to explain how the Commission powers to intervene in Charter matters before courts and tribunals will be exercised and what factors will influence whether or not it intervenes.</w:t>
      </w:r>
    </w:p>
    <w:p w14:paraId="2CAC7BA6" w14:textId="77777777" w:rsidR="0091032D" w:rsidRPr="00521468" w:rsidRDefault="0091032D" w:rsidP="0091032D">
      <w:pPr>
        <w:rPr>
          <w:rFonts w:ascii="Graphik Regular" w:hAnsi="Graphik Regular"/>
        </w:rPr>
      </w:pPr>
    </w:p>
    <w:p w14:paraId="701068FE" w14:textId="77777777" w:rsidR="0091032D" w:rsidRPr="00521468" w:rsidRDefault="0091032D" w:rsidP="0091032D">
      <w:pPr>
        <w:rPr>
          <w:rFonts w:ascii="Graphik Regular" w:hAnsi="Graphik Regular"/>
        </w:rPr>
      </w:pPr>
    </w:p>
    <w:p w14:paraId="4098C25F" w14:textId="77777777" w:rsidR="0091032D" w:rsidRPr="00521468" w:rsidRDefault="0091032D" w:rsidP="0091032D">
      <w:pPr>
        <w:rPr>
          <w:rFonts w:ascii="Graphik Regular" w:hAnsi="Graphik Regular"/>
        </w:rPr>
      </w:pPr>
    </w:p>
    <w:p w14:paraId="3F659825" w14:textId="77777777" w:rsidR="0091032D" w:rsidRPr="00521468" w:rsidRDefault="0091032D" w:rsidP="0091032D">
      <w:pPr>
        <w:pStyle w:val="Titlepagesubheading1"/>
        <w:rPr>
          <w:rFonts w:ascii="Graphik Regular" w:hAnsi="Graphik Regular"/>
          <w:sz w:val="24"/>
        </w:rPr>
      </w:pPr>
    </w:p>
    <w:p w14:paraId="378A90EB" w14:textId="77777777" w:rsidR="0091032D" w:rsidRPr="00521468" w:rsidRDefault="0091032D" w:rsidP="0091032D">
      <w:pPr>
        <w:pStyle w:val="Titlepagesubheading1"/>
        <w:rPr>
          <w:rFonts w:ascii="Graphik Regular" w:hAnsi="Graphik Regular"/>
          <w:sz w:val="24"/>
        </w:rPr>
      </w:pPr>
    </w:p>
    <w:p w14:paraId="59E65A2A" w14:textId="77777777" w:rsidR="0091032D" w:rsidRPr="00521468" w:rsidRDefault="0091032D" w:rsidP="0091032D">
      <w:pPr>
        <w:pStyle w:val="Titlepagesubheading1"/>
        <w:rPr>
          <w:rFonts w:ascii="Graphik Regular" w:hAnsi="Graphik Regular"/>
          <w:sz w:val="24"/>
        </w:rPr>
      </w:pPr>
    </w:p>
    <w:p w14:paraId="751DF271" w14:textId="77777777" w:rsidR="0091032D" w:rsidRPr="00521468" w:rsidRDefault="0091032D" w:rsidP="0091032D">
      <w:pPr>
        <w:pStyle w:val="Titlepagesubheading1"/>
        <w:rPr>
          <w:rFonts w:ascii="Graphik Regular" w:hAnsi="Graphik Regular"/>
          <w:sz w:val="24"/>
        </w:rPr>
      </w:pPr>
    </w:p>
    <w:p w14:paraId="18EADC8D" w14:textId="77777777" w:rsidR="0091032D" w:rsidRPr="00521468" w:rsidRDefault="0091032D" w:rsidP="0091032D">
      <w:pPr>
        <w:pStyle w:val="Titlepagesubheading1"/>
        <w:rPr>
          <w:rFonts w:ascii="Graphik Regular" w:hAnsi="Graphik Regular"/>
          <w:sz w:val="24"/>
        </w:rPr>
      </w:pPr>
    </w:p>
    <w:p w14:paraId="051BDEAC" w14:textId="77777777" w:rsidR="0091032D" w:rsidRPr="00521468" w:rsidRDefault="0091032D" w:rsidP="0091032D">
      <w:pPr>
        <w:pStyle w:val="Titlepagesubheading1"/>
        <w:rPr>
          <w:rFonts w:ascii="Graphik Regular" w:hAnsi="Graphik Regular"/>
          <w:sz w:val="24"/>
        </w:rPr>
      </w:pPr>
    </w:p>
    <w:p w14:paraId="193A30F9" w14:textId="77777777" w:rsidR="0091032D" w:rsidRPr="00521468" w:rsidRDefault="0091032D" w:rsidP="0091032D">
      <w:pPr>
        <w:pStyle w:val="Titlepagesubheading1"/>
        <w:rPr>
          <w:rFonts w:ascii="Graphik Regular" w:hAnsi="Graphik Regular"/>
          <w:sz w:val="24"/>
        </w:rPr>
      </w:pPr>
    </w:p>
    <w:p w14:paraId="687574AE" w14:textId="77777777" w:rsidR="0091032D" w:rsidRPr="00521468" w:rsidRDefault="0091032D" w:rsidP="0091032D">
      <w:pPr>
        <w:rPr>
          <w:rFonts w:ascii="Graphik Regular" w:hAnsi="Graphik Regular"/>
          <w:b/>
          <w:bCs/>
        </w:rPr>
      </w:pPr>
    </w:p>
    <w:p w14:paraId="7D0A2833" w14:textId="77777777" w:rsidR="0091032D" w:rsidRPr="00521468" w:rsidRDefault="0091032D" w:rsidP="0091032D">
      <w:pPr>
        <w:pStyle w:val="VEOHRCHeading1"/>
        <w:rPr>
          <w:rFonts w:ascii="Graphik Bold" w:hAnsi="Graphik Bold"/>
          <w:b w:val="0"/>
          <w:bCs w:val="0"/>
        </w:rPr>
      </w:pPr>
      <w:r w:rsidRPr="00521468">
        <w:rPr>
          <w:rFonts w:ascii="Graphik Regular" w:hAnsi="Graphik Regular"/>
        </w:rPr>
        <w:br w:type="page"/>
      </w:r>
      <w:r w:rsidRPr="00521468">
        <w:rPr>
          <w:rFonts w:ascii="Graphik Bold" w:hAnsi="Graphik Bold"/>
          <w:b w:val="0"/>
          <w:bCs w:val="0"/>
        </w:rPr>
        <w:lastRenderedPageBreak/>
        <w:t>A. Background</w:t>
      </w:r>
    </w:p>
    <w:p w14:paraId="09B52970" w14:textId="77777777" w:rsidR="0091032D" w:rsidRPr="00B102EC" w:rsidRDefault="0091032D" w:rsidP="00BC4827">
      <w:pPr>
        <w:pStyle w:val="VEOHRCHeading2"/>
        <w:rPr>
          <w:rFonts w:ascii="Graphik Medium" w:hAnsi="Graphik Medium"/>
          <w:b w:val="0"/>
          <w:bCs w:val="0"/>
        </w:rPr>
      </w:pPr>
      <w:r w:rsidRPr="00B102EC">
        <w:rPr>
          <w:rFonts w:ascii="Graphik Medium" w:hAnsi="Graphik Medium"/>
          <w:b w:val="0"/>
          <w:bCs w:val="0"/>
        </w:rPr>
        <w:t>The role of the Commission</w:t>
      </w:r>
    </w:p>
    <w:p w14:paraId="06035960" w14:textId="77777777" w:rsidR="0091032D" w:rsidRPr="00521468" w:rsidRDefault="0091032D" w:rsidP="0091032D">
      <w:pPr>
        <w:pStyle w:val="VEOHRCBodytext"/>
        <w:rPr>
          <w:rFonts w:ascii="Graphik Regular" w:hAnsi="Graphik Regular"/>
        </w:rPr>
      </w:pPr>
      <w:r w:rsidRPr="00521468">
        <w:rPr>
          <w:rFonts w:ascii="Graphik Regular" w:hAnsi="Graphik Regular"/>
        </w:rPr>
        <w:t xml:space="preserve">The Victorian </w:t>
      </w:r>
      <w:r w:rsidRPr="00521468">
        <w:rPr>
          <w:rFonts w:ascii="Graphik Regular" w:hAnsi="Graphik Regular"/>
          <w:iCs/>
        </w:rPr>
        <w:t>Charter of Human Rights and Responsibilities Act 2006</w:t>
      </w:r>
      <w:r w:rsidR="00BC4827" w:rsidRPr="00521468">
        <w:rPr>
          <w:rFonts w:ascii="Graphik Regular" w:hAnsi="Graphik Regular"/>
        </w:rPr>
        <w:t xml:space="preserve"> (the Charter</w:t>
      </w:r>
      <w:r w:rsidRPr="00521468">
        <w:rPr>
          <w:rFonts w:ascii="Graphik Regular" w:hAnsi="Graphik Regular"/>
        </w:rPr>
        <w:t xml:space="preserve">) provides the Victorian Equal Opportunity </w:t>
      </w:r>
      <w:r w:rsidR="00BC4827" w:rsidRPr="00521468">
        <w:rPr>
          <w:rFonts w:ascii="Graphik Regular" w:hAnsi="Graphik Regular"/>
        </w:rPr>
        <w:t>and</w:t>
      </w:r>
      <w:r w:rsidRPr="00521468">
        <w:rPr>
          <w:rFonts w:ascii="Graphik Regular" w:hAnsi="Graphik Regular"/>
        </w:rPr>
        <w:t xml:space="preserve"> Human Rights Commission (</w:t>
      </w:r>
      <w:r w:rsidR="00BC4827" w:rsidRPr="00521468">
        <w:rPr>
          <w:rFonts w:ascii="Graphik Regular" w:hAnsi="Graphik Regular"/>
        </w:rPr>
        <w:t>the Commission</w:t>
      </w:r>
      <w:r w:rsidRPr="00521468">
        <w:rPr>
          <w:rFonts w:ascii="Graphik Regular" w:hAnsi="Graphik Regular"/>
        </w:rPr>
        <w:t xml:space="preserve">) with </w:t>
      </w:r>
      <w:r w:rsidR="00B83973" w:rsidRPr="00521468">
        <w:rPr>
          <w:rFonts w:ascii="Graphik Regular" w:hAnsi="Graphik Regular"/>
        </w:rPr>
        <w:t>the following</w:t>
      </w:r>
      <w:r w:rsidRPr="00521468">
        <w:rPr>
          <w:rFonts w:ascii="Graphik Regular" w:hAnsi="Graphik Regular"/>
        </w:rPr>
        <w:t xml:space="preserve"> functions:</w:t>
      </w:r>
    </w:p>
    <w:p w14:paraId="49886761" w14:textId="77777777" w:rsidR="0091032D" w:rsidRPr="00521468" w:rsidRDefault="0091032D" w:rsidP="0091032D">
      <w:pPr>
        <w:pStyle w:val="VEOHRCListBullet"/>
        <w:rPr>
          <w:rFonts w:ascii="Graphik Regular" w:hAnsi="Graphik Regular"/>
        </w:rPr>
      </w:pPr>
      <w:r w:rsidRPr="00521468">
        <w:rPr>
          <w:rFonts w:ascii="Graphik Regular" w:hAnsi="Graphik Regular"/>
        </w:rPr>
        <w:t>Reporting annually on the operation of the Charter, declarations of inconsistent interpretation and override declarations.</w:t>
      </w:r>
    </w:p>
    <w:p w14:paraId="10F2D43A" w14:textId="77777777" w:rsidR="0091032D" w:rsidRPr="00521468" w:rsidRDefault="0091032D" w:rsidP="0091032D">
      <w:pPr>
        <w:pStyle w:val="VEOHRCListBullet"/>
        <w:rPr>
          <w:rFonts w:ascii="Graphik Regular" w:hAnsi="Graphik Regular"/>
        </w:rPr>
      </w:pPr>
      <w:r w:rsidRPr="00521468">
        <w:rPr>
          <w:rFonts w:ascii="Graphik Regular" w:hAnsi="Graphik Regular"/>
        </w:rPr>
        <w:t>Educating about human rights and the Charter.</w:t>
      </w:r>
    </w:p>
    <w:p w14:paraId="4EC45C55" w14:textId="77777777" w:rsidR="0091032D" w:rsidRPr="00521468" w:rsidRDefault="0091032D" w:rsidP="0091032D">
      <w:pPr>
        <w:pStyle w:val="VEOHRCListBullet"/>
        <w:rPr>
          <w:rFonts w:ascii="Graphik Regular" w:hAnsi="Graphik Regular"/>
        </w:rPr>
      </w:pPr>
      <w:r w:rsidRPr="00521468">
        <w:rPr>
          <w:rFonts w:ascii="Graphik Regular" w:hAnsi="Graphik Regular"/>
        </w:rPr>
        <w:t>Intervening in court or tribunal matters that raise Charter issues.</w:t>
      </w:r>
    </w:p>
    <w:p w14:paraId="5E17099C" w14:textId="77777777" w:rsidR="00B83973" w:rsidRPr="00521468" w:rsidRDefault="00B83973" w:rsidP="0091032D">
      <w:pPr>
        <w:pStyle w:val="VEOHRCListBullet"/>
        <w:rPr>
          <w:rFonts w:ascii="Graphik Regular" w:hAnsi="Graphik Regular"/>
        </w:rPr>
      </w:pPr>
      <w:r w:rsidRPr="00521468">
        <w:rPr>
          <w:rFonts w:ascii="Graphik Regular" w:hAnsi="Graphik Regular"/>
        </w:rPr>
        <w:t>Reviewing public authority’s programs and practices, when required, to determine their compatibility with human rights.</w:t>
      </w:r>
    </w:p>
    <w:p w14:paraId="34D8929E" w14:textId="77777777" w:rsidR="0091032D" w:rsidRPr="00521468" w:rsidRDefault="0091032D" w:rsidP="0091032D">
      <w:pPr>
        <w:pStyle w:val="VEOHRCListBullet"/>
        <w:rPr>
          <w:rFonts w:ascii="Graphik Regular" w:hAnsi="Graphik Regular"/>
        </w:rPr>
      </w:pPr>
      <w:r w:rsidRPr="00521468">
        <w:rPr>
          <w:rFonts w:ascii="Graphik Regular" w:hAnsi="Graphik Regular"/>
        </w:rPr>
        <w:t xml:space="preserve">Providing advice to the Attorney-General </w:t>
      </w:r>
      <w:r w:rsidR="00B83973" w:rsidRPr="00521468">
        <w:rPr>
          <w:rFonts w:ascii="Graphik Regular" w:hAnsi="Graphik Regular"/>
        </w:rPr>
        <w:t>on the operation of the Charter and, when required, reviewing the effect of statutory provisions and the common law on human rights.</w:t>
      </w:r>
    </w:p>
    <w:p w14:paraId="737D9548" w14:textId="77777777" w:rsidR="0091032D" w:rsidRPr="00B102EC" w:rsidRDefault="00BC4827" w:rsidP="0091032D">
      <w:pPr>
        <w:pStyle w:val="VEOHRCHeading2"/>
        <w:rPr>
          <w:rFonts w:ascii="Graphik Medium" w:hAnsi="Graphik Medium"/>
          <w:b w:val="0"/>
          <w:bCs w:val="0"/>
        </w:rPr>
      </w:pPr>
      <w:r w:rsidRPr="00B102EC">
        <w:rPr>
          <w:rFonts w:ascii="Graphik Medium" w:hAnsi="Graphik Medium"/>
          <w:b w:val="0"/>
          <w:bCs w:val="0"/>
        </w:rPr>
        <w:t>Use of the Charter in courts and</w:t>
      </w:r>
      <w:r w:rsidR="0091032D" w:rsidRPr="00B102EC">
        <w:rPr>
          <w:rFonts w:ascii="Graphik Medium" w:hAnsi="Graphik Medium"/>
          <w:b w:val="0"/>
          <w:bCs w:val="0"/>
        </w:rPr>
        <w:t xml:space="preserve"> tribunals</w:t>
      </w:r>
    </w:p>
    <w:p w14:paraId="33D4DBD9" w14:textId="77777777" w:rsidR="0091032D" w:rsidRPr="00521468" w:rsidRDefault="0091032D" w:rsidP="0091032D">
      <w:pPr>
        <w:pStyle w:val="VEOHRCBodytext"/>
        <w:rPr>
          <w:rFonts w:ascii="Graphik Regular" w:hAnsi="Graphik Regular"/>
        </w:rPr>
      </w:pPr>
      <w:r w:rsidRPr="00521468">
        <w:rPr>
          <w:rFonts w:ascii="Graphik Regular" w:hAnsi="Graphik Regular"/>
        </w:rPr>
        <w:t>The Charter is relevant to the work of Victorian courts and tribunals in two main ways. Firstly, the Charter will affect the interpretation of Victorian statute law and secondly it may give rise to relief or remedy in limited situations discussed below.</w:t>
      </w:r>
    </w:p>
    <w:p w14:paraId="0802F4DE" w14:textId="77777777" w:rsidR="0091032D" w:rsidRPr="00521468" w:rsidRDefault="0091032D" w:rsidP="0091032D">
      <w:pPr>
        <w:pStyle w:val="VEOHRCBodytext"/>
        <w:rPr>
          <w:rFonts w:ascii="Graphik Regular" w:hAnsi="Graphik Regular"/>
        </w:rPr>
      </w:pPr>
      <w:r w:rsidRPr="00521468">
        <w:rPr>
          <w:rFonts w:ascii="Graphik Regular" w:hAnsi="Graphik Regular"/>
        </w:rPr>
        <w:t xml:space="preserve">Division 3 of Part 3 of the Charter </w:t>
      </w:r>
      <w:r w:rsidR="00B83973" w:rsidRPr="00521468">
        <w:rPr>
          <w:rFonts w:ascii="Graphik Regular" w:hAnsi="Graphik Regular"/>
        </w:rPr>
        <w:t xml:space="preserve">provides for </w:t>
      </w:r>
      <w:r w:rsidRPr="00521468">
        <w:rPr>
          <w:rFonts w:ascii="Graphik Regular" w:hAnsi="Graphik Regular"/>
        </w:rPr>
        <w:t xml:space="preserve">how the Charter will affect the interpretation of laws in Victoria. Section 32 of the Charter </w:t>
      </w:r>
      <w:r w:rsidR="00B83973" w:rsidRPr="00521468">
        <w:rPr>
          <w:rFonts w:ascii="Graphik Regular" w:hAnsi="Graphik Regular"/>
        </w:rPr>
        <w:t>says</w:t>
      </w:r>
      <w:r w:rsidRPr="00521468">
        <w:rPr>
          <w:rFonts w:ascii="Graphik Regular" w:hAnsi="Graphik Regular"/>
        </w:rPr>
        <w:t>:</w:t>
      </w:r>
    </w:p>
    <w:p w14:paraId="7478A4BD" w14:textId="77777777" w:rsidR="0091032D" w:rsidRPr="00521468" w:rsidRDefault="0091032D" w:rsidP="00AD013E">
      <w:pPr>
        <w:pStyle w:val="VEOHRCNumberedlistlegal"/>
        <w:rPr>
          <w:rFonts w:ascii="Graphik Regular" w:hAnsi="Graphik Regular"/>
        </w:rPr>
      </w:pPr>
      <w:r w:rsidRPr="00521468">
        <w:rPr>
          <w:rFonts w:ascii="Graphik Regular" w:hAnsi="Graphik Regular"/>
        </w:rPr>
        <w:t>So far as it is possible to do so consistently with their purpose, all statutory provisions must be interpreted in a way that is compatible with human rights.</w:t>
      </w:r>
    </w:p>
    <w:p w14:paraId="5354DA6C" w14:textId="77777777" w:rsidR="0091032D" w:rsidRPr="00521468" w:rsidRDefault="0091032D" w:rsidP="00AD013E">
      <w:pPr>
        <w:pStyle w:val="VEOHRCNumberedlistlegal"/>
        <w:rPr>
          <w:rFonts w:ascii="Graphik Regular" w:hAnsi="Graphik Regular"/>
        </w:rPr>
      </w:pPr>
      <w:r w:rsidRPr="00521468">
        <w:rPr>
          <w:rFonts w:ascii="Graphik Regular" w:hAnsi="Graphik Regular"/>
        </w:rPr>
        <w:t>International law and the judgments of domestic, foreign and international courts and tribunals relevant to a human right may be considered in interpreting a statutory provision.</w:t>
      </w:r>
    </w:p>
    <w:p w14:paraId="794C537F" w14:textId="77777777" w:rsidR="0091032D" w:rsidRPr="00521468" w:rsidRDefault="0091032D" w:rsidP="00AD013E">
      <w:pPr>
        <w:pStyle w:val="VEOHRCNumberedlistlegal"/>
        <w:rPr>
          <w:rFonts w:ascii="Graphik Regular" w:hAnsi="Graphik Regular"/>
        </w:rPr>
      </w:pPr>
      <w:r w:rsidRPr="00521468">
        <w:rPr>
          <w:rFonts w:ascii="Graphik Regular" w:hAnsi="Graphik Regular"/>
        </w:rPr>
        <w:t xml:space="preserve">This section does not affect the validity of–  </w:t>
      </w:r>
    </w:p>
    <w:p w14:paraId="002C2F6B" w14:textId="77777777" w:rsidR="0091032D" w:rsidRPr="00521468" w:rsidRDefault="0091032D" w:rsidP="004A3740">
      <w:pPr>
        <w:pStyle w:val="VEOHRCBodytext"/>
        <w:numPr>
          <w:ilvl w:val="0"/>
          <w:numId w:val="21"/>
        </w:numPr>
        <w:tabs>
          <w:tab w:val="clear" w:pos="720"/>
          <w:tab w:val="num" w:pos="1440"/>
        </w:tabs>
        <w:ind w:left="1440"/>
        <w:rPr>
          <w:rFonts w:ascii="Graphik Regular" w:hAnsi="Graphik Regular"/>
        </w:rPr>
      </w:pPr>
      <w:r w:rsidRPr="00521468">
        <w:rPr>
          <w:rFonts w:ascii="Graphik Regular" w:hAnsi="Graphik Regular"/>
        </w:rPr>
        <w:t>an Act or provision of an Act that is incompatible with a human right; or</w:t>
      </w:r>
    </w:p>
    <w:p w14:paraId="3A23CE26" w14:textId="77777777" w:rsidR="0091032D" w:rsidRPr="00521468" w:rsidRDefault="0091032D" w:rsidP="004A3740">
      <w:pPr>
        <w:pStyle w:val="VEOHRCBodytext"/>
        <w:numPr>
          <w:ilvl w:val="0"/>
          <w:numId w:val="21"/>
        </w:numPr>
        <w:tabs>
          <w:tab w:val="clear" w:pos="720"/>
          <w:tab w:val="num" w:pos="1440"/>
        </w:tabs>
        <w:ind w:left="1440"/>
        <w:rPr>
          <w:rFonts w:ascii="Graphik Regular" w:hAnsi="Graphik Regular"/>
        </w:rPr>
      </w:pPr>
      <w:r w:rsidRPr="00521468">
        <w:rPr>
          <w:rFonts w:ascii="Graphik Regular" w:hAnsi="Graphik Regular"/>
        </w:rPr>
        <w:t>a subordinate instrument or provision of a subordinate instrument that is incompatible with a human right and is empowered to be so by the Act under which it is made.</w:t>
      </w:r>
    </w:p>
    <w:p w14:paraId="0AA85D14" w14:textId="77777777" w:rsidR="0091032D" w:rsidRPr="00521468" w:rsidRDefault="0091032D" w:rsidP="0091032D">
      <w:pPr>
        <w:pStyle w:val="VEOHRCBodytext"/>
        <w:rPr>
          <w:rFonts w:ascii="Graphik Regular" w:hAnsi="Graphik Regular"/>
        </w:rPr>
      </w:pPr>
      <w:r w:rsidRPr="00521468">
        <w:rPr>
          <w:rFonts w:ascii="Graphik Regular" w:hAnsi="Graphik Regular"/>
        </w:rPr>
        <w:t>In addition,</w:t>
      </w:r>
      <w:r w:rsidR="00B83973" w:rsidRPr="00521468">
        <w:rPr>
          <w:rFonts w:ascii="Graphik Regular" w:hAnsi="Graphik Regular"/>
        </w:rPr>
        <w:t xml:space="preserve"> under</w:t>
      </w:r>
      <w:r w:rsidRPr="00521468">
        <w:rPr>
          <w:rFonts w:ascii="Graphik Regular" w:hAnsi="Graphik Regular"/>
        </w:rPr>
        <w:t xml:space="preserve"> section 39 the Charter may provide additional grounds of relief or remedy in legal proceedings:</w:t>
      </w:r>
    </w:p>
    <w:p w14:paraId="78077EE3" w14:textId="77777777" w:rsidR="0091032D" w:rsidRPr="00521468" w:rsidRDefault="0091032D" w:rsidP="00C7626C">
      <w:pPr>
        <w:pStyle w:val="VEOHRCNumberedlistlegal"/>
        <w:numPr>
          <w:ilvl w:val="0"/>
          <w:numId w:val="34"/>
        </w:numPr>
        <w:rPr>
          <w:rFonts w:ascii="Graphik Regular" w:hAnsi="Graphik Regular"/>
        </w:rPr>
      </w:pPr>
      <w:r w:rsidRPr="00521468">
        <w:rPr>
          <w:rFonts w:ascii="Graphik Regular" w:hAnsi="Graphik Regular"/>
        </w:rPr>
        <w:t xml:space="preserve">If, otherwise than because of this Charter, a person may seek any relief or remedy in respect of an act or decision of a public authority on the </w:t>
      </w:r>
      <w:r w:rsidRPr="00521468">
        <w:rPr>
          <w:rFonts w:ascii="Graphik Regular" w:hAnsi="Graphik Regular"/>
        </w:rPr>
        <w:lastRenderedPageBreak/>
        <w:t>ground that the act or decision was unlawful, that person may seek that relief or remedy on a ground of unlawfulness arising because of this Charter.</w:t>
      </w:r>
    </w:p>
    <w:p w14:paraId="529BB443" w14:textId="77777777" w:rsidR="00872A43" w:rsidRPr="00521468" w:rsidRDefault="0091032D" w:rsidP="00AD013E">
      <w:pPr>
        <w:pStyle w:val="VEOHRCNumberedlistlegal"/>
        <w:rPr>
          <w:rFonts w:ascii="Graphik Regular" w:hAnsi="Graphik Regular"/>
        </w:rPr>
      </w:pPr>
      <w:r w:rsidRPr="00521468">
        <w:rPr>
          <w:rFonts w:ascii="Graphik Regular" w:hAnsi="Graphik Regular"/>
        </w:rPr>
        <w:t>This section does not affect any right that a person has, otherwise than because of this Charter, to seek any relief or remedy in respect of an act or decision of a public authority, including a right–</w:t>
      </w:r>
    </w:p>
    <w:p w14:paraId="3A5F5A76" w14:textId="77777777" w:rsidR="0091032D" w:rsidRPr="00521468" w:rsidRDefault="0091032D" w:rsidP="004A3740">
      <w:pPr>
        <w:pStyle w:val="VEOHRCBodytext"/>
        <w:numPr>
          <w:ilvl w:val="0"/>
          <w:numId w:val="22"/>
        </w:numPr>
        <w:tabs>
          <w:tab w:val="clear" w:pos="720"/>
          <w:tab w:val="num" w:pos="1440"/>
        </w:tabs>
        <w:ind w:left="1440"/>
        <w:rPr>
          <w:rFonts w:ascii="Graphik Regular" w:hAnsi="Graphik Regular"/>
        </w:rPr>
      </w:pPr>
      <w:r w:rsidRPr="00521468">
        <w:rPr>
          <w:rFonts w:ascii="Graphik Regular" w:hAnsi="Graphik Regular"/>
        </w:rPr>
        <w:t xml:space="preserve"> to seek judicial review under the </w:t>
      </w:r>
      <w:r w:rsidRPr="00521468">
        <w:rPr>
          <w:rFonts w:ascii="Graphik Regular" w:hAnsi="Graphik Regular"/>
          <w:iCs/>
        </w:rPr>
        <w:t>Administrative Law Act 1978</w:t>
      </w:r>
      <w:r w:rsidRPr="00521468">
        <w:rPr>
          <w:rFonts w:ascii="Graphik Regular" w:hAnsi="Graphik Regular"/>
        </w:rPr>
        <w:t xml:space="preserve"> or under Order 56 of Chapter I of the Rules of the Supreme Court; and </w:t>
      </w:r>
    </w:p>
    <w:p w14:paraId="771E3ED3" w14:textId="77777777" w:rsidR="0091032D" w:rsidRPr="00521468" w:rsidRDefault="0091032D" w:rsidP="004A3740">
      <w:pPr>
        <w:pStyle w:val="VEOHRCBodytext"/>
        <w:numPr>
          <w:ilvl w:val="0"/>
          <w:numId w:val="22"/>
        </w:numPr>
        <w:tabs>
          <w:tab w:val="clear" w:pos="720"/>
          <w:tab w:val="num" w:pos="1440"/>
        </w:tabs>
        <w:ind w:left="1440"/>
        <w:rPr>
          <w:rFonts w:ascii="Graphik Regular" w:hAnsi="Graphik Regular"/>
        </w:rPr>
      </w:pPr>
      <w:r w:rsidRPr="00521468">
        <w:rPr>
          <w:rFonts w:ascii="Graphik Regular" w:hAnsi="Graphik Regular"/>
        </w:rPr>
        <w:t xml:space="preserve"> to seek a declaration of unlawfulness and associated relief including an injunction, a stay of proceedings or exclusion of evidence.</w:t>
      </w:r>
    </w:p>
    <w:p w14:paraId="5E5D1C50" w14:textId="77777777" w:rsidR="0091032D" w:rsidRPr="00521468" w:rsidRDefault="0091032D" w:rsidP="00AD013E">
      <w:pPr>
        <w:pStyle w:val="VEOHRCNumberedlistlegal"/>
        <w:rPr>
          <w:rFonts w:ascii="Graphik Regular" w:hAnsi="Graphik Regular"/>
        </w:rPr>
      </w:pPr>
      <w:r w:rsidRPr="00521468">
        <w:rPr>
          <w:rFonts w:ascii="Graphik Regular" w:hAnsi="Graphik Regular"/>
        </w:rPr>
        <w:t>A person is not entitled to be awarded any damages because of a breach of this Charter.</w:t>
      </w:r>
    </w:p>
    <w:p w14:paraId="3514060D" w14:textId="77777777" w:rsidR="0091032D" w:rsidRPr="00521468" w:rsidRDefault="0091032D" w:rsidP="00AD013E">
      <w:pPr>
        <w:pStyle w:val="VEOHRCNumberedlistlegal"/>
        <w:rPr>
          <w:rFonts w:ascii="Graphik Regular" w:hAnsi="Graphik Regular"/>
        </w:rPr>
      </w:pPr>
      <w:r w:rsidRPr="00521468">
        <w:rPr>
          <w:rFonts w:ascii="Graphik Regular" w:hAnsi="Graphik Regular"/>
        </w:rPr>
        <w:t>Nothing in this section affects any right a person may have to damages apart from the operation of this section.</w:t>
      </w:r>
    </w:p>
    <w:p w14:paraId="5C38E428" w14:textId="77777777" w:rsidR="0091032D" w:rsidRPr="00B102EC" w:rsidRDefault="0091032D" w:rsidP="000205A3">
      <w:pPr>
        <w:pStyle w:val="VEOHRCHeading2"/>
        <w:rPr>
          <w:rFonts w:ascii="Graphik Medium" w:hAnsi="Graphik Medium"/>
          <w:b w:val="0"/>
          <w:bCs w:val="0"/>
        </w:rPr>
      </w:pPr>
      <w:r w:rsidRPr="00B102EC">
        <w:rPr>
          <w:rFonts w:ascii="Graphik Medium" w:hAnsi="Graphik Medium"/>
          <w:b w:val="0"/>
          <w:bCs w:val="0"/>
        </w:rPr>
        <w:t>The Commission’s right to intervene</w:t>
      </w:r>
    </w:p>
    <w:p w14:paraId="0D95BEA8" w14:textId="77777777" w:rsidR="0091032D" w:rsidRPr="00521468" w:rsidRDefault="0091032D" w:rsidP="0091032D">
      <w:pPr>
        <w:pStyle w:val="VEOHRCBodytext"/>
        <w:rPr>
          <w:rFonts w:ascii="Graphik Regular" w:hAnsi="Graphik Regular"/>
        </w:rPr>
      </w:pPr>
      <w:r w:rsidRPr="00521468">
        <w:rPr>
          <w:rFonts w:ascii="Graphik Regular" w:hAnsi="Graphik Regular"/>
        </w:rPr>
        <w:t>The Charter provides the Commission with the right to intervene in legal proceedings initiated by other parties. The Attorney-General also has this power.</w:t>
      </w:r>
    </w:p>
    <w:p w14:paraId="44BFEAA1" w14:textId="77777777" w:rsidR="0091032D" w:rsidRPr="00521468" w:rsidRDefault="0091032D" w:rsidP="0091032D">
      <w:pPr>
        <w:pStyle w:val="VEOHRCBodytext"/>
        <w:rPr>
          <w:rFonts w:ascii="Graphik Regular" w:hAnsi="Graphik Regular"/>
        </w:rPr>
      </w:pPr>
      <w:r w:rsidRPr="00521468">
        <w:rPr>
          <w:rFonts w:ascii="Graphik Regular" w:hAnsi="Graphik Regular"/>
        </w:rPr>
        <w:t>Section 40 of the Charter provides that:</w:t>
      </w:r>
    </w:p>
    <w:p w14:paraId="1198F3CA" w14:textId="77777777" w:rsidR="0091032D" w:rsidRPr="00521468" w:rsidRDefault="0091032D" w:rsidP="000205A3">
      <w:pPr>
        <w:pStyle w:val="VEOHRCQuotation"/>
        <w:rPr>
          <w:rFonts w:ascii="Graphik Regular" w:hAnsi="Graphik Regular"/>
        </w:rPr>
      </w:pPr>
      <w:r w:rsidRPr="00521468">
        <w:rPr>
          <w:rFonts w:ascii="Graphik Regular" w:hAnsi="Graphik Regular"/>
        </w:rPr>
        <w:t>The Commission may intervene in, and may be joined as a party to, any proceeding before any court or tribunal in which a question of law arises that relates to the application of this Charter or a question arises with respect to the interpretation of a statutory provision in accordance with this Charter.</w:t>
      </w:r>
    </w:p>
    <w:p w14:paraId="33CD42EF" w14:textId="77777777" w:rsidR="0091032D" w:rsidRPr="00521468" w:rsidRDefault="0091032D" w:rsidP="0091032D">
      <w:pPr>
        <w:pStyle w:val="VEOHRCBodytext"/>
        <w:rPr>
          <w:rFonts w:ascii="Graphik Regular" w:hAnsi="Graphik Regular"/>
        </w:rPr>
      </w:pPr>
      <w:r w:rsidRPr="00521468">
        <w:rPr>
          <w:rFonts w:ascii="Graphik Regular" w:hAnsi="Graphik Regular"/>
        </w:rPr>
        <w:t>The breadth of this power was acknowledged in the Explanatory Memorandum to the Charter:</w:t>
      </w:r>
    </w:p>
    <w:p w14:paraId="648D874A" w14:textId="77777777" w:rsidR="0091032D" w:rsidRPr="00521468" w:rsidRDefault="0091032D" w:rsidP="000205A3">
      <w:pPr>
        <w:pStyle w:val="VEOHRCQuotation"/>
        <w:rPr>
          <w:rFonts w:ascii="Graphik Regular" w:hAnsi="Graphik Regular"/>
        </w:rPr>
      </w:pPr>
      <w:r w:rsidRPr="00521468">
        <w:rPr>
          <w:rFonts w:ascii="Graphik Regular" w:hAnsi="Graphik Regular"/>
        </w:rPr>
        <w:t>Clause 40 establishes the Commission’s unqualified right to intervene in proceedings involving the Charter… Whether the Commission exercises the right to intervene is a matter for its discretion. (p 28-9)</w:t>
      </w:r>
    </w:p>
    <w:p w14:paraId="248C1221" w14:textId="77777777" w:rsidR="0091032D" w:rsidRPr="00521468" w:rsidRDefault="0091032D" w:rsidP="0091032D">
      <w:pPr>
        <w:pStyle w:val="VEOHRCBodytext"/>
        <w:rPr>
          <w:rFonts w:ascii="Graphik Regular" w:hAnsi="Graphik Regular"/>
        </w:rPr>
      </w:pPr>
      <w:r w:rsidRPr="00521468">
        <w:rPr>
          <w:rFonts w:ascii="Graphik Regular" w:hAnsi="Graphik Regular"/>
        </w:rPr>
        <w:t>Section 35 of the Charter provides that:</w:t>
      </w:r>
    </w:p>
    <w:p w14:paraId="2CA03336" w14:textId="77777777" w:rsidR="0091032D" w:rsidRPr="00521468" w:rsidRDefault="0091032D" w:rsidP="004A3740">
      <w:pPr>
        <w:pStyle w:val="VEOHRCNumberedlistlegal"/>
        <w:numPr>
          <w:ilvl w:val="0"/>
          <w:numId w:val="20"/>
        </w:numPr>
        <w:rPr>
          <w:rFonts w:ascii="Graphik Regular" w:hAnsi="Graphik Regular"/>
        </w:rPr>
      </w:pPr>
      <w:r w:rsidRPr="00521468">
        <w:rPr>
          <w:rFonts w:ascii="Graphik Regular" w:hAnsi="Graphik Regular"/>
        </w:rPr>
        <w:t>A party to a proceeding must give notice in the prescribed form to the Attorney-General and the Commission if -</w:t>
      </w:r>
    </w:p>
    <w:p w14:paraId="18D97370" w14:textId="77777777" w:rsidR="00AD013E" w:rsidRPr="00521468" w:rsidRDefault="0091032D" w:rsidP="00695514">
      <w:pPr>
        <w:pStyle w:val="VEOHRCBodytext"/>
        <w:numPr>
          <w:ilvl w:val="0"/>
          <w:numId w:val="23"/>
        </w:numPr>
        <w:rPr>
          <w:rFonts w:ascii="Graphik Regular" w:hAnsi="Graphik Regular"/>
        </w:rPr>
      </w:pPr>
      <w:r w:rsidRPr="00521468">
        <w:rPr>
          <w:rFonts w:ascii="Graphik Regular" w:hAnsi="Graphik Regular"/>
        </w:rPr>
        <w:t>in the case of a Supreme Court or County Court proceeding, a question of law arises that relates to the application of this Charter or a question arises with respect to the interpretation of a statutory provision in accordance with this Charter; or</w:t>
      </w:r>
    </w:p>
    <w:p w14:paraId="692E5AD7" w14:textId="77777777" w:rsidR="0091032D" w:rsidRPr="00521468" w:rsidRDefault="0091032D" w:rsidP="00695514">
      <w:pPr>
        <w:pStyle w:val="VEOHRCBodytext"/>
        <w:numPr>
          <w:ilvl w:val="0"/>
          <w:numId w:val="23"/>
        </w:numPr>
        <w:rPr>
          <w:rFonts w:ascii="Graphik Regular" w:hAnsi="Graphik Regular"/>
        </w:rPr>
      </w:pPr>
      <w:r w:rsidRPr="00521468">
        <w:rPr>
          <w:rFonts w:ascii="Graphik Regular" w:hAnsi="Graphik Regular"/>
        </w:rPr>
        <w:t>in any case, a question is referred to the Supreme Court under section 33.</w:t>
      </w:r>
    </w:p>
    <w:p w14:paraId="325FCB10" w14:textId="77777777" w:rsidR="00B83973" w:rsidRPr="00521468" w:rsidRDefault="00B83973" w:rsidP="0091032D">
      <w:pPr>
        <w:pStyle w:val="VEOHRCBodytext"/>
        <w:rPr>
          <w:rFonts w:ascii="Graphik Regular" w:hAnsi="Graphik Regular"/>
        </w:rPr>
      </w:pPr>
      <w:r w:rsidRPr="00521468">
        <w:rPr>
          <w:rFonts w:ascii="Graphik Regular" w:hAnsi="Graphik Regular"/>
        </w:rPr>
        <w:lastRenderedPageBreak/>
        <w:t>Further, subsection 36(3) of the Charter provides that:</w:t>
      </w:r>
    </w:p>
    <w:p w14:paraId="1FFE004D" w14:textId="77777777" w:rsidR="00B83973" w:rsidRPr="00521468" w:rsidRDefault="00B83973" w:rsidP="00B55992">
      <w:pPr>
        <w:pStyle w:val="VEOHRCBodytext"/>
        <w:ind w:left="720"/>
        <w:rPr>
          <w:rFonts w:ascii="Graphik Regular" w:hAnsi="Graphik Regular"/>
        </w:rPr>
      </w:pPr>
      <w:r w:rsidRPr="00521468">
        <w:rPr>
          <w:rFonts w:ascii="Graphik Regular" w:hAnsi="Graphik Regular"/>
        </w:rPr>
        <w:t>If the Supreme Court is considering making a declaration of inconsistent interpretation, it must ensure that notice in the prescribed form of that fact is given to the Attorney-General and the Commission</w:t>
      </w:r>
      <w:r w:rsidR="00CC376D" w:rsidRPr="00521468">
        <w:rPr>
          <w:rFonts w:ascii="Graphik Regular" w:hAnsi="Graphik Regular"/>
        </w:rPr>
        <w:t>.</w:t>
      </w:r>
    </w:p>
    <w:p w14:paraId="6E5E5B7E" w14:textId="77777777" w:rsidR="0091032D" w:rsidRPr="00521468" w:rsidRDefault="00B83973" w:rsidP="0091032D">
      <w:pPr>
        <w:pStyle w:val="VEOHRCBodytext"/>
        <w:rPr>
          <w:rFonts w:ascii="Graphik Regular" w:hAnsi="Graphik Regular"/>
        </w:rPr>
      </w:pPr>
      <w:r w:rsidRPr="00521468">
        <w:rPr>
          <w:rFonts w:ascii="Graphik Regular" w:hAnsi="Graphik Regular"/>
        </w:rPr>
        <w:t>S</w:t>
      </w:r>
      <w:r w:rsidR="0091032D" w:rsidRPr="00521468">
        <w:rPr>
          <w:rFonts w:ascii="Graphik Regular" w:hAnsi="Graphik Regular"/>
        </w:rPr>
        <w:t>ubsection 36(4) of the Charter provides that:</w:t>
      </w:r>
    </w:p>
    <w:p w14:paraId="34E8E297" w14:textId="77777777" w:rsidR="0091032D" w:rsidRPr="00521468" w:rsidRDefault="0091032D" w:rsidP="00AD013E">
      <w:pPr>
        <w:pStyle w:val="VEOHRCQuotation"/>
        <w:rPr>
          <w:rFonts w:ascii="Graphik Regular" w:hAnsi="Graphik Regular"/>
        </w:rPr>
      </w:pPr>
      <w:r w:rsidRPr="00521468">
        <w:rPr>
          <w:rFonts w:ascii="Graphik Regular" w:hAnsi="Graphik Regular"/>
        </w:rPr>
        <w:t xml:space="preserve">The Supreme Court must not make a declaration of inconsistent interpretation unless the Court is satisfied that – </w:t>
      </w:r>
    </w:p>
    <w:p w14:paraId="65499165" w14:textId="77777777" w:rsidR="0091032D" w:rsidRPr="00521468" w:rsidRDefault="0091032D" w:rsidP="00AD013E">
      <w:pPr>
        <w:pStyle w:val="VEOHRCBodytext"/>
        <w:numPr>
          <w:ilvl w:val="0"/>
          <w:numId w:val="24"/>
        </w:numPr>
        <w:rPr>
          <w:rFonts w:ascii="Graphik Regular" w:hAnsi="Graphik Regular"/>
        </w:rPr>
      </w:pPr>
      <w:r w:rsidRPr="00521468">
        <w:rPr>
          <w:rFonts w:ascii="Graphik Regular" w:hAnsi="Graphik Regular"/>
        </w:rPr>
        <w:t>Notice in the prescribed form has been given to the Attorney-General and the Commission under sub-section (3); and</w:t>
      </w:r>
    </w:p>
    <w:p w14:paraId="525BC807" w14:textId="77777777" w:rsidR="0091032D" w:rsidRPr="00521468" w:rsidRDefault="0091032D" w:rsidP="00695514">
      <w:pPr>
        <w:pStyle w:val="VEOHRCBodytext"/>
        <w:numPr>
          <w:ilvl w:val="0"/>
          <w:numId w:val="24"/>
        </w:numPr>
        <w:rPr>
          <w:rFonts w:ascii="Graphik Regular" w:hAnsi="Graphik Regular"/>
        </w:rPr>
      </w:pPr>
      <w:r w:rsidRPr="00521468">
        <w:rPr>
          <w:rFonts w:ascii="Graphik Regular" w:hAnsi="Graphik Regular"/>
        </w:rPr>
        <w:t>A reasonable opportunity has been given to the Attorney-General and the Commission to intervene in the proceeding or to make submissions in respect of the proposed declaration of inconsistent interpretation.</w:t>
      </w:r>
    </w:p>
    <w:p w14:paraId="26158372" w14:textId="77777777" w:rsidR="0091032D" w:rsidRPr="00521468" w:rsidRDefault="0091032D" w:rsidP="0091032D">
      <w:pPr>
        <w:pStyle w:val="VEOHRCBodytext"/>
        <w:rPr>
          <w:rFonts w:ascii="Graphik Regular" w:hAnsi="Graphik Regular"/>
        </w:rPr>
      </w:pPr>
      <w:r w:rsidRPr="00521468">
        <w:rPr>
          <w:rFonts w:ascii="Graphik Regular" w:hAnsi="Graphik Regular"/>
        </w:rPr>
        <w:t>There is no need for the Commission to demonstrate any link between the intervention it intends to undertake and its other functions. Section 41 of the Charter specifies that the Commission’s functions extend to ‘any other function conferred under this Charter’, which includes the broad intervention functions outlined above.</w:t>
      </w:r>
    </w:p>
    <w:p w14:paraId="22606A28" w14:textId="77777777" w:rsidR="00105F5C" w:rsidRPr="00521468" w:rsidRDefault="0091032D" w:rsidP="0091032D">
      <w:pPr>
        <w:pStyle w:val="VEOHRCBodytext"/>
        <w:rPr>
          <w:rFonts w:ascii="Graphik Regular" w:hAnsi="Graphik Regular"/>
        </w:rPr>
      </w:pPr>
      <w:r w:rsidRPr="00521468">
        <w:rPr>
          <w:rFonts w:ascii="Graphik Regular" w:hAnsi="Graphik Regular"/>
        </w:rPr>
        <w:t>In addition, unlike other pieces of legislation providing statutory intervention rights, the Charter does not include a provision for costs orders against the Commission where it exercises its rights under section 36 or section 40.</w:t>
      </w:r>
      <w:r w:rsidR="00B55992" w:rsidRPr="00521468">
        <w:rPr>
          <w:rStyle w:val="FootnoteReference"/>
          <w:rFonts w:ascii="Graphik Regular" w:hAnsi="Graphik Regular"/>
        </w:rPr>
        <w:footnoteReference w:id="1"/>
      </w:r>
      <w:r w:rsidRPr="00521468">
        <w:rPr>
          <w:rFonts w:ascii="Graphik Regular" w:hAnsi="Graphik Regular"/>
        </w:rPr>
        <w:t xml:space="preserve"> Ultimately, of course, this remains a matter for determination by the courts.</w:t>
      </w:r>
      <w:r w:rsidR="00E81CF3" w:rsidRPr="00521468">
        <w:rPr>
          <w:rFonts w:ascii="Graphik Regular" w:hAnsi="Graphik Regular"/>
        </w:rPr>
        <w:t xml:space="preserve">  </w:t>
      </w:r>
    </w:p>
    <w:p w14:paraId="67D54DC8" w14:textId="77777777" w:rsidR="00E81CF3" w:rsidRPr="00521468" w:rsidRDefault="00E81CF3" w:rsidP="0091032D">
      <w:pPr>
        <w:pStyle w:val="VEOHRCBodytext"/>
        <w:rPr>
          <w:rFonts w:ascii="Graphik Regular" w:hAnsi="Graphik Regular"/>
        </w:rPr>
        <w:sectPr w:rsidR="00E81CF3" w:rsidRPr="00521468" w:rsidSect="00FD2151">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09" w:footer="272" w:gutter="0"/>
          <w:cols w:space="708"/>
          <w:docGrid w:linePitch="360"/>
        </w:sectPr>
      </w:pPr>
      <w:r w:rsidRPr="00521468">
        <w:rPr>
          <w:rFonts w:ascii="Graphik Regular" w:hAnsi="Graphik Regular" w:cs="Arial"/>
          <w:iCs/>
          <w:color w:val="000000"/>
        </w:rPr>
        <w:t xml:space="preserve">The Commission will not ordinarily seek a costs order against a party in a proceeding in which </w:t>
      </w:r>
      <w:r w:rsidR="00B55992" w:rsidRPr="00521468">
        <w:rPr>
          <w:rFonts w:ascii="Graphik Regular" w:hAnsi="Graphik Regular" w:cs="Arial"/>
          <w:iCs/>
          <w:color w:val="000000"/>
        </w:rPr>
        <w:t>the Commission has intervened</w:t>
      </w:r>
      <w:r w:rsidRPr="00521468">
        <w:rPr>
          <w:rFonts w:ascii="Graphik Regular" w:hAnsi="Graphik Regular" w:cs="Arial"/>
          <w:iCs/>
          <w:color w:val="000000"/>
        </w:rPr>
        <w:t>.</w:t>
      </w:r>
    </w:p>
    <w:p w14:paraId="7D15D5E8" w14:textId="77777777" w:rsidR="0091032D" w:rsidRPr="00521468" w:rsidRDefault="0091032D" w:rsidP="0091032D">
      <w:pPr>
        <w:pStyle w:val="VEOHRCHeading1"/>
        <w:rPr>
          <w:rFonts w:ascii="Graphik Bold" w:hAnsi="Graphik Bold"/>
          <w:b w:val="0"/>
          <w:bCs w:val="0"/>
        </w:rPr>
      </w:pPr>
      <w:r w:rsidRPr="00521468">
        <w:rPr>
          <w:rFonts w:ascii="Graphik Bold" w:hAnsi="Graphik Bold"/>
          <w:b w:val="0"/>
          <w:bCs w:val="0"/>
        </w:rPr>
        <w:lastRenderedPageBreak/>
        <w:t>B. Intervention guidelines</w:t>
      </w:r>
    </w:p>
    <w:p w14:paraId="49BC26D5" w14:textId="77777777" w:rsidR="0091032D" w:rsidRPr="00521468" w:rsidRDefault="0091032D" w:rsidP="0091032D">
      <w:pPr>
        <w:rPr>
          <w:rFonts w:ascii="Graphik Regular" w:hAnsi="Graphik Regular"/>
          <w:b/>
        </w:rPr>
      </w:pPr>
    </w:p>
    <w:p w14:paraId="522A9577" w14:textId="77777777" w:rsidR="0091032D" w:rsidRPr="00521468" w:rsidRDefault="0091032D" w:rsidP="004A3740">
      <w:pPr>
        <w:pStyle w:val="VEOHRCNumberedlist"/>
        <w:rPr>
          <w:rFonts w:ascii="Graphik Regular" w:hAnsi="Graphik Regular"/>
        </w:rPr>
      </w:pPr>
      <w:r w:rsidRPr="00521468">
        <w:rPr>
          <w:rFonts w:ascii="Graphik Regular" w:hAnsi="Graphik Regular"/>
        </w:rPr>
        <w:t>The Commission may intervene in proceedings involving a question of law that relates to the application of the Charter or the interpretation of a statutory provision in accordance with the Charter, or where the Supreme Court is considering making a declaration of inconsistent interpretation.</w:t>
      </w:r>
    </w:p>
    <w:p w14:paraId="46B4D923" w14:textId="77777777" w:rsidR="0091032D" w:rsidRPr="00521468" w:rsidRDefault="0091032D" w:rsidP="004A3740">
      <w:pPr>
        <w:pStyle w:val="VEOHRCNumberedlist"/>
        <w:rPr>
          <w:rFonts w:ascii="Graphik Regular" w:hAnsi="Graphik Regular"/>
        </w:rPr>
      </w:pPr>
      <w:r w:rsidRPr="00521468">
        <w:rPr>
          <w:rFonts w:ascii="Graphik Regular" w:hAnsi="Graphik Regular"/>
        </w:rPr>
        <w:t>The Commission will consider intervening in proceedings where:</w:t>
      </w:r>
    </w:p>
    <w:p w14:paraId="22FAE491" w14:textId="77777777" w:rsidR="0091032D" w:rsidRPr="00521468" w:rsidRDefault="0091032D" w:rsidP="004A3740">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t xml:space="preserve">The Charter issues are significant and not peripheral to the proceedings; </w:t>
      </w:r>
    </w:p>
    <w:p w14:paraId="0E1F41C8" w14:textId="77777777" w:rsidR="0091032D" w:rsidRPr="00521468" w:rsidRDefault="0091032D" w:rsidP="004A3740">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t xml:space="preserve">The orders that could be made in the proceedings may significantly affect the Charter rights of persons who are not parties to the proceedings; </w:t>
      </w:r>
    </w:p>
    <w:p w14:paraId="602B447C" w14:textId="77777777" w:rsidR="0091032D" w:rsidRPr="00521468" w:rsidRDefault="0091032D" w:rsidP="004A3740">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t>The proceedings may have significant implications for the ongoing interpretation or operation of the statutory provision being interpreted in light of the Charter; and/or</w:t>
      </w:r>
    </w:p>
    <w:p w14:paraId="76EF370A" w14:textId="77777777" w:rsidR="0091032D" w:rsidRPr="00521468" w:rsidRDefault="0091032D" w:rsidP="00C7626C">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t>The proceedings may have significant implications for the ongoing application, implementation and/or operation of the Charter.</w:t>
      </w:r>
    </w:p>
    <w:p w14:paraId="521F6D59" w14:textId="77777777" w:rsidR="0091032D" w:rsidRPr="00521468" w:rsidRDefault="0091032D" w:rsidP="004A3740">
      <w:pPr>
        <w:pStyle w:val="VEOHRCNumberedlist"/>
        <w:rPr>
          <w:rFonts w:ascii="Graphik Regular" w:hAnsi="Graphik Regular"/>
        </w:rPr>
      </w:pPr>
      <w:r w:rsidRPr="00521468">
        <w:rPr>
          <w:rFonts w:ascii="Graphik Regular" w:hAnsi="Graphik Regular"/>
        </w:rPr>
        <w:t xml:space="preserve">Factors that the Commission considers relevant to its consideration of whether a matter falls within paragraph 2 of these guidelines </w:t>
      </w:r>
      <w:r w:rsidR="00E81CF3" w:rsidRPr="00521468">
        <w:rPr>
          <w:rFonts w:ascii="Graphik Regular" w:hAnsi="Graphik Regular"/>
        </w:rPr>
        <w:t>generally include</w:t>
      </w:r>
      <w:r w:rsidR="002F318E" w:rsidRPr="00521468">
        <w:rPr>
          <w:rFonts w:ascii="Graphik Regular" w:hAnsi="Graphik Regular"/>
        </w:rPr>
        <w:t xml:space="preserve"> (but are not limited to)</w:t>
      </w:r>
      <w:r w:rsidRPr="00521468">
        <w:rPr>
          <w:rFonts w:ascii="Graphik Regular" w:hAnsi="Graphik Regular"/>
        </w:rPr>
        <w:t>:</w:t>
      </w:r>
    </w:p>
    <w:p w14:paraId="1AB2CCC5" w14:textId="77777777" w:rsidR="0091032D" w:rsidRPr="00521468" w:rsidRDefault="0091032D" w:rsidP="004A3740">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t xml:space="preserve">Whether the Commission would be likely to be granted </w:t>
      </w:r>
      <w:r w:rsidR="00B55992" w:rsidRPr="00521468">
        <w:rPr>
          <w:rFonts w:ascii="Graphik Regular" w:hAnsi="Graphik Regular"/>
        </w:rPr>
        <w:t>leave</w:t>
      </w:r>
      <w:r w:rsidRPr="00521468">
        <w:rPr>
          <w:rFonts w:ascii="Graphik Regular" w:hAnsi="Graphik Regular"/>
        </w:rPr>
        <w:t xml:space="preserve"> to intervene in the absence of its statutory right, i.e.</w:t>
      </w:r>
    </w:p>
    <w:p w14:paraId="58666873" w14:textId="77777777" w:rsidR="0091032D" w:rsidRPr="00521468" w:rsidRDefault="0091032D" w:rsidP="00BC4827">
      <w:pPr>
        <w:pStyle w:val="VEOHRCListBullet2ndlevel"/>
        <w:numPr>
          <w:ilvl w:val="0"/>
          <w:numId w:val="31"/>
        </w:numPr>
        <w:rPr>
          <w:rFonts w:ascii="Graphik Regular" w:hAnsi="Graphik Regular"/>
        </w:rPr>
      </w:pPr>
      <w:r w:rsidRPr="00521468">
        <w:rPr>
          <w:rFonts w:ascii="Graphik Regular" w:hAnsi="Graphik Regular"/>
        </w:rPr>
        <w:t>Does the Commission propose to present arguments or facts that the other parties will not be canvassing?</w:t>
      </w:r>
    </w:p>
    <w:p w14:paraId="6BC1D72C" w14:textId="77777777" w:rsidR="0091032D" w:rsidRPr="00521468" w:rsidRDefault="0091032D" w:rsidP="00BC4827">
      <w:pPr>
        <w:pStyle w:val="VEOHRCListBullet2ndlevel"/>
        <w:numPr>
          <w:ilvl w:val="0"/>
          <w:numId w:val="31"/>
        </w:numPr>
        <w:rPr>
          <w:rFonts w:ascii="Graphik Regular" w:hAnsi="Graphik Regular"/>
        </w:rPr>
      </w:pPr>
      <w:r w:rsidRPr="00521468">
        <w:rPr>
          <w:rFonts w:ascii="Graphik Regular" w:hAnsi="Graphik Regular"/>
        </w:rPr>
        <w:t>Will the Commission’s involvement contribute to the decision maker reaching an informed decision?</w:t>
      </w:r>
      <w:r w:rsidRPr="00521468">
        <w:rPr>
          <w:rStyle w:val="FootnoteReference"/>
          <w:rFonts w:ascii="Graphik Regular" w:hAnsi="Graphik Regular"/>
          <w:sz w:val="22"/>
          <w:szCs w:val="22"/>
        </w:rPr>
        <w:footnoteReference w:id="2"/>
      </w:r>
    </w:p>
    <w:p w14:paraId="06689332" w14:textId="77777777" w:rsidR="0091032D" w:rsidRPr="00521468" w:rsidRDefault="0091032D" w:rsidP="004A3740">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t>Whether the case involves a new or unsettled area of the law.</w:t>
      </w:r>
    </w:p>
    <w:p w14:paraId="74E3A154" w14:textId="77777777" w:rsidR="0091032D" w:rsidRPr="00521468" w:rsidRDefault="0091032D" w:rsidP="004A3740">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t>Whether the case would clarify a disputed interpretation of the law.</w:t>
      </w:r>
    </w:p>
    <w:p w14:paraId="5BB10E3F" w14:textId="77777777" w:rsidR="0091032D" w:rsidRPr="00521468" w:rsidRDefault="0091032D" w:rsidP="004A3740">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t>Whether the case has significant ramifications beyond the parties to the proceedings.</w:t>
      </w:r>
    </w:p>
    <w:p w14:paraId="327C751B" w14:textId="77777777" w:rsidR="0091032D" w:rsidRPr="00521468" w:rsidRDefault="0091032D" w:rsidP="004A3740">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t>Whether any party has requested the Commission to intervene and whether any party would or does oppose intervention.</w:t>
      </w:r>
    </w:p>
    <w:p w14:paraId="6BA56E10" w14:textId="77777777" w:rsidR="0091032D" w:rsidRPr="00521468" w:rsidRDefault="0091032D" w:rsidP="0069788F">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t>Whether any other person or organisation is seeking leave to intervene.</w:t>
      </w:r>
    </w:p>
    <w:p w14:paraId="447C532C" w14:textId="77777777" w:rsidR="0091032D" w:rsidRPr="00521468" w:rsidRDefault="0091032D" w:rsidP="004A3740">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t>Whether the Attorney-General proposes to exercise his or her statutory right to intervene and the position that the Attorney-General intends to take.</w:t>
      </w:r>
    </w:p>
    <w:p w14:paraId="708FA675" w14:textId="77777777" w:rsidR="0091032D" w:rsidRPr="00521468" w:rsidRDefault="0091032D" w:rsidP="004A3740">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t>The likely impact of the Commission’s intervention on the individuals involved in the litigation.</w:t>
      </w:r>
      <w:r w:rsidRPr="00521468">
        <w:rPr>
          <w:rFonts w:ascii="Graphik Regular" w:hAnsi="Graphik Regular"/>
          <w:vertAlign w:val="superscript"/>
        </w:rPr>
        <w:footnoteReference w:id="3"/>
      </w:r>
    </w:p>
    <w:p w14:paraId="51F1D0C9" w14:textId="77777777" w:rsidR="0091032D" w:rsidRPr="00521468" w:rsidRDefault="0091032D" w:rsidP="004A3740">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lastRenderedPageBreak/>
        <w:t>Whether the issue is an intermediate one or will result in a final determination.</w:t>
      </w:r>
    </w:p>
    <w:p w14:paraId="44E399A4" w14:textId="77777777" w:rsidR="0091032D" w:rsidRPr="00521468" w:rsidRDefault="0091032D" w:rsidP="004A3740">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t>The resource or other administrative implications of the Commission joining the litigation in the context of all its other functions.</w:t>
      </w:r>
    </w:p>
    <w:p w14:paraId="6A8A149F" w14:textId="77777777" w:rsidR="0091032D" w:rsidRPr="00521468" w:rsidRDefault="0091032D" w:rsidP="004A3740">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t>Any broader strategic issues relating to the role, function or reputation of the Commission.</w:t>
      </w:r>
    </w:p>
    <w:p w14:paraId="4E46151E" w14:textId="77777777" w:rsidR="00E81CF3" w:rsidRPr="00521468" w:rsidRDefault="00E81CF3" w:rsidP="00E81CF3">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t xml:space="preserve">Whether the case </w:t>
      </w:r>
      <w:r w:rsidRPr="00521468">
        <w:rPr>
          <w:rFonts w:ascii="Graphik Regular" w:eastAsia="Calibri" w:hAnsi="Graphik Regular" w:cs="Arial"/>
          <w:color w:val="000000"/>
          <w:szCs w:val="24"/>
        </w:rPr>
        <w:t xml:space="preserve">involves </w:t>
      </w:r>
      <w:r w:rsidR="00F04DE5" w:rsidRPr="00521468">
        <w:rPr>
          <w:rFonts w:ascii="Graphik Regular" w:eastAsia="Calibri" w:hAnsi="Graphik Regular" w:cs="Arial"/>
          <w:color w:val="000000"/>
          <w:szCs w:val="24"/>
        </w:rPr>
        <w:t xml:space="preserve">issues </w:t>
      </w:r>
      <w:r w:rsidRPr="00521468">
        <w:rPr>
          <w:rFonts w:ascii="Graphik Regular" w:eastAsia="Calibri" w:hAnsi="Graphik Regular" w:cs="Arial"/>
          <w:color w:val="000000"/>
          <w:szCs w:val="24"/>
        </w:rPr>
        <w:t>that are a strategic priority of the Commission.</w:t>
      </w:r>
    </w:p>
    <w:p w14:paraId="71A4F550" w14:textId="77777777" w:rsidR="00E81CF3" w:rsidRPr="00521468" w:rsidRDefault="00E81CF3" w:rsidP="00E81CF3">
      <w:pPr>
        <w:pStyle w:val="VEOHRCNumberedlist"/>
        <w:numPr>
          <w:ilvl w:val="1"/>
          <w:numId w:val="25"/>
        </w:numPr>
        <w:tabs>
          <w:tab w:val="clear" w:pos="1440"/>
          <w:tab w:val="num" w:pos="720"/>
        </w:tabs>
        <w:ind w:left="720"/>
        <w:rPr>
          <w:rFonts w:ascii="Graphik Regular" w:hAnsi="Graphik Regular"/>
        </w:rPr>
      </w:pPr>
      <w:r w:rsidRPr="00521468">
        <w:rPr>
          <w:rFonts w:ascii="Graphik Regular" w:hAnsi="Graphik Regular"/>
        </w:rPr>
        <w:t>Whether the parties have legal representation.</w:t>
      </w:r>
    </w:p>
    <w:p w14:paraId="606400F6" w14:textId="77777777" w:rsidR="0091032D" w:rsidRPr="00521468" w:rsidRDefault="0091032D" w:rsidP="004A3740">
      <w:pPr>
        <w:pStyle w:val="VEOHRCNumberedlist"/>
        <w:rPr>
          <w:rFonts w:ascii="Graphik Regular" w:hAnsi="Graphik Regular"/>
        </w:rPr>
      </w:pPr>
      <w:r w:rsidRPr="00521468">
        <w:rPr>
          <w:rFonts w:ascii="Graphik Regular" w:hAnsi="Graphik Regular"/>
        </w:rPr>
        <w:t xml:space="preserve">Whilst the Commission’s intervention may in fact benefit specific individuals or groups, the Commission’s role is to advocate for the Charter and its underlying principles. </w:t>
      </w:r>
    </w:p>
    <w:p w14:paraId="7785C3CB" w14:textId="77777777" w:rsidR="0091032D" w:rsidRPr="00521468" w:rsidRDefault="0069788F" w:rsidP="004A3740">
      <w:pPr>
        <w:pStyle w:val="VEOHRCNumberedlist"/>
        <w:rPr>
          <w:rFonts w:ascii="Graphik Regular" w:hAnsi="Graphik Regular"/>
        </w:rPr>
      </w:pPr>
      <w:r w:rsidRPr="00521468">
        <w:rPr>
          <w:rFonts w:ascii="Graphik Regular" w:hAnsi="Graphik Regular"/>
        </w:rPr>
        <w:t>T</w:t>
      </w:r>
      <w:r w:rsidR="0091032D" w:rsidRPr="00521468">
        <w:rPr>
          <w:rFonts w:ascii="Graphik Regular" w:hAnsi="Graphik Regular"/>
        </w:rPr>
        <w:t xml:space="preserve">he Commission’s interventions will generally focus on questions of law, policy and issues of broader public interest rather than detailed arguments about the facts of a particular case, except to the extent that those facts are relevant to systemic issues or a broader class of persons than is otherwise represented. </w:t>
      </w:r>
    </w:p>
    <w:p w14:paraId="61B52833" w14:textId="77777777" w:rsidR="0091032D" w:rsidRPr="00521468" w:rsidRDefault="0091032D" w:rsidP="004A3740">
      <w:pPr>
        <w:pStyle w:val="VEOHRCNumberedlist"/>
        <w:rPr>
          <w:rFonts w:ascii="Graphik Regular" w:hAnsi="Graphik Regular"/>
        </w:rPr>
      </w:pPr>
      <w:r w:rsidRPr="00521468">
        <w:rPr>
          <w:rFonts w:ascii="Graphik Regular" w:hAnsi="Graphik Regular"/>
        </w:rPr>
        <w:t>Through its intervention, the Commission aims to advocate for interpretations of the Charter that fulfil the Charter’s founding principles, as set out in its Preamble:</w:t>
      </w:r>
    </w:p>
    <w:p w14:paraId="7DD40444" w14:textId="77777777" w:rsidR="0091032D" w:rsidRPr="00521468" w:rsidRDefault="0091032D" w:rsidP="0069788F">
      <w:pPr>
        <w:pStyle w:val="VEOHRCQuotation"/>
        <w:rPr>
          <w:rFonts w:ascii="Graphik Regular" w:hAnsi="Graphik Regular"/>
          <w:iCs/>
        </w:rPr>
      </w:pPr>
      <w:r w:rsidRPr="00521468">
        <w:rPr>
          <w:rFonts w:ascii="Graphik Regular" w:hAnsi="Graphik Regular"/>
          <w:iCs/>
        </w:rPr>
        <w:t>On behalf of the people of Victoria the Parliament enacts this Charter, recognising that all people are born free and equal in dignity and rights.</w:t>
      </w:r>
    </w:p>
    <w:p w14:paraId="49B49971" w14:textId="77777777" w:rsidR="0091032D" w:rsidRPr="00521468" w:rsidRDefault="0091032D" w:rsidP="0069788F">
      <w:pPr>
        <w:pStyle w:val="VEOHRCQuotation"/>
        <w:rPr>
          <w:rFonts w:ascii="Graphik Regular" w:hAnsi="Graphik Regular"/>
          <w:iCs/>
        </w:rPr>
      </w:pPr>
      <w:r w:rsidRPr="00521468">
        <w:rPr>
          <w:rFonts w:ascii="Graphik Regular" w:hAnsi="Graphik Regular"/>
          <w:iCs/>
        </w:rPr>
        <w:t xml:space="preserve">This Charter is founded on the following principles- </w:t>
      </w:r>
    </w:p>
    <w:p w14:paraId="306F5DE4" w14:textId="77777777" w:rsidR="0091032D" w:rsidRPr="00521468" w:rsidRDefault="0091032D" w:rsidP="0069788F">
      <w:pPr>
        <w:pStyle w:val="VEOHRCListBullet"/>
        <w:numPr>
          <w:ilvl w:val="0"/>
          <w:numId w:val="30"/>
        </w:numPr>
        <w:tabs>
          <w:tab w:val="clear" w:pos="360"/>
          <w:tab w:val="num" w:pos="1080"/>
        </w:tabs>
        <w:ind w:left="1080"/>
        <w:rPr>
          <w:rFonts w:ascii="Graphik Regular" w:hAnsi="Graphik Regular"/>
          <w:iCs/>
        </w:rPr>
      </w:pPr>
      <w:r w:rsidRPr="00521468">
        <w:rPr>
          <w:rFonts w:ascii="Graphik Regular" w:hAnsi="Graphik Regular"/>
          <w:iCs/>
        </w:rPr>
        <w:t>human rights are essential in a democratic and inclusive society that respects the rule of law, human dignity, equality and freedom;</w:t>
      </w:r>
    </w:p>
    <w:p w14:paraId="3B71C580" w14:textId="77777777" w:rsidR="0091032D" w:rsidRPr="00521468" w:rsidRDefault="0091032D" w:rsidP="0069788F">
      <w:pPr>
        <w:pStyle w:val="VEOHRCListBullet"/>
        <w:numPr>
          <w:ilvl w:val="0"/>
          <w:numId w:val="30"/>
        </w:numPr>
        <w:tabs>
          <w:tab w:val="clear" w:pos="360"/>
          <w:tab w:val="num" w:pos="1080"/>
        </w:tabs>
        <w:ind w:left="1080"/>
        <w:rPr>
          <w:rFonts w:ascii="Graphik Regular" w:hAnsi="Graphik Regular"/>
          <w:iCs/>
        </w:rPr>
      </w:pPr>
      <w:r w:rsidRPr="00521468">
        <w:rPr>
          <w:rFonts w:ascii="Graphik Regular" w:hAnsi="Graphik Regular"/>
          <w:iCs/>
        </w:rPr>
        <w:t>human rights belong to all people without discrimination, and the diversity of the people of Victoria enhances our community;</w:t>
      </w:r>
    </w:p>
    <w:p w14:paraId="16B298E4" w14:textId="77777777" w:rsidR="0091032D" w:rsidRPr="00521468" w:rsidRDefault="0091032D" w:rsidP="0069788F">
      <w:pPr>
        <w:pStyle w:val="VEOHRCListBullet"/>
        <w:numPr>
          <w:ilvl w:val="0"/>
          <w:numId w:val="30"/>
        </w:numPr>
        <w:tabs>
          <w:tab w:val="clear" w:pos="360"/>
          <w:tab w:val="num" w:pos="1080"/>
        </w:tabs>
        <w:ind w:left="1080"/>
        <w:rPr>
          <w:rFonts w:ascii="Graphik Regular" w:hAnsi="Graphik Regular"/>
          <w:iCs/>
        </w:rPr>
      </w:pPr>
      <w:r w:rsidRPr="00521468">
        <w:rPr>
          <w:rFonts w:ascii="Graphik Regular" w:hAnsi="Graphik Regular"/>
          <w:iCs/>
        </w:rPr>
        <w:t>human rights come with responsibilities and must be exercised in a way that respects the human rights of others;</w:t>
      </w:r>
    </w:p>
    <w:p w14:paraId="5CA0310D" w14:textId="77777777" w:rsidR="0091032D" w:rsidRPr="00521468" w:rsidRDefault="0091032D" w:rsidP="0069788F">
      <w:pPr>
        <w:pStyle w:val="VEOHRCListBullet"/>
        <w:numPr>
          <w:ilvl w:val="0"/>
          <w:numId w:val="30"/>
        </w:numPr>
        <w:tabs>
          <w:tab w:val="clear" w:pos="360"/>
          <w:tab w:val="num" w:pos="1080"/>
        </w:tabs>
        <w:ind w:left="1080"/>
        <w:rPr>
          <w:rFonts w:ascii="Graphik Regular" w:hAnsi="Graphik Regular"/>
          <w:iCs/>
        </w:rPr>
      </w:pPr>
      <w:r w:rsidRPr="00521468">
        <w:rPr>
          <w:rFonts w:ascii="Graphik Regular" w:hAnsi="Graphik Regular"/>
          <w:iCs/>
        </w:rPr>
        <w:t>human rights have a special importance for the Aboriginal people of Victoria, as descendants of Australia’s first people, with their diverse spiritual, social, cultural and economic relationship with their traditional lands and waters.</w:t>
      </w:r>
    </w:p>
    <w:p w14:paraId="0886B1D8" w14:textId="77777777" w:rsidR="002F318E" w:rsidRPr="00521468" w:rsidRDefault="002F318E" w:rsidP="00B55992">
      <w:pPr>
        <w:pStyle w:val="VEOHRCNumberedlist"/>
        <w:rPr>
          <w:rFonts w:ascii="Graphik Regular" w:hAnsi="Graphik Regular"/>
        </w:rPr>
      </w:pPr>
      <w:r w:rsidRPr="00521468">
        <w:rPr>
          <w:rFonts w:ascii="Graphik Regular" w:hAnsi="Graphik Regular"/>
        </w:rPr>
        <w:lastRenderedPageBreak/>
        <w:t>The Commission may initiate an appeal in proceedings where it has intervened</w:t>
      </w:r>
      <w:r w:rsidR="00082911" w:rsidRPr="00521468">
        <w:rPr>
          <w:rFonts w:ascii="Graphik Regular" w:hAnsi="Graphik Regular"/>
        </w:rPr>
        <w:t xml:space="preserve"> in a proceedings</w:t>
      </w:r>
      <w:r w:rsidRPr="00521468">
        <w:rPr>
          <w:rFonts w:ascii="Graphik Regular" w:hAnsi="Graphik Regular"/>
        </w:rPr>
        <w:t>.</w:t>
      </w:r>
      <w:r w:rsidR="003F7CDA" w:rsidRPr="00521468">
        <w:rPr>
          <w:rFonts w:ascii="Graphik Regular" w:hAnsi="Graphik Regular"/>
        </w:rPr>
        <w:t xml:space="preserve"> </w:t>
      </w:r>
      <w:r w:rsidRPr="00521468">
        <w:rPr>
          <w:rFonts w:ascii="Graphik Regular" w:hAnsi="Graphik Regular"/>
        </w:rPr>
        <w:t xml:space="preserve">Factors that the Commission considers relevant to its consideration of whether </w:t>
      </w:r>
      <w:r w:rsidR="003F7CDA" w:rsidRPr="00521468">
        <w:rPr>
          <w:rFonts w:ascii="Graphik Regular" w:hAnsi="Graphik Regular"/>
        </w:rPr>
        <w:t xml:space="preserve">to initiate an appeal </w:t>
      </w:r>
      <w:r w:rsidRPr="00521468">
        <w:rPr>
          <w:rFonts w:ascii="Graphik Regular" w:hAnsi="Graphik Regular"/>
        </w:rPr>
        <w:t>generally include:</w:t>
      </w:r>
    </w:p>
    <w:p w14:paraId="32615115" w14:textId="77777777" w:rsidR="00E81CF3" w:rsidRPr="00521468" w:rsidRDefault="00E81CF3" w:rsidP="00B55992">
      <w:pPr>
        <w:pStyle w:val="VEOHRCNumberedlist"/>
        <w:numPr>
          <w:ilvl w:val="1"/>
          <w:numId w:val="25"/>
        </w:numPr>
        <w:rPr>
          <w:rFonts w:ascii="Graphik Regular" w:hAnsi="Graphik Regular"/>
        </w:rPr>
      </w:pPr>
      <w:r w:rsidRPr="00521468">
        <w:rPr>
          <w:rFonts w:ascii="Graphik Regular" w:hAnsi="Graphik Regular"/>
        </w:rPr>
        <w:t>the factors outlined in paragraph 3 above; and</w:t>
      </w:r>
    </w:p>
    <w:p w14:paraId="5A707383" w14:textId="77777777" w:rsidR="00E81CF3" w:rsidRPr="00521468" w:rsidRDefault="00E81CF3" w:rsidP="00B55992">
      <w:pPr>
        <w:pStyle w:val="VEOHRCNumberedlist"/>
        <w:numPr>
          <w:ilvl w:val="1"/>
          <w:numId w:val="25"/>
        </w:numPr>
        <w:rPr>
          <w:rFonts w:ascii="Graphik Regular" w:hAnsi="Graphik Regular"/>
        </w:rPr>
      </w:pPr>
      <w:r w:rsidRPr="00521468">
        <w:rPr>
          <w:rFonts w:ascii="Graphik Regular" w:hAnsi="Graphik Regular"/>
        </w:rPr>
        <w:t>the merits of the appeal.</w:t>
      </w:r>
    </w:p>
    <w:p w14:paraId="270C3D1C" w14:textId="77777777" w:rsidR="00105F5C" w:rsidRPr="00521468" w:rsidRDefault="00105F5C" w:rsidP="00B55992">
      <w:pPr>
        <w:pStyle w:val="VEOHRCNumberedlist"/>
        <w:rPr>
          <w:rFonts w:ascii="Graphik Regular" w:hAnsi="Graphik Regular"/>
          <w:szCs w:val="24"/>
        </w:rPr>
      </w:pPr>
      <w:r w:rsidRPr="00521468">
        <w:rPr>
          <w:rFonts w:ascii="Graphik Regular" w:hAnsi="Graphik Regular" w:cs="Arial"/>
          <w:color w:val="000000"/>
          <w:szCs w:val="24"/>
        </w:rPr>
        <w:t>The Commissioner or a delegate of the Commissioner can make a decision about whether or not to intervene in proceedings.</w:t>
      </w:r>
    </w:p>
    <w:p w14:paraId="1B9130D1" w14:textId="77777777" w:rsidR="0091032D" w:rsidRPr="00521468" w:rsidRDefault="0091032D" w:rsidP="00CF0C3B">
      <w:pPr>
        <w:pStyle w:val="VEOHRCHeading1"/>
        <w:rPr>
          <w:rFonts w:ascii="Graphik Bold" w:hAnsi="Graphik Bold"/>
          <w:b w:val="0"/>
          <w:bCs w:val="0"/>
        </w:rPr>
      </w:pPr>
      <w:r w:rsidRPr="00521468">
        <w:rPr>
          <w:rFonts w:ascii="Graphik Regular" w:hAnsi="Graphik Regular"/>
          <w:sz w:val="24"/>
          <w:szCs w:val="22"/>
        </w:rPr>
        <w:br w:type="page"/>
      </w:r>
      <w:r w:rsidRPr="00521468">
        <w:rPr>
          <w:rFonts w:ascii="Graphik Bold" w:hAnsi="Graphik Bold"/>
          <w:b w:val="0"/>
          <w:bCs w:val="0"/>
        </w:rPr>
        <w:lastRenderedPageBreak/>
        <w:t>C. Review protocol</w:t>
      </w:r>
    </w:p>
    <w:p w14:paraId="2C0A8D01" w14:textId="77777777" w:rsidR="008C1F2A" w:rsidRPr="00521468" w:rsidRDefault="008C1F2A" w:rsidP="00CF0C3B">
      <w:pPr>
        <w:autoSpaceDE w:val="0"/>
        <w:autoSpaceDN w:val="0"/>
        <w:adjustRightInd w:val="0"/>
        <w:rPr>
          <w:rFonts w:ascii="Graphik Regular" w:hAnsi="Graphik Regular"/>
        </w:rPr>
      </w:pPr>
    </w:p>
    <w:p w14:paraId="2BD0395B" w14:textId="77777777" w:rsidR="00CF0C3B" w:rsidRPr="00521468" w:rsidRDefault="00CF0C3B" w:rsidP="00CF0C3B">
      <w:pPr>
        <w:autoSpaceDE w:val="0"/>
        <w:autoSpaceDN w:val="0"/>
        <w:adjustRightInd w:val="0"/>
        <w:rPr>
          <w:rFonts w:ascii="Graphik Regular" w:hAnsi="Graphik Regular" w:cs="Arial"/>
        </w:rPr>
      </w:pPr>
      <w:r w:rsidRPr="00521468">
        <w:rPr>
          <w:rFonts w:ascii="Graphik Regular" w:hAnsi="Graphik Regular" w:cs="Arial"/>
        </w:rPr>
        <w:t>These guidelines will be subject to regular review. We invite your feedback about these guidelines and the use of our functions more generally.</w:t>
      </w:r>
    </w:p>
    <w:p w14:paraId="6E35114D" w14:textId="77777777" w:rsidR="00CF0C3B" w:rsidRPr="00521468" w:rsidRDefault="00CF0C3B" w:rsidP="00CF0C3B">
      <w:pPr>
        <w:autoSpaceDE w:val="0"/>
        <w:autoSpaceDN w:val="0"/>
        <w:adjustRightInd w:val="0"/>
        <w:rPr>
          <w:rFonts w:ascii="Graphik Regular" w:hAnsi="Graphik Regular" w:cs="Arial"/>
        </w:rPr>
      </w:pPr>
    </w:p>
    <w:p w14:paraId="04E5AE7D" w14:textId="77777777" w:rsidR="00CF0C3B" w:rsidRPr="00521468" w:rsidRDefault="00CF0C3B" w:rsidP="00CF0C3B">
      <w:pPr>
        <w:autoSpaceDE w:val="0"/>
        <w:autoSpaceDN w:val="0"/>
        <w:adjustRightInd w:val="0"/>
        <w:rPr>
          <w:rFonts w:ascii="Graphik Regular" w:hAnsi="Graphik Regular" w:cs="Arial"/>
        </w:rPr>
      </w:pPr>
      <w:r w:rsidRPr="00521468">
        <w:rPr>
          <w:rFonts w:ascii="Graphik Regular" w:hAnsi="Graphik Regular" w:cs="Arial"/>
          <w:b/>
          <w:bCs/>
        </w:rPr>
        <w:t xml:space="preserve">Contact: </w:t>
      </w:r>
      <w:r w:rsidRPr="00521468">
        <w:rPr>
          <w:rFonts w:ascii="Graphik Regular" w:hAnsi="Graphik Regular" w:cs="Arial"/>
        </w:rPr>
        <w:t>Manager, Legal Unit</w:t>
      </w:r>
    </w:p>
    <w:p w14:paraId="7A639A18" w14:textId="77777777" w:rsidR="00CF0C3B" w:rsidRPr="00521468" w:rsidRDefault="00CF0C3B" w:rsidP="00CF0C3B">
      <w:pPr>
        <w:autoSpaceDE w:val="0"/>
        <w:autoSpaceDN w:val="0"/>
        <w:adjustRightInd w:val="0"/>
        <w:rPr>
          <w:rFonts w:ascii="Graphik Regular" w:hAnsi="Graphik Regular" w:cs="Arial"/>
        </w:rPr>
      </w:pPr>
      <w:r w:rsidRPr="00521468">
        <w:rPr>
          <w:rFonts w:ascii="Graphik Regular" w:hAnsi="Graphik Regular" w:cs="Arial"/>
          <w:b/>
          <w:bCs/>
        </w:rPr>
        <w:t xml:space="preserve">Phone: </w:t>
      </w:r>
      <w:r w:rsidRPr="00521468">
        <w:rPr>
          <w:rFonts w:ascii="Graphik Regular" w:hAnsi="Graphik Regular" w:cs="Arial"/>
        </w:rPr>
        <w:t>(03) 9032 3431</w:t>
      </w:r>
    </w:p>
    <w:p w14:paraId="5A1B7CC2" w14:textId="77777777" w:rsidR="00CF0C3B" w:rsidRPr="00521468" w:rsidRDefault="00CF0C3B" w:rsidP="00CF0C3B">
      <w:pPr>
        <w:autoSpaceDE w:val="0"/>
        <w:autoSpaceDN w:val="0"/>
        <w:adjustRightInd w:val="0"/>
        <w:rPr>
          <w:rFonts w:ascii="Graphik Regular" w:hAnsi="Graphik Regular" w:cs="Arial"/>
        </w:rPr>
      </w:pPr>
      <w:r w:rsidRPr="00521468">
        <w:rPr>
          <w:rFonts w:ascii="Graphik Regular" w:hAnsi="Graphik Regular" w:cs="Arial"/>
          <w:b/>
          <w:bCs/>
        </w:rPr>
        <w:t xml:space="preserve">Email: </w:t>
      </w:r>
      <w:r w:rsidRPr="00521468">
        <w:rPr>
          <w:rFonts w:ascii="Graphik Regular" w:hAnsi="Graphik Regular" w:cs="Arial"/>
        </w:rPr>
        <w:t>legal@veohrc.vic.gov.au</w:t>
      </w:r>
    </w:p>
    <w:p w14:paraId="6B8E09FF" w14:textId="77777777" w:rsidR="00CF0C3B" w:rsidRPr="00521468" w:rsidRDefault="00CF0C3B" w:rsidP="00CF0C3B">
      <w:pPr>
        <w:pStyle w:val="VEOHRCBodytext"/>
        <w:rPr>
          <w:rFonts w:ascii="Graphik Regular" w:hAnsi="Graphik Regular"/>
        </w:rPr>
      </w:pPr>
    </w:p>
    <w:p w14:paraId="1AF8EFD2" w14:textId="4F542BA4" w:rsidR="00FD195A" w:rsidRPr="00521468" w:rsidRDefault="00FD195A" w:rsidP="00521468">
      <w:pPr>
        <w:rPr>
          <w:rFonts w:ascii="Graphik Regular" w:hAnsi="Graphik Regular"/>
        </w:rPr>
      </w:pPr>
      <w:r w:rsidRPr="00521468">
        <w:rPr>
          <w:rFonts w:ascii="Graphik Regular" w:hAnsi="Graphik Regular"/>
        </w:rPr>
        <w:br w:type="page"/>
      </w:r>
      <w:r w:rsidR="00616993">
        <w:rPr>
          <w:rFonts w:ascii="Graphik Regular" w:hAnsi="Graphik Regular"/>
        </w:rPr>
        <w:lastRenderedPageBreak/>
        <w:pict w14:anchorId="2851E3B0">
          <v:shape id="_x0000_i1026" type="#_x0000_t75" style="width:266.25pt;height:39.75pt">
            <v:imagedata r:id="rId8" o:title="VEOHRC_Primary Logo_Digital"/>
          </v:shape>
        </w:pict>
      </w:r>
      <w:bookmarkStart w:id="0" w:name="_Toc287949169"/>
    </w:p>
    <w:p w14:paraId="5B150CC6" w14:textId="77777777" w:rsidR="00FD195A" w:rsidRPr="00521468" w:rsidRDefault="00FD195A" w:rsidP="00FD195A">
      <w:pPr>
        <w:pStyle w:val="VEOHRCHeading3"/>
        <w:rPr>
          <w:rFonts w:ascii="Graphik Bold" w:hAnsi="Graphik Bold"/>
          <w:b w:val="0"/>
          <w:bCs w:val="0"/>
        </w:rPr>
      </w:pPr>
      <w:r w:rsidRPr="00521468">
        <w:rPr>
          <w:rFonts w:ascii="Graphik Bold" w:hAnsi="Graphik Bold"/>
          <w:b w:val="0"/>
          <w:bCs w:val="0"/>
        </w:rPr>
        <w:t>Contact us</w:t>
      </w:r>
      <w:bookmarkEnd w:id="0"/>
    </w:p>
    <w:p w14:paraId="5197FEB1" w14:textId="5E8A519E" w:rsidR="00FD195A" w:rsidRPr="00521468" w:rsidRDefault="00FD195A" w:rsidP="00FD195A">
      <w:pPr>
        <w:pStyle w:val="VEOHRCBodytext"/>
        <w:tabs>
          <w:tab w:val="left" w:pos="2640"/>
        </w:tabs>
        <w:rPr>
          <w:rFonts w:ascii="Graphik Regular" w:hAnsi="Graphik Regular"/>
        </w:rPr>
      </w:pPr>
      <w:r w:rsidRPr="00521468">
        <w:rPr>
          <w:rFonts w:ascii="Graphik Regular" w:hAnsi="Graphik Regular"/>
        </w:rPr>
        <w:t xml:space="preserve">Enquiry Line </w:t>
      </w:r>
      <w:r w:rsidRPr="00521468">
        <w:rPr>
          <w:rFonts w:ascii="Graphik Regular" w:hAnsi="Graphik Regular"/>
        </w:rPr>
        <w:tab/>
        <w:t>1300 292 153 or (03) 9032 3583</w:t>
      </w:r>
      <w:r w:rsidRPr="00521468">
        <w:rPr>
          <w:rFonts w:ascii="Graphik Regular" w:hAnsi="Graphik Regular"/>
        </w:rPr>
        <w:br/>
        <w:t>Fax</w:t>
      </w:r>
      <w:r w:rsidRPr="00521468">
        <w:rPr>
          <w:rFonts w:ascii="Graphik Regular" w:hAnsi="Graphik Regular"/>
        </w:rPr>
        <w:tab/>
        <w:t xml:space="preserve">1300 </w:t>
      </w:r>
      <w:r w:rsidR="00A0351F" w:rsidRPr="00A0351F">
        <w:rPr>
          <w:rFonts w:ascii="Graphik Regular" w:hAnsi="Graphik Regular" w:cs="Arial"/>
          <w:color w:val="000000"/>
          <w:shd w:val="clear" w:color="auto" w:fill="FFFFFF"/>
        </w:rPr>
        <w:t>286 834</w:t>
      </w:r>
      <w:r w:rsidRPr="00521468">
        <w:rPr>
          <w:rFonts w:ascii="Graphik Regular" w:hAnsi="Graphik Regular"/>
        </w:rPr>
        <w:br/>
        <w:t>Hearing impaired (TTY)</w:t>
      </w:r>
      <w:r w:rsidRPr="00521468">
        <w:rPr>
          <w:rFonts w:ascii="Graphik Regular" w:hAnsi="Graphik Regular"/>
        </w:rPr>
        <w:tab/>
        <w:t>1300 289 621</w:t>
      </w:r>
      <w:r w:rsidRPr="00521468">
        <w:rPr>
          <w:rFonts w:ascii="Graphik Regular" w:hAnsi="Graphik Regular"/>
        </w:rPr>
        <w:br/>
        <w:t>Interpreters</w:t>
      </w:r>
      <w:r w:rsidRPr="00521468">
        <w:rPr>
          <w:rFonts w:ascii="Graphik Regular" w:hAnsi="Graphik Regular"/>
        </w:rPr>
        <w:tab/>
        <w:t>1300 152 494</w:t>
      </w:r>
      <w:r w:rsidRPr="00521468">
        <w:rPr>
          <w:rFonts w:ascii="Graphik Regular" w:hAnsi="Graphik Regular"/>
        </w:rPr>
        <w:br/>
        <w:t>Email</w:t>
      </w:r>
      <w:r w:rsidRPr="00521468">
        <w:rPr>
          <w:rFonts w:ascii="Graphik Regular" w:hAnsi="Graphik Regular"/>
        </w:rPr>
        <w:tab/>
      </w:r>
      <w:hyperlink r:id="rId15" w:history="1">
        <w:r w:rsidR="00521468" w:rsidRPr="00B102EC">
          <w:rPr>
            <w:rStyle w:val="Hyperlink"/>
            <w:rFonts w:ascii="Graphik Regular" w:hAnsi="Graphik Regular"/>
            <w:u w:val="none"/>
          </w:rPr>
          <w:t>enquiries@veohrc.vic.gov.au</w:t>
        </w:r>
      </w:hyperlink>
      <w:r w:rsidRPr="00521468">
        <w:rPr>
          <w:rFonts w:ascii="Graphik Regular" w:hAnsi="Graphik Regular"/>
        </w:rPr>
        <w:br/>
        <w:t>Website</w:t>
      </w:r>
      <w:r w:rsidRPr="00521468">
        <w:rPr>
          <w:rFonts w:ascii="Graphik Regular" w:hAnsi="Graphik Regular"/>
        </w:rPr>
        <w:tab/>
      </w:r>
      <w:hyperlink r:id="rId16" w:history="1">
        <w:r w:rsidRPr="00521468">
          <w:rPr>
            <w:rStyle w:val="VEOHRCURLChar"/>
            <w:rFonts w:ascii="Graphik Regular" w:hAnsi="Graphik Regular"/>
          </w:rPr>
          <w:t>humanrights.vic.gov.au</w:t>
        </w:r>
      </w:hyperlink>
    </w:p>
    <w:p w14:paraId="4F12A251" w14:textId="77777777" w:rsidR="00FD195A" w:rsidRPr="00521468" w:rsidRDefault="00FD195A" w:rsidP="00FD195A">
      <w:pPr>
        <w:pStyle w:val="VEOHRCBodytext"/>
        <w:rPr>
          <w:rFonts w:ascii="Graphik Regular" w:hAnsi="Graphik Regular"/>
          <w:sz w:val="48"/>
          <w:szCs w:val="48"/>
        </w:rPr>
      </w:pPr>
    </w:p>
    <w:p w14:paraId="18E9EB59" w14:textId="3A544760" w:rsidR="00FD195A" w:rsidRPr="00521468" w:rsidRDefault="00FD195A" w:rsidP="00FD195A">
      <w:pPr>
        <w:pStyle w:val="VEOHRCBodytext"/>
        <w:rPr>
          <w:rFonts w:ascii="Graphik Medium" w:hAnsi="Graphik Medium"/>
          <w:sz w:val="48"/>
          <w:szCs w:val="48"/>
        </w:rPr>
      </w:pPr>
      <w:r w:rsidRPr="00521468">
        <w:rPr>
          <w:rFonts w:ascii="Graphik Medium" w:hAnsi="Graphik Medium"/>
          <w:sz w:val="48"/>
          <w:szCs w:val="48"/>
        </w:rPr>
        <w:t>humanrights.vic.gov.au</w:t>
      </w:r>
    </w:p>
    <w:p w14:paraId="60F67AB7" w14:textId="77777777" w:rsidR="0091032D" w:rsidRPr="00521468" w:rsidRDefault="0091032D" w:rsidP="0091032D">
      <w:pPr>
        <w:pStyle w:val="VEOHRCBodytext"/>
        <w:rPr>
          <w:rFonts w:ascii="Graphik Regular" w:hAnsi="Graphik Regular"/>
        </w:rPr>
      </w:pPr>
    </w:p>
    <w:p w14:paraId="6ACE9FF6" w14:textId="77777777" w:rsidR="0091032D" w:rsidRPr="00521468" w:rsidRDefault="0091032D" w:rsidP="0091032D">
      <w:pPr>
        <w:spacing w:line="360" w:lineRule="auto"/>
        <w:rPr>
          <w:rFonts w:ascii="Graphik Regular" w:hAnsi="Graphik Regular"/>
          <w:sz w:val="22"/>
          <w:szCs w:val="22"/>
        </w:rPr>
      </w:pPr>
    </w:p>
    <w:p w14:paraId="13DB8646" w14:textId="77777777" w:rsidR="0091032D" w:rsidRPr="00521468" w:rsidRDefault="0091032D" w:rsidP="0091032D">
      <w:pPr>
        <w:spacing w:line="360" w:lineRule="auto"/>
        <w:rPr>
          <w:rFonts w:ascii="Graphik Regular" w:hAnsi="Graphik Regular"/>
          <w:sz w:val="22"/>
          <w:szCs w:val="22"/>
        </w:rPr>
      </w:pPr>
    </w:p>
    <w:p w14:paraId="67BAE01A" w14:textId="77777777" w:rsidR="0091032D" w:rsidRPr="00521468" w:rsidRDefault="0091032D" w:rsidP="0091032D">
      <w:pPr>
        <w:spacing w:line="360" w:lineRule="auto"/>
        <w:rPr>
          <w:rFonts w:ascii="Graphik Regular" w:hAnsi="Graphik Regular"/>
          <w:sz w:val="22"/>
          <w:szCs w:val="22"/>
        </w:rPr>
      </w:pPr>
    </w:p>
    <w:p w14:paraId="073439E3" w14:textId="77777777" w:rsidR="0091032D" w:rsidRPr="00521468" w:rsidRDefault="0091032D" w:rsidP="0091032D">
      <w:pPr>
        <w:spacing w:line="360" w:lineRule="auto"/>
        <w:rPr>
          <w:rFonts w:ascii="Graphik Regular" w:hAnsi="Graphik Regular"/>
          <w:sz w:val="22"/>
          <w:szCs w:val="22"/>
        </w:rPr>
      </w:pPr>
    </w:p>
    <w:p w14:paraId="799D7747" w14:textId="77777777" w:rsidR="0091032D" w:rsidRPr="00521468" w:rsidRDefault="0091032D" w:rsidP="0091032D">
      <w:pPr>
        <w:spacing w:line="360" w:lineRule="auto"/>
        <w:rPr>
          <w:rFonts w:ascii="Graphik Regular" w:hAnsi="Graphik Regular"/>
          <w:sz w:val="22"/>
          <w:szCs w:val="22"/>
        </w:rPr>
      </w:pPr>
    </w:p>
    <w:p w14:paraId="28F5D961" w14:textId="77777777" w:rsidR="0091032D" w:rsidRPr="00521468" w:rsidRDefault="0091032D" w:rsidP="0091032D">
      <w:pPr>
        <w:spacing w:line="360" w:lineRule="auto"/>
        <w:rPr>
          <w:rFonts w:ascii="Graphik Regular" w:hAnsi="Graphik Regular"/>
          <w:sz w:val="22"/>
          <w:szCs w:val="22"/>
        </w:rPr>
      </w:pPr>
    </w:p>
    <w:p w14:paraId="7AA11801" w14:textId="77777777" w:rsidR="0091032D" w:rsidRPr="00521468" w:rsidRDefault="0091032D" w:rsidP="0091032D">
      <w:pPr>
        <w:spacing w:line="360" w:lineRule="auto"/>
        <w:rPr>
          <w:rFonts w:ascii="Graphik Regular" w:hAnsi="Graphik Regular"/>
          <w:sz w:val="22"/>
          <w:szCs w:val="22"/>
        </w:rPr>
      </w:pPr>
    </w:p>
    <w:p w14:paraId="1122E04B" w14:textId="77777777" w:rsidR="0091032D" w:rsidRPr="00521468" w:rsidRDefault="0091032D" w:rsidP="0091032D">
      <w:pPr>
        <w:spacing w:line="360" w:lineRule="auto"/>
        <w:rPr>
          <w:rFonts w:ascii="Graphik Regular" w:hAnsi="Graphik Regular"/>
          <w:sz w:val="22"/>
          <w:szCs w:val="22"/>
        </w:rPr>
      </w:pPr>
    </w:p>
    <w:p w14:paraId="02034F87" w14:textId="77777777" w:rsidR="00EB5C27" w:rsidRPr="00521468" w:rsidRDefault="00EB5C27" w:rsidP="003846ED">
      <w:pPr>
        <w:rPr>
          <w:rFonts w:ascii="Graphik Regular" w:hAnsi="Graphik Regular"/>
        </w:rPr>
      </w:pPr>
    </w:p>
    <w:sectPr w:rsidR="00EB5C27" w:rsidRPr="00521468" w:rsidSect="00FD2151">
      <w:pgSz w:w="11906" w:h="16838" w:code="9"/>
      <w:pgMar w:top="1134" w:right="1418" w:bottom="1134" w:left="1418"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05A5B" w14:textId="77777777" w:rsidR="00E56119" w:rsidRDefault="00E56119">
      <w:r>
        <w:separator/>
      </w:r>
    </w:p>
  </w:endnote>
  <w:endnote w:type="continuationSeparator" w:id="0">
    <w:p w14:paraId="26160EBF" w14:textId="77777777" w:rsidR="00E56119" w:rsidRDefault="00E5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0000000000000000000"/>
    <w:charset w:val="00"/>
    <w:family w:val="swiss"/>
    <w:notTrueType/>
    <w:pitch w:val="variable"/>
    <w:sig w:usb0="00000003" w:usb1="00000000" w:usb2="00000000" w:usb3="00000000" w:csb0="00000001" w:csb1="00000000"/>
  </w:font>
  <w:font w:name="Frutiger 55 Roman">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raphik Regular">
    <w:panose1 w:val="020B0503030202060203"/>
    <w:charset w:val="00"/>
    <w:family w:val="swiss"/>
    <w:notTrueType/>
    <w:pitch w:val="variable"/>
    <w:sig w:usb0="A000002F" w:usb1="4000045A"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Graphik Bold">
    <w:panose1 w:val="020B0803030202060203"/>
    <w:charset w:val="00"/>
    <w:family w:val="swiss"/>
    <w:notTrueType/>
    <w:pitch w:val="variable"/>
    <w:sig w:usb0="A000002F" w:usb1="4000045A" w:usb2="00000000" w:usb3="00000000" w:csb0="00000093" w:csb1="00000000"/>
  </w:font>
  <w:font w:name="Graphik Medium">
    <w:panose1 w:val="020B0603030202060203"/>
    <w:charset w:val="00"/>
    <w:family w:val="swiss"/>
    <w:notTrueType/>
    <w:pitch w:val="variable"/>
    <w:sig w:usb0="A000002F" w:usb1="4000045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61258" w14:textId="77777777" w:rsidR="00616993" w:rsidRDefault="00616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2F203" w14:textId="77777777" w:rsidR="003748C0" w:rsidRPr="00BD79E3" w:rsidRDefault="003748C0" w:rsidP="00BD79E3">
    <w:pPr>
      <w:pStyle w:val="Footer"/>
      <w:tabs>
        <w:tab w:val="clear" w:pos="4153"/>
        <w:tab w:val="clear" w:pos="8306"/>
        <w:tab w:val="right" w:pos="8820"/>
      </w:tabs>
      <w:rPr>
        <w:rFonts w:ascii="Arial" w:hAnsi="Arial" w:cs="Arial"/>
        <w:sz w:val="18"/>
        <w:szCs w:val="18"/>
      </w:rPr>
    </w:pPr>
    <w:r w:rsidRPr="0085507B">
      <w:rPr>
        <w:rFonts w:ascii="Arial" w:hAnsi="Arial" w:cs="Arial"/>
        <w:i/>
        <w:sz w:val="18"/>
        <w:szCs w:val="18"/>
      </w:rPr>
      <w:t>The Victorian Equal Opportunity and Human Rights Commission intervention power under the Charter of Human Rights and Responsibilities</w:t>
    </w:r>
    <w:r w:rsidR="002B4A0E">
      <w:rPr>
        <w:rFonts w:ascii="Arial" w:hAnsi="Arial" w:cs="Arial"/>
        <w:i/>
        <w:sz w:val="18"/>
        <w:szCs w:val="18"/>
      </w:rPr>
      <w:t xml:space="preserve"> – this document was last revised </w:t>
    </w:r>
    <w:r w:rsidR="0025344D">
      <w:rPr>
        <w:rFonts w:ascii="Arial" w:hAnsi="Arial" w:cs="Arial"/>
        <w:i/>
        <w:sz w:val="18"/>
        <w:szCs w:val="18"/>
      </w:rPr>
      <w:t xml:space="preserve">on </w:t>
    </w:r>
    <w:r w:rsidR="002B4A0E">
      <w:rPr>
        <w:rFonts w:ascii="Arial" w:hAnsi="Arial" w:cs="Arial"/>
        <w:i/>
        <w:sz w:val="18"/>
        <w:szCs w:val="18"/>
      </w:rPr>
      <w:t>8 May 2018</w:t>
    </w:r>
    <w:r w:rsidRPr="00BD79E3">
      <w:rPr>
        <w:rFonts w:ascii="Arial" w:hAnsi="Arial" w:cs="Arial"/>
        <w:sz w:val="18"/>
        <w:szCs w:val="18"/>
      </w:rPr>
      <w:tab/>
      <w:t xml:space="preserve">Page </w:t>
    </w:r>
    <w:r w:rsidRPr="00BD79E3">
      <w:rPr>
        <w:rStyle w:val="PageNumber"/>
        <w:rFonts w:ascii="Arial" w:hAnsi="Arial" w:cs="Arial"/>
        <w:sz w:val="18"/>
        <w:szCs w:val="18"/>
      </w:rPr>
      <w:fldChar w:fldCharType="begin"/>
    </w:r>
    <w:r w:rsidRPr="00BD79E3">
      <w:rPr>
        <w:rStyle w:val="PageNumber"/>
        <w:rFonts w:ascii="Arial" w:hAnsi="Arial" w:cs="Arial"/>
        <w:sz w:val="18"/>
        <w:szCs w:val="18"/>
      </w:rPr>
      <w:instrText xml:space="preserve"> PAGE </w:instrText>
    </w:r>
    <w:r w:rsidRPr="00BD79E3">
      <w:rPr>
        <w:rStyle w:val="PageNumber"/>
        <w:rFonts w:ascii="Arial" w:hAnsi="Arial" w:cs="Arial"/>
        <w:sz w:val="18"/>
        <w:szCs w:val="18"/>
      </w:rPr>
      <w:fldChar w:fldCharType="separate"/>
    </w:r>
    <w:r w:rsidR="0059136A">
      <w:rPr>
        <w:rStyle w:val="PageNumber"/>
        <w:rFonts w:ascii="Arial" w:hAnsi="Arial" w:cs="Arial"/>
        <w:noProof/>
        <w:sz w:val="18"/>
        <w:szCs w:val="18"/>
      </w:rPr>
      <w:t>1</w:t>
    </w:r>
    <w:r w:rsidRPr="00BD79E3">
      <w:rPr>
        <w:rStyle w:val="PageNumber"/>
        <w:rFonts w:ascii="Arial" w:hAnsi="Arial" w:cs="Arial"/>
        <w:sz w:val="18"/>
        <w:szCs w:val="18"/>
      </w:rPr>
      <w:fldChar w:fldCharType="end"/>
    </w:r>
    <w:r w:rsidRPr="00BD79E3">
      <w:rPr>
        <w:rStyle w:val="PageNumber"/>
        <w:rFonts w:ascii="Arial" w:hAnsi="Arial" w:cs="Arial"/>
        <w:sz w:val="18"/>
        <w:szCs w:val="18"/>
      </w:rPr>
      <w:t xml:space="preserve"> of </w:t>
    </w:r>
    <w:r w:rsidRPr="00BD79E3">
      <w:rPr>
        <w:rStyle w:val="PageNumber"/>
        <w:rFonts w:ascii="Arial" w:hAnsi="Arial" w:cs="Arial"/>
        <w:sz w:val="18"/>
        <w:szCs w:val="18"/>
      </w:rPr>
      <w:fldChar w:fldCharType="begin"/>
    </w:r>
    <w:r w:rsidRPr="00BD79E3">
      <w:rPr>
        <w:rStyle w:val="PageNumber"/>
        <w:rFonts w:ascii="Arial" w:hAnsi="Arial" w:cs="Arial"/>
        <w:sz w:val="18"/>
        <w:szCs w:val="18"/>
      </w:rPr>
      <w:instrText xml:space="preserve"> NUMPAGES </w:instrText>
    </w:r>
    <w:r w:rsidRPr="00BD79E3">
      <w:rPr>
        <w:rStyle w:val="PageNumber"/>
        <w:rFonts w:ascii="Arial" w:hAnsi="Arial" w:cs="Arial"/>
        <w:sz w:val="18"/>
        <w:szCs w:val="18"/>
      </w:rPr>
      <w:fldChar w:fldCharType="separate"/>
    </w:r>
    <w:r w:rsidR="0059136A">
      <w:rPr>
        <w:rStyle w:val="PageNumber"/>
        <w:rFonts w:ascii="Arial" w:hAnsi="Arial" w:cs="Arial"/>
        <w:noProof/>
        <w:sz w:val="18"/>
        <w:szCs w:val="18"/>
      </w:rPr>
      <w:t>8</w:t>
    </w:r>
    <w:r w:rsidRPr="00BD79E3">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1A053" w14:textId="77777777" w:rsidR="00616993" w:rsidRDefault="00616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E9CF2" w14:textId="77777777" w:rsidR="00E56119" w:rsidRDefault="00E56119">
      <w:r>
        <w:separator/>
      </w:r>
    </w:p>
  </w:footnote>
  <w:footnote w:type="continuationSeparator" w:id="0">
    <w:p w14:paraId="77046AF8" w14:textId="77777777" w:rsidR="00E56119" w:rsidRDefault="00E56119">
      <w:r>
        <w:continuationSeparator/>
      </w:r>
    </w:p>
  </w:footnote>
  <w:footnote w:id="1">
    <w:p w14:paraId="294154A2" w14:textId="77777777" w:rsidR="00B55992" w:rsidRDefault="00B55992">
      <w:pPr>
        <w:pStyle w:val="FootnoteText"/>
      </w:pPr>
      <w:r>
        <w:rPr>
          <w:rStyle w:val="FootnoteReference"/>
        </w:rPr>
        <w:footnoteRef/>
      </w:r>
      <w:r>
        <w:t xml:space="preserve"> Subsection 73(1) of the </w:t>
      </w:r>
      <w:r w:rsidRPr="002F7737">
        <w:rPr>
          <w:i/>
        </w:rPr>
        <w:t>Victorian</w:t>
      </w:r>
      <w:r>
        <w:rPr>
          <w:i/>
        </w:rPr>
        <w:t xml:space="preserve"> Civil and Administrative Tribunal Act 1998</w:t>
      </w:r>
      <w:r>
        <w:t xml:space="preserve"> (Vic) provides the Attorney-General with a right to intervene whilst section 110 specifies that the Attorney-General may have costs orders made against him. Section 427 of the </w:t>
      </w:r>
      <w:r w:rsidRPr="005D222E">
        <w:rPr>
          <w:i/>
        </w:rPr>
        <w:t>Co-operatives Act 1996</w:t>
      </w:r>
      <w:r>
        <w:t xml:space="preserve"> (Vic) provides the Registrar with a statutory right to intervene and specifies that it “has all the rights, duties </w:t>
      </w:r>
      <w:r w:rsidRPr="00E2755E">
        <w:rPr>
          <w:i/>
        </w:rPr>
        <w:t>and</w:t>
      </w:r>
      <w:r>
        <w:t xml:space="preserve"> </w:t>
      </w:r>
      <w:r>
        <w:rPr>
          <w:i/>
        </w:rPr>
        <w:t>liabilities</w:t>
      </w:r>
      <w:r>
        <w:t>” of other parties to the proceedings (emphasis added).</w:t>
      </w:r>
    </w:p>
  </w:footnote>
  <w:footnote w:id="2">
    <w:p w14:paraId="4A5887C5" w14:textId="77777777" w:rsidR="003748C0" w:rsidRDefault="003748C0" w:rsidP="0091032D">
      <w:pPr>
        <w:pStyle w:val="FootnoteText"/>
      </w:pPr>
      <w:r>
        <w:rPr>
          <w:rStyle w:val="FootnoteReference"/>
        </w:rPr>
        <w:footnoteRef/>
      </w:r>
      <w:r>
        <w:t xml:space="preserve"> </w:t>
      </w:r>
      <w:r w:rsidRPr="00423149">
        <w:rPr>
          <w:i/>
        </w:rPr>
        <w:t xml:space="preserve">Levy v </w:t>
      </w:r>
      <w:smartTag w:uri="urn:schemas-microsoft-com:office:smarttags" w:element="place">
        <w:smartTag w:uri="urn:schemas-microsoft-com:office:smarttags" w:element="State">
          <w:r w:rsidRPr="00423149">
            <w:rPr>
              <w:i/>
            </w:rPr>
            <w:t>Victoria</w:t>
          </w:r>
        </w:smartTag>
      </w:smartTag>
      <w:r>
        <w:t xml:space="preserve"> (1997) 189 CLR 579 per Brennan CJ at 603.</w:t>
      </w:r>
    </w:p>
  </w:footnote>
  <w:footnote w:id="3">
    <w:p w14:paraId="415D5DE5" w14:textId="77777777" w:rsidR="003748C0" w:rsidRDefault="003748C0" w:rsidP="0091032D">
      <w:pPr>
        <w:pStyle w:val="FootnoteText"/>
      </w:pPr>
      <w:r>
        <w:rPr>
          <w:rStyle w:val="FootnoteReference"/>
        </w:rPr>
        <w:footnoteRef/>
      </w:r>
      <w:r>
        <w:t xml:space="preserve"> The Commission is mindful that in promoting human rights it cannot make intervention decisions without considering the impact of its activities on the individuals involved. This will require a consideration of the social, cultural and political context of the intervention and any other impact that intervention may have on the parties.   </w:t>
      </w:r>
      <w:r w:rsidRPr="007F3C5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AA0F3" w14:textId="77777777" w:rsidR="00616993" w:rsidRDefault="00616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9EC03" w14:textId="77777777" w:rsidR="00616993" w:rsidRDefault="006169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5F651" w14:textId="77777777" w:rsidR="00616993" w:rsidRDefault="00616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4A44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56DF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EA0B8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9863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9CA1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3CA9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B00B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BC533A"/>
    <w:lvl w:ilvl="0">
      <w:numFmt w:val="bullet"/>
      <w:pStyle w:val="VEOHRCListBullet2ndlevel"/>
      <w:lvlText w:val="-"/>
      <w:lvlJc w:val="left"/>
      <w:pPr>
        <w:tabs>
          <w:tab w:val="num" w:pos="720"/>
        </w:tabs>
        <w:ind w:left="720" w:hanging="360"/>
      </w:pPr>
      <w:rPr>
        <w:rFonts w:ascii="Arial" w:eastAsia="Times New Roman" w:hAnsi="Arial" w:cs="Arial" w:hint="default"/>
      </w:rPr>
    </w:lvl>
  </w:abstractNum>
  <w:abstractNum w:abstractNumId="10" w15:restartNumberingAfterBreak="0">
    <w:nsid w:val="00211319"/>
    <w:multiLevelType w:val="multilevel"/>
    <w:tmpl w:val="588E98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2135CF"/>
    <w:multiLevelType w:val="multilevel"/>
    <w:tmpl w:val="BAA4DA62"/>
    <w:lvl w:ilvl="0">
      <w:start w:val="1"/>
      <w:numFmt w:val="decimal"/>
      <w:pStyle w:val="VEOHRCNumberedlistlegal"/>
      <w:lvlText w:val="(%1)"/>
      <w:lvlJc w:val="left"/>
      <w:pPr>
        <w:tabs>
          <w:tab w:val="num" w:pos="108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12" w15:restartNumberingAfterBreak="0">
    <w:nsid w:val="0C8341C6"/>
    <w:multiLevelType w:val="hybridMultilevel"/>
    <w:tmpl w:val="936637D2"/>
    <w:lvl w:ilvl="0" w:tplc="4AAE72C0">
      <w:start w:val="1"/>
      <w:numFmt w:val="decimal"/>
      <w:pStyle w:val="VEOHRCNumberedlist"/>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0E6270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8C87939"/>
    <w:multiLevelType w:val="hybridMultilevel"/>
    <w:tmpl w:val="A26EFE62"/>
    <w:lvl w:ilvl="0" w:tplc="7E16A77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9FF05C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390A55"/>
    <w:multiLevelType w:val="hybridMultilevel"/>
    <w:tmpl w:val="09AECD96"/>
    <w:lvl w:ilvl="0" w:tplc="58DE90D8">
      <w:start w:val="1"/>
      <w:numFmt w:val="bullet"/>
      <w:pStyle w:val="VEOHRCList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C825B4"/>
    <w:multiLevelType w:val="hybridMultilevel"/>
    <w:tmpl w:val="60E46448"/>
    <w:lvl w:ilvl="0" w:tplc="0C090019">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3896C90"/>
    <w:multiLevelType w:val="multilevel"/>
    <w:tmpl w:val="09AECD9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5A0EE5"/>
    <w:multiLevelType w:val="hybridMultilevel"/>
    <w:tmpl w:val="4582E046"/>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8BD09E3"/>
    <w:multiLevelType w:val="hybridMultilevel"/>
    <w:tmpl w:val="EECA6460"/>
    <w:lvl w:ilvl="0" w:tplc="58DE90D8">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3D1375"/>
    <w:multiLevelType w:val="hybridMultilevel"/>
    <w:tmpl w:val="751E9246"/>
    <w:lvl w:ilvl="0" w:tplc="58DE90D8">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17237B"/>
    <w:multiLevelType w:val="hybridMultilevel"/>
    <w:tmpl w:val="D64CE400"/>
    <w:lvl w:ilvl="0" w:tplc="EC121390">
      <w:start w:val="1"/>
      <w:numFmt w:val="lowerRoman"/>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3" w15:restartNumberingAfterBreak="0">
    <w:nsid w:val="46B00DA0"/>
    <w:multiLevelType w:val="hybridMultilevel"/>
    <w:tmpl w:val="DDD4931E"/>
    <w:lvl w:ilvl="0" w:tplc="7E16A770">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4" w15:restartNumberingAfterBreak="0">
    <w:nsid w:val="495924F2"/>
    <w:multiLevelType w:val="multilevel"/>
    <w:tmpl w:val="0956AB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B363EA"/>
    <w:multiLevelType w:val="hybridMultilevel"/>
    <w:tmpl w:val="65FE4462"/>
    <w:lvl w:ilvl="0" w:tplc="7E16A77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59416417"/>
    <w:multiLevelType w:val="hybridMultilevel"/>
    <w:tmpl w:val="2304A5B2"/>
    <w:lvl w:ilvl="0" w:tplc="7E16A770">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7" w15:restartNumberingAfterBreak="0">
    <w:nsid w:val="5F133818"/>
    <w:multiLevelType w:val="multilevel"/>
    <w:tmpl w:val="CB840F6A"/>
    <w:lvl w:ilvl="0">
      <w:start w:val="1"/>
      <w:numFmt w:val="none"/>
      <w:lvlText w:val="i"/>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598249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71821A7"/>
    <w:multiLevelType w:val="hybridMultilevel"/>
    <w:tmpl w:val="752EEBE8"/>
    <w:lvl w:ilvl="0" w:tplc="0C090001">
      <w:start w:val="1"/>
      <w:numFmt w:val="bullet"/>
      <w:lvlText w:val=""/>
      <w:lvlJc w:val="left"/>
      <w:pPr>
        <w:tabs>
          <w:tab w:val="num" w:pos="1620"/>
        </w:tabs>
        <w:ind w:left="1620" w:hanging="360"/>
      </w:pPr>
      <w:rPr>
        <w:rFonts w:ascii="Symbol" w:hAnsi="Symbol" w:hint="default"/>
      </w:rPr>
    </w:lvl>
    <w:lvl w:ilvl="1" w:tplc="0C090003" w:tentative="1">
      <w:start w:val="1"/>
      <w:numFmt w:val="bullet"/>
      <w:lvlText w:val="o"/>
      <w:lvlJc w:val="left"/>
      <w:pPr>
        <w:tabs>
          <w:tab w:val="num" w:pos="2340"/>
        </w:tabs>
        <w:ind w:left="2340" w:hanging="360"/>
      </w:pPr>
      <w:rPr>
        <w:rFonts w:ascii="Courier New" w:hAnsi="Courier New" w:cs="Courier New"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5"/>
  </w:num>
  <w:num w:numId="13">
    <w:abstractNumId w:val="13"/>
  </w:num>
  <w:num w:numId="14">
    <w:abstractNumId w:val="11"/>
  </w:num>
  <w:num w:numId="15">
    <w:abstractNumId w:val="21"/>
  </w:num>
  <w:num w:numId="16">
    <w:abstractNumId w:val="17"/>
  </w:num>
  <w:num w:numId="17">
    <w:abstractNumId w:val="29"/>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5"/>
  </w:num>
  <w:num w:numId="23">
    <w:abstractNumId w:val="26"/>
  </w:num>
  <w:num w:numId="24">
    <w:abstractNumId w:val="23"/>
  </w:num>
  <w:num w:numId="25">
    <w:abstractNumId w:val="12"/>
  </w:num>
  <w:num w:numId="26">
    <w:abstractNumId w:val="12"/>
  </w:num>
  <w:num w:numId="27">
    <w:abstractNumId w:val="24"/>
  </w:num>
  <w:num w:numId="28">
    <w:abstractNumId w:val="16"/>
  </w:num>
  <w:num w:numId="29">
    <w:abstractNumId w:val="18"/>
  </w:num>
  <w:num w:numId="30">
    <w:abstractNumId w:val="20"/>
  </w:num>
  <w:num w:numId="31">
    <w:abstractNumId w:val="22"/>
  </w:num>
  <w:num w:numId="32">
    <w:abstractNumId w:val="27"/>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E8A"/>
    <w:rsid w:val="000125D6"/>
    <w:rsid w:val="000205A3"/>
    <w:rsid w:val="0003080D"/>
    <w:rsid w:val="000426CD"/>
    <w:rsid w:val="000735CB"/>
    <w:rsid w:val="00082911"/>
    <w:rsid w:val="000A0CC8"/>
    <w:rsid w:val="000A4416"/>
    <w:rsid w:val="000E2477"/>
    <w:rsid w:val="000F4D54"/>
    <w:rsid w:val="000F79BE"/>
    <w:rsid w:val="001044E4"/>
    <w:rsid w:val="00105F5C"/>
    <w:rsid w:val="00124749"/>
    <w:rsid w:val="00181097"/>
    <w:rsid w:val="00183909"/>
    <w:rsid w:val="001E4496"/>
    <w:rsid w:val="00205316"/>
    <w:rsid w:val="00205A10"/>
    <w:rsid w:val="0025344D"/>
    <w:rsid w:val="00265A2C"/>
    <w:rsid w:val="00281D6F"/>
    <w:rsid w:val="002A58FD"/>
    <w:rsid w:val="002B2223"/>
    <w:rsid w:val="002B4A0E"/>
    <w:rsid w:val="002B4ECE"/>
    <w:rsid w:val="002D732E"/>
    <w:rsid w:val="002E170F"/>
    <w:rsid w:val="002F016E"/>
    <w:rsid w:val="002F13A4"/>
    <w:rsid w:val="002F318E"/>
    <w:rsid w:val="002F5A1E"/>
    <w:rsid w:val="00301FC7"/>
    <w:rsid w:val="00342760"/>
    <w:rsid w:val="003664FE"/>
    <w:rsid w:val="003748C0"/>
    <w:rsid w:val="003846ED"/>
    <w:rsid w:val="00392B90"/>
    <w:rsid w:val="00395EEE"/>
    <w:rsid w:val="003C5E29"/>
    <w:rsid w:val="003D0A30"/>
    <w:rsid w:val="003D1E98"/>
    <w:rsid w:val="003E14F2"/>
    <w:rsid w:val="003E676F"/>
    <w:rsid w:val="003F66A6"/>
    <w:rsid w:val="003F7CDA"/>
    <w:rsid w:val="00404E8A"/>
    <w:rsid w:val="004119FF"/>
    <w:rsid w:val="00430C66"/>
    <w:rsid w:val="004949BF"/>
    <w:rsid w:val="004A3740"/>
    <w:rsid w:val="004A38C5"/>
    <w:rsid w:val="004B432E"/>
    <w:rsid w:val="004C1B17"/>
    <w:rsid w:val="004D4D70"/>
    <w:rsid w:val="00500F88"/>
    <w:rsid w:val="00521468"/>
    <w:rsid w:val="00530F52"/>
    <w:rsid w:val="00535117"/>
    <w:rsid w:val="00540F42"/>
    <w:rsid w:val="00553F0F"/>
    <w:rsid w:val="0056016E"/>
    <w:rsid w:val="00560C1C"/>
    <w:rsid w:val="005647C3"/>
    <w:rsid w:val="0059136A"/>
    <w:rsid w:val="005A2471"/>
    <w:rsid w:val="005A27E1"/>
    <w:rsid w:val="005C2970"/>
    <w:rsid w:val="005E0F6A"/>
    <w:rsid w:val="005E5263"/>
    <w:rsid w:val="0060657E"/>
    <w:rsid w:val="00616993"/>
    <w:rsid w:val="0062600D"/>
    <w:rsid w:val="00673E4B"/>
    <w:rsid w:val="00695514"/>
    <w:rsid w:val="0069788F"/>
    <w:rsid w:val="006B61C2"/>
    <w:rsid w:val="006E0A3A"/>
    <w:rsid w:val="006E2C59"/>
    <w:rsid w:val="006F0298"/>
    <w:rsid w:val="007165B6"/>
    <w:rsid w:val="00725068"/>
    <w:rsid w:val="00731CF6"/>
    <w:rsid w:val="007725E6"/>
    <w:rsid w:val="007829B2"/>
    <w:rsid w:val="007A7241"/>
    <w:rsid w:val="007E2B11"/>
    <w:rsid w:val="007F0781"/>
    <w:rsid w:val="00811901"/>
    <w:rsid w:val="0081292B"/>
    <w:rsid w:val="00825DF3"/>
    <w:rsid w:val="00830F21"/>
    <w:rsid w:val="008346D8"/>
    <w:rsid w:val="0085507B"/>
    <w:rsid w:val="00855CC5"/>
    <w:rsid w:val="00861587"/>
    <w:rsid w:val="00872A43"/>
    <w:rsid w:val="00874D01"/>
    <w:rsid w:val="00884525"/>
    <w:rsid w:val="00885849"/>
    <w:rsid w:val="008B70BD"/>
    <w:rsid w:val="008C1F2A"/>
    <w:rsid w:val="008C5EBA"/>
    <w:rsid w:val="008C6DE5"/>
    <w:rsid w:val="008D34B3"/>
    <w:rsid w:val="008E479F"/>
    <w:rsid w:val="00903D99"/>
    <w:rsid w:val="0091032D"/>
    <w:rsid w:val="00926A0E"/>
    <w:rsid w:val="009604F9"/>
    <w:rsid w:val="009630AB"/>
    <w:rsid w:val="009844FD"/>
    <w:rsid w:val="00986674"/>
    <w:rsid w:val="009B10AA"/>
    <w:rsid w:val="009B740E"/>
    <w:rsid w:val="009E3F98"/>
    <w:rsid w:val="00A0351F"/>
    <w:rsid w:val="00A11B0D"/>
    <w:rsid w:val="00A20545"/>
    <w:rsid w:val="00A2736A"/>
    <w:rsid w:val="00A422D8"/>
    <w:rsid w:val="00A426B7"/>
    <w:rsid w:val="00A61B90"/>
    <w:rsid w:val="00AC43E1"/>
    <w:rsid w:val="00AD013E"/>
    <w:rsid w:val="00AD2279"/>
    <w:rsid w:val="00AF4EF5"/>
    <w:rsid w:val="00B02BB1"/>
    <w:rsid w:val="00B102EC"/>
    <w:rsid w:val="00B1216E"/>
    <w:rsid w:val="00B13F96"/>
    <w:rsid w:val="00B41301"/>
    <w:rsid w:val="00B55992"/>
    <w:rsid w:val="00B6533A"/>
    <w:rsid w:val="00B7095C"/>
    <w:rsid w:val="00B800C1"/>
    <w:rsid w:val="00B80321"/>
    <w:rsid w:val="00B83973"/>
    <w:rsid w:val="00B84636"/>
    <w:rsid w:val="00B97EDE"/>
    <w:rsid w:val="00BB46F7"/>
    <w:rsid w:val="00BC16F1"/>
    <w:rsid w:val="00BC4827"/>
    <w:rsid w:val="00BD79E3"/>
    <w:rsid w:val="00BF450E"/>
    <w:rsid w:val="00C0302F"/>
    <w:rsid w:val="00C42A41"/>
    <w:rsid w:val="00C7626C"/>
    <w:rsid w:val="00C77D48"/>
    <w:rsid w:val="00C9550D"/>
    <w:rsid w:val="00CB03AF"/>
    <w:rsid w:val="00CC376D"/>
    <w:rsid w:val="00CC5F44"/>
    <w:rsid w:val="00CF0AC2"/>
    <w:rsid w:val="00CF0C3B"/>
    <w:rsid w:val="00D25A32"/>
    <w:rsid w:val="00D91B72"/>
    <w:rsid w:val="00D92AF5"/>
    <w:rsid w:val="00D966B6"/>
    <w:rsid w:val="00DB554F"/>
    <w:rsid w:val="00E04077"/>
    <w:rsid w:val="00E153A6"/>
    <w:rsid w:val="00E1621B"/>
    <w:rsid w:val="00E22B2F"/>
    <w:rsid w:val="00E377F0"/>
    <w:rsid w:val="00E56119"/>
    <w:rsid w:val="00E81CF3"/>
    <w:rsid w:val="00EB5C27"/>
    <w:rsid w:val="00ED53C6"/>
    <w:rsid w:val="00EE33E2"/>
    <w:rsid w:val="00EF0F42"/>
    <w:rsid w:val="00EF25B2"/>
    <w:rsid w:val="00F04DE5"/>
    <w:rsid w:val="00F22CAE"/>
    <w:rsid w:val="00F455ED"/>
    <w:rsid w:val="00F456E0"/>
    <w:rsid w:val="00FC70E2"/>
    <w:rsid w:val="00FD195A"/>
    <w:rsid w:val="00FD2151"/>
    <w:rsid w:val="00FD552D"/>
    <w:rsid w:val="00FE4F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05113DC6"/>
  <w15:chartTrackingRefBased/>
  <w15:docId w15:val="{0B0E098C-8CA9-4C0B-B757-98198F80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rutiger 45 Light" w:hAnsi="Frutiger 45 Light"/>
      <w:sz w:val="24"/>
      <w:szCs w:val="24"/>
    </w:rPr>
  </w:style>
  <w:style w:type="paragraph" w:styleId="Heading1">
    <w:name w:val="heading 1"/>
    <w:basedOn w:val="Normal"/>
    <w:next w:val="Normal"/>
    <w:link w:val="Heading1Char"/>
    <w:qFormat/>
    <w:rsid w:val="00AF4EF5"/>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qFormat/>
    <w:rsid w:val="00A11B0D"/>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qFormat/>
    <w:rsid w:val="009844FD"/>
    <w:pPr>
      <w:keepNext/>
      <w:spacing w:before="240" w:after="60"/>
      <w:outlineLvl w:val="2"/>
    </w:pPr>
    <w:rPr>
      <w:rFonts w:ascii="Frutiger 55 Roman" w:hAnsi="Frutiger 55 Roman" w:cs="Arial"/>
      <w:bCs/>
      <w:szCs w:val="26"/>
    </w:rPr>
  </w:style>
  <w:style w:type="paragraph" w:styleId="Heading4">
    <w:name w:val="heading 4"/>
    <w:basedOn w:val="Normal"/>
    <w:next w:val="Normal"/>
    <w:qFormat/>
    <w:rsid w:val="009844FD"/>
    <w:pPr>
      <w:keepNext/>
      <w:spacing w:before="240" w:after="60"/>
      <w:outlineLvl w:val="3"/>
    </w:pPr>
    <w:rPr>
      <w:bCs/>
      <w:i/>
      <w:szCs w:val="28"/>
    </w:rPr>
  </w:style>
  <w:style w:type="paragraph" w:styleId="Heading5">
    <w:name w:val="heading 5"/>
    <w:basedOn w:val="Normal"/>
    <w:next w:val="Normal"/>
    <w:qFormat/>
    <w:rsid w:val="00CB03AF"/>
    <w:pPr>
      <w:spacing w:before="240" w:after="60"/>
      <w:outlineLvl w:val="4"/>
    </w:pPr>
    <w:rPr>
      <w:b/>
      <w:bCs/>
      <w:i/>
      <w:iCs/>
      <w:sz w:val="26"/>
      <w:szCs w:val="26"/>
    </w:rPr>
  </w:style>
  <w:style w:type="paragraph" w:styleId="Heading6">
    <w:name w:val="heading 6"/>
    <w:basedOn w:val="Normal"/>
    <w:next w:val="Normal"/>
    <w:qFormat/>
    <w:rsid w:val="00CB03AF"/>
    <w:pPr>
      <w:spacing w:before="240" w:after="60"/>
      <w:outlineLvl w:val="5"/>
    </w:pPr>
    <w:rPr>
      <w:b/>
      <w:bCs/>
      <w:sz w:val="22"/>
      <w:szCs w:val="22"/>
    </w:rPr>
  </w:style>
  <w:style w:type="paragraph" w:styleId="Heading7">
    <w:name w:val="heading 7"/>
    <w:basedOn w:val="Normal"/>
    <w:next w:val="Normal"/>
    <w:qFormat/>
    <w:rsid w:val="00CB03AF"/>
    <w:pPr>
      <w:spacing w:before="240" w:after="60"/>
      <w:outlineLvl w:val="6"/>
    </w:pPr>
  </w:style>
  <w:style w:type="paragraph" w:styleId="Heading8">
    <w:name w:val="heading 8"/>
    <w:basedOn w:val="Normal"/>
    <w:next w:val="Normal"/>
    <w:qFormat/>
    <w:rsid w:val="00CB03AF"/>
    <w:pPr>
      <w:spacing w:before="240" w:after="60"/>
      <w:outlineLvl w:val="7"/>
    </w:pPr>
    <w:rPr>
      <w:i/>
      <w:iCs/>
    </w:rPr>
  </w:style>
  <w:style w:type="paragraph" w:styleId="Heading9">
    <w:name w:val="heading 9"/>
    <w:basedOn w:val="Normal"/>
    <w:next w:val="Normal"/>
    <w:qFormat/>
    <w:rsid w:val="00CB03A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4EF5"/>
    <w:rPr>
      <w:rFonts w:ascii="Frutiger 55 Roman" w:hAnsi="Frutiger 55 Roman" w:cs="Arial"/>
      <w:b/>
      <w:bCs/>
      <w:kern w:val="32"/>
      <w:sz w:val="36"/>
      <w:szCs w:val="32"/>
      <w:lang w:val="en-AU" w:eastAsia="en-AU" w:bidi="ar-SA"/>
    </w:rPr>
  </w:style>
  <w:style w:type="numbering" w:styleId="111111">
    <w:name w:val="Outline List 2"/>
    <w:basedOn w:val="NoList"/>
    <w:semiHidden/>
    <w:rsid w:val="00CB03AF"/>
    <w:pPr>
      <w:numPr>
        <w:numId w:val="11"/>
      </w:numPr>
    </w:pPr>
  </w:style>
  <w:style w:type="numbering" w:styleId="1ai">
    <w:name w:val="Outline List 1"/>
    <w:basedOn w:val="NoList"/>
    <w:semiHidden/>
    <w:rsid w:val="00CB03AF"/>
    <w:pPr>
      <w:numPr>
        <w:numId w:val="12"/>
      </w:numPr>
    </w:pPr>
  </w:style>
  <w:style w:type="numbering" w:styleId="ArticleSection">
    <w:name w:val="Outline List 3"/>
    <w:basedOn w:val="NoList"/>
    <w:semiHidden/>
    <w:rsid w:val="00CB03AF"/>
    <w:pPr>
      <w:numPr>
        <w:numId w:val="13"/>
      </w:numPr>
    </w:pPr>
  </w:style>
  <w:style w:type="paragraph" w:styleId="BlockText">
    <w:name w:val="Block Text"/>
    <w:basedOn w:val="Normal"/>
    <w:semiHidden/>
    <w:rsid w:val="00CB03AF"/>
    <w:pPr>
      <w:spacing w:after="120"/>
      <w:ind w:left="1440" w:right="1440"/>
    </w:pPr>
  </w:style>
  <w:style w:type="paragraph" w:customStyle="1" w:styleId="VEOHRCListBullet2ndlevel">
    <w:name w:val="VEOHRC List Bullet 2nd level"/>
    <w:basedOn w:val="VEOHRCListBullet"/>
    <w:rsid w:val="00EB5C27"/>
    <w:pPr>
      <w:numPr>
        <w:numId w:val="1"/>
      </w:numPr>
    </w:pPr>
  </w:style>
  <w:style w:type="paragraph" w:styleId="BodyText2">
    <w:name w:val="Body Text 2"/>
    <w:basedOn w:val="Normal"/>
    <w:semiHidden/>
    <w:rsid w:val="00CB03AF"/>
    <w:pPr>
      <w:spacing w:after="120" w:line="480" w:lineRule="auto"/>
    </w:pPr>
  </w:style>
  <w:style w:type="paragraph" w:styleId="BodyText3">
    <w:name w:val="Body Text 3"/>
    <w:basedOn w:val="Normal"/>
    <w:semiHidden/>
    <w:rsid w:val="00CB03AF"/>
    <w:pPr>
      <w:spacing w:after="120"/>
    </w:pPr>
    <w:rPr>
      <w:sz w:val="16"/>
      <w:szCs w:val="16"/>
    </w:rPr>
  </w:style>
  <w:style w:type="paragraph" w:styleId="BodyTextFirstIndent">
    <w:name w:val="Body Text First Indent"/>
    <w:basedOn w:val="Normal"/>
    <w:semiHidden/>
    <w:rsid w:val="00811901"/>
    <w:pPr>
      <w:ind w:firstLine="210"/>
    </w:pPr>
  </w:style>
  <w:style w:type="paragraph" w:styleId="BodyTextIndent">
    <w:name w:val="Body Text Indent"/>
    <w:basedOn w:val="Normal"/>
    <w:semiHidden/>
    <w:rsid w:val="00CB03AF"/>
    <w:pPr>
      <w:spacing w:after="120"/>
      <w:ind w:left="283"/>
    </w:pPr>
  </w:style>
  <w:style w:type="paragraph" w:styleId="BodyTextFirstIndent2">
    <w:name w:val="Body Text First Indent 2"/>
    <w:basedOn w:val="BodyTextIndent"/>
    <w:semiHidden/>
    <w:rsid w:val="00CB03AF"/>
    <w:pPr>
      <w:ind w:firstLine="210"/>
    </w:pPr>
  </w:style>
  <w:style w:type="paragraph" w:styleId="BodyTextIndent2">
    <w:name w:val="Body Text Indent 2"/>
    <w:basedOn w:val="Normal"/>
    <w:semiHidden/>
    <w:rsid w:val="00CB03AF"/>
    <w:pPr>
      <w:spacing w:after="120" w:line="480" w:lineRule="auto"/>
      <w:ind w:left="283"/>
    </w:pPr>
  </w:style>
  <w:style w:type="paragraph" w:styleId="BodyTextIndent3">
    <w:name w:val="Body Text Indent 3"/>
    <w:basedOn w:val="Normal"/>
    <w:semiHidden/>
    <w:rsid w:val="00CB03AF"/>
    <w:pPr>
      <w:spacing w:after="120"/>
      <w:ind w:left="283"/>
    </w:pPr>
    <w:rPr>
      <w:sz w:val="16"/>
      <w:szCs w:val="16"/>
    </w:rPr>
  </w:style>
  <w:style w:type="paragraph" w:styleId="Closing">
    <w:name w:val="Closing"/>
    <w:basedOn w:val="Normal"/>
    <w:semiHidden/>
    <w:rsid w:val="00CB03AF"/>
    <w:pPr>
      <w:ind w:left="4252"/>
    </w:pPr>
  </w:style>
  <w:style w:type="paragraph" w:styleId="Date">
    <w:name w:val="Date"/>
    <w:basedOn w:val="Normal"/>
    <w:next w:val="Normal"/>
    <w:semiHidden/>
    <w:rsid w:val="00CB03AF"/>
  </w:style>
  <w:style w:type="paragraph" w:styleId="E-mailSignature">
    <w:name w:val="E-mail Signature"/>
    <w:basedOn w:val="Normal"/>
    <w:semiHidden/>
    <w:rsid w:val="00CB03AF"/>
  </w:style>
  <w:style w:type="character" w:styleId="Emphasis">
    <w:name w:val="Emphasis"/>
    <w:qFormat/>
    <w:rsid w:val="00CB03AF"/>
    <w:rPr>
      <w:i/>
      <w:iCs/>
    </w:rPr>
  </w:style>
  <w:style w:type="paragraph" w:styleId="EnvelopeAddress">
    <w:name w:val="envelope address"/>
    <w:basedOn w:val="Normal"/>
    <w:semiHidden/>
    <w:rsid w:val="00CB03AF"/>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B03AF"/>
    <w:rPr>
      <w:rFonts w:ascii="Arial" w:hAnsi="Arial" w:cs="Arial"/>
      <w:sz w:val="20"/>
      <w:szCs w:val="20"/>
    </w:rPr>
  </w:style>
  <w:style w:type="character" w:styleId="FollowedHyperlink">
    <w:name w:val="FollowedHyperlink"/>
    <w:semiHidden/>
    <w:rsid w:val="00CB03AF"/>
    <w:rPr>
      <w:color w:val="800080"/>
      <w:u w:val="single"/>
    </w:rPr>
  </w:style>
  <w:style w:type="paragraph" w:styleId="Footer">
    <w:name w:val="footer"/>
    <w:basedOn w:val="Normal"/>
    <w:semiHidden/>
    <w:rsid w:val="00CB03AF"/>
    <w:pPr>
      <w:tabs>
        <w:tab w:val="center" w:pos="4153"/>
        <w:tab w:val="right" w:pos="8306"/>
      </w:tabs>
    </w:pPr>
  </w:style>
  <w:style w:type="paragraph" w:styleId="Header">
    <w:name w:val="header"/>
    <w:basedOn w:val="Normal"/>
    <w:semiHidden/>
    <w:rsid w:val="00CB03AF"/>
    <w:pPr>
      <w:tabs>
        <w:tab w:val="center" w:pos="4153"/>
        <w:tab w:val="right" w:pos="8306"/>
      </w:tabs>
    </w:pPr>
  </w:style>
  <w:style w:type="character" w:styleId="HTMLAcronym">
    <w:name w:val="HTML Acronym"/>
    <w:basedOn w:val="DefaultParagraphFont"/>
    <w:semiHidden/>
    <w:rsid w:val="00CB03AF"/>
  </w:style>
  <w:style w:type="paragraph" w:styleId="HTMLAddress">
    <w:name w:val="HTML Address"/>
    <w:basedOn w:val="Normal"/>
    <w:semiHidden/>
    <w:rsid w:val="00CB03AF"/>
    <w:rPr>
      <w:i/>
      <w:iCs/>
    </w:rPr>
  </w:style>
  <w:style w:type="character" w:styleId="HTMLCite">
    <w:name w:val="HTML Cite"/>
    <w:semiHidden/>
    <w:rsid w:val="00CB03AF"/>
    <w:rPr>
      <w:i/>
      <w:iCs/>
    </w:rPr>
  </w:style>
  <w:style w:type="character" w:styleId="HTMLCode">
    <w:name w:val="HTML Code"/>
    <w:semiHidden/>
    <w:rsid w:val="00CB03AF"/>
    <w:rPr>
      <w:rFonts w:ascii="Courier New" w:hAnsi="Courier New" w:cs="Courier New"/>
      <w:sz w:val="20"/>
      <w:szCs w:val="20"/>
    </w:rPr>
  </w:style>
  <w:style w:type="character" w:styleId="HTMLDefinition">
    <w:name w:val="HTML Definition"/>
    <w:semiHidden/>
    <w:rsid w:val="00CB03AF"/>
    <w:rPr>
      <w:i/>
      <w:iCs/>
    </w:rPr>
  </w:style>
  <w:style w:type="character" w:styleId="HTMLKeyboard">
    <w:name w:val="HTML Keyboard"/>
    <w:semiHidden/>
    <w:rsid w:val="00CB03AF"/>
    <w:rPr>
      <w:rFonts w:ascii="Courier New" w:hAnsi="Courier New" w:cs="Courier New"/>
      <w:sz w:val="20"/>
      <w:szCs w:val="20"/>
    </w:rPr>
  </w:style>
  <w:style w:type="paragraph" w:styleId="HTMLPreformatted">
    <w:name w:val="HTML Preformatted"/>
    <w:basedOn w:val="Normal"/>
    <w:semiHidden/>
    <w:rsid w:val="00CB03AF"/>
    <w:rPr>
      <w:rFonts w:ascii="Courier New" w:hAnsi="Courier New" w:cs="Courier New"/>
      <w:sz w:val="20"/>
      <w:szCs w:val="20"/>
    </w:rPr>
  </w:style>
  <w:style w:type="character" w:styleId="HTMLSample">
    <w:name w:val="HTML Sample"/>
    <w:semiHidden/>
    <w:rsid w:val="00CB03AF"/>
    <w:rPr>
      <w:rFonts w:ascii="Courier New" w:hAnsi="Courier New" w:cs="Courier New"/>
    </w:rPr>
  </w:style>
  <w:style w:type="character" w:styleId="HTMLTypewriter">
    <w:name w:val="HTML Typewriter"/>
    <w:semiHidden/>
    <w:rsid w:val="00CB03AF"/>
    <w:rPr>
      <w:rFonts w:ascii="Courier New" w:hAnsi="Courier New" w:cs="Courier New"/>
      <w:sz w:val="20"/>
      <w:szCs w:val="20"/>
    </w:rPr>
  </w:style>
  <w:style w:type="character" w:styleId="HTMLVariable">
    <w:name w:val="HTML Variable"/>
    <w:semiHidden/>
    <w:rsid w:val="00CB03AF"/>
    <w:rPr>
      <w:i/>
      <w:iCs/>
    </w:rPr>
  </w:style>
  <w:style w:type="character" w:styleId="Hyperlink">
    <w:name w:val="Hyperlink"/>
    <w:semiHidden/>
    <w:rsid w:val="00CB03AF"/>
    <w:rPr>
      <w:color w:val="0000FF"/>
      <w:u w:val="single"/>
    </w:rPr>
  </w:style>
  <w:style w:type="character" w:styleId="LineNumber">
    <w:name w:val="line number"/>
    <w:basedOn w:val="DefaultParagraphFont"/>
    <w:semiHidden/>
    <w:rsid w:val="00CB03AF"/>
  </w:style>
  <w:style w:type="paragraph" w:styleId="FootnoteText">
    <w:name w:val="footnote text"/>
    <w:basedOn w:val="Normal"/>
    <w:link w:val="FootnoteTextChar"/>
    <w:semiHidden/>
    <w:rsid w:val="00205316"/>
    <w:rPr>
      <w:sz w:val="20"/>
      <w:szCs w:val="20"/>
    </w:rPr>
  </w:style>
  <w:style w:type="paragraph" w:customStyle="1" w:styleId="VEOHRCListBullet">
    <w:name w:val="VEOHRC List Bullet"/>
    <w:basedOn w:val="Normal"/>
    <w:rsid w:val="00EB5C27"/>
    <w:pPr>
      <w:numPr>
        <w:numId w:val="28"/>
      </w:numPr>
      <w:spacing w:after="60" w:line="240" w:lineRule="atLeast"/>
    </w:pPr>
    <w:rPr>
      <w:rFonts w:ascii="Arial" w:hAnsi="Arial"/>
      <w:lang w:val="en-GB"/>
    </w:rPr>
  </w:style>
  <w:style w:type="paragraph" w:styleId="List3">
    <w:name w:val="List 3"/>
    <w:basedOn w:val="Normal"/>
    <w:semiHidden/>
    <w:rsid w:val="00CB03AF"/>
    <w:pPr>
      <w:ind w:left="849" w:hanging="283"/>
    </w:pPr>
  </w:style>
  <w:style w:type="paragraph" w:styleId="List4">
    <w:name w:val="List 4"/>
    <w:basedOn w:val="Normal"/>
    <w:semiHidden/>
    <w:rsid w:val="00CB03AF"/>
    <w:pPr>
      <w:ind w:left="1132" w:hanging="283"/>
    </w:pPr>
  </w:style>
  <w:style w:type="paragraph" w:styleId="List5">
    <w:name w:val="List 5"/>
    <w:basedOn w:val="Normal"/>
    <w:semiHidden/>
    <w:rsid w:val="00CB03AF"/>
    <w:pPr>
      <w:ind w:left="1415" w:hanging="283"/>
    </w:pPr>
  </w:style>
  <w:style w:type="paragraph" w:styleId="BodyText">
    <w:name w:val="Body Text"/>
    <w:basedOn w:val="Normal"/>
    <w:semiHidden/>
    <w:rsid w:val="00EF25B2"/>
    <w:pPr>
      <w:spacing w:after="120"/>
    </w:pPr>
  </w:style>
  <w:style w:type="paragraph" w:styleId="ListBullet2">
    <w:name w:val="List Bullet 2"/>
    <w:basedOn w:val="Normal"/>
    <w:semiHidden/>
    <w:rsid w:val="00CB03AF"/>
    <w:pPr>
      <w:numPr>
        <w:numId w:val="2"/>
      </w:numPr>
    </w:pPr>
  </w:style>
  <w:style w:type="paragraph" w:styleId="ListBullet3">
    <w:name w:val="List Bullet 3"/>
    <w:basedOn w:val="Normal"/>
    <w:semiHidden/>
    <w:rsid w:val="00CB03AF"/>
    <w:pPr>
      <w:numPr>
        <w:numId w:val="3"/>
      </w:numPr>
    </w:pPr>
  </w:style>
  <w:style w:type="paragraph" w:styleId="ListBullet4">
    <w:name w:val="List Bullet 4"/>
    <w:basedOn w:val="Normal"/>
    <w:semiHidden/>
    <w:rsid w:val="00CB03AF"/>
    <w:pPr>
      <w:numPr>
        <w:numId w:val="4"/>
      </w:numPr>
    </w:pPr>
  </w:style>
  <w:style w:type="paragraph" w:styleId="ListBullet5">
    <w:name w:val="List Bullet 5"/>
    <w:basedOn w:val="Normal"/>
    <w:semiHidden/>
    <w:rsid w:val="00CB03AF"/>
    <w:pPr>
      <w:numPr>
        <w:numId w:val="5"/>
      </w:numPr>
    </w:pPr>
  </w:style>
  <w:style w:type="paragraph" w:styleId="ListContinue">
    <w:name w:val="List Continue"/>
    <w:basedOn w:val="Normal"/>
    <w:semiHidden/>
    <w:rsid w:val="00CB03AF"/>
    <w:pPr>
      <w:spacing w:after="120"/>
      <w:ind w:left="283"/>
    </w:pPr>
  </w:style>
  <w:style w:type="paragraph" w:styleId="ListContinue2">
    <w:name w:val="List Continue 2"/>
    <w:basedOn w:val="Normal"/>
    <w:semiHidden/>
    <w:rsid w:val="00CB03AF"/>
    <w:pPr>
      <w:spacing w:after="120"/>
      <w:ind w:left="566"/>
    </w:pPr>
  </w:style>
  <w:style w:type="paragraph" w:styleId="ListContinue3">
    <w:name w:val="List Continue 3"/>
    <w:basedOn w:val="Normal"/>
    <w:semiHidden/>
    <w:rsid w:val="00CB03AF"/>
    <w:pPr>
      <w:spacing w:after="120"/>
      <w:ind w:left="849"/>
    </w:pPr>
  </w:style>
  <w:style w:type="paragraph" w:styleId="ListContinue4">
    <w:name w:val="List Continue 4"/>
    <w:basedOn w:val="Normal"/>
    <w:semiHidden/>
    <w:rsid w:val="00CB03AF"/>
    <w:pPr>
      <w:spacing w:after="120"/>
      <w:ind w:left="1132"/>
    </w:pPr>
  </w:style>
  <w:style w:type="paragraph" w:styleId="ListContinue5">
    <w:name w:val="List Continue 5"/>
    <w:basedOn w:val="Normal"/>
    <w:semiHidden/>
    <w:rsid w:val="00CB03AF"/>
    <w:pPr>
      <w:spacing w:after="120"/>
      <w:ind w:left="1415"/>
    </w:pPr>
  </w:style>
  <w:style w:type="paragraph" w:styleId="ListNumber">
    <w:name w:val="List Number"/>
    <w:basedOn w:val="Normal"/>
    <w:semiHidden/>
    <w:rsid w:val="007165B6"/>
    <w:pPr>
      <w:numPr>
        <w:numId w:val="6"/>
      </w:numPr>
    </w:pPr>
  </w:style>
  <w:style w:type="paragraph" w:styleId="ListNumber2">
    <w:name w:val="List Number 2"/>
    <w:basedOn w:val="Normal"/>
    <w:semiHidden/>
    <w:rsid w:val="00CB03AF"/>
    <w:pPr>
      <w:numPr>
        <w:numId w:val="7"/>
      </w:numPr>
    </w:pPr>
  </w:style>
  <w:style w:type="paragraph" w:styleId="ListNumber3">
    <w:name w:val="List Number 3"/>
    <w:basedOn w:val="Normal"/>
    <w:semiHidden/>
    <w:rsid w:val="00CB03AF"/>
    <w:pPr>
      <w:numPr>
        <w:numId w:val="8"/>
      </w:numPr>
    </w:pPr>
  </w:style>
  <w:style w:type="paragraph" w:styleId="ListNumber4">
    <w:name w:val="List Number 4"/>
    <w:basedOn w:val="Normal"/>
    <w:semiHidden/>
    <w:rsid w:val="00CB03AF"/>
    <w:pPr>
      <w:numPr>
        <w:numId w:val="9"/>
      </w:numPr>
    </w:pPr>
  </w:style>
  <w:style w:type="paragraph" w:styleId="ListNumber5">
    <w:name w:val="List Number 5"/>
    <w:basedOn w:val="Normal"/>
    <w:semiHidden/>
    <w:rsid w:val="00CB03AF"/>
    <w:pPr>
      <w:numPr>
        <w:numId w:val="10"/>
      </w:numPr>
    </w:pPr>
  </w:style>
  <w:style w:type="paragraph" w:styleId="MessageHeader">
    <w:name w:val="Message Header"/>
    <w:basedOn w:val="Normal"/>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CB03AF"/>
  </w:style>
  <w:style w:type="paragraph" w:styleId="NormalIndent">
    <w:name w:val="Normal Indent"/>
    <w:basedOn w:val="Normal"/>
    <w:semiHidden/>
    <w:rsid w:val="00CB03AF"/>
    <w:pPr>
      <w:ind w:left="720"/>
    </w:pPr>
  </w:style>
  <w:style w:type="paragraph" w:styleId="NoteHeading">
    <w:name w:val="Note Heading"/>
    <w:basedOn w:val="Normal"/>
    <w:next w:val="Normal"/>
    <w:semiHidden/>
    <w:rsid w:val="00CB03AF"/>
  </w:style>
  <w:style w:type="character" w:styleId="PageNumber">
    <w:name w:val="page number"/>
    <w:basedOn w:val="DefaultParagraphFont"/>
    <w:semiHidden/>
    <w:rsid w:val="00CB03AF"/>
  </w:style>
  <w:style w:type="paragraph" w:styleId="PlainText">
    <w:name w:val="Plain Text"/>
    <w:basedOn w:val="Normal"/>
    <w:semiHidden/>
    <w:rsid w:val="00CB03AF"/>
    <w:rPr>
      <w:rFonts w:ascii="Courier New" w:hAnsi="Courier New" w:cs="Courier New"/>
      <w:sz w:val="20"/>
      <w:szCs w:val="20"/>
    </w:rPr>
  </w:style>
  <w:style w:type="paragraph" w:styleId="Salutation">
    <w:name w:val="Salutation"/>
    <w:basedOn w:val="Normal"/>
    <w:next w:val="Normal"/>
    <w:semiHidden/>
    <w:rsid w:val="00CB03AF"/>
  </w:style>
  <w:style w:type="paragraph" w:styleId="Signature">
    <w:name w:val="Signature"/>
    <w:basedOn w:val="Normal"/>
    <w:semiHidden/>
    <w:rsid w:val="00CB03AF"/>
    <w:pPr>
      <w:ind w:left="4252"/>
    </w:pPr>
  </w:style>
  <w:style w:type="character" w:styleId="Strong">
    <w:name w:val="Strong"/>
    <w:qFormat/>
    <w:rsid w:val="00CB03AF"/>
    <w:rPr>
      <w:b/>
      <w:bCs/>
    </w:rPr>
  </w:style>
  <w:style w:type="paragraph" w:styleId="Subtitle">
    <w:name w:val="Subtitle"/>
    <w:basedOn w:val="Normal"/>
    <w:qFormat/>
    <w:rsid w:val="00CB03AF"/>
    <w:pPr>
      <w:spacing w:after="60"/>
      <w:jc w:val="center"/>
      <w:outlineLvl w:val="1"/>
    </w:pPr>
    <w:rPr>
      <w:rFonts w:ascii="Arial" w:hAnsi="Arial" w:cs="Arial"/>
    </w:rPr>
  </w:style>
  <w:style w:type="table" w:styleId="Table3Deffects1">
    <w:name w:val="Table 3D effects 1"/>
    <w:basedOn w:val="TableNormal"/>
    <w:semiHidden/>
    <w:rsid w:val="00CB03A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03A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03A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03A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03A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03A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03A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03A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03A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03A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03A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03A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03A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03A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03A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03A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03A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03A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03A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03A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03A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03A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03A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03A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03A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03A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03A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03A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03A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03A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03A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03A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03A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03A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03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03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03A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B03AF"/>
    <w:pPr>
      <w:spacing w:before="240" w:after="60"/>
      <w:jc w:val="center"/>
      <w:outlineLvl w:val="0"/>
    </w:pPr>
    <w:rPr>
      <w:rFonts w:ascii="Arial" w:hAnsi="Arial" w:cs="Arial"/>
      <w:b/>
      <w:bCs/>
      <w:kern w:val="28"/>
      <w:sz w:val="32"/>
      <w:szCs w:val="32"/>
    </w:rPr>
  </w:style>
  <w:style w:type="paragraph" w:styleId="List">
    <w:name w:val="List"/>
    <w:basedOn w:val="Normal"/>
    <w:semiHidden/>
    <w:rsid w:val="00EF25B2"/>
    <w:pPr>
      <w:ind w:left="283" w:hanging="283"/>
    </w:pPr>
  </w:style>
  <w:style w:type="paragraph" w:customStyle="1" w:styleId="VEOHRCFootnotetext">
    <w:name w:val="VEOHRC Footnote text"/>
    <w:basedOn w:val="Normal"/>
    <w:rsid w:val="00EB5C27"/>
    <w:pPr>
      <w:spacing w:line="200" w:lineRule="atLeast"/>
    </w:pPr>
    <w:rPr>
      <w:rFonts w:ascii="Arial" w:hAnsi="Arial"/>
      <w:sz w:val="20"/>
      <w:szCs w:val="20"/>
      <w:lang w:val="en-GB"/>
    </w:rPr>
  </w:style>
  <w:style w:type="paragraph" w:customStyle="1" w:styleId="VEOHRCQuotation">
    <w:name w:val="VEOHRC Quotation"/>
    <w:basedOn w:val="Normal"/>
    <w:rsid w:val="000205A3"/>
    <w:pPr>
      <w:spacing w:before="120" w:after="120"/>
      <w:ind w:left="720" w:right="788"/>
    </w:pPr>
    <w:rPr>
      <w:rFonts w:ascii="Arial" w:hAnsi="Arial" w:cs="Arial"/>
      <w:lang w:val="en-GB"/>
    </w:rPr>
  </w:style>
  <w:style w:type="paragraph" w:styleId="List2">
    <w:name w:val="List 2"/>
    <w:basedOn w:val="Normal"/>
    <w:semiHidden/>
    <w:rsid w:val="00EF25B2"/>
    <w:pPr>
      <w:ind w:left="566" w:hanging="283"/>
    </w:pPr>
  </w:style>
  <w:style w:type="paragraph" w:customStyle="1" w:styleId="VEOHRCHeading1">
    <w:name w:val="VEOHRC Heading 1"/>
    <w:basedOn w:val="Heading1"/>
    <w:rsid w:val="00D966B6"/>
    <w:pPr>
      <w:spacing w:before="300" w:after="0" w:line="360" w:lineRule="atLeast"/>
    </w:pPr>
    <w:rPr>
      <w:rFonts w:ascii="Arial" w:hAnsi="Arial" w:cs="Times New Roman"/>
      <w:lang w:val="en-GB"/>
    </w:rPr>
  </w:style>
  <w:style w:type="paragraph" w:customStyle="1" w:styleId="VEOHRCBodytext">
    <w:name w:val="VEOHRC Body text"/>
    <w:basedOn w:val="Normal"/>
    <w:link w:val="VEOHRCBodytextChar"/>
    <w:rsid w:val="00EB5C27"/>
    <w:pPr>
      <w:spacing w:before="80" w:after="120"/>
    </w:pPr>
    <w:rPr>
      <w:rFonts w:ascii="Arial" w:hAnsi="Arial"/>
      <w:lang w:val="en-GB"/>
    </w:rPr>
  </w:style>
  <w:style w:type="paragraph" w:styleId="ListBullet">
    <w:name w:val="List Bullet"/>
    <w:basedOn w:val="Normal"/>
    <w:semiHidden/>
    <w:rsid w:val="00EF25B2"/>
    <w:pPr>
      <w:tabs>
        <w:tab w:val="num" w:pos="720"/>
      </w:tabs>
      <w:ind w:left="720" w:hanging="360"/>
    </w:pPr>
  </w:style>
  <w:style w:type="character" w:styleId="FootnoteReference">
    <w:name w:val="footnote reference"/>
    <w:semiHidden/>
    <w:rsid w:val="00205316"/>
    <w:rPr>
      <w:vertAlign w:val="superscript"/>
    </w:rPr>
  </w:style>
  <w:style w:type="paragraph" w:customStyle="1" w:styleId="VEOHRCChapterTitle">
    <w:name w:val="VEOHRC Chapter Title"/>
    <w:basedOn w:val="Normal"/>
    <w:rsid w:val="00EB5C27"/>
    <w:pPr>
      <w:spacing w:after="120" w:line="360" w:lineRule="atLeast"/>
    </w:pPr>
    <w:rPr>
      <w:rFonts w:ascii="Arial" w:hAnsi="Arial"/>
      <w:sz w:val="48"/>
      <w:lang w:val="en-GB"/>
    </w:rPr>
  </w:style>
  <w:style w:type="paragraph" w:customStyle="1" w:styleId="VEOHRCHeading2">
    <w:name w:val="VEOHRC Heading 2"/>
    <w:basedOn w:val="Heading2"/>
    <w:rsid w:val="00EB5C27"/>
    <w:pPr>
      <w:spacing w:after="0" w:line="280" w:lineRule="atLeast"/>
    </w:pPr>
    <w:rPr>
      <w:rFonts w:ascii="Arial" w:hAnsi="Arial" w:cs="Times New Roman"/>
      <w:lang w:val="en-GB"/>
    </w:rPr>
  </w:style>
  <w:style w:type="paragraph" w:customStyle="1" w:styleId="VEOHRCHeading3">
    <w:name w:val="VEOHRC Heading 3"/>
    <w:basedOn w:val="Heading3"/>
    <w:next w:val="Normal"/>
    <w:link w:val="VEOHRCHeading3Char"/>
    <w:rsid w:val="00EB5C27"/>
    <w:pPr>
      <w:spacing w:before="180" w:after="0" w:line="240" w:lineRule="atLeast"/>
    </w:pPr>
    <w:rPr>
      <w:rFonts w:ascii="Arial" w:hAnsi="Arial"/>
      <w:b/>
      <w:lang w:val="en-GB"/>
    </w:rPr>
  </w:style>
  <w:style w:type="paragraph" w:customStyle="1" w:styleId="VEOHRCHeading4">
    <w:name w:val="VEOHRC Heading 4"/>
    <w:basedOn w:val="Heading4"/>
    <w:rsid w:val="00EB5C27"/>
    <w:pPr>
      <w:spacing w:before="120" w:after="0"/>
    </w:pPr>
    <w:rPr>
      <w:rFonts w:ascii="Arial" w:hAnsi="Arial"/>
      <w:lang w:val="en-GB"/>
    </w:rPr>
  </w:style>
  <w:style w:type="paragraph" w:customStyle="1" w:styleId="VEOHRCFootnotereference">
    <w:name w:val="VEOHRC Footnote reference"/>
    <w:basedOn w:val="FootnoteText"/>
    <w:link w:val="VEOHRCFootnotereferenceChar"/>
    <w:rsid w:val="00205316"/>
    <w:rPr>
      <w:rFonts w:ascii="Arial" w:hAnsi="Arial"/>
      <w:vertAlign w:val="superscript"/>
    </w:rPr>
  </w:style>
  <w:style w:type="character" w:customStyle="1" w:styleId="FootnoteTextChar">
    <w:name w:val="Footnote Text Char"/>
    <w:link w:val="FootnoteText"/>
    <w:rsid w:val="00205316"/>
    <w:rPr>
      <w:rFonts w:ascii="Frutiger 45 Light" w:hAnsi="Frutiger 45 Light"/>
      <w:lang w:val="en-AU" w:eastAsia="en-AU" w:bidi="ar-SA"/>
    </w:rPr>
  </w:style>
  <w:style w:type="character" w:customStyle="1" w:styleId="VEOHRCFootnotereferenceChar">
    <w:name w:val="VEOHRC Footnote reference Char"/>
    <w:link w:val="VEOHRCFootnotereference"/>
    <w:rsid w:val="00205316"/>
    <w:rPr>
      <w:rFonts w:ascii="Arial" w:hAnsi="Arial"/>
      <w:vertAlign w:val="superscript"/>
      <w:lang w:val="en-AU" w:eastAsia="en-AU" w:bidi="ar-SA"/>
    </w:rPr>
  </w:style>
  <w:style w:type="paragraph" w:customStyle="1" w:styleId="VEOHRCNumberedlistlegal">
    <w:name w:val="VEOHRC Numbered list legal"/>
    <w:basedOn w:val="VEOHRCListBullet"/>
    <w:rsid w:val="00AD013E"/>
    <w:pPr>
      <w:numPr>
        <w:numId w:val="19"/>
      </w:numPr>
    </w:pPr>
  </w:style>
  <w:style w:type="paragraph" w:customStyle="1" w:styleId="VEOHRCURL">
    <w:name w:val="VEOHRC URL"/>
    <w:basedOn w:val="VEOHRCBodytext"/>
    <w:link w:val="VEOHRCURLChar"/>
    <w:rsid w:val="00EB5C27"/>
    <w:rPr>
      <w:color w:val="0000FF"/>
    </w:rPr>
  </w:style>
  <w:style w:type="paragraph" w:customStyle="1" w:styleId="VEOHRCsubhead">
    <w:name w:val="VEOHRC &gt; subhead"/>
    <w:basedOn w:val="VEOHRCBodytext"/>
    <w:rsid w:val="00EB5C27"/>
    <w:rPr>
      <w:sz w:val="28"/>
    </w:rPr>
  </w:style>
  <w:style w:type="paragraph" w:customStyle="1" w:styleId="Titlepagesubheading1">
    <w:name w:val="Title page subheading 1"/>
    <w:basedOn w:val="Normal"/>
    <w:rsid w:val="0091032D"/>
    <w:pPr>
      <w:spacing w:after="120"/>
    </w:pPr>
    <w:rPr>
      <w:rFonts w:ascii="Verdana" w:hAnsi="Verdana"/>
      <w:b/>
      <w:color w:val="000000"/>
      <w:sz w:val="36"/>
      <w:lang w:eastAsia="en-US"/>
    </w:rPr>
  </w:style>
  <w:style w:type="paragraph" w:customStyle="1" w:styleId="VEOHRCNumberedlist">
    <w:name w:val="VEOHRC Numbered list"/>
    <w:basedOn w:val="VEOHRCBodytext"/>
    <w:rsid w:val="004A3740"/>
    <w:pPr>
      <w:numPr>
        <w:numId w:val="25"/>
      </w:numPr>
    </w:pPr>
    <w:rPr>
      <w:szCs w:val="22"/>
    </w:rPr>
  </w:style>
  <w:style w:type="character" w:customStyle="1" w:styleId="VEOHRCBodytextChar">
    <w:name w:val="VEOHRC Body text Char"/>
    <w:link w:val="VEOHRCBodytext"/>
    <w:rsid w:val="00FD195A"/>
    <w:rPr>
      <w:rFonts w:ascii="Arial" w:hAnsi="Arial"/>
      <w:sz w:val="24"/>
      <w:szCs w:val="24"/>
      <w:lang w:val="en-GB" w:eastAsia="en-AU" w:bidi="ar-SA"/>
    </w:rPr>
  </w:style>
  <w:style w:type="character" w:customStyle="1" w:styleId="VEOHRCURLChar">
    <w:name w:val="VEOHRC URL Char"/>
    <w:link w:val="VEOHRCURL"/>
    <w:rsid w:val="00FD195A"/>
    <w:rPr>
      <w:rFonts w:ascii="Arial" w:hAnsi="Arial"/>
      <w:color w:val="0000FF"/>
      <w:sz w:val="24"/>
      <w:szCs w:val="24"/>
      <w:lang w:val="en-GB" w:eastAsia="en-AU" w:bidi="ar-SA"/>
    </w:rPr>
  </w:style>
  <w:style w:type="character" w:customStyle="1" w:styleId="VEOHRCHeading3Char">
    <w:name w:val="VEOHRC Heading 3 Char"/>
    <w:link w:val="VEOHRCHeading3"/>
    <w:rsid w:val="00FD195A"/>
    <w:rPr>
      <w:rFonts w:ascii="Arial" w:hAnsi="Arial" w:cs="Arial"/>
      <w:b/>
      <w:bCs/>
      <w:sz w:val="24"/>
      <w:szCs w:val="26"/>
      <w:lang w:val="en-GB" w:eastAsia="en-AU" w:bidi="ar-SA"/>
    </w:rPr>
  </w:style>
  <w:style w:type="paragraph" w:styleId="BalloonText">
    <w:name w:val="Balloon Text"/>
    <w:basedOn w:val="Normal"/>
    <w:link w:val="BalloonTextChar"/>
    <w:rsid w:val="00E81CF3"/>
    <w:rPr>
      <w:rFonts w:ascii="Segoe UI" w:hAnsi="Segoe UI" w:cs="Segoe UI"/>
      <w:sz w:val="18"/>
      <w:szCs w:val="18"/>
    </w:rPr>
  </w:style>
  <w:style w:type="character" w:customStyle="1" w:styleId="BalloonTextChar">
    <w:name w:val="Balloon Text Char"/>
    <w:link w:val="BalloonText"/>
    <w:rsid w:val="00E81CF3"/>
    <w:rPr>
      <w:rFonts w:ascii="Segoe UI" w:hAnsi="Segoe UI" w:cs="Segoe UI"/>
      <w:sz w:val="18"/>
      <w:szCs w:val="18"/>
    </w:rPr>
  </w:style>
  <w:style w:type="character" w:customStyle="1" w:styleId="apple-converted-space">
    <w:name w:val="apple-converted-space"/>
    <w:rsid w:val="00E81CF3"/>
  </w:style>
  <w:style w:type="paragraph" w:styleId="Revision">
    <w:name w:val="Revision"/>
    <w:hidden/>
    <w:uiPriority w:val="99"/>
    <w:semiHidden/>
    <w:rsid w:val="005647C3"/>
    <w:rPr>
      <w:rFonts w:ascii="Frutiger 45 Light" w:hAnsi="Frutiger 45 Light"/>
      <w:sz w:val="24"/>
      <w:szCs w:val="24"/>
    </w:rPr>
  </w:style>
  <w:style w:type="character" w:styleId="UnresolvedMention">
    <w:name w:val="Unresolved Mention"/>
    <w:basedOn w:val="DefaultParagraphFont"/>
    <w:uiPriority w:val="99"/>
    <w:semiHidden/>
    <w:unhideWhenUsed/>
    <w:rsid w:val="0052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umanrights.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nquiries@veohrc.vic.gov.a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9E2D-869C-40F2-81B6-AE26FE1B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KDFNL KFNASKLNFKASLFNSLK ASLFKNSFL LSKFNASFKLN</vt:lpstr>
    </vt:vector>
  </TitlesOfParts>
  <Company>Dept. of Justice Victoria</Company>
  <LinksUpToDate>false</LinksUpToDate>
  <CharactersWithSpaces>11082</CharactersWithSpaces>
  <SharedDoc>false</SharedDoc>
  <HLinks>
    <vt:vector size="12" baseType="variant">
      <vt:variant>
        <vt:i4>917507</vt:i4>
      </vt:variant>
      <vt:variant>
        <vt:i4>3</vt:i4>
      </vt:variant>
      <vt:variant>
        <vt:i4>0</vt:i4>
      </vt:variant>
      <vt:variant>
        <vt:i4>5</vt:i4>
      </vt:variant>
      <vt:variant>
        <vt:lpwstr>http://www.humanrightscommission.vic.gov.au/</vt:lpwstr>
      </vt:variant>
      <vt:variant>
        <vt:lpwstr/>
      </vt:variant>
      <vt:variant>
        <vt:i4>5177462</vt:i4>
      </vt:variant>
      <vt:variant>
        <vt:i4>0</vt:i4>
      </vt:variant>
      <vt:variant>
        <vt:i4>0</vt:i4>
      </vt:variant>
      <vt:variant>
        <vt:i4>5</vt:i4>
      </vt:variant>
      <vt:variant>
        <vt:lpwstr>mailto:information@veohrc.vic.gov.au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intervention guidelines - May 2018</dc:title>
  <dc:subject/>
  <dc:creator>Milly Bartlett</dc:creator>
  <cp:keywords/>
  <dc:description/>
  <cp:lastModifiedBy>Miya C Turnbull (DJCS)</cp:lastModifiedBy>
  <cp:revision>7</cp:revision>
  <cp:lastPrinted>2021-04-29T01:44:00Z</cp:lastPrinted>
  <dcterms:created xsi:type="dcterms:W3CDTF">2021-04-29T01:31:00Z</dcterms:created>
  <dcterms:modified xsi:type="dcterms:W3CDTF">2021-04-29T05:32:00Z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